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0BB5E89D">
      <w:pPr>
        <w:pStyle w:val="7"/>
        <w:rPr>
          <w:rFonts w:hint="eastAsia"/>
          <w:lang w:eastAsia="zh-CN"/>
        </w:rPr>
      </w:pPr>
      <w:bookmarkStart w:id="945" w:name="_GoBack"/>
      <w:bookmarkStart w:id="0" w:name="_Toc396472334"/>
      <w:bookmarkStart w:id="1" w:name="_Toc1315816602"/>
      <w:bookmarkStart w:id="2" w:name="_Toc78169667"/>
      <w:bookmarkStart w:id="3" w:name="_Toc69918737"/>
      <w:bookmarkStart w:id="4" w:name="_Toc69995904"/>
      <w:bookmarkStart w:id="5" w:name="_Toc70007144"/>
      <w:bookmarkStart w:id="6" w:name="_Toc70007083"/>
      <w:r>
        <w:rPr>
          <w:rFonts w:hint="eastAsia"/>
          <w:lang w:eastAsia="zh-CN"/>
        </w:rPr>
        <w:t>技术部分</w:t>
      </w:r>
      <w:bookmarkEnd w:id="0"/>
      <w:bookmarkEnd w:id="1"/>
      <w:bookmarkEnd w:id="2"/>
      <w:r>
        <w:rPr>
          <w:rFonts w:hint="eastAsia"/>
        </w:rPr>
        <w:t xml:space="preserve"> </w:t>
      </w:r>
    </w:p>
    <w:p w14:paraId="53D54F97">
      <w:pPr>
        <w:pStyle w:val="8"/>
        <w:pageBreakBefore w:val="0"/>
        <w:tabs>
          <w:tab w:val="left" w:pos="420"/>
        </w:tabs>
        <w:kinsoku/>
        <w:wordWrap/>
        <w:overflowPunct/>
        <w:topLinePunct w:val="0"/>
        <w:autoSpaceDE/>
        <w:autoSpaceDN/>
        <w:bidi w:val="0"/>
        <w:spacing w:line="360" w:lineRule="auto"/>
        <w:textAlignment w:val="auto"/>
        <w:rPr>
          <w:rFonts w:hint="eastAsia"/>
        </w:rPr>
      </w:pPr>
      <w:bookmarkStart w:id="7" w:name="_Toc932892602"/>
      <w:bookmarkStart w:id="8" w:name="_Toc914612732"/>
      <w:bookmarkStart w:id="9" w:name="_Toc453386257"/>
      <w:r>
        <w:rPr>
          <w:rFonts w:hint="eastAsia"/>
          <w:lang w:eastAsia="zh-CN"/>
        </w:rPr>
        <w:t>项目技术方案</w:t>
      </w:r>
      <w:bookmarkEnd w:id="7"/>
      <w:bookmarkEnd w:id="8"/>
      <w:bookmarkEnd w:id="9"/>
      <w:r>
        <w:rPr>
          <w:rFonts w:hint="eastAsia"/>
        </w:rPr>
        <w:t xml:space="preserve"> </w:t>
      </w:r>
    </w:p>
    <w:p w14:paraId="6749D8E3">
      <w:pPr>
        <w:pStyle w:val="9"/>
        <w:pageBreakBefore w:val="0"/>
        <w:numPr>
          <w:ilvl w:val="2"/>
          <w:numId w:val="12"/>
        </w:numPr>
        <w:tabs>
          <w:tab w:val="left" w:pos="0"/>
        </w:tabs>
        <w:kinsoku/>
        <w:wordWrap/>
        <w:overflowPunct/>
        <w:topLinePunct w:val="0"/>
        <w:autoSpaceDE/>
        <w:autoSpaceDN/>
        <w:bidi w:val="0"/>
        <w:spacing w:line="360" w:lineRule="auto"/>
        <w:textAlignment w:val="auto"/>
        <w:rPr>
          <w:rFonts w:hint="eastAsia"/>
          <w:lang w:eastAsia="zh-CN"/>
        </w:rPr>
      </w:pPr>
      <w:bookmarkStart w:id="10" w:name="_Toc1327076726"/>
      <w:bookmarkStart w:id="11" w:name="_Toc238537210"/>
      <w:bookmarkStart w:id="12" w:name="_Toc423041018"/>
      <w:r>
        <w:rPr>
          <w:rFonts w:hint="eastAsia"/>
          <w:lang w:eastAsia="zh-CN"/>
        </w:rPr>
        <w:t>项目业务背景</w:t>
      </w:r>
      <w:bookmarkEnd w:id="10"/>
      <w:bookmarkEnd w:id="11"/>
      <w:bookmarkEnd w:id="12"/>
    </w:p>
    <w:p w14:paraId="4204A8F2">
      <w:pPr>
        <w:pStyle w:val="10"/>
        <w:bidi w:val="0"/>
      </w:pPr>
      <w:bookmarkStart w:id="13" w:name="_Toc2064583255"/>
      <w:bookmarkStart w:id="14" w:name="_Toc86929621"/>
      <w:bookmarkStart w:id="15" w:name="_Toc1112099751"/>
      <w:bookmarkStart w:id="16" w:name="_Toc87122255"/>
      <w:bookmarkStart w:id="17" w:name="_Toc86934060"/>
      <w:bookmarkStart w:id="18" w:name="_Toc87096135"/>
      <w:bookmarkStart w:id="19" w:name="_Toc1470150951"/>
      <w:r>
        <w:rPr>
          <w:rFonts w:hint="eastAsia"/>
          <w:lang w:eastAsia="zh-CN"/>
        </w:rPr>
        <w:t>行业一体化平台建设</w:t>
      </w:r>
      <w:bookmarkEnd w:id="13"/>
      <w:bookmarkEnd w:id="14"/>
      <w:bookmarkEnd w:id="15"/>
      <w:bookmarkEnd w:id="16"/>
      <w:bookmarkEnd w:id="17"/>
      <w:bookmarkEnd w:id="18"/>
      <w:bookmarkEnd w:id="19"/>
    </w:p>
    <w:p w14:paraId="7B81CEE0">
      <w:pPr>
        <w:ind w:firstLine="480"/>
        <w:rPr>
          <w:szCs w:val="21"/>
          <w:lang w:eastAsia="zh-Hans"/>
        </w:rPr>
      </w:pPr>
      <w:bookmarkStart w:id="20" w:name="_Toc87096136"/>
      <w:bookmarkStart w:id="21" w:name="_Toc87122256"/>
      <w:bookmarkStart w:id="22" w:name="_Toc86929622"/>
      <w:bookmarkStart w:id="23" w:name="_Toc86934061"/>
      <w:r>
        <w:rPr>
          <w:rFonts w:hint="eastAsia"/>
          <w:szCs w:val="21"/>
          <w:lang w:eastAsia="zh-Hans"/>
        </w:rPr>
        <w:t>中国烟草行业实行统一领导、垂直管理、专卖专营的管理体制。国家烟草专卖局、中国烟草总公司对全国烟草行业“人、财、物、产、供、销、内、外、贸”进行集中统一管理。目前，全国烟草行业设有省级烟草专卖局（公司）（以下简称“商业企业”）33家，地市级烟草专卖局（公司）4</w:t>
      </w:r>
      <w:r>
        <w:rPr>
          <w:rFonts w:hint="eastAsia"/>
          <w:szCs w:val="21"/>
        </w:rPr>
        <w:t>46</w:t>
      </w:r>
      <w:r>
        <w:rPr>
          <w:rFonts w:hint="eastAsia"/>
          <w:szCs w:val="21"/>
          <w:lang w:eastAsia="zh-Hans"/>
        </w:rPr>
        <w:t>家；省级中烟工业公司（以下简称“工业企业”）19家，卷烟生产点94个</w:t>
      </w:r>
      <w:r>
        <w:rPr>
          <w:rFonts w:hint="eastAsia"/>
          <w:szCs w:val="21"/>
        </w:rPr>
        <w:t>。</w:t>
      </w:r>
      <w:r>
        <w:rPr>
          <w:rFonts w:hint="eastAsia"/>
          <w:szCs w:val="21"/>
          <w:lang w:eastAsia="zh-Hans"/>
        </w:rPr>
        <w:t>在境外投资设立卷烟工厂和配套企业30家。另有直属科研单位和烟机、醋纤等生产企业。目前，我国的烟草产业链主要由烟叶种植与购销、烟叶加工与卷烟制造、卷烟批发与零售组成。</w:t>
      </w:r>
    </w:p>
    <w:p w14:paraId="31B06EB1">
      <w:pPr>
        <w:ind w:firstLine="480"/>
        <w:rPr>
          <w:szCs w:val="21"/>
          <w:lang w:eastAsia="zh-Hans"/>
        </w:rPr>
      </w:pPr>
      <w:r>
        <w:rPr>
          <w:rFonts w:hint="eastAsia"/>
          <w:szCs w:val="21"/>
          <w:lang w:eastAsia="zh-Hans"/>
        </w:rPr>
        <w:t>为准确采集行业卷烟生产经营数据，支撑行业科学决策，总公司于2003年启动行业生产经营决策管理系统建设。该系统的核心是通过对件烟和条烟进行唯一标识，并在关键物流业务环节对标识进行识别，实现卷烟产品从工业生产到商业销售全过程物流跟踪，从而实时采集工业产销存、商业进销存的物流数据。采用实物数据采集（“两打三扫”）和业务数据采集（“工商数采”、“订单采集”）两种方式，保证了行业生产经营数据的真实性、及时性、完整性和准确性。“两打三扫”，是指工业企业向总公司申请件烟码、件烟生产下线按计划打码（“一打”）、件烟出库扫码（“一扫”）；商业企业件烟到货扫码（“二扫”），件烟领用出库扫码（“三扫”）和条烟分拣配送打码（“二打”）。“工商数采”和“订单采集”是通过热连接的方式直接从企业业务系统中自动采集生产经营账面数据和卷烟市场需求与订单数据。行业生产经营决策管理系统自建成以来，在行业计划调控、规范经营、数据采集、物流追踪、专卖管理等方面发挥了重要作用。</w:t>
      </w:r>
    </w:p>
    <w:p w14:paraId="60090094">
      <w:pPr>
        <w:pStyle w:val="12"/>
        <w:bidi w:val="0"/>
      </w:pPr>
      <w:bookmarkStart w:id="24" w:name="_Toc1849256351"/>
      <w:bookmarkStart w:id="25" w:name="_Toc560170286"/>
      <w:r>
        <w:rPr>
          <w:rFonts w:hint="eastAsia"/>
        </w:rPr>
        <w:t>全国烟草生产经营管理一体化平台</w:t>
      </w:r>
      <w:bookmarkEnd w:id="20"/>
      <w:bookmarkEnd w:id="21"/>
      <w:bookmarkEnd w:id="22"/>
      <w:bookmarkEnd w:id="23"/>
      <w:bookmarkEnd w:id="24"/>
      <w:bookmarkEnd w:id="25"/>
    </w:p>
    <w:p w14:paraId="6283E5F0">
      <w:pPr>
        <w:ind w:firstLine="480" w:firstLineChars="200"/>
        <w:rPr>
          <w:rFonts w:ascii="宋体" w:hAnsi="宋体"/>
          <w:kern w:val="2"/>
          <w:szCs w:val="24"/>
        </w:rPr>
      </w:pPr>
      <w:r>
        <w:rPr>
          <w:rFonts w:hint="eastAsia" w:ascii="宋体" w:hAnsi="宋体"/>
          <w:szCs w:val="24"/>
        </w:rPr>
        <w:t>为推动烟草行业高质量发展，结合数字经济发展趋势和行业相关探索实践经验，烟草行业2020年启动全国烟草生产经营管理一体化平台建设，以形成覆盖全产业链、全治理链、全生态圈和全生产要素的一体化、智能化平台为总体目标，明确形成“1242”总体架构，即一个云平台、两个中台（业务中台、数据中台）、四大企业应用和两大行业应用。其中，烟草行业二维码统一应用作为推动卷烟供应链一体化运行的基础性工程，是全国烟草生产经营管理一体化平台的重要组成部分。</w:t>
      </w:r>
    </w:p>
    <w:p w14:paraId="6E07ACC1">
      <w:pPr>
        <w:pStyle w:val="12"/>
        <w:bidi w:val="0"/>
      </w:pPr>
      <w:bookmarkStart w:id="26" w:name="_Toc334259507"/>
      <w:bookmarkStart w:id="27" w:name="_Toc86934062"/>
      <w:bookmarkStart w:id="28" w:name="_Toc2145309929"/>
      <w:bookmarkStart w:id="29" w:name="_Toc87096137"/>
      <w:bookmarkStart w:id="30" w:name="_Toc87122257"/>
      <w:r>
        <w:rPr>
          <w:rFonts w:hint="eastAsia"/>
        </w:rPr>
        <w:t>云平台</w:t>
      </w:r>
      <w:bookmarkEnd w:id="26"/>
      <w:bookmarkEnd w:id="27"/>
      <w:bookmarkEnd w:id="28"/>
      <w:bookmarkEnd w:id="29"/>
      <w:bookmarkEnd w:id="30"/>
    </w:p>
    <w:p w14:paraId="06449C5A">
      <w:pPr>
        <w:ind w:firstLine="480" w:firstLineChars="200"/>
        <w:rPr>
          <w:rFonts w:ascii="宋体" w:hAnsi="宋体"/>
          <w:sz w:val="21"/>
          <w:szCs w:val="21"/>
        </w:rPr>
      </w:pPr>
      <w:r>
        <w:rPr>
          <w:rFonts w:hint="eastAsia" w:ascii="宋体" w:hAnsi="宋体"/>
          <w:szCs w:val="24"/>
        </w:rPr>
        <w:t>云平台为行业提供基础设施资源服务和技术能力服务，由行业主中心节点（上海）、行业副中心节点（浙江）和若干省级工商企业节点（企业云平台）形成“两级多点”的“1+1+N”总体布局。云平台软件包含平台基础组件、IaaS基础设施组件、DaaS数据库组件、PaaS中间件组件、大数据与人工智能组件、云安全组件、开发平台等类型。</w:t>
      </w:r>
    </w:p>
    <w:p w14:paraId="30B05005">
      <w:pPr>
        <w:pStyle w:val="12"/>
        <w:bidi w:val="0"/>
      </w:pPr>
      <w:bookmarkStart w:id="31" w:name="_Toc356651262"/>
      <w:bookmarkStart w:id="32" w:name="_Toc86934063"/>
      <w:bookmarkStart w:id="33" w:name="_Toc87096138"/>
      <w:bookmarkStart w:id="34" w:name="_Toc1027622509"/>
      <w:bookmarkStart w:id="35" w:name="_Toc87122258"/>
      <w:r>
        <w:rPr>
          <w:rFonts w:hint="eastAsia"/>
        </w:rPr>
        <w:t>数字中台</w:t>
      </w:r>
      <w:bookmarkEnd w:id="31"/>
      <w:bookmarkEnd w:id="32"/>
      <w:bookmarkEnd w:id="33"/>
      <w:bookmarkEnd w:id="34"/>
      <w:bookmarkEnd w:id="35"/>
    </w:p>
    <w:p w14:paraId="1A666862">
      <w:pPr>
        <w:ind w:firstLine="480" w:firstLineChars="200"/>
        <w:rPr>
          <w:rFonts w:ascii="宋体" w:hAnsi="宋体"/>
          <w:szCs w:val="24"/>
        </w:rPr>
      </w:pPr>
      <w:r>
        <w:rPr>
          <w:rFonts w:hint="eastAsia" w:ascii="宋体" w:hAnsi="宋体"/>
          <w:szCs w:val="24"/>
        </w:rPr>
        <w:t>两个中台（业务中台和数据中台）组成行业数字中台。其中，业务中台实现提供跨业务领域、跨部门应用、具有通用性基础性集成性特点的共享服务；数据中台实现解决各业务域数据汇聚、计算、加工和统一管理，支撑实现数据资产化管理。</w:t>
      </w:r>
    </w:p>
    <w:p w14:paraId="1B6AA5A9">
      <w:pPr>
        <w:ind w:firstLine="480" w:firstLineChars="200"/>
        <w:rPr>
          <w:rFonts w:ascii="宋体" w:hAnsi="宋体"/>
          <w:szCs w:val="24"/>
        </w:rPr>
      </w:pPr>
      <w:r>
        <w:rPr>
          <w:rFonts w:hint="eastAsia" w:ascii="宋体" w:hAnsi="宋体"/>
          <w:szCs w:val="24"/>
        </w:rPr>
        <w:t>目前，行业业务中台现已规划并同步建设用户中心、商品中心、客户中心、交易中心、支付中心、消息中心、文档中心、地图中心、物流中心（物流中台）等共享服务中心。</w:t>
      </w:r>
    </w:p>
    <w:p w14:paraId="6281ADD7">
      <w:pPr>
        <w:ind w:firstLine="480" w:firstLineChars="200"/>
        <w:rPr>
          <w:rFonts w:ascii="宋体" w:hAnsi="宋体"/>
          <w:szCs w:val="24"/>
        </w:rPr>
      </w:pPr>
      <w:r>
        <w:rPr>
          <w:rFonts w:hint="eastAsia" w:ascii="宋体" w:hAnsi="宋体"/>
          <w:szCs w:val="24"/>
        </w:rPr>
        <w:t>（1）用户中心：实现对行业性应用系统各类用户的组织、账户和权限等的统一管理；</w:t>
      </w:r>
    </w:p>
    <w:p w14:paraId="32A1589A">
      <w:pPr>
        <w:ind w:firstLine="480" w:firstLineChars="200"/>
        <w:rPr>
          <w:rFonts w:ascii="宋体" w:hAnsi="宋体"/>
          <w:szCs w:val="24"/>
        </w:rPr>
      </w:pPr>
      <w:r>
        <w:rPr>
          <w:rFonts w:hint="eastAsia" w:ascii="宋体" w:hAnsi="宋体"/>
          <w:szCs w:val="24"/>
        </w:rPr>
        <w:t>（2）商品中心：通过对卷烟、非烟、物资等各类商品进行标准化描述，为各应用系统提供统一的商品库和商品类目服务，完成多渠道、全链路的商品属性管理；</w:t>
      </w:r>
    </w:p>
    <w:p w14:paraId="5A3DA47C">
      <w:pPr>
        <w:ind w:firstLine="480" w:firstLineChars="200"/>
        <w:rPr>
          <w:rFonts w:ascii="宋体" w:hAnsi="宋体"/>
          <w:szCs w:val="24"/>
        </w:rPr>
      </w:pPr>
      <w:r>
        <w:rPr>
          <w:rFonts w:hint="eastAsia" w:ascii="宋体" w:hAnsi="宋体"/>
          <w:szCs w:val="24"/>
        </w:rPr>
        <w:t>（3）客户中心：为零售户和烟农等建立客户档案，对零售户和烟农信息进行统一管理，并根据业务需要纳入消费者会员的基础数据管理，保障信息的一致性，并提供相关服务；</w:t>
      </w:r>
    </w:p>
    <w:p w14:paraId="7BB25A1D">
      <w:pPr>
        <w:ind w:firstLine="480" w:firstLineChars="200"/>
        <w:rPr>
          <w:rFonts w:ascii="宋体" w:hAnsi="宋体"/>
          <w:szCs w:val="24"/>
        </w:rPr>
      </w:pPr>
      <w:r>
        <w:rPr>
          <w:rFonts w:hint="eastAsia" w:ascii="宋体" w:hAnsi="宋体"/>
          <w:szCs w:val="24"/>
        </w:rPr>
        <w:t>（4）交易中心：提供商品交易流转的服务能力，结合烟草行业的交易特性，提供订单等的交易状态和元素的操作；</w:t>
      </w:r>
    </w:p>
    <w:p w14:paraId="745DD66B">
      <w:pPr>
        <w:ind w:firstLine="480" w:firstLineChars="200"/>
        <w:rPr>
          <w:rFonts w:ascii="宋体" w:hAnsi="宋体"/>
          <w:szCs w:val="24"/>
        </w:rPr>
      </w:pPr>
      <w:r>
        <w:rPr>
          <w:rFonts w:hint="eastAsia" w:ascii="宋体" w:hAnsi="宋体"/>
          <w:szCs w:val="24"/>
        </w:rPr>
        <w:t>（5）支付中心：支撑与各金融服务机构的统一对接以及多种支付方式的实现，为各应用系统提供客户的虚拟账户体系，沉淀和管理支付信息；</w:t>
      </w:r>
    </w:p>
    <w:p w14:paraId="6E4ADCF1">
      <w:pPr>
        <w:ind w:firstLine="480" w:firstLineChars="200"/>
        <w:rPr>
          <w:rFonts w:ascii="宋体" w:hAnsi="宋体"/>
          <w:szCs w:val="24"/>
        </w:rPr>
      </w:pPr>
      <w:r>
        <w:rPr>
          <w:rFonts w:hint="eastAsia" w:ascii="宋体" w:hAnsi="宋体"/>
          <w:szCs w:val="24"/>
        </w:rPr>
        <w:t>（6）消息中心：集成各类沟通渠道，对外发布统一开发服务接口，提供消息推送服务；</w:t>
      </w:r>
    </w:p>
    <w:p w14:paraId="4EEBE9DA">
      <w:pPr>
        <w:ind w:firstLine="480" w:firstLineChars="200"/>
        <w:rPr>
          <w:rFonts w:ascii="宋体" w:hAnsi="宋体"/>
          <w:szCs w:val="24"/>
        </w:rPr>
      </w:pPr>
      <w:r>
        <w:rPr>
          <w:rFonts w:hint="eastAsia" w:ascii="宋体" w:hAnsi="宋体"/>
          <w:szCs w:val="24"/>
        </w:rPr>
        <w:t>（7）文档中心：提供对各类文档的统一存储、发布和管理的基础能力，为各个系统应用和项目建设文档管理提供支撑；</w:t>
      </w:r>
    </w:p>
    <w:p w14:paraId="1B912AE3">
      <w:pPr>
        <w:ind w:firstLine="480" w:firstLineChars="200"/>
        <w:rPr>
          <w:rFonts w:ascii="宋体" w:hAnsi="宋体"/>
          <w:szCs w:val="24"/>
        </w:rPr>
      </w:pPr>
      <w:r>
        <w:rPr>
          <w:rFonts w:hint="eastAsia" w:ascii="宋体" w:hAnsi="宋体"/>
          <w:szCs w:val="24"/>
        </w:rPr>
        <w:t>（8）地图中心：封装统一的烟草行业地图服务，为各应用系统提供专业地图服务。</w:t>
      </w:r>
    </w:p>
    <w:p w14:paraId="27E2C25C">
      <w:pPr>
        <w:ind w:firstLine="480" w:firstLineChars="200"/>
        <w:rPr>
          <w:rFonts w:ascii="宋体" w:hAnsi="宋体"/>
          <w:szCs w:val="24"/>
        </w:rPr>
      </w:pPr>
      <w:r>
        <w:rPr>
          <w:rFonts w:hint="eastAsia" w:ascii="宋体" w:hAnsi="宋体"/>
          <w:szCs w:val="24"/>
        </w:rPr>
        <w:t>（9）物流中心：提供具有通用性、基础性、可复用的物流共享服务。</w:t>
      </w:r>
    </w:p>
    <w:p w14:paraId="58C8FB97">
      <w:pPr>
        <w:pStyle w:val="12"/>
        <w:bidi w:val="0"/>
      </w:pPr>
      <w:bookmarkStart w:id="36" w:name="_Toc87122259"/>
      <w:bookmarkStart w:id="37" w:name="_Toc87096139"/>
      <w:bookmarkStart w:id="38" w:name="_Toc426978570"/>
      <w:bookmarkStart w:id="39" w:name="_Toc650224888"/>
      <w:bookmarkStart w:id="40" w:name="_Toc86934064"/>
      <w:r>
        <w:rPr>
          <w:rFonts w:hint="eastAsia"/>
        </w:rPr>
        <w:t>企业应用</w:t>
      </w:r>
      <w:bookmarkEnd w:id="36"/>
      <w:bookmarkEnd w:id="37"/>
      <w:bookmarkEnd w:id="38"/>
      <w:bookmarkEnd w:id="39"/>
      <w:bookmarkEnd w:id="40"/>
    </w:p>
    <w:p w14:paraId="44DFB5D8">
      <w:pPr>
        <w:ind w:firstLine="480" w:firstLineChars="200"/>
        <w:rPr>
          <w:rFonts w:ascii="宋体" w:hAnsi="宋体"/>
          <w:szCs w:val="24"/>
        </w:rPr>
      </w:pPr>
      <w:r>
        <w:rPr>
          <w:rFonts w:hint="eastAsia" w:ascii="宋体" w:hAnsi="宋体"/>
          <w:szCs w:val="24"/>
        </w:rPr>
        <w:t>四大企业应用是以业务中台的共享服务中心为依托，支撑各企业在烟叶生产、卷烟制造、商业流通和政务管理等方面的应用，二维码技术将在行业各领域及企业应用中发挥重要作用。</w:t>
      </w:r>
    </w:p>
    <w:p w14:paraId="5B976122">
      <w:pPr>
        <w:pStyle w:val="12"/>
        <w:bidi w:val="0"/>
      </w:pPr>
      <w:bookmarkStart w:id="41" w:name="_Toc87122260"/>
      <w:bookmarkStart w:id="42" w:name="_Toc86934065"/>
      <w:bookmarkStart w:id="43" w:name="_Toc1589340628"/>
      <w:bookmarkStart w:id="44" w:name="_Toc1641157221"/>
      <w:bookmarkStart w:id="45" w:name="_Toc87096140"/>
      <w:r>
        <w:rPr>
          <w:rFonts w:hint="eastAsia"/>
        </w:rPr>
        <w:t>行业应用</w:t>
      </w:r>
      <w:bookmarkEnd w:id="41"/>
      <w:bookmarkEnd w:id="42"/>
      <w:bookmarkEnd w:id="43"/>
      <w:bookmarkEnd w:id="44"/>
      <w:bookmarkEnd w:id="45"/>
    </w:p>
    <w:p w14:paraId="0B96C376">
      <w:pPr>
        <w:ind w:firstLine="480" w:firstLineChars="200"/>
        <w:rPr>
          <w:rFonts w:ascii="宋体" w:hAnsi="宋体"/>
          <w:szCs w:val="24"/>
        </w:rPr>
      </w:pPr>
      <w:r>
        <w:rPr>
          <w:rFonts w:hint="eastAsia" w:ascii="宋体" w:hAnsi="宋体"/>
          <w:szCs w:val="24"/>
        </w:rPr>
        <w:t>建设行业决策和行业管控两大行业应用，提供行业生产经营管理全链路、全方位决策支撑。</w:t>
      </w:r>
    </w:p>
    <w:p w14:paraId="0C0E042E">
      <w:pPr>
        <w:pStyle w:val="10"/>
        <w:bidi w:val="0"/>
      </w:pPr>
      <w:bookmarkStart w:id="46" w:name="_Toc496192039"/>
      <w:bookmarkStart w:id="47" w:name="_Toc86929623"/>
      <w:bookmarkStart w:id="48" w:name="_Toc87096141"/>
      <w:bookmarkStart w:id="49" w:name="_Toc92110453"/>
      <w:bookmarkStart w:id="50" w:name="_Toc915834876"/>
      <w:bookmarkStart w:id="51" w:name="_Toc87122261"/>
      <w:bookmarkStart w:id="52" w:name="_Toc86934066"/>
      <w:r>
        <w:rPr>
          <w:rFonts w:hint="eastAsia"/>
        </w:rPr>
        <w:t>行业卷烟二维码统一应用项目</w:t>
      </w:r>
      <w:bookmarkEnd w:id="46"/>
      <w:bookmarkEnd w:id="47"/>
      <w:bookmarkEnd w:id="48"/>
      <w:bookmarkEnd w:id="49"/>
      <w:bookmarkEnd w:id="50"/>
      <w:bookmarkEnd w:id="51"/>
      <w:bookmarkEnd w:id="52"/>
    </w:p>
    <w:p w14:paraId="38343229">
      <w:pPr>
        <w:pStyle w:val="12"/>
        <w:bidi w:val="0"/>
      </w:pPr>
      <w:bookmarkStart w:id="53" w:name="_Toc87122262"/>
      <w:bookmarkStart w:id="54" w:name="_Toc87096142"/>
      <w:bookmarkStart w:id="55" w:name="_Toc967467989"/>
      <w:bookmarkStart w:id="56" w:name="_Toc86934067"/>
      <w:bookmarkStart w:id="57" w:name="_Toc1444746752"/>
      <w:r>
        <w:rPr>
          <w:rFonts w:hint="eastAsia"/>
        </w:rPr>
        <w:t>基本情况</w:t>
      </w:r>
      <w:bookmarkEnd w:id="53"/>
      <w:bookmarkEnd w:id="54"/>
      <w:bookmarkEnd w:id="55"/>
      <w:bookmarkEnd w:id="56"/>
      <w:bookmarkEnd w:id="57"/>
    </w:p>
    <w:p w14:paraId="1BC05376">
      <w:pPr>
        <w:ind w:firstLine="480"/>
        <w:rPr>
          <w:szCs w:val="21"/>
        </w:rPr>
      </w:pPr>
      <w:bookmarkStart w:id="58" w:name="_Toc86934068"/>
      <w:bookmarkStart w:id="59" w:name="_Toc87096143"/>
      <w:bookmarkStart w:id="60" w:name="_Toc87122263"/>
      <w:r>
        <w:rPr>
          <w:rFonts w:hint="eastAsia"/>
          <w:szCs w:val="21"/>
        </w:rPr>
        <w:t>烟草行业二维码统一应用项目作为全国烟草生产经营管理一体化平台的重要组成部分，是一项基础性、系统性、战略性工程，对行业技术、管理和业务升级具有重要意义。烟草行业卷烟二维码统一应用项目覆盖总公司以及行业19家省级工业企业的所属卷烟厂、33家省级商业企业的所属物流中心，涉及的卷烟对象包括内销卷烟、进口卷烟、出口卷烟、雪茄烟、新型烟草制品、促销烟、罚没烟等。</w:t>
      </w:r>
    </w:p>
    <w:p w14:paraId="4534FD57">
      <w:pPr>
        <w:ind w:firstLine="480"/>
        <w:rPr>
          <w:szCs w:val="21"/>
        </w:rPr>
      </w:pPr>
      <w:r>
        <w:rPr>
          <w:rFonts w:hint="eastAsia"/>
          <w:szCs w:val="21"/>
        </w:rPr>
        <w:t>烟草行业卷烟二维码统一应用项目建设内容包括在总公司建设行业二维码管控平台，在工商企业建设“盒条件”关联管理系统和“条零”关联管理系统，以及对接行业生产经营决策管理系统等系统，贯通卷烟生产、流通各环节数据，形成卷烟二维码管理体系，支撑行业各单位基于卷烟二维码的创新应用，提升烟草行业生产经营管理的效率和水平。</w:t>
      </w:r>
    </w:p>
    <w:p w14:paraId="018061D3">
      <w:pPr>
        <w:ind w:firstLine="480"/>
        <w:rPr>
          <w:szCs w:val="21"/>
          <w:lang w:eastAsia="zh-Hans"/>
        </w:rPr>
      </w:pPr>
      <w:r>
        <w:rPr>
          <w:rFonts w:hint="eastAsia"/>
          <w:szCs w:val="21"/>
        </w:rPr>
        <w:t>遵循</w:t>
      </w:r>
      <w:r>
        <w:rPr>
          <w:rFonts w:hint="eastAsia"/>
          <w:szCs w:val="21"/>
          <w:lang w:eastAsia="zh-Hans"/>
        </w:rPr>
        <w:t>建设原则：</w:t>
      </w:r>
    </w:p>
    <w:p w14:paraId="70ED974C">
      <w:pPr>
        <w:ind w:firstLine="480"/>
        <w:rPr>
          <w:szCs w:val="21"/>
          <w:lang w:eastAsia="zh-Hans"/>
        </w:rPr>
      </w:pPr>
      <w:r>
        <w:rPr>
          <w:rFonts w:hint="eastAsia"/>
          <w:szCs w:val="21"/>
          <w:lang w:eastAsia="zh-Hans"/>
        </w:rPr>
        <w:t>一是总体规划，统筹推进。按照统一规划、统一标准、统一应用的原则，总体规划和统一开发“盒条件”“条零”管理系统，由行业统筹系统在省级单位的推广实施。</w:t>
      </w:r>
    </w:p>
    <w:p w14:paraId="5415D502">
      <w:pPr>
        <w:ind w:firstLine="480" w:firstLineChars="200"/>
        <w:rPr>
          <w:rFonts w:ascii="宋体" w:hAnsi="宋体" w:cs="宋体"/>
        </w:rPr>
      </w:pPr>
      <w:r>
        <w:rPr>
          <w:rFonts w:hint="eastAsia" w:ascii="宋体" w:hAnsi="宋体" w:cs="宋体"/>
        </w:rPr>
        <w:t>二是依法依规，防控风险。严格执行国家有关法律法规，严格依法依规开展项目建设；制订相关标准和制度，规范“盒条件”“条零”关联作业日常管理和关联数据创新应用等各项工作。</w:t>
      </w:r>
    </w:p>
    <w:p w14:paraId="35ED0AA2">
      <w:pPr>
        <w:ind w:firstLine="480" w:firstLineChars="200"/>
        <w:rPr>
          <w:rFonts w:ascii="宋体" w:hAnsi="宋体" w:cs="宋体"/>
        </w:rPr>
      </w:pPr>
      <w:r>
        <w:rPr>
          <w:rFonts w:hint="eastAsia" w:ascii="宋体" w:hAnsi="宋体" w:cs="宋体"/>
        </w:rPr>
        <w:t>三是安全可靠，健康发展。妥善处理发展创新与保障安全的关系，强化安全意识，注重“盒条件”“条零”关联管理系统的运维管理，加强“盒条件”“条零”关联管理系统安全管理，做好系统安全测评、风险评估和安全防护工作，保障系统安全稳定运行。</w:t>
      </w:r>
    </w:p>
    <w:p w14:paraId="694D81DC">
      <w:pPr>
        <w:ind w:firstLine="480"/>
        <w:rPr>
          <w:rFonts w:ascii="Calibri" w:hAnsi="Calibri" w:cs="Calibri"/>
          <w:szCs w:val="24"/>
        </w:rPr>
      </w:pPr>
      <w:r>
        <w:rPr>
          <w:rFonts w:hint="eastAsia" w:ascii="Calibri" w:hAnsi="Calibri" w:cs="Calibri"/>
          <w:szCs w:val="24"/>
        </w:rPr>
        <w:t>我们在</w:t>
      </w:r>
      <w:r>
        <w:rPr>
          <w:rFonts w:hint="eastAsia" w:ascii="Calibri" w:hAnsi="Calibri" w:cs="Calibri"/>
          <w:szCs w:val="24"/>
          <w:lang w:val="en-US" w:eastAsia="zh-Hans"/>
        </w:rPr>
        <w:t>国家</w:t>
      </w:r>
      <w:r>
        <w:rPr>
          <w:rFonts w:hint="eastAsia"/>
          <w:szCs w:val="21"/>
          <w:lang w:eastAsia="zh-Hans"/>
        </w:rPr>
        <w:t>文件要求</w:t>
      </w:r>
      <w:r>
        <w:rPr>
          <w:rFonts w:hint="eastAsia" w:ascii="Calibri" w:hAnsi="Calibri" w:cs="Calibri"/>
          <w:szCs w:val="24"/>
        </w:rPr>
        <w:t>的建设原则上，按照项目的实际情况扩展原则如下：</w:t>
      </w:r>
    </w:p>
    <w:p w14:paraId="41A516F2">
      <w:pPr>
        <w:numPr>
          <w:ilvl w:val="0"/>
          <w:numId w:val="13"/>
        </w:numPr>
        <w:ind w:left="839" w:hanging="420"/>
        <w:rPr>
          <w:rFonts w:ascii="Calibri" w:hAnsi="Calibri" w:cs="Calibri"/>
          <w:szCs w:val="24"/>
        </w:rPr>
      </w:pPr>
      <w:r>
        <w:rPr>
          <w:rFonts w:hint="eastAsia" w:ascii="Calibri" w:hAnsi="Calibri" w:cs="Calibri"/>
          <w:szCs w:val="24"/>
        </w:rPr>
        <w:t>稳定运行，同步推进。维持决策管理系统稳定运行，保障卷烟生产经营活动正常运转，做好卷烟二维码与决策管理系统的衔接工作，同步考虑全国烟草生产经营管理一体化平台与决策管理系统关系与信息交互。</w:t>
      </w:r>
    </w:p>
    <w:p w14:paraId="3D4C7572">
      <w:pPr>
        <w:numPr>
          <w:ilvl w:val="0"/>
          <w:numId w:val="13"/>
        </w:numPr>
        <w:ind w:left="839" w:hanging="420"/>
        <w:rPr>
          <w:rFonts w:ascii="Calibri" w:hAnsi="Calibri" w:cs="Calibri"/>
          <w:szCs w:val="24"/>
        </w:rPr>
      </w:pPr>
      <w:r>
        <w:rPr>
          <w:rFonts w:hint="eastAsia" w:ascii="Calibri" w:hAnsi="Calibri" w:cs="Calibri"/>
          <w:szCs w:val="24"/>
        </w:rPr>
        <w:t>数据共享，服务行业。在国家局层面汇集卷烟二维码各环节数据，提供卷烟二维码大数据共享服务，行业各单位按照自身业务需求，建设本单位的卷烟二维码应用。</w:t>
      </w:r>
    </w:p>
    <w:p w14:paraId="37757F38">
      <w:pPr>
        <w:ind w:firstLine="480" w:firstLineChars="200"/>
        <w:rPr>
          <w:rFonts w:ascii="宋体" w:hAnsi="宋体" w:cs="宋体"/>
        </w:rPr>
      </w:pPr>
      <w:r>
        <w:rPr>
          <w:rFonts w:hint="eastAsia" w:ascii="宋体" w:hAnsi="宋体" w:cs="宋体"/>
        </w:rPr>
        <w:t>严控风险，保障安全。遵照网络安全等级保护三级要求，加强二维码应用的网络安全防护，注重二维码信息等数据资产安全，保障信息系统安全平稳运行，严控各环节安全风险和法律风险。</w:t>
      </w:r>
    </w:p>
    <w:p w14:paraId="658B33A9">
      <w:pPr>
        <w:pStyle w:val="12"/>
        <w:bidi w:val="0"/>
      </w:pPr>
      <w:bookmarkStart w:id="61" w:name="_Toc102898974"/>
      <w:bookmarkStart w:id="62" w:name="_Toc443300037"/>
      <w:r>
        <w:rPr>
          <w:rFonts w:hint="eastAsia"/>
        </w:rPr>
        <w:t>业务描述</w:t>
      </w:r>
      <w:bookmarkEnd w:id="58"/>
      <w:bookmarkEnd w:id="59"/>
      <w:bookmarkEnd w:id="60"/>
      <w:bookmarkEnd w:id="61"/>
      <w:bookmarkEnd w:id="62"/>
    </w:p>
    <w:p w14:paraId="38EA273B">
      <w:pPr>
        <w:ind w:firstLine="480"/>
        <w:rPr>
          <w:szCs w:val="21"/>
          <w:lang w:eastAsia="zh-Hans"/>
        </w:rPr>
      </w:pPr>
      <w:r>
        <w:rPr>
          <w:rFonts w:hint="eastAsia"/>
          <w:szCs w:val="21"/>
          <w:lang w:eastAsia="zh-Hans"/>
        </w:rPr>
        <w:t>卷烟二维码是在卷烟盒包或者条包赋予的唯一标识，每一盒包和条包上的卷烟二维码遵循“一包一码”原则。烟草行业卷烟二维码统一应用项目对卷烟二维码生命周期进行管理，从卷烟二维码生产计划开始，覆盖卷烟二维码“产码、发码、存码、验码”等过程，主要业务过程描述如下：</w:t>
      </w:r>
    </w:p>
    <w:p w14:paraId="16D48E7F">
      <w:pPr>
        <w:ind w:firstLine="480"/>
        <w:rPr>
          <w:szCs w:val="21"/>
          <w:lang w:eastAsia="zh-Hans"/>
        </w:rPr>
      </w:pPr>
      <w:r>
        <w:rPr>
          <w:rFonts w:hint="eastAsia"/>
          <w:szCs w:val="21"/>
          <w:lang w:eastAsia="zh-Hans"/>
        </w:rPr>
        <w:t>（1）总公司根据卷烟生产计划制定卷烟二维码计划，工业企业在</w:t>
      </w:r>
      <w:r>
        <w:rPr>
          <w:rFonts w:hint="eastAsia"/>
          <w:szCs w:val="21"/>
        </w:rPr>
        <w:t>行业二维码管控平台上</w:t>
      </w:r>
      <w:r>
        <w:rPr>
          <w:rFonts w:hint="eastAsia"/>
          <w:szCs w:val="21"/>
          <w:lang w:eastAsia="zh-Hans"/>
        </w:rPr>
        <w:t>按计划向总公司提报卷烟二维码需求订单，平台根据需求订单产生卷烟二维码码包，码包经加密后下发给工业企业用于</w:t>
      </w:r>
      <w:r>
        <w:rPr>
          <w:rFonts w:hint="eastAsia"/>
          <w:szCs w:val="21"/>
        </w:rPr>
        <w:t>印刷</w:t>
      </w:r>
      <w:r>
        <w:rPr>
          <w:rFonts w:hint="eastAsia"/>
          <w:szCs w:val="21"/>
          <w:lang w:eastAsia="zh-Hans"/>
        </w:rPr>
        <w:t>厂进行</w:t>
      </w:r>
      <w:r>
        <w:rPr>
          <w:rFonts w:hint="eastAsia"/>
          <w:szCs w:val="21"/>
        </w:rPr>
        <w:t>卷烟商标纸赋码生产</w:t>
      </w:r>
      <w:r>
        <w:rPr>
          <w:rFonts w:hint="eastAsia"/>
          <w:szCs w:val="21"/>
          <w:lang w:eastAsia="zh-Hans"/>
        </w:rPr>
        <w:t>，形成卷烟二维码状态“行业发码”。</w:t>
      </w:r>
    </w:p>
    <w:p w14:paraId="33810C52">
      <w:pPr>
        <w:ind w:firstLine="480"/>
        <w:rPr>
          <w:szCs w:val="21"/>
          <w:lang w:eastAsia="zh-Hans"/>
        </w:rPr>
      </w:pPr>
      <w:r>
        <w:rPr>
          <w:rFonts w:hint="eastAsia"/>
          <w:szCs w:val="21"/>
          <w:lang w:eastAsia="zh-Hans"/>
        </w:rPr>
        <w:t>（2）工业企业通过</w:t>
      </w:r>
      <w:r>
        <w:rPr>
          <w:rFonts w:hint="eastAsia"/>
          <w:szCs w:val="21"/>
        </w:rPr>
        <w:t>“盒条件”关联管理系统</w:t>
      </w:r>
      <w:r>
        <w:rPr>
          <w:rFonts w:hint="eastAsia"/>
          <w:szCs w:val="21"/>
          <w:lang w:eastAsia="zh-Hans"/>
        </w:rPr>
        <w:t>在卷烟包装环节建立卷烟小盒二维码、卷烟条盒二维码关联关系（即“盒条”关联），在装封箱环节建立卷烟条盒二维码、件烟码关联关系（即“条件”关联），形成卷烟二维码状态“成品下线”。</w:t>
      </w:r>
    </w:p>
    <w:p w14:paraId="484BBD24">
      <w:pPr>
        <w:ind w:firstLine="480"/>
        <w:rPr>
          <w:szCs w:val="21"/>
          <w:lang w:eastAsia="zh-Hans"/>
        </w:rPr>
      </w:pPr>
      <w:r>
        <w:rPr>
          <w:rFonts w:hint="eastAsia"/>
          <w:szCs w:val="21"/>
          <w:lang w:eastAsia="zh-Hans"/>
        </w:rPr>
        <w:t>（3）工业企业通过行业生产经营决策系统完成件烟扫码出库后，</w:t>
      </w:r>
      <w:r>
        <w:rPr>
          <w:rFonts w:hint="eastAsia"/>
          <w:szCs w:val="21"/>
        </w:rPr>
        <w:t>行业二维码管控平台</w:t>
      </w:r>
      <w:r>
        <w:rPr>
          <w:rFonts w:hint="eastAsia"/>
          <w:szCs w:val="21"/>
          <w:lang w:eastAsia="zh-Hans"/>
        </w:rPr>
        <w:t>、</w:t>
      </w:r>
      <w:r>
        <w:rPr>
          <w:rFonts w:hint="eastAsia"/>
          <w:szCs w:val="21"/>
        </w:rPr>
        <w:t>“盒条件”关联管理系统分别对接</w:t>
      </w:r>
      <w:r>
        <w:rPr>
          <w:rFonts w:hint="eastAsia"/>
          <w:szCs w:val="21"/>
          <w:lang w:eastAsia="zh-Hans"/>
        </w:rPr>
        <w:t>行业生产经营决策系统获取工业件烟出库数据，形成卷烟二维码状态“工业出库”。</w:t>
      </w:r>
    </w:p>
    <w:p w14:paraId="48B8125F">
      <w:pPr>
        <w:ind w:firstLine="480"/>
        <w:rPr>
          <w:szCs w:val="21"/>
          <w:lang w:eastAsia="zh-Hans"/>
        </w:rPr>
      </w:pPr>
      <w:r>
        <w:rPr>
          <w:rFonts w:hint="eastAsia"/>
          <w:szCs w:val="21"/>
          <w:lang w:eastAsia="zh-Hans"/>
        </w:rPr>
        <w:t>（4）商业企业通过行业生产经营决策系统完成件烟扫码入库后，</w:t>
      </w:r>
      <w:r>
        <w:rPr>
          <w:rFonts w:hint="eastAsia"/>
          <w:szCs w:val="21"/>
        </w:rPr>
        <w:t>行业二维码管控平台、“条零”关联管理系统分别对接</w:t>
      </w:r>
      <w:r>
        <w:rPr>
          <w:rFonts w:hint="eastAsia"/>
          <w:szCs w:val="21"/>
          <w:lang w:eastAsia="zh-Hans"/>
        </w:rPr>
        <w:t>行业生产经营决策系统获取商业件烟入库数据，形成卷烟二维码状态“商业入库”。</w:t>
      </w:r>
    </w:p>
    <w:p w14:paraId="279AE66B">
      <w:pPr>
        <w:ind w:firstLine="480"/>
        <w:rPr>
          <w:szCs w:val="21"/>
          <w:lang w:eastAsia="zh-Hans"/>
        </w:rPr>
      </w:pPr>
      <w:r>
        <w:rPr>
          <w:rFonts w:hint="eastAsia"/>
          <w:szCs w:val="21"/>
          <w:lang w:eastAsia="zh-Hans"/>
        </w:rPr>
        <w:t>（5）商业企业通过行业生产经营决策系统在分拣线上完成打码到条后，</w:t>
      </w:r>
      <w:r>
        <w:rPr>
          <w:rFonts w:hint="eastAsia"/>
          <w:szCs w:val="21"/>
        </w:rPr>
        <w:t>“条零”关联管理系统</w:t>
      </w:r>
      <w:r>
        <w:rPr>
          <w:rFonts w:hint="eastAsia"/>
          <w:szCs w:val="21"/>
          <w:lang w:eastAsia="zh-Hans"/>
        </w:rPr>
        <w:t>通过扫描条盒二维码并采集零售户订单数据，建立卷烟条二维码和零售户订单关联关系（即“条零”关联）,形成卷烟二维码状态“商零配送”。</w:t>
      </w:r>
    </w:p>
    <w:p w14:paraId="6EB53560">
      <w:pPr>
        <w:ind w:firstLine="480"/>
        <w:rPr>
          <w:szCs w:val="21"/>
          <w:lang w:eastAsia="zh-Hans"/>
        </w:rPr>
      </w:pPr>
      <w:r>
        <w:rPr>
          <w:rFonts w:hint="eastAsia"/>
          <w:szCs w:val="21"/>
          <w:lang w:eastAsia="zh-Hans"/>
        </w:rPr>
        <w:t>（6）用户扫描卷烟二维码，通过统一入口访问行业二维码管控平台，完成合规性验证，并根据路由设定规则，进入消费者自助服务以及工商企业二维码管理系统。</w:t>
      </w:r>
    </w:p>
    <w:p w14:paraId="3E3813FC">
      <w:pPr>
        <w:jc w:val="center"/>
        <w:rPr>
          <w:rFonts w:eastAsia="仿宋_GB2312"/>
          <w:sz w:val="32"/>
        </w:rPr>
      </w:pPr>
      <w:r>
        <w:rPr>
          <w:rFonts w:eastAsia="仿宋_GB2312"/>
          <w:sz w:val="32"/>
        </w:rPr>
        <w:drawing>
          <wp:inline distT="0" distB="0" distL="114300" distR="114300">
            <wp:extent cx="5254625" cy="2211705"/>
            <wp:effectExtent l="0" t="0" r="3175" b="17145"/>
            <wp:docPr id="19"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图片1"/>
                    <pic:cNvPicPr>
                      <a:picLocks noChangeAspect="1"/>
                    </pic:cNvPicPr>
                  </pic:nvPicPr>
                  <pic:blipFill>
                    <a:blip r:embed="rId10"/>
                    <a:stretch>
                      <a:fillRect/>
                    </a:stretch>
                  </pic:blipFill>
                  <pic:spPr>
                    <a:xfrm>
                      <a:off x="0" y="0"/>
                      <a:ext cx="5254625" cy="2211705"/>
                    </a:xfrm>
                    <a:prstGeom prst="rect">
                      <a:avLst/>
                    </a:prstGeom>
                    <a:noFill/>
                    <a:ln>
                      <a:noFill/>
                    </a:ln>
                  </pic:spPr>
                </pic:pic>
              </a:graphicData>
            </a:graphic>
          </wp:inline>
        </w:drawing>
      </w:r>
    </w:p>
    <w:p w14:paraId="78972FF9">
      <w:pPr>
        <w:ind w:firstLine="442"/>
        <w:jc w:val="center"/>
        <w:rPr>
          <w:rFonts w:eastAsia="仿宋_GB2312"/>
        </w:rPr>
      </w:pPr>
      <w:r>
        <w:rPr>
          <w:rFonts w:eastAsia="仿宋_GB2312"/>
          <w:b/>
          <w:bCs/>
          <w:sz w:val="22"/>
        </w:rPr>
        <w:t>卷烟二维码</w:t>
      </w:r>
      <w:r>
        <w:rPr>
          <w:rFonts w:eastAsia="仿宋_GB2312"/>
          <w:b/>
          <w:bCs/>
          <w:sz w:val="22"/>
          <w:lang w:eastAsia="zh-Hans"/>
        </w:rPr>
        <w:t>主要</w:t>
      </w:r>
      <w:r>
        <w:rPr>
          <w:rFonts w:eastAsia="仿宋_GB2312"/>
          <w:b/>
          <w:bCs/>
          <w:sz w:val="22"/>
        </w:rPr>
        <w:t>业务</w:t>
      </w:r>
      <w:r>
        <w:rPr>
          <w:rFonts w:eastAsia="仿宋_GB2312"/>
          <w:b/>
          <w:bCs/>
          <w:sz w:val="22"/>
          <w:lang w:eastAsia="zh-Hans"/>
        </w:rPr>
        <w:t>描述</w:t>
      </w:r>
      <w:r>
        <w:rPr>
          <w:rFonts w:eastAsia="仿宋_GB2312"/>
          <w:b/>
          <w:bCs/>
          <w:sz w:val="22"/>
        </w:rPr>
        <w:t>图</w:t>
      </w:r>
    </w:p>
    <w:p w14:paraId="4AF0BFA5"/>
    <w:p w14:paraId="6A0D090D">
      <w:pPr>
        <w:pStyle w:val="10"/>
        <w:bidi w:val="0"/>
        <w:rPr>
          <w:rFonts w:hint="eastAsia"/>
          <w:lang w:val="en-US" w:eastAsia="zh-CN"/>
        </w:rPr>
      </w:pPr>
      <w:bookmarkStart w:id="63" w:name="_Toc990864777"/>
      <w:bookmarkStart w:id="64" w:name="_Toc106692486"/>
      <w:bookmarkStart w:id="65" w:name="_Toc1189972893"/>
      <w:bookmarkStart w:id="66" w:name="_Toc12392"/>
      <w:bookmarkStart w:id="67" w:name="_Toc21037"/>
      <w:r>
        <w:rPr>
          <w:rFonts w:hint="eastAsia"/>
          <w:lang w:val="en-US" w:eastAsia="zh-CN"/>
        </w:rPr>
        <w:t>贵州中烟“盒条件”关联项目</w:t>
      </w:r>
      <w:bookmarkEnd w:id="63"/>
      <w:bookmarkEnd w:id="64"/>
      <w:bookmarkEnd w:id="65"/>
    </w:p>
    <w:bookmarkEnd w:id="66"/>
    <w:bookmarkEnd w:id="67"/>
    <w:p w14:paraId="775F310B">
      <w:pPr>
        <w:ind w:firstLine="480" w:firstLineChars="200"/>
        <w:rPr>
          <w:rFonts w:hint="eastAsia" w:hAnsi="宋体"/>
          <w:szCs w:val="24"/>
        </w:rPr>
      </w:pPr>
      <w:r>
        <w:rPr>
          <w:rFonts w:hint="eastAsia" w:hAnsi="宋体"/>
          <w:szCs w:val="24"/>
          <w:lang w:eastAsia="zh-CN"/>
        </w:rPr>
        <w:t>贵州中烟</w:t>
      </w:r>
      <w:r>
        <w:rPr>
          <w:rFonts w:hAnsi="宋体"/>
          <w:szCs w:val="24"/>
        </w:rPr>
        <w:t>在国家局统一领导下，按行业要求</w:t>
      </w:r>
      <w:r>
        <w:rPr>
          <w:rFonts w:hint="eastAsia" w:hAnsi="宋体"/>
          <w:szCs w:val="24"/>
        </w:rPr>
        <w:t>进行</w:t>
      </w:r>
      <w:r>
        <w:rPr>
          <w:rFonts w:hint="eastAsia" w:hAnsi="宋体"/>
          <w:szCs w:val="24"/>
          <w:lang w:eastAsia="zh-CN"/>
        </w:rPr>
        <w:t>贵州中烟</w:t>
      </w:r>
      <w:r>
        <w:rPr>
          <w:rFonts w:hint="eastAsia" w:hAnsi="宋体"/>
          <w:szCs w:val="24"/>
        </w:rPr>
        <w:t>行业卷烟二维码统一应用推广实施项目采购（以下简称“本项目”），开展</w:t>
      </w:r>
      <w:r>
        <w:rPr>
          <w:rFonts w:hAnsi="宋体"/>
          <w:szCs w:val="24"/>
        </w:rPr>
        <w:t>烟草</w:t>
      </w:r>
      <w:r>
        <w:rPr>
          <w:rFonts w:hint="eastAsia" w:hAnsi="宋体"/>
          <w:szCs w:val="24"/>
        </w:rPr>
        <w:t>行业卷烟二维码统一应用项目“盒条件”关联管理系统集成实施工作。</w:t>
      </w:r>
    </w:p>
    <w:p w14:paraId="16FE2967">
      <w:pPr>
        <w:keepNext w:val="0"/>
        <w:keepLines w:val="0"/>
        <w:widowControl/>
        <w:suppressLineNumbers w:val="0"/>
        <w:ind w:firstLine="420" w:firstLineChars="0"/>
        <w:jc w:val="left"/>
      </w:pPr>
      <w:r>
        <w:rPr>
          <w:rFonts w:hint="eastAsia" w:ascii="宋体" w:hAnsi="宋体" w:eastAsia="宋体" w:cs="宋体"/>
          <w:color w:val="000000"/>
          <w:kern w:val="0"/>
          <w:sz w:val="24"/>
          <w:szCs w:val="24"/>
          <w:lang w:val="en-US" w:eastAsia="zh-CN" w:bidi="ar"/>
        </w:rPr>
        <w:t>二维码作为一种便捷、低成本、安全、广泛的物联网接入方式，已经成为烟草行业应用前沿技术提升管理水平、加速产业融合、实现行业高质量发展的重要基础和手段。要及时抓住时机，在产业升级中占据主动，使二维码应用成为行业先进适用的数字化基础。二维码在行业的统一应用事关行业长远发展，意义重大。通过行业卷烟二维码统一应用项目将实现卷烟产、销、商、零进行全周期跟踪，快速掌握行业卷烟实际情况，赋能行业和</w:t>
      </w:r>
      <w:r>
        <w:rPr>
          <w:rFonts w:hint="eastAsia" w:ascii="宋体" w:hAnsi="宋体" w:cs="宋体"/>
          <w:color w:val="000000"/>
          <w:kern w:val="0"/>
          <w:sz w:val="24"/>
          <w:szCs w:val="24"/>
          <w:lang w:val="en-US" w:eastAsia="zh-CN" w:bidi="ar"/>
        </w:rPr>
        <w:t>贵州中烟</w:t>
      </w:r>
      <w:r>
        <w:rPr>
          <w:rFonts w:hint="eastAsia" w:ascii="宋体" w:hAnsi="宋体" w:eastAsia="宋体" w:cs="宋体"/>
          <w:color w:val="000000"/>
          <w:kern w:val="0"/>
          <w:sz w:val="24"/>
          <w:szCs w:val="24"/>
          <w:lang w:val="en-US" w:eastAsia="zh-CN" w:bidi="ar"/>
        </w:rPr>
        <w:t>数字化转型。遵循行业一体化平台建设思路，</w:t>
      </w:r>
      <w:r>
        <w:rPr>
          <w:rFonts w:hint="eastAsia" w:ascii="宋体" w:hAnsi="宋体" w:cs="宋体"/>
          <w:color w:val="000000"/>
          <w:kern w:val="0"/>
          <w:sz w:val="24"/>
          <w:szCs w:val="24"/>
          <w:lang w:val="en-US" w:eastAsia="zh-CN" w:bidi="ar"/>
        </w:rPr>
        <w:t>贵州中烟</w:t>
      </w:r>
      <w:r>
        <w:rPr>
          <w:rFonts w:hint="eastAsia" w:ascii="宋体" w:hAnsi="宋体" w:eastAsia="宋体" w:cs="宋体"/>
          <w:color w:val="000000"/>
          <w:kern w:val="0"/>
          <w:sz w:val="24"/>
          <w:szCs w:val="24"/>
          <w:lang w:val="en-US" w:eastAsia="zh-CN" w:bidi="ar"/>
        </w:rPr>
        <w:t>贯彻烟草行业卷烟二维码统一应用项目建设要求，统筹开展</w:t>
      </w:r>
      <w:r>
        <w:rPr>
          <w:rFonts w:hint="eastAsia" w:ascii="宋体" w:hAnsi="宋体" w:cs="宋体"/>
          <w:color w:val="000000"/>
          <w:kern w:val="0"/>
          <w:sz w:val="24"/>
          <w:szCs w:val="24"/>
          <w:lang w:val="en-US" w:eastAsia="zh-CN" w:bidi="ar"/>
        </w:rPr>
        <w:t>贵州中烟各</w:t>
      </w:r>
      <w:r>
        <w:rPr>
          <w:rFonts w:hint="eastAsia" w:ascii="宋体" w:hAnsi="宋体" w:eastAsia="宋体" w:cs="宋体"/>
          <w:color w:val="000000"/>
          <w:kern w:val="0"/>
          <w:sz w:val="24"/>
          <w:szCs w:val="24"/>
          <w:lang w:val="en-US" w:eastAsia="zh-CN" w:bidi="ar"/>
        </w:rPr>
        <w:t xml:space="preserve">卷烟工厂的推广实施“盒条件”关联管理系统。 </w:t>
      </w:r>
    </w:p>
    <w:p w14:paraId="5EEEA834">
      <w:pPr>
        <w:ind w:firstLine="480" w:firstLineChars="200"/>
        <w:rPr>
          <w:rFonts w:hint="eastAsia" w:hAnsi="宋体" w:eastAsia="宋体"/>
          <w:szCs w:val="24"/>
          <w:lang w:eastAsia="zh-CN"/>
        </w:rPr>
      </w:pPr>
      <w:r>
        <w:rPr>
          <w:rFonts w:hint="eastAsia" w:ascii="宋体" w:hAnsi="宋体"/>
          <w:szCs w:val="21"/>
        </w:rPr>
        <w:t>项目目标是按照《国家烟草专卖局办公室关于开展行业卷烟二维码统一应用项目“盒条件”关联管理系统推广实施工作的通知》（国烟办计〔2022〕197号）要求，在</w:t>
      </w:r>
      <w:r>
        <w:rPr>
          <w:rFonts w:hint="eastAsia" w:ascii="宋体" w:hAnsi="宋体"/>
          <w:szCs w:val="21"/>
          <w:lang w:eastAsia="zh-CN"/>
        </w:rPr>
        <w:t>贵州中烟</w:t>
      </w:r>
      <w:r>
        <w:rPr>
          <w:rFonts w:hint="eastAsia" w:ascii="宋体" w:hAnsi="宋体"/>
          <w:szCs w:val="21"/>
        </w:rPr>
        <w:t>部署和实施“盒条件”关联管理系统，参与国家局卷烟产品生产流通全过程追溯</w:t>
      </w:r>
      <w:r>
        <w:rPr>
          <w:rFonts w:hint="eastAsia" w:ascii="宋体" w:hAnsi="宋体"/>
          <w:szCs w:val="21"/>
          <w:lang w:eastAsia="zh-CN"/>
        </w:rPr>
        <w:t>，</w:t>
      </w:r>
      <w:r>
        <w:rPr>
          <w:rFonts w:hint="eastAsia" w:hAnsi="宋体"/>
          <w:szCs w:val="24"/>
        </w:rPr>
        <w:t>贯通卷烟生产、流通各环节数据，形成卷烟二维码管理体系，支撑</w:t>
      </w:r>
      <w:r>
        <w:rPr>
          <w:rFonts w:hint="eastAsia" w:hAnsi="宋体"/>
          <w:szCs w:val="24"/>
          <w:lang w:eastAsia="zh-CN"/>
        </w:rPr>
        <w:t>贵州中烟</w:t>
      </w:r>
      <w:r>
        <w:rPr>
          <w:rFonts w:hint="eastAsia" w:hAnsi="宋体"/>
          <w:szCs w:val="24"/>
        </w:rPr>
        <w:t>基于卷烟二维码的创新应用，提升生产经营管理的效率和水平。</w:t>
      </w:r>
    </w:p>
    <w:p w14:paraId="446C33F9">
      <w:pPr>
        <w:spacing w:line="360" w:lineRule="auto"/>
        <w:ind w:firstLine="720" w:firstLineChars="300"/>
        <w:rPr>
          <w:rFonts w:ascii="宋体" w:hAnsi="宋体"/>
          <w:szCs w:val="21"/>
        </w:rPr>
      </w:pPr>
      <w:r>
        <w:rPr>
          <w:rFonts w:hint="eastAsia" w:ascii="宋体" w:hAnsi="宋体"/>
          <w:szCs w:val="21"/>
        </w:rPr>
        <w:t>1）在</w:t>
      </w:r>
      <w:r>
        <w:rPr>
          <w:rFonts w:hint="eastAsia" w:ascii="宋体" w:hAnsi="宋体"/>
          <w:color w:val="auto"/>
          <w:szCs w:val="21"/>
        </w:rPr>
        <w:t>所辖</w:t>
      </w:r>
      <w:r>
        <w:rPr>
          <w:rFonts w:hint="eastAsia" w:ascii="宋体" w:hAnsi="宋体"/>
          <w:color w:val="auto"/>
          <w:szCs w:val="21"/>
          <w:lang w:val="en-US" w:eastAsia="zh-CN"/>
        </w:rPr>
        <w:t>各</w:t>
      </w:r>
      <w:r>
        <w:rPr>
          <w:rFonts w:hint="eastAsia" w:ascii="宋体" w:hAnsi="宋体"/>
          <w:color w:val="auto"/>
          <w:szCs w:val="21"/>
        </w:rPr>
        <w:t>家</w:t>
      </w:r>
      <w:r>
        <w:rPr>
          <w:rFonts w:hint="eastAsia" w:ascii="宋体" w:hAnsi="宋体"/>
          <w:szCs w:val="21"/>
        </w:rPr>
        <w:t xml:space="preserve">卷烟厂边侧环境部署行业统一设计开发的“盒条件”关联管理系统，完成与行业卷烟生产经营决策管理系统、行业卷烟二维码管理系统对接，实现“盒条件”关联及相关业务数据上报，并实现对现场管理子系统、移动应用子系统及人工作业单元的管理。 </w:t>
      </w:r>
    </w:p>
    <w:p w14:paraId="480A2A2D">
      <w:pPr>
        <w:spacing w:line="360" w:lineRule="auto"/>
        <w:ind w:firstLine="720" w:firstLineChars="300"/>
        <w:rPr>
          <w:rFonts w:ascii="宋体" w:hAnsi="宋体"/>
          <w:szCs w:val="21"/>
        </w:rPr>
      </w:pPr>
      <w:r>
        <w:rPr>
          <w:rFonts w:hint="eastAsia" w:ascii="宋体" w:hAnsi="宋体"/>
          <w:szCs w:val="21"/>
        </w:rPr>
        <w:t>2）在</w:t>
      </w:r>
      <w:r>
        <w:rPr>
          <w:rFonts w:hint="eastAsia" w:ascii="宋体" w:hAnsi="宋体"/>
          <w:szCs w:val="21"/>
          <w:lang w:val="en-US" w:eastAsia="zh-CN"/>
        </w:rPr>
        <w:t>各</w:t>
      </w:r>
      <w:r>
        <w:rPr>
          <w:rFonts w:hint="eastAsia" w:ascii="宋体" w:hAnsi="宋体"/>
          <w:szCs w:val="21"/>
        </w:rPr>
        <w:t>卷烟厂端侧环境部署“盒条”“条件”关联现场管理子系统，并在包装机、装封箱机等生产设备上集成安装固定读码器、传感器等硬件设备，实现卷烟盒、条二维码与件烟码的在线精准关联，成品率符合生产作业和产品质量相关要求。</w:t>
      </w:r>
    </w:p>
    <w:p w14:paraId="56E959B2">
      <w:pPr>
        <w:spacing w:line="360" w:lineRule="auto"/>
        <w:ind w:firstLine="720" w:firstLineChars="300"/>
        <w:rPr>
          <w:rFonts w:ascii="宋体" w:hAnsi="宋体"/>
          <w:szCs w:val="21"/>
        </w:rPr>
      </w:pPr>
      <w:r>
        <w:rPr>
          <w:rFonts w:hint="eastAsia" w:ascii="宋体" w:hAnsi="宋体"/>
          <w:szCs w:val="21"/>
        </w:rPr>
        <w:t>3）形成企业相关二维码管理、技术以及作业规范。</w:t>
      </w:r>
    </w:p>
    <w:p w14:paraId="0AF54D07">
      <w:pPr>
        <w:spacing w:line="360" w:lineRule="auto"/>
        <w:ind w:firstLine="720" w:firstLineChars="300"/>
        <w:rPr>
          <w:rFonts w:ascii="宋体" w:hAnsi="宋体"/>
          <w:szCs w:val="21"/>
        </w:rPr>
      </w:pPr>
      <w:r>
        <w:rPr>
          <w:rFonts w:ascii="宋体" w:hAnsi="宋体"/>
          <w:szCs w:val="21"/>
        </w:rPr>
        <w:t>4</w:t>
      </w:r>
      <w:r>
        <w:rPr>
          <w:rFonts w:hint="eastAsia" w:ascii="宋体" w:hAnsi="宋体"/>
          <w:szCs w:val="21"/>
        </w:rPr>
        <w:t>）提供</w:t>
      </w:r>
      <w:r>
        <w:rPr>
          <w:rFonts w:ascii="宋体" w:hAnsi="宋体"/>
          <w:szCs w:val="21"/>
        </w:rPr>
        <w:t>实现</w:t>
      </w:r>
      <w:r>
        <w:rPr>
          <w:rFonts w:hint="eastAsia" w:ascii="宋体" w:hAnsi="宋体"/>
          <w:szCs w:val="21"/>
        </w:rPr>
        <w:t xml:space="preserve"> “盒条”“条件”关联所需要工业电控柜、交换机、手持扫码器、人机交互设备、控制器、装封箱机条输入传送带分条装置、装封箱机条输入传送带剔除装置、分拣线分条装置等</w:t>
      </w:r>
      <w:r>
        <w:rPr>
          <w:rFonts w:ascii="宋体" w:hAnsi="宋体"/>
          <w:szCs w:val="21"/>
        </w:rPr>
        <w:t>硬件</w:t>
      </w:r>
      <w:r>
        <w:rPr>
          <w:rFonts w:hint="eastAsia" w:ascii="宋体" w:hAnsi="宋体"/>
          <w:szCs w:val="21"/>
        </w:rPr>
        <w:t>设备</w:t>
      </w:r>
      <w:r>
        <w:rPr>
          <w:rFonts w:ascii="宋体" w:hAnsi="宋体"/>
          <w:szCs w:val="21"/>
        </w:rPr>
        <w:t>。</w:t>
      </w:r>
    </w:p>
    <w:p w14:paraId="7FC09790">
      <w:pPr>
        <w:spacing w:line="360" w:lineRule="auto"/>
        <w:ind w:firstLine="720" w:firstLineChars="300"/>
        <w:rPr>
          <w:rFonts w:ascii="宋体" w:hAnsi="宋体"/>
          <w:szCs w:val="21"/>
        </w:rPr>
      </w:pPr>
      <w:r>
        <w:rPr>
          <w:rFonts w:hint="eastAsia" w:ascii="宋体" w:hAnsi="宋体"/>
          <w:szCs w:val="21"/>
        </w:rPr>
        <w:t>5）负责工控机操作系统安装以及行业工业互联网端侧软件及标识解析端侧软件安装部署、调试、集成实施、培训等工作。</w:t>
      </w:r>
    </w:p>
    <w:p w14:paraId="58A7CAC2">
      <w:pPr>
        <w:ind w:firstLine="480" w:firstLineChars="200"/>
        <w:rPr>
          <w:rFonts w:hint="eastAsia" w:ascii="宋体" w:hAnsi="宋体"/>
          <w:szCs w:val="24"/>
        </w:rPr>
      </w:pPr>
    </w:p>
    <w:p w14:paraId="1883CCA9">
      <w:pPr>
        <w:ind w:firstLine="480" w:firstLineChars="200"/>
        <w:rPr>
          <w:rFonts w:hint="eastAsia" w:ascii="宋体" w:hAnsi="宋体"/>
          <w:szCs w:val="24"/>
        </w:rPr>
      </w:pPr>
      <w:r>
        <w:rPr>
          <w:rFonts w:hint="eastAsia" w:ascii="宋体" w:hAnsi="宋体"/>
          <w:szCs w:val="24"/>
        </w:rPr>
        <w:t>“盒条件”关联系统主要实施内容如下：</w:t>
      </w:r>
    </w:p>
    <w:p w14:paraId="0C806E08">
      <w:pPr>
        <w:ind w:firstLine="480" w:firstLineChars="200"/>
        <w:rPr>
          <w:rFonts w:hint="eastAsia" w:ascii="宋体" w:hAnsi="宋体"/>
          <w:szCs w:val="24"/>
        </w:rPr>
      </w:pPr>
      <w:r>
        <w:rPr>
          <w:rFonts w:hint="eastAsia" w:ascii="宋体" w:hAnsi="宋体"/>
          <w:szCs w:val="24"/>
        </w:rPr>
        <w:t>“盒条件”关联管理系统是卷烟生产数据追溯的基础，系统由国家局统一开发和版本控制，部署在卷烟工厂和生产现场，主要功能是在各个卷烟包装、装封箱等业务环节实现卷烟条、盒二维码和件烟码的准确读取，在生产现场与包装机、装封箱机等设备硬件集成，实现“盒条”“条件”的精准关联和数据的厂级汇聚,在卷烟工厂与行业二维码管理系统直接对接，实现“盒条件”的精准关联和数据上报。主要技术指标包括“盒条”关联准确率、剔除准确率、成品率以及“条件”关联准确率、剔除准确率、成品率，其中“盒条”“条件”关联准确率应达到99.99%，“盒条”“条件”关联成品率符合卷烟厂产品质量控制要求。</w:t>
      </w:r>
    </w:p>
    <w:p w14:paraId="0044E1F9">
      <w:pPr>
        <w:ind w:firstLine="480" w:firstLineChars="200"/>
        <w:rPr>
          <w:rFonts w:hint="eastAsia" w:ascii="宋体" w:hAnsi="宋体"/>
          <w:szCs w:val="24"/>
        </w:rPr>
      </w:pPr>
      <w:r>
        <w:rPr>
          <w:rFonts w:hint="eastAsia" w:ascii="宋体" w:hAnsi="宋体"/>
          <w:szCs w:val="24"/>
        </w:rPr>
        <w:t>系统由“盒条件”关联厂级管理子系统、“盒条”关联现场管理子系统、“条件”关联现场管理子系统、“盒条”关联人工作业单元、“条件”关联人工作业单元、“盒条件”移动作业子系统共6个子系统构成。</w:t>
      </w:r>
    </w:p>
    <w:p w14:paraId="09506A0A">
      <w:pPr>
        <w:ind w:firstLine="480" w:firstLineChars="200"/>
        <w:rPr>
          <w:rFonts w:hint="eastAsia" w:ascii="宋体" w:hAnsi="宋体"/>
          <w:szCs w:val="24"/>
        </w:rPr>
      </w:pPr>
      <w:r>
        <w:rPr>
          <w:rFonts w:hint="eastAsia" w:ascii="宋体" w:hAnsi="宋体"/>
          <w:szCs w:val="24"/>
        </w:rPr>
        <w:t>1.“盒条件”关联厂级管理子系统。“盒条件”关联厂级管理子系统部署在卷烟工厂边缘侧服务器中，系统具有基础配置管理、设备管理、产前准备、数据管理、作业监控、关于系统等功能。系统主要实现对工厂区域内“盒条”“条件”关联现场管理子系统，“盒条”“条件”人工作业单元和“盒条件”移动应用子系统的注册、运维监控，卷烟二维码相关生产任务的编制下发，各子系统关联数据的汇聚上报。</w:t>
      </w:r>
    </w:p>
    <w:p w14:paraId="19820142">
      <w:pPr>
        <w:ind w:firstLine="480" w:firstLineChars="200"/>
        <w:rPr>
          <w:rFonts w:hint="eastAsia" w:ascii="宋体" w:hAnsi="宋体"/>
          <w:szCs w:val="24"/>
        </w:rPr>
      </w:pPr>
      <w:r>
        <w:rPr>
          <w:rFonts w:hint="eastAsia" w:ascii="宋体" w:hAnsi="宋体"/>
          <w:szCs w:val="24"/>
        </w:rPr>
        <w:t>2.“盒条”关联现场管理子系统。“盒条”关联现场管理子系统部署在包装机旁的设备端侧工控机上，通过集成包装机控制系统和在相关工位上安装的固定读码器、传感器等电子设备，实现卷烟盒、条二维码的准确读取、准确剔除和精准关联。主要包括基础配置、“盒条”关联、关联校验、设备管理、作业监控、数据上传、安装调试、关于系统等功能模块。</w:t>
      </w:r>
    </w:p>
    <w:p w14:paraId="4DDD9ADC">
      <w:pPr>
        <w:ind w:firstLine="480" w:firstLineChars="200"/>
        <w:rPr>
          <w:rFonts w:hint="eastAsia" w:ascii="宋体" w:hAnsi="宋体"/>
          <w:szCs w:val="24"/>
        </w:rPr>
      </w:pPr>
      <w:r>
        <w:rPr>
          <w:rFonts w:hint="eastAsia" w:ascii="宋体" w:hAnsi="宋体"/>
          <w:szCs w:val="24"/>
        </w:rPr>
        <w:t>3.“条件”关联现场管理子系统。“条件”关联现场管理子系统部署在装封箱机旁的设备端侧工控机上，通过集成包装机控制系统和在相关工位上安装的固定读码器、传感器等电子设备，实现卷烟条二维码、卷烟件码的准确读取、准确剔除和精准关联。包括基础配置、“条件”关联、关联校验、设备管理、作业监控、数据上传、安装调试、关于系统等功能模块。</w:t>
      </w:r>
    </w:p>
    <w:p w14:paraId="2E718C1C">
      <w:pPr>
        <w:ind w:firstLine="480" w:firstLineChars="200"/>
        <w:rPr>
          <w:rFonts w:hint="eastAsia" w:ascii="宋体" w:hAnsi="宋体"/>
          <w:szCs w:val="24"/>
        </w:rPr>
      </w:pPr>
      <w:r>
        <w:rPr>
          <w:rFonts w:hint="eastAsia" w:ascii="宋体" w:hAnsi="宋体"/>
          <w:szCs w:val="24"/>
        </w:rPr>
        <w:t>4.“盒条”人工作业单元。满足卷烟工厂各类人工关联作业需求；通过“盒条”“条件”人工作业单元的配置组合，建立人工作业线，满足卷烟工厂的手工烟生产需求；适配工厂人工包装、人工装箱、人工捡条等作业场景，通过设置批量扫码或单一扫码，满足人工作业场景下“盒条”“条件”的精准关联。包括基础配置、“盒条”人工关联、关联校验、设备管理、作业监控、数据上传、安装调试、关于系统等功能模块。</w:t>
      </w:r>
    </w:p>
    <w:p w14:paraId="09AC1977">
      <w:pPr>
        <w:ind w:firstLine="480" w:firstLineChars="200"/>
        <w:rPr>
          <w:rFonts w:hint="eastAsia" w:ascii="宋体" w:hAnsi="宋体"/>
          <w:szCs w:val="24"/>
        </w:rPr>
      </w:pPr>
      <w:r>
        <w:rPr>
          <w:rFonts w:hint="eastAsia" w:ascii="宋体" w:hAnsi="宋体"/>
          <w:szCs w:val="24"/>
        </w:rPr>
        <w:t>5.“条件”人工作业单元。满足卷烟工厂各类人工关联作业需求；通过“盒条”“条件”人工作业单元的配置组合，建立人工作业线，满足卷烟工厂的手工烟生产需求；配工厂人工包装、人工装箱、人工捡条等作业场景，通过设置批量扫码或单一扫码，满足人工作业场景下“盒条”“条件”的精准关联。包括基础配置、“条件”人工关联、关联校验、设备管理、作业监控、数据上传、安装调试、关于系统等功能模块。</w:t>
      </w:r>
    </w:p>
    <w:p w14:paraId="1039503A">
      <w:pPr>
        <w:ind w:firstLine="480" w:firstLineChars="200"/>
        <w:rPr>
          <w:rFonts w:ascii="宋体" w:hAnsi="宋体"/>
          <w:szCs w:val="24"/>
        </w:rPr>
      </w:pPr>
      <w:r>
        <w:rPr>
          <w:rFonts w:hint="eastAsia" w:ascii="宋体" w:hAnsi="宋体"/>
          <w:szCs w:val="24"/>
        </w:rPr>
        <w:t>6.“盒条件”移动应用子系统。通过在工业PDA上安装，实现对卷烟工厂质量检查、人工关联维护、异常关联处理等方面业务的支持。包括基础配置、“盒条”作业、“条件”作业、数据上传等功能模块。</w:t>
      </w:r>
    </w:p>
    <w:p w14:paraId="7737EEE3">
      <w:pPr>
        <w:rPr>
          <w:rFonts w:hint="eastAsia" w:ascii="宋体" w:hAnsi="宋体" w:cs="宋体"/>
          <w:szCs w:val="24"/>
          <w:lang w:eastAsia="zh-CN"/>
        </w:rPr>
      </w:pPr>
      <w:r>
        <w:rPr>
          <w:rFonts w:hint="eastAsia" w:ascii="宋体" w:hAnsi="宋体" w:cs="宋体"/>
          <w:szCs w:val="24"/>
          <w:lang w:eastAsia="zh-CN"/>
        </w:rPr>
        <w:br w:type="page"/>
      </w:r>
    </w:p>
    <w:p w14:paraId="66BAF895">
      <w:pPr>
        <w:ind w:left="0" w:leftChars="0" w:firstLine="0" w:firstLineChars="0"/>
        <w:jc w:val="center"/>
        <w:rPr>
          <w:rFonts w:hint="eastAsia" w:ascii="宋体" w:hAnsi="宋体" w:cs="宋体"/>
          <w:szCs w:val="24"/>
          <w:lang w:eastAsia="zh-CN"/>
        </w:rPr>
        <w:sectPr>
          <w:headerReference r:id="rId5" w:type="default"/>
          <w:footerReference r:id="rId6" w:type="default"/>
          <w:pgSz w:w="11906" w:h="16838"/>
          <w:pgMar w:top="1417" w:right="1417" w:bottom="1417" w:left="1417" w:header="851" w:footer="850" w:gutter="0"/>
          <w:pgNumType w:fmt="decimal"/>
          <w:cols w:space="425" w:num="1"/>
          <w:docGrid w:type="lines" w:linePitch="312" w:charSpace="0"/>
        </w:sectPr>
      </w:pPr>
    </w:p>
    <w:p w14:paraId="71A41622">
      <w:pPr>
        <w:ind w:left="0" w:leftChars="0" w:firstLine="0" w:firstLineChars="0"/>
        <w:jc w:val="center"/>
        <w:rPr>
          <w:rFonts w:hint="eastAsia"/>
          <w:b/>
          <w:bCs/>
        </w:rPr>
      </w:pPr>
      <w:r>
        <w:rPr>
          <w:rFonts w:hint="eastAsia" w:ascii="宋体" w:hAnsi="宋体" w:cs="宋体"/>
          <w:b/>
          <w:bCs/>
          <w:szCs w:val="24"/>
          <w:lang w:eastAsia="zh-CN"/>
        </w:rPr>
        <w:t>贵州中烟</w:t>
      </w:r>
      <w:r>
        <w:rPr>
          <w:rFonts w:hint="eastAsia" w:ascii="宋体" w:hAnsi="宋体" w:cs="宋体"/>
          <w:b/>
          <w:bCs/>
          <w:szCs w:val="24"/>
        </w:rPr>
        <w:t>包装机、装封箱机产线设备清单</w:t>
      </w:r>
    </w:p>
    <w:tbl>
      <w:tblPr>
        <w:tblStyle w:val="43"/>
        <w:tblW w:w="5000" w:type="pct"/>
        <w:tblInd w:w="0" w:type="dxa"/>
        <w:tblLayout w:type="autofit"/>
        <w:tblCellMar>
          <w:top w:w="0" w:type="dxa"/>
          <w:left w:w="108" w:type="dxa"/>
          <w:bottom w:w="0" w:type="dxa"/>
          <w:right w:w="108" w:type="dxa"/>
        </w:tblCellMar>
      </w:tblPr>
      <w:tblGrid>
        <w:gridCol w:w="1205"/>
        <w:gridCol w:w="1976"/>
        <w:gridCol w:w="1616"/>
        <w:gridCol w:w="1585"/>
        <w:gridCol w:w="1585"/>
        <w:gridCol w:w="1588"/>
        <w:gridCol w:w="1588"/>
        <w:gridCol w:w="1588"/>
        <w:gridCol w:w="1443"/>
      </w:tblGrid>
      <w:tr w14:paraId="5D51D24A">
        <w:tblPrEx>
          <w:tblCellMar>
            <w:top w:w="0" w:type="dxa"/>
            <w:left w:w="108" w:type="dxa"/>
            <w:bottom w:w="0" w:type="dxa"/>
            <w:right w:w="108" w:type="dxa"/>
          </w:tblCellMar>
        </w:tblPrEx>
        <w:trPr>
          <w:trHeight w:val="510" w:hRule="atLeast"/>
        </w:trPr>
        <w:tc>
          <w:tcPr>
            <w:tcW w:w="42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B7DCBEA">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序号</w:t>
            </w:r>
          </w:p>
        </w:tc>
        <w:tc>
          <w:tcPr>
            <w:tcW w:w="1267" w:type="pct"/>
            <w:gridSpan w:val="2"/>
            <w:vMerge w:val="restart"/>
            <w:tcBorders>
              <w:top w:val="single" w:color="auto" w:sz="4" w:space="0"/>
              <w:left w:val="single" w:color="auto" w:sz="4" w:space="0"/>
              <w:bottom w:val="single" w:color="000000" w:sz="4" w:space="0"/>
              <w:right w:val="single" w:color="000000" w:sz="4" w:space="0"/>
            </w:tcBorders>
            <w:shd w:val="clear" w:color="auto" w:fill="auto"/>
            <w:noWrap/>
            <w:vAlign w:val="center"/>
          </w:tcPr>
          <w:p w14:paraId="178EAC2C">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机型</w:t>
            </w:r>
          </w:p>
        </w:tc>
        <w:tc>
          <w:tcPr>
            <w:tcW w:w="3307" w:type="pct"/>
            <w:gridSpan w:val="6"/>
            <w:tcBorders>
              <w:top w:val="single" w:color="auto" w:sz="4" w:space="0"/>
              <w:left w:val="nil"/>
              <w:bottom w:val="single" w:color="auto" w:sz="4" w:space="0"/>
              <w:right w:val="single" w:color="auto" w:sz="4" w:space="0"/>
            </w:tcBorders>
            <w:shd w:val="clear" w:color="auto" w:fill="auto"/>
            <w:noWrap/>
            <w:vAlign w:val="center"/>
          </w:tcPr>
          <w:p w14:paraId="35961878">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数量</w:t>
            </w:r>
          </w:p>
        </w:tc>
      </w:tr>
      <w:tr w14:paraId="48E30540">
        <w:tblPrEx>
          <w:tblCellMar>
            <w:top w:w="0" w:type="dxa"/>
            <w:left w:w="108" w:type="dxa"/>
            <w:bottom w:w="0" w:type="dxa"/>
            <w:right w:w="108" w:type="dxa"/>
          </w:tblCellMar>
        </w:tblPrEx>
        <w:trPr>
          <w:trHeight w:val="510" w:hRule="atLeast"/>
        </w:trPr>
        <w:tc>
          <w:tcPr>
            <w:tcW w:w="425" w:type="pct"/>
            <w:vMerge w:val="continue"/>
            <w:tcBorders>
              <w:top w:val="single" w:color="auto" w:sz="4" w:space="0"/>
              <w:left w:val="single" w:color="auto" w:sz="4" w:space="0"/>
              <w:bottom w:val="single" w:color="auto" w:sz="4" w:space="0"/>
              <w:right w:val="single" w:color="auto" w:sz="4" w:space="0"/>
            </w:tcBorders>
            <w:vAlign w:val="center"/>
          </w:tcPr>
          <w:p w14:paraId="286BFC33">
            <w:pPr>
              <w:widowControl/>
              <w:jc w:val="center"/>
              <w:rPr>
                <w:rFonts w:hint="eastAsia" w:ascii="宋体" w:hAnsi="宋体" w:eastAsia="宋体" w:cs="宋体"/>
                <w:b/>
                <w:bCs/>
                <w:color w:val="000000"/>
                <w:kern w:val="0"/>
                <w:sz w:val="24"/>
              </w:rPr>
            </w:pPr>
          </w:p>
        </w:tc>
        <w:tc>
          <w:tcPr>
            <w:tcW w:w="1267" w:type="pct"/>
            <w:gridSpan w:val="2"/>
            <w:vMerge w:val="continue"/>
            <w:tcBorders>
              <w:top w:val="single" w:color="auto" w:sz="4" w:space="0"/>
              <w:left w:val="single" w:color="auto" w:sz="4" w:space="0"/>
              <w:bottom w:val="single" w:color="000000" w:sz="4" w:space="0"/>
              <w:right w:val="single" w:color="000000" w:sz="4" w:space="0"/>
            </w:tcBorders>
            <w:vAlign w:val="center"/>
          </w:tcPr>
          <w:p w14:paraId="7C141376">
            <w:pPr>
              <w:widowControl/>
              <w:jc w:val="center"/>
              <w:rPr>
                <w:rFonts w:hint="eastAsia" w:ascii="宋体" w:hAnsi="宋体" w:eastAsia="宋体" w:cs="宋体"/>
                <w:b/>
                <w:bCs/>
                <w:color w:val="000000"/>
                <w:kern w:val="0"/>
                <w:sz w:val="24"/>
              </w:rPr>
            </w:pPr>
          </w:p>
        </w:tc>
        <w:tc>
          <w:tcPr>
            <w:tcW w:w="559" w:type="pct"/>
            <w:tcBorders>
              <w:top w:val="nil"/>
              <w:left w:val="nil"/>
              <w:bottom w:val="single" w:color="auto" w:sz="4" w:space="0"/>
              <w:right w:val="single" w:color="auto" w:sz="4" w:space="0"/>
            </w:tcBorders>
            <w:shd w:val="clear" w:color="auto" w:fill="auto"/>
            <w:noWrap/>
            <w:vAlign w:val="center"/>
          </w:tcPr>
          <w:p w14:paraId="59E2BC7C">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贵阳厂</w:t>
            </w:r>
          </w:p>
        </w:tc>
        <w:tc>
          <w:tcPr>
            <w:tcW w:w="559" w:type="pct"/>
            <w:tcBorders>
              <w:top w:val="nil"/>
              <w:left w:val="nil"/>
              <w:bottom w:val="single" w:color="auto" w:sz="4" w:space="0"/>
              <w:right w:val="single" w:color="auto" w:sz="4" w:space="0"/>
            </w:tcBorders>
            <w:shd w:val="clear" w:color="auto" w:fill="auto"/>
            <w:noWrap/>
            <w:vAlign w:val="center"/>
          </w:tcPr>
          <w:p w14:paraId="333494E0">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遵义厂</w:t>
            </w:r>
          </w:p>
        </w:tc>
        <w:tc>
          <w:tcPr>
            <w:tcW w:w="560" w:type="pct"/>
            <w:tcBorders>
              <w:top w:val="nil"/>
              <w:left w:val="nil"/>
              <w:bottom w:val="single" w:color="auto" w:sz="4" w:space="0"/>
              <w:right w:val="single" w:color="auto" w:sz="4" w:space="0"/>
            </w:tcBorders>
            <w:shd w:val="clear" w:color="auto" w:fill="auto"/>
            <w:noWrap/>
            <w:vAlign w:val="center"/>
          </w:tcPr>
          <w:p w14:paraId="541B152F">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毕节厂</w:t>
            </w:r>
          </w:p>
        </w:tc>
        <w:tc>
          <w:tcPr>
            <w:tcW w:w="560" w:type="pct"/>
            <w:tcBorders>
              <w:top w:val="nil"/>
              <w:left w:val="nil"/>
              <w:bottom w:val="single" w:color="auto" w:sz="4" w:space="0"/>
              <w:right w:val="single" w:color="auto" w:sz="4" w:space="0"/>
            </w:tcBorders>
            <w:shd w:val="clear" w:color="auto" w:fill="auto"/>
            <w:noWrap/>
            <w:vAlign w:val="center"/>
          </w:tcPr>
          <w:p w14:paraId="1E5BBF16">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贵定厂</w:t>
            </w:r>
          </w:p>
        </w:tc>
        <w:tc>
          <w:tcPr>
            <w:tcW w:w="560" w:type="pct"/>
            <w:tcBorders>
              <w:top w:val="nil"/>
              <w:left w:val="nil"/>
              <w:bottom w:val="single" w:color="auto" w:sz="4" w:space="0"/>
              <w:right w:val="single" w:color="auto" w:sz="4" w:space="0"/>
            </w:tcBorders>
            <w:shd w:val="clear" w:color="auto" w:fill="auto"/>
            <w:noWrap/>
            <w:vAlign w:val="center"/>
          </w:tcPr>
          <w:p w14:paraId="539BB4EA">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铜仁厂</w:t>
            </w:r>
          </w:p>
        </w:tc>
        <w:tc>
          <w:tcPr>
            <w:tcW w:w="506" w:type="pct"/>
            <w:tcBorders>
              <w:top w:val="nil"/>
              <w:left w:val="nil"/>
              <w:bottom w:val="single" w:color="auto" w:sz="4" w:space="0"/>
              <w:right w:val="single" w:color="auto" w:sz="4" w:space="0"/>
            </w:tcBorders>
            <w:shd w:val="clear" w:color="auto" w:fill="auto"/>
            <w:noWrap/>
            <w:vAlign w:val="center"/>
          </w:tcPr>
          <w:p w14:paraId="23E337A9">
            <w:pPr>
              <w:widowControl/>
              <w:jc w:val="center"/>
              <w:rPr>
                <w:rFonts w:hint="eastAsia" w:ascii="宋体" w:hAnsi="宋体" w:eastAsia="宋体" w:cs="宋体"/>
                <w:b/>
                <w:bCs/>
                <w:color w:val="000000"/>
                <w:kern w:val="0"/>
                <w:sz w:val="24"/>
              </w:rPr>
            </w:pPr>
            <w:r>
              <w:rPr>
                <w:rFonts w:hint="eastAsia" w:ascii="宋体" w:hAnsi="宋体" w:eastAsia="宋体" w:cs="宋体"/>
                <w:b/>
                <w:bCs/>
                <w:color w:val="000000"/>
                <w:kern w:val="0"/>
                <w:sz w:val="24"/>
              </w:rPr>
              <w:t>合计</w:t>
            </w:r>
          </w:p>
        </w:tc>
      </w:tr>
      <w:tr w14:paraId="7929F2BB">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6B851DA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w:t>
            </w:r>
          </w:p>
        </w:tc>
        <w:tc>
          <w:tcPr>
            <w:tcW w:w="697" w:type="pct"/>
            <w:vMerge w:val="restart"/>
            <w:tcBorders>
              <w:top w:val="nil"/>
              <w:left w:val="single" w:color="auto" w:sz="4" w:space="0"/>
              <w:bottom w:val="single" w:color="000000" w:sz="4" w:space="0"/>
              <w:right w:val="single" w:color="auto" w:sz="4" w:space="0"/>
            </w:tcBorders>
            <w:shd w:val="clear" w:color="auto" w:fill="auto"/>
            <w:noWrap/>
            <w:vAlign w:val="center"/>
          </w:tcPr>
          <w:p w14:paraId="36F11761">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包装机</w:t>
            </w:r>
          </w:p>
        </w:tc>
        <w:tc>
          <w:tcPr>
            <w:tcW w:w="570" w:type="pct"/>
            <w:tcBorders>
              <w:top w:val="nil"/>
              <w:left w:val="nil"/>
              <w:bottom w:val="single" w:color="auto" w:sz="4" w:space="0"/>
              <w:right w:val="single" w:color="auto" w:sz="4" w:space="0"/>
            </w:tcBorders>
            <w:shd w:val="clear" w:color="auto" w:fill="auto"/>
            <w:noWrap/>
            <w:vAlign w:val="center"/>
          </w:tcPr>
          <w:p w14:paraId="69EB16F4">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ZB25</w:t>
            </w:r>
          </w:p>
        </w:tc>
        <w:tc>
          <w:tcPr>
            <w:tcW w:w="559" w:type="pct"/>
            <w:tcBorders>
              <w:top w:val="nil"/>
              <w:left w:val="nil"/>
              <w:bottom w:val="single" w:color="auto" w:sz="4" w:space="0"/>
              <w:right w:val="single" w:color="auto" w:sz="4" w:space="0"/>
            </w:tcBorders>
            <w:shd w:val="clear" w:color="auto" w:fill="auto"/>
            <w:noWrap/>
            <w:vAlign w:val="center"/>
          </w:tcPr>
          <w:p w14:paraId="257E3AE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c>
          <w:tcPr>
            <w:tcW w:w="559" w:type="pct"/>
            <w:tcBorders>
              <w:top w:val="nil"/>
              <w:left w:val="nil"/>
              <w:bottom w:val="single" w:color="auto" w:sz="4" w:space="0"/>
              <w:right w:val="single" w:color="auto" w:sz="4" w:space="0"/>
            </w:tcBorders>
            <w:shd w:val="clear" w:color="auto" w:fill="auto"/>
            <w:noWrap/>
            <w:vAlign w:val="center"/>
          </w:tcPr>
          <w:p w14:paraId="31E02F69">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011FDE6C">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47764B01">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3923A82A">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6C74F31D">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r>
      <w:tr w14:paraId="024DCA00">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1E36B760">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c>
          <w:tcPr>
            <w:tcW w:w="697" w:type="pct"/>
            <w:vMerge w:val="continue"/>
            <w:tcBorders>
              <w:top w:val="nil"/>
              <w:left w:val="single" w:color="auto" w:sz="4" w:space="0"/>
              <w:bottom w:val="single" w:color="000000" w:sz="4" w:space="0"/>
              <w:right w:val="single" w:color="auto" w:sz="4" w:space="0"/>
            </w:tcBorders>
            <w:vAlign w:val="center"/>
          </w:tcPr>
          <w:p w14:paraId="2ACDE350">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0D8C3C36">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GDX1</w:t>
            </w:r>
          </w:p>
        </w:tc>
        <w:tc>
          <w:tcPr>
            <w:tcW w:w="559" w:type="pct"/>
            <w:tcBorders>
              <w:top w:val="nil"/>
              <w:left w:val="nil"/>
              <w:bottom w:val="single" w:color="auto" w:sz="4" w:space="0"/>
              <w:right w:val="single" w:color="auto" w:sz="4" w:space="0"/>
            </w:tcBorders>
            <w:shd w:val="clear" w:color="auto" w:fill="auto"/>
            <w:noWrap/>
            <w:vAlign w:val="center"/>
          </w:tcPr>
          <w:p w14:paraId="5823DDD2">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59" w:type="pct"/>
            <w:tcBorders>
              <w:top w:val="nil"/>
              <w:left w:val="nil"/>
              <w:bottom w:val="single" w:color="auto" w:sz="4" w:space="0"/>
              <w:right w:val="single" w:color="auto" w:sz="4" w:space="0"/>
            </w:tcBorders>
            <w:shd w:val="clear" w:color="auto" w:fill="auto"/>
            <w:noWrap/>
            <w:vAlign w:val="center"/>
          </w:tcPr>
          <w:p w14:paraId="713617CC">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45377627">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4</w:t>
            </w:r>
          </w:p>
        </w:tc>
        <w:tc>
          <w:tcPr>
            <w:tcW w:w="560" w:type="pct"/>
            <w:tcBorders>
              <w:top w:val="nil"/>
              <w:left w:val="nil"/>
              <w:bottom w:val="single" w:color="auto" w:sz="4" w:space="0"/>
              <w:right w:val="single" w:color="auto" w:sz="4" w:space="0"/>
            </w:tcBorders>
            <w:shd w:val="clear" w:color="auto" w:fill="auto"/>
            <w:noWrap/>
            <w:vAlign w:val="center"/>
          </w:tcPr>
          <w:p w14:paraId="169BAD9F">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6043313F">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0E24FF7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4</w:t>
            </w:r>
          </w:p>
        </w:tc>
      </w:tr>
      <w:tr w14:paraId="325A9249">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62A5E9D3">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3</w:t>
            </w:r>
          </w:p>
        </w:tc>
        <w:tc>
          <w:tcPr>
            <w:tcW w:w="697" w:type="pct"/>
            <w:vMerge w:val="continue"/>
            <w:tcBorders>
              <w:top w:val="nil"/>
              <w:left w:val="single" w:color="auto" w:sz="4" w:space="0"/>
              <w:bottom w:val="single" w:color="000000" w:sz="4" w:space="0"/>
              <w:right w:val="single" w:color="auto" w:sz="4" w:space="0"/>
            </w:tcBorders>
            <w:vAlign w:val="center"/>
          </w:tcPr>
          <w:p w14:paraId="202D59ED">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72FDFC54">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ZB45</w:t>
            </w:r>
          </w:p>
        </w:tc>
        <w:tc>
          <w:tcPr>
            <w:tcW w:w="559" w:type="pct"/>
            <w:tcBorders>
              <w:top w:val="nil"/>
              <w:left w:val="nil"/>
              <w:bottom w:val="single" w:color="auto" w:sz="4" w:space="0"/>
              <w:right w:val="single" w:color="auto" w:sz="4" w:space="0"/>
            </w:tcBorders>
            <w:shd w:val="clear" w:color="auto" w:fill="auto"/>
            <w:noWrap/>
            <w:vAlign w:val="center"/>
          </w:tcPr>
          <w:p w14:paraId="04034D27">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25</w:t>
            </w:r>
          </w:p>
        </w:tc>
        <w:tc>
          <w:tcPr>
            <w:tcW w:w="559" w:type="pct"/>
            <w:tcBorders>
              <w:top w:val="nil"/>
              <w:left w:val="nil"/>
              <w:bottom w:val="single" w:color="auto" w:sz="4" w:space="0"/>
              <w:right w:val="single" w:color="auto" w:sz="4" w:space="0"/>
            </w:tcBorders>
            <w:shd w:val="clear" w:color="auto" w:fill="auto"/>
            <w:noWrap/>
            <w:vAlign w:val="center"/>
          </w:tcPr>
          <w:p w14:paraId="3E9ECB91">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19</w:t>
            </w:r>
          </w:p>
        </w:tc>
        <w:tc>
          <w:tcPr>
            <w:tcW w:w="560" w:type="pct"/>
            <w:tcBorders>
              <w:top w:val="nil"/>
              <w:left w:val="nil"/>
              <w:bottom w:val="single" w:color="auto" w:sz="4" w:space="0"/>
              <w:right w:val="single" w:color="auto" w:sz="4" w:space="0"/>
            </w:tcBorders>
            <w:shd w:val="clear" w:color="auto" w:fill="auto"/>
            <w:noWrap/>
            <w:vAlign w:val="center"/>
          </w:tcPr>
          <w:p w14:paraId="5BC7322D">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7</w:t>
            </w:r>
          </w:p>
        </w:tc>
        <w:tc>
          <w:tcPr>
            <w:tcW w:w="560" w:type="pct"/>
            <w:tcBorders>
              <w:top w:val="nil"/>
              <w:left w:val="nil"/>
              <w:bottom w:val="single" w:color="auto" w:sz="4" w:space="0"/>
              <w:right w:val="single" w:color="auto" w:sz="4" w:space="0"/>
            </w:tcBorders>
            <w:shd w:val="clear" w:color="auto" w:fill="auto"/>
            <w:noWrap/>
            <w:vAlign w:val="center"/>
          </w:tcPr>
          <w:p w14:paraId="073C7ACE">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9</w:t>
            </w:r>
          </w:p>
        </w:tc>
        <w:tc>
          <w:tcPr>
            <w:tcW w:w="560" w:type="pct"/>
            <w:tcBorders>
              <w:top w:val="nil"/>
              <w:left w:val="nil"/>
              <w:bottom w:val="single" w:color="auto" w:sz="4" w:space="0"/>
              <w:right w:val="single" w:color="auto" w:sz="4" w:space="0"/>
            </w:tcBorders>
            <w:shd w:val="clear" w:color="auto" w:fill="auto"/>
            <w:noWrap/>
            <w:vAlign w:val="center"/>
          </w:tcPr>
          <w:p w14:paraId="60511884">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6</w:t>
            </w:r>
          </w:p>
        </w:tc>
        <w:tc>
          <w:tcPr>
            <w:tcW w:w="506" w:type="pct"/>
            <w:tcBorders>
              <w:top w:val="nil"/>
              <w:left w:val="nil"/>
              <w:bottom w:val="single" w:color="auto" w:sz="4" w:space="0"/>
              <w:right w:val="single" w:color="auto" w:sz="4" w:space="0"/>
            </w:tcBorders>
            <w:shd w:val="clear" w:color="auto" w:fill="auto"/>
            <w:noWrap/>
            <w:vAlign w:val="center"/>
          </w:tcPr>
          <w:p w14:paraId="4E1458C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69</w:t>
            </w:r>
          </w:p>
        </w:tc>
      </w:tr>
      <w:tr w14:paraId="36389FAB">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062F7D7D">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4</w:t>
            </w:r>
          </w:p>
        </w:tc>
        <w:tc>
          <w:tcPr>
            <w:tcW w:w="697" w:type="pct"/>
            <w:vMerge w:val="continue"/>
            <w:tcBorders>
              <w:top w:val="nil"/>
              <w:left w:val="single" w:color="auto" w:sz="4" w:space="0"/>
              <w:bottom w:val="single" w:color="000000" w:sz="4" w:space="0"/>
              <w:right w:val="single" w:color="auto" w:sz="4" w:space="0"/>
            </w:tcBorders>
            <w:vAlign w:val="center"/>
          </w:tcPr>
          <w:p w14:paraId="3B4B0E82">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357F46FB">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GDX2</w:t>
            </w:r>
          </w:p>
        </w:tc>
        <w:tc>
          <w:tcPr>
            <w:tcW w:w="559" w:type="pct"/>
            <w:tcBorders>
              <w:top w:val="nil"/>
              <w:left w:val="nil"/>
              <w:bottom w:val="single" w:color="auto" w:sz="4" w:space="0"/>
              <w:right w:val="single" w:color="auto" w:sz="4" w:space="0"/>
            </w:tcBorders>
            <w:shd w:val="clear" w:color="auto" w:fill="auto"/>
            <w:noWrap/>
            <w:vAlign w:val="center"/>
          </w:tcPr>
          <w:p w14:paraId="5986566E">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59" w:type="pct"/>
            <w:tcBorders>
              <w:top w:val="nil"/>
              <w:left w:val="nil"/>
              <w:bottom w:val="single" w:color="auto" w:sz="4" w:space="0"/>
              <w:right w:val="single" w:color="auto" w:sz="4" w:space="0"/>
            </w:tcBorders>
            <w:shd w:val="clear" w:color="auto" w:fill="auto"/>
            <w:noWrap/>
            <w:vAlign w:val="center"/>
          </w:tcPr>
          <w:p w14:paraId="3471E4D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w:t>
            </w:r>
          </w:p>
        </w:tc>
        <w:tc>
          <w:tcPr>
            <w:tcW w:w="560" w:type="pct"/>
            <w:tcBorders>
              <w:top w:val="nil"/>
              <w:left w:val="nil"/>
              <w:bottom w:val="single" w:color="auto" w:sz="4" w:space="0"/>
              <w:right w:val="single" w:color="auto" w:sz="4" w:space="0"/>
            </w:tcBorders>
            <w:shd w:val="clear" w:color="auto" w:fill="auto"/>
            <w:noWrap/>
            <w:vAlign w:val="center"/>
          </w:tcPr>
          <w:p w14:paraId="1B203B6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c>
          <w:tcPr>
            <w:tcW w:w="560" w:type="pct"/>
            <w:tcBorders>
              <w:top w:val="nil"/>
              <w:left w:val="nil"/>
              <w:bottom w:val="single" w:color="auto" w:sz="4" w:space="0"/>
              <w:right w:val="single" w:color="auto" w:sz="4" w:space="0"/>
            </w:tcBorders>
            <w:shd w:val="clear" w:color="auto" w:fill="auto"/>
            <w:noWrap/>
            <w:vAlign w:val="center"/>
          </w:tcPr>
          <w:p w14:paraId="7A958CDA">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341ECDD7">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49A17896">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r>
      <w:tr w14:paraId="5081DE1D">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7FF7E473">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5</w:t>
            </w:r>
          </w:p>
        </w:tc>
        <w:tc>
          <w:tcPr>
            <w:tcW w:w="697" w:type="pct"/>
            <w:vMerge w:val="continue"/>
            <w:tcBorders>
              <w:top w:val="nil"/>
              <w:left w:val="single" w:color="auto" w:sz="4" w:space="0"/>
              <w:bottom w:val="single" w:color="000000" w:sz="4" w:space="0"/>
              <w:right w:val="single" w:color="auto" w:sz="4" w:space="0"/>
            </w:tcBorders>
            <w:vAlign w:val="center"/>
          </w:tcPr>
          <w:p w14:paraId="1C72A11A">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33BC3E00">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ZB47</w:t>
            </w:r>
          </w:p>
        </w:tc>
        <w:tc>
          <w:tcPr>
            <w:tcW w:w="559" w:type="pct"/>
            <w:tcBorders>
              <w:top w:val="nil"/>
              <w:left w:val="nil"/>
              <w:bottom w:val="single" w:color="auto" w:sz="4" w:space="0"/>
              <w:right w:val="single" w:color="auto" w:sz="4" w:space="0"/>
            </w:tcBorders>
            <w:shd w:val="clear" w:color="auto" w:fill="auto"/>
            <w:noWrap/>
            <w:vAlign w:val="center"/>
          </w:tcPr>
          <w:p w14:paraId="6C86044C">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4</w:t>
            </w:r>
          </w:p>
        </w:tc>
        <w:tc>
          <w:tcPr>
            <w:tcW w:w="559" w:type="pct"/>
            <w:tcBorders>
              <w:top w:val="nil"/>
              <w:left w:val="nil"/>
              <w:bottom w:val="single" w:color="auto" w:sz="4" w:space="0"/>
              <w:right w:val="single" w:color="auto" w:sz="4" w:space="0"/>
            </w:tcBorders>
            <w:shd w:val="clear" w:color="auto" w:fill="auto"/>
            <w:noWrap/>
            <w:vAlign w:val="center"/>
          </w:tcPr>
          <w:p w14:paraId="13E34008">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515F224F">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3E617C62">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15461FD1">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6765E6C6">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4</w:t>
            </w:r>
          </w:p>
        </w:tc>
      </w:tr>
      <w:tr w14:paraId="6A50C5FB">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0C5B79CB">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6</w:t>
            </w:r>
          </w:p>
        </w:tc>
        <w:tc>
          <w:tcPr>
            <w:tcW w:w="697" w:type="pct"/>
            <w:vMerge w:val="continue"/>
            <w:tcBorders>
              <w:top w:val="nil"/>
              <w:left w:val="single" w:color="auto" w:sz="4" w:space="0"/>
              <w:bottom w:val="single" w:color="000000" w:sz="4" w:space="0"/>
              <w:right w:val="single" w:color="auto" w:sz="4" w:space="0"/>
            </w:tcBorders>
            <w:vAlign w:val="center"/>
          </w:tcPr>
          <w:p w14:paraId="51D0FE00">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0F69AE28">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ZB416</w:t>
            </w:r>
          </w:p>
        </w:tc>
        <w:tc>
          <w:tcPr>
            <w:tcW w:w="559" w:type="pct"/>
            <w:tcBorders>
              <w:top w:val="nil"/>
              <w:left w:val="nil"/>
              <w:bottom w:val="single" w:color="auto" w:sz="4" w:space="0"/>
              <w:right w:val="single" w:color="auto" w:sz="4" w:space="0"/>
            </w:tcBorders>
            <w:shd w:val="clear" w:color="auto" w:fill="auto"/>
            <w:noWrap/>
            <w:vAlign w:val="center"/>
          </w:tcPr>
          <w:p w14:paraId="78CD75DA">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559" w:type="pct"/>
            <w:tcBorders>
              <w:top w:val="nil"/>
              <w:left w:val="nil"/>
              <w:bottom w:val="single" w:color="auto" w:sz="4" w:space="0"/>
              <w:right w:val="single" w:color="auto" w:sz="4" w:space="0"/>
            </w:tcBorders>
            <w:shd w:val="clear" w:color="auto" w:fill="auto"/>
            <w:noWrap/>
            <w:vAlign w:val="center"/>
          </w:tcPr>
          <w:p w14:paraId="5C937CE7">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582FDCA3">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560" w:type="pct"/>
            <w:tcBorders>
              <w:top w:val="nil"/>
              <w:left w:val="nil"/>
              <w:bottom w:val="single" w:color="auto" w:sz="4" w:space="0"/>
              <w:right w:val="single" w:color="auto" w:sz="4" w:space="0"/>
            </w:tcBorders>
            <w:shd w:val="clear" w:color="auto" w:fill="auto"/>
            <w:noWrap/>
            <w:vAlign w:val="center"/>
          </w:tcPr>
          <w:p w14:paraId="699DFE0A">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08387743">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41973010">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4</w:t>
            </w:r>
          </w:p>
        </w:tc>
      </w:tr>
      <w:tr w14:paraId="7137AADF">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23139D4C">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7</w:t>
            </w:r>
          </w:p>
        </w:tc>
        <w:tc>
          <w:tcPr>
            <w:tcW w:w="697" w:type="pct"/>
            <w:vMerge w:val="continue"/>
            <w:tcBorders>
              <w:top w:val="nil"/>
              <w:left w:val="single" w:color="auto" w:sz="4" w:space="0"/>
              <w:bottom w:val="single" w:color="000000" w:sz="4" w:space="0"/>
              <w:right w:val="single" w:color="auto" w:sz="4" w:space="0"/>
            </w:tcBorders>
            <w:vAlign w:val="center"/>
          </w:tcPr>
          <w:p w14:paraId="26367268">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745AD4C4">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GDX6</w:t>
            </w:r>
          </w:p>
        </w:tc>
        <w:tc>
          <w:tcPr>
            <w:tcW w:w="559" w:type="pct"/>
            <w:tcBorders>
              <w:top w:val="nil"/>
              <w:left w:val="nil"/>
              <w:bottom w:val="single" w:color="auto" w:sz="4" w:space="0"/>
              <w:right w:val="single" w:color="auto" w:sz="4" w:space="0"/>
            </w:tcBorders>
            <w:shd w:val="clear" w:color="auto" w:fill="auto"/>
            <w:noWrap/>
            <w:vAlign w:val="center"/>
          </w:tcPr>
          <w:p w14:paraId="3D9B24FA">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559" w:type="pct"/>
            <w:tcBorders>
              <w:top w:val="nil"/>
              <w:left w:val="nil"/>
              <w:bottom w:val="single" w:color="auto" w:sz="4" w:space="0"/>
              <w:right w:val="single" w:color="auto" w:sz="4" w:space="0"/>
            </w:tcBorders>
            <w:shd w:val="clear" w:color="auto" w:fill="auto"/>
            <w:noWrap/>
            <w:vAlign w:val="center"/>
          </w:tcPr>
          <w:p w14:paraId="2957266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0A5525D1">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7532D7FE">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4EC27739">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60D5DA8A">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r>
      <w:tr w14:paraId="3E9BF9AF">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506B1D1A">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8</w:t>
            </w:r>
          </w:p>
        </w:tc>
        <w:tc>
          <w:tcPr>
            <w:tcW w:w="697" w:type="pct"/>
            <w:vMerge w:val="continue"/>
            <w:tcBorders>
              <w:top w:val="nil"/>
              <w:left w:val="single" w:color="auto" w:sz="4" w:space="0"/>
              <w:bottom w:val="single" w:color="000000" w:sz="4" w:space="0"/>
              <w:right w:val="single" w:color="auto" w:sz="4" w:space="0"/>
            </w:tcBorders>
            <w:vAlign w:val="center"/>
          </w:tcPr>
          <w:p w14:paraId="6F7CD850">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auto" w:fill="auto"/>
            <w:noWrap/>
            <w:vAlign w:val="center"/>
          </w:tcPr>
          <w:p w14:paraId="7442413C">
            <w:pPr>
              <w:widowControl/>
              <w:jc w:val="center"/>
              <w:rPr>
                <w:rFonts w:hint="eastAsia" w:ascii="宋体" w:hAnsi="宋体" w:eastAsia="宋体" w:cs="宋体"/>
                <w:color w:val="auto"/>
                <w:kern w:val="0"/>
                <w:sz w:val="24"/>
                <w:szCs w:val="28"/>
              </w:rPr>
            </w:pPr>
            <w:r>
              <w:rPr>
                <w:rFonts w:hint="eastAsia" w:ascii="宋体" w:hAnsi="宋体" w:eastAsia="宋体" w:cs="宋体"/>
                <w:color w:val="auto"/>
                <w:kern w:val="0"/>
                <w:sz w:val="24"/>
                <w:szCs w:val="28"/>
              </w:rPr>
              <w:t>B1</w:t>
            </w:r>
          </w:p>
        </w:tc>
        <w:tc>
          <w:tcPr>
            <w:tcW w:w="559" w:type="pct"/>
            <w:tcBorders>
              <w:top w:val="nil"/>
              <w:left w:val="nil"/>
              <w:bottom w:val="single" w:color="auto" w:sz="4" w:space="0"/>
              <w:right w:val="single" w:color="auto" w:sz="4" w:space="0"/>
            </w:tcBorders>
            <w:shd w:val="clear" w:color="auto" w:fill="auto"/>
            <w:noWrap/>
            <w:vAlign w:val="center"/>
          </w:tcPr>
          <w:p w14:paraId="241DB64E">
            <w:pPr>
              <w:widowControl/>
              <w:jc w:val="center"/>
              <w:rPr>
                <w:rFonts w:hint="eastAsia" w:ascii="宋体" w:hAnsi="宋体" w:eastAsia="宋体" w:cs="宋体"/>
                <w:color w:val="auto"/>
                <w:kern w:val="0"/>
                <w:sz w:val="24"/>
                <w:szCs w:val="28"/>
              </w:rPr>
            </w:pPr>
            <w:r>
              <w:rPr>
                <w:rFonts w:hint="eastAsia" w:ascii="宋体" w:hAnsi="宋体" w:eastAsia="宋体" w:cs="宋体"/>
                <w:color w:val="auto"/>
                <w:kern w:val="0"/>
                <w:sz w:val="24"/>
                <w:szCs w:val="28"/>
              </w:rPr>
              <w:t>0</w:t>
            </w:r>
          </w:p>
        </w:tc>
        <w:tc>
          <w:tcPr>
            <w:tcW w:w="559" w:type="pct"/>
            <w:tcBorders>
              <w:top w:val="nil"/>
              <w:left w:val="nil"/>
              <w:bottom w:val="single" w:color="auto" w:sz="4" w:space="0"/>
              <w:right w:val="single" w:color="auto" w:sz="4" w:space="0"/>
            </w:tcBorders>
            <w:shd w:val="clear" w:color="auto" w:fill="auto"/>
            <w:noWrap/>
            <w:vAlign w:val="center"/>
          </w:tcPr>
          <w:p w14:paraId="20196FBE">
            <w:pPr>
              <w:widowControl/>
              <w:jc w:val="center"/>
              <w:rPr>
                <w:rFonts w:hint="eastAsia" w:ascii="宋体" w:hAnsi="宋体" w:eastAsia="宋体" w:cs="宋体"/>
                <w:color w:val="auto"/>
                <w:kern w:val="0"/>
                <w:sz w:val="24"/>
                <w:szCs w:val="28"/>
              </w:rPr>
            </w:pPr>
            <w:r>
              <w:rPr>
                <w:rFonts w:hint="eastAsia" w:ascii="宋体" w:hAnsi="宋体" w:eastAsia="宋体" w:cs="宋体"/>
                <w:color w:val="auto"/>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3E54663C">
            <w:pPr>
              <w:widowControl/>
              <w:jc w:val="center"/>
              <w:rPr>
                <w:rFonts w:hint="eastAsia" w:ascii="宋体" w:hAnsi="宋体" w:eastAsia="宋体" w:cs="宋体"/>
                <w:color w:val="auto"/>
                <w:kern w:val="0"/>
                <w:sz w:val="24"/>
                <w:szCs w:val="28"/>
              </w:rPr>
            </w:pPr>
            <w:r>
              <w:rPr>
                <w:rFonts w:hint="eastAsia" w:ascii="宋体" w:hAnsi="宋体" w:eastAsia="宋体" w:cs="宋体"/>
                <w:color w:val="auto"/>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6186E25C">
            <w:pPr>
              <w:widowControl/>
              <w:jc w:val="center"/>
              <w:rPr>
                <w:rFonts w:hint="eastAsia" w:ascii="宋体" w:hAnsi="宋体" w:eastAsia="宋体" w:cs="宋体"/>
                <w:color w:val="auto"/>
                <w:kern w:val="0"/>
                <w:sz w:val="24"/>
                <w:szCs w:val="28"/>
              </w:rPr>
            </w:pPr>
            <w:r>
              <w:rPr>
                <w:rFonts w:hint="eastAsia" w:ascii="宋体" w:hAnsi="宋体" w:eastAsia="宋体" w:cs="宋体"/>
                <w:color w:val="auto"/>
                <w:kern w:val="0"/>
                <w:sz w:val="24"/>
                <w:szCs w:val="28"/>
              </w:rPr>
              <w:t>2</w:t>
            </w:r>
          </w:p>
        </w:tc>
        <w:tc>
          <w:tcPr>
            <w:tcW w:w="560" w:type="pct"/>
            <w:tcBorders>
              <w:top w:val="nil"/>
              <w:left w:val="nil"/>
              <w:bottom w:val="single" w:color="auto" w:sz="4" w:space="0"/>
              <w:right w:val="single" w:color="auto" w:sz="4" w:space="0"/>
            </w:tcBorders>
            <w:shd w:val="clear" w:color="auto" w:fill="auto"/>
            <w:noWrap/>
            <w:vAlign w:val="center"/>
          </w:tcPr>
          <w:p w14:paraId="471D10FA">
            <w:pPr>
              <w:widowControl/>
              <w:jc w:val="center"/>
              <w:rPr>
                <w:rFonts w:hint="eastAsia" w:ascii="宋体" w:hAnsi="宋体" w:eastAsia="宋体" w:cs="宋体"/>
                <w:color w:val="auto"/>
                <w:kern w:val="0"/>
                <w:sz w:val="24"/>
                <w:szCs w:val="28"/>
              </w:rPr>
            </w:pPr>
            <w:r>
              <w:rPr>
                <w:rFonts w:hint="eastAsia" w:ascii="宋体" w:hAnsi="宋体" w:eastAsia="宋体" w:cs="宋体"/>
                <w:color w:val="auto"/>
                <w:kern w:val="0"/>
                <w:sz w:val="24"/>
                <w:szCs w:val="28"/>
              </w:rPr>
              <w:t>1</w:t>
            </w:r>
          </w:p>
        </w:tc>
        <w:tc>
          <w:tcPr>
            <w:tcW w:w="506" w:type="pct"/>
            <w:tcBorders>
              <w:top w:val="nil"/>
              <w:left w:val="nil"/>
              <w:bottom w:val="single" w:color="auto" w:sz="4" w:space="0"/>
              <w:right w:val="single" w:color="auto" w:sz="4" w:space="0"/>
            </w:tcBorders>
            <w:shd w:val="clear" w:color="auto" w:fill="auto"/>
            <w:noWrap/>
            <w:vAlign w:val="center"/>
          </w:tcPr>
          <w:p w14:paraId="3D7D4995">
            <w:pPr>
              <w:widowControl/>
              <w:jc w:val="center"/>
              <w:rPr>
                <w:rFonts w:hint="eastAsia" w:ascii="宋体" w:hAnsi="宋体" w:eastAsia="宋体" w:cs="宋体"/>
                <w:bCs/>
                <w:color w:val="auto"/>
                <w:kern w:val="0"/>
                <w:sz w:val="24"/>
                <w:szCs w:val="28"/>
              </w:rPr>
            </w:pPr>
            <w:r>
              <w:rPr>
                <w:rFonts w:hint="eastAsia" w:ascii="宋体" w:hAnsi="宋体" w:eastAsia="宋体" w:cs="宋体"/>
                <w:bCs/>
                <w:color w:val="auto"/>
                <w:kern w:val="0"/>
                <w:sz w:val="24"/>
                <w:szCs w:val="28"/>
              </w:rPr>
              <w:t>3</w:t>
            </w:r>
          </w:p>
        </w:tc>
      </w:tr>
      <w:tr w14:paraId="40782887">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39F6FB8D">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9</w:t>
            </w:r>
          </w:p>
        </w:tc>
        <w:tc>
          <w:tcPr>
            <w:tcW w:w="697" w:type="pct"/>
            <w:vMerge w:val="restart"/>
            <w:tcBorders>
              <w:top w:val="nil"/>
              <w:left w:val="single" w:color="auto" w:sz="4" w:space="0"/>
              <w:bottom w:val="single" w:color="000000" w:sz="4" w:space="0"/>
              <w:right w:val="single" w:color="auto" w:sz="4" w:space="0"/>
            </w:tcBorders>
            <w:shd w:val="clear" w:color="auto" w:fill="auto"/>
            <w:noWrap/>
            <w:vAlign w:val="center"/>
          </w:tcPr>
          <w:p w14:paraId="731DBE35">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装封箱机</w:t>
            </w:r>
          </w:p>
        </w:tc>
        <w:tc>
          <w:tcPr>
            <w:tcW w:w="570" w:type="pct"/>
            <w:tcBorders>
              <w:top w:val="nil"/>
              <w:left w:val="nil"/>
              <w:bottom w:val="single" w:color="auto" w:sz="4" w:space="0"/>
              <w:right w:val="single" w:color="auto" w:sz="4" w:space="0"/>
            </w:tcBorders>
            <w:shd w:val="clear" w:color="000000" w:fill="FFFFFF"/>
            <w:noWrap/>
            <w:vAlign w:val="center"/>
          </w:tcPr>
          <w:p w14:paraId="51404D7C">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YP11</w:t>
            </w:r>
          </w:p>
        </w:tc>
        <w:tc>
          <w:tcPr>
            <w:tcW w:w="559" w:type="pct"/>
            <w:tcBorders>
              <w:top w:val="nil"/>
              <w:left w:val="nil"/>
              <w:bottom w:val="single" w:color="auto" w:sz="4" w:space="0"/>
              <w:right w:val="single" w:color="auto" w:sz="4" w:space="0"/>
            </w:tcBorders>
            <w:shd w:val="clear" w:color="auto" w:fill="auto"/>
            <w:noWrap/>
            <w:vAlign w:val="center"/>
          </w:tcPr>
          <w:p w14:paraId="29247832">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10</w:t>
            </w:r>
          </w:p>
        </w:tc>
        <w:tc>
          <w:tcPr>
            <w:tcW w:w="559" w:type="pct"/>
            <w:tcBorders>
              <w:top w:val="nil"/>
              <w:left w:val="nil"/>
              <w:bottom w:val="single" w:color="auto" w:sz="4" w:space="0"/>
              <w:right w:val="single" w:color="auto" w:sz="4" w:space="0"/>
            </w:tcBorders>
            <w:shd w:val="clear" w:color="auto" w:fill="auto"/>
            <w:noWrap/>
            <w:vAlign w:val="center"/>
          </w:tcPr>
          <w:p w14:paraId="53FE468C">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5</w:t>
            </w:r>
          </w:p>
        </w:tc>
        <w:tc>
          <w:tcPr>
            <w:tcW w:w="560" w:type="pct"/>
            <w:tcBorders>
              <w:top w:val="nil"/>
              <w:left w:val="nil"/>
              <w:bottom w:val="single" w:color="auto" w:sz="4" w:space="0"/>
              <w:right w:val="single" w:color="auto" w:sz="4" w:space="0"/>
            </w:tcBorders>
            <w:shd w:val="clear" w:color="auto" w:fill="auto"/>
            <w:noWrap/>
            <w:vAlign w:val="center"/>
          </w:tcPr>
          <w:p w14:paraId="0B4A5271">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2484A1ED">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5F9E6098">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5D6FB61D">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15</w:t>
            </w:r>
          </w:p>
        </w:tc>
      </w:tr>
      <w:tr w14:paraId="037FCB7E">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453EED50">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10</w:t>
            </w:r>
          </w:p>
        </w:tc>
        <w:tc>
          <w:tcPr>
            <w:tcW w:w="697" w:type="pct"/>
            <w:vMerge w:val="continue"/>
            <w:tcBorders>
              <w:top w:val="nil"/>
              <w:left w:val="single" w:color="auto" w:sz="4" w:space="0"/>
              <w:bottom w:val="single" w:color="000000" w:sz="4" w:space="0"/>
              <w:right w:val="single" w:color="auto" w:sz="4" w:space="0"/>
            </w:tcBorders>
            <w:vAlign w:val="center"/>
          </w:tcPr>
          <w:p w14:paraId="28D00F7E">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000000" w:fill="FFFFFF"/>
            <w:noWrap/>
            <w:vAlign w:val="center"/>
          </w:tcPr>
          <w:p w14:paraId="00B7ED3C">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YP11A</w:t>
            </w:r>
          </w:p>
        </w:tc>
        <w:tc>
          <w:tcPr>
            <w:tcW w:w="559" w:type="pct"/>
            <w:tcBorders>
              <w:top w:val="nil"/>
              <w:left w:val="nil"/>
              <w:bottom w:val="single" w:color="auto" w:sz="4" w:space="0"/>
              <w:right w:val="single" w:color="auto" w:sz="4" w:space="0"/>
            </w:tcBorders>
            <w:shd w:val="clear" w:color="auto" w:fill="auto"/>
            <w:noWrap/>
            <w:vAlign w:val="center"/>
          </w:tcPr>
          <w:p w14:paraId="492CFDD5">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59" w:type="pct"/>
            <w:tcBorders>
              <w:top w:val="nil"/>
              <w:left w:val="nil"/>
              <w:bottom w:val="single" w:color="auto" w:sz="4" w:space="0"/>
              <w:right w:val="single" w:color="auto" w:sz="4" w:space="0"/>
            </w:tcBorders>
            <w:shd w:val="clear" w:color="auto" w:fill="auto"/>
            <w:noWrap/>
            <w:vAlign w:val="center"/>
          </w:tcPr>
          <w:p w14:paraId="312F08F6">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1</w:t>
            </w:r>
          </w:p>
        </w:tc>
        <w:tc>
          <w:tcPr>
            <w:tcW w:w="560" w:type="pct"/>
            <w:tcBorders>
              <w:top w:val="nil"/>
              <w:left w:val="nil"/>
              <w:bottom w:val="single" w:color="auto" w:sz="4" w:space="0"/>
              <w:right w:val="single" w:color="auto" w:sz="4" w:space="0"/>
            </w:tcBorders>
            <w:shd w:val="clear" w:color="auto" w:fill="auto"/>
            <w:noWrap/>
            <w:vAlign w:val="center"/>
          </w:tcPr>
          <w:p w14:paraId="7AA9EBA5">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4</w:t>
            </w:r>
          </w:p>
        </w:tc>
        <w:tc>
          <w:tcPr>
            <w:tcW w:w="560" w:type="pct"/>
            <w:tcBorders>
              <w:top w:val="nil"/>
              <w:left w:val="nil"/>
              <w:bottom w:val="single" w:color="auto" w:sz="4" w:space="0"/>
              <w:right w:val="single" w:color="auto" w:sz="4" w:space="0"/>
            </w:tcBorders>
            <w:shd w:val="clear" w:color="auto" w:fill="auto"/>
            <w:noWrap/>
            <w:vAlign w:val="center"/>
          </w:tcPr>
          <w:p w14:paraId="60A05CDE">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74A77F86">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17467F49">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5</w:t>
            </w:r>
          </w:p>
        </w:tc>
      </w:tr>
      <w:tr w14:paraId="19E7D31B">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137EBC8C">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11</w:t>
            </w:r>
          </w:p>
        </w:tc>
        <w:tc>
          <w:tcPr>
            <w:tcW w:w="697" w:type="pct"/>
            <w:vMerge w:val="continue"/>
            <w:tcBorders>
              <w:top w:val="nil"/>
              <w:left w:val="single" w:color="auto" w:sz="4" w:space="0"/>
              <w:bottom w:val="single" w:color="000000" w:sz="4" w:space="0"/>
              <w:right w:val="single" w:color="auto" w:sz="4" w:space="0"/>
            </w:tcBorders>
            <w:vAlign w:val="center"/>
          </w:tcPr>
          <w:p w14:paraId="2111EFA2">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000000" w:fill="FFFFFF"/>
            <w:noWrap/>
            <w:vAlign w:val="center"/>
          </w:tcPr>
          <w:p w14:paraId="7750CBEE">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YP18</w:t>
            </w:r>
          </w:p>
        </w:tc>
        <w:tc>
          <w:tcPr>
            <w:tcW w:w="559" w:type="pct"/>
            <w:tcBorders>
              <w:top w:val="nil"/>
              <w:left w:val="nil"/>
              <w:bottom w:val="single" w:color="auto" w:sz="4" w:space="0"/>
              <w:right w:val="single" w:color="auto" w:sz="4" w:space="0"/>
            </w:tcBorders>
            <w:shd w:val="clear" w:color="auto" w:fill="auto"/>
            <w:noWrap/>
            <w:vAlign w:val="center"/>
          </w:tcPr>
          <w:p w14:paraId="3293137A">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1</w:t>
            </w:r>
          </w:p>
        </w:tc>
        <w:tc>
          <w:tcPr>
            <w:tcW w:w="559" w:type="pct"/>
            <w:tcBorders>
              <w:top w:val="nil"/>
              <w:left w:val="nil"/>
              <w:bottom w:val="single" w:color="auto" w:sz="4" w:space="0"/>
              <w:right w:val="single" w:color="auto" w:sz="4" w:space="0"/>
            </w:tcBorders>
            <w:shd w:val="clear" w:color="auto" w:fill="auto"/>
            <w:noWrap/>
            <w:vAlign w:val="center"/>
          </w:tcPr>
          <w:p w14:paraId="53F0D017">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5AC2ADE5">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2</w:t>
            </w:r>
          </w:p>
        </w:tc>
        <w:tc>
          <w:tcPr>
            <w:tcW w:w="560" w:type="pct"/>
            <w:tcBorders>
              <w:top w:val="nil"/>
              <w:left w:val="nil"/>
              <w:bottom w:val="single" w:color="auto" w:sz="4" w:space="0"/>
              <w:right w:val="single" w:color="auto" w:sz="4" w:space="0"/>
            </w:tcBorders>
            <w:shd w:val="clear" w:color="auto" w:fill="auto"/>
            <w:noWrap/>
            <w:vAlign w:val="center"/>
          </w:tcPr>
          <w:p w14:paraId="56FED4FD">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68A74DC9">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06" w:type="pct"/>
            <w:tcBorders>
              <w:top w:val="nil"/>
              <w:left w:val="nil"/>
              <w:bottom w:val="single" w:color="auto" w:sz="4" w:space="0"/>
              <w:right w:val="single" w:color="auto" w:sz="4" w:space="0"/>
            </w:tcBorders>
            <w:shd w:val="clear" w:color="auto" w:fill="auto"/>
            <w:noWrap/>
            <w:vAlign w:val="center"/>
          </w:tcPr>
          <w:p w14:paraId="62F95435">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3</w:t>
            </w:r>
          </w:p>
        </w:tc>
      </w:tr>
      <w:tr w14:paraId="03DEE295">
        <w:tblPrEx>
          <w:tblCellMar>
            <w:top w:w="0" w:type="dxa"/>
            <w:left w:w="108" w:type="dxa"/>
            <w:bottom w:w="0" w:type="dxa"/>
            <w:right w:w="108" w:type="dxa"/>
          </w:tblCellMar>
        </w:tblPrEx>
        <w:trPr>
          <w:trHeight w:val="397" w:hRule="atLeast"/>
        </w:trPr>
        <w:tc>
          <w:tcPr>
            <w:tcW w:w="425" w:type="pct"/>
            <w:tcBorders>
              <w:top w:val="nil"/>
              <w:left w:val="single" w:color="auto" w:sz="4" w:space="0"/>
              <w:bottom w:val="single" w:color="auto" w:sz="4" w:space="0"/>
              <w:right w:val="single" w:color="auto" w:sz="4" w:space="0"/>
            </w:tcBorders>
            <w:shd w:val="clear" w:color="auto" w:fill="auto"/>
            <w:noWrap/>
            <w:vAlign w:val="center"/>
          </w:tcPr>
          <w:p w14:paraId="0076A1A7">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12</w:t>
            </w:r>
          </w:p>
        </w:tc>
        <w:tc>
          <w:tcPr>
            <w:tcW w:w="697" w:type="pct"/>
            <w:vMerge w:val="continue"/>
            <w:tcBorders>
              <w:top w:val="nil"/>
              <w:left w:val="single" w:color="auto" w:sz="4" w:space="0"/>
              <w:bottom w:val="single" w:color="auto" w:sz="4" w:space="0"/>
              <w:right w:val="single" w:color="auto" w:sz="4" w:space="0"/>
            </w:tcBorders>
            <w:vAlign w:val="center"/>
          </w:tcPr>
          <w:p w14:paraId="549EC1D1">
            <w:pPr>
              <w:widowControl/>
              <w:jc w:val="center"/>
              <w:rPr>
                <w:rFonts w:hint="eastAsia" w:ascii="宋体" w:hAnsi="宋体" w:eastAsia="宋体" w:cs="宋体"/>
                <w:bCs/>
                <w:color w:val="000000"/>
                <w:kern w:val="0"/>
                <w:sz w:val="24"/>
                <w:szCs w:val="28"/>
              </w:rPr>
            </w:pPr>
          </w:p>
        </w:tc>
        <w:tc>
          <w:tcPr>
            <w:tcW w:w="570" w:type="pct"/>
            <w:tcBorders>
              <w:top w:val="nil"/>
              <w:left w:val="nil"/>
              <w:bottom w:val="single" w:color="auto" w:sz="4" w:space="0"/>
              <w:right w:val="single" w:color="auto" w:sz="4" w:space="0"/>
            </w:tcBorders>
            <w:shd w:val="clear" w:color="000000" w:fill="FFFFFF"/>
            <w:vAlign w:val="center"/>
          </w:tcPr>
          <w:p w14:paraId="583B8F2F">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YP18B</w:t>
            </w:r>
          </w:p>
        </w:tc>
        <w:tc>
          <w:tcPr>
            <w:tcW w:w="559" w:type="pct"/>
            <w:tcBorders>
              <w:top w:val="nil"/>
              <w:left w:val="nil"/>
              <w:bottom w:val="single" w:color="auto" w:sz="4" w:space="0"/>
              <w:right w:val="single" w:color="auto" w:sz="4" w:space="0"/>
            </w:tcBorders>
            <w:shd w:val="clear" w:color="auto" w:fill="auto"/>
            <w:noWrap/>
            <w:vAlign w:val="center"/>
          </w:tcPr>
          <w:p w14:paraId="140AB3E4">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59" w:type="pct"/>
            <w:tcBorders>
              <w:top w:val="nil"/>
              <w:left w:val="nil"/>
              <w:bottom w:val="single" w:color="auto" w:sz="4" w:space="0"/>
              <w:right w:val="single" w:color="auto" w:sz="4" w:space="0"/>
            </w:tcBorders>
            <w:shd w:val="clear" w:color="auto" w:fill="auto"/>
            <w:noWrap/>
            <w:vAlign w:val="center"/>
          </w:tcPr>
          <w:p w14:paraId="464A8B61">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1</w:t>
            </w:r>
          </w:p>
        </w:tc>
        <w:tc>
          <w:tcPr>
            <w:tcW w:w="560" w:type="pct"/>
            <w:tcBorders>
              <w:top w:val="nil"/>
              <w:left w:val="nil"/>
              <w:bottom w:val="single" w:color="auto" w:sz="4" w:space="0"/>
              <w:right w:val="single" w:color="auto" w:sz="4" w:space="0"/>
            </w:tcBorders>
            <w:shd w:val="clear" w:color="auto" w:fill="auto"/>
            <w:noWrap/>
            <w:vAlign w:val="center"/>
          </w:tcPr>
          <w:p w14:paraId="5AFE962D">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0</w:t>
            </w:r>
          </w:p>
        </w:tc>
        <w:tc>
          <w:tcPr>
            <w:tcW w:w="560" w:type="pct"/>
            <w:tcBorders>
              <w:top w:val="nil"/>
              <w:left w:val="nil"/>
              <w:bottom w:val="single" w:color="auto" w:sz="4" w:space="0"/>
              <w:right w:val="single" w:color="auto" w:sz="4" w:space="0"/>
            </w:tcBorders>
            <w:shd w:val="clear" w:color="auto" w:fill="auto"/>
            <w:noWrap/>
            <w:vAlign w:val="center"/>
          </w:tcPr>
          <w:p w14:paraId="5EA323B4">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4</w:t>
            </w:r>
          </w:p>
        </w:tc>
        <w:tc>
          <w:tcPr>
            <w:tcW w:w="560" w:type="pct"/>
            <w:tcBorders>
              <w:top w:val="nil"/>
              <w:left w:val="nil"/>
              <w:bottom w:val="single" w:color="auto" w:sz="4" w:space="0"/>
              <w:right w:val="single" w:color="auto" w:sz="4" w:space="0"/>
            </w:tcBorders>
            <w:shd w:val="clear" w:color="auto" w:fill="auto"/>
            <w:noWrap/>
            <w:vAlign w:val="center"/>
          </w:tcPr>
          <w:p w14:paraId="085ADACA">
            <w:pPr>
              <w:widowControl/>
              <w:jc w:val="center"/>
              <w:rPr>
                <w:rFonts w:hint="eastAsia" w:ascii="宋体" w:hAnsi="宋体" w:eastAsia="宋体" w:cs="宋体"/>
                <w:color w:val="000000"/>
                <w:kern w:val="0"/>
                <w:sz w:val="24"/>
                <w:szCs w:val="28"/>
              </w:rPr>
            </w:pPr>
            <w:r>
              <w:rPr>
                <w:rFonts w:hint="eastAsia" w:ascii="宋体" w:hAnsi="宋体" w:eastAsia="宋体" w:cs="宋体"/>
                <w:color w:val="000000"/>
                <w:kern w:val="0"/>
                <w:sz w:val="24"/>
                <w:szCs w:val="28"/>
              </w:rPr>
              <w:t>3</w:t>
            </w:r>
          </w:p>
        </w:tc>
        <w:tc>
          <w:tcPr>
            <w:tcW w:w="506" w:type="pct"/>
            <w:tcBorders>
              <w:top w:val="nil"/>
              <w:left w:val="nil"/>
              <w:bottom w:val="single" w:color="auto" w:sz="4" w:space="0"/>
              <w:right w:val="single" w:color="auto" w:sz="4" w:space="0"/>
            </w:tcBorders>
            <w:shd w:val="clear" w:color="auto" w:fill="auto"/>
            <w:noWrap/>
            <w:vAlign w:val="center"/>
          </w:tcPr>
          <w:p w14:paraId="0430B872">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8</w:t>
            </w:r>
          </w:p>
        </w:tc>
      </w:tr>
    </w:tbl>
    <w:p w14:paraId="1D563B4D">
      <w:pPr>
        <w:ind w:firstLine="0" w:firstLineChars="0"/>
      </w:pPr>
    </w:p>
    <w:p w14:paraId="756AC5BE">
      <w:pPr>
        <w:ind w:left="0" w:leftChars="0" w:firstLine="0" w:firstLineChars="0"/>
        <w:jc w:val="center"/>
        <w:rPr>
          <w:rFonts w:hint="eastAsia" w:ascii="宋体" w:hAnsi="宋体" w:cs="宋体"/>
          <w:b/>
          <w:bCs/>
          <w:szCs w:val="24"/>
          <w:lang w:eastAsia="zh-CN"/>
        </w:rPr>
      </w:pPr>
      <w:r>
        <w:rPr>
          <w:rFonts w:hint="eastAsia" w:ascii="宋体" w:hAnsi="宋体" w:cs="宋体"/>
          <w:b/>
          <w:bCs/>
          <w:szCs w:val="24"/>
          <w:lang w:eastAsia="zh-CN"/>
        </w:rPr>
        <w:t>贵州中烟手工包条/装箱情况</w:t>
      </w:r>
    </w:p>
    <w:tbl>
      <w:tblPr>
        <w:tblStyle w:val="43"/>
        <w:tblW w:w="4999" w:type="pct"/>
        <w:tblInd w:w="-5" w:type="dxa"/>
        <w:tblLayout w:type="fixed"/>
        <w:tblCellMar>
          <w:top w:w="0" w:type="dxa"/>
          <w:left w:w="108" w:type="dxa"/>
          <w:bottom w:w="0" w:type="dxa"/>
          <w:right w:w="108" w:type="dxa"/>
        </w:tblCellMar>
      </w:tblPr>
      <w:tblGrid>
        <w:gridCol w:w="2140"/>
        <w:gridCol w:w="2432"/>
        <w:gridCol w:w="2868"/>
        <w:gridCol w:w="3180"/>
        <w:gridCol w:w="3552"/>
      </w:tblGrid>
      <w:tr w14:paraId="50131F04">
        <w:tblPrEx>
          <w:tblCellMar>
            <w:top w:w="0" w:type="dxa"/>
            <w:left w:w="108" w:type="dxa"/>
            <w:bottom w:w="0" w:type="dxa"/>
            <w:right w:w="108" w:type="dxa"/>
          </w:tblCellMar>
        </w:tblPrEx>
        <w:trPr>
          <w:trHeight w:val="448" w:hRule="atLeast"/>
        </w:trPr>
        <w:tc>
          <w:tcPr>
            <w:tcW w:w="755" w:type="pct"/>
            <w:vMerge w:val="restart"/>
            <w:tcBorders>
              <w:top w:val="single" w:color="auto" w:sz="4" w:space="0"/>
              <w:left w:val="single" w:color="auto" w:sz="4" w:space="0"/>
              <w:right w:val="single" w:color="auto" w:sz="4" w:space="0"/>
            </w:tcBorders>
            <w:shd w:val="clear" w:color="auto" w:fill="auto"/>
            <w:noWrap/>
            <w:vAlign w:val="center"/>
          </w:tcPr>
          <w:p w14:paraId="04A18BA3">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工厂</w:t>
            </w:r>
          </w:p>
        </w:tc>
        <w:tc>
          <w:tcPr>
            <w:tcW w:w="1869" w:type="pct"/>
            <w:gridSpan w:val="2"/>
            <w:tcBorders>
              <w:top w:val="single" w:color="auto" w:sz="4" w:space="0"/>
              <w:left w:val="nil"/>
              <w:bottom w:val="single" w:color="auto" w:sz="4" w:space="0"/>
              <w:right w:val="single" w:color="auto" w:sz="4" w:space="0"/>
            </w:tcBorders>
            <w:shd w:val="clear" w:color="auto" w:fill="auto"/>
            <w:vAlign w:val="center"/>
          </w:tcPr>
          <w:p w14:paraId="1DBEF1B6">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手工线</w:t>
            </w:r>
          </w:p>
        </w:tc>
        <w:tc>
          <w:tcPr>
            <w:tcW w:w="1121" w:type="pct"/>
            <w:tcBorders>
              <w:top w:val="single" w:color="auto" w:sz="4" w:space="0"/>
              <w:left w:val="nil"/>
              <w:bottom w:val="single" w:color="auto" w:sz="4" w:space="0"/>
              <w:right w:val="single" w:color="auto" w:sz="4" w:space="0"/>
            </w:tcBorders>
            <w:vAlign w:val="center"/>
          </w:tcPr>
          <w:p w14:paraId="18CB7F61">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自动线</w:t>
            </w:r>
          </w:p>
        </w:tc>
        <w:tc>
          <w:tcPr>
            <w:tcW w:w="1253" w:type="pct"/>
            <w:vMerge w:val="restart"/>
            <w:tcBorders>
              <w:top w:val="single" w:color="auto" w:sz="4" w:space="0"/>
              <w:left w:val="single" w:color="auto" w:sz="4" w:space="0"/>
              <w:right w:val="single" w:color="auto" w:sz="4" w:space="0"/>
            </w:tcBorders>
            <w:shd w:val="clear" w:color="auto" w:fill="auto"/>
            <w:noWrap/>
            <w:vAlign w:val="center"/>
          </w:tcPr>
          <w:p w14:paraId="3F759970">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备注</w:t>
            </w:r>
          </w:p>
        </w:tc>
      </w:tr>
      <w:tr w14:paraId="43680DEB">
        <w:tblPrEx>
          <w:tblCellMar>
            <w:top w:w="0" w:type="dxa"/>
            <w:left w:w="108" w:type="dxa"/>
            <w:bottom w:w="0" w:type="dxa"/>
            <w:right w:w="108" w:type="dxa"/>
          </w:tblCellMar>
        </w:tblPrEx>
        <w:trPr>
          <w:trHeight w:val="553" w:hRule="atLeast"/>
        </w:trPr>
        <w:tc>
          <w:tcPr>
            <w:tcW w:w="755" w:type="pct"/>
            <w:vMerge w:val="continue"/>
            <w:tcBorders>
              <w:left w:val="single" w:color="auto" w:sz="4" w:space="0"/>
              <w:bottom w:val="single" w:color="auto" w:sz="4" w:space="0"/>
              <w:right w:val="single" w:color="auto" w:sz="4" w:space="0"/>
            </w:tcBorders>
            <w:shd w:val="clear" w:color="auto" w:fill="auto"/>
            <w:noWrap/>
            <w:vAlign w:val="center"/>
          </w:tcPr>
          <w:p w14:paraId="5CFB7F97">
            <w:pPr>
              <w:widowControl/>
              <w:adjustRightInd w:val="0"/>
              <w:snapToGrid w:val="0"/>
              <w:jc w:val="center"/>
              <w:rPr>
                <w:rFonts w:hint="eastAsia" w:ascii="宋体" w:hAnsi="宋体" w:eastAsia="宋体" w:cs="宋体"/>
                <w:b/>
                <w:bCs/>
                <w:color w:val="000000"/>
                <w:kern w:val="0"/>
                <w:sz w:val="24"/>
                <w:szCs w:val="28"/>
              </w:rPr>
            </w:pPr>
          </w:p>
        </w:tc>
        <w:tc>
          <w:tcPr>
            <w:tcW w:w="858" w:type="pct"/>
            <w:tcBorders>
              <w:top w:val="single" w:color="auto" w:sz="4" w:space="0"/>
              <w:left w:val="nil"/>
              <w:bottom w:val="single" w:color="auto" w:sz="4" w:space="0"/>
              <w:right w:val="single" w:color="auto" w:sz="4" w:space="0"/>
            </w:tcBorders>
            <w:shd w:val="clear" w:color="auto" w:fill="auto"/>
            <w:vAlign w:val="center"/>
          </w:tcPr>
          <w:p w14:paraId="61F3AFCD">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手工包条工位数</w:t>
            </w:r>
          </w:p>
        </w:tc>
        <w:tc>
          <w:tcPr>
            <w:tcW w:w="1011" w:type="pct"/>
            <w:tcBorders>
              <w:top w:val="single" w:color="auto" w:sz="4" w:space="0"/>
              <w:left w:val="nil"/>
              <w:bottom w:val="single" w:color="auto" w:sz="4" w:space="0"/>
              <w:right w:val="single" w:color="auto" w:sz="4" w:space="0"/>
            </w:tcBorders>
            <w:shd w:val="clear" w:color="auto" w:fill="auto"/>
            <w:vAlign w:val="center"/>
          </w:tcPr>
          <w:p w14:paraId="1BB3940C">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手工装箱工位数</w:t>
            </w:r>
          </w:p>
        </w:tc>
        <w:tc>
          <w:tcPr>
            <w:tcW w:w="1121" w:type="pct"/>
            <w:tcBorders>
              <w:top w:val="single" w:color="auto" w:sz="4" w:space="0"/>
              <w:left w:val="nil"/>
              <w:bottom w:val="single" w:color="auto" w:sz="4" w:space="0"/>
              <w:right w:val="single" w:color="auto" w:sz="4" w:space="0"/>
            </w:tcBorders>
            <w:vAlign w:val="center"/>
          </w:tcPr>
          <w:p w14:paraId="00001735">
            <w:pPr>
              <w:widowControl/>
              <w:adjustRightInd w:val="0"/>
              <w:snapToGrid w:val="0"/>
              <w:jc w:val="center"/>
              <w:rPr>
                <w:rFonts w:hint="eastAsia" w:ascii="宋体" w:hAnsi="宋体" w:eastAsia="宋体" w:cs="宋体"/>
                <w:b/>
                <w:bCs/>
                <w:color w:val="000000"/>
                <w:kern w:val="0"/>
                <w:sz w:val="24"/>
                <w:szCs w:val="28"/>
              </w:rPr>
            </w:pPr>
            <w:r>
              <w:rPr>
                <w:rFonts w:hint="eastAsia" w:ascii="宋体" w:hAnsi="宋体" w:eastAsia="宋体" w:cs="宋体"/>
                <w:b/>
                <w:bCs/>
                <w:color w:val="000000"/>
                <w:kern w:val="0"/>
                <w:sz w:val="24"/>
                <w:szCs w:val="28"/>
              </w:rPr>
              <w:t>手工装箱工位数</w:t>
            </w:r>
          </w:p>
        </w:tc>
        <w:tc>
          <w:tcPr>
            <w:tcW w:w="1253" w:type="pct"/>
            <w:vMerge w:val="continue"/>
            <w:tcBorders>
              <w:left w:val="single" w:color="auto" w:sz="4" w:space="0"/>
              <w:bottom w:val="single" w:color="auto" w:sz="4" w:space="0"/>
              <w:right w:val="single" w:color="auto" w:sz="4" w:space="0"/>
            </w:tcBorders>
            <w:shd w:val="clear" w:color="auto" w:fill="auto"/>
            <w:noWrap/>
            <w:vAlign w:val="center"/>
          </w:tcPr>
          <w:p w14:paraId="7C55E5B8">
            <w:pPr>
              <w:widowControl/>
              <w:adjustRightInd w:val="0"/>
              <w:snapToGrid w:val="0"/>
              <w:jc w:val="center"/>
              <w:rPr>
                <w:rFonts w:hint="eastAsia" w:ascii="宋体" w:hAnsi="宋体" w:eastAsia="宋体" w:cs="宋体"/>
                <w:b/>
                <w:bCs/>
                <w:color w:val="000000"/>
                <w:kern w:val="0"/>
                <w:sz w:val="24"/>
                <w:szCs w:val="28"/>
              </w:rPr>
            </w:pPr>
          </w:p>
        </w:tc>
      </w:tr>
      <w:tr w14:paraId="60A07D3E">
        <w:tblPrEx>
          <w:tblCellMar>
            <w:top w:w="0" w:type="dxa"/>
            <w:left w:w="108" w:type="dxa"/>
            <w:bottom w:w="0" w:type="dxa"/>
            <w:right w:w="108" w:type="dxa"/>
          </w:tblCellMar>
        </w:tblPrEx>
        <w:trPr>
          <w:trHeight w:val="525" w:hRule="atLeast"/>
        </w:trPr>
        <w:tc>
          <w:tcPr>
            <w:tcW w:w="755" w:type="pct"/>
            <w:tcBorders>
              <w:top w:val="nil"/>
              <w:left w:val="single" w:color="auto" w:sz="4" w:space="0"/>
              <w:bottom w:val="single" w:color="auto" w:sz="4" w:space="0"/>
              <w:right w:val="single" w:color="auto" w:sz="4" w:space="0"/>
            </w:tcBorders>
            <w:shd w:val="clear" w:color="auto" w:fill="auto"/>
            <w:noWrap/>
            <w:vAlign w:val="center"/>
          </w:tcPr>
          <w:p w14:paraId="0ADD4C19">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贵阳卷烟厂</w:t>
            </w:r>
          </w:p>
        </w:tc>
        <w:tc>
          <w:tcPr>
            <w:tcW w:w="858" w:type="pct"/>
            <w:tcBorders>
              <w:top w:val="nil"/>
              <w:left w:val="nil"/>
              <w:bottom w:val="single" w:color="auto" w:sz="4" w:space="0"/>
              <w:right w:val="single" w:color="auto" w:sz="4" w:space="0"/>
            </w:tcBorders>
            <w:shd w:val="clear" w:color="auto" w:fill="auto"/>
            <w:noWrap/>
            <w:vAlign w:val="center"/>
          </w:tcPr>
          <w:p w14:paraId="3BEE07B4">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32</w:t>
            </w:r>
          </w:p>
        </w:tc>
        <w:tc>
          <w:tcPr>
            <w:tcW w:w="1011" w:type="pct"/>
            <w:tcBorders>
              <w:top w:val="nil"/>
              <w:left w:val="nil"/>
              <w:bottom w:val="single" w:color="auto" w:sz="4" w:space="0"/>
              <w:right w:val="single" w:color="auto" w:sz="4" w:space="0"/>
            </w:tcBorders>
            <w:shd w:val="clear" w:color="auto" w:fill="auto"/>
            <w:noWrap/>
            <w:vAlign w:val="center"/>
          </w:tcPr>
          <w:p w14:paraId="1FC481C6">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c>
          <w:tcPr>
            <w:tcW w:w="1121" w:type="pct"/>
            <w:tcBorders>
              <w:top w:val="single" w:color="auto" w:sz="4" w:space="0"/>
              <w:left w:val="nil"/>
              <w:bottom w:val="single" w:color="auto" w:sz="4" w:space="0"/>
              <w:right w:val="single" w:color="auto" w:sz="4" w:space="0"/>
            </w:tcBorders>
            <w:vAlign w:val="center"/>
          </w:tcPr>
          <w:p w14:paraId="60ADEA81">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7</w:t>
            </w:r>
          </w:p>
        </w:tc>
        <w:tc>
          <w:tcPr>
            <w:tcW w:w="1253" w:type="pct"/>
            <w:vMerge w:val="restart"/>
            <w:tcBorders>
              <w:top w:val="nil"/>
              <w:left w:val="single" w:color="auto" w:sz="4" w:space="0"/>
              <w:right w:val="single" w:color="auto" w:sz="4" w:space="0"/>
            </w:tcBorders>
            <w:shd w:val="clear" w:color="auto" w:fill="auto"/>
            <w:noWrap/>
            <w:vAlign w:val="center"/>
          </w:tcPr>
          <w:p w14:paraId="7A3BFBB1">
            <w:pPr>
              <w:widowControl/>
              <w:jc w:val="both"/>
              <w:rPr>
                <w:rFonts w:hint="eastAsia" w:ascii="宋体" w:hAnsi="宋体" w:eastAsia="宋体" w:cs="宋体"/>
                <w:bCs/>
                <w:color w:val="000000"/>
                <w:kern w:val="0"/>
                <w:sz w:val="24"/>
              </w:rPr>
            </w:pPr>
          </w:p>
        </w:tc>
      </w:tr>
      <w:tr w14:paraId="31AF6CF7">
        <w:tblPrEx>
          <w:tblCellMar>
            <w:top w:w="0" w:type="dxa"/>
            <w:left w:w="108" w:type="dxa"/>
            <w:bottom w:w="0" w:type="dxa"/>
            <w:right w:w="108" w:type="dxa"/>
          </w:tblCellMar>
        </w:tblPrEx>
        <w:trPr>
          <w:trHeight w:val="615" w:hRule="atLeast"/>
        </w:trPr>
        <w:tc>
          <w:tcPr>
            <w:tcW w:w="755" w:type="pct"/>
            <w:tcBorders>
              <w:top w:val="nil"/>
              <w:left w:val="single" w:color="auto" w:sz="4" w:space="0"/>
              <w:bottom w:val="single" w:color="auto" w:sz="4" w:space="0"/>
              <w:right w:val="single" w:color="auto" w:sz="4" w:space="0"/>
            </w:tcBorders>
            <w:shd w:val="clear" w:color="auto" w:fill="auto"/>
            <w:noWrap/>
            <w:vAlign w:val="center"/>
          </w:tcPr>
          <w:p w14:paraId="6A9E1690">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遵义卷烟厂</w:t>
            </w:r>
          </w:p>
        </w:tc>
        <w:tc>
          <w:tcPr>
            <w:tcW w:w="858" w:type="pct"/>
            <w:tcBorders>
              <w:top w:val="nil"/>
              <w:left w:val="nil"/>
              <w:bottom w:val="single" w:color="auto" w:sz="4" w:space="0"/>
              <w:right w:val="single" w:color="auto" w:sz="4" w:space="0"/>
            </w:tcBorders>
            <w:shd w:val="clear" w:color="auto" w:fill="auto"/>
            <w:noWrap/>
            <w:vAlign w:val="center"/>
          </w:tcPr>
          <w:p w14:paraId="4B113F93">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011" w:type="pct"/>
            <w:tcBorders>
              <w:top w:val="nil"/>
              <w:left w:val="nil"/>
              <w:bottom w:val="single" w:color="auto" w:sz="4" w:space="0"/>
              <w:right w:val="single" w:color="auto" w:sz="4" w:space="0"/>
            </w:tcBorders>
            <w:shd w:val="clear" w:color="auto" w:fill="auto"/>
            <w:noWrap/>
            <w:vAlign w:val="center"/>
          </w:tcPr>
          <w:p w14:paraId="45A18B9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121" w:type="pct"/>
            <w:tcBorders>
              <w:top w:val="single" w:color="auto" w:sz="4" w:space="0"/>
              <w:left w:val="nil"/>
              <w:bottom w:val="single" w:color="auto" w:sz="4" w:space="0"/>
              <w:right w:val="single" w:color="auto" w:sz="4" w:space="0"/>
            </w:tcBorders>
            <w:vAlign w:val="center"/>
          </w:tcPr>
          <w:p w14:paraId="00F3E5BF">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w:t>
            </w:r>
          </w:p>
        </w:tc>
        <w:tc>
          <w:tcPr>
            <w:tcW w:w="1253" w:type="pct"/>
            <w:vMerge w:val="continue"/>
            <w:tcBorders>
              <w:left w:val="single" w:color="auto" w:sz="4" w:space="0"/>
              <w:right w:val="single" w:color="auto" w:sz="4" w:space="0"/>
            </w:tcBorders>
            <w:shd w:val="clear" w:color="auto" w:fill="auto"/>
            <w:vAlign w:val="center"/>
          </w:tcPr>
          <w:p w14:paraId="422C115D">
            <w:pPr>
              <w:widowControl/>
              <w:adjustRightInd w:val="0"/>
              <w:snapToGrid w:val="0"/>
              <w:jc w:val="center"/>
              <w:rPr>
                <w:rFonts w:hint="eastAsia" w:ascii="宋体" w:hAnsi="宋体" w:eastAsia="宋体" w:cs="宋体"/>
                <w:bCs/>
                <w:color w:val="000000"/>
                <w:kern w:val="0"/>
                <w:sz w:val="24"/>
                <w:szCs w:val="28"/>
              </w:rPr>
            </w:pPr>
          </w:p>
        </w:tc>
      </w:tr>
      <w:tr w14:paraId="1581F76B">
        <w:tblPrEx>
          <w:tblCellMar>
            <w:top w:w="0" w:type="dxa"/>
            <w:left w:w="108" w:type="dxa"/>
            <w:bottom w:w="0" w:type="dxa"/>
            <w:right w:w="108" w:type="dxa"/>
          </w:tblCellMar>
        </w:tblPrEx>
        <w:trPr>
          <w:trHeight w:val="615" w:hRule="atLeast"/>
        </w:trPr>
        <w:tc>
          <w:tcPr>
            <w:tcW w:w="755" w:type="pct"/>
            <w:tcBorders>
              <w:top w:val="nil"/>
              <w:left w:val="single" w:color="auto" w:sz="4" w:space="0"/>
              <w:bottom w:val="single" w:color="auto" w:sz="4" w:space="0"/>
              <w:right w:val="single" w:color="auto" w:sz="4" w:space="0"/>
            </w:tcBorders>
            <w:shd w:val="clear" w:color="auto" w:fill="auto"/>
            <w:noWrap/>
            <w:vAlign w:val="center"/>
          </w:tcPr>
          <w:p w14:paraId="18092283">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毕节卷烟厂</w:t>
            </w:r>
          </w:p>
        </w:tc>
        <w:tc>
          <w:tcPr>
            <w:tcW w:w="858" w:type="pct"/>
            <w:tcBorders>
              <w:top w:val="nil"/>
              <w:left w:val="nil"/>
              <w:bottom w:val="single" w:color="auto" w:sz="4" w:space="0"/>
              <w:right w:val="single" w:color="auto" w:sz="4" w:space="0"/>
            </w:tcBorders>
            <w:shd w:val="clear" w:color="auto" w:fill="auto"/>
            <w:noWrap/>
            <w:vAlign w:val="center"/>
          </w:tcPr>
          <w:p w14:paraId="12470286">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011" w:type="pct"/>
            <w:tcBorders>
              <w:top w:val="nil"/>
              <w:left w:val="nil"/>
              <w:bottom w:val="single" w:color="auto" w:sz="4" w:space="0"/>
              <w:right w:val="single" w:color="auto" w:sz="4" w:space="0"/>
            </w:tcBorders>
            <w:shd w:val="clear" w:color="auto" w:fill="auto"/>
            <w:noWrap/>
            <w:vAlign w:val="center"/>
          </w:tcPr>
          <w:p w14:paraId="0079C997">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121" w:type="pct"/>
            <w:tcBorders>
              <w:top w:val="single" w:color="auto" w:sz="4" w:space="0"/>
              <w:left w:val="nil"/>
              <w:bottom w:val="single" w:color="auto" w:sz="4" w:space="0"/>
              <w:right w:val="single" w:color="auto" w:sz="4" w:space="0"/>
            </w:tcBorders>
            <w:vAlign w:val="center"/>
          </w:tcPr>
          <w:p w14:paraId="3E45367B">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253" w:type="pct"/>
            <w:vMerge w:val="continue"/>
            <w:tcBorders>
              <w:left w:val="single" w:color="auto" w:sz="4" w:space="0"/>
              <w:right w:val="single" w:color="auto" w:sz="4" w:space="0"/>
            </w:tcBorders>
            <w:shd w:val="clear" w:color="auto" w:fill="auto"/>
            <w:vAlign w:val="center"/>
          </w:tcPr>
          <w:p w14:paraId="3D3CD515">
            <w:pPr>
              <w:widowControl/>
              <w:jc w:val="center"/>
              <w:rPr>
                <w:rFonts w:hint="eastAsia" w:ascii="宋体" w:hAnsi="宋体" w:eastAsia="宋体" w:cs="宋体"/>
                <w:bCs/>
                <w:color w:val="000000"/>
                <w:kern w:val="0"/>
                <w:sz w:val="24"/>
                <w:szCs w:val="28"/>
              </w:rPr>
            </w:pPr>
          </w:p>
        </w:tc>
      </w:tr>
      <w:tr w14:paraId="3585F94F">
        <w:tblPrEx>
          <w:tblCellMar>
            <w:top w:w="0" w:type="dxa"/>
            <w:left w:w="108" w:type="dxa"/>
            <w:bottom w:w="0" w:type="dxa"/>
            <w:right w:w="108" w:type="dxa"/>
          </w:tblCellMar>
        </w:tblPrEx>
        <w:trPr>
          <w:trHeight w:val="510" w:hRule="atLeast"/>
        </w:trPr>
        <w:tc>
          <w:tcPr>
            <w:tcW w:w="755" w:type="pct"/>
            <w:tcBorders>
              <w:top w:val="nil"/>
              <w:left w:val="single" w:color="auto" w:sz="4" w:space="0"/>
              <w:bottom w:val="single" w:color="auto" w:sz="4" w:space="0"/>
              <w:right w:val="single" w:color="auto" w:sz="4" w:space="0"/>
            </w:tcBorders>
            <w:shd w:val="clear" w:color="auto" w:fill="auto"/>
            <w:noWrap/>
            <w:vAlign w:val="center"/>
          </w:tcPr>
          <w:p w14:paraId="6C6DBFEF">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贵定卷烟厂</w:t>
            </w:r>
          </w:p>
        </w:tc>
        <w:tc>
          <w:tcPr>
            <w:tcW w:w="858" w:type="pct"/>
            <w:tcBorders>
              <w:top w:val="nil"/>
              <w:left w:val="nil"/>
              <w:bottom w:val="single" w:color="auto" w:sz="4" w:space="0"/>
              <w:right w:val="single" w:color="auto" w:sz="4" w:space="0"/>
            </w:tcBorders>
            <w:shd w:val="clear" w:color="auto" w:fill="auto"/>
            <w:noWrap/>
            <w:vAlign w:val="center"/>
          </w:tcPr>
          <w:p w14:paraId="4B18B3DB">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10</w:t>
            </w:r>
          </w:p>
        </w:tc>
        <w:tc>
          <w:tcPr>
            <w:tcW w:w="1011" w:type="pct"/>
            <w:tcBorders>
              <w:top w:val="nil"/>
              <w:left w:val="nil"/>
              <w:bottom w:val="single" w:color="auto" w:sz="4" w:space="0"/>
              <w:right w:val="single" w:color="auto" w:sz="4" w:space="0"/>
            </w:tcBorders>
            <w:shd w:val="clear" w:color="auto" w:fill="auto"/>
            <w:noWrap/>
            <w:vAlign w:val="center"/>
          </w:tcPr>
          <w:p w14:paraId="531565A3">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c>
          <w:tcPr>
            <w:tcW w:w="1121" w:type="pct"/>
            <w:tcBorders>
              <w:top w:val="single" w:color="auto" w:sz="4" w:space="0"/>
              <w:left w:val="nil"/>
              <w:bottom w:val="single" w:color="auto" w:sz="4" w:space="0"/>
              <w:right w:val="single" w:color="auto" w:sz="4" w:space="0"/>
            </w:tcBorders>
            <w:vAlign w:val="center"/>
          </w:tcPr>
          <w:p w14:paraId="3DC4937D">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253" w:type="pct"/>
            <w:vMerge w:val="continue"/>
            <w:tcBorders>
              <w:left w:val="single" w:color="auto" w:sz="4" w:space="0"/>
              <w:right w:val="single" w:color="auto" w:sz="4" w:space="0"/>
            </w:tcBorders>
            <w:shd w:val="clear" w:color="auto" w:fill="auto"/>
            <w:noWrap/>
            <w:vAlign w:val="center"/>
          </w:tcPr>
          <w:p w14:paraId="02B0D980">
            <w:pPr>
              <w:widowControl/>
              <w:jc w:val="center"/>
              <w:rPr>
                <w:rFonts w:hint="eastAsia" w:ascii="宋体" w:hAnsi="宋体" w:eastAsia="宋体" w:cs="宋体"/>
                <w:bCs/>
                <w:color w:val="000000"/>
                <w:kern w:val="0"/>
                <w:sz w:val="24"/>
                <w:szCs w:val="28"/>
              </w:rPr>
            </w:pPr>
          </w:p>
        </w:tc>
      </w:tr>
      <w:tr w14:paraId="5ECD20A3">
        <w:tblPrEx>
          <w:tblCellMar>
            <w:top w:w="0" w:type="dxa"/>
            <w:left w:w="108" w:type="dxa"/>
            <w:bottom w:w="0" w:type="dxa"/>
            <w:right w:w="108" w:type="dxa"/>
          </w:tblCellMar>
        </w:tblPrEx>
        <w:trPr>
          <w:trHeight w:val="615" w:hRule="atLeast"/>
        </w:trPr>
        <w:tc>
          <w:tcPr>
            <w:tcW w:w="755" w:type="pct"/>
            <w:tcBorders>
              <w:top w:val="nil"/>
              <w:left w:val="single" w:color="auto" w:sz="4" w:space="0"/>
              <w:bottom w:val="single" w:color="auto" w:sz="4" w:space="0"/>
              <w:right w:val="single" w:color="auto" w:sz="4" w:space="0"/>
            </w:tcBorders>
            <w:shd w:val="clear" w:color="auto" w:fill="auto"/>
            <w:noWrap/>
            <w:vAlign w:val="center"/>
          </w:tcPr>
          <w:p w14:paraId="79084C41">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铜仁卷烟厂</w:t>
            </w:r>
          </w:p>
        </w:tc>
        <w:tc>
          <w:tcPr>
            <w:tcW w:w="858" w:type="pct"/>
            <w:tcBorders>
              <w:top w:val="nil"/>
              <w:left w:val="nil"/>
              <w:bottom w:val="single" w:color="auto" w:sz="4" w:space="0"/>
              <w:right w:val="single" w:color="auto" w:sz="4" w:space="0"/>
            </w:tcBorders>
            <w:shd w:val="clear" w:color="auto" w:fill="auto"/>
            <w:noWrap/>
            <w:vAlign w:val="center"/>
          </w:tcPr>
          <w:p w14:paraId="62E56D29">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011" w:type="pct"/>
            <w:tcBorders>
              <w:top w:val="nil"/>
              <w:left w:val="nil"/>
              <w:bottom w:val="single" w:color="auto" w:sz="4" w:space="0"/>
              <w:right w:val="single" w:color="auto" w:sz="4" w:space="0"/>
            </w:tcBorders>
            <w:shd w:val="clear" w:color="auto" w:fill="auto"/>
            <w:noWrap/>
            <w:vAlign w:val="center"/>
          </w:tcPr>
          <w:p w14:paraId="7C6F194E">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0</w:t>
            </w:r>
          </w:p>
        </w:tc>
        <w:tc>
          <w:tcPr>
            <w:tcW w:w="1121" w:type="pct"/>
            <w:tcBorders>
              <w:top w:val="single" w:color="auto" w:sz="4" w:space="0"/>
              <w:left w:val="nil"/>
              <w:bottom w:val="single" w:color="auto" w:sz="4" w:space="0"/>
              <w:right w:val="single" w:color="auto" w:sz="4" w:space="0"/>
            </w:tcBorders>
            <w:vAlign w:val="center"/>
          </w:tcPr>
          <w:p w14:paraId="1C5F8028">
            <w:pPr>
              <w:widowControl/>
              <w:jc w:val="center"/>
              <w:rPr>
                <w:rFonts w:hint="eastAsia" w:ascii="宋体" w:hAnsi="宋体" w:eastAsia="宋体" w:cs="宋体"/>
                <w:bCs/>
                <w:color w:val="000000"/>
                <w:kern w:val="0"/>
                <w:sz w:val="24"/>
                <w:szCs w:val="28"/>
              </w:rPr>
            </w:pPr>
            <w:r>
              <w:rPr>
                <w:rFonts w:hint="eastAsia" w:ascii="宋体" w:hAnsi="宋体" w:eastAsia="宋体" w:cs="宋体"/>
                <w:bCs/>
                <w:color w:val="000000"/>
                <w:kern w:val="0"/>
                <w:sz w:val="24"/>
                <w:szCs w:val="28"/>
              </w:rPr>
              <w:t>2</w:t>
            </w:r>
          </w:p>
        </w:tc>
        <w:tc>
          <w:tcPr>
            <w:tcW w:w="1253" w:type="pct"/>
            <w:vMerge w:val="continue"/>
            <w:tcBorders>
              <w:left w:val="single" w:color="auto" w:sz="4" w:space="0"/>
              <w:bottom w:val="single" w:color="auto" w:sz="4" w:space="0"/>
              <w:right w:val="single" w:color="auto" w:sz="4" w:space="0"/>
            </w:tcBorders>
            <w:shd w:val="clear" w:color="auto" w:fill="auto"/>
            <w:vAlign w:val="center"/>
          </w:tcPr>
          <w:p w14:paraId="75672BE6">
            <w:pPr>
              <w:widowControl/>
              <w:jc w:val="center"/>
              <w:rPr>
                <w:rFonts w:hint="eastAsia" w:ascii="宋体" w:hAnsi="宋体" w:eastAsia="宋体" w:cs="宋体"/>
                <w:bCs/>
                <w:color w:val="000000"/>
                <w:kern w:val="0"/>
                <w:sz w:val="24"/>
                <w:szCs w:val="28"/>
              </w:rPr>
            </w:pPr>
          </w:p>
        </w:tc>
      </w:tr>
      <w:tr w14:paraId="7A5508A4">
        <w:tblPrEx>
          <w:tblCellMar>
            <w:top w:w="0" w:type="dxa"/>
            <w:left w:w="108" w:type="dxa"/>
            <w:bottom w:w="0" w:type="dxa"/>
            <w:right w:w="108" w:type="dxa"/>
          </w:tblCellMar>
        </w:tblPrEx>
        <w:trPr>
          <w:trHeight w:val="615" w:hRule="atLeast"/>
        </w:trPr>
        <w:tc>
          <w:tcPr>
            <w:tcW w:w="755" w:type="pct"/>
            <w:tcBorders>
              <w:top w:val="nil"/>
              <w:left w:val="single" w:color="auto" w:sz="4" w:space="0"/>
              <w:bottom w:val="single" w:color="auto" w:sz="4" w:space="0"/>
              <w:right w:val="single" w:color="auto" w:sz="4" w:space="0"/>
            </w:tcBorders>
            <w:shd w:val="clear" w:color="auto" w:fill="auto"/>
            <w:noWrap/>
            <w:vAlign w:val="center"/>
          </w:tcPr>
          <w:p w14:paraId="107867FB">
            <w:pPr>
              <w:widowControl/>
              <w:jc w:val="center"/>
              <w:rPr>
                <w:rFonts w:hint="eastAsia" w:ascii="宋体" w:hAnsi="宋体" w:eastAsia="宋体" w:cs="宋体"/>
                <w:bCs/>
                <w:color w:val="000000"/>
                <w:kern w:val="0"/>
                <w:sz w:val="24"/>
                <w:szCs w:val="28"/>
              </w:rPr>
            </w:pPr>
          </w:p>
        </w:tc>
        <w:tc>
          <w:tcPr>
            <w:tcW w:w="858" w:type="pct"/>
            <w:tcBorders>
              <w:top w:val="nil"/>
              <w:left w:val="nil"/>
              <w:bottom w:val="single" w:color="auto" w:sz="4" w:space="0"/>
              <w:right w:val="single" w:color="auto" w:sz="4" w:space="0"/>
            </w:tcBorders>
            <w:shd w:val="clear" w:color="auto" w:fill="auto"/>
            <w:noWrap/>
            <w:vAlign w:val="center"/>
          </w:tcPr>
          <w:p w14:paraId="4B30A083">
            <w:pPr>
              <w:widowControl/>
              <w:jc w:val="center"/>
              <w:rPr>
                <w:rFonts w:hint="eastAsia" w:ascii="宋体" w:hAnsi="宋体" w:eastAsia="宋体" w:cs="宋体"/>
                <w:bCs/>
                <w:color w:val="000000"/>
                <w:kern w:val="0"/>
                <w:sz w:val="24"/>
                <w:szCs w:val="28"/>
              </w:rPr>
            </w:pPr>
          </w:p>
        </w:tc>
        <w:tc>
          <w:tcPr>
            <w:tcW w:w="1011" w:type="pct"/>
            <w:tcBorders>
              <w:top w:val="nil"/>
              <w:left w:val="nil"/>
              <w:bottom w:val="single" w:color="auto" w:sz="4" w:space="0"/>
              <w:right w:val="single" w:color="auto" w:sz="4" w:space="0"/>
            </w:tcBorders>
            <w:shd w:val="clear" w:color="auto" w:fill="auto"/>
            <w:noWrap/>
            <w:vAlign w:val="center"/>
          </w:tcPr>
          <w:p w14:paraId="1D9873D3">
            <w:pPr>
              <w:widowControl/>
              <w:jc w:val="center"/>
              <w:rPr>
                <w:rFonts w:hint="eastAsia" w:ascii="宋体" w:hAnsi="宋体" w:eastAsia="宋体" w:cs="宋体"/>
                <w:bCs/>
                <w:color w:val="000000"/>
                <w:kern w:val="0"/>
                <w:sz w:val="24"/>
                <w:szCs w:val="28"/>
              </w:rPr>
            </w:pPr>
          </w:p>
        </w:tc>
        <w:tc>
          <w:tcPr>
            <w:tcW w:w="1121" w:type="pct"/>
            <w:tcBorders>
              <w:top w:val="single" w:color="auto" w:sz="4" w:space="0"/>
              <w:left w:val="nil"/>
              <w:bottom w:val="single" w:color="auto" w:sz="4" w:space="0"/>
              <w:right w:val="single" w:color="auto" w:sz="4" w:space="0"/>
            </w:tcBorders>
            <w:vAlign w:val="center"/>
          </w:tcPr>
          <w:p w14:paraId="42009237">
            <w:pPr>
              <w:widowControl/>
              <w:jc w:val="center"/>
              <w:rPr>
                <w:rFonts w:hint="eastAsia" w:ascii="宋体" w:hAnsi="宋体" w:eastAsia="宋体" w:cs="宋体"/>
                <w:bCs/>
                <w:color w:val="000000"/>
                <w:kern w:val="0"/>
                <w:sz w:val="24"/>
                <w:szCs w:val="28"/>
              </w:rPr>
            </w:pPr>
          </w:p>
        </w:tc>
        <w:tc>
          <w:tcPr>
            <w:tcW w:w="1253" w:type="pct"/>
            <w:tcBorders>
              <w:left w:val="single" w:color="auto" w:sz="4" w:space="0"/>
              <w:bottom w:val="single" w:color="auto" w:sz="4" w:space="0"/>
              <w:right w:val="single" w:color="auto" w:sz="4" w:space="0"/>
            </w:tcBorders>
            <w:shd w:val="clear" w:color="auto" w:fill="auto"/>
            <w:vAlign w:val="center"/>
          </w:tcPr>
          <w:p w14:paraId="692021AF">
            <w:pPr>
              <w:widowControl/>
              <w:jc w:val="center"/>
              <w:rPr>
                <w:rFonts w:hint="eastAsia" w:ascii="宋体" w:hAnsi="宋体" w:eastAsia="宋体" w:cs="宋体"/>
                <w:bCs/>
                <w:color w:val="000000"/>
                <w:kern w:val="0"/>
                <w:sz w:val="24"/>
                <w:szCs w:val="28"/>
              </w:rPr>
            </w:pPr>
          </w:p>
        </w:tc>
      </w:tr>
    </w:tbl>
    <w:p w14:paraId="63365053">
      <w:pPr>
        <w:ind w:firstLine="0" w:firstLineChars="0"/>
      </w:pPr>
      <w:r>
        <w:rPr>
          <w:rFonts w:hint="eastAsia"/>
        </w:rPr>
        <w:br w:type="page"/>
      </w:r>
    </w:p>
    <w:p w14:paraId="65608208">
      <w:pPr>
        <w:ind w:firstLine="0" w:firstLineChars="0"/>
        <w:jc w:val="center"/>
        <w:rPr>
          <w:rFonts w:hint="eastAsia"/>
        </w:rPr>
        <w:sectPr>
          <w:pgSz w:w="16838" w:h="11906" w:orient="landscape"/>
          <w:pgMar w:top="1803" w:right="1440" w:bottom="1803" w:left="1440" w:header="851" w:footer="850" w:gutter="0"/>
          <w:pgNumType w:fmt="decimal"/>
          <w:cols w:space="0" w:num="1"/>
          <w:rtlGutter w:val="0"/>
          <w:docGrid w:type="lines" w:linePitch="332" w:charSpace="0"/>
        </w:sectPr>
      </w:pPr>
    </w:p>
    <w:p w14:paraId="0AD751EA">
      <w:pPr>
        <w:widowControl/>
        <w:ind w:firstLine="560" w:firstLineChars="200"/>
        <w:jc w:val="left"/>
        <w:rPr>
          <w:rFonts w:hint="eastAsia" w:ascii="宋体" w:hAnsi="宋体" w:eastAsia="宋体" w:cs="宋体"/>
          <w:bCs/>
          <w:kern w:val="0"/>
          <w:sz w:val="28"/>
          <w:szCs w:val="32"/>
        </w:rPr>
      </w:pPr>
      <w:r>
        <w:rPr>
          <w:rFonts w:hint="eastAsia" w:ascii="宋体" w:hAnsi="宋体" w:eastAsia="宋体" w:cs="宋体"/>
          <w:bCs/>
          <w:kern w:val="0"/>
          <w:sz w:val="28"/>
          <w:szCs w:val="32"/>
        </w:rPr>
        <w:t>（一）贵州中烟商标纸二维码位置示例</w:t>
      </w:r>
    </w:p>
    <w:p w14:paraId="0D2E328E">
      <w:pPr>
        <w:widowControl/>
        <w:ind w:firstLine="560" w:firstLineChars="200"/>
        <w:jc w:val="left"/>
        <w:rPr>
          <w:rFonts w:hint="eastAsia" w:ascii="宋体" w:hAnsi="宋体" w:eastAsia="宋体" w:cs="宋体"/>
          <w:bCs/>
          <w:kern w:val="0"/>
          <w:sz w:val="28"/>
          <w:szCs w:val="32"/>
        </w:rPr>
      </w:pPr>
      <w:r>
        <w:rPr>
          <w:rFonts w:hint="eastAsia" w:ascii="宋体" w:hAnsi="宋体" w:eastAsia="宋体" w:cs="宋体"/>
          <w:bCs/>
          <w:kern w:val="0"/>
          <w:sz w:val="28"/>
          <w:szCs w:val="32"/>
        </w:rPr>
        <w:t>1.示例一：常规硬包</w:t>
      </w:r>
    </w:p>
    <w:p w14:paraId="293F3A8B">
      <w:pPr>
        <w:widowControl/>
        <w:ind w:left="-1080" w:leftChars="-45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6624955" cy="3147060"/>
            <wp:effectExtent l="0" t="0" r="4445" b="15240"/>
            <wp:docPr id="40" name="图片 40" descr="D:\Documents\WeChat Files\happyfl_hit\FileStorage\Temp\1680233925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Documents\WeChat Files\happyfl_hit\FileStorage\Temp\1680233925677.png"/>
                    <pic:cNvPicPr>
                      <a:picLocks noChangeAspect="1" noChangeArrowheads="1"/>
                    </pic:cNvPicPr>
                  </pic:nvPicPr>
                  <pic:blipFill>
                    <a:blip r:embed="rId11" cstate="print"/>
                    <a:srcRect/>
                    <a:stretch>
                      <a:fillRect/>
                    </a:stretch>
                  </pic:blipFill>
                  <pic:spPr>
                    <a:xfrm>
                      <a:off x="0" y="0"/>
                      <a:ext cx="6634785" cy="3151811"/>
                    </a:xfrm>
                    <a:prstGeom prst="rect">
                      <a:avLst/>
                    </a:prstGeom>
                    <a:noFill/>
                    <a:ln w="9525">
                      <a:noFill/>
                      <a:miter lim="800000"/>
                      <a:headEnd/>
                      <a:tailEnd/>
                    </a:ln>
                  </pic:spPr>
                </pic:pic>
              </a:graphicData>
            </a:graphic>
          </wp:inline>
        </w:drawing>
      </w:r>
    </w:p>
    <w:p w14:paraId="5B27C64B">
      <w:pPr>
        <w:widowControl/>
        <w:ind w:left="-480" w:leftChars="-20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5802630" cy="4348480"/>
            <wp:effectExtent l="0" t="0" r="7620" b="13970"/>
            <wp:docPr id="54" name="图片 6" descr="D:\Documents\WeChat Files\happyfl_hit\FileStorage\Temp\1680234143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descr="D:\Documents\WeChat Files\happyfl_hit\FileStorage\Temp\1680234143500.png"/>
                    <pic:cNvPicPr>
                      <a:picLocks noChangeAspect="1" noChangeArrowheads="1"/>
                    </pic:cNvPicPr>
                  </pic:nvPicPr>
                  <pic:blipFill>
                    <a:blip r:embed="rId12" cstate="print"/>
                    <a:srcRect/>
                    <a:stretch>
                      <a:fillRect/>
                    </a:stretch>
                  </pic:blipFill>
                  <pic:spPr>
                    <a:xfrm>
                      <a:off x="0" y="0"/>
                      <a:ext cx="5808025" cy="4352381"/>
                    </a:xfrm>
                    <a:prstGeom prst="rect">
                      <a:avLst/>
                    </a:prstGeom>
                    <a:noFill/>
                    <a:ln w="9525">
                      <a:noFill/>
                      <a:miter lim="800000"/>
                      <a:headEnd/>
                      <a:tailEnd/>
                    </a:ln>
                  </pic:spPr>
                </pic:pic>
              </a:graphicData>
            </a:graphic>
          </wp:inline>
        </w:drawing>
      </w:r>
    </w:p>
    <w:p w14:paraId="669A9455">
      <w:pPr>
        <w:widowControl/>
        <w:ind w:firstLine="560" w:firstLineChars="200"/>
        <w:jc w:val="left"/>
        <w:rPr>
          <w:rFonts w:hint="eastAsia" w:ascii="宋体" w:hAnsi="宋体" w:eastAsia="宋体" w:cs="宋体"/>
          <w:bCs/>
          <w:kern w:val="0"/>
          <w:sz w:val="28"/>
          <w:szCs w:val="32"/>
        </w:rPr>
      </w:pPr>
      <w:r>
        <w:rPr>
          <w:rFonts w:hint="eastAsia" w:ascii="宋体" w:hAnsi="宋体" w:eastAsia="宋体" w:cs="宋体"/>
          <w:bCs/>
          <w:kern w:val="0"/>
          <w:sz w:val="28"/>
          <w:szCs w:val="32"/>
        </w:rPr>
        <w:t>2.示例二：常规软包</w:t>
      </w:r>
    </w:p>
    <w:p w14:paraId="7A159A4F">
      <w:pPr>
        <w:widowControl/>
        <w:ind w:left="-720" w:leftChars="-30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5760720" cy="3262630"/>
            <wp:effectExtent l="0" t="0" r="11430" b="13970"/>
            <wp:docPr id="55" name="图片 5" descr="D:\Documents\WeChat Files\happyfl_hit\FileStorage\Temp\1680234022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descr="D:\Documents\WeChat Files\happyfl_hit\FileStorage\Temp\1680234022623.png"/>
                    <pic:cNvPicPr>
                      <a:picLocks noChangeAspect="1" noChangeArrowheads="1"/>
                    </pic:cNvPicPr>
                  </pic:nvPicPr>
                  <pic:blipFill>
                    <a:blip r:embed="rId13" cstate="print"/>
                    <a:srcRect/>
                    <a:stretch>
                      <a:fillRect/>
                    </a:stretch>
                  </pic:blipFill>
                  <pic:spPr>
                    <a:xfrm>
                      <a:off x="0" y="0"/>
                      <a:ext cx="5760720" cy="3263165"/>
                    </a:xfrm>
                    <a:prstGeom prst="rect">
                      <a:avLst/>
                    </a:prstGeom>
                    <a:noFill/>
                    <a:ln w="9525">
                      <a:noFill/>
                      <a:miter lim="800000"/>
                      <a:headEnd/>
                      <a:tailEnd/>
                    </a:ln>
                  </pic:spPr>
                </pic:pic>
              </a:graphicData>
            </a:graphic>
          </wp:inline>
        </w:drawing>
      </w:r>
    </w:p>
    <w:p w14:paraId="0C3A9850">
      <w:pPr>
        <w:widowControl/>
        <w:ind w:left="-720" w:leftChars="-300"/>
        <w:jc w:val="center"/>
        <w:rPr>
          <w:rFonts w:hint="eastAsia" w:ascii="宋体" w:hAnsi="宋体" w:eastAsia="宋体" w:cs="宋体"/>
          <w:bCs/>
          <w:kern w:val="0"/>
          <w:sz w:val="28"/>
          <w:szCs w:val="32"/>
        </w:rPr>
      </w:pPr>
    </w:p>
    <w:p w14:paraId="00A07F95">
      <w:pPr>
        <w:widowControl/>
        <w:ind w:left="-120" w:leftChars="-5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5760720" cy="4436110"/>
            <wp:effectExtent l="0" t="0" r="11430" b="2540"/>
            <wp:docPr id="56" name="图片 7" descr="D:\Documents\WeChat Files\happyfl_hit\FileStorage\Temp\168023422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descr="D:\Documents\WeChat Files\happyfl_hit\FileStorage\Temp\1680234223312.png"/>
                    <pic:cNvPicPr>
                      <a:picLocks noChangeAspect="1" noChangeArrowheads="1"/>
                    </pic:cNvPicPr>
                  </pic:nvPicPr>
                  <pic:blipFill>
                    <a:blip r:embed="rId14" cstate="print"/>
                    <a:srcRect/>
                    <a:stretch>
                      <a:fillRect/>
                    </a:stretch>
                  </pic:blipFill>
                  <pic:spPr>
                    <a:xfrm>
                      <a:off x="0" y="0"/>
                      <a:ext cx="5760720" cy="4436377"/>
                    </a:xfrm>
                    <a:prstGeom prst="rect">
                      <a:avLst/>
                    </a:prstGeom>
                    <a:noFill/>
                    <a:ln w="9525">
                      <a:noFill/>
                      <a:miter lim="800000"/>
                      <a:headEnd/>
                      <a:tailEnd/>
                    </a:ln>
                  </pic:spPr>
                </pic:pic>
              </a:graphicData>
            </a:graphic>
          </wp:inline>
        </w:drawing>
      </w:r>
    </w:p>
    <w:p w14:paraId="01148CF1">
      <w:pPr>
        <w:widowControl/>
        <w:ind w:firstLine="560" w:firstLineChars="200"/>
        <w:jc w:val="left"/>
        <w:rPr>
          <w:rFonts w:hint="eastAsia" w:ascii="宋体" w:hAnsi="宋体" w:eastAsia="宋体" w:cs="宋体"/>
          <w:bCs/>
          <w:kern w:val="0"/>
          <w:sz w:val="28"/>
          <w:szCs w:val="32"/>
        </w:rPr>
      </w:pPr>
      <w:r>
        <w:rPr>
          <w:rFonts w:hint="eastAsia" w:ascii="宋体" w:hAnsi="宋体" w:eastAsia="宋体" w:cs="宋体"/>
          <w:bCs/>
          <w:kern w:val="0"/>
          <w:sz w:val="28"/>
          <w:szCs w:val="32"/>
        </w:rPr>
        <w:t>3.示例三：细支</w:t>
      </w:r>
    </w:p>
    <w:p w14:paraId="4697548A">
      <w:pPr>
        <w:widowControl/>
        <w:ind w:left="-1200" w:leftChars="-50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6558915" cy="2615565"/>
            <wp:effectExtent l="0" t="0" r="13335" b="13335"/>
            <wp:docPr id="59" name="图片 8" descr="D:\Documents\WeChat Files\happyfl_hit\FileStorage\Temp\1680234315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descr="D:\Documents\WeChat Files\happyfl_hit\FileStorage\Temp\1680234315235.png"/>
                    <pic:cNvPicPr>
                      <a:picLocks noChangeAspect="1" noChangeArrowheads="1"/>
                    </pic:cNvPicPr>
                  </pic:nvPicPr>
                  <pic:blipFill>
                    <a:blip r:embed="rId15" cstate="print"/>
                    <a:srcRect/>
                    <a:stretch>
                      <a:fillRect/>
                    </a:stretch>
                  </pic:blipFill>
                  <pic:spPr>
                    <a:xfrm>
                      <a:off x="0" y="0"/>
                      <a:ext cx="6560821" cy="2616291"/>
                    </a:xfrm>
                    <a:prstGeom prst="rect">
                      <a:avLst/>
                    </a:prstGeom>
                    <a:noFill/>
                    <a:ln w="9525">
                      <a:noFill/>
                      <a:miter lim="800000"/>
                      <a:headEnd/>
                      <a:tailEnd/>
                    </a:ln>
                  </pic:spPr>
                </pic:pic>
              </a:graphicData>
            </a:graphic>
          </wp:inline>
        </w:drawing>
      </w:r>
    </w:p>
    <w:p w14:paraId="5AEC3885">
      <w:pPr>
        <w:widowControl/>
        <w:ind w:left="-1200" w:leftChars="-500"/>
        <w:jc w:val="center"/>
        <w:rPr>
          <w:rFonts w:hint="eastAsia" w:ascii="宋体" w:hAnsi="宋体" w:eastAsia="宋体" w:cs="宋体"/>
          <w:bCs/>
          <w:kern w:val="0"/>
          <w:sz w:val="28"/>
          <w:szCs w:val="32"/>
        </w:rPr>
      </w:pPr>
    </w:p>
    <w:p w14:paraId="623DD7D0">
      <w:pPr>
        <w:widowControl/>
        <w:ind w:left="-960" w:leftChars="-40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6599555" cy="4826635"/>
            <wp:effectExtent l="0" t="0" r="10795" b="12065"/>
            <wp:docPr id="70" name="图片 9" descr="D:\Documents\WeChat Files\happyfl_hit\FileStorage\Temp\1680234394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descr="D:\Documents\WeChat Files\happyfl_hit\FileStorage\Temp\1680234394148.png"/>
                    <pic:cNvPicPr>
                      <a:picLocks noChangeAspect="1" noChangeArrowheads="1"/>
                    </pic:cNvPicPr>
                  </pic:nvPicPr>
                  <pic:blipFill>
                    <a:blip r:embed="rId16" cstate="print"/>
                    <a:srcRect/>
                    <a:stretch>
                      <a:fillRect/>
                    </a:stretch>
                  </pic:blipFill>
                  <pic:spPr>
                    <a:xfrm>
                      <a:off x="0" y="0"/>
                      <a:ext cx="6604462" cy="4830431"/>
                    </a:xfrm>
                    <a:prstGeom prst="rect">
                      <a:avLst/>
                    </a:prstGeom>
                    <a:noFill/>
                    <a:ln w="9525">
                      <a:noFill/>
                      <a:miter lim="800000"/>
                      <a:headEnd/>
                      <a:tailEnd/>
                    </a:ln>
                  </pic:spPr>
                </pic:pic>
              </a:graphicData>
            </a:graphic>
          </wp:inline>
        </w:drawing>
      </w:r>
    </w:p>
    <w:p w14:paraId="6F571BE0">
      <w:pPr>
        <w:widowControl/>
        <w:ind w:firstLine="560" w:firstLineChars="200"/>
        <w:jc w:val="left"/>
        <w:rPr>
          <w:rFonts w:hint="eastAsia" w:ascii="宋体" w:hAnsi="宋体" w:eastAsia="宋体" w:cs="宋体"/>
          <w:bCs/>
          <w:kern w:val="0"/>
          <w:sz w:val="28"/>
          <w:szCs w:val="32"/>
        </w:rPr>
      </w:pPr>
    </w:p>
    <w:p w14:paraId="2068DEF7">
      <w:pPr>
        <w:widowControl/>
        <w:ind w:firstLine="560" w:firstLineChars="200"/>
        <w:jc w:val="left"/>
        <w:rPr>
          <w:rFonts w:hint="eastAsia" w:ascii="宋体" w:hAnsi="宋体" w:eastAsia="宋体" w:cs="宋体"/>
          <w:bCs/>
          <w:kern w:val="0"/>
          <w:sz w:val="28"/>
          <w:szCs w:val="32"/>
        </w:rPr>
      </w:pPr>
      <w:r>
        <w:rPr>
          <w:rFonts w:hint="eastAsia" w:ascii="宋体" w:hAnsi="宋体" w:eastAsia="宋体" w:cs="宋体"/>
          <w:bCs/>
          <w:kern w:val="0"/>
          <w:sz w:val="28"/>
          <w:szCs w:val="32"/>
        </w:rPr>
        <w:t>4.示例四：中支</w:t>
      </w:r>
    </w:p>
    <w:p w14:paraId="48A4B245">
      <w:pPr>
        <w:widowControl/>
        <w:ind w:left="-1200" w:leftChars="-50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6668770" cy="2987675"/>
            <wp:effectExtent l="0" t="0" r="17780" b="3175"/>
            <wp:docPr id="88" name="图片 10" descr="D:\Documents\WeChat Files\happyfl_hit\FileStorage\Temp\1680234524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descr="D:\Documents\WeChat Files\happyfl_hit\FileStorage\Temp\1680234524022.png"/>
                    <pic:cNvPicPr>
                      <a:picLocks noChangeAspect="1" noChangeArrowheads="1"/>
                    </pic:cNvPicPr>
                  </pic:nvPicPr>
                  <pic:blipFill>
                    <a:blip r:embed="rId17" cstate="print"/>
                    <a:srcRect/>
                    <a:stretch>
                      <a:fillRect/>
                    </a:stretch>
                  </pic:blipFill>
                  <pic:spPr>
                    <a:xfrm>
                      <a:off x="0" y="0"/>
                      <a:ext cx="6664049" cy="2985499"/>
                    </a:xfrm>
                    <a:prstGeom prst="rect">
                      <a:avLst/>
                    </a:prstGeom>
                    <a:noFill/>
                    <a:ln w="9525">
                      <a:noFill/>
                      <a:miter lim="800000"/>
                      <a:headEnd/>
                      <a:tailEnd/>
                    </a:ln>
                  </pic:spPr>
                </pic:pic>
              </a:graphicData>
            </a:graphic>
          </wp:inline>
        </w:drawing>
      </w:r>
    </w:p>
    <w:p w14:paraId="4E892D0F">
      <w:pPr>
        <w:widowControl/>
        <w:ind w:left="-720" w:leftChars="-30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5973445" cy="4944110"/>
            <wp:effectExtent l="0" t="0" r="8255" b="8890"/>
            <wp:docPr id="147" name="图片 11" descr="D:\Documents\WeChat Files\happyfl_hit\FileStorage\Temp\1680234568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 descr="D:\Documents\WeChat Files\happyfl_hit\FileStorage\Temp\1680234568686.png"/>
                    <pic:cNvPicPr>
                      <a:picLocks noChangeAspect="1" noChangeArrowheads="1"/>
                    </pic:cNvPicPr>
                  </pic:nvPicPr>
                  <pic:blipFill>
                    <a:blip r:embed="rId18" cstate="print"/>
                    <a:srcRect/>
                    <a:stretch>
                      <a:fillRect/>
                    </a:stretch>
                  </pic:blipFill>
                  <pic:spPr>
                    <a:xfrm>
                      <a:off x="0" y="0"/>
                      <a:ext cx="5973830" cy="4944140"/>
                    </a:xfrm>
                    <a:prstGeom prst="rect">
                      <a:avLst/>
                    </a:prstGeom>
                    <a:noFill/>
                    <a:ln w="9525">
                      <a:noFill/>
                      <a:miter lim="800000"/>
                      <a:headEnd/>
                      <a:tailEnd/>
                    </a:ln>
                  </pic:spPr>
                </pic:pic>
              </a:graphicData>
            </a:graphic>
          </wp:inline>
        </w:drawing>
      </w:r>
    </w:p>
    <w:p w14:paraId="70094E10">
      <w:pPr>
        <w:widowControl/>
        <w:jc w:val="left"/>
        <w:rPr>
          <w:rFonts w:hint="eastAsia" w:ascii="宋体" w:hAnsi="宋体" w:eastAsia="宋体" w:cs="宋体"/>
          <w:bCs/>
          <w:kern w:val="0"/>
          <w:sz w:val="28"/>
          <w:szCs w:val="32"/>
        </w:rPr>
      </w:pPr>
    </w:p>
    <w:p w14:paraId="2C64A754">
      <w:pPr>
        <w:widowControl/>
        <w:jc w:val="left"/>
        <w:rPr>
          <w:rFonts w:hint="eastAsia" w:ascii="宋体" w:hAnsi="宋体" w:eastAsia="宋体" w:cs="宋体"/>
          <w:bCs/>
          <w:kern w:val="0"/>
          <w:sz w:val="28"/>
          <w:szCs w:val="32"/>
        </w:rPr>
      </w:pPr>
      <w:r>
        <w:rPr>
          <w:rFonts w:hint="eastAsia" w:ascii="宋体" w:hAnsi="宋体" w:eastAsia="宋体" w:cs="宋体"/>
          <w:bCs/>
          <w:kern w:val="0"/>
          <w:sz w:val="28"/>
          <w:szCs w:val="32"/>
        </w:rPr>
        <w:t>5.示例五：短支软包硬化</w:t>
      </w:r>
    </w:p>
    <w:p w14:paraId="41F7614A">
      <w:pPr>
        <w:widowControl/>
        <w:ind w:left="-360" w:leftChars="-150"/>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5760720" cy="4040505"/>
            <wp:effectExtent l="0" t="0" r="11430" b="17145"/>
            <wp:docPr id="148" name="图片 12" descr="D:\Documents\WeChat Files\happyfl_hit\FileStorage\Temp\1680234694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 descr="D:\Documents\WeChat Files\happyfl_hit\FileStorage\Temp\1680234694288.png"/>
                    <pic:cNvPicPr>
                      <a:picLocks noChangeAspect="1" noChangeArrowheads="1"/>
                    </pic:cNvPicPr>
                  </pic:nvPicPr>
                  <pic:blipFill>
                    <a:blip r:embed="rId19" cstate="print"/>
                    <a:srcRect/>
                    <a:stretch>
                      <a:fillRect/>
                    </a:stretch>
                  </pic:blipFill>
                  <pic:spPr>
                    <a:xfrm>
                      <a:off x="0" y="0"/>
                      <a:ext cx="5760720" cy="4040957"/>
                    </a:xfrm>
                    <a:prstGeom prst="rect">
                      <a:avLst/>
                    </a:prstGeom>
                    <a:noFill/>
                    <a:ln w="9525">
                      <a:noFill/>
                      <a:miter lim="800000"/>
                      <a:headEnd/>
                      <a:tailEnd/>
                    </a:ln>
                  </pic:spPr>
                </pic:pic>
              </a:graphicData>
            </a:graphic>
          </wp:inline>
        </w:drawing>
      </w:r>
    </w:p>
    <w:p w14:paraId="6E739A16">
      <w:pPr>
        <w:widowControl/>
        <w:jc w:val="center"/>
        <w:rPr>
          <w:rFonts w:hint="eastAsia" w:ascii="宋体" w:hAnsi="宋体" w:eastAsia="宋体" w:cs="宋体"/>
          <w:bCs/>
          <w:kern w:val="0"/>
          <w:sz w:val="28"/>
          <w:szCs w:val="32"/>
        </w:rPr>
      </w:pPr>
      <w:r>
        <w:rPr>
          <w:rFonts w:hint="eastAsia" w:ascii="宋体" w:hAnsi="宋体" w:eastAsia="宋体" w:cs="宋体"/>
          <w:bCs/>
          <w:kern w:val="0"/>
          <w:sz w:val="28"/>
          <w:szCs w:val="32"/>
        </w:rPr>
        <w:drawing>
          <wp:inline distT="0" distB="0" distL="0" distR="0">
            <wp:extent cx="5760720" cy="4002405"/>
            <wp:effectExtent l="0" t="0" r="11430" b="17145"/>
            <wp:docPr id="149" name="图片 13" descr="D:\Documents\WeChat Files\happyfl_hit\FileStorage\Temp\1680234728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 descr="D:\Documents\WeChat Files\happyfl_hit\FileStorage\Temp\1680234728819.png"/>
                    <pic:cNvPicPr>
                      <a:picLocks noChangeAspect="1" noChangeArrowheads="1"/>
                    </pic:cNvPicPr>
                  </pic:nvPicPr>
                  <pic:blipFill>
                    <a:blip r:embed="rId20" cstate="print"/>
                    <a:srcRect/>
                    <a:stretch>
                      <a:fillRect/>
                    </a:stretch>
                  </pic:blipFill>
                  <pic:spPr>
                    <a:xfrm>
                      <a:off x="0" y="0"/>
                      <a:ext cx="5760720" cy="4002448"/>
                    </a:xfrm>
                    <a:prstGeom prst="rect">
                      <a:avLst/>
                    </a:prstGeom>
                    <a:noFill/>
                    <a:ln w="9525">
                      <a:noFill/>
                      <a:miter lim="800000"/>
                      <a:headEnd/>
                      <a:tailEnd/>
                    </a:ln>
                  </pic:spPr>
                </pic:pic>
              </a:graphicData>
            </a:graphic>
          </wp:inline>
        </w:drawing>
      </w:r>
    </w:p>
    <w:p w14:paraId="3836B042">
      <w:pPr>
        <w:rPr>
          <w:rFonts w:hint="eastAsia" w:ascii="宋体" w:hAnsi="宋体" w:eastAsia="宋体" w:cs="宋体"/>
          <w:bCs/>
          <w:kern w:val="0"/>
          <w:sz w:val="28"/>
          <w:szCs w:val="32"/>
        </w:rPr>
      </w:pPr>
      <w:r>
        <w:rPr>
          <w:rFonts w:hint="eastAsia" w:ascii="宋体" w:hAnsi="宋体" w:eastAsia="宋体" w:cs="宋体"/>
          <w:bCs/>
          <w:kern w:val="0"/>
          <w:sz w:val="28"/>
          <w:szCs w:val="32"/>
        </w:rPr>
        <w:br w:type="page"/>
      </w:r>
    </w:p>
    <w:p w14:paraId="40A49431">
      <w:pPr>
        <w:pStyle w:val="4"/>
        <w:rPr>
          <w:rFonts w:hint="eastAsia"/>
        </w:rPr>
      </w:pPr>
    </w:p>
    <w:p w14:paraId="65F34839">
      <w:pPr>
        <w:widowControl/>
        <w:jc w:val="left"/>
        <w:rPr>
          <w:rFonts w:hint="eastAsia" w:ascii="宋体" w:hAnsi="宋体" w:eastAsia="宋体" w:cs="宋体"/>
          <w:bCs/>
          <w:kern w:val="0"/>
          <w:sz w:val="28"/>
          <w:szCs w:val="32"/>
        </w:rPr>
      </w:pPr>
      <w:r>
        <w:rPr>
          <w:rFonts w:hint="eastAsia" w:ascii="宋体" w:hAnsi="宋体" w:eastAsia="宋体" w:cs="宋体"/>
          <w:bCs/>
          <w:kern w:val="0"/>
          <w:sz w:val="28"/>
          <w:szCs w:val="32"/>
        </w:rPr>
        <w:t>（二）</w:t>
      </w:r>
      <w:r>
        <w:rPr>
          <w:rFonts w:hint="eastAsia" w:ascii="宋体" w:hAnsi="宋体" w:eastAsia="宋体" w:cs="宋体"/>
          <w:b/>
          <w:bCs/>
          <w:color w:val="000000"/>
          <w:kern w:val="0"/>
          <w:sz w:val="30"/>
          <w:szCs w:val="30"/>
        </w:rPr>
        <w:t>贵州中烟二维码位置设计汇总表</w:t>
      </w:r>
    </w:p>
    <w:tbl>
      <w:tblPr>
        <w:tblStyle w:val="43"/>
        <w:tblW w:w="5000" w:type="pct"/>
        <w:tblInd w:w="0" w:type="dxa"/>
        <w:tblLayout w:type="autofit"/>
        <w:tblCellMar>
          <w:top w:w="0" w:type="dxa"/>
          <w:left w:w="108" w:type="dxa"/>
          <w:bottom w:w="0" w:type="dxa"/>
          <w:right w:w="108" w:type="dxa"/>
        </w:tblCellMar>
      </w:tblPr>
      <w:tblGrid>
        <w:gridCol w:w="385"/>
        <w:gridCol w:w="386"/>
        <w:gridCol w:w="890"/>
        <w:gridCol w:w="772"/>
        <w:gridCol w:w="679"/>
        <w:gridCol w:w="587"/>
        <w:gridCol w:w="587"/>
        <w:gridCol w:w="1142"/>
        <w:gridCol w:w="679"/>
        <w:gridCol w:w="679"/>
        <w:gridCol w:w="679"/>
        <w:gridCol w:w="679"/>
        <w:gridCol w:w="1142"/>
      </w:tblGrid>
      <w:tr w14:paraId="25C6FD43">
        <w:tblPrEx>
          <w:tblCellMar>
            <w:top w:w="0" w:type="dxa"/>
            <w:left w:w="108" w:type="dxa"/>
            <w:bottom w:w="0" w:type="dxa"/>
            <w:right w:w="108" w:type="dxa"/>
          </w:tblCellMar>
        </w:tblPrEx>
        <w:trPr>
          <w:trHeight w:val="739" w:hRule="atLeast"/>
        </w:trPr>
        <w:tc>
          <w:tcPr>
            <w:tcW w:w="5000" w:type="pct"/>
            <w:gridSpan w:val="13"/>
            <w:tcBorders>
              <w:top w:val="nil"/>
              <w:left w:val="nil"/>
              <w:bottom w:val="single" w:color="auto" w:sz="4" w:space="0"/>
              <w:right w:val="nil"/>
            </w:tcBorders>
            <w:shd w:val="clear" w:color="auto" w:fill="auto"/>
            <w:noWrap/>
            <w:vAlign w:val="center"/>
          </w:tcPr>
          <w:p w14:paraId="0AB72C1F">
            <w:pPr>
              <w:widowControl/>
              <w:jc w:val="center"/>
              <w:rPr>
                <w:rFonts w:hint="eastAsia" w:ascii="宋体" w:hAnsi="宋体" w:eastAsia="宋体" w:cs="宋体"/>
                <w:b/>
                <w:bCs/>
                <w:color w:val="000000"/>
                <w:kern w:val="0"/>
                <w:sz w:val="30"/>
                <w:szCs w:val="30"/>
              </w:rPr>
            </w:pPr>
            <w:r>
              <w:rPr>
                <w:rFonts w:hint="eastAsia" w:ascii="宋体" w:hAnsi="宋体" w:eastAsia="宋体" w:cs="宋体"/>
                <w:b/>
                <w:bCs/>
                <w:color w:val="000000"/>
                <w:kern w:val="0"/>
                <w:sz w:val="30"/>
                <w:szCs w:val="30"/>
              </w:rPr>
              <w:t>贵州中烟工业有限责任公司二维码改版方案现行情况汇总表</w:t>
            </w:r>
          </w:p>
        </w:tc>
      </w:tr>
      <w:tr w14:paraId="013B7772">
        <w:tblPrEx>
          <w:tblCellMar>
            <w:top w:w="0" w:type="dxa"/>
            <w:left w:w="108" w:type="dxa"/>
            <w:bottom w:w="0" w:type="dxa"/>
            <w:right w:w="108" w:type="dxa"/>
          </w:tblCellMar>
        </w:tblPrEx>
        <w:trPr>
          <w:trHeight w:val="270" w:hRule="atLeast"/>
        </w:trPr>
        <w:tc>
          <w:tcPr>
            <w:tcW w:w="200" w:type="pct"/>
            <w:vMerge w:val="restart"/>
            <w:tcBorders>
              <w:top w:val="nil"/>
              <w:left w:val="single" w:color="auto" w:sz="4" w:space="0"/>
              <w:bottom w:val="single" w:color="auto" w:sz="4" w:space="0"/>
              <w:right w:val="single" w:color="auto" w:sz="4" w:space="0"/>
            </w:tcBorders>
            <w:shd w:val="clear" w:color="auto" w:fill="auto"/>
            <w:vAlign w:val="center"/>
          </w:tcPr>
          <w:p w14:paraId="085AA013">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序号</w:t>
            </w:r>
          </w:p>
        </w:tc>
        <w:tc>
          <w:tcPr>
            <w:tcW w:w="199" w:type="pct"/>
            <w:vMerge w:val="restart"/>
            <w:tcBorders>
              <w:top w:val="nil"/>
              <w:left w:val="single" w:color="auto" w:sz="4" w:space="0"/>
              <w:bottom w:val="single" w:color="auto" w:sz="4" w:space="0"/>
              <w:right w:val="single" w:color="auto" w:sz="4" w:space="0"/>
            </w:tcBorders>
            <w:shd w:val="clear" w:color="auto" w:fill="auto"/>
            <w:vAlign w:val="center"/>
          </w:tcPr>
          <w:p w14:paraId="02783218">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类型</w:t>
            </w:r>
          </w:p>
        </w:tc>
        <w:tc>
          <w:tcPr>
            <w:tcW w:w="601" w:type="pct"/>
            <w:vMerge w:val="restart"/>
            <w:tcBorders>
              <w:top w:val="nil"/>
              <w:left w:val="single" w:color="auto" w:sz="4" w:space="0"/>
              <w:bottom w:val="single" w:color="auto" w:sz="4" w:space="0"/>
              <w:right w:val="single" w:color="auto" w:sz="4" w:space="0"/>
            </w:tcBorders>
            <w:shd w:val="clear" w:color="auto" w:fill="auto"/>
            <w:vAlign w:val="center"/>
          </w:tcPr>
          <w:p w14:paraId="61A45FA0">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牌号</w:t>
            </w:r>
          </w:p>
        </w:tc>
        <w:tc>
          <w:tcPr>
            <w:tcW w:w="1939" w:type="pct"/>
            <w:gridSpan w:val="5"/>
            <w:tcBorders>
              <w:top w:val="single" w:color="auto" w:sz="4" w:space="0"/>
              <w:left w:val="nil"/>
              <w:bottom w:val="single" w:color="auto" w:sz="4" w:space="0"/>
              <w:right w:val="single" w:color="auto" w:sz="4" w:space="0"/>
            </w:tcBorders>
            <w:shd w:val="clear" w:color="auto" w:fill="auto"/>
            <w:vAlign w:val="center"/>
          </w:tcPr>
          <w:p w14:paraId="115260BE">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小盒二维码</w:t>
            </w:r>
          </w:p>
        </w:tc>
        <w:tc>
          <w:tcPr>
            <w:tcW w:w="2059" w:type="pct"/>
            <w:gridSpan w:val="5"/>
            <w:tcBorders>
              <w:top w:val="single" w:color="auto" w:sz="4" w:space="0"/>
              <w:left w:val="nil"/>
              <w:bottom w:val="single" w:color="auto" w:sz="4" w:space="0"/>
              <w:right w:val="single" w:color="auto" w:sz="4" w:space="0"/>
            </w:tcBorders>
            <w:shd w:val="clear" w:color="auto" w:fill="auto"/>
            <w:vAlign w:val="center"/>
          </w:tcPr>
          <w:p w14:paraId="612D9FF2">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条盒二维码</w:t>
            </w:r>
          </w:p>
        </w:tc>
      </w:tr>
      <w:tr w14:paraId="6C16B4CF">
        <w:tblPrEx>
          <w:tblCellMar>
            <w:top w:w="0" w:type="dxa"/>
            <w:left w:w="108" w:type="dxa"/>
            <w:bottom w:w="0" w:type="dxa"/>
            <w:right w:w="108" w:type="dxa"/>
          </w:tblCellMar>
        </w:tblPrEx>
        <w:trPr>
          <w:trHeight w:val="462" w:hRule="atLeast"/>
        </w:trPr>
        <w:tc>
          <w:tcPr>
            <w:tcW w:w="200" w:type="pct"/>
            <w:vMerge w:val="continue"/>
            <w:tcBorders>
              <w:top w:val="nil"/>
              <w:left w:val="single" w:color="auto" w:sz="4" w:space="0"/>
              <w:bottom w:val="single" w:color="auto" w:sz="4" w:space="0"/>
              <w:right w:val="single" w:color="auto" w:sz="4" w:space="0"/>
            </w:tcBorders>
            <w:shd w:val="clear" w:color="auto" w:fill="auto"/>
            <w:vAlign w:val="center"/>
          </w:tcPr>
          <w:p w14:paraId="7970143B">
            <w:pPr>
              <w:widowControl/>
              <w:jc w:val="left"/>
              <w:rPr>
                <w:rFonts w:hint="eastAsia" w:ascii="宋体" w:hAnsi="宋体" w:eastAsia="宋体" w:cs="宋体"/>
                <w:b/>
                <w:bCs/>
                <w:kern w:val="0"/>
                <w:sz w:val="20"/>
                <w:szCs w:val="20"/>
              </w:rPr>
            </w:pPr>
          </w:p>
        </w:tc>
        <w:tc>
          <w:tcPr>
            <w:tcW w:w="199" w:type="pct"/>
            <w:vMerge w:val="continue"/>
            <w:tcBorders>
              <w:top w:val="nil"/>
              <w:left w:val="single" w:color="auto" w:sz="4" w:space="0"/>
              <w:bottom w:val="single" w:color="auto" w:sz="4" w:space="0"/>
              <w:right w:val="single" w:color="auto" w:sz="4" w:space="0"/>
            </w:tcBorders>
            <w:shd w:val="clear" w:color="auto" w:fill="auto"/>
            <w:vAlign w:val="center"/>
          </w:tcPr>
          <w:p w14:paraId="71AB8371">
            <w:pPr>
              <w:widowControl/>
              <w:jc w:val="left"/>
              <w:rPr>
                <w:rFonts w:hint="eastAsia" w:ascii="宋体" w:hAnsi="宋体" w:eastAsia="宋体" w:cs="宋体"/>
                <w:b/>
                <w:bCs/>
                <w:kern w:val="0"/>
                <w:sz w:val="20"/>
                <w:szCs w:val="20"/>
              </w:rPr>
            </w:pPr>
          </w:p>
        </w:tc>
        <w:tc>
          <w:tcPr>
            <w:tcW w:w="601" w:type="pct"/>
            <w:vMerge w:val="continue"/>
            <w:tcBorders>
              <w:top w:val="nil"/>
              <w:left w:val="single" w:color="auto" w:sz="4" w:space="0"/>
              <w:bottom w:val="single" w:color="auto" w:sz="4" w:space="0"/>
              <w:right w:val="single" w:color="auto" w:sz="4" w:space="0"/>
            </w:tcBorders>
            <w:shd w:val="clear" w:color="auto" w:fill="auto"/>
            <w:vAlign w:val="center"/>
          </w:tcPr>
          <w:p w14:paraId="1E1883B7">
            <w:pPr>
              <w:widowControl/>
              <w:jc w:val="left"/>
              <w:rPr>
                <w:rFonts w:hint="eastAsia" w:ascii="宋体" w:hAnsi="宋体" w:eastAsia="宋体" w:cs="宋体"/>
                <w:b/>
                <w:bCs/>
                <w:kern w:val="0"/>
                <w:sz w:val="20"/>
                <w:szCs w:val="20"/>
              </w:rPr>
            </w:pPr>
          </w:p>
        </w:tc>
        <w:tc>
          <w:tcPr>
            <w:tcW w:w="401" w:type="pct"/>
            <w:tcBorders>
              <w:top w:val="nil"/>
              <w:left w:val="nil"/>
              <w:bottom w:val="nil"/>
              <w:right w:val="single" w:color="auto" w:sz="4" w:space="0"/>
            </w:tcBorders>
            <w:shd w:val="clear" w:color="auto" w:fill="auto"/>
            <w:vAlign w:val="center"/>
          </w:tcPr>
          <w:p w14:paraId="2B9DBCDF">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二维码大小</w:t>
            </w:r>
          </w:p>
        </w:tc>
        <w:tc>
          <w:tcPr>
            <w:tcW w:w="402" w:type="pct"/>
            <w:tcBorders>
              <w:top w:val="nil"/>
              <w:left w:val="nil"/>
              <w:bottom w:val="nil"/>
              <w:right w:val="single" w:color="auto" w:sz="4" w:space="0"/>
            </w:tcBorders>
            <w:shd w:val="clear" w:color="auto" w:fill="auto"/>
            <w:vAlign w:val="center"/>
          </w:tcPr>
          <w:p w14:paraId="6129C676">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底框大小</w:t>
            </w:r>
          </w:p>
        </w:tc>
        <w:tc>
          <w:tcPr>
            <w:tcW w:w="331" w:type="pct"/>
            <w:tcBorders>
              <w:top w:val="nil"/>
              <w:left w:val="nil"/>
              <w:bottom w:val="nil"/>
              <w:right w:val="single" w:color="auto" w:sz="4" w:space="0"/>
            </w:tcBorders>
            <w:shd w:val="clear" w:color="auto" w:fill="auto"/>
            <w:vAlign w:val="center"/>
          </w:tcPr>
          <w:p w14:paraId="056ED472">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距边</w:t>
            </w:r>
          </w:p>
        </w:tc>
        <w:tc>
          <w:tcPr>
            <w:tcW w:w="333" w:type="pct"/>
            <w:tcBorders>
              <w:top w:val="nil"/>
              <w:left w:val="nil"/>
              <w:bottom w:val="nil"/>
              <w:right w:val="single" w:color="auto" w:sz="4" w:space="0"/>
            </w:tcBorders>
            <w:shd w:val="clear" w:color="auto" w:fill="auto"/>
            <w:vAlign w:val="center"/>
          </w:tcPr>
          <w:p w14:paraId="37F7477C">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距底</w:t>
            </w:r>
          </w:p>
        </w:tc>
        <w:tc>
          <w:tcPr>
            <w:tcW w:w="470" w:type="pct"/>
            <w:tcBorders>
              <w:top w:val="nil"/>
              <w:left w:val="nil"/>
              <w:bottom w:val="nil"/>
              <w:right w:val="single" w:color="auto" w:sz="4" w:space="0"/>
            </w:tcBorders>
            <w:shd w:val="clear" w:color="auto" w:fill="auto"/>
            <w:vAlign w:val="center"/>
          </w:tcPr>
          <w:p w14:paraId="3AE77E31">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方向</w:t>
            </w:r>
          </w:p>
        </w:tc>
        <w:tc>
          <w:tcPr>
            <w:tcW w:w="465" w:type="pct"/>
            <w:tcBorders>
              <w:top w:val="nil"/>
              <w:left w:val="nil"/>
              <w:bottom w:val="nil"/>
              <w:right w:val="single" w:color="auto" w:sz="4" w:space="0"/>
            </w:tcBorders>
            <w:shd w:val="clear" w:color="auto" w:fill="auto"/>
            <w:vAlign w:val="center"/>
          </w:tcPr>
          <w:p w14:paraId="3D0E1A86">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二维码大小</w:t>
            </w:r>
          </w:p>
        </w:tc>
        <w:tc>
          <w:tcPr>
            <w:tcW w:w="465" w:type="pct"/>
            <w:tcBorders>
              <w:top w:val="nil"/>
              <w:left w:val="nil"/>
              <w:bottom w:val="nil"/>
              <w:right w:val="single" w:color="auto" w:sz="4" w:space="0"/>
            </w:tcBorders>
            <w:shd w:val="clear" w:color="auto" w:fill="auto"/>
            <w:vAlign w:val="center"/>
          </w:tcPr>
          <w:p w14:paraId="1B6115FA">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底框大小</w:t>
            </w:r>
          </w:p>
        </w:tc>
        <w:tc>
          <w:tcPr>
            <w:tcW w:w="331" w:type="pct"/>
            <w:tcBorders>
              <w:top w:val="nil"/>
              <w:left w:val="nil"/>
              <w:bottom w:val="nil"/>
              <w:right w:val="single" w:color="auto" w:sz="4" w:space="0"/>
            </w:tcBorders>
            <w:shd w:val="clear" w:color="auto" w:fill="auto"/>
            <w:vAlign w:val="center"/>
          </w:tcPr>
          <w:p w14:paraId="69A393DC">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距边</w:t>
            </w:r>
          </w:p>
        </w:tc>
        <w:tc>
          <w:tcPr>
            <w:tcW w:w="318" w:type="pct"/>
            <w:tcBorders>
              <w:top w:val="nil"/>
              <w:left w:val="nil"/>
              <w:bottom w:val="nil"/>
              <w:right w:val="single" w:color="auto" w:sz="4" w:space="0"/>
            </w:tcBorders>
            <w:shd w:val="clear" w:color="auto" w:fill="auto"/>
            <w:vAlign w:val="center"/>
          </w:tcPr>
          <w:p w14:paraId="5B8C8FCB">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距底</w:t>
            </w:r>
          </w:p>
        </w:tc>
        <w:tc>
          <w:tcPr>
            <w:tcW w:w="477" w:type="pct"/>
            <w:tcBorders>
              <w:top w:val="nil"/>
              <w:left w:val="nil"/>
              <w:bottom w:val="nil"/>
              <w:right w:val="single" w:color="auto" w:sz="4" w:space="0"/>
            </w:tcBorders>
            <w:shd w:val="clear" w:color="auto" w:fill="auto"/>
            <w:vAlign w:val="center"/>
          </w:tcPr>
          <w:p w14:paraId="4E81424C">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方向</w:t>
            </w:r>
          </w:p>
        </w:tc>
      </w:tr>
      <w:tr w14:paraId="7D3FB8E6">
        <w:tblPrEx>
          <w:tblCellMar>
            <w:top w:w="0" w:type="dxa"/>
            <w:left w:w="108" w:type="dxa"/>
            <w:bottom w:w="0" w:type="dxa"/>
            <w:right w:w="108" w:type="dxa"/>
          </w:tblCellMar>
        </w:tblPrEx>
        <w:trPr>
          <w:trHeight w:val="522" w:hRule="atLeast"/>
        </w:trPr>
        <w:tc>
          <w:tcPr>
            <w:tcW w:w="200" w:type="pct"/>
            <w:tcBorders>
              <w:top w:val="single" w:color="auto" w:sz="8" w:space="0"/>
              <w:left w:val="single" w:color="auto" w:sz="8" w:space="0"/>
              <w:bottom w:val="single" w:color="auto" w:sz="4" w:space="0"/>
              <w:right w:val="single" w:color="auto" w:sz="4" w:space="0"/>
            </w:tcBorders>
            <w:shd w:val="clear" w:color="auto" w:fill="auto"/>
            <w:vAlign w:val="center"/>
          </w:tcPr>
          <w:p w14:paraId="61F8A9E9">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w:t>
            </w:r>
          </w:p>
        </w:tc>
        <w:tc>
          <w:tcPr>
            <w:tcW w:w="199" w:type="pct"/>
            <w:vMerge w:val="restart"/>
            <w:tcBorders>
              <w:top w:val="single" w:color="auto" w:sz="8" w:space="0"/>
              <w:left w:val="single" w:color="auto" w:sz="4" w:space="0"/>
              <w:bottom w:val="single" w:color="auto" w:sz="4" w:space="0"/>
              <w:right w:val="single" w:color="auto" w:sz="4" w:space="0"/>
            </w:tcBorders>
            <w:shd w:val="clear" w:color="auto" w:fill="auto"/>
            <w:vAlign w:val="center"/>
          </w:tcPr>
          <w:p w14:paraId="197F84DB">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常规翻盖</w:t>
            </w:r>
          </w:p>
        </w:tc>
        <w:tc>
          <w:tcPr>
            <w:tcW w:w="601" w:type="pct"/>
            <w:tcBorders>
              <w:top w:val="single" w:color="auto" w:sz="8" w:space="0"/>
              <w:left w:val="nil"/>
              <w:bottom w:val="single" w:color="auto" w:sz="4" w:space="0"/>
              <w:right w:val="single" w:color="auto" w:sz="4" w:space="0"/>
            </w:tcBorders>
            <w:shd w:val="clear" w:color="auto" w:fill="auto"/>
            <w:vAlign w:val="center"/>
          </w:tcPr>
          <w:p w14:paraId="4E44F0AD">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贵烟（硬黄精品）</w:t>
            </w:r>
          </w:p>
        </w:tc>
        <w:tc>
          <w:tcPr>
            <w:tcW w:w="401" w:type="pct"/>
            <w:tcBorders>
              <w:top w:val="single" w:color="auto" w:sz="8" w:space="0"/>
              <w:left w:val="single" w:color="auto" w:sz="8" w:space="0"/>
              <w:bottom w:val="single" w:color="auto" w:sz="4" w:space="0"/>
              <w:right w:val="single" w:color="auto" w:sz="4" w:space="0"/>
            </w:tcBorders>
            <w:shd w:val="clear" w:color="auto" w:fill="auto"/>
            <w:noWrap/>
            <w:vAlign w:val="center"/>
          </w:tcPr>
          <w:p w14:paraId="4D2905C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single" w:color="auto" w:sz="8" w:space="0"/>
              <w:left w:val="nil"/>
              <w:bottom w:val="single" w:color="auto" w:sz="4" w:space="0"/>
              <w:right w:val="single" w:color="auto" w:sz="4" w:space="0"/>
            </w:tcBorders>
            <w:shd w:val="clear" w:color="auto" w:fill="auto"/>
            <w:noWrap/>
            <w:vAlign w:val="center"/>
          </w:tcPr>
          <w:p w14:paraId="05401D3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single" w:color="auto" w:sz="8" w:space="0"/>
              <w:left w:val="nil"/>
              <w:bottom w:val="single" w:color="auto" w:sz="4" w:space="0"/>
              <w:right w:val="single" w:color="auto" w:sz="4" w:space="0"/>
            </w:tcBorders>
            <w:shd w:val="clear" w:color="auto" w:fill="auto"/>
            <w:noWrap/>
            <w:vAlign w:val="center"/>
          </w:tcPr>
          <w:p w14:paraId="6F8BB01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single" w:color="auto" w:sz="8" w:space="0"/>
              <w:left w:val="nil"/>
              <w:bottom w:val="single" w:color="auto" w:sz="4" w:space="0"/>
              <w:right w:val="single" w:color="auto" w:sz="4" w:space="0"/>
            </w:tcBorders>
            <w:shd w:val="clear" w:color="auto" w:fill="auto"/>
            <w:noWrap/>
            <w:vAlign w:val="center"/>
          </w:tcPr>
          <w:p w14:paraId="1F00F87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single" w:color="auto" w:sz="8" w:space="0"/>
              <w:left w:val="nil"/>
              <w:bottom w:val="single" w:color="auto" w:sz="4" w:space="0"/>
              <w:right w:val="single" w:color="auto" w:sz="8" w:space="0"/>
            </w:tcBorders>
            <w:shd w:val="clear" w:color="auto" w:fill="auto"/>
            <w:noWrap/>
            <w:vAlign w:val="center"/>
          </w:tcPr>
          <w:p w14:paraId="722CD9E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single" w:color="auto" w:sz="8" w:space="0"/>
              <w:left w:val="nil"/>
              <w:bottom w:val="single" w:color="auto" w:sz="4" w:space="0"/>
              <w:right w:val="single" w:color="auto" w:sz="4" w:space="0"/>
            </w:tcBorders>
            <w:shd w:val="clear" w:color="auto" w:fill="auto"/>
            <w:noWrap/>
            <w:vAlign w:val="center"/>
          </w:tcPr>
          <w:p w14:paraId="5714798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single" w:color="auto" w:sz="8" w:space="0"/>
              <w:left w:val="nil"/>
              <w:bottom w:val="single" w:color="auto" w:sz="4" w:space="0"/>
              <w:right w:val="single" w:color="auto" w:sz="4" w:space="0"/>
            </w:tcBorders>
            <w:shd w:val="clear" w:color="auto" w:fill="auto"/>
            <w:noWrap/>
            <w:vAlign w:val="center"/>
          </w:tcPr>
          <w:p w14:paraId="41A4C6C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8" w:space="0"/>
              <w:left w:val="nil"/>
              <w:bottom w:val="single" w:color="auto" w:sz="4" w:space="0"/>
              <w:right w:val="single" w:color="auto" w:sz="4" w:space="0"/>
            </w:tcBorders>
            <w:shd w:val="clear" w:color="auto" w:fill="auto"/>
            <w:noWrap/>
            <w:vAlign w:val="center"/>
          </w:tcPr>
          <w:p w14:paraId="29E3134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single" w:color="auto" w:sz="8" w:space="0"/>
              <w:left w:val="nil"/>
              <w:bottom w:val="single" w:color="auto" w:sz="4" w:space="0"/>
              <w:right w:val="single" w:color="auto" w:sz="4" w:space="0"/>
            </w:tcBorders>
            <w:shd w:val="clear" w:color="auto" w:fill="auto"/>
            <w:noWrap/>
            <w:vAlign w:val="center"/>
          </w:tcPr>
          <w:p w14:paraId="25F49A3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single" w:color="auto" w:sz="8" w:space="0"/>
              <w:left w:val="nil"/>
              <w:bottom w:val="single" w:color="auto" w:sz="4" w:space="0"/>
              <w:right w:val="single" w:color="auto" w:sz="8" w:space="0"/>
            </w:tcBorders>
            <w:shd w:val="clear" w:color="auto" w:fill="auto"/>
            <w:noWrap/>
            <w:vAlign w:val="center"/>
          </w:tcPr>
          <w:p w14:paraId="6D66A54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2C60C550">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205D3DDA">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45827947">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3D64C0B8">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贵烟（硬黄精品） 出口</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0F68F5E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490B905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4DF6CEE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4E0AC5A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7706535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1044FAB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708B879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496E995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52ECF1A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2900450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2CEEE87A">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6BF87810">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61015955">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444260F3">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贵烟（金百合）</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520E6C5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78A184D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75646E7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18F8808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3F6F47F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3B51CBD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6E2A133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446846E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25B6EAB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1547694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5A0FFA14">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7449BE97">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4</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1C5585A1">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5DE86B0D">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贵烟（蓝色的爱）</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2DA8201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795DFC6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6344F18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6C4749F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58B1452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5477E6C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7FE753C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1600CF1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3DE8739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08B3BA56">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03868CF3">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4C360A94">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5</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79EE09C0">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20223087">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贵烟（生肖）</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6050964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2C9A956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0E929E2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59C8A4A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579F828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180AEF7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7F1A3D2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00E8F02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31638D2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0F6D25A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4400CE77">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0818C0D7">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6</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69B7EAAD">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29B83B9B">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贵烟（喜）</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375149F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5538A39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11AD74E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248D4BD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4E17191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25CAED3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3B8459F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0FAA476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0E54A66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5EE8892C">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ECD551A">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40F08A34">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7</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49DB56FC">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4D401FFF">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贵烟（喜贵）</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6ABE8BD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 xml:space="preserve"> 10*10</w:t>
            </w:r>
          </w:p>
        </w:tc>
        <w:tc>
          <w:tcPr>
            <w:tcW w:w="402" w:type="pct"/>
            <w:tcBorders>
              <w:top w:val="nil"/>
              <w:left w:val="nil"/>
              <w:bottom w:val="single" w:color="auto" w:sz="4" w:space="0"/>
              <w:right w:val="single" w:color="auto" w:sz="4" w:space="0"/>
            </w:tcBorders>
            <w:shd w:val="clear" w:color="auto" w:fill="auto"/>
            <w:noWrap/>
            <w:vAlign w:val="center"/>
          </w:tcPr>
          <w:p w14:paraId="6F08825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2F7A5F0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66C6E7A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02DCBF8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5851D57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D1E9CB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6B8AC2C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7F49C82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3037018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0FD20CD7">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0A6E3C73">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8</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2DC9F5A0">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1AD0869F">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贵烟(新贵)</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0AE7A6F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 xml:space="preserve"> 10*10</w:t>
            </w:r>
          </w:p>
        </w:tc>
        <w:tc>
          <w:tcPr>
            <w:tcW w:w="402" w:type="pct"/>
            <w:tcBorders>
              <w:top w:val="nil"/>
              <w:left w:val="nil"/>
              <w:bottom w:val="single" w:color="auto" w:sz="4" w:space="0"/>
              <w:right w:val="single" w:color="auto" w:sz="4" w:space="0"/>
            </w:tcBorders>
            <w:shd w:val="clear" w:color="auto" w:fill="auto"/>
            <w:noWrap/>
            <w:vAlign w:val="center"/>
          </w:tcPr>
          <w:p w14:paraId="7366582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4C611AE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70FFA66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759942F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64BA875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89F905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547D7D0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3BF60C6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49E831F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10F89CF4">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7DEBAA5B">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9</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59BBD38E">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63118F42">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贵烟(硬高遵)</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37F3265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0DBAFAD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101D4F9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63B1954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2A1A03C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8E67F0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1E6AB61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200E036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6A65443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60B0900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131EE5FE">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08E38D5F">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10</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01209BC9">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7195D357">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贵烟（玉液1号）出口</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4A595F7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04FD87A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21A954E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4F4AE80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30397E8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7AFD70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02737B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21D2B0E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1139F88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5A88A8B8">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7891FD26">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1B0C4935">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11</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286BAD76">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5EC66C1B">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贵烟（硬小国酒香）</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719D83E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469D452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3DF0923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59AF2B1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3C35DE1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1D00246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953CA8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35ABE12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2785410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1C478902">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6FED616E">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686CA5D8">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12</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56BD1100">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5D920D8D">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黄果树（佳品）</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382B208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61C4B35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75C0F02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09C304A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592DD70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22441E3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04267C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37B1943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6DDD843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601CFD48">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BF3F4D0">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0F4ACCFE">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13</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4E6383EF">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495AE9B1">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黄果树（佳遵）</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510B608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1B3EB2A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02BDE12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56A51A4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1691742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ED1F80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75C4567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4B16F2F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25DF854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6C8998DD">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1840D86F">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24576384">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14</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02D8E220">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14B75CEF">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黄果树（蓝佳品）</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71C06DD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4195D97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6896E8E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7819D5B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4309899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1773CB4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2680EE9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2032E55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7996D9D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5887755C">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3F1A9297">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676C0753">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15</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0FB52234">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673E15F9">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黄果树（长征）</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477511E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7C9F43A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748C2AE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0F5733B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1BD1055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E7A40C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045533D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2605D85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6978722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21A654D8">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54EACD98">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112E314A">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16</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66295F23">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4" w:space="0"/>
            </w:tcBorders>
            <w:shd w:val="clear" w:color="auto" w:fill="auto"/>
            <w:vAlign w:val="center"/>
          </w:tcPr>
          <w:p w14:paraId="1A538B28">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贵烟（长征）出口</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07D25C1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13301D9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768B6C0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0643EC2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721AEA2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41ADF2C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151616B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7FA7FF3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22F9945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single" w:color="auto" w:sz="4" w:space="0"/>
              <w:right w:val="single" w:color="auto" w:sz="8" w:space="0"/>
            </w:tcBorders>
            <w:shd w:val="clear" w:color="auto" w:fill="auto"/>
            <w:noWrap/>
            <w:vAlign w:val="center"/>
          </w:tcPr>
          <w:p w14:paraId="67351E4C">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68EF52EC">
        <w:tblPrEx>
          <w:tblCellMar>
            <w:top w:w="0" w:type="dxa"/>
            <w:left w:w="108" w:type="dxa"/>
            <w:bottom w:w="0" w:type="dxa"/>
            <w:right w:w="108" w:type="dxa"/>
          </w:tblCellMar>
        </w:tblPrEx>
        <w:trPr>
          <w:trHeight w:val="406" w:hRule="atLeast"/>
        </w:trPr>
        <w:tc>
          <w:tcPr>
            <w:tcW w:w="200" w:type="pct"/>
            <w:tcBorders>
              <w:top w:val="nil"/>
              <w:left w:val="single" w:color="auto" w:sz="8" w:space="0"/>
              <w:bottom w:val="nil"/>
              <w:right w:val="single" w:color="auto" w:sz="4" w:space="0"/>
            </w:tcBorders>
            <w:shd w:val="clear" w:color="auto" w:fill="auto"/>
            <w:vAlign w:val="center"/>
          </w:tcPr>
          <w:p w14:paraId="71880978">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17</w:t>
            </w:r>
          </w:p>
        </w:tc>
        <w:tc>
          <w:tcPr>
            <w:tcW w:w="199" w:type="pct"/>
            <w:vMerge w:val="continue"/>
            <w:tcBorders>
              <w:top w:val="single" w:color="auto" w:sz="8" w:space="0"/>
              <w:left w:val="single" w:color="auto" w:sz="4" w:space="0"/>
              <w:bottom w:val="single" w:color="auto" w:sz="4" w:space="0"/>
              <w:right w:val="single" w:color="auto" w:sz="4" w:space="0"/>
            </w:tcBorders>
            <w:vAlign w:val="center"/>
          </w:tcPr>
          <w:p w14:paraId="7A86E0C7">
            <w:pPr>
              <w:widowControl/>
              <w:jc w:val="left"/>
              <w:rPr>
                <w:rFonts w:hint="eastAsia" w:ascii="宋体" w:hAnsi="宋体" w:eastAsia="宋体" w:cs="宋体"/>
                <w:b/>
                <w:bCs/>
                <w:color w:val="000000"/>
                <w:kern w:val="0"/>
                <w:sz w:val="20"/>
                <w:szCs w:val="20"/>
              </w:rPr>
            </w:pPr>
          </w:p>
        </w:tc>
        <w:tc>
          <w:tcPr>
            <w:tcW w:w="601" w:type="pct"/>
            <w:tcBorders>
              <w:top w:val="nil"/>
              <w:left w:val="nil"/>
              <w:bottom w:val="nil"/>
              <w:right w:val="single" w:color="auto" w:sz="4" w:space="0"/>
            </w:tcBorders>
            <w:shd w:val="clear" w:color="auto" w:fill="auto"/>
            <w:vAlign w:val="center"/>
          </w:tcPr>
          <w:p w14:paraId="6C099F57">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黄果树（长征红星照耀）</w:t>
            </w:r>
          </w:p>
        </w:tc>
        <w:tc>
          <w:tcPr>
            <w:tcW w:w="401" w:type="pct"/>
            <w:tcBorders>
              <w:top w:val="nil"/>
              <w:left w:val="single" w:color="auto" w:sz="8" w:space="0"/>
              <w:bottom w:val="nil"/>
              <w:right w:val="single" w:color="auto" w:sz="4" w:space="0"/>
            </w:tcBorders>
            <w:shd w:val="clear" w:color="auto" w:fill="auto"/>
            <w:noWrap/>
            <w:vAlign w:val="center"/>
          </w:tcPr>
          <w:p w14:paraId="67ECDD8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7591E20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785D330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auto" w:fill="auto"/>
            <w:noWrap/>
            <w:vAlign w:val="center"/>
          </w:tcPr>
          <w:p w14:paraId="133EA59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46809C5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4DA8476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605D65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5FB3ABE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nil"/>
              <w:left w:val="nil"/>
              <w:bottom w:val="single" w:color="auto" w:sz="4" w:space="0"/>
              <w:right w:val="single" w:color="auto" w:sz="4" w:space="0"/>
            </w:tcBorders>
            <w:shd w:val="clear" w:color="auto" w:fill="auto"/>
            <w:noWrap/>
            <w:vAlign w:val="center"/>
          </w:tcPr>
          <w:p w14:paraId="5F1E092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477" w:type="pct"/>
            <w:tcBorders>
              <w:top w:val="nil"/>
              <w:left w:val="nil"/>
              <w:bottom w:val="nil"/>
              <w:right w:val="single" w:color="auto" w:sz="8" w:space="0"/>
            </w:tcBorders>
            <w:shd w:val="clear" w:color="auto" w:fill="auto"/>
            <w:noWrap/>
            <w:vAlign w:val="center"/>
          </w:tcPr>
          <w:p w14:paraId="1720805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3D11E9CD">
        <w:tblPrEx>
          <w:tblCellMar>
            <w:top w:w="0" w:type="dxa"/>
            <w:left w:w="108" w:type="dxa"/>
            <w:bottom w:w="0" w:type="dxa"/>
            <w:right w:w="108" w:type="dxa"/>
          </w:tblCellMar>
        </w:tblPrEx>
        <w:trPr>
          <w:trHeight w:val="522" w:hRule="atLeast"/>
        </w:trPr>
        <w:tc>
          <w:tcPr>
            <w:tcW w:w="200" w:type="pct"/>
            <w:tcBorders>
              <w:top w:val="single" w:color="auto" w:sz="8" w:space="0"/>
              <w:left w:val="single" w:color="auto" w:sz="8" w:space="0"/>
              <w:bottom w:val="single" w:color="auto" w:sz="4" w:space="0"/>
              <w:right w:val="single" w:color="auto" w:sz="4" w:space="0"/>
            </w:tcBorders>
            <w:shd w:val="clear" w:color="auto" w:fill="auto"/>
            <w:vAlign w:val="center"/>
          </w:tcPr>
          <w:p w14:paraId="62C54DE2">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18</w:t>
            </w:r>
          </w:p>
        </w:tc>
        <w:tc>
          <w:tcPr>
            <w:tcW w:w="199" w:type="pct"/>
            <w:vMerge w:val="restart"/>
            <w:tcBorders>
              <w:top w:val="single" w:color="auto" w:sz="8" w:space="0"/>
              <w:left w:val="single" w:color="auto" w:sz="4" w:space="0"/>
              <w:bottom w:val="single" w:color="000000" w:sz="8" w:space="0"/>
              <w:right w:val="single" w:color="auto" w:sz="4" w:space="0"/>
            </w:tcBorders>
            <w:shd w:val="clear" w:color="000000" w:fill="E7E6E6"/>
            <w:vAlign w:val="center"/>
          </w:tcPr>
          <w:p w14:paraId="5FC607A3">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常规软包</w:t>
            </w:r>
          </w:p>
        </w:tc>
        <w:tc>
          <w:tcPr>
            <w:tcW w:w="601" w:type="pct"/>
            <w:tcBorders>
              <w:top w:val="single" w:color="auto" w:sz="8" w:space="0"/>
              <w:left w:val="nil"/>
              <w:bottom w:val="single" w:color="auto" w:sz="4" w:space="0"/>
              <w:right w:val="single" w:color="auto" w:sz="8" w:space="0"/>
            </w:tcBorders>
            <w:shd w:val="clear" w:color="000000" w:fill="E7E6E6"/>
            <w:vAlign w:val="center"/>
          </w:tcPr>
          <w:p w14:paraId="5327F0D2">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贵烟（福）</w:t>
            </w:r>
          </w:p>
        </w:tc>
        <w:tc>
          <w:tcPr>
            <w:tcW w:w="401" w:type="pct"/>
            <w:tcBorders>
              <w:top w:val="single" w:color="auto" w:sz="8" w:space="0"/>
              <w:left w:val="single" w:color="auto" w:sz="8" w:space="0"/>
              <w:bottom w:val="single" w:color="auto" w:sz="4" w:space="0"/>
              <w:right w:val="single" w:color="auto" w:sz="4" w:space="0"/>
            </w:tcBorders>
            <w:shd w:val="clear" w:color="000000" w:fill="E7E6E6"/>
            <w:noWrap/>
            <w:vAlign w:val="center"/>
          </w:tcPr>
          <w:p w14:paraId="609CB7C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single" w:color="auto" w:sz="8" w:space="0"/>
              <w:left w:val="nil"/>
              <w:bottom w:val="single" w:color="auto" w:sz="4" w:space="0"/>
              <w:right w:val="single" w:color="auto" w:sz="4" w:space="0"/>
            </w:tcBorders>
            <w:shd w:val="clear" w:color="000000" w:fill="E7E6E6"/>
            <w:noWrap/>
            <w:vAlign w:val="center"/>
          </w:tcPr>
          <w:p w14:paraId="55FC30F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6BE8C86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3.5</w:t>
            </w:r>
          </w:p>
        </w:tc>
        <w:tc>
          <w:tcPr>
            <w:tcW w:w="333" w:type="pct"/>
            <w:tcBorders>
              <w:top w:val="single" w:color="auto" w:sz="8" w:space="0"/>
              <w:left w:val="nil"/>
              <w:bottom w:val="single" w:color="auto" w:sz="4" w:space="0"/>
              <w:right w:val="single" w:color="auto" w:sz="4" w:space="0"/>
            </w:tcBorders>
            <w:shd w:val="clear" w:color="000000" w:fill="E7E6E6"/>
            <w:noWrap/>
            <w:vAlign w:val="center"/>
          </w:tcPr>
          <w:p w14:paraId="7B9A9D6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single" w:color="auto" w:sz="8" w:space="0"/>
              <w:left w:val="nil"/>
              <w:bottom w:val="single" w:color="auto" w:sz="4" w:space="0"/>
              <w:right w:val="single" w:color="auto" w:sz="8" w:space="0"/>
            </w:tcBorders>
            <w:shd w:val="clear" w:color="000000" w:fill="E7E6E6"/>
            <w:noWrap/>
            <w:vAlign w:val="center"/>
          </w:tcPr>
          <w:p w14:paraId="660AF20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717037F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59277CF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69C3C98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single" w:color="auto" w:sz="8" w:space="0"/>
              <w:left w:val="nil"/>
              <w:bottom w:val="single" w:color="auto" w:sz="4" w:space="0"/>
              <w:right w:val="single" w:color="auto" w:sz="4" w:space="0"/>
            </w:tcBorders>
            <w:shd w:val="clear" w:color="000000" w:fill="E7E6E6"/>
            <w:noWrap/>
            <w:vAlign w:val="center"/>
          </w:tcPr>
          <w:p w14:paraId="39FC59F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15</w:t>
            </w:r>
          </w:p>
        </w:tc>
        <w:tc>
          <w:tcPr>
            <w:tcW w:w="477" w:type="pct"/>
            <w:tcBorders>
              <w:top w:val="single" w:color="auto" w:sz="8" w:space="0"/>
              <w:left w:val="nil"/>
              <w:bottom w:val="single" w:color="auto" w:sz="4" w:space="0"/>
              <w:right w:val="single" w:color="auto" w:sz="8" w:space="0"/>
            </w:tcBorders>
            <w:shd w:val="clear" w:color="000000" w:fill="E7E6E6"/>
            <w:noWrap/>
            <w:vAlign w:val="center"/>
          </w:tcPr>
          <w:p w14:paraId="7B8C94F8">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273F891B">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3C33B293">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19</w:t>
            </w:r>
          </w:p>
        </w:tc>
        <w:tc>
          <w:tcPr>
            <w:tcW w:w="199" w:type="pct"/>
            <w:vMerge w:val="continue"/>
            <w:tcBorders>
              <w:top w:val="single" w:color="auto" w:sz="8" w:space="0"/>
              <w:left w:val="single" w:color="auto" w:sz="4" w:space="0"/>
              <w:bottom w:val="single" w:color="000000" w:sz="8" w:space="0"/>
              <w:right w:val="single" w:color="auto" w:sz="4" w:space="0"/>
            </w:tcBorders>
            <w:vAlign w:val="center"/>
          </w:tcPr>
          <w:p w14:paraId="5CC9F0E5">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000000" w:fill="E7E6E6"/>
            <w:vAlign w:val="center"/>
          </w:tcPr>
          <w:p w14:paraId="0F8AB806">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贵烟（软高遵）</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16604DF2">
            <w:pPr>
              <w:widowControl/>
              <w:jc w:val="center"/>
              <w:rPr>
                <w:rFonts w:hint="eastAsia" w:ascii="宋体" w:hAnsi="宋体" w:eastAsia="宋体" w:cs="宋体"/>
                <w:kern w:val="0"/>
                <w:sz w:val="22"/>
              </w:rPr>
            </w:pPr>
            <w:r>
              <w:rPr>
                <w:rFonts w:hint="eastAsia" w:ascii="宋体" w:hAnsi="宋体" w:eastAsia="宋体" w:cs="宋体"/>
                <w:kern w:val="0"/>
                <w:sz w:val="22"/>
              </w:rPr>
              <w:t>10*10</w:t>
            </w:r>
          </w:p>
        </w:tc>
        <w:tc>
          <w:tcPr>
            <w:tcW w:w="402" w:type="pct"/>
            <w:tcBorders>
              <w:top w:val="single" w:color="auto" w:sz="8" w:space="0"/>
              <w:left w:val="nil"/>
              <w:bottom w:val="single" w:color="auto" w:sz="4" w:space="0"/>
              <w:right w:val="single" w:color="auto" w:sz="4" w:space="0"/>
            </w:tcBorders>
            <w:shd w:val="clear" w:color="000000" w:fill="E7E6E6"/>
            <w:noWrap/>
            <w:vAlign w:val="center"/>
          </w:tcPr>
          <w:p w14:paraId="49C2BB6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5B130C0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3.5</w:t>
            </w:r>
          </w:p>
        </w:tc>
        <w:tc>
          <w:tcPr>
            <w:tcW w:w="333" w:type="pct"/>
            <w:tcBorders>
              <w:top w:val="single" w:color="auto" w:sz="8" w:space="0"/>
              <w:left w:val="nil"/>
              <w:bottom w:val="single" w:color="auto" w:sz="4" w:space="0"/>
              <w:right w:val="single" w:color="auto" w:sz="4" w:space="0"/>
            </w:tcBorders>
            <w:shd w:val="clear" w:color="000000" w:fill="E7E6E6"/>
            <w:noWrap/>
            <w:vAlign w:val="center"/>
          </w:tcPr>
          <w:p w14:paraId="73354C2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single" w:color="auto" w:sz="8" w:space="0"/>
              <w:left w:val="nil"/>
              <w:bottom w:val="single" w:color="auto" w:sz="4" w:space="0"/>
              <w:right w:val="single" w:color="auto" w:sz="8" w:space="0"/>
            </w:tcBorders>
            <w:shd w:val="clear" w:color="000000" w:fill="E7E6E6"/>
            <w:noWrap/>
            <w:vAlign w:val="center"/>
          </w:tcPr>
          <w:p w14:paraId="0CA2384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6495820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4B14810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76E5062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single" w:color="auto" w:sz="8" w:space="0"/>
              <w:left w:val="nil"/>
              <w:bottom w:val="single" w:color="auto" w:sz="4" w:space="0"/>
              <w:right w:val="single" w:color="auto" w:sz="4" w:space="0"/>
            </w:tcBorders>
            <w:shd w:val="clear" w:color="000000" w:fill="E7E6E6"/>
            <w:noWrap/>
            <w:vAlign w:val="center"/>
          </w:tcPr>
          <w:p w14:paraId="310EF0C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15</w:t>
            </w:r>
          </w:p>
        </w:tc>
        <w:tc>
          <w:tcPr>
            <w:tcW w:w="477" w:type="pct"/>
            <w:tcBorders>
              <w:top w:val="nil"/>
              <w:left w:val="nil"/>
              <w:bottom w:val="single" w:color="auto" w:sz="4" w:space="0"/>
              <w:right w:val="single" w:color="auto" w:sz="8" w:space="0"/>
            </w:tcBorders>
            <w:shd w:val="clear" w:color="000000" w:fill="E7E6E6"/>
            <w:noWrap/>
            <w:vAlign w:val="center"/>
          </w:tcPr>
          <w:p w14:paraId="2254AFDE">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699627B4">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54B18222">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20</w:t>
            </w:r>
          </w:p>
        </w:tc>
        <w:tc>
          <w:tcPr>
            <w:tcW w:w="199" w:type="pct"/>
            <w:vMerge w:val="continue"/>
            <w:tcBorders>
              <w:top w:val="single" w:color="auto" w:sz="8" w:space="0"/>
              <w:left w:val="single" w:color="auto" w:sz="4" w:space="0"/>
              <w:bottom w:val="single" w:color="000000" w:sz="8" w:space="0"/>
              <w:right w:val="single" w:color="auto" w:sz="4" w:space="0"/>
            </w:tcBorders>
            <w:vAlign w:val="center"/>
          </w:tcPr>
          <w:p w14:paraId="51DC52E8">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000000" w:fill="E7E6E6"/>
            <w:vAlign w:val="center"/>
          </w:tcPr>
          <w:p w14:paraId="68E0C581">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遵义(软)</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7ECB995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single" w:color="auto" w:sz="8" w:space="0"/>
              <w:left w:val="nil"/>
              <w:bottom w:val="single" w:color="auto" w:sz="4" w:space="0"/>
              <w:right w:val="single" w:color="auto" w:sz="4" w:space="0"/>
            </w:tcBorders>
            <w:shd w:val="clear" w:color="000000" w:fill="E7E6E6"/>
            <w:noWrap/>
            <w:vAlign w:val="center"/>
          </w:tcPr>
          <w:p w14:paraId="4909ACF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4D9D9A0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3.5</w:t>
            </w:r>
          </w:p>
        </w:tc>
        <w:tc>
          <w:tcPr>
            <w:tcW w:w="333" w:type="pct"/>
            <w:tcBorders>
              <w:top w:val="single" w:color="auto" w:sz="8" w:space="0"/>
              <w:left w:val="nil"/>
              <w:bottom w:val="single" w:color="auto" w:sz="4" w:space="0"/>
              <w:right w:val="single" w:color="auto" w:sz="4" w:space="0"/>
            </w:tcBorders>
            <w:shd w:val="clear" w:color="000000" w:fill="E7E6E6"/>
            <w:noWrap/>
            <w:vAlign w:val="center"/>
          </w:tcPr>
          <w:p w14:paraId="16CABF1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single" w:color="auto" w:sz="8" w:space="0"/>
              <w:left w:val="nil"/>
              <w:bottom w:val="single" w:color="auto" w:sz="4" w:space="0"/>
              <w:right w:val="single" w:color="auto" w:sz="8" w:space="0"/>
            </w:tcBorders>
            <w:shd w:val="clear" w:color="000000" w:fill="E7E6E6"/>
            <w:noWrap/>
            <w:vAlign w:val="center"/>
          </w:tcPr>
          <w:p w14:paraId="5E404B0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0CB80FE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643DA41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075C877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single" w:color="auto" w:sz="8" w:space="0"/>
              <w:left w:val="nil"/>
              <w:bottom w:val="single" w:color="auto" w:sz="4" w:space="0"/>
              <w:right w:val="single" w:color="auto" w:sz="4" w:space="0"/>
            </w:tcBorders>
            <w:shd w:val="clear" w:color="000000" w:fill="E7E6E6"/>
            <w:noWrap/>
            <w:vAlign w:val="center"/>
          </w:tcPr>
          <w:p w14:paraId="63EEB89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15</w:t>
            </w:r>
          </w:p>
        </w:tc>
        <w:tc>
          <w:tcPr>
            <w:tcW w:w="477" w:type="pct"/>
            <w:tcBorders>
              <w:top w:val="nil"/>
              <w:left w:val="nil"/>
              <w:bottom w:val="single" w:color="auto" w:sz="4" w:space="0"/>
              <w:right w:val="single" w:color="auto" w:sz="8" w:space="0"/>
            </w:tcBorders>
            <w:shd w:val="clear" w:color="000000" w:fill="E7E6E6"/>
            <w:noWrap/>
            <w:vAlign w:val="center"/>
          </w:tcPr>
          <w:p w14:paraId="724281EA">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4F1F480">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8" w:space="0"/>
              <w:right w:val="single" w:color="auto" w:sz="4" w:space="0"/>
            </w:tcBorders>
            <w:shd w:val="clear" w:color="auto" w:fill="auto"/>
            <w:vAlign w:val="center"/>
          </w:tcPr>
          <w:p w14:paraId="536320D6">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21</w:t>
            </w:r>
          </w:p>
        </w:tc>
        <w:tc>
          <w:tcPr>
            <w:tcW w:w="199" w:type="pct"/>
            <w:vMerge w:val="continue"/>
            <w:tcBorders>
              <w:top w:val="single" w:color="auto" w:sz="8" w:space="0"/>
              <w:left w:val="single" w:color="auto" w:sz="4" w:space="0"/>
              <w:bottom w:val="single" w:color="000000" w:sz="8" w:space="0"/>
              <w:right w:val="single" w:color="auto" w:sz="4" w:space="0"/>
            </w:tcBorders>
            <w:vAlign w:val="center"/>
          </w:tcPr>
          <w:p w14:paraId="106D5720">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8" w:space="0"/>
              <w:right w:val="single" w:color="auto" w:sz="8" w:space="0"/>
            </w:tcBorders>
            <w:shd w:val="clear" w:color="000000" w:fill="E7E6E6"/>
            <w:vAlign w:val="center"/>
          </w:tcPr>
          <w:p w14:paraId="1BBCC771">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遵义(软)  -BE版</w:t>
            </w:r>
          </w:p>
        </w:tc>
        <w:tc>
          <w:tcPr>
            <w:tcW w:w="401" w:type="pct"/>
            <w:tcBorders>
              <w:top w:val="nil"/>
              <w:left w:val="single" w:color="auto" w:sz="8" w:space="0"/>
              <w:bottom w:val="single" w:color="auto" w:sz="8" w:space="0"/>
              <w:right w:val="single" w:color="auto" w:sz="4" w:space="0"/>
            </w:tcBorders>
            <w:shd w:val="clear" w:color="000000" w:fill="E7E6E6"/>
            <w:noWrap/>
            <w:vAlign w:val="center"/>
          </w:tcPr>
          <w:p w14:paraId="2D02F42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single" w:color="auto" w:sz="8" w:space="0"/>
              <w:left w:val="nil"/>
              <w:bottom w:val="single" w:color="auto" w:sz="4" w:space="0"/>
              <w:right w:val="single" w:color="auto" w:sz="4" w:space="0"/>
            </w:tcBorders>
            <w:shd w:val="clear" w:color="000000" w:fill="E7E6E6"/>
            <w:noWrap/>
            <w:vAlign w:val="center"/>
          </w:tcPr>
          <w:p w14:paraId="3F9780A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73C90C6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3.5</w:t>
            </w:r>
          </w:p>
        </w:tc>
        <w:tc>
          <w:tcPr>
            <w:tcW w:w="333" w:type="pct"/>
            <w:tcBorders>
              <w:top w:val="single" w:color="auto" w:sz="8" w:space="0"/>
              <w:left w:val="nil"/>
              <w:bottom w:val="single" w:color="auto" w:sz="4" w:space="0"/>
              <w:right w:val="single" w:color="auto" w:sz="4" w:space="0"/>
            </w:tcBorders>
            <w:shd w:val="clear" w:color="000000" w:fill="E7E6E6"/>
            <w:noWrap/>
            <w:vAlign w:val="center"/>
          </w:tcPr>
          <w:p w14:paraId="1FD46C4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single" w:color="auto" w:sz="8" w:space="0"/>
              <w:left w:val="nil"/>
              <w:bottom w:val="single" w:color="auto" w:sz="4" w:space="0"/>
              <w:right w:val="single" w:color="auto" w:sz="8" w:space="0"/>
            </w:tcBorders>
            <w:shd w:val="clear" w:color="000000" w:fill="E7E6E6"/>
            <w:noWrap/>
            <w:vAlign w:val="center"/>
          </w:tcPr>
          <w:p w14:paraId="29FA780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090E23E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330A825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1FA202B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36.5</w:t>
            </w:r>
          </w:p>
        </w:tc>
        <w:tc>
          <w:tcPr>
            <w:tcW w:w="318" w:type="pct"/>
            <w:tcBorders>
              <w:top w:val="single" w:color="auto" w:sz="8" w:space="0"/>
              <w:left w:val="nil"/>
              <w:bottom w:val="single" w:color="auto" w:sz="4" w:space="0"/>
              <w:right w:val="single" w:color="auto" w:sz="4" w:space="0"/>
            </w:tcBorders>
            <w:shd w:val="clear" w:color="000000" w:fill="E7E6E6"/>
            <w:noWrap/>
            <w:vAlign w:val="center"/>
          </w:tcPr>
          <w:p w14:paraId="6729451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15</w:t>
            </w:r>
          </w:p>
        </w:tc>
        <w:tc>
          <w:tcPr>
            <w:tcW w:w="477" w:type="pct"/>
            <w:tcBorders>
              <w:top w:val="nil"/>
              <w:left w:val="nil"/>
              <w:bottom w:val="single" w:color="auto" w:sz="8" w:space="0"/>
              <w:right w:val="single" w:color="auto" w:sz="8" w:space="0"/>
            </w:tcBorders>
            <w:shd w:val="clear" w:color="000000" w:fill="E7E6E6"/>
            <w:noWrap/>
            <w:vAlign w:val="center"/>
          </w:tcPr>
          <w:p w14:paraId="09422D12">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0684FDC1">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08DBEC80">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22</w:t>
            </w:r>
          </w:p>
        </w:tc>
        <w:tc>
          <w:tcPr>
            <w:tcW w:w="199" w:type="pct"/>
            <w:vMerge w:val="restart"/>
            <w:tcBorders>
              <w:top w:val="nil"/>
              <w:left w:val="single" w:color="auto" w:sz="4" w:space="0"/>
              <w:bottom w:val="single" w:color="auto" w:sz="4" w:space="0"/>
              <w:right w:val="single" w:color="auto" w:sz="4" w:space="0"/>
            </w:tcBorders>
            <w:shd w:val="clear" w:color="auto" w:fill="auto"/>
            <w:vAlign w:val="center"/>
          </w:tcPr>
          <w:p w14:paraId="351D8E48">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细支</w:t>
            </w:r>
          </w:p>
        </w:tc>
        <w:tc>
          <w:tcPr>
            <w:tcW w:w="601" w:type="pct"/>
            <w:tcBorders>
              <w:top w:val="nil"/>
              <w:left w:val="nil"/>
              <w:bottom w:val="single" w:color="auto" w:sz="4" w:space="0"/>
              <w:right w:val="single" w:color="auto" w:sz="8" w:space="0"/>
            </w:tcBorders>
            <w:shd w:val="clear" w:color="auto" w:fill="auto"/>
            <w:vAlign w:val="center"/>
          </w:tcPr>
          <w:p w14:paraId="50A3F7A6">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贵烟（跨越）</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63B1237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63A243E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5FEC14F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682EA71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6858A49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A963BA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21FEE5E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6D052D6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auto" w:fill="auto"/>
            <w:noWrap/>
            <w:vAlign w:val="center"/>
          </w:tcPr>
          <w:p w14:paraId="40CCADB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5.5</w:t>
            </w:r>
          </w:p>
        </w:tc>
        <w:tc>
          <w:tcPr>
            <w:tcW w:w="477" w:type="pct"/>
            <w:tcBorders>
              <w:top w:val="nil"/>
              <w:left w:val="nil"/>
              <w:bottom w:val="single" w:color="auto" w:sz="4" w:space="0"/>
              <w:right w:val="single" w:color="auto" w:sz="8" w:space="0"/>
            </w:tcBorders>
            <w:shd w:val="clear" w:color="auto" w:fill="auto"/>
            <w:noWrap/>
            <w:vAlign w:val="center"/>
          </w:tcPr>
          <w:p w14:paraId="4A723C66">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39E7675B">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6140C993">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23</w:t>
            </w:r>
          </w:p>
        </w:tc>
        <w:tc>
          <w:tcPr>
            <w:tcW w:w="199" w:type="pct"/>
            <w:vMerge w:val="continue"/>
            <w:tcBorders>
              <w:top w:val="nil"/>
              <w:left w:val="single" w:color="auto" w:sz="4" w:space="0"/>
              <w:bottom w:val="single" w:color="auto" w:sz="4" w:space="0"/>
              <w:right w:val="single" w:color="auto" w:sz="4" w:space="0"/>
            </w:tcBorders>
            <w:vAlign w:val="center"/>
          </w:tcPr>
          <w:p w14:paraId="670D32B9">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auto" w:fill="auto"/>
            <w:vAlign w:val="center"/>
          </w:tcPr>
          <w:p w14:paraId="3AC2C60D">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贵烟（跨越） 出口</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0D00BF9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5AF493D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627A417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5E2FC1A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7CD6AC1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7614FF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515CABB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296F2C6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auto" w:fill="auto"/>
            <w:noWrap/>
            <w:vAlign w:val="center"/>
          </w:tcPr>
          <w:p w14:paraId="1C29F29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5.5</w:t>
            </w:r>
          </w:p>
        </w:tc>
        <w:tc>
          <w:tcPr>
            <w:tcW w:w="477" w:type="pct"/>
            <w:tcBorders>
              <w:top w:val="nil"/>
              <w:left w:val="nil"/>
              <w:bottom w:val="single" w:color="auto" w:sz="4" w:space="0"/>
              <w:right w:val="single" w:color="auto" w:sz="8" w:space="0"/>
            </w:tcBorders>
            <w:shd w:val="clear" w:color="auto" w:fill="auto"/>
            <w:noWrap/>
            <w:vAlign w:val="center"/>
          </w:tcPr>
          <w:p w14:paraId="528EC890">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68CDF6A4">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146BDA9A">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24</w:t>
            </w:r>
          </w:p>
        </w:tc>
        <w:tc>
          <w:tcPr>
            <w:tcW w:w="199" w:type="pct"/>
            <w:vMerge w:val="continue"/>
            <w:tcBorders>
              <w:top w:val="nil"/>
              <w:left w:val="single" w:color="auto" w:sz="4" w:space="0"/>
              <w:bottom w:val="single" w:color="auto" w:sz="4" w:space="0"/>
              <w:right w:val="single" w:color="auto" w:sz="4" w:space="0"/>
            </w:tcBorders>
            <w:vAlign w:val="center"/>
          </w:tcPr>
          <w:p w14:paraId="20295C5C">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auto" w:fill="auto"/>
            <w:vAlign w:val="center"/>
          </w:tcPr>
          <w:p w14:paraId="44CFA45D">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贵烟（魔力）</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142E824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2BD5E2A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42BEDAE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3D33D45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28ADAD9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494C75B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2E96901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79491EB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auto" w:fill="auto"/>
            <w:noWrap/>
            <w:vAlign w:val="center"/>
          </w:tcPr>
          <w:p w14:paraId="5D7543C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5.5</w:t>
            </w:r>
          </w:p>
        </w:tc>
        <w:tc>
          <w:tcPr>
            <w:tcW w:w="477" w:type="pct"/>
            <w:tcBorders>
              <w:top w:val="nil"/>
              <w:left w:val="nil"/>
              <w:bottom w:val="single" w:color="auto" w:sz="4" w:space="0"/>
              <w:right w:val="single" w:color="auto" w:sz="8" w:space="0"/>
            </w:tcBorders>
            <w:shd w:val="clear" w:color="auto" w:fill="auto"/>
            <w:noWrap/>
            <w:vAlign w:val="center"/>
          </w:tcPr>
          <w:p w14:paraId="0EC3FA1E">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5777CAFB">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4921524C">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25</w:t>
            </w:r>
          </w:p>
        </w:tc>
        <w:tc>
          <w:tcPr>
            <w:tcW w:w="199" w:type="pct"/>
            <w:vMerge w:val="continue"/>
            <w:tcBorders>
              <w:top w:val="nil"/>
              <w:left w:val="single" w:color="auto" w:sz="4" w:space="0"/>
              <w:bottom w:val="single" w:color="auto" w:sz="4" w:space="0"/>
              <w:right w:val="single" w:color="auto" w:sz="4" w:space="0"/>
            </w:tcBorders>
            <w:vAlign w:val="center"/>
          </w:tcPr>
          <w:p w14:paraId="7B2128F1">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auto" w:fill="auto"/>
            <w:vAlign w:val="center"/>
          </w:tcPr>
          <w:p w14:paraId="1374A73E">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贵烟（萃）</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4282ABB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6DDA3B6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0BF04FF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2FDD8CD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3AE5F6C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4055688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2C40EB8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0D1A8B7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auto" w:fill="auto"/>
            <w:noWrap/>
            <w:vAlign w:val="center"/>
          </w:tcPr>
          <w:p w14:paraId="3191191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5.5</w:t>
            </w:r>
          </w:p>
        </w:tc>
        <w:tc>
          <w:tcPr>
            <w:tcW w:w="477" w:type="pct"/>
            <w:tcBorders>
              <w:top w:val="nil"/>
              <w:left w:val="nil"/>
              <w:bottom w:val="single" w:color="auto" w:sz="4" w:space="0"/>
              <w:right w:val="single" w:color="auto" w:sz="8" w:space="0"/>
            </w:tcBorders>
            <w:shd w:val="clear" w:color="auto" w:fill="auto"/>
            <w:noWrap/>
            <w:vAlign w:val="center"/>
          </w:tcPr>
          <w:p w14:paraId="4934FF4D">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6237103A">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44FABB56">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26</w:t>
            </w:r>
          </w:p>
        </w:tc>
        <w:tc>
          <w:tcPr>
            <w:tcW w:w="199" w:type="pct"/>
            <w:vMerge w:val="continue"/>
            <w:tcBorders>
              <w:top w:val="nil"/>
              <w:left w:val="single" w:color="auto" w:sz="4" w:space="0"/>
              <w:bottom w:val="single" w:color="auto" w:sz="4" w:space="0"/>
              <w:right w:val="single" w:color="auto" w:sz="4" w:space="0"/>
            </w:tcBorders>
            <w:vAlign w:val="center"/>
          </w:tcPr>
          <w:p w14:paraId="23077F57">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auto" w:fill="auto"/>
            <w:vAlign w:val="center"/>
          </w:tcPr>
          <w:p w14:paraId="4C4C13DE">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贵烟（细支行者）</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04260CC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3D11886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13C17B2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63EFE09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2879902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4656CA0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0F00405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697E4CB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auto" w:fill="auto"/>
            <w:noWrap/>
            <w:vAlign w:val="center"/>
          </w:tcPr>
          <w:p w14:paraId="542CEAC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5.5</w:t>
            </w:r>
          </w:p>
        </w:tc>
        <w:tc>
          <w:tcPr>
            <w:tcW w:w="477" w:type="pct"/>
            <w:tcBorders>
              <w:top w:val="nil"/>
              <w:left w:val="nil"/>
              <w:bottom w:val="single" w:color="auto" w:sz="4" w:space="0"/>
              <w:right w:val="single" w:color="auto" w:sz="8" w:space="0"/>
            </w:tcBorders>
            <w:shd w:val="clear" w:color="auto" w:fill="auto"/>
            <w:noWrap/>
            <w:vAlign w:val="center"/>
          </w:tcPr>
          <w:p w14:paraId="18B85DDD">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8F7F30D">
        <w:tblPrEx>
          <w:tblCellMar>
            <w:top w:w="0" w:type="dxa"/>
            <w:left w:w="108" w:type="dxa"/>
            <w:bottom w:w="0" w:type="dxa"/>
            <w:right w:w="108" w:type="dxa"/>
          </w:tblCellMar>
        </w:tblPrEx>
        <w:trPr>
          <w:trHeight w:val="559"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4F0EB201">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27</w:t>
            </w:r>
          </w:p>
        </w:tc>
        <w:tc>
          <w:tcPr>
            <w:tcW w:w="199" w:type="pct"/>
            <w:tcBorders>
              <w:top w:val="nil"/>
              <w:left w:val="nil"/>
              <w:bottom w:val="single" w:color="auto" w:sz="4" w:space="0"/>
              <w:right w:val="single" w:color="auto" w:sz="4" w:space="0"/>
            </w:tcBorders>
            <w:shd w:val="clear" w:color="000000" w:fill="E7E6E6"/>
            <w:vAlign w:val="center"/>
          </w:tcPr>
          <w:p w14:paraId="535BD10E">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短支软包硬化</w:t>
            </w:r>
          </w:p>
        </w:tc>
        <w:tc>
          <w:tcPr>
            <w:tcW w:w="601" w:type="pct"/>
            <w:tcBorders>
              <w:top w:val="nil"/>
              <w:left w:val="nil"/>
              <w:bottom w:val="single" w:color="auto" w:sz="4" w:space="0"/>
              <w:right w:val="single" w:color="auto" w:sz="8" w:space="0"/>
            </w:tcBorders>
            <w:shd w:val="clear" w:color="000000" w:fill="E7E6E6"/>
            <w:vAlign w:val="center"/>
          </w:tcPr>
          <w:p w14:paraId="3B9E9331">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贵烟（行者）</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6A5AA41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000000" w:fill="E7E6E6"/>
            <w:noWrap/>
            <w:vAlign w:val="center"/>
          </w:tcPr>
          <w:p w14:paraId="28C2ECD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000000" w:fill="E7E6E6"/>
            <w:noWrap/>
            <w:vAlign w:val="center"/>
          </w:tcPr>
          <w:p w14:paraId="1CAE4A6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5.5</w:t>
            </w:r>
          </w:p>
        </w:tc>
        <w:tc>
          <w:tcPr>
            <w:tcW w:w="333" w:type="pct"/>
            <w:tcBorders>
              <w:top w:val="nil"/>
              <w:left w:val="nil"/>
              <w:bottom w:val="single" w:color="auto" w:sz="4" w:space="0"/>
              <w:right w:val="single" w:color="auto" w:sz="4" w:space="0"/>
            </w:tcBorders>
            <w:shd w:val="clear" w:color="000000" w:fill="E7E6E6"/>
            <w:noWrap/>
            <w:vAlign w:val="center"/>
          </w:tcPr>
          <w:p w14:paraId="52110F3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599AE3A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481CC65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5DFEBA5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0AF4877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30.5</w:t>
            </w:r>
          </w:p>
        </w:tc>
        <w:tc>
          <w:tcPr>
            <w:tcW w:w="318" w:type="pct"/>
            <w:tcBorders>
              <w:top w:val="nil"/>
              <w:left w:val="nil"/>
              <w:bottom w:val="single" w:color="auto" w:sz="4" w:space="0"/>
              <w:right w:val="single" w:color="auto" w:sz="4" w:space="0"/>
            </w:tcBorders>
            <w:shd w:val="clear" w:color="000000" w:fill="E7E6E6"/>
            <w:noWrap/>
            <w:vAlign w:val="center"/>
          </w:tcPr>
          <w:p w14:paraId="3CB5F45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18.5</w:t>
            </w:r>
          </w:p>
        </w:tc>
        <w:tc>
          <w:tcPr>
            <w:tcW w:w="477" w:type="pct"/>
            <w:tcBorders>
              <w:top w:val="nil"/>
              <w:left w:val="nil"/>
              <w:bottom w:val="single" w:color="auto" w:sz="4" w:space="0"/>
              <w:right w:val="single" w:color="auto" w:sz="8" w:space="0"/>
            </w:tcBorders>
            <w:shd w:val="clear" w:color="000000" w:fill="E7E6E6"/>
            <w:noWrap/>
            <w:vAlign w:val="center"/>
          </w:tcPr>
          <w:p w14:paraId="712311A9">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1C54C5C6">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3229CB47">
            <w:pPr>
              <w:widowControl/>
              <w:jc w:val="center"/>
              <w:rPr>
                <w:rFonts w:hint="eastAsia" w:ascii="宋体" w:hAnsi="宋体" w:eastAsia="宋体" w:cs="宋体"/>
                <w:kern w:val="0"/>
                <w:sz w:val="20"/>
                <w:szCs w:val="20"/>
              </w:rPr>
            </w:pPr>
            <w:r>
              <w:rPr>
                <w:rFonts w:hint="eastAsia" w:ascii="宋体" w:hAnsi="宋体" w:eastAsia="宋体" w:cs="宋体"/>
                <w:kern w:val="0"/>
                <w:sz w:val="20"/>
                <w:szCs w:val="20"/>
              </w:rPr>
              <w:t>28</w:t>
            </w:r>
          </w:p>
        </w:tc>
        <w:tc>
          <w:tcPr>
            <w:tcW w:w="199" w:type="pct"/>
            <w:tcBorders>
              <w:top w:val="nil"/>
              <w:left w:val="nil"/>
              <w:bottom w:val="single" w:color="auto" w:sz="4" w:space="0"/>
              <w:right w:val="single" w:color="auto" w:sz="4" w:space="0"/>
            </w:tcBorders>
            <w:shd w:val="clear" w:color="auto" w:fill="auto"/>
            <w:vAlign w:val="center"/>
          </w:tcPr>
          <w:p w14:paraId="2CA61E1E">
            <w:pPr>
              <w:widowControl/>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中支1</w:t>
            </w:r>
          </w:p>
        </w:tc>
        <w:tc>
          <w:tcPr>
            <w:tcW w:w="601" w:type="pct"/>
            <w:tcBorders>
              <w:top w:val="nil"/>
              <w:left w:val="nil"/>
              <w:bottom w:val="single" w:color="auto" w:sz="4" w:space="0"/>
              <w:right w:val="single" w:color="auto" w:sz="8" w:space="0"/>
            </w:tcBorders>
            <w:shd w:val="clear" w:color="auto" w:fill="auto"/>
            <w:vAlign w:val="center"/>
          </w:tcPr>
          <w:p w14:paraId="21319191">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贵烟（红中支）</w:t>
            </w:r>
          </w:p>
        </w:tc>
        <w:tc>
          <w:tcPr>
            <w:tcW w:w="401" w:type="pct"/>
            <w:tcBorders>
              <w:top w:val="nil"/>
              <w:left w:val="single" w:color="auto" w:sz="8" w:space="0"/>
              <w:bottom w:val="single" w:color="auto" w:sz="4" w:space="0"/>
              <w:right w:val="single" w:color="auto" w:sz="4" w:space="0"/>
            </w:tcBorders>
            <w:shd w:val="clear" w:color="000000" w:fill="FFFFFF"/>
            <w:noWrap/>
            <w:vAlign w:val="center"/>
          </w:tcPr>
          <w:p w14:paraId="544908E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000000" w:fill="FFFFFF"/>
            <w:noWrap/>
            <w:vAlign w:val="center"/>
          </w:tcPr>
          <w:p w14:paraId="40443A9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auto" w:fill="auto"/>
            <w:noWrap/>
            <w:vAlign w:val="center"/>
          </w:tcPr>
          <w:p w14:paraId="66D5F523">
            <w:pPr>
              <w:widowControl/>
              <w:jc w:val="center"/>
              <w:rPr>
                <w:rFonts w:hint="eastAsia" w:ascii="宋体" w:hAnsi="宋体" w:eastAsia="宋体" w:cs="宋体"/>
                <w:kern w:val="0"/>
                <w:sz w:val="22"/>
              </w:rPr>
            </w:pPr>
            <w:r>
              <w:rPr>
                <w:rFonts w:hint="eastAsia" w:ascii="宋体" w:hAnsi="宋体" w:eastAsia="宋体" w:cs="宋体"/>
                <w:kern w:val="0"/>
                <w:sz w:val="22"/>
              </w:rPr>
              <w:t>1</w:t>
            </w:r>
          </w:p>
        </w:tc>
        <w:tc>
          <w:tcPr>
            <w:tcW w:w="333" w:type="pct"/>
            <w:tcBorders>
              <w:top w:val="nil"/>
              <w:left w:val="nil"/>
              <w:bottom w:val="single" w:color="auto" w:sz="4" w:space="0"/>
              <w:right w:val="single" w:color="auto" w:sz="4" w:space="0"/>
            </w:tcBorders>
            <w:shd w:val="clear" w:color="auto" w:fill="auto"/>
            <w:noWrap/>
            <w:vAlign w:val="center"/>
          </w:tcPr>
          <w:p w14:paraId="2C98527F">
            <w:pPr>
              <w:widowControl/>
              <w:jc w:val="center"/>
              <w:rPr>
                <w:rFonts w:hint="eastAsia" w:ascii="宋体" w:hAnsi="宋体" w:eastAsia="宋体" w:cs="宋体"/>
                <w:kern w:val="0"/>
                <w:sz w:val="22"/>
              </w:rPr>
            </w:pPr>
            <w:r>
              <w:rPr>
                <w:rFonts w:hint="eastAsia" w:ascii="宋体" w:hAnsi="宋体" w:eastAsia="宋体" w:cs="宋体"/>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788B00F5">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30C76F46">
            <w:pPr>
              <w:widowControl/>
              <w:jc w:val="center"/>
              <w:rPr>
                <w:rFonts w:hint="eastAsia" w:ascii="宋体" w:hAnsi="宋体" w:eastAsia="宋体" w:cs="宋体"/>
                <w:kern w:val="0"/>
                <w:sz w:val="22"/>
              </w:rPr>
            </w:pPr>
            <w:r>
              <w:rPr>
                <w:rFonts w:hint="eastAsia" w:ascii="宋体" w:hAnsi="宋体" w:eastAsia="宋体" w:cs="宋体"/>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5EF8385A">
            <w:pPr>
              <w:widowControl/>
              <w:jc w:val="center"/>
              <w:rPr>
                <w:rFonts w:hint="eastAsia" w:ascii="宋体" w:hAnsi="宋体" w:eastAsia="宋体" w:cs="宋体"/>
                <w:kern w:val="0"/>
                <w:sz w:val="22"/>
              </w:rPr>
            </w:pPr>
            <w:r>
              <w:rPr>
                <w:rFonts w:hint="eastAsia" w:ascii="宋体" w:hAnsi="宋体" w:eastAsia="宋体" w:cs="宋体"/>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262D76CF">
            <w:pPr>
              <w:widowControl/>
              <w:jc w:val="center"/>
              <w:rPr>
                <w:rFonts w:hint="eastAsia" w:ascii="宋体" w:hAnsi="宋体" w:eastAsia="宋体" w:cs="宋体"/>
                <w:kern w:val="0"/>
                <w:sz w:val="22"/>
              </w:rPr>
            </w:pPr>
            <w:r>
              <w:rPr>
                <w:rFonts w:hint="eastAsia" w:ascii="宋体" w:hAnsi="宋体" w:eastAsia="宋体" w:cs="宋体"/>
                <w:kern w:val="0"/>
                <w:sz w:val="22"/>
              </w:rPr>
              <w:t>40</w:t>
            </w:r>
          </w:p>
        </w:tc>
        <w:tc>
          <w:tcPr>
            <w:tcW w:w="318" w:type="pct"/>
            <w:tcBorders>
              <w:top w:val="nil"/>
              <w:left w:val="nil"/>
              <w:bottom w:val="single" w:color="auto" w:sz="4" w:space="0"/>
              <w:right w:val="single" w:color="auto" w:sz="4" w:space="0"/>
            </w:tcBorders>
            <w:shd w:val="clear" w:color="auto" w:fill="auto"/>
            <w:noWrap/>
            <w:vAlign w:val="center"/>
          </w:tcPr>
          <w:p w14:paraId="3E945212">
            <w:pPr>
              <w:widowControl/>
              <w:jc w:val="center"/>
              <w:rPr>
                <w:rFonts w:hint="eastAsia" w:ascii="宋体" w:hAnsi="宋体" w:eastAsia="宋体" w:cs="宋体"/>
                <w:kern w:val="0"/>
                <w:sz w:val="22"/>
              </w:rPr>
            </w:pPr>
            <w:r>
              <w:rPr>
                <w:rFonts w:hint="eastAsia" w:ascii="宋体" w:hAnsi="宋体" w:eastAsia="宋体" w:cs="宋体"/>
                <w:kern w:val="0"/>
                <w:sz w:val="22"/>
              </w:rPr>
              <w:t>7</w:t>
            </w:r>
          </w:p>
        </w:tc>
        <w:tc>
          <w:tcPr>
            <w:tcW w:w="477" w:type="pct"/>
            <w:tcBorders>
              <w:top w:val="nil"/>
              <w:left w:val="nil"/>
              <w:bottom w:val="single" w:color="auto" w:sz="4" w:space="0"/>
              <w:right w:val="single" w:color="auto" w:sz="8" w:space="0"/>
            </w:tcBorders>
            <w:shd w:val="clear" w:color="auto" w:fill="auto"/>
            <w:noWrap/>
            <w:vAlign w:val="center"/>
          </w:tcPr>
          <w:p w14:paraId="0DD3C243">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6B6706B1">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1FB355CA">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29</w:t>
            </w:r>
          </w:p>
        </w:tc>
        <w:tc>
          <w:tcPr>
            <w:tcW w:w="199" w:type="pct"/>
            <w:vMerge w:val="restart"/>
            <w:tcBorders>
              <w:top w:val="nil"/>
              <w:left w:val="single" w:color="auto" w:sz="4" w:space="0"/>
              <w:bottom w:val="single" w:color="auto" w:sz="4" w:space="0"/>
              <w:right w:val="single" w:color="auto" w:sz="4" w:space="0"/>
            </w:tcBorders>
            <w:shd w:val="clear" w:color="000000" w:fill="E7E6E6"/>
            <w:vAlign w:val="center"/>
          </w:tcPr>
          <w:p w14:paraId="416AC328">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中支2</w:t>
            </w:r>
          </w:p>
        </w:tc>
        <w:tc>
          <w:tcPr>
            <w:tcW w:w="601" w:type="pct"/>
            <w:tcBorders>
              <w:top w:val="nil"/>
              <w:left w:val="nil"/>
              <w:bottom w:val="single" w:color="auto" w:sz="4" w:space="0"/>
              <w:right w:val="single" w:color="auto" w:sz="8" w:space="0"/>
            </w:tcBorders>
            <w:shd w:val="clear" w:color="000000" w:fill="E7E6E6"/>
            <w:vAlign w:val="center"/>
          </w:tcPr>
          <w:p w14:paraId="12D1A301">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贵烟（福中支）</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3F9D49B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000000" w:fill="E7E6E6"/>
            <w:noWrap/>
            <w:vAlign w:val="center"/>
          </w:tcPr>
          <w:p w14:paraId="3DE9F3A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000000" w:fill="E7E6E6"/>
            <w:noWrap/>
            <w:vAlign w:val="center"/>
          </w:tcPr>
          <w:p w14:paraId="65D5ED9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333" w:type="pct"/>
            <w:tcBorders>
              <w:top w:val="nil"/>
              <w:left w:val="nil"/>
              <w:bottom w:val="single" w:color="auto" w:sz="4" w:space="0"/>
              <w:right w:val="single" w:color="auto" w:sz="4" w:space="0"/>
            </w:tcBorders>
            <w:shd w:val="clear" w:color="000000" w:fill="E7E6E6"/>
            <w:noWrap/>
            <w:vAlign w:val="center"/>
          </w:tcPr>
          <w:p w14:paraId="1E758DE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301BEDF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0A02B10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692AC98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604A84E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39.6</w:t>
            </w:r>
          </w:p>
        </w:tc>
        <w:tc>
          <w:tcPr>
            <w:tcW w:w="318" w:type="pct"/>
            <w:tcBorders>
              <w:top w:val="nil"/>
              <w:left w:val="nil"/>
              <w:bottom w:val="single" w:color="auto" w:sz="4" w:space="0"/>
              <w:right w:val="single" w:color="auto" w:sz="4" w:space="0"/>
            </w:tcBorders>
            <w:shd w:val="clear" w:color="000000" w:fill="E7E6E6"/>
            <w:noWrap/>
            <w:vAlign w:val="center"/>
          </w:tcPr>
          <w:p w14:paraId="0EEAF1D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26.1</w:t>
            </w:r>
          </w:p>
        </w:tc>
        <w:tc>
          <w:tcPr>
            <w:tcW w:w="477" w:type="pct"/>
            <w:tcBorders>
              <w:top w:val="nil"/>
              <w:left w:val="nil"/>
              <w:bottom w:val="single" w:color="auto" w:sz="4" w:space="0"/>
              <w:right w:val="single" w:color="auto" w:sz="8" w:space="0"/>
            </w:tcBorders>
            <w:shd w:val="clear" w:color="000000" w:fill="E7E6E6"/>
            <w:noWrap/>
            <w:vAlign w:val="center"/>
          </w:tcPr>
          <w:p w14:paraId="3DF1499B">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38DE9981">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551BD1C6">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30</w:t>
            </w:r>
          </w:p>
        </w:tc>
        <w:tc>
          <w:tcPr>
            <w:tcW w:w="199" w:type="pct"/>
            <w:vMerge w:val="continue"/>
            <w:tcBorders>
              <w:top w:val="nil"/>
              <w:left w:val="single" w:color="auto" w:sz="4" w:space="0"/>
              <w:bottom w:val="single" w:color="auto" w:sz="4" w:space="0"/>
              <w:right w:val="single" w:color="auto" w:sz="4" w:space="0"/>
            </w:tcBorders>
            <w:vAlign w:val="center"/>
          </w:tcPr>
          <w:p w14:paraId="330EFADB">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000000" w:fill="E7E6E6"/>
            <w:vAlign w:val="center"/>
          </w:tcPr>
          <w:p w14:paraId="4B79BA63">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贵烟（贵中支）</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1A56C33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000000" w:fill="E7E6E6"/>
            <w:noWrap/>
            <w:vAlign w:val="center"/>
          </w:tcPr>
          <w:p w14:paraId="3C016ED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000000" w:fill="E7E6E6"/>
            <w:noWrap/>
            <w:vAlign w:val="center"/>
          </w:tcPr>
          <w:p w14:paraId="3B87E47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333" w:type="pct"/>
            <w:tcBorders>
              <w:top w:val="nil"/>
              <w:left w:val="nil"/>
              <w:bottom w:val="single" w:color="auto" w:sz="4" w:space="0"/>
              <w:right w:val="single" w:color="auto" w:sz="4" w:space="0"/>
            </w:tcBorders>
            <w:shd w:val="clear" w:color="000000" w:fill="E7E6E6"/>
            <w:noWrap/>
            <w:vAlign w:val="center"/>
          </w:tcPr>
          <w:p w14:paraId="4ED60C2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0EBB776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57A689B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5614040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6F0DFA2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39.6</w:t>
            </w:r>
          </w:p>
        </w:tc>
        <w:tc>
          <w:tcPr>
            <w:tcW w:w="318" w:type="pct"/>
            <w:tcBorders>
              <w:top w:val="nil"/>
              <w:left w:val="nil"/>
              <w:bottom w:val="single" w:color="auto" w:sz="4" w:space="0"/>
              <w:right w:val="single" w:color="auto" w:sz="4" w:space="0"/>
            </w:tcBorders>
            <w:shd w:val="clear" w:color="000000" w:fill="E7E6E6"/>
            <w:noWrap/>
            <w:vAlign w:val="center"/>
          </w:tcPr>
          <w:p w14:paraId="248B9FB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26.1</w:t>
            </w:r>
          </w:p>
        </w:tc>
        <w:tc>
          <w:tcPr>
            <w:tcW w:w="477" w:type="pct"/>
            <w:tcBorders>
              <w:top w:val="nil"/>
              <w:left w:val="nil"/>
              <w:bottom w:val="single" w:color="auto" w:sz="4" w:space="0"/>
              <w:right w:val="single" w:color="auto" w:sz="8" w:space="0"/>
            </w:tcBorders>
            <w:shd w:val="clear" w:color="000000" w:fill="E7E6E6"/>
            <w:noWrap/>
            <w:vAlign w:val="center"/>
          </w:tcPr>
          <w:p w14:paraId="106D126D">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1B898486">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30B48ECD">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31</w:t>
            </w:r>
          </w:p>
        </w:tc>
        <w:tc>
          <w:tcPr>
            <w:tcW w:w="199" w:type="pct"/>
            <w:vMerge w:val="continue"/>
            <w:tcBorders>
              <w:top w:val="nil"/>
              <w:left w:val="single" w:color="auto" w:sz="4" w:space="0"/>
              <w:bottom w:val="single" w:color="auto" w:sz="4" w:space="0"/>
              <w:right w:val="single" w:color="auto" w:sz="4" w:space="0"/>
            </w:tcBorders>
            <w:vAlign w:val="center"/>
          </w:tcPr>
          <w:p w14:paraId="4E137C1D">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000000" w:fill="E7E6E6"/>
            <w:vAlign w:val="center"/>
          </w:tcPr>
          <w:p w14:paraId="6324F2CE">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贵烟（贵中支）出口</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7E9F601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000000" w:fill="E7E6E6"/>
            <w:noWrap/>
            <w:vAlign w:val="center"/>
          </w:tcPr>
          <w:p w14:paraId="316DAD8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000000" w:fill="E7E6E6"/>
            <w:noWrap/>
            <w:vAlign w:val="center"/>
          </w:tcPr>
          <w:p w14:paraId="7430BB7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333" w:type="pct"/>
            <w:tcBorders>
              <w:top w:val="nil"/>
              <w:left w:val="nil"/>
              <w:bottom w:val="single" w:color="auto" w:sz="4" w:space="0"/>
              <w:right w:val="single" w:color="auto" w:sz="4" w:space="0"/>
            </w:tcBorders>
            <w:shd w:val="clear" w:color="000000" w:fill="E7E6E6"/>
            <w:noWrap/>
            <w:vAlign w:val="center"/>
          </w:tcPr>
          <w:p w14:paraId="4832452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01107D0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5911713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580A0E5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63C1B79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39.6</w:t>
            </w:r>
          </w:p>
        </w:tc>
        <w:tc>
          <w:tcPr>
            <w:tcW w:w="318" w:type="pct"/>
            <w:tcBorders>
              <w:top w:val="nil"/>
              <w:left w:val="nil"/>
              <w:bottom w:val="single" w:color="auto" w:sz="4" w:space="0"/>
              <w:right w:val="single" w:color="auto" w:sz="4" w:space="0"/>
            </w:tcBorders>
            <w:shd w:val="clear" w:color="000000" w:fill="E7E6E6"/>
            <w:noWrap/>
            <w:vAlign w:val="center"/>
          </w:tcPr>
          <w:p w14:paraId="3CE781B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26.1</w:t>
            </w:r>
          </w:p>
        </w:tc>
        <w:tc>
          <w:tcPr>
            <w:tcW w:w="477" w:type="pct"/>
            <w:tcBorders>
              <w:top w:val="nil"/>
              <w:left w:val="nil"/>
              <w:bottom w:val="single" w:color="auto" w:sz="4" w:space="0"/>
              <w:right w:val="single" w:color="auto" w:sz="8" w:space="0"/>
            </w:tcBorders>
            <w:shd w:val="clear" w:color="000000" w:fill="E7E6E6"/>
            <w:noWrap/>
            <w:vAlign w:val="center"/>
          </w:tcPr>
          <w:p w14:paraId="4A8AF673">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2C289321">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7AC8A933">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32</w:t>
            </w:r>
          </w:p>
        </w:tc>
        <w:tc>
          <w:tcPr>
            <w:tcW w:w="199" w:type="pct"/>
            <w:vMerge w:val="continue"/>
            <w:tcBorders>
              <w:top w:val="nil"/>
              <w:left w:val="single" w:color="auto" w:sz="4" w:space="0"/>
              <w:bottom w:val="single" w:color="auto" w:sz="4" w:space="0"/>
              <w:right w:val="single" w:color="auto" w:sz="4" w:space="0"/>
            </w:tcBorders>
            <w:vAlign w:val="center"/>
          </w:tcPr>
          <w:p w14:paraId="1E504976">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000000" w:fill="E7E6E6"/>
            <w:vAlign w:val="center"/>
          </w:tcPr>
          <w:p w14:paraId="606FC1C1">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贵烟（山水）</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4B0821A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000000" w:fill="E7E6E6"/>
            <w:noWrap/>
            <w:vAlign w:val="center"/>
          </w:tcPr>
          <w:p w14:paraId="6033FB1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000000" w:fill="E7E6E6"/>
            <w:noWrap/>
            <w:vAlign w:val="center"/>
          </w:tcPr>
          <w:p w14:paraId="003A8CB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1.6</w:t>
            </w:r>
          </w:p>
        </w:tc>
        <w:tc>
          <w:tcPr>
            <w:tcW w:w="333" w:type="pct"/>
            <w:tcBorders>
              <w:top w:val="nil"/>
              <w:left w:val="nil"/>
              <w:bottom w:val="single" w:color="auto" w:sz="4" w:space="0"/>
              <w:right w:val="single" w:color="auto" w:sz="4" w:space="0"/>
            </w:tcBorders>
            <w:shd w:val="clear" w:color="000000" w:fill="E7E6E6"/>
            <w:noWrap/>
            <w:vAlign w:val="center"/>
          </w:tcPr>
          <w:p w14:paraId="700D578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050AF22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3BF78ED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5D84166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0C12964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39.6</w:t>
            </w:r>
          </w:p>
        </w:tc>
        <w:tc>
          <w:tcPr>
            <w:tcW w:w="318" w:type="pct"/>
            <w:tcBorders>
              <w:top w:val="nil"/>
              <w:left w:val="nil"/>
              <w:bottom w:val="single" w:color="auto" w:sz="4" w:space="0"/>
              <w:right w:val="single" w:color="auto" w:sz="4" w:space="0"/>
            </w:tcBorders>
            <w:shd w:val="clear" w:color="000000" w:fill="E7E6E6"/>
            <w:noWrap/>
            <w:vAlign w:val="center"/>
          </w:tcPr>
          <w:p w14:paraId="23518BA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26.1</w:t>
            </w:r>
          </w:p>
        </w:tc>
        <w:tc>
          <w:tcPr>
            <w:tcW w:w="477" w:type="pct"/>
            <w:tcBorders>
              <w:top w:val="nil"/>
              <w:left w:val="nil"/>
              <w:bottom w:val="single" w:color="auto" w:sz="4" w:space="0"/>
              <w:right w:val="single" w:color="auto" w:sz="8" w:space="0"/>
            </w:tcBorders>
            <w:shd w:val="clear" w:color="000000" w:fill="E7E6E6"/>
            <w:noWrap/>
            <w:vAlign w:val="center"/>
          </w:tcPr>
          <w:p w14:paraId="13C59C85">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173C4684">
        <w:tblPrEx>
          <w:tblCellMar>
            <w:top w:w="0" w:type="dxa"/>
            <w:left w:w="108" w:type="dxa"/>
            <w:bottom w:w="0" w:type="dxa"/>
            <w:right w:w="108" w:type="dxa"/>
          </w:tblCellMar>
        </w:tblPrEx>
        <w:trPr>
          <w:trHeight w:val="522" w:hRule="atLeast"/>
        </w:trPr>
        <w:tc>
          <w:tcPr>
            <w:tcW w:w="200" w:type="pct"/>
            <w:tcBorders>
              <w:top w:val="nil"/>
              <w:left w:val="single" w:color="auto" w:sz="8" w:space="0"/>
              <w:bottom w:val="nil"/>
              <w:right w:val="single" w:color="auto" w:sz="4" w:space="0"/>
            </w:tcBorders>
            <w:shd w:val="clear" w:color="auto" w:fill="auto"/>
            <w:vAlign w:val="center"/>
          </w:tcPr>
          <w:p w14:paraId="5C4004FE">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33</w:t>
            </w:r>
          </w:p>
        </w:tc>
        <w:tc>
          <w:tcPr>
            <w:tcW w:w="199" w:type="pct"/>
            <w:tcBorders>
              <w:top w:val="nil"/>
              <w:left w:val="nil"/>
              <w:bottom w:val="nil"/>
              <w:right w:val="single" w:color="auto" w:sz="4" w:space="0"/>
            </w:tcBorders>
            <w:shd w:val="clear" w:color="auto" w:fill="auto"/>
            <w:vAlign w:val="center"/>
          </w:tcPr>
          <w:p w14:paraId="7EA5AA5D">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异型盒1</w:t>
            </w:r>
          </w:p>
        </w:tc>
        <w:tc>
          <w:tcPr>
            <w:tcW w:w="601" w:type="pct"/>
            <w:tcBorders>
              <w:top w:val="nil"/>
              <w:left w:val="nil"/>
              <w:bottom w:val="nil"/>
              <w:right w:val="single" w:color="auto" w:sz="8" w:space="0"/>
            </w:tcBorders>
            <w:shd w:val="clear" w:color="auto" w:fill="auto"/>
            <w:vAlign w:val="center"/>
          </w:tcPr>
          <w:p w14:paraId="3EB48AC4">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贵烟（100）</w:t>
            </w:r>
          </w:p>
        </w:tc>
        <w:tc>
          <w:tcPr>
            <w:tcW w:w="401" w:type="pct"/>
            <w:tcBorders>
              <w:top w:val="nil"/>
              <w:left w:val="single" w:color="auto" w:sz="8" w:space="0"/>
              <w:bottom w:val="nil"/>
              <w:right w:val="single" w:color="auto" w:sz="4" w:space="0"/>
            </w:tcBorders>
            <w:shd w:val="clear" w:color="auto" w:fill="auto"/>
            <w:noWrap/>
            <w:vAlign w:val="center"/>
          </w:tcPr>
          <w:p w14:paraId="3F64FBD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nil"/>
              <w:right w:val="single" w:color="auto" w:sz="4" w:space="0"/>
            </w:tcBorders>
            <w:shd w:val="clear" w:color="auto" w:fill="auto"/>
            <w:noWrap/>
            <w:vAlign w:val="center"/>
          </w:tcPr>
          <w:p w14:paraId="5714F53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nil"/>
              <w:right w:val="single" w:color="auto" w:sz="4" w:space="0"/>
            </w:tcBorders>
            <w:shd w:val="clear" w:color="auto" w:fill="auto"/>
            <w:noWrap/>
            <w:vAlign w:val="center"/>
          </w:tcPr>
          <w:p w14:paraId="74941DE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12.6</w:t>
            </w:r>
          </w:p>
        </w:tc>
        <w:tc>
          <w:tcPr>
            <w:tcW w:w="333" w:type="pct"/>
            <w:tcBorders>
              <w:top w:val="nil"/>
              <w:left w:val="nil"/>
              <w:bottom w:val="nil"/>
              <w:right w:val="single" w:color="auto" w:sz="4" w:space="0"/>
            </w:tcBorders>
            <w:shd w:val="clear" w:color="auto" w:fill="auto"/>
            <w:noWrap/>
            <w:vAlign w:val="center"/>
          </w:tcPr>
          <w:p w14:paraId="20ACC01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35.7</w:t>
            </w:r>
          </w:p>
        </w:tc>
        <w:tc>
          <w:tcPr>
            <w:tcW w:w="470" w:type="pct"/>
            <w:tcBorders>
              <w:top w:val="nil"/>
              <w:left w:val="nil"/>
              <w:bottom w:val="nil"/>
              <w:right w:val="single" w:color="auto" w:sz="8" w:space="0"/>
            </w:tcBorders>
            <w:shd w:val="clear" w:color="auto" w:fill="auto"/>
            <w:noWrap/>
            <w:vAlign w:val="center"/>
          </w:tcPr>
          <w:p w14:paraId="18FDDC8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nil"/>
              <w:right w:val="single" w:color="auto" w:sz="4" w:space="0"/>
            </w:tcBorders>
            <w:shd w:val="clear" w:color="auto" w:fill="auto"/>
            <w:noWrap/>
            <w:vAlign w:val="center"/>
          </w:tcPr>
          <w:p w14:paraId="7EFB580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nil"/>
              <w:right w:val="single" w:color="auto" w:sz="4" w:space="0"/>
            </w:tcBorders>
            <w:shd w:val="clear" w:color="auto" w:fill="auto"/>
            <w:noWrap/>
            <w:vAlign w:val="center"/>
          </w:tcPr>
          <w:p w14:paraId="1BE5F9D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nil"/>
              <w:right w:val="single" w:color="auto" w:sz="4" w:space="0"/>
            </w:tcBorders>
            <w:shd w:val="clear" w:color="auto" w:fill="auto"/>
            <w:noWrap/>
            <w:vAlign w:val="center"/>
          </w:tcPr>
          <w:p w14:paraId="4793471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44.85</w:t>
            </w:r>
          </w:p>
        </w:tc>
        <w:tc>
          <w:tcPr>
            <w:tcW w:w="318" w:type="pct"/>
            <w:tcBorders>
              <w:top w:val="nil"/>
              <w:left w:val="nil"/>
              <w:bottom w:val="nil"/>
              <w:right w:val="single" w:color="auto" w:sz="4" w:space="0"/>
            </w:tcBorders>
            <w:shd w:val="clear" w:color="auto" w:fill="auto"/>
            <w:noWrap/>
            <w:vAlign w:val="center"/>
          </w:tcPr>
          <w:p w14:paraId="6EB8E5D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15</w:t>
            </w:r>
          </w:p>
        </w:tc>
        <w:tc>
          <w:tcPr>
            <w:tcW w:w="477" w:type="pct"/>
            <w:tcBorders>
              <w:top w:val="nil"/>
              <w:left w:val="nil"/>
              <w:bottom w:val="nil"/>
              <w:right w:val="single" w:color="auto" w:sz="8" w:space="0"/>
            </w:tcBorders>
            <w:shd w:val="clear" w:color="auto" w:fill="auto"/>
            <w:noWrap/>
            <w:vAlign w:val="center"/>
          </w:tcPr>
          <w:p w14:paraId="376CA37B">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551BEE0F">
        <w:tblPrEx>
          <w:tblCellMar>
            <w:top w:w="0" w:type="dxa"/>
            <w:left w:w="108" w:type="dxa"/>
            <w:bottom w:w="0" w:type="dxa"/>
            <w:right w:w="108" w:type="dxa"/>
          </w:tblCellMar>
        </w:tblPrEx>
        <w:trPr>
          <w:trHeight w:val="522" w:hRule="atLeast"/>
        </w:trPr>
        <w:tc>
          <w:tcPr>
            <w:tcW w:w="200" w:type="pct"/>
            <w:tcBorders>
              <w:top w:val="single" w:color="auto" w:sz="8" w:space="0"/>
              <w:left w:val="single" w:color="auto" w:sz="8" w:space="0"/>
              <w:bottom w:val="single" w:color="auto" w:sz="4" w:space="0"/>
              <w:right w:val="single" w:color="auto" w:sz="4" w:space="0"/>
            </w:tcBorders>
            <w:shd w:val="clear" w:color="auto" w:fill="auto"/>
            <w:vAlign w:val="center"/>
          </w:tcPr>
          <w:p w14:paraId="29ED6F97">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34</w:t>
            </w:r>
          </w:p>
        </w:tc>
        <w:tc>
          <w:tcPr>
            <w:tcW w:w="199" w:type="pct"/>
            <w:vMerge w:val="restart"/>
            <w:tcBorders>
              <w:top w:val="single" w:color="auto" w:sz="8" w:space="0"/>
              <w:left w:val="single" w:color="auto" w:sz="4" w:space="0"/>
              <w:bottom w:val="single" w:color="000000" w:sz="4" w:space="0"/>
              <w:right w:val="single" w:color="auto" w:sz="4" w:space="0"/>
            </w:tcBorders>
            <w:shd w:val="clear" w:color="000000" w:fill="E7E6E6"/>
            <w:vAlign w:val="center"/>
          </w:tcPr>
          <w:p w14:paraId="245CE8E2">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异型盒2</w:t>
            </w:r>
          </w:p>
        </w:tc>
        <w:tc>
          <w:tcPr>
            <w:tcW w:w="601" w:type="pct"/>
            <w:tcBorders>
              <w:top w:val="single" w:color="auto" w:sz="8" w:space="0"/>
              <w:left w:val="nil"/>
              <w:bottom w:val="single" w:color="auto" w:sz="4" w:space="0"/>
              <w:right w:val="single" w:color="auto" w:sz="8" w:space="0"/>
            </w:tcBorders>
            <w:shd w:val="clear" w:color="000000" w:fill="E7E6E6"/>
            <w:vAlign w:val="center"/>
          </w:tcPr>
          <w:p w14:paraId="1598D4A7">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贵烟（国酒香30）</w:t>
            </w:r>
          </w:p>
        </w:tc>
        <w:tc>
          <w:tcPr>
            <w:tcW w:w="401" w:type="pct"/>
            <w:tcBorders>
              <w:top w:val="single" w:color="auto" w:sz="4" w:space="0"/>
              <w:left w:val="single" w:color="auto" w:sz="8" w:space="0"/>
              <w:bottom w:val="single" w:color="auto" w:sz="4" w:space="0"/>
              <w:right w:val="single" w:color="auto" w:sz="4" w:space="0"/>
            </w:tcBorders>
            <w:shd w:val="clear" w:color="000000" w:fill="E7E6E6"/>
            <w:noWrap/>
            <w:vAlign w:val="center"/>
          </w:tcPr>
          <w:p w14:paraId="144E18E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single" w:color="auto" w:sz="4" w:space="0"/>
              <w:left w:val="nil"/>
              <w:bottom w:val="single" w:color="auto" w:sz="4" w:space="0"/>
              <w:right w:val="single" w:color="auto" w:sz="4" w:space="0"/>
            </w:tcBorders>
            <w:shd w:val="clear" w:color="000000" w:fill="E7E6E6"/>
            <w:noWrap/>
            <w:vAlign w:val="center"/>
          </w:tcPr>
          <w:p w14:paraId="39A5F1F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single" w:color="auto" w:sz="4" w:space="0"/>
              <w:left w:val="nil"/>
              <w:bottom w:val="single" w:color="auto" w:sz="4" w:space="0"/>
              <w:right w:val="single" w:color="auto" w:sz="4" w:space="0"/>
            </w:tcBorders>
            <w:shd w:val="clear" w:color="000000" w:fill="E7E6E6"/>
            <w:noWrap/>
            <w:vAlign w:val="center"/>
          </w:tcPr>
          <w:p w14:paraId="12178FE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single" w:color="auto" w:sz="4" w:space="0"/>
              <w:left w:val="nil"/>
              <w:bottom w:val="single" w:color="auto" w:sz="4" w:space="0"/>
              <w:right w:val="single" w:color="auto" w:sz="4" w:space="0"/>
            </w:tcBorders>
            <w:shd w:val="clear" w:color="000000" w:fill="E7E6E6"/>
            <w:noWrap/>
            <w:vAlign w:val="center"/>
          </w:tcPr>
          <w:p w14:paraId="58E01D2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single" w:color="auto" w:sz="8" w:space="0"/>
              <w:left w:val="nil"/>
              <w:bottom w:val="single" w:color="auto" w:sz="4" w:space="0"/>
              <w:right w:val="single" w:color="auto" w:sz="8" w:space="0"/>
            </w:tcBorders>
            <w:shd w:val="clear" w:color="000000" w:fill="E7E6E6"/>
            <w:noWrap/>
            <w:vAlign w:val="center"/>
          </w:tcPr>
          <w:p w14:paraId="4F77B66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3D0456AC">
            <w:pPr>
              <w:widowControl/>
              <w:jc w:val="center"/>
              <w:rPr>
                <w:rFonts w:hint="eastAsia" w:ascii="宋体" w:hAnsi="宋体" w:eastAsia="宋体" w:cs="宋体"/>
                <w:kern w:val="0"/>
                <w:sz w:val="22"/>
              </w:rPr>
            </w:pPr>
            <w:r>
              <w:rPr>
                <w:rFonts w:hint="eastAsia" w:ascii="宋体" w:hAnsi="宋体" w:eastAsia="宋体" w:cs="宋体"/>
                <w:kern w:val="0"/>
                <w:sz w:val="22"/>
              </w:rPr>
              <w:t>12*12</w:t>
            </w:r>
          </w:p>
        </w:tc>
        <w:tc>
          <w:tcPr>
            <w:tcW w:w="465" w:type="pct"/>
            <w:tcBorders>
              <w:top w:val="single" w:color="auto" w:sz="8" w:space="0"/>
              <w:left w:val="nil"/>
              <w:bottom w:val="single" w:color="auto" w:sz="4" w:space="0"/>
              <w:right w:val="single" w:color="auto" w:sz="4" w:space="0"/>
            </w:tcBorders>
            <w:shd w:val="clear" w:color="000000" w:fill="E7E6E6"/>
            <w:noWrap/>
            <w:vAlign w:val="center"/>
          </w:tcPr>
          <w:p w14:paraId="7811C2DD">
            <w:pPr>
              <w:widowControl/>
              <w:jc w:val="center"/>
              <w:rPr>
                <w:rFonts w:hint="eastAsia" w:ascii="宋体" w:hAnsi="宋体" w:eastAsia="宋体" w:cs="宋体"/>
                <w:kern w:val="0"/>
                <w:sz w:val="22"/>
              </w:rPr>
            </w:pPr>
            <w:r>
              <w:rPr>
                <w:rFonts w:hint="eastAsia" w:ascii="宋体" w:hAnsi="宋体" w:eastAsia="宋体" w:cs="宋体"/>
                <w:kern w:val="0"/>
                <w:sz w:val="22"/>
              </w:rPr>
              <w:t>14*14</w:t>
            </w:r>
          </w:p>
        </w:tc>
        <w:tc>
          <w:tcPr>
            <w:tcW w:w="331" w:type="pct"/>
            <w:tcBorders>
              <w:top w:val="single" w:color="auto" w:sz="8" w:space="0"/>
              <w:left w:val="nil"/>
              <w:bottom w:val="single" w:color="auto" w:sz="4" w:space="0"/>
              <w:right w:val="single" w:color="auto" w:sz="4" w:space="0"/>
            </w:tcBorders>
            <w:shd w:val="clear" w:color="000000" w:fill="E7E6E6"/>
            <w:noWrap/>
            <w:vAlign w:val="center"/>
          </w:tcPr>
          <w:p w14:paraId="534E60E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single" w:color="auto" w:sz="4" w:space="0"/>
              <w:left w:val="nil"/>
              <w:bottom w:val="single" w:color="auto" w:sz="4" w:space="0"/>
              <w:right w:val="single" w:color="auto" w:sz="4" w:space="0"/>
            </w:tcBorders>
            <w:shd w:val="clear" w:color="000000" w:fill="E7E6E6"/>
            <w:noWrap/>
            <w:vAlign w:val="center"/>
          </w:tcPr>
          <w:p w14:paraId="5479151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17.5</w:t>
            </w:r>
          </w:p>
        </w:tc>
        <w:tc>
          <w:tcPr>
            <w:tcW w:w="477" w:type="pct"/>
            <w:tcBorders>
              <w:top w:val="single" w:color="auto" w:sz="8" w:space="0"/>
              <w:left w:val="nil"/>
              <w:bottom w:val="single" w:color="auto" w:sz="4" w:space="0"/>
              <w:right w:val="single" w:color="auto" w:sz="8" w:space="0"/>
            </w:tcBorders>
            <w:shd w:val="clear" w:color="000000" w:fill="E7E6E6"/>
            <w:noWrap/>
            <w:vAlign w:val="center"/>
          </w:tcPr>
          <w:p w14:paraId="6AD5DEC5">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B7398B0">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54A3BEA5">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35</w:t>
            </w:r>
          </w:p>
        </w:tc>
        <w:tc>
          <w:tcPr>
            <w:tcW w:w="199" w:type="pct"/>
            <w:vMerge w:val="continue"/>
            <w:tcBorders>
              <w:top w:val="single" w:color="auto" w:sz="8" w:space="0"/>
              <w:left w:val="single" w:color="auto" w:sz="4" w:space="0"/>
              <w:bottom w:val="single" w:color="000000" w:sz="4" w:space="0"/>
              <w:right w:val="single" w:color="auto" w:sz="4" w:space="0"/>
            </w:tcBorders>
            <w:vAlign w:val="center"/>
          </w:tcPr>
          <w:p w14:paraId="46EAE0BA">
            <w:pPr>
              <w:widowControl/>
              <w:jc w:val="left"/>
              <w:rPr>
                <w:rFonts w:hint="eastAsia" w:ascii="宋体" w:hAnsi="宋体" w:eastAsia="宋体" w:cs="宋体"/>
                <w:b/>
                <w:bCs/>
                <w:color w:val="000000"/>
                <w:kern w:val="0"/>
                <w:sz w:val="20"/>
                <w:szCs w:val="20"/>
              </w:rPr>
            </w:pPr>
          </w:p>
        </w:tc>
        <w:tc>
          <w:tcPr>
            <w:tcW w:w="601" w:type="pct"/>
            <w:tcBorders>
              <w:top w:val="nil"/>
              <w:left w:val="nil"/>
              <w:bottom w:val="single" w:color="auto" w:sz="4" w:space="0"/>
              <w:right w:val="single" w:color="auto" w:sz="8" w:space="0"/>
            </w:tcBorders>
            <w:shd w:val="clear" w:color="000000" w:fill="E7E6E6"/>
            <w:vAlign w:val="center"/>
          </w:tcPr>
          <w:p w14:paraId="7D417A1B">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贵烟（国酒香30）出口</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0760150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000000" w:fill="E7E6E6"/>
            <w:noWrap/>
            <w:vAlign w:val="center"/>
          </w:tcPr>
          <w:p w14:paraId="38253C5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000000" w:fill="E7E6E6"/>
            <w:noWrap/>
            <w:vAlign w:val="center"/>
          </w:tcPr>
          <w:p w14:paraId="54C169A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000000" w:fill="E7E6E6"/>
            <w:noWrap/>
            <w:vAlign w:val="center"/>
          </w:tcPr>
          <w:p w14:paraId="5C4C0B4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153641A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39ED4197">
            <w:pPr>
              <w:widowControl/>
              <w:jc w:val="center"/>
              <w:rPr>
                <w:rFonts w:hint="eastAsia" w:ascii="宋体" w:hAnsi="宋体" w:eastAsia="宋体" w:cs="宋体"/>
                <w:kern w:val="0"/>
                <w:sz w:val="22"/>
              </w:rPr>
            </w:pPr>
            <w:r>
              <w:rPr>
                <w:rFonts w:hint="eastAsia" w:ascii="宋体" w:hAnsi="宋体" w:eastAsia="宋体" w:cs="宋体"/>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1E942C24">
            <w:pPr>
              <w:widowControl/>
              <w:jc w:val="center"/>
              <w:rPr>
                <w:rFonts w:hint="eastAsia" w:ascii="宋体" w:hAnsi="宋体" w:eastAsia="宋体" w:cs="宋体"/>
                <w:kern w:val="0"/>
                <w:sz w:val="22"/>
              </w:rPr>
            </w:pPr>
            <w:r>
              <w:rPr>
                <w:rFonts w:hint="eastAsia" w:ascii="宋体" w:hAnsi="宋体" w:eastAsia="宋体" w:cs="宋体"/>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3E27C7E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000000" w:fill="E7E6E6"/>
            <w:noWrap/>
            <w:vAlign w:val="center"/>
          </w:tcPr>
          <w:p w14:paraId="1B678E9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17.5</w:t>
            </w:r>
          </w:p>
        </w:tc>
        <w:tc>
          <w:tcPr>
            <w:tcW w:w="477" w:type="pct"/>
            <w:tcBorders>
              <w:top w:val="nil"/>
              <w:left w:val="nil"/>
              <w:bottom w:val="single" w:color="auto" w:sz="4" w:space="0"/>
              <w:right w:val="single" w:color="auto" w:sz="8" w:space="0"/>
            </w:tcBorders>
            <w:shd w:val="clear" w:color="000000" w:fill="E7E6E6"/>
            <w:noWrap/>
            <w:vAlign w:val="center"/>
          </w:tcPr>
          <w:p w14:paraId="67A9A9D4">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284D5E7C">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308F8A2B">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36</w:t>
            </w:r>
          </w:p>
        </w:tc>
        <w:tc>
          <w:tcPr>
            <w:tcW w:w="199" w:type="pct"/>
            <w:tcBorders>
              <w:top w:val="nil"/>
              <w:left w:val="nil"/>
              <w:bottom w:val="single" w:color="auto" w:sz="4" w:space="0"/>
              <w:right w:val="single" w:color="auto" w:sz="4" w:space="0"/>
            </w:tcBorders>
            <w:shd w:val="clear" w:color="000000" w:fill="E7E6E6"/>
            <w:vAlign w:val="center"/>
          </w:tcPr>
          <w:p w14:paraId="25A5B08A">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异型盒3</w:t>
            </w:r>
          </w:p>
        </w:tc>
        <w:tc>
          <w:tcPr>
            <w:tcW w:w="601" w:type="pct"/>
            <w:tcBorders>
              <w:top w:val="nil"/>
              <w:left w:val="nil"/>
              <w:bottom w:val="single" w:color="auto" w:sz="4" w:space="0"/>
              <w:right w:val="single" w:color="auto" w:sz="8" w:space="0"/>
            </w:tcBorders>
            <w:shd w:val="clear" w:color="000000" w:fill="E7E6E6"/>
            <w:vAlign w:val="center"/>
          </w:tcPr>
          <w:p w14:paraId="229457F9">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贵烟（盛世）</w:t>
            </w:r>
          </w:p>
        </w:tc>
        <w:tc>
          <w:tcPr>
            <w:tcW w:w="401" w:type="pct"/>
            <w:tcBorders>
              <w:top w:val="nil"/>
              <w:left w:val="single" w:color="auto" w:sz="8" w:space="0"/>
              <w:bottom w:val="single" w:color="auto" w:sz="4" w:space="0"/>
              <w:right w:val="single" w:color="auto" w:sz="4" w:space="0"/>
            </w:tcBorders>
            <w:shd w:val="clear" w:color="000000" w:fill="E7E6E6"/>
            <w:noWrap/>
            <w:vAlign w:val="center"/>
          </w:tcPr>
          <w:p w14:paraId="6B58C3A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000000" w:fill="E7E6E6"/>
            <w:noWrap/>
            <w:vAlign w:val="center"/>
          </w:tcPr>
          <w:p w14:paraId="623A930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000000" w:fill="E7E6E6"/>
            <w:noWrap/>
            <w:vAlign w:val="center"/>
          </w:tcPr>
          <w:p w14:paraId="0F7A1D8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4.75</w:t>
            </w:r>
          </w:p>
        </w:tc>
        <w:tc>
          <w:tcPr>
            <w:tcW w:w="333" w:type="pct"/>
            <w:tcBorders>
              <w:top w:val="nil"/>
              <w:left w:val="nil"/>
              <w:bottom w:val="single" w:color="auto" w:sz="4" w:space="0"/>
              <w:right w:val="single" w:color="auto" w:sz="4" w:space="0"/>
            </w:tcBorders>
            <w:shd w:val="clear" w:color="000000" w:fill="E7E6E6"/>
            <w:noWrap/>
            <w:vAlign w:val="center"/>
          </w:tcPr>
          <w:p w14:paraId="3EE812F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000000" w:fill="E7E6E6"/>
            <w:noWrap/>
            <w:vAlign w:val="center"/>
          </w:tcPr>
          <w:p w14:paraId="6A0EE90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000000" w:fill="E7E6E6"/>
            <w:noWrap/>
            <w:vAlign w:val="center"/>
          </w:tcPr>
          <w:p w14:paraId="64ABAA6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000000" w:fill="E7E6E6"/>
            <w:noWrap/>
            <w:vAlign w:val="center"/>
          </w:tcPr>
          <w:p w14:paraId="19BDCFE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000000" w:fill="E7E6E6"/>
            <w:noWrap/>
            <w:vAlign w:val="center"/>
          </w:tcPr>
          <w:p w14:paraId="51DE0F1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39</w:t>
            </w:r>
          </w:p>
        </w:tc>
        <w:tc>
          <w:tcPr>
            <w:tcW w:w="318" w:type="pct"/>
            <w:tcBorders>
              <w:top w:val="nil"/>
              <w:left w:val="nil"/>
              <w:bottom w:val="single" w:color="auto" w:sz="4" w:space="0"/>
              <w:right w:val="single" w:color="auto" w:sz="4" w:space="0"/>
            </w:tcBorders>
            <w:shd w:val="clear" w:color="000000" w:fill="E7E6E6"/>
            <w:noWrap/>
            <w:vAlign w:val="center"/>
          </w:tcPr>
          <w:p w14:paraId="397A289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17.5</w:t>
            </w:r>
          </w:p>
        </w:tc>
        <w:tc>
          <w:tcPr>
            <w:tcW w:w="477" w:type="pct"/>
            <w:tcBorders>
              <w:top w:val="nil"/>
              <w:left w:val="nil"/>
              <w:bottom w:val="single" w:color="auto" w:sz="4" w:space="0"/>
              <w:right w:val="single" w:color="auto" w:sz="8" w:space="0"/>
            </w:tcBorders>
            <w:shd w:val="clear" w:color="000000" w:fill="E7E6E6"/>
            <w:noWrap/>
            <w:vAlign w:val="center"/>
          </w:tcPr>
          <w:p w14:paraId="415D44E2">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7D361743">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8" w:space="0"/>
              <w:right w:val="single" w:color="auto" w:sz="4" w:space="0"/>
            </w:tcBorders>
            <w:shd w:val="clear" w:color="auto" w:fill="auto"/>
            <w:vAlign w:val="center"/>
          </w:tcPr>
          <w:p w14:paraId="72D88066">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37</w:t>
            </w:r>
          </w:p>
        </w:tc>
        <w:tc>
          <w:tcPr>
            <w:tcW w:w="199" w:type="pct"/>
            <w:tcBorders>
              <w:top w:val="nil"/>
              <w:left w:val="nil"/>
              <w:bottom w:val="single" w:color="auto" w:sz="8" w:space="0"/>
              <w:right w:val="single" w:color="auto" w:sz="4" w:space="0"/>
            </w:tcBorders>
            <w:shd w:val="clear" w:color="auto" w:fill="auto"/>
            <w:vAlign w:val="center"/>
          </w:tcPr>
          <w:p w14:paraId="10567270">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异型盒4</w:t>
            </w:r>
          </w:p>
        </w:tc>
        <w:tc>
          <w:tcPr>
            <w:tcW w:w="601" w:type="pct"/>
            <w:tcBorders>
              <w:top w:val="nil"/>
              <w:left w:val="nil"/>
              <w:bottom w:val="single" w:color="auto" w:sz="8" w:space="0"/>
              <w:right w:val="single" w:color="auto" w:sz="8" w:space="0"/>
            </w:tcBorders>
            <w:shd w:val="clear" w:color="auto" w:fill="auto"/>
            <w:vAlign w:val="center"/>
          </w:tcPr>
          <w:p w14:paraId="5EDC1D22">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贵烟（细支国酒香30）</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2893153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75496F1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08662FA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5BA5CC8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8" w:space="0"/>
              <w:right w:val="single" w:color="auto" w:sz="8" w:space="0"/>
            </w:tcBorders>
            <w:shd w:val="clear" w:color="auto" w:fill="auto"/>
            <w:vAlign w:val="center"/>
          </w:tcPr>
          <w:p w14:paraId="13932E9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8" w:space="0"/>
              <w:right w:val="single" w:color="auto" w:sz="4" w:space="0"/>
            </w:tcBorders>
            <w:shd w:val="clear" w:color="auto" w:fill="auto"/>
            <w:vAlign w:val="center"/>
          </w:tcPr>
          <w:p w14:paraId="6FBBC2B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8" w:space="0"/>
              <w:right w:val="single" w:color="auto" w:sz="4" w:space="0"/>
            </w:tcBorders>
            <w:shd w:val="clear" w:color="auto" w:fill="auto"/>
            <w:vAlign w:val="center"/>
          </w:tcPr>
          <w:p w14:paraId="36B9411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8" w:space="0"/>
              <w:right w:val="single" w:color="auto" w:sz="4" w:space="0"/>
            </w:tcBorders>
            <w:shd w:val="clear" w:color="auto" w:fill="auto"/>
            <w:vAlign w:val="center"/>
          </w:tcPr>
          <w:p w14:paraId="6DFFEA1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45.25</w:t>
            </w:r>
          </w:p>
        </w:tc>
        <w:tc>
          <w:tcPr>
            <w:tcW w:w="318" w:type="pct"/>
            <w:tcBorders>
              <w:top w:val="nil"/>
              <w:left w:val="nil"/>
              <w:bottom w:val="single" w:color="auto" w:sz="8" w:space="0"/>
              <w:right w:val="single" w:color="auto" w:sz="4" w:space="0"/>
            </w:tcBorders>
            <w:shd w:val="clear" w:color="auto" w:fill="auto"/>
            <w:vAlign w:val="center"/>
          </w:tcPr>
          <w:p w14:paraId="58EA1DF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3.5</w:t>
            </w:r>
          </w:p>
        </w:tc>
        <w:tc>
          <w:tcPr>
            <w:tcW w:w="477" w:type="pct"/>
            <w:tcBorders>
              <w:top w:val="nil"/>
              <w:left w:val="nil"/>
              <w:bottom w:val="single" w:color="auto" w:sz="8" w:space="0"/>
              <w:right w:val="single" w:color="auto" w:sz="8" w:space="0"/>
            </w:tcBorders>
            <w:shd w:val="clear" w:color="auto" w:fill="auto"/>
            <w:vAlign w:val="center"/>
          </w:tcPr>
          <w:p w14:paraId="41430E2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r>
      <w:tr w14:paraId="2099184D">
        <w:tblPrEx>
          <w:tblCellMar>
            <w:top w:w="0" w:type="dxa"/>
            <w:left w:w="108" w:type="dxa"/>
            <w:bottom w:w="0" w:type="dxa"/>
            <w:right w:w="108" w:type="dxa"/>
          </w:tblCellMar>
        </w:tblPrEx>
        <w:trPr>
          <w:trHeight w:val="679"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374B40C7">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38</w:t>
            </w:r>
          </w:p>
        </w:tc>
        <w:tc>
          <w:tcPr>
            <w:tcW w:w="199" w:type="pct"/>
            <w:tcBorders>
              <w:top w:val="nil"/>
              <w:left w:val="nil"/>
              <w:bottom w:val="nil"/>
              <w:right w:val="single" w:color="auto" w:sz="4" w:space="0"/>
            </w:tcBorders>
            <w:shd w:val="clear" w:color="auto" w:fill="auto"/>
            <w:vAlign w:val="center"/>
          </w:tcPr>
          <w:p w14:paraId="424B0DA8">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常规软包硬化</w:t>
            </w:r>
          </w:p>
        </w:tc>
        <w:tc>
          <w:tcPr>
            <w:tcW w:w="601" w:type="pct"/>
            <w:tcBorders>
              <w:top w:val="nil"/>
              <w:left w:val="nil"/>
              <w:bottom w:val="single" w:color="auto" w:sz="4" w:space="0"/>
              <w:right w:val="single" w:color="auto" w:sz="8" w:space="0"/>
            </w:tcBorders>
            <w:shd w:val="clear" w:color="auto" w:fill="auto"/>
            <w:vAlign w:val="center"/>
          </w:tcPr>
          <w:p w14:paraId="2204F602">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贵烟（小国酒香）出口</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57F4178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402" w:type="pct"/>
            <w:tcBorders>
              <w:top w:val="nil"/>
              <w:left w:val="nil"/>
              <w:bottom w:val="single" w:color="auto" w:sz="4" w:space="0"/>
              <w:right w:val="single" w:color="auto" w:sz="4" w:space="0"/>
            </w:tcBorders>
            <w:shd w:val="clear" w:color="auto" w:fill="auto"/>
            <w:noWrap/>
            <w:vAlign w:val="center"/>
          </w:tcPr>
          <w:p w14:paraId="76440F6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331" w:type="pct"/>
            <w:tcBorders>
              <w:top w:val="nil"/>
              <w:left w:val="nil"/>
              <w:bottom w:val="single" w:color="auto" w:sz="4" w:space="0"/>
              <w:right w:val="single" w:color="auto" w:sz="4" w:space="0"/>
            </w:tcBorders>
            <w:shd w:val="clear" w:color="auto" w:fill="auto"/>
            <w:noWrap/>
            <w:vAlign w:val="center"/>
          </w:tcPr>
          <w:p w14:paraId="5155B4F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3.7</w:t>
            </w:r>
          </w:p>
        </w:tc>
        <w:tc>
          <w:tcPr>
            <w:tcW w:w="333" w:type="pct"/>
            <w:tcBorders>
              <w:top w:val="nil"/>
              <w:left w:val="nil"/>
              <w:bottom w:val="single" w:color="auto" w:sz="4" w:space="0"/>
              <w:right w:val="single" w:color="auto" w:sz="4" w:space="0"/>
            </w:tcBorders>
            <w:shd w:val="clear" w:color="auto" w:fill="auto"/>
            <w:noWrap/>
            <w:vAlign w:val="center"/>
          </w:tcPr>
          <w:p w14:paraId="69624DA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5E8DF0C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026CA7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6B41821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single" w:color="auto" w:sz="4" w:space="0"/>
              <w:right w:val="single" w:color="auto" w:sz="4" w:space="0"/>
            </w:tcBorders>
            <w:shd w:val="clear" w:color="auto" w:fill="auto"/>
            <w:noWrap/>
            <w:vAlign w:val="center"/>
          </w:tcPr>
          <w:p w14:paraId="634C2EF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36.35</w:t>
            </w:r>
          </w:p>
        </w:tc>
        <w:tc>
          <w:tcPr>
            <w:tcW w:w="318" w:type="pct"/>
            <w:tcBorders>
              <w:top w:val="nil"/>
              <w:left w:val="nil"/>
              <w:bottom w:val="single" w:color="auto" w:sz="4" w:space="0"/>
              <w:right w:val="single" w:color="auto" w:sz="4" w:space="0"/>
            </w:tcBorders>
            <w:shd w:val="clear" w:color="auto" w:fill="auto"/>
            <w:noWrap/>
            <w:vAlign w:val="center"/>
          </w:tcPr>
          <w:p w14:paraId="34175DF0">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15.75</w:t>
            </w:r>
          </w:p>
        </w:tc>
        <w:tc>
          <w:tcPr>
            <w:tcW w:w="477" w:type="pct"/>
            <w:tcBorders>
              <w:top w:val="nil"/>
              <w:left w:val="nil"/>
              <w:bottom w:val="single" w:color="auto" w:sz="4" w:space="0"/>
              <w:right w:val="single" w:color="auto" w:sz="8" w:space="0"/>
            </w:tcBorders>
            <w:shd w:val="clear" w:color="auto" w:fill="auto"/>
            <w:noWrap/>
            <w:vAlign w:val="center"/>
          </w:tcPr>
          <w:p w14:paraId="3B360160">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4B1D1D7">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1E596DB6">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39</w:t>
            </w:r>
          </w:p>
        </w:tc>
        <w:tc>
          <w:tcPr>
            <w:tcW w:w="199" w:type="pct"/>
            <w:vMerge w:val="restart"/>
            <w:tcBorders>
              <w:top w:val="single" w:color="auto" w:sz="4" w:space="0"/>
              <w:left w:val="single" w:color="auto" w:sz="4" w:space="0"/>
              <w:bottom w:val="nil"/>
              <w:right w:val="single" w:color="auto" w:sz="4" w:space="0"/>
            </w:tcBorders>
            <w:shd w:val="clear" w:color="auto" w:fill="auto"/>
            <w:vAlign w:val="center"/>
          </w:tcPr>
          <w:p w14:paraId="61FF03F6">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新烟1</w:t>
            </w:r>
          </w:p>
        </w:tc>
        <w:tc>
          <w:tcPr>
            <w:tcW w:w="601" w:type="pct"/>
            <w:tcBorders>
              <w:top w:val="nil"/>
              <w:left w:val="nil"/>
              <w:bottom w:val="nil"/>
              <w:right w:val="single" w:color="auto" w:sz="8" w:space="0"/>
            </w:tcBorders>
            <w:shd w:val="clear" w:color="auto" w:fill="auto"/>
            <w:vAlign w:val="center"/>
          </w:tcPr>
          <w:p w14:paraId="797CE00E">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kroos(英文版)粗支-不同口味</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1B94851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4" w:space="0"/>
              <w:right w:val="single" w:color="auto" w:sz="4" w:space="0"/>
            </w:tcBorders>
            <w:shd w:val="clear" w:color="auto" w:fill="auto"/>
            <w:noWrap/>
            <w:vAlign w:val="center"/>
          </w:tcPr>
          <w:p w14:paraId="4C21D8F7">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4" w:space="0"/>
              <w:right w:val="single" w:color="auto" w:sz="4" w:space="0"/>
            </w:tcBorders>
            <w:shd w:val="clear" w:color="auto" w:fill="auto"/>
            <w:noWrap/>
            <w:vAlign w:val="center"/>
          </w:tcPr>
          <w:p w14:paraId="3B73D18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2.4</w:t>
            </w:r>
          </w:p>
        </w:tc>
        <w:tc>
          <w:tcPr>
            <w:tcW w:w="333" w:type="pct"/>
            <w:tcBorders>
              <w:top w:val="nil"/>
              <w:left w:val="nil"/>
              <w:bottom w:val="single" w:color="auto" w:sz="4" w:space="0"/>
              <w:right w:val="single" w:color="auto" w:sz="4" w:space="0"/>
            </w:tcBorders>
            <w:shd w:val="clear" w:color="auto" w:fill="auto"/>
            <w:noWrap/>
            <w:vAlign w:val="center"/>
          </w:tcPr>
          <w:p w14:paraId="7B88DFF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w:t>
            </w:r>
          </w:p>
        </w:tc>
        <w:tc>
          <w:tcPr>
            <w:tcW w:w="470" w:type="pct"/>
            <w:tcBorders>
              <w:top w:val="nil"/>
              <w:left w:val="nil"/>
              <w:bottom w:val="single" w:color="auto" w:sz="4" w:space="0"/>
              <w:right w:val="single" w:color="auto" w:sz="8" w:space="0"/>
            </w:tcBorders>
            <w:shd w:val="clear" w:color="auto" w:fill="auto"/>
            <w:noWrap/>
            <w:vAlign w:val="center"/>
          </w:tcPr>
          <w:p w14:paraId="1AF4D09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02B030A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484ACD9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nil"/>
              <w:left w:val="nil"/>
              <w:bottom w:val="nil"/>
              <w:right w:val="single" w:color="auto" w:sz="4" w:space="0"/>
            </w:tcBorders>
            <w:shd w:val="clear" w:color="auto" w:fill="auto"/>
            <w:noWrap/>
            <w:vAlign w:val="center"/>
          </w:tcPr>
          <w:p w14:paraId="358F69B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29.3</w:t>
            </w:r>
          </w:p>
        </w:tc>
        <w:tc>
          <w:tcPr>
            <w:tcW w:w="318" w:type="pct"/>
            <w:tcBorders>
              <w:top w:val="nil"/>
              <w:left w:val="nil"/>
              <w:bottom w:val="nil"/>
              <w:right w:val="single" w:color="auto" w:sz="4" w:space="0"/>
            </w:tcBorders>
            <w:shd w:val="clear" w:color="auto" w:fill="auto"/>
            <w:noWrap/>
            <w:vAlign w:val="center"/>
          </w:tcPr>
          <w:p w14:paraId="07DCD08E">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17.8</w:t>
            </w:r>
          </w:p>
        </w:tc>
        <w:tc>
          <w:tcPr>
            <w:tcW w:w="477" w:type="pct"/>
            <w:tcBorders>
              <w:top w:val="nil"/>
              <w:left w:val="nil"/>
              <w:bottom w:val="single" w:color="auto" w:sz="4" w:space="0"/>
              <w:right w:val="single" w:color="auto" w:sz="8" w:space="0"/>
            </w:tcBorders>
            <w:shd w:val="clear" w:color="auto" w:fill="auto"/>
            <w:noWrap/>
            <w:vAlign w:val="center"/>
          </w:tcPr>
          <w:p w14:paraId="177117CD">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BAB0371">
        <w:tblPrEx>
          <w:tblCellMar>
            <w:top w:w="0" w:type="dxa"/>
            <w:left w:w="108" w:type="dxa"/>
            <w:bottom w:w="0" w:type="dxa"/>
            <w:right w:w="108" w:type="dxa"/>
          </w:tblCellMar>
        </w:tblPrEx>
        <w:trPr>
          <w:trHeight w:val="522" w:hRule="atLeast"/>
        </w:trPr>
        <w:tc>
          <w:tcPr>
            <w:tcW w:w="200" w:type="pct"/>
            <w:tcBorders>
              <w:top w:val="nil"/>
              <w:left w:val="single" w:color="auto" w:sz="8" w:space="0"/>
              <w:bottom w:val="single" w:color="auto" w:sz="4" w:space="0"/>
              <w:right w:val="single" w:color="auto" w:sz="4" w:space="0"/>
            </w:tcBorders>
            <w:shd w:val="clear" w:color="auto" w:fill="auto"/>
            <w:vAlign w:val="center"/>
          </w:tcPr>
          <w:p w14:paraId="79A7295C">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40</w:t>
            </w:r>
          </w:p>
        </w:tc>
        <w:tc>
          <w:tcPr>
            <w:tcW w:w="199" w:type="pct"/>
            <w:vMerge w:val="continue"/>
            <w:tcBorders>
              <w:top w:val="single" w:color="auto" w:sz="4" w:space="0"/>
              <w:left w:val="single" w:color="auto" w:sz="4" w:space="0"/>
              <w:bottom w:val="nil"/>
              <w:right w:val="single" w:color="auto" w:sz="4" w:space="0"/>
            </w:tcBorders>
            <w:vAlign w:val="center"/>
          </w:tcPr>
          <w:p w14:paraId="64A0275F">
            <w:pPr>
              <w:widowControl/>
              <w:jc w:val="left"/>
              <w:rPr>
                <w:rFonts w:hint="eastAsia" w:ascii="宋体" w:hAnsi="宋体" w:eastAsia="宋体" w:cs="宋体"/>
                <w:b/>
                <w:bCs/>
                <w:color w:val="000000"/>
                <w:kern w:val="0"/>
                <w:sz w:val="20"/>
                <w:szCs w:val="20"/>
              </w:rPr>
            </w:pPr>
          </w:p>
        </w:tc>
        <w:tc>
          <w:tcPr>
            <w:tcW w:w="601" w:type="pct"/>
            <w:tcBorders>
              <w:top w:val="single" w:color="auto" w:sz="4" w:space="0"/>
              <w:left w:val="nil"/>
              <w:bottom w:val="nil"/>
              <w:right w:val="single" w:color="auto" w:sz="8" w:space="0"/>
            </w:tcBorders>
            <w:shd w:val="clear" w:color="auto" w:fill="auto"/>
            <w:vAlign w:val="center"/>
          </w:tcPr>
          <w:p w14:paraId="2571D315">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kroos(英文版)细支-不同口味</w:t>
            </w:r>
          </w:p>
        </w:tc>
        <w:tc>
          <w:tcPr>
            <w:tcW w:w="401" w:type="pct"/>
            <w:tcBorders>
              <w:top w:val="nil"/>
              <w:left w:val="single" w:color="auto" w:sz="8" w:space="0"/>
              <w:bottom w:val="single" w:color="auto" w:sz="4" w:space="0"/>
              <w:right w:val="single" w:color="auto" w:sz="4" w:space="0"/>
            </w:tcBorders>
            <w:shd w:val="clear" w:color="auto" w:fill="auto"/>
            <w:noWrap/>
            <w:vAlign w:val="center"/>
          </w:tcPr>
          <w:p w14:paraId="63F0C91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7*7</w:t>
            </w:r>
          </w:p>
        </w:tc>
        <w:tc>
          <w:tcPr>
            <w:tcW w:w="402" w:type="pct"/>
            <w:tcBorders>
              <w:top w:val="nil"/>
              <w:left w:val="nil"/>
              <w:bottom w:val="single" w:color="auto" w:sz="4" w:space="0"/>
              <w:right w:val="single" w:color="auto" w:sz="4" w:space="0"/>
            </w:tcBorders>
            <w:shd w:val="clear" w:color="auto" w:fill="auto"/>
            <w:noWrap/>
            <w:vAlign w:val="center"/>
          </w:tcPr>
          <w:p w14:paraId="19706E5A">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9*9</w:t>
            </w:r>
          </w:p>
        </w:tc>
        <w:tc>
          <w:tcPr>
            <w:tcW w:w="331" w:type="pct"/>
            <w:tcBorders>
              <w:top w:val="nil"/>
              <w:left w:val="nil"/>
              <w:bottom w:val="single" w:color="auto" w:sz="4" w:space="0"/>
              <w:right w:val="single" w:color="auto" w:sz="4" w:space="0"/>
            </w:tcBorders>
            <w:shd w:val="clear" w:color="auto" w:fill="auto"/>
            <w:noWrap/>
            <w:vAlign w:val="center"/>
          </w:tcPr>
          <w:p w14:paraId="0D72CD81">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1.12</w:t>
            </w:r>
          </w:p>
        </w:tc>
        <w:tc>
          <w:tcPr>
            <w:tcW w:w="333" w:type="pct"/>
            <w:tcBorders>
              <w:top w:val="nil"/>
              <w:left w:val="nil"/>
              <w:bottom w:val="single" w:color="auto" w:sz="4" w:space="0"/>
              <w:right w:val="single" w:color="auto" w:sz="4" w:space="0"/>
            </w:tcBorders>
            <w:shd w:val="clear" w:color="auto" w:fill="auto"/>
            <w:noWrap/>
            <w:vAlign w:val="center"/>
          </w:tcPr>
          <w:p w14:paraId="58B5E41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6</w:t>
            </w:r>
          </w:p>
        </w:tc>
        <w:tc>
          <w:tcPr>
            <w:tcW w:w="470" w:type="pct"/>
            <w:tcBorders>
              <w:top w:val="nil"/>
              <w:left w:val="nil"/>
              <w:bottom w:val="single" w:color="auto" w:sz="4" w:space="0"/>
              <w:right w:val="single" w:color="auto" w:sz="8" w:space="0"/>
            </w:tcBorders>
            <w:shd w:val="clear" w:color="auto" w:fill="auto"/>
            <w:noWrap/>
            <w:vAlign w:val="center"/>
          </w:tcPr>
          <w:p w14:paraId="3C40E35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single" w:color="auto" w:sz="4" w:space="0"/>
              <w:right w:val="single" w:color="auto" w:sz="4" w:space="0"/>
            </w:tcBorders>
            <w:shd w:val="clear" w:color="auto" w:fill="auto"/>
            <w:noWrap/>
            <w:vAlign w:val="center"/>
          </w:tcPr>
          <w:p w14:paraId="2E5A96C2">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single" w:color="auto" w:sz="4" w:space="0"/>
              <w:right w:val="single" w:color="auto" w:sz="4" w:space="0"/>
            </w:tcBorders>
            <w:shd w:val="clear" w:color="auto" w:fill="auto"/>
            <w:noWrap/>
            <w:vAlign w:val="center"/>
          </w:tcPr>
          <w:p w14:paraId="2365A906">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4" w:space="0"/>
              <w:left w:val="nil"/>
              <w:bottom w:val="nil"/>
              <w:right w:val="single" w:color="auto" w:sz="4" w:space="0"/>
            </w:tcBorders>
            <w:shd w:val="clear" w:color="auto" w:fill="auto"/>
            <w:noWrap/>
            <w:vAlign w:val="center"/>
          </w:tcPr>
          <w:p w14:paraId="0D361043">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36.9</w:t>
            </w:r>
          </w:p>
        </w:tc>
        <w:tc>
          <w:tcPr>
            <w:tcW w:w="318" w:type="pct"/>
            <w:tcBorders>
              <w:top w:val="single" w:color="auto" w:sz="4" w:space="0"/>
              <w:left w:val="nil"/>
              <w:bottom w:val="nil"/>
              <w:right w:val="single" w:color="auto" w:sz="4" w:space="0"/>
            </w:tcBorders>
            <w:shd w:val="clear" w:color="auto" w:fill="auto"/>
            <w:noWrap/>
            <w:vAlign w:val="center"/>
          </w:tcPr>
          <w:p w14:paraId="5D78EE2C">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21.8</w:t>
            </w:r>
          </w:p>
        </w:tc>
        <w:tc>
          <w:tcPr>
            <w:tcW w:w="477" w:type="pct"/>
            <w:tcBorders>
              <w:top w:val="nil"/>
              <w:left w:val="nil"/>
              <w:bottom w:val="single" w:color="auto" w:sz="4" w:space="0"/>
              <w:right w:val="single" w:color="auto" w:sz="8" w:space="0"/>
            </w:tcBorders>
            <w:shd w:val="clear" w:color="auto" w:fill="auto"/>
            <w:noWrap/>
            <w:vAlign w:val="center"/>
          </w:tcPr>
          <w:p w14:paraId="5FB4C8D8">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4C99AEB8">
        <w:tblPrEx>
          <w:tblCellMar>
            <w:top w:w="0" w:type="dxa"/>
            <w:left w:w="108" w:type="dxa"/>
            <w:bottom w:w="0" w:type="dxa"/>
            <w:right w:w="108" w:type="dxa"/>
          </w:tblCellMar>
        </w:tblPrEx>
        <w:trPr>
          <w:trHeight w:val="522" w:hRule="atLeast"/>
        </w:trPr>
        <w:tc>
          <w:tcPr>
            <w:tcW w:w="200" w:type="pct"/>
            <w:tcBorders>
              <w:top w:val="nil"/>
              <w:left w:val="single" w:color="auto" w:sz="8" w:space="0"/>
              <w:bottom w:val="nil"/>
              <w:right w:val="single" w:color="auto" w:sz="4" w:space="0"/>
            </w:tcBorders>
            <w:shd w:val="clear" w:color="auto" w:fill="auto"/>
            <w:vAlign w:val="center"/>
          </w:tcPr>
          <w:p w14:paraId="1487448F">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41</w:t>
            </w:r>
          </w:p>
        </w:tc>
        <w:tc>
          <w:tcPr>
            <w:tcW w:w="199" w:type="pct"/>
            <w:vMerge w:val="continue"/>
            <w:tcBorders>
              <w:top w:val="single" w:color="auto" w:sz="4" w:space="0"/>
              <w:left w:val="single" w:color="auto" w:sz="4" w:space="0"/>
              <w:bottom w:val="nil"/>
              <w:right w:val="single" w:color="auto" w:sz="4" w:space="0"/>
            </w:tcBorders>
            <w:vAlign w:val="center"/>
          </w:tcPr>
          <w:p w14:paraId="38BC0D69">
            <w:pPr>
              <w:widowControl/>
              <w:jc w:val="left"/>
              <w:rPr>
                <w:rFonts w:hint="eastAsia" w:ascii="宋体" w:hAnsi="宋体" w:eastAsia="宋体" w:cs="宋体"/>
                <w:b/>
                <w:bCs/>
                <w:color w:val="000000"/>
                <w:kern w:val="0"/>
                <w:sz w:val="20"/>
                <w:szCs w:val="20"/>
              </w:rPr>
            </w:pPr>
          </w:p>
        </w:tc>
        <w:tc>
          <w:tcPr>
            <w:tcW w:w="601" w:type="pct"/>
            <w:tcBorders>
              <w:top w:val="single" w:color="auto" w:sz="4" w:space="0"/>
              <w:left w:val="nil"/>
              <w:bottom w:val="nil"/>
              <w:right w:val="single" w:color="auto" w:sz="8" w:space="0"/>
            </w:tcBorders>
            <w:shd w:val="clear" w:color="auto" w:fill="auto"/>
            <w:vAlign w:val="center"/>
          </w:tcPr>
          <w:p w14:paraId="1D701166">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kroos(俄罗斯)粗支-不同口味</w:t>
            </w:r>
          </w:p>
        </w:tc>
        <w:tc>
          <w:tcPr>
            <w:tcW w:w="401" w:type="pct"/>
            <w:tcBorders>
              <w:top w:val="nil"/>
              <w:left w:val="single" w:color="auto" w:sz="8" w:space="0"/>
              <w:bottom w:val="single" w:color="auto" w:sz="8" w:space="0"/>
              <w:right w:val="single" w:color="auto" w:sz="4" w:space="0"/>
            </w:tcBorders>
            <w:shd w:val="clear" w:color="auto" w:fill="auto"/>
            <w:noWrap/>
            <w:vAlign w:val="center"/>
          </w:tcPr>
          <w:p w14:paraId="2503178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8*8</w:t>
            </w:r>
          </w:p>
        </w:tc>
        <w:tc>
          <w:tcPr>
            <w:tcW w:w="402" w:type="pct"/>
            <w:tcBorders>
              <w:top w:val="nil"/>
              <w:left w:val="nil"/>
              <w:bottom w:val="single" w:color="auto" w:sz="8" w:space="0"/>
              <w:right w:val="single" w:color="auto" w:sz="4" w:space="0"/>
            </w:tcBorders>
            <w:shd w:val="clear" w:color="auto" w:fill="auto"/>
            <w:noWrap/>
            <w:vAlign w:val="center"/>
          </w:tcPr>
          <w:p w14:paraId="4ACF404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10*10</w:t>
            </w:r>
          </w:p>
        </w:tc>
        <w:tc>
          <w:tcPr>
            <w:tcW w:w="331" w:type="pct"/>
            <w:tcBorders>
              <w:top w:val="nil"/>
              <w:left w:val="nil"/>
              <w:bottom w:val="single" w:color="auto" w:sz="8" w:space="0"/>
              <w:right w:val="single" w:color="auto" w:sz="4" w:space="0"/>
            </w:tcBorders>
            <w:shd w:val="clear" w:color="auto" w:fill="auto"/>
            <w:noWrap/>
            <w:vAlign w:val="center"/>
          </w:tcPr>
          <w:p w14:paraId="47FDCEC5">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2.4</w:t>
            </w:r>
          </w:p>
        </w:tc>
        <w:tc>
          <w:tcPr>
            <w:tcW w:w="333" w:type="pct"/>
            <w:tcBorders>
              <w:top w:val="nil"/>
              <w:left w:val="nil"/>
              <w:bottom w:val="single" w:color="auto" w:sz="8" w:space="0"/>
              <w:right w:val="single" w:color="auto" w:sz="4" w:space="0"/>
            </w:tcBorders>
            <w:shd w:val="clear" w:color="auto" w:fill="auto"/>
            <w:noWrap/>
            <w:vAlign w:val="center"/>
          </w:tcPr>
          <w:p w14:paraId="2A751A69">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8</w:t>
            </w:r>
          </w:p>
        </w:tc>
        <w:tc>
          <w:tcPr>
            <w:tcW w:w="470" w:type="pct"/>
            <w:tcBorders>
              <w:top w:val="nil"/>
              <w:left w:val="nil"/>
              <w:bottom w:val="single" w:color="auto" w:sz="8" w:space="0"/>
              <w:right w:val="single" w:color="auto" w:sz="8" w:space="0"/>
            </w:tcBorders>
            <w:shd w:val="clear" w:color="auto" w:fill="auto"/>
            <w:noWrap/>
            <w:vAlign w:val="center"/>
          </w:tcPr>
          <w:p w14:paraId="29F36B5D">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与文字同向</w:t>
            </w:r>
          </w:p>
        </w:tc>
        <w:tc>
          <w:tcPr>
            <w:tcW w:w="465" w:type="pct"/>
            <w:tcBorders>
              <w:top w:val="nil"/>
              <w:left w:val="nil"/>
              <w:bottom w:val="nil"/>
              <w:right w:val="single" w:color="auto" w:sz="4" w:space="0"/>
            </w:tcBorders>
            <w:shd w:val="clear" w:color="auto" w:fill="auto"/>
            <w:noWrap/>
            <w:vAlign w:val="center"/>
          </w:tcPr>
          <w:p w14:paraId="741079DB">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12*12</w:t>
            </w:r>
          </w:p>
        </w:tc>
        <w:tc>
          <w:tcPr>
            <w:tcW w:w="465" w:type="pct"/>
            <w:tcBorders>
              <w:top w:val="nil"/>
              <w:left w:val="nil"/>
              <w:bottom w:val="nil"/>
              <w:right w:val="single" w:color="auto" w:sz="4" w:space="0"/>
            </w:tcBorders>
            <w:shd w:val="clear" w:color="auto" w:fill="auto"/>
            <w:noWrap/>
            <w:vAlign w:val="center"/>
          </w:tcPr>
          <w:p w14:paraId="49BD8414">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14*14</w:t>
            </w:r>
          </w:p>
        </w:tc>
        <w:tc>
          <w:tcPr>
            <w:tcW w:w="331" w:type="pct"/>
            <w:tcBorders>
              <w:top w:val="single" w:color="auto" w:sz="4" w:space="0"/>
              <w:left w:val="nil"/>
              <w:bottom w:val="nil"/>
              <w:right w:val="single" w:color="auto" w:sz="4" w:space="0"/>
            </w:tcBorders>
            <w:shd w:val="clear" w:color="auto" w:fill="auto"/>
            <w:noWrap/>
            <w:vAlign w:val="center"/>
          </w:tcPr>
          <w:p w14:paraId="4EAE53BF">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29.3</w:t>
            </w:r>
          </w:p>
        </w:tc>
        <w:tc>
          <w:tcPr>
            <w:tcW w:w="318" w:type="pct"/>
            <w:tcBorders>
              <w:top w:val="single" w:color="auto" w:sz="4" w:space="0"/>
              <w:left w:val="nil"/>
              <w:bottom w:val="nil"/>
              <w:right w:val="single" w:color="auto" w:sz="4" w:space="0"/>
            </w:tcBorders>
            <w:shd w:val="clear" w:color="auto" w:fill="auto"/>
            <w:noWrap/>
            <w:vAlign w:val="center"/>
          </w:tcPr>
          <w:p w14:paraId="73C505E8">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17.8</w:t>
            </w:r>
          </w:p>
        </w:tc>
        <w:tc>
          <w:tcPr>
            <w:tcW w:w="477" w:type="pct"/>
            <w:tcBorders>
              <w:top w:val="nil"/>
              <w:left w:val="nil"/>
              <w:bottom w:val="single" w:color="auto" w:sz="4" w:space="0"/>
              <w:right w:val="single" w:color="auto" w:sz="8" w:space="0"/>
            </w:tcBorders>
            <w:shd w:val="clear" w:color="auto" w:fill="auto"/>
            <w:noWrap/>
            <w:vAlign w:val="center"/>
          </w:tcPr>
          <w:p w14:paraId="690B5E21">
            <w:pPr>
              <w:widowControl/>
              <w:jc w:val="center"/>
              <w:rPr>
                <w:rFonts w:hint="eastAsia" w:ascii="宋体" w:hAnsi="宋体" w:eastAsia="宋体" w:cs="宋体"/>
                <w:kern w:val="0"/>
                <w:sz w:val="22"/>
              </w:rPr>
            </w:pPr>
            <w:r>
              <w:rPr>
                <w:rFonts w:hint="eastAsia" w:ascii="宋体" w:hAnsi="宋体" w:eastAsia="宋体" w:cs="宋体"/>
                <w:kern w:val="0"/>
                <w:sz w:val="22"/>
              </w:rPr>
              <w:t>与文字同向</w:t>
            </w:r>
          </w:p>
        </w:tc>
      </w:tr>
      <w:tr w14:paraId="1D5A8820">
        <w:tblPrEx>
          <w:tblCellMar>
            <w:top w:w="0" w:type="dxa"/>
            <w:left w:w="108" w:type="dxa"/>
            <w:bottom w:w="0" w:type="dxa"/>
            <w:right w:w="108" w:type="dxa"/>
          </w:tblCellMar>
        </w:tblPrEx>
        <w:trPr>
          <w:trHeight w:val="522" w:hRule="atLeast"/>
        </w:trPr>
        <w:tc>
          <w:tcPr>
            <w:tcW w:w="200" w:type="pct"/>
            <w:tcBorders>
              <w:top w:val="single" w:color="auto" w:sz="8" w:space="0"/>
              <w:left w:val="single" w:color="auto" w:sz="8" w:space="0"/>
              <w:bottom w:val="single" w:color="auto" w:sz="8" w:space="0"/>
              <w:right w:val="single" w:color="auto" w:sz="4" w:space="0"/>
            </w:tcBorders>
            <w:shd w:val="clear" w:color="auto" w:fill="auto"/>
            <w:vAlign w:val="center"/>
          </w:tcPr>
          <w:p w14:paraId="34DFBB0A">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合计</w:t>
            </w:r>
          </w:p>
        </w:tc>
        <w:tc>
          <w:tcPr>
            <w:tcW w:w="199" w:type="pct"/>
            <w:tcBorders>
              <w:top w:val="single" w:color="auto" w:sz="8" w:space="0"/>
              <w:left w:val="nil"/>
              <w:bottom w:val="single" w:color="auto" w:sz="8" w:space="0"/>
              <w:right w:val="single" w:color="auto" w:sz="4" w:space="0"/>
            </w:tcBorders>
            <w:shd w:val="clear" w:color="auto" w:fill="auto"/>
            <w:vAlign w:val="center"/>
          </w:tcPr>
          <w:p w14:paraId="63234ACC">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共13种类型</w:t>
            </w:r>
          </w:p>
        </w:tc>
        <w:tc>
          <w:tcPr>
            <w:tcW w:w="601" w:type="pct"/>
            <w:tcBorders>
              <w:top w:val="single" w:color="auto" w:sz="8" w:space="0"/>
              <w:left w:val="nil"/>
              <w:bottom w:val="single" w:color="auto" w:sz="8" w:space="0"/>
              <w:right w:val="single" w:color="auto" w:sz="8" w:space="0"/>
            </w:tcBorders>
            <w:shd w:val="clear" w:color="auto" w:fill="auto"/>
            <w:vAlign w:val="center"/>
          </w:tcPr>
          <w:p w14:paraId="1D6C7492">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共41个规格</w:t>
            </w:r>
          </w:p>
        </w:tc>
        <w:tc>
          <w:tcPr>
            <w:tcW w:w="401" w:type="pct"/>
            <w:tcBorders>
              <w:top w:val="nil"/>
              <w:left w:val="single" w:color="auto" w:sz="8" w:space="0"/>
              <w:bottom w:val="single" w:color="auto" w:sz="8" w:space="0"/>
              <w:right w:val="single" w:color="auto" w:sz="4" w:space="0"/>
            </w:tcBorders>
            <w:shd w:val="clear" w:color="auto" w:fill="auto"/>
            <w:noWrap/>
            <w:vAlign w:val="center"/>
          </w:tcPr>
          <w:p w14:paraId="48B3442D">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3种</w:t>
            </w:r>
          </w:p>
        </w:tc>
        <w:tc>
          <w:tcPr>
            <w:tcW w:w="402" w:type="pct"/>
            <w:tcBorders>
              <w:top w:val="nil"/>
              <w:left w:val="single" w:color="auto" w:sz="8" w:space="0"/>
              <w:bottom w:val="single" w:color="auto" w:sz="8" w:space="0"/>
              <w:right w:val="single" w:color="auto" w:sz="4" w:space="0"/>
            </w:tcBorders>
            <w:shd w:val="clear" w:color="auto" w:fill="auto"/>
            <w:noWrap/>
            <w:vAlign w:val="center"/>
          </w:tcPr>
          <w:p w14:paraId="4295B292">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3种</w:t>
            </w:r>
          </w:p>
        </w:tc>
        <w:tc>
          <w:tcPr>
            <w:tcW w:w="331" w:type="pct"/>
            <w:tcBorders>
              <w:top w:val="nil"/>
              <w:left w:val="nil"/>
              <w:bottom w:val="single" w:color="auto" w:sz="8" w:space="0"/>
              <w:right w:val="single" w:color="auto" w:sz="4" w:space="0"/>
            </w:tcBorders>
            <w:shd w:val="clear" w:color="auto" w:fill="auto"/>
            <w:noWrap/>
            <w:vAlign w:val="center"/>
          </w:tcPr>
          <w:p w14:paraId="48BD6A37">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9种</w:t>
            </w:r>
          </w:p>
        </w:tc>
        <w:tc>
          <w:tcPr>
            <w:tcW w:w="333" w:type="pct"/>
            <w:tcBorders>
              <w:top w:val="nil"/>
              <w:left w:val="nil"/>
              <w:bottom w:val="single" w:color="auto" w:sz="8" w:space="0"/>
              <w:right w:val="single" w:color="auto" w:sz="4" w:space="0"/>
            </w:tcBorders>
            <w:shd w:val="clear" w:color="auto" w:fill="auto"/>
            <w:noWrap/>
            <w:vAlign w:val="center"/>
          </w:tcPr>
          <w:p w14:paraId="059AA58D">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3种</w:t>
            </w:r>
          </w:p>
        </w:tc>
        <w:tc>
          <w:tcPr>
            <w:tcW w:w="470" w:type="pct"/>
            <w:tcBorders>
              <w:top w:val="nil"/>
              <w:left w:val="nil"/>
              <w:bottom w:val="single" w:color="auto" w:sz="8" w:space="0"/>
              <w:right w:val="nil"/>
            </w:tcBorders>
            <w:shd w:val="clear" w:color="auto" w:fill="auto"/>
            <w:noWrap/>
            <w:vAlign w:val="center"/>
          </w:tcPr>
          <w:p w14:paraId="6B839885">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1种</w:t>
            </w:r>
          </w:p>
        </w:tc>
        <w:tc>
          <w:tcPr>
            <w:tcW w:w="465" w:type="pct"/>
            <w:tcBorders>
              <w:top w:val="single" w:color="auto" w:sz="8" w:space="0"/>
              <w:left w:val="single" w:color="auto" w:sz="8" w:space="0"/>
              <w:bottom w:val="single" w:color="auto" w:sz="8" w:space="0"/>
              <w:right w:val="single" w:color="auto" w:sz="4" w:space="0"/>
            </w:tcBorders>
            <w:shd w:val="clear" w:color="auto" w:fill="auto"/>
            <w:noWrap/>
            <w:vAlign w:val="center"/>
          </w:tcPr>
          <w:p w14:paraId="101161D5">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1种</w:t>
            </w:r>
          </w:p>
        </w:tc>
        <w:tc>
          <w:tcPr>
            <w:tcW w:w="465" w:type="pct"/>
            <w:tcBorders>
              <w:top w:val="single" w:color="auto" w:sz="8" w:space="0"/>
              <w:left w:val="nil"/>
              <w:bottom w:val="single" w:color="auto" w:sz="8" w:space="0"/>
              <w:right w:val="single" w:color="auto" w:sz="4" w:space="0"/>
            </w:tcBorders>
            <w:shd w:val="clear" w:color="auto" w:fill="auto"/>
            <w:noWrap/>
            <w:vAlign w:val="center"/>
          </w:tcPr>
          <w:p w14:paraId="09446239">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1种</w:t>
            </w:r>
          </w:p>
        </w:tc>
        <w:tc>
          <w:tcPr>
            <w:tcW w:w="331" w:type="pct"/>
            <w:tcBorders>
              <w:top w:val="single" w:color="auto" w:sz="8" w:space="0"/>
              <w:left w:val="nil"/>
              <w:bottom w:val="single" w:color="auto" w:sz="8" w:space="0"/>
              <w:right w:val="single" w:color="auto" w:sz="4" w:space="0"/>
            </w:tcBorders>
            <w:shd w:val="clear" w:color="auto" w:fill="auto"/>
            <w:noWrap/>
            <w:vAlign w:val="center"/>
          </w:tcPr>
          <w:p w14:paraId="4488B6BA">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10种</w:t>
            </w:r>
          </w:p>
        </w:tc>
        <w:tc>
          <w:tcPr>
            <w:tcW w:w="318" w:type="pct"/>
            <w:tcBorders>
              <w:top w:val="single" w:color="auto" w:sz="8" w:space="0"/>
              <w:left w:val="nil"/>
              <w:bottom w:val="single" w:color="auto" w:sz="8" w:space="0"/>
              <w:right w:val="single" w:color="auto" w:sz="4" w:space="0"/>
            </w:tcBorders>
            <w:shd w:val="clear" w:color="auto" w:fill="auto"/>
            <w:noWrap/>
            <w:vAlign w:val="center"/>
          </w:tcPr>
          <w:p w14:paraId="369DA13B">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11种</w:t>
            </w:r>
          </w:p>
        </w:tc>
        <w:tc>
          <w:tcPr>
            <w:tcW w:w="477" w:type="pct"/>
            <w:tcBorders>
              <w:top w:val="single" w:color="auto" w:sz="4" w:space="0"/>
              <w:left w:val="nil"/>
              <w:bottom w:val="single" w:color="auto" w:sz="4" w:space="0"/>
              <w:right w:val="single" w:color="auto" w:sz="4" w:space="0"/>
            </w:tcBorders>
            <w:shd w:val="clear" w:color="auto" w:fill="auto"/>
            <w:noWrap/>
            <w:vAlign w:val="center"/>
          </w:tcPr>
          <w:p w14:paraId="48263A7E">
            <w:pPr>
              <w:widowControl/>
              <w:jc w:val="center"/>
              <w:rPr>
                <w:rFonts w:hint="eastAsia" w:ascii="宋体" w:hAnsi="宋体" w:eastAsia="宋体" w:cs="宋体"/>
                <w:b/>
                <w:bCs/>
                <w:color w:val="000000"/>
                <w:kern w:val="0"/>
                <w:sz w:val="22"/>
              </w:rPr>
            </w:pPr>
            <w:r>
              <w:rPr>
                <w:rFonts w:hint="eastAsia" w:ascii="宋体" w:hAnsi="宋体" w:eastAsia="宋体" w:cs="宋体"/>
                <w:b/>
                <w:bCs/>
                <w:color w:val="000000"/>
                <w:kern w:val="0"/>
                <w:sz w:val="22"/>
              </w:rPr>
              <w:t>1种</w:t>
            </w:r>
          </w:p>
        </w:tc>
      </w:tr>
    </w:tbl>
    <w:p w14:paraId="3223657F">
      <w:r>
        <w:br w:type="page"/>
      </w:r>
    </w:p>
    <w:p w14:paraId="01E2B3FD">
      <w:pPr>
        <w:pStyle w:val="5"/>
      </w:pPr>
    </w:p>
    <w:p w14:paraId="4EB88753">
      <w:pPr>
        <w:pStyle w:val="9"/>
        <w:pageBreakBefore w:val="0"/>
        <w:numPr>
          <w:ilvl w:val="2"/>
          <w:numId w:val="12"/>
        </w:numPr>
        <w:tabs>
          <w:tab w:val="left" w:pos="0"/>
        </w:tabs>
        <w:kinsoku/>
        <w:wordWrap/>
        <w:overflowPunct/>
        <w:topLinePunct w:val="0"/>
        <w:autoSpaceDE/>
        <w:autoSpaceDN/>
        <w:bidi w:val="0"/>
        <w:spacing w:line="360" w:lineRule="auto"/>
        <w:textAlignment w:val="auto"/>
        <w:rPr>
          <w:rFonts w:hint="eastAsia"/>
          <w:lang w:eastAsia="zh-CN"/>
        </w:rPr>
      </w:pPr>
      <w:bookmarkStart w:id="68" w:name="_Toc992769205"/>
      <w:bookmarkStart w:id="69" w:name="_Toc1677181705"/>
      <w:bookmarkStart w:id="70" w:name="_Toc116618734"/>
      <w:r>
        <w:rPr>
          <w:rFonts w:hint="eastAsia"/>
          <w:lang w:eastAsia="zh-CN"/>
        </w:rPr>
        <w:t>本项目需求理解</w:t>
      </w:r>
      <w:bookmarkEnd w:id="68"/>
      <w:bookmarkEnd w:id="69"/>
      <w:bookmarkEnd w:id="70"/>
    </w:p>
    <w:p w14:paraId="5B4E91F0">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铜仁卷烟厂是贵州中烟工业有限责任公司下属二级单位，按国家烟草专卖局办公室关于开展行业卷烟二维码统一应用项目“盒条件”关联管理系统推广实施工作的通知要求，自 2023 年以来已在铜仁卷烟厂(边侧环境)部署“盒条件”关联管理系统，实现了“盒条件”关联管理系统与行业卷烟生产经营决策管理系统、行业卷烟二维码管理系统对接，实现“盒条件”关联及相关数据上报；在卷烟厂生产现场(端侧环境)部署“盒条”“条件”关联现场管理子系统，并在包装机、封箱机上进行固定读码器、传感器等硬件的安装集成，实现卷烟盒、条二维码与件烟码的精准关联，成品率符合生产作业和产品质量相关要求；若出现异常情况，具备“盒条”“条件”人工关联功能。</w:t>
      </w:r>
    </w:p>
    <w:p w14:paraId="59E886FD">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根据贵州中烟工业有限责任公司工作安排， 铜仁卷烟厂计划迁入两组 ZB45(GDX2)包装机。中标人须利用工厂提供系统硬件（二维码扫描器、工控机等）的对迁入的包装机部署“盒条件”关联管理系统。</w:t>
      </w:r>
    </w:p>
    <w:p w14:paraId="05A450F9">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二、实施内容</w:t>
      </w:r>
    </w:p>
    <w:p w14:paraId="78194CE1">
      <w:pPr>
        <w:spacing w:line="360" w:lineRule="auto"/>
        <w:ind w:firstLine="480"/>
        <w:rPr>
          <w:rFonts w:hint="eastAsia" w:ascii="宋体" w:hAnsi="宋体" w:eastAsia="宋体" w:cs="Times New Roman"/>
          <w:sz w:val="24"/>
          <w:lang w:val="en-US" w:eastAsia="zh-CN"/>
        </w:rPr>
      </w:pPr>
      <w:bookmarkStart w:id="71" w:name="为铜仁卷烟厂新迁入的两组ZB45(GDX2)包装机部署（端侧环境）“盒条”关联现"/>
      <w:bookmarkEnd w:id="71"/>
      <w:r>
        <w:rPr>
          <w:rFonts w:hint="eastAsia" w:ascii="宋体" w:hAnsi="宋体" w:eastAsia="宋体" w:cs="Times New Roman"/>
          <w:sz w:val="24"/>
          <w:lang w:val="en-US" w:eastAsia="zh-CN"/>
        </w:rPr>
        <w:t>为铜仁卷烟厂新迁入的两组 ZB45(GDX2)包装机部署（端侧环境）“盒条”关联现场管理子系统。</w:t>
      </w:r>
    </w:p>
    <w:p w14:paraId="6103953B">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（一</w:t>
      </w:r>
      <w:bookmarkStart w:id="72" w:name="（一）系统功能要求"/>
      <w:bookmarkEnd w:id="72"/>
      <w:r>
        <w:rPr>
          <w:rFonts w:hint="eastAsia" w:ascii="宋体" w:hAnsi="宋体" w:eastAsia="宋体" w:cs="Times New Roman"/>
          <w:sz w:val="24"/>
          <w:lang w:val="en-US" w:eastAsia="zh-CN"/>
        </w:rPr>
        <w:t>）系统功能要求</w:t>
      </w:r>
    </w:p>
    <w:p w14:paraId="7E92B7BC">
      <w:pPr>
        <w:spacing w:line="360" w:lineRule="auto"/>
        <w:ind w:firstLine="480"/>
        <w:rPr>
          <w:rFonts w:hint="eastAsia" w:ascii="宋体" w:hAnsi="宋体" w:eastAsia="宋体" w:cs="Times New Roman"/>
          <w:sz w:val="24"/>
          <w:lang w:val="en-US" w:eastAsia="zh-CN"/>
        </w:rPr>
      </w:pPr>
      <w:bookmarkStart w:id="73" w:name="通过集成包装机控制系统和在相关工位上安装的固定读码器、传感器等电子设备，实现卷烟"/>
      <w:bookmarkEnd w:id="73"/>
      <w:r>
        <w:rPr>
          <w:rFonts w:hint="eastAsia" w:ascii="宋体" w:hAnsi="宋体" w:eastAsia="宋体" w:cs="Times New Roman"/>
          <w:sz w:val="24"/>
          <w:lang w:val="en-US" w:eastAsia="zh-CN"/>
        </w:rPr>
        <w:t>通过集成包装机控制系统和在相关工位上安装的固定读码器、传感器等电子设备，实现卷烟盒、条二维码的准确读取、准确剔除和精准关联。主要包括基础配置、“盒条”关联、关联校验、设备管理、作业监控、数据上传、安装调试、关于系统等功能模块。</w:t>
      </w:r>
    </w:p>
    <w:p w14:paraId="33FBFB17">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1</w:t>
      </w:r>
      <w:bookmarkStart w:id="74" w:name="1．在线品检"/>
      <w:bookmarkEnd w:id="74"/>
      <w:r>
        <w:rPr>
          <w:rFonts w:hint="eastAsia" w:ascii="宋体" w:hAnsi="宋体" w:eastAsia="宋体" w:cs="Times New Roman"/>
          <w:sz w:val="24"/>
          <w:lang w:val="en-US" w:eastAsia="zh-CN"/>
        </w:rPr>
        <w:t>．在线品检</w:t>
      </w:r>
    </w:p>
    <w:p w14:paraId="3A09B7CA">
      <w:pPr>
        <w:spacing w:line="360" w:lineRule="auto"/>
        <w:ind w:firstLine="480"/>
        <w:rPr>
          <w:rFonts w:hint="eastAsia" w:ascii="宋体" w:hAnsi="宋体" w:eastAsia="宋体" w:cs="Times New Roman"/>
          <w:sz w:val="24"/>
          <w:lang w:val="en-US" w:eastAsia="zh-CN"/>
        </w:rPr>
      </w:pPr>
      <w:bookmarkStart w:id="75" w:name="须实现卷烟盒、条二维码在线读取、校验和质量判断等功能。"/>
      <w:bookmarkEnd w:id="75"/>
      <w:r>
        <w:rPr>
          <w:rFonts w:hint="eastAsia" w:ascii="宋体" w:hAnsi="宋体" w:eastAsia="宋体" w:cs="Times New Roman"/>
          <w:sz w:val="24"/>
          <w:lang w:val="en-US" w:eastAsia="zh-CN"/>
        </w:rPr>
        <w:t>须实现卷烟盒、条二维码在线读取、校验和质量判断等功能。 2</w:t>
      </w:r>
      <w:bookmarkStart w:id="76" w:name="2．“盒条”关联"/>
      <w:bookmarkEnd w:id="76"/>
      <w:r>
        <w:rPr>
          <w:rFonts w:hint="eastAsia" w:ascii="宋体" w:hAnsi="宋体" w:eastAsia="宋体" w:cs="Times New Roman"/>
          <w:sz w:val="24"/>
          <w:lang w:val="en-US" w:eastAsia="zh-CN"/>
        </w:rPr>
        <w:t>．“盒条”关联</w:t>
      </w:r>
    </w:p>
    <w:p w14:paraId="18C4A536">
      <w:pPr>
        <w:spacing w:line="360" w:lineRule="auto"/>
        <w:ind w:firstLine="480"/>
        <w:rPr>
          <w:rFonts w:hint="eastAsia" w:ascii="宋体" w:hAnsi="宋体" w:eastAsia="宋体" w:cs="Times New Roman"/>
          <w:sz w:val="24"/>
          <w:lang w:val="en-US" w:eastAsia="zh-CN"/>
        </w:rPr>
      </w:pPr>
      <w:bookmarkStart w:id="77" w:name="须实现通过读取卷烟盒、条二维码，获取设备运行相位和参数等信息，结合“盒条”关联算"/>
      <w:bookmarkEnd w:id="77"/>
      <w:r>
        <w:rPr>
          <w:rFonts w:hint="eastAsia" w:ascii="宋体" w:hAnsi="宋体" w:eastAsia="宋体" w:cs="Times New Roman"/>
          <w:sz w:val="24"/>
          <w:lang w:val="en-US" w:eastAsia="zh-CN"/>
        </w:rPr>
        <w:t>须实现通过读取卷烟盒、条二维码，获取设备运行相位和参数等信息，结合 “盒条”关联算法，完成盒、条在线关联。对卷烟盒、条二维码未能正确识读以及“盒条”关联关系建立错误的盒烟、条烟应能剔除。</w:t>
      </w:r>
    </w:p>
    <w:p w14:paraId="66FFD3F3">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3</w:t>
      </w:r>
      <w:bookmarkStart w:id="78" w:name="3．控制部件"/>
      <w:bookmarkEnd w:id="78"/>
      <w:r>
        <w:rPr>
          <w:rFonts w:hint="eastAsia" w:ascii="宋体" w:hAnsi="宋体" w:eastAsia="宋体" w:cs="Times New Roman"/>
          <w:sz w:val="24"/>
          <w:lang w:val="en-US" w:eastAsia="zh-CN"/>
        </w:rPr>
        <w:t>．控制部件</w:t>
      </w:r>
    </w:p>
    <w:p w14:paraId="33474094">
      <w:pPr>
        <w:spacing w:line="360" w:lineRule="auto"/>
        <w:ind w:firstLine="480"/>
        <w:rPr>
          <w:rFonts w:hint="eastAsia" w:ascii="宋体" w:hAnsi="宋体" w:eastAsia="宋体" w:cs="Times New Roman"/>
          <w:sz w:val="24"/>
          <w:lang w:val="en-US" w:eastAsia="zh-CN"/>
        </w:rPr>
      </w:pPr>
      <w:bookmarkStart w:id="79" w:name="须实现固定读码器、剔除装置、包装机控制器等硬件的信号触发、状态获取、协同控制；须"/>
      <w:bookmarkEnd w:id="79"/>
      <w:r>
        <w:rPr>
          <w:rFonts w:hint="eastAsia" w:ascii="宋体" w:hAnsi="宋体" w:eastAsia="宋体" w:cs="Times New Roman"/>
          <w:sz w:val="24"/>
          <w:lang w:val="en-US" w:eastAsia="zh-CN"/>
        </w:rPr>
        <w:t>须实现固定读码器、剔除装置、包装机控制器等硬件的信号触发、状态获取、协同控制；须实现根据二维码识读情况、关联情况、现场管理子系统运行情况发出控制指令，实现盒剔除、条剔除、设备停机、故障报警等功能。</w:t>
      </w:r>
    </w:p>
    <w:p w14:paraId="0198A446">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4</w:t>
      </w:r>
      <w:bookmarkStart w:id="80" w:name="4．检验与手工关联"/>
      <w:bookmarkEnd w:id="80"/>
      <w:r>
        <w:rPr>
          <w:rFonts w:hint="eastAsia" w:ascii="宋体" w:hAnsi="宋体" w:eastAsia="宋体" w:cs="Times New Roman"/>
          <w:sz w:val="24"/>
          <w:lang w:val="en-US" w:eastAsia="zh-CN"/>
        </w:rPr>
        <w:t>．检验与手工关联</w:t>
      </w:r>
    </w:p>
    <w:p w14:paraId="0B781C04">
      <w:pPr>
        <w:spacing w:line="360" w:lineRule="auto"/>
        <w:ind w:firstLine="480"/>
        <w:rPr>
          <w:rFonts w:hint="eastAsia" w:ascii="宋体" w:hAnsi="宋体" w:eastAsia="宋体" w:cs="Times New Roman"/>
          <w:sz w:val="24"/>
          <w:lang w:val="en-US" w:eastAsia="zh-CN"/>
        </w:rPr>
      </w:pPr>
      <w:bookmarkStart w:id="81" w:name="通过手持扫码枪等，须实现对卷烟盒、条二维码质量、关联关系正确性进行检测；须实现手"/>
      <w:bookmarkEnd w:id="81"/>
      <w:r>
        <w:rPr>
          <w:rFonts w:hint="eastAsia" w:ascii="宋体" w:hAnsi="宋体" w:eastAsia="宋体" w:cs="Times New Roman"/>
          <w:sz w:val="24"/>
          <w:lang w:val="en-US" w:eastAsia="zh-CN"/>
        </w:rPr>
        <w:t xml:space="preserve">通过手持扫码枪等，须实现对卷烟盒、条二维码质量、关联关系正确性进行检测；须实现手工方式对卷烟盒、条二维码关联关系进行建立和维护。 </w:t>
      </w:r>
    </w:p>
    <w:p w14:paraId="4AEBCBC4">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5</w:t>
      </w:r>
      <w:bookmarkStart w:id="82" w:name="5．数据管理与运行监控"/>
      <w:bookmarkEnd w:id="82"/>
      <w:r>
        <w:rPr>
          <w:rFonts w:hint="eastAsia" w:ascii="宋体" w:hAnsi="宋体" w:eastAsia="宋体" w:cs="Times New Roman"/>
          <w:sz w:val="24"/>
          <w:lang w:val="en-US" w:eastAsia="zh-CN"/>
        </w:rPr>
        <w:t>．数据管理与运行监控</w:t>
      </w:r>
    </w:p>
    <w:p w14:paraId="0F84EB23">
      <w:pPr>
        <w:spacing w:line="360" w:lineRule="auto"/>
        <w:ind w:firstLine="480"/>
        <w:rPr>
          <w:rFonts w:hint="eastAsia" w:ascii="宋体" w:hAnsi="宋体" w:eastAsia="宋体" w:cs="Times New Roman"/>
          <w:sz w:val="24"/>
          <w:lang w:val="en-US" w:eastAsia="zh-CN"/>
        </w:rPr>
      </w:pPr>
      <w:bookmarkStart w:id="83" w:name="须实现对所采集的卷烟二维码及关联数据提供本地存储，实现对卷烟二维码识读信息、关联"/>
      <w:bookmarkEnd w:id="83"/>
      <w:r>
        <w:rPr>
          <w:rFonts w:hint="eastAsia" w:ascii="宋体" w:hAnsi="宋体" w:eastAsia="宋体" w:cs="Times New Roman"/>
          <w:sz w:val="24"/>
          <w:lang w:val="en-US" w:eastAsia="zh-CN"/>
        </w:rPr>
        <w:t>须实现对所采集的卷烟二维码及关联数据提供本地存储，实现对卷烟二维码识读信息、关联信息、剔除信息等数据的统计查询功能。须实现对相关硬件进行监测，实现对现场管理子系统运行状况、I/O 信号状态和网络状态的监控。</w:t>
      </w:r>
    </w:p>
    <w:p w14:paraId="7DD066E2">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6</w:t>
      </w:r>
      <w:bookmarkStart w:id="84" w:name="6．基础管理"/>
      <w:bookmarkEnd w:id="84"/>
      <w:r>
        <w:rPr>
          <w:rFonts w:hint="eastAsia" w:ascii="宋体" w:hAnsi="宋体" w:eastAsia="宋体" w:cs="Times New Roman"/>
          <w:sz w:val="24"/>
          <w:lang w:val="en-US" w:eastAsia="zh-CN"/>
        </w:rPr>
        <w:t>．基础管理</w:t>
      </w:r>
    </w:p>
    <w:p w14:paraId="7D2E6BEB">
      <w:pPr>
        <w:spacing w:line="360" w:lineRule="auto"/>
        <w:ind w:firstLine="480"/>
        <w:rPr>
          <w:rFonts w:hint="eastAsia" w:ascii="宋体" w:hAnsi="宋体" w:eastAsia="宋体" w:cs="Times New Roman"/>
          <w:sz w:val="24"/>
          <w:lang w:val="en-US" w:eastAsia="zh-CN"/>
        </w:rPr>
      </w:pPr>
      <w:bookmarkStart w:id="85" w:name="须实现对固定读码器、工控机、控制器等设备的业务编码、参数配置，对产品规格、生产班"/>
      <w:bookmarkEnd w:id="85"/>
      <w:r>
        <w:rPr>
          <w:rFonts w:hint="eastAsia" w:ascii="宋体" w:hAnsi="宋体" w:eastAsia="宋体" w:cs="Times New Roman"/>
          <w:sz w:val="24"/>
          <w:lang w:val="en-US" w:eastAsia="zh-CN"/>
        </w:rPr>
        <w:t>须实现对固定读码器、工控机、控制器等设备的业务编码、参数配置，对产品规格、生产班次等基本信息的设置，对系统运行、操作日志的记录和查询，保证与“盒条件”关联厂级管理子系统时间、用户、权限等基础信息同步。</w:t>
      </w:r>
    </w:p>
    <w:p w14:paraId="41A0EB4A">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（二</w:t>
      </w:r>
      <w:bookmarkStart w:id="86" w:name="（二）业务功能要求"/>
      <w:bookmarkEnd w:id="86"/>
      <w:r>
        <w:rPr>
          <w:rFonts w:hint="eastAsia" w:ascii="宋体" w:hAnsi="宋体" w:eastAsia="宋体" w:cs="Times New Roman"/>
          <w:sz w:val="24"/>
          <w:lang w:val="en-US" w:eastAsia="zh-CN"/>
        </w:rPr>
        <w:t>）业务功能要求</w:t>
      </w:r>
    </w:p>
    <w:tbl>
      <w:tblPr>
        <w:tblStyle w:val="43"/>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10"/>
        <w:gridCol w:w="2065"/>
        <w:gridCol w:w="2907"/>
        <w:gridCol w:w="3194"/>
      </w:tblGrid>
      <w:tr w14:paraId="7B43DD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trPr>
        <w:tc>
          <w:tcPr>
            <w:tcW w:w="501" w:type="pct"/>
          </w:tcPr>
          <w:p w14:paraId="63F049D0">
            <w:pPr>
              <w:pStyle w:val="230"/>
              <w:spacing w:before="143" w:line="360" w:lineRule="auto"/>
              <w:ind w:left="8"/>
              <w:jc w:val="center"/>
              <w:rPr>
                <w:rFonts w:ascii="Microsoft JhengHei" w:eastAsia="Microsoft JhengHei"/>
                <w:b/>
                <w:sz w:val="21"/>
                <w:szCs w:val="21"/>
              </w:rPr>
            </w:pPr>
            <w:r>
              <w:rPr>
                <w:rFonts w:ascii="Microsoft JhengHei" w:eastAsia="Microsoft JhengHei"/>
                <w:b/>
                <w:spacing w:val="-5"/>
                <w:sz w:val="21"/>
                <w:szCs w:val="21"/>
              </w:rPr>
              <w:t>序号</w:t>
            </w:r>
          </w:p>
        </w:tc>
        <w:tc>
          <w:tcPr>
            <w:tcW w:w="1137" w:type="pct"/>
          </w:tcPr>
          <w:p w14:paraId="0DB9EF42">
            <w:pPr>
              <w:pStyle w:val="230"/>
              <w:spacing w:before="143" w:line="360" w:lineRule="auto"/>
              <w:ind w:left="586"/>
              <w:rPr>
                <w:rFonts w:ascii="Microsoft JhengHei" w:eastAsia="Microsoft JhengHei"/>
                <w:b/>
                <w:sz w:val="21"/>
                <w:szCs w:val="21"/>
              </w:rPr>
            </w:pPr>
            <w:r>
              <w:rPr>
                <w:rFonts w:ascii="Microsoft JhengHei" w:eastAsia="Microsoft JhengHei"/>
                <w:b/>
                <w:spacing w:val="-3"/>
                <w:sz w:val="21"/>
                <w:szCs w:val="21"/>
              </w:rPr>
              <w:t>业务环节</w:t>
            </w:r>
          </w:p>
        </w:tc>
        <w:tc>
          <w:tcPr>
            <w:tcW w:w="1601" w:type="pct"/>
          </w:tcPr>
          <w:p w14:paraId="692584F5">
            <w:pPr>
              <w:pStyle w:val="230"/>
              <w:spacing w:before="143" w:line="360" w:lineRule="auto"/>
              <w:ind w:left="9"/>
              <w:jc w:val="center"/>
              <w:rPr>
                <w:rFonts w:ascii="Microsoft JhengHei" w:eastAsia="Microsoft JhengHei"/>
                <w:b/>
                <w:sz w:val="21"/>
                <w:szCs w:val="21"/>
              </w:rPr>
            </w:pPr>
            <w:r>
              <w:rPr>
                <w:rFonts w:ascii="Microsoft JhengHei" w:eastAsia="Microsoft JhengHei"/>
                <w:b/>
                <w:spacing w:val="-3"/>
                <w:sz w:val="21"/>
                <w:szCs w:val="21"/>
              </w:rPr>
              <w:t>业务描述</w:t>
            </w:r>
          </w:p>
        </w:tc>
        <w:tc>
          <w:tcPr>
            <w:tcW w:w="1759" w:type="pct"/>
          </w:tcPr>
          <w:p w14:paraId="0D1AB99F">
            <w:pPr>
              <w:pStyle w:val="230"/>
              <w:spacing w:before="143" w:line="360" w:lineRule="auto"/>
              <w:ind w:left="7"/>
              <w:jc w:val="center"/>
              <w:rPr>
                <w:rFonts w:ascii="Microsoft JhengHei" w:eastAsia="Microsoft JhengHei"/>
                <w:b/>
                <w:sz w:val="21"/>
                <w:szCs w:val="21"/>
              </w:rPr>
            </w:pPr>
            <w:r>
              <w:rPr>
                <w:rFonts w:ascii="Microsoft JhengHei" w:eastAsia="Microsoft JhengHei"/>
                <w:b/>
                <w:spacing w:val="-3"/>
                <w:sz w:val="21"/>
                <w:szCs w:val="21"/>
              </w:rPr>
              <w:t>技术要求</w:t>
            </w:r>
          </w:p>
        </w:tc>
      </w:tr>
      <w:tr w14:paraId="57B061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9" w:hRule="atLeast"/>
        </w:trPr>
        <w:tc>
          <w:tcPr>
            <w:tcW w:w="501" w:type="pct"/>
          </w:tcPr>
          <w:p w14:paraId="45928AE1">
            <w:pPr>
              <w:pStyle w:val="230"/>
              <w:spacing w:line="360" w:lineRule="auto"/>
              <w:rPr>
                <w:sz w:val="21"/>
                <w:szCs w:val="21"/>
              </w:rPr>
            </w:pPr>
          </w:p>
          <w:p w14:paraId="6996ECBC">
            <w:pPr>
              <w:pStyle w:val="230"/>
              <w:spacing w:before="95" w:line="360" w:lineRule="auto"/>
              <w:rPr>
                <w:sz w:val="21"/>
                <w:szCs w:val="21"/>
              </w:rPr>
            </w:pPr>
          </w:p>
          <w:p w14:paraId="06046827">
            <w:pPr>
              <w:pStyle w:val="230"/>
              <w:spacing w:before="1" w:line="360" w:lineRule="auto"/>
              <w:ind w:left="8" w:right="1"/>
              <w:jc w:val="center"/>
              <w:rPr>
                <w:sz w:val="21"/>
                <w:szCs w:val="21"/>
              </w:rPr>
            </w:pPr>
            <w:r>
              <w:rPr>
                <w:spacing w:val="-10"/>
                <w:sz w:val="21"/>
                <w:szCs w:val="21"/>
              </w:rPr>
              <w:t>1</w:t>
            </w:r>
          </w:p>
        </w:tc>
        <w:tc>
          <w:tcPr>
            <w:tcW w:w="1137" w:type="pct"/>
          </w:tcPr>
          <w:p w14:paraId="3356ED7E">
            <w:pPr>
              <w:pStyle w:val="230"/>
              <w:spacing w:before="165" w:line="360" w:lineRule="auto"/>
              <w:rPr>
                <w:sz w:val="21"/>
                <w:szCs w:val="21"/>
              </w:rPr>
            </w:pPr>
          </w:p>
          <w:p w14:paraId="2D55C94D">
            <w:pPr>
              <w:pStyle w:val="230"/>
              <w:spacing w:line="360" w:lineRule="auto"/>
              <w:ind w:left="106"/>
              <w:rPr>
                <w:sz w:val="21"/>
                <w:szCs w:val="21"/>
              </w:rPr>
            </w:pPr>
            <w:r>
              <w:rPr>
                <w:spacing w:val="-2"/>
                <w:sz w:val="21"/>
                <w:szCs w:val="21"/>
              </w:rPr>
              <w:t>“盒条”关联预扫描</w:t>
            </w:r>
          </w:p>
          <w:p w14:paraId="5CD3F43C">
            <w:pPr>
              <w:pStyle w:val="230"/>
              <w:spacing w:before="91" w:line="360" w:lineRule="auto"/>
              <w:ind w:left="106"/>
              <w:rPr>
                <w:sz w:val="21"/>
                <w:szCs w:val="21"/>
              </w:rPr>
            </w:pPr>
            <w:r>
              <w:rPr>
                <w:sz w:val="21"/>
                <w:szCs w:val="21"/>
              </w:rPr>
              <w:t>（品检工位</w:t>
            </w:r>
            <w:r>
              <w:rPr>
                <w:spacing w:val="-10"/>
                <w:sz w:val="21"/>
                <w:szCs w:val="21"/>
              </w:rPr>
              <w:t>）</w:t>
            </w:r>
          </w:p>
        </w:tc>
        <w:tc>
          <w:tcPr>
            <w:tcW w:w="1601" w:type="pct"/>
          </w:tcPr>
          <w:p w14:paraId="37AB811D">
            <w:pPr>
              <w:pStyle w:val="230"/>
              <w:spacing w:before="77" w:line="360" w:lineRule="auto"/>
              <w:ind w:left="107" w:right="95"/>
              <w:jc w:val="both"/>
              <w:rPr>
                <w:sz w:val="21"/>
                <w:szCs w:val="21"/>
              </w:rPr>
            </w:pPr>
            <w:r>
              <w:rPr>
                <w:spacing w:val="-6"/>
                <w:sz w:val="21"/>
                <w:szCs w:val="21"/>
              </w:rPr>
              <w:t>设备生产过程中，在“盒条”关</w:t>
            </w:r>
            <w:r>
              <w:rPr>
                <w:sz w:val="21"/>
                <w:szCs w:val="21"/>
              </w:rPr>
              <w:t>联前需对机台小盒二维码进行</w:t>
            </w:r>
            <w:r>
              <w:rPr>
                <w:spacing w:val="-9"/>
                <w:sz w:val="21"/>
                <w:szCs w:val="21"/>
              </w:rPr>
              <w:t>预扫描，异常情况进行分类别的</w:t>
            </w:r>
          </w:p>
          <w:p w14:paraId="715C777A">
            <w:pPr>
              <w:pStyle w:val="230"/>
              <w:spacing w:line="360" w:lineRule="auto"/>
              <w:ind w:left="107"/>
              <w:rPr>
                <w:sz w:val="21"/>
                <w:szCs w:val="21"/>
              </w:rPr>
            </w:pPr>
            <w:r>
              <w:rPr>
                <w:spacing w:val="-2"/>
                <w:sz w:val="21"/>
                <w:szCs w:val="21"/>
              </w:rPr>
              <w:t>报警、停机、剔除。</w:t>
            </w:r>
          </w:p>
        </w:tc>
        <w:tc>
          <w:tcPr>
            <w:tcW w:w="1759" w:type="pct"/>
          </w:tcPr>
          <w:p w14:paraId="0424DDA6">
            <w:pPr>
              <w:pStyle w:val="230"/>
              <w:numPr>
                <w:ilvl w:val="0"/>
                <w:numId w:val="14"/>
              </w:numPr>
              <w:tabs>
                <w:tab w:val="left" w:pos="287"/>
              </w:tabs>
              <w:spacing w:before="77" w:after="0" w:line="360" w:lineRule="auto"/>
              <w:ind w:left="108" w:right="96" w:firstLine="0"/>
              <w:jc w:val="left"/>
              <w:rPr>
                <w:sz w:val="21"/>
                <w:szCs w:val="21"/>
              </w:rPr>
            </w:pPr>
            <w:r>
              <w:rPr>
                <w:spacing w:val="-2"/>
                <w:sz w:val="21"/>
                <w:szCs w:val="21"/>
              </w:rPr>
              <w:t>二维码识别异常：对扫码异常的小盒进行剔除并统计数量；</w:t>
            </w:r>
          </w:p>
          <w:p w14:paraId="2A0775B1">
            <w:pPr>
              <w:pStyle w:val="230"/>
              <w:numPr>
                <w:ilvl w:val="0"/>
                <w:numId w:val="14"/>
              </w:numPr>
              <w:tabs>
                <w:tab w:val="left" w:pos="302"/>
              </w:tabs>
              <w:spacing w:before="4" w:after="0" w:line="360" w:lineRule="auto"/>
              <w:ind w:left="302" w:right="0" w:hanging="194"/>
              <w:jc w:val="left"/>
              <w:rPr>
                <w:sz w:val="21"/>
                <w:szCs w:val="21"/>
              </w:rPr>
            </w:pPr>
            <w:r>
              <w:rPr>
                <w:spacing w:val="12"/>
                <w:sz w:val="21"/>
                <w:szCs w:val="21"/>
              </w:rPr>
              <w:t>对连续三个重码剔除并停机报</w:t>
            </w:r>
          </w:p>
          <w:p w14:paraId="1062F945">
            <w:pPr>
              <w:pStyle w:val="230"/>
              <w:spacing w:before="89" w:line="360" w:lineRule="auto"/>
              <w:ind w:left="108"/>
              <w:rPr>
                <w:sz w:val="21"/>
                <w:szCs w:val="21"/>
              </w:rPr>
            </w:pPr>
            <w:r>
              <w:rPr>
                <w:spacing w:val="-5"/>
                <w:sz w:val="21"/>
                <w:szCs w:val="21"/>
              </w:rPr>
              <w:t>警。</w:t>
            </w:r>
          </w:p>
        </w:tc>
      </w:tr>
      <w:tr w14:paraId="15C62A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0" w:hRule="atLeast"/>
        </w:trPr>
        <w:tc>
          <w:tcPr>
            <w:tcW w:w="501" w:type="pct"/>
          </w:tcPr>
          <w:p w14:paraId="4A5841C7">
            <w:pPr>
              <w:pStyle w:val="230"/>
              <w:spacing w:line="360" w:lineRule="auto"/>
              <w:rPr>
                <w:sz w:val="21"/>
                <w:szCs w:val="21"/>
              </w:rPr>
            </w:pPr>
          </w:p>
          <w:p w14:paraId="51F12FC6">
            <w:pPr>
              <w:pStyle w:val="230"/>
              <w:spacing w:before="94" w:line="360" w:lineRule="auto"/>
              <w:rPr>
                <w:sz w:val="21"/>
                <w:szCs w:val="21"/>
              </w:rPr>
            </w:pPr>
          </w:p>
          <w:p w14:paraId="440754C0">
            <w:pPr>
              <w:pStyle w:val="230"/>
              <w:spacing w:line="360" w:lineRule="auto"/>
              <w:ind w:left="8" w:right="1"/>
              <w:jc w:val="center"/>
              <w:rPr>
                <w:sz w:val="21"/>
                <w:szCs w:val="21"/>
              </w:rPr>
            </w:pPr>
            <w:r>
              <w:rPr>
                <w:spacing w:val="-10"/>
                <w:sz w:val="21"/>
                <w:szCs w:val="21"/>
              </w:rPr>
              <w:t>2</w:t>
            </w:r>
          </w:p>
        </w:tc>
        <w:tc>
          <w:tcPr>
            <w:tcW w:w="1137" w:type="pct"/>
          </w:tcPr>
          <w:p w14:paraId="68CDEF78">
            <w:pPr>
              <w:pStyle w:val="230"/>
              <w:spacing w:line="360" w:lineRule="auto"/>
              <w:rPr>
                <w:sz w:val="21"/>
                <w:szCs w:val="21"/>
              </w:rPr>
            </w:pPr>
          </w:p>
          <w:p w14:paraId="37EEA221">
            <w:pPr>
              <w:pStyle w:val="230"/>
              <w:spacing w:before="94" w:line="360" w:lineRule="auto"/>
              <w:rPr>
                <w:sz w:val="21"/>
                <w:szCs w:val="21"/>
              </w:rPr>
            </w:pPr>
          </w:p>
          <w:p w14:paraId="025A4C1F">
            <w:pPr>
              <w:pStyle w:val="230"/>
              <w:spacing w:line="360" w:lineRule="auto"/>
              <w:ind w:left="106"/>
              <w:rPr>
                <w:sz w:val="21"/>
                <w:szCs w:val="21"/>
              </w:rPr>
            </w:pPr>
            <w:r>
              <w:rPr>
                <w:spacing w:val="-2"/>
                <w:sz w:val="21"/>
                <w:szCs w:val="21"/>
              </w:rPr>
              <w:t>“盒条”关联扫描</w:t>
            </w:r>
          </w:p>
        </w:tc>
        <w:tc>
          <w:tcPr>
            <w:tcW w:w="1601" w:type="pct"/>
          </w:tcPr>
          <w:p w14:paraId="2FC1B074">
            <w:pPr>
              <w:pStyle w:val="230"/>
              <w:spacing w:before="76" w:line="360" w:lineRule="auto"/>
              <w:ind w:left="107" w:right="35"/>
              <w:rPr>
                <w:sz w:val="21"/>
                <w:szCs w:val="21"/>
              </w:rPr>
            </w:pPr>
            <w:r>
              <w:rPr>
                <w:spacing w:val="-2"/>
                <w:sz w:val="21"/>
                <w:szCs w:val="21"/>
              </w:rPr>
              <w:t>设备生产过程中，进行“盒条”</w:t>
            </w:r>
            <w:r>
              <w:rPr>
                <w:sz w:val="21"/>
                <w:szCs w:val="21"/>
              </w:rPr>
              <w:t>关联时机台小盒二维码扫描发生异常情况需要进行分类别的</w:t>
            </w:r>
          </w:p>
          <w:p w14:paraId="77248550">
            <w:pPr>
              <w:pStyle w:val="230"/>
              <w:spacing w:line="360" w:lineRule="auto"/>
              <w:ind w:left="107"/>
              <w:rPr>
                <w:sz w:val="21"/>
                <w:szCs w:val="21"/>
              </w:rPr>
            </w:pPr>
            <w:r>
              <w:rPr>
                <w:spacing w:val="-2"/>
                <w:sz w:val="21"/>
                <w:szCs w:val="21"/>
              </w:rPr>
              <w:t>报警、停机、剔除。</w:t>
            </w:r>
          </w:p>
        </w:tc>
        <w:tc>
          <w:tcPr>
            <w:tcW w:w="1759" w:type="pct"/>
          </w:tcPr>
          <w:p w14:paraId="7491320E">
            <w:pPr>
              <w:pStyle w:val="230"/>
              <w:spacing w:before="166" w:line="360" w:lineRule="auto"/>
              <w:rPr>
                <w:sz w:val="21"/>
                <w:szCs w:val="21"/>
              </w:rPr>
            </w:pPr>
          </w:p>
          <w:p w14:paraId="13F29D23">
            <w:pPr>
              <w:pStyle w:val="230"/>
              <w:spacing w:before="1" w:line="360" w:lineRule="auto"/>
              <w:ind w:left="108" w:right="96"/>
              <w:rPr>
                <w:sz w:val="21"/>
                <w:szCs w:val="21"/>
              </w:rPr>
            </w:pPr>
            <w:r>
              <w:rPr>
                <w:spacing w:val="-2"/>
                <w:sz w:val="21"/>
                <w:szCs w:val="21"/>
              </w:rPr>
              <w:t>在“盒条”关联扫描处需要有异常码（不能识别）报警停机功能。</w:t>
            </w:r>
          </w:p>
        </w:tc>
      </w:tr>
      <w:tr w14:paraId="3797F0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00" w:hRule="atLeast"/>
        </w:trPr>
        <w:tc>
          <w:tcPr>
            <w:tcW w:w="501" w:type="pct"/>
          </w:tcPr>
          <w:p w14:paraId="5A3A8134">
            <w:pPr>
              <w:pStyle w:val="230"/>
              <w:spacing w:line="360" w:lineRule="auto"/>
              <w:rPr>
                <w:sz w:val="21"/>
                <w:szCs w:val="21"/>
              </w:rPr>
            </w:pPr>
          </w:p>
          <w:p w14:paraId="072559CA">
            <w:pPr>
              <w:pStyle w:val="230"/>
              <w:spacing w:line="360" w:lineRule="auto"/>
              <w:rPr>
                <w:sz w:val="21"/>
                <w:szCs w:val="21"/>
              </w:rPr>
            </w:pPr>
          </w:p>
          <w:p w14:paraId="12F35459">
            <w:pPr>
              <w:pStyle w:val="230"/>
              <w:spacing w:before="26" w:line="360" w:lineRule="auto"/>
              <w:rPr>
                <w:sz w:val="21"/>
                <w:szCs w:val="21"/>
              </w:rPr>
            </w:pPr>
          </w:p>
          <w:p w14:paraId="48824DC4">
            <w:pPr>
              <w:pStyle w:val="230"/>
              <w:spacing w:line="360" w:lineRule="auto"/>
              <w:ind w:left="8" w:right="1"/>
              <w:jc w:val="center"/>
              <w:rPr>
                <w:sz w:val="21"/>
                <w:szCs w:val="21"/>
              </w:rPr>
            </w:pPr>
            <w:r>
              <w:rPr>
                <w:spacing w:val="-10"/>
                <w:sz w:val="21"/>
                <w:szCs w:val="21"/>
              </w:rPr>
              <w:t>3</w:t>
            </w:r>
          </w:p>
        </w:tc>
        <w:tc>
          <w:tcPr>
            <w:tcW w:w="1137" w:type="pct"/>
          </w:tcPr>
          <w:p w14:paraId="5F1BC4D5">
            <w:pPr>
              <w:pStyle w:val="230"/>
              <w:spacing w:before="165" w:line="360" w:lineRule="auto"/>
              <w:rPr>
                <w:sz w:val="21"/>
                <w:szCs w:val="21"/>
              </w:rPr>
            </w:pPr>
          </w:p>
          <w:p w14:paraId="54832F66">
            <w:pPr>
              <w:pStyle w:val="230"/>
              <w:spacing w:line="360" w:lineRule="auto"/>
              <w:ind w:left="106" w:right="5"/>
              <w:rPr>
                <w:sz w:val="21"/>
                <w:szCs w:val="21"/>
              </w:rPr>
            </w:pPr>
            <w:r>
              <w:rPr>
                <w:spacing w:val="-4"/>
                <w:sz w:val="21"/>
                <w:szCs w:val="21"/>
              </w:rPr>
              <w:t>其余原因导致“盒条”</w:t>
            </w:r>
            <w:r>
              <w:rPr>
                <w:spacing w:val="-2"/>
                <w:sz w:val="21"/>
                <w:szCs w:val="21"/>
              </w:rPr>
              <w:t>关联条包未进入“条件”关联环节</w:t>
            </w:r>
          </w:p>
        </w:tc>
        <w:tc>
          <w:tcPr>
            <w:tcW w:w="1601" w:type="pct"/>
          </w:tcPr>
          <w:p w14:paraId="5273671C">
            <w:pPr>
              <w:pStyle w:val="230"/>
              <w:spacing w:before="77" w:line="360" w:lineRule="auto"/>
              <w:ind w:left="107" w:right="35"/>
              <w:rPr>
                <w:sz w:val="21"/>
                <w:szCs w:val="21"/>
              </w:rPr>
            </w:pPr>
            <w:r>
              <w:rPr>
                <w:spacing w:val="-2"/>
                <w:sz w:val="21"/>
                <w:szCs w:val="21"/>
              </w:rPr>
              <w:t>已经“盒条”关联的条包，可能因为剔除、质检、物流损坏、返工等原因，导致未进入“条件”关联环节，需对系统中此类“盒</w:t>
            </w:r>
          </w:p>
          <w:p w14:paraId="6A32C03A">
            <w:pPr>
              <w:pStyle w:val="230"/>
              <w:spacing w:line="360" w:lineRule="auto"/>
              <w:ind w:left="107"/>
              <w:rPr>
                <w:sz w:val="21"/>
                <w:szCs w:val="21"/>
              </w:rPr>
            </w:pPr>
            <w:r>
              <w:rPr>
                <w:spacing w:val="-1"/>
                <w:sz w:val="21"/>
                <w:szCs w:val="21"/>
              </w:rPr>
              <w:t>条”关联条包数据进行处理。</w:t>
            </w:r>
          </w:p>
        </w:tc>
        <w:tc>
          <w:tcPr>
            <w:tcW w:w="1759" w:type="pct"/>
          </w:tcPr>
          <w:p w14:paraId="6BEA2F88">
            <w:pPr>
              <w:pStyle w:val="230"/>
              <w:spacing w:before="77" w:line="360" w:lineRule="auto"/>
              <w:ind w:left="108" w:right="96"/>
              <w:jc w:val="both"/>
              <w:rPr>
                <w:sz w:val="21"/>
                <w:szCs w:val="21"/>
              </w:rPr>
            </w:pPr>
            <w:r>
              <w:rPr>
                <w:spacing w:val="-2"/>
                <w:sz w:val="21"/>
                <w:szCs w:val="21"/>
              </w:rPr>
              <w:t>系统检测到已完成“盒条”关联的小盒通过喂烟再次进入“盒条”关联环节时不能影响新的“盒条”关</w:t>
            </w:r>
            <w:r>
              <w:rPr>
                <w:spacing w:val="-1"/>
                <w:sz w:val="21"/>
                <w:szCs w:val="21"/>
              </w:rPr>
              <w:t>联，即不需要人工介入的情况下，</w:t>
            </w:r>
          </w:p>
          <w:p w14:paraId="029C3F0D">
            <w:pPr>
              <w:pStyle w:val="230"/>
              <w:spacing w:line="360" w:lineRule="auto"/>
              <w:ind w:left="108"/>
              <w:rPr>
                <w:sz w:val="21"/>
                <w:szCs w:val="21"/>
              </w:rPr>
            </w:pPr>
            <w:r>
              <w:rPr>
                <w:spacing w:val="-1"/>
                <w:sz w:val="21"/>
                <w:szCs w:val="21"/>
              </w:rPr>
              <w:t>确保“盒条”关联关系的准确。</w:t>
            </w:r>
          </w:p>
        </w:tc>
      </w:tr>
    </w:tbl>
    <w:p w14:paraId="5FDC0C5C">
      <w:pPr>
        <w:spacing w:line="360" w:lineRule="auto"/>
        <w:ind w:firstLine="480"/>
        <w:rPr>
          <w:rFonts w:hint="eastAsia" w:ascii="宋体" w:hAnsi="宋体" w:eastAsia="宋体" w:cs="Times New Roman"/>
          <w:sz w:val="24"/>
          <w:lang w:val="en-US" w:eastAsia="zh-CN"/>
        </w:rPr>
      </w:pPr>
    </w:p>
    <w:p w14:paraId="26587252">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三、项目工期要求</w:t>
      </w:r>
    </w:p>
    <w:p w14:paraId="1A94F8EC">
      <w:pPr>
        <w:spacing w:line="360" w:lineRule="auto"/>
        <w:ind w:firstLine="480"/>
        <w:rPr>
          <w:rFonts w:hint="eastAsia" w:ascii="宋体" w:hAnsi="宋体" w:eastAsia="宋体" w:cs="Times New Roman"/>
          <w:sz w:val="24"/>
          <w:lang w:val="en-US" w:eastAsia="zh-CN"/>
        </w:rPr>
      </w:pPr>
      <w:bookmarkStart w:id="87" w:name="根据招标人设备到达时间对包装机进行改造，单台改造时间从招标人下达施工通知单之日起"/>
      <w:bookmarkEnd w:id="87"/>
      <w:r>
        <w:rPr>
          <w:rFonts w:hint="eastAsia" w:ascii="宋体" w:hAnsi="宋体" w:eastAsia="宋体" w:cs="Times New Roman"/>
          <w:sz w:val="24"/>
          <w:lang w:val="en-US" w:eastAsia="zh-CN"/>
        </w:rPr>
        <w:t>根据招标人设备到达时间对包装机进行改造，单台改造时间从招标人下达施工通知单之日起不超过 30 日历天。项目验收后，按合同要求付款。</w:t>
      </w:r>
    </w:p>
    <w:p w14:paraId="083F088B">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四、人员要求</w:t>
      </w:r>
    </w:p>
    <w:p w14:paraId="6A0F7DD3">
      <w:pPr>
        <w:spacing w:line="360" w:lineRule="auto"/>
        <w:ind w:firstLine="480"/>
        <w:rPr>
          <w:rFonts w:hint="eastAsia" w:ascii="宋体" w:hAnsi="宋体" w:eastAsia="宋体" w:cs="Times New Roman"/>
          <w:sz w:val="24"/>
          <w:lang w:val="en-US" w:eastAsia="zh-CN"/>
        </w:rPr>
      </w:pPr>
      <w:bookmarkStart w:id="88" w:name="为保障招标人项目建设的需求，投标人应组建合理的实施团队，项目团队应不少于5人，项"/>
      <w:bookmarkEnd w:id="88"/>
      <w:r>
        <w:rPr>
          <w:rFonts w:hint="eastAsia" w:ascii="宋体" w:hAnsi="宋体" w:eastAsia="宋体" w:cs="Times New Roman"/>
          <w:sz w:val="24"/>
          <w:lang w:val="en-US" w:eastAsia="zh-CN"/>
        </w:rPr>
        <w:t>为保障招标人项目建设的需求，投标人应组建合理的实施团队，项目团队应不少于 5 人，项目经理、安全管理员、电气实施员、软件实施员、钳工等。</w:t>
      </w:r>
    </w:p>
    <w:p w14:paraId="3BD91D34">
      <w:pPr>
        <w:spacing w:line="360" w:lineRule="auto"/>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五、其他要求</w:t>
      </w:r>
    </w:p>
    <w:p w14:paraId="2CB61668">
      <w:pPr>
        <w:spacing w:line="360" w:lineRule="auto"/>
        <w:ind w:firstLine="480"/>
        <w:rPr>
          <w:rFonts w:hint="eastAsia" w:ascii="宋体" w:hAnsi="宋体" w:eastAsia="宋体" w:cs="Times New Roman"/>
          <w:sz w:val="24"/>
          <w:lang w:val="en-US" w:eastAsia="zh-CN"/>
        </w:rPr>
      </w:pPr>
      <w:bookmarkStart w:id="89" w:name="相关系统软件与现有铜仁卷烟厂现有“盒条件”关联管理系统兼容，质保期间按烟草行业要"/>
      <w:bookmarkEnd w:id="89"/>
      <w:r>
        <w:rPr>
          <w:rFonts w:hint="eastAsia" w:ascii="宋体" w:hAnsi="宋体" w:eastAsia="宋体" w:cs="Times New Roman"/>
          <w:sz w:val="24"/>
          <w:lang w:val="en-US" w:eastAsia="zh-CN"/>
        </w:rPr>
        <w:t>相关系统软件与现有铜仁卷烟厂现有“盒条件”关联管理系统兼容，质保期间按烟草行业要求对系统功能进行升级。</w:t>
      </w:r>
    </w:p>
    <w:p w14:paraId="2F892D38">
      <w:pPr>
        <w:pStyle w:val="4"/>
        <w:rPr>
          <w:rFonts w:hint="default"/>
          <w:lang w:val="en-US" w:eastAsia="zh-CN"/>
        </w:rPr>
      </w:pPr>
    </w:p>
    <w:p w14:paraId="661D03D1">
      <w:pPr>
        <w:pStyle w:val="9"/>
        <w:pageBreakBefore w:val="0"/>
        <w:numPr>
          <w:ilvl w:val="2"/>
          <w:numId w:val="12"/>
        </w:numPr>
        <w:tabs>
          <w:tab w:val="left" w:pos="0"/>
        </w:tabs>
        <w:kinsoku/>
        <w:wordWrap/>
        <w:overflowPunct/>
        <w:topLinePunct w:val="0"/>
        <w:autoSpaceDE/>
        <w:autoSpaceDN/>
        <w:bidi w:val="0"/>
        <w:spacing w:line="360" w:lineRule="auto"/>
        <w:textAlignment w:val="auto"/>
        <w:rPr>
          <w:rFonts w:hint="default"/>
          <w:lang w:val="en-US" w:eastAsia="zh-CN"/>
        </w:rPr>
      </w:pPr>
      <w:bookmarkStart w:id="90" w:name="_Toc354866979"/>
      <w:bookmarkStart w:id="91" w:name="_Toc1123800302"/>
      <w:bookmarkStart w:id="92" w:name="_Toc518786819"/>
      <w:r>
        <w:rPr>
          <w:rFonts w:hint="eastAsia"/>
          <w:lang w:val="en-US" w:eastAsia="zh-CN"/>
        </w:rPr>
        <w:t>“盒条”关联标准业务流程</w:t>
      </w:r>
      <w:bookmarkEnd w:id="90"/>
      <w:bookmarkEnd w:id="91"/>
      <w:bookmarkEnd w:id="92"/>
    </w:p>
    <w:p w14:paraId="6BC223C1">
      <w:pPr>
        <w:bidi w:val="0"/>
        <w:ind w:firstLine="420" w:firstLineChars="0"/>
        <w:rPr>
          <w:rFonts w:hint="eastAsia"/>
        </w:rPr>
      </w:pPr>
      <w:r>
        <w:rPr>
          <w:rFonts w:hint="eastAsia"/>
        </w:rPr>
        <w:t>“盒条”关联现场管理子系统包括但不限于在线品检、“盒条”关联、控制部件、检验与手工关联、数据管理与运行监控、基础管理等功能模块，主要实现对卷烟盒、条二维码读取、校验、剔除和“盒条”关联作业管理。</w:t>
      </w:r>
    </w:p>
    <w:p w14:paraId="2566CD7C">
      <w:pPr>
        <w:bidi w:val="0"/>
        <w:ind w:firstLine="420" w:firstLineChars="0"/>
        <w:rPr>
          <w:rFonts w:hint="eastAsia" w:eastAsia="宋体"/>
          <w:lang w:val="en-US" w:eastAsia="zh-CN"/>
        </w:rPr>
      </w:pPr>
      <w:r>
        <w:rPr>
          <w:rFonts w:hint="eastAsia"/>
          <w:lang w:eastAsia="zh-CN"/>
        </w:rPr>
        <w:t>以下是根据行业统一标准规范，对“盒条”关联的业务流程及数据逻辑进行具体的描述：</w:t>
      </w:r>
    </w:p>
    <w:p w14:paraId="27832CA4">
      <w:pPr>
        <w:pStyle w:val="10"/>
        <w:bidi w:val="0"/>
        <w:rPr>
          <w:rFonts w:hint="eastAsia"/>
        </w:rPr>
      </w:pPr>
      <w:bookmarkStart w:id="93" w:name="_Toc29516"/>
      <w:bookmarkStart w:id="94" w:name="_Toc2046776971"/>
      <w:bookmarkStart w:id="95" w:name="_Toc385555618"/>
      <w:bookmarkStart w:id="96" w:name="_Toc6862"/>
      <w:bookmarkStart w:id="97" w:name="_Toc520"/>
      <w:r>
        <w:rPr>
          <w:rFonts w:hint="eastAsia"/>
        </w:rPr>
        <w:t>基础配置</w:t>
      </w:r>
      <w:bookmarkEnd w:id="93"/>
      <w:bookmarkEnd w:id="94"/>
      <w:bookmarkEnd w:id="95"/>
      <w:bookmarkEnd w:id="96"/>
      <w:bookmarkEnd w:id="97"/>
    </w:p>
    <w:p w14:paraId="5A1AF867">
      <w:pPr>
        <w:bidi w:val="0"/>
        <w:rPr>
          <w:rFonts w:hint="eastAsia"/>
        </w:rPr>
      </w:pPr>
      <w:r>
        <w:drawing>
          <wp:inline distT="0" distB="0" distL="0" distR="0">
            <wp:extent cx="5267960" cy="8046720"/>
            <wp:effectExtent l="0" t="0" r="8890" b="1143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67960" cy="8046720"/>
                    </a:xfrm>
                    <a:prstGeom prst="rect">
                      <a:avLst/>
                    </a:prstGeom>
                    <a:noFill/>
                    <a:ln>
                      <a:noFill/>
                    </a:ln>
                  </pic:spPr>
                </pic:pic>
              </a:graphicData>
            </a:graphic>
          </wp:inline>
        </w:drawing>
      </w:r>
    </w:p>
    <w:p w14:paraId="11C115E4">
      <w:pPr>
        <w:bidi w:val="0"/>
        <w:rPr>
          <w:rFonts w:hint="eastAsia"/>
        </w:rPr>
      </w:pPr>
    </w:p>
    <w:p w14:paraId="6869675A">
      <w:pPr>
        <w:bidi w:val="0"/>
        <w:rPr>
          <w:rFonts w:hint="eastAsia"/>
        </w:rPr>
      </w:pPr>
    </w:p>
    <w:tbl>
      <w:tblPr>
        <w:tblStyle w:val="43"/>
        <w:tblW w:w="9919" w:type="dxa"/>
        <w:jc w:val="center"/>
        <w:tblLayout w:type="autofit"/>
        <w:tblCellMar>
          <w:top w:w="0" w:type="dxa"/>
          <w:left w:w="108" w:type="dxa"/>
          <w:bottom w:w="0" w:type="dxa"/>
          <w:right w:w="108" w:type="dxa"/>
        </w:tblCellMar>
      </w:tblPr>
      <w:tblGrid>
        <w:gridCol w:w="694"/>
        <w:gridCol w:w="2221"/>
        <w:gridCol w:w="1695"/>
        <w:gridCol w:w="5309"/>
      </w:tblGrid>
      <w:tr w14:paraId="713CC5DE">
        <w:tblPrEx>
          <w:tblCellMar>
            <w:top w:w="0" w:type="dxa"/>
            <w:left w:w="108" w:type="dxa"/>
            <w:bottom w:w="0" w:type="dxa"/>
            <w:right w:w="108" w:type="dxa"/>
          </w:tblCellMar>
        </w:tblPrEx>
        <w:trPr>
          <w:trHeight w:val="652" w:hRule="atLeast"/>
          <w:jc w:val="center"/>
        </w:trPr>
        <w:tc>
          <w:tcPr>
            <w:tcW w:w="694"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0399FF28">
            <w:pPr>
              <w:bidi w:val="0"/>
              <w:rPr>
                <w:rFonts w:hint="eastAsia"/>
              </w:rPr>
            </w:pPr>
            <w:r>
              <w:rPr>
                <w:rFonts w:hint="eastAsia"/>
              </w:rPr>
              <w:t>序号</w:t>
            </w:r>
          </w:p>
        </w:tc>
        <w:tc>
          <w:tcPr>
            <w:tcW w:w="2221"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D6C685C">
            <w:pPr>
              <w:bidi w:val="0"/>
              <w:rPr>
                <w:rFonts w:hint="eastAsia"/>
              </w:rPr>
            </w:pPr>
            <w:r>
              <w:rPr>
                <w:rFonts w:hint="eastAsia"/>
              </w:rPr>
              <w:t>节点名称</w:t>
            </w:r>
          </w:p>
        </w:tc>
        <w:tc>
          <w:tcPr>
            <w:tcW w:w="1695"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87A4012">
            <w:pPr>
              <w:bidi w:val="0"/>
              <w:rPr>
                <w:rFonts w:hint="eastAsia"/>
              </w:rPr>
            </w:pPr>
            <w:r>
              <w:rPr>
                <w:rFonts w:hint="eastAsia"/>
              </w:rPr>
              <w:t>节点类型（操作/作业流程/示意流程）</w:t>
            </w:r>
          </w:p>
        </w:tc>
        <w:tc>
          <w:tcPr>
            <w:tcW w:w="530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3F0FD08">
            <w:pPr>
              <w:bidi w:val="0"/>
              <w:rPr>
                <w:rFonts w:hint="eastAsia"/>
              </w:rPr>
            </w:pPr>
            <w:r>
              <w:rPr>
                <w:rFonts w:hint="eastAsia"/>
              </w:rPr>
              <w:t>节点描述（如何做）</w:t>
            </w:r>
          </w:p>
        </w:tc>
      </w:tr>
      <w:tr w14:paraId="18BA7FAA">
        <w:tblPrEx>
          <w:tblCellMar>
            <w:top w:w="0" w:type="dxa"/>
            <w:left w:w="108" w:type="dxa"/>
            <w:bottom w:w="0" w:type="dxa"/>
            <w:right w:w="108" w:type="dxa"/>
          </w:tblCellMar>
        </w:tblPrEx>
        <w:trPr>
          <w:trHeight w:val="480" w:hRule="atLeast"/>
          <w:jc w:val="center"/>
        </w:trPr>
        <w:tc>
          <w:tcPr>
            <w:tcW w:w="694" w:type="dxa"/>
            <w:vMerge w:val="continue"/>
            <w:tcBorders>
              <w:top w:val="single" w:color="auto" w:sz="4" w:space="0"/>
              <w:left w:val="single" w:color="auto" w:sz="4" w:space="0"/>
              <w:bottom w:val="single" w:color="auto" w:sz="4" w:space="0"/>
              <w:right w:val="single" w:color="auto" w:sz="4" w:space="0"/>
            </w:tcBorders>
            <w:vAlign w:val="center"/>
          </w:tcPr>
          <w:p w14:paraId="50450E7E">
            <w:pPr>
              <w:bidi w:val="0"/>
              <w:rPr>
                <w:rFonts w:hint="eastAsia"/>
              </w:rPr>
            </w:pPr>
          </w:p>
        </w:tc>
        <w:tc>
          <w:tcPr>
            <w:tcW w:w="2221" w:type="dxa"/>
            <w:vMerge w:val="continue"/>
            <w:tcBorders>
              <w:top w:val="single" w:color="auto" w:sz="4" w:space="0"/>
              <w:left w:val="single" w:color="auto" w:sz="4" w:space="0"/>
              <w:bottom w:val="single" w:color="auto" w:sz="4" w:space="0"/>
              <w:right w:val="single" w:color="auto" w:sz="4" w:space="0"/>
            </w:tcBorders>
            <w:vAlign w:val="center"/>
          </w:tcPr>
          <w:p w14:paraId="2CAFE40A">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3F92F53E">
            <w:pPr>
              <w:bidi w:val="0"/>
              <w:rPr>
                <w:rFonts w:hint="eastAsia"/>
              </w:rPr>
            </w:pPr>
          </w:p>
        </w:tc>
        <w:tc>
          <w:tcPr>
            <w:tcW w:w="5309" w:type="dxa"/>
            <w:vMerge w:val="continue"/>
            <w:tcBorders>
              <w:top w:val="single" w:color="auto" w:sz="4" w:space="0"/>
              <w:left w:val="single" w:color="auto" w:sz="4" w:space="0"/>
              <w:bottom w:val="single" w:color="auto" w:sz="4" w:space="0"/>
              <w:right w:val="single" w:color="auto" w:sz="4" w:space="0"/>
            </w:tcBorders>
            <w:vAlign w:val="center"/>
          </w:tcPr>
          <w:p w14:paraId="301BC7A6">
            <w:pPr>
              <w:bidi w:val="0"/>
              <w:rPr>
                <w:rFonts w:hint="eastAsia"/>
              </w:rPr>
            </w:pPr>
          </w:p>
        </w:tc>
      </w:tr>
      <w:tr w14:paraId="3D2A7713">
        <w:tblPrEx>
          <w:tblCellMar>
            <w:top w:w="0" w:type="dxa"/>
            <w:left w:w="108" w:type="dxa"/>
            <w:bottom w:w="0" w:type="dxa"/>
            <w:right w:w="108" w:type="dxa"/>
          </w:tblCellMar>
        </w:tblPrEx>
        <w:trPr>
          <w:trHeight w:val="468" w:hRule="atLeast"/>
          <w:jc w:val="center"/>
        </w:trPr>
        <w:tc>
          <w:tcPr>
            <w:tcW w:w="694" w:type="dxa"/>
            <w:vMerge w:val="continue"/>
            <w:tcBorders>
              <w:top w:val="single" w:color="auto" w:sz="4" w:space="0"/>
              <w:left w:val="single" w:color="auto" w:sz="4" w:space="0"/>
              <w:bottom w:val="single" w:color="auto" w:sz="4" w:space="0"/>
              <w:right w:val="single" w:color="auto" w:sz="4" w:space="0"/>
            </w:tcBorders>
            <w:vAlign w:val="center"/>
          </w:tcPr>
          <w:p w14:paraId="527DA23D">
            <w:pPr>
              <w:bidi w:val="0"/>
              <w:rPr>
                <w:rFonts w:hint="eastAsia"/>
              </w:rPr>
            </w:pPr>
          </w:p>
        </w:tc>
        <w:tc>
          <w:tcPr>
            <w:tcW w:w="2221" w:type="dxa"/>
            <w:vMerge w:val="continue"/>
            <w:tcBorders>
              <w:top w:val="single" w:color="auto" w:sz="4" w:space="0"/>
              <w:left w:val="single" w:color="auto" w:sz="4" w:space="0"/>
              <w:bottom w:val="single" w:color="auto" w:sz="4" w:space="0"/>
              <w:right w:val="single" w:color="auto" w:sz="4" w:space="0"/>
            </w:tcBorders>
            <w:vAlign w:val="center"/>
          </w:tcPr>
          <w:p w14:paraId="5EE7C60F">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466A87B5">
            <w:pPr>
              <w:bidi w:val="0"/>
              <w:rPr>
                <w:rFonts w:hint="eastAsia"/>
              </w:rPr>
            </w:pPr>
          </w:p>
        </w:tc>
        <w:tc>
          <w:tcPr>
            <w:tcW w:w="5309" w:type="dxa"/>
            <w:vMerge w:val="continue"/>
            <w:tcBorders>
              <w:top w:val="single" w:color="auto" w:sz="4" w:space="0"/>
              <w:left w:val="single" w:color="auto" w:sz="4" w:space="0"/>
              <w:bottom w:val="single" w:color="auto" w:sz="4" w:space="0"/>
              <w:right w:val="single" w:color="auto" w:sz="4" w:space="0"/>
            </w:tcBorders>
            <w:vAlign w:val="center"/>
          </w:tcPr>
          <w:p w14:paraId="3A63238F">
            <w:pPr>
              <w:bidi w:val="0"/>
              <w:rPr>
                <w:rFonts w:hint="eastAsia"/>
              </w:rPr>
            </w:pPr>
          </w:p>
        </w:tc>
      </w:tr>
      <w:tr w14:paraId="2C942CBC">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0C75DC79">
            <w:pPr>
              <w:bidi w:val="0"/>
              <w:rPr>
                <w:rFonts w:hint="eastAsia"/>
              </w:rPr>
            </w:pPr>
            <w:r>
              <w:rPr>
                <w:rFonts w:hint="eastAsia"/>
              </w:rPr>
              <w:t>1</w:t>
            </w:r>
          </w:p>
        </w:tc>
        <w:tc>
          <w:tcPr>
            <w:tcW w:w="2221" w:type="dxa"/>
            <w:tcBorders>
              <w:top w:val="nil"/>
              <w:left w:val="nil"/>
              <w:bottom w:val="single" w:color="auto" w:sz="4" w:space="0"/>
              <w:right w:val="single" w:color="auto" w:sz="4" w:space="0"/>
            </w:tcBorders>
            <w:shd w:val="clear" w:color="auto" w:fill="auto"/>
            <w:vAlign w:val="center"/>
          </w:tcPr>
          <w:p w14:paraId="0889AD80">
            <w:pPr>
              <w:bidi w:val="0"/>
              <w:rPr>
                <w:rFonts w:hint="eastAsia"/>
              </w:rPr>
            </w:pPr>
            <w:r>
              <w:rPr>
                <w:rFonts w:hint="eastAsia"/>
              </w:rPr>
              <w:t>1 机型集成方案配置</w:t>
            </w:r>
          </w:p>
        </w:tc>
        <w:tc>
          <w:tcPr>
            <w:tcW w:w="1695" w:type="dxa"/>
            <w:tcBorders>
              <w:top w:val="nil"/>
              <w:left w:val="nil"/>
              <w:bottom w:val="single" w:color="auto" w:sz="4" w:space="0"/>
              <w:right w:val="single" w:color="auto" w:sz="4" w:space="0"/>
            </w:tcBorders>
            <w:shd w:val="clear" w:color="auto" w:fill="auto"/>
            <w:vAlign w:val="center"/>
          </w:tcPr>
          <w:p w14:paraId="70794C2E">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1628F4DA">
            <w:pPr>
              <w:bidi w:val="0"/>
              <w:rPr>
                <w:rFonts w:hint="eastAsia"/>
              </w:rPr>
            </w:pPr>
            <w:r>
              <w:rPr>
                <w:rFonts w:hint="eastAsia"/>
              </w:rPr>
              <w:t>系统在调试模式下，需要进行机型集成方案配置，也就是导入此机型的方案算法库以及一些动态的配置</w:t>
            </w:r>
          </w:p>
        </w:tc>
      </w:tr>
      <w:tr w14:paraId="7760AF62">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4A40BED2">
            <w:pPr>
              <w:bidi w:val="0"/>
              <w:rPr>
                <w:rFonts w:hint="eastAsia"/>
              </w:rPr>
            </w:pPr>
            <w:r>
              <w:rPr>
                <w:rFonts w:hint="eastAsia"/>
              </w:rPr>
              <w:t>2</w:t>
            </w:r>
          </w:p>
        </w:tc>
        <w:tc>
          <w:tcPr>
            <w:tcW w:w="2221" w:type="dxa"/>
            <w:tcBorders>
              <w:top w:val="nil"/>
              <w:left w:val="nil"/>
              <w:bottom w:val="single" w:color="auto" w:sz="4" w:space="0"/>
              <w:right w:val="single" w:color="auto" w:sz="4" w:space="0"/>
            </w:tcBorders>
            <w:shd w:val="clear" w:color="auto" w:fill="auto"/>
            <w:vAlign w:val="center"/>
          </w:tcPr>
          <w:p w14:paraId="4C5CA2A2">
            <w:pPr>
              <w:bidi w:val="0"/>
              <w:rPr>
                <w:rFonts w:hint="eastAsia"/>
              </w:rPr>
            </w:pPr>
            <w:r>
              <w:rPr>
                <w:rFonts w:hint="eastAsia"/>
              </w:rPr>
              <w:t>2 设备配置</w:t>
            </w:r>
          </w:p>
        </w:tc>
        <w:tc>
          <w:tcPr>
            <w:tcW w:w="1695" w:type="dxa"/>
            <w:tcBorders>
              <w:top w:val="nil"/>
              <w:left w:val="nil"/>
              <w:bottom w:val="single" w:color="auto" w:sz="4" w:space="0"/>
              <w:right w:val="single" w:color="auto" w:sz="4" w:space="0"/>
            </w:tcBorders>
            <w:shd w:val="clear" w:color="auto" w:fill="auto"/>
            <w:vAlign w:val="center"/>
          </w:tcPr>
          <w:p w14:paraId="39EC8841">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2E780A8E">
            <w:pPr>
              <w:bidi w:val="0"/>
              <w:rPr>
                <w:rFonts w:hint="eastAsia"/>
              </w:rPr>
            </w:pPr>
            <w:r>
              <w:rPr>
                <w:rFonts w:hint="eastAsia"/>
              </w:rPr>
              <w:t>在调试模式下的，需要进行的机型设备配置，包括对读码器和PLC的基础信息配置</w:t>
            </w:r>
          </w:p>
        </w:tc>
      </w:tr>
      <w:tr w14:paraId="15A8AAFC">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1F0CB5D7">
            <w:pPr>
              <w:bidi w:val="0"/>
              <w:rPr>
                <w:rFonts w:hint="eastAsia"/>
              </w:rPr>
            </w:pPr>
            <w:r>
              <w:rPr>
                <w:rFonts w:hint="eastAsia"/>
              </w:rPr>
              <w:t>3</w:t>
            </w:r>
          </w:p>
        </w:tc>
        <w:tc>
          <w:tcPr>
            <w:tcW w:w="2221" w:type="dxa"/>
            <w:tcBorders>
              <w:top w:val="nil"/>
              <w:left w:val="nil"/>
              <w:bottom w:val="single" w:color="auto" w:sz="4" w:space="0"/>
              <w:right w:val="single" w:color="auto" w:sz="4" w:space="0"/>
            </w:tcBorders>
            <w:shd w:val="clear" w:color="auto" w:fill="auto"/>
            <w:vAlign w:val="center"/>
          </w:tcPr>
          <w:p w14:paraId="55CC32BA">
            <w:pPr>
              <w:bidi w:val="0"/>
              <w:rPr>
                <w:rFonts w:hint="eastAsia"/>
              </w:rPr>
            </w:pPr>
            <w:r>
              <w:rPr>
                <w:rFonts w:hint="eastAsia"/>
              </w:rPr>
              <w:t>3 品规配置</w:t>
            </w:r>
          </w:p>
        </w:tc>
        <w:tc>
          <w:tcPr>
            <w:tcW w:w="1695" w:type="dxa"/>
            <w:tcBorders>
              <w:top w:val="nil"/>
              <w:left w:val="nil"/>
              <w:bottom w:val="single" w:color="auto" w:sz="4" w:space="0"/>
              <w:right w:val="single" w:color="auto" w:sz="4" w:space="0"/>
            </w:tcBorders>
            <w:shd w:val="clear" w:color="auto" w:fill="auto"/>
            <w:vAlign w:val="center"/>
          </w:tcPr>
          <w:p w14:paraId="2DF55A9F">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7C495695">
            <w:pPr>
              <w:bidi w:val="0"/>
              <w:rPr>
                <w:rFonts w:hint="eastAsia"/>
              </w:rPr>
            </w:pPr>
            <w:r>
              <w:rPr>
                <w:rFonts w:hint="eastAsia"/>
              </w:rPr>
              <w:t>在调试模式下的品规配置，结合当前机台的实际调试牌号，配置好当前调试的品规信息</w:t>
            </w:r>
          </w:p>
        </w:tc>
      </w:tr>
      <w:tr w14:paraId="5ADDB8BC">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16AF5F9E">
            <w:pPr>
              <w:bidi w:val="0"/>
              <w:rPr>
                <w:rFonts w:hint="eastAsia"/>
              </w:rPr>
            </w:pPr>
            <w:r>
              <w:rPr>
                <w:rFonts w:hint="eastAsia"/>
              </w:rPr>
              <w:t>4</w:t>
            </w:r>
          </w:p>
        </w:tc>
        <w:tc>
          <w:tcPr>
            <w:tcW w:w="2221" w:type="dxa"/>
            <w:tcBorders>
              <w:top w:val="nil"/>
              <w:left w:val="nil"/>
              <w:bottom w:val="single" w:color="auto" w:sz="4" w:space="0"/>
              <w:right w:val="single" w:color="auto" w:sz="4" w:space="0"/>
            </w:tcBorders>
            <w:shd w:val="clear" w:color="auto" w:fill="auto"/>
            <w:vAlign w:val="center"/>
          </w:tcPr>
          <w:p w14:paraId="51E808E6">
            <w:pPr>
              <w:bidi w:val="0"/>
              <w:rPr>
                <w:rFonts w:hint="eastAsia"/>
              </w:rPr>
            </w:pPr>
            <w:r>
              <w:rPr>
                <w:rFonts w:hint="eastAsia"/>
              </w:rPr>
              <w:t>4 系统自检</w:t>
            </w:r>
          </w:p>
        </w:tc>
        <w:tc>
          <w:tcPr>
            <w:tcW w:w="1695" w:type="dxa"/>
            <w:tcBorders>
              <w:top w:val="nil"/>
              <w:left w:val="nil"/>
              <w:bottom w:val="single" w:color="auto" w:sz="4" w:space="0"/>
              <w:right w:val="single" w:color="auto" w:sz="4" w:space="0"/>
            </w:tcBorders>
            <w:shd w:val="clear" w:color="auto" w:fill="auto"/>
            <w:vAlign w:val="center"/>
          </w:tcPr>
          <w:p w14:paraId="7B04E2E9">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67DD1179">
            <w:pPr>
              <w:bidi w:val="0"/>
              <w:rPr>
                <w:rFonts w:hint="eastAsia"/>
              </w:rPr>
            </w:pPr>
            <w:r>
              <w:rPr>
                <w:rFonts w:hint="eastAsia"/>
              </w:rPr>
              <w:t>在调试模式下的系统自检业务，包括了对系统的运行环境、设备（PLC和读码相机）的检验</w:t>
            </w:r>
          </w:p>
        </w:tc>
      </w:tr>
      <w:tr w14:paraId="0874FFBE">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3E0DE7BC">
            <w:pPr>
              <w:bidi w:val="0"/>
              <w:rPr>
                <w:rFonts w:hint="eastAsia"/>
              </w:rPr>
            </w:pPr>
            <w:r>
              <w:rPr>
                <w:rFonts w:hint="eastAsia"/>
              </w:rPr>
              <w:t>5</w:t>
            </w:r>
          </w:p>
        </w:tc>
        <w:tc>
          <w:tcPr>
            <w:tcW w:w="2221" w:type="dxa"/>
            <w:tcBorders>
              <w:top w:val="nil"/>
              <w:left w:val="nil"/>
              <w:bottom w:val="single" w:color="auto" w:sz="4" w:space="0"/>
              <w:right w:val="single" w:color="auto" w:sz="4" w:space="0"/>
            </w:tcBorders>
            <w:shd w:val="clear" w:color="auto" w:fill="auto"/>
            <w:vAlign w:val="center"/>
          </w:tcPr>
          <w:p w14:paraId="14C48996">
            <w:pPr>
              <w:bidi w:val="0"/>
              <w:rPr>
                <w:rFonts w:hint="eastAsia"/>
              </w:rPr>
            </w:pPr>
            <w:r>
              <w:rPr>
                <w:rFonts w:hint="eastAsia"/>
              </w:rPr>
              <w:t>5 关联验证</w:t>
            </w:r>
          </w:p>
        </w:tc>
        <w:tc>
          <w:tcPr>
            <w:tcW w:w="1695" w:type="dxa"/>
            <w:tcBorders>
              <w:top w:val="nil"/>
              <w:left w:val="nil"/>
              <w:bottom w:val="single" w:color="auto" w:sz="4" w:space="0"/>
              <w:right w:val="single" w:color="auto" w:sz="4" w:space="0"/>
            </w:tcBorders>
            <w:shd w:val="clear" w:color="auto" w:fill="auto"/>
            <w:vAlign w:val="center"/>
          </w:tcPr>
          <w:p w14:paraId="0009AD89">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03B2030B">
            <w:pPr>
              <w:bidi w:val="0"/>
              <w:rPr>
                <w:rFonts w:hint="eastAsia"/>
              </w:rPr>
            </w:pPr>
            <w:r>
              <w:rPr>
                <w:rFonts w:hint="eastAsia"/>
              </w:rPr>
              <w:t>在调试模式下的系统关联验证业务，验证当前的系统集成方案配置、PLC信号、读码相机是否与当前机台匹配</w:t>
            </w:r>
          </w:p>
        </w:tc>
      </w:tr>
      <w:tr w14:paraId="37600920">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74DBE32F">
            <w:pPr>
              <w:bidi w:val="0"/>
              <w:rPr>
                <w:rFonts w:hint="eastAsia"/>
              </w:rPr>
            </w:pPr>
            <w:r>
              <w:rPr>
                <w:rFonts w:hint="eastAsia"/>
              </w:rPr>
              <w:t>6</w:t>
            </w:r>
          </w:p>
        </w:tc>
        <w:tc>
          <w:tcPr>
            <w:tcW w:w="2221" w:type="dxa"/>
            <w:tcBorders>
              <w:top w:val="nil"/>
              <w:left w:val="nil"/>
              <w:bottom w:val="single" w:color="auto" w:sz="4" w:space="0"/>
              <w:right w:val="single" w:color="auto" w:sz="4" w:space="0"/>
            </w:tcBorders>
            <w:shd w:val="clear" w:color="auto" w:fill="auto"/>
            <w:vAlign w:val="center"/>
          </w:tcPr>
          <w:p w14:paraId="27B6D958">
            <w:pPr>
              <w:bidi w:val="0"/>
              <w:rPr>
                <w:rFonts w:hint="eastAsia"/>
              </w:rPr>
            </w:pPr>
            <w:r>
              <w:rPr>
                <w:rFonts w:hint="eastAsia"/>
              </w:rPr>
              <w:t>6“盒条”产线注册</w:t>
            </w:r>
          </w:p>
        </w:tc>
        <w:tc>
          <w:tcPr>
            <w:tcW w:w="1695" w:type="dxa"/>
            <w:tcBorders>
              <w:top w:val="nil"/>
              <w:left w:val="nil"/>
              <w:bottom w:val="single" w:color="auto" w:sz="4" w:space="0"/>
              <w:right w:val="single" w:color="auto" w:sz="4" w:space="0"/>
            </w:tcBorders>
            <w:shd w:val="clear" w:color="auto" w:fill="auto"/>
            <w:vAlign w:val="center"/>
          </w:tcPr>
          <w:p w14:paraId="01A8634B">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7EFE9EC7">
            <w:pPr>
              <w:bidi w:val="0"/>
              <w:rPr>
                <w:rFonts w:hint="eastAsia"/>
              </w:rPr>
            </w:pPr>
            <w:r>
              <w:rPr>
                <w:rFonts w:hint="eastAsia"/>
              </w:rPr>
              <w:t>在正式生产前，需要将当前产线注册到厂级系统中，注册成功后将其系统信息、机台信息、设备信息同步给厂级系统。</w:t>
            </w:r>
          </w:p>
        </w:tc>
      </w:tr>
      <w:tr w14:paraId="745DC3E2">
        <w:tblPrEx>
          <w:tblCellMar>
            <w:top w:w="0" w:type="dxa"/>
            <w:left w:w="108" w:type="dxa"/>
            <w:bottom w:w="0" w:type="dxa"/>
            <w:right w:w="108" w:type="dxa"/>
          </w:tblCellMar>
        </w:tblPrEx>
        <w:trPr>
          <w:trHeight w:val="998" w:hRule="atLeast"/>
          <w:jc w:val="center"/>
        </w:trPr>
        <w:tc>
          <w:tcPr>
            <w:tcW w:w="694" w:type="dxa"/>
            <w:tcBorders>
              <w:top w:val="single" w:color="auto" w:sz="4" w:space="0"/>
              <w:left w:val="single" w:color="auto" w:sz="4" w:space="0"/>
              <w:bottom w:val="single" w:color="auto" w:sz="4" w:space="0"/>
              <w:right w:val="single" w:color="auto" w:sz="4" w:space="0"/>
            </w:tcBorders>
            <w:shd w:val="clear" w:color="auto" w:fill="auto"/>
            <w:vAlign w:val="center"/>
          </w:tcPr>
          <w:p w14:paraId="4E954E11">
            <w:pPr>
              <w:bidi w:val="0"/>
              <w:rPr>
                <w:rFonts w:hint="eastAsia"/>
              </w:rPr>
            </w:pPr>
            <w:r>
              <w:rPr>
                <w:rFonts w:hint="eastAsia"/>
              </w:rPr>
              <w:t>7</w:t>
            </w:r>
          </w:p>
        </w:tc>
        <w:tc>
          <w:tcPr>
            <w:tcW w:w="2221" w:type="dxa"/>
            <w:tcBorders>
              <w:top w:val="single" w:color="auto" w:sz="4" w:space="0"/>
              <w:left w:val="single" w:color="auto" w:sz="4" w:space="0"/>
              <w:bottom w:val="single" w:color="auto" w:sz="4" w:space="0"/>
              <w:right w:val="single" w:color="auto" w:sz="4" w:space="0"/>
            </w:tcBorders>
            <w:shd w:val="clear" w:color="auto" w:fill="auto"/>
            <w:vAlign w:val="center"/>
          </w:tcPr>
          <w:p w14:paraId="2DF5068D">
            <w:pPr>
              <w:bidi w:val="0"/>
              <w:rPr>
                <w:rFonts w:hint="eastAsia"/>
              </w:rPr>
            </w:pPr>
            <w:r>
              <w:rPr>
                <w:rFonts w:hint="eastAsia"/>
              </w:rPr>
              <w:t>7“盒条件”关联</w:t>
            </w:r>
          </w:p>
          <w:p w14:paraId="3C50A433">
            <w:pPr>
              <w:bidi w:val="0"/>
              <w:rPr>
                <w:rFonts w:hint="eastAsia"/>
              </w:rPr>
            </w:pPr>
            <w:r>
              <w:rPr>
                <w:rFonts w:hint="eastAsia"/>
              </w:rPr>
              <w:t xml:space="preserve">厂级设备管理 </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010B769D">
            <w:pPr>
              <w:bidi w:val="0"/>
              <w:rPr>
                <w:rFonts w:hint="eastAsia"/>
              </w:rPr>
            </w:pPr>
            <w:r>
              <w:rPr>
                <w:rFonts w:hint="eastAsia"/>
              </w:rPr>
              <w:t>作业流程</w:t>
            </w:r>
          </w:p>
        </w:tc>
        <w:tc>
          <w:tcPr>
            <w:tcW w:w="5309" w:type="dxa"/>
            <w:tcBorders>
              <w:top w:val="single" w:color="auto" w:sz="4" w:space="0"/>
              <w:left w:val="single" w:color="auto" w:sz="4" w:space="0"/>
              <w:bottom w:val="single" w:color="auto" w:sz="4" w:space="0"/>
              <w:right w:val="single" w:color="auto" w:sz="4" w:space="0"/>
            </w:tcBorders>
            <w:shd w:val="clear" w:color="auto" w:fill="auto"/>
            <w:vAlign w:val="center"/>
          </w:tcPr>
          <w:p w14:paraId="6FEF9C12">
            <w:pPr>
              <w:bidi w:val="0"/>
              <w:rPr>
                <w:rFonts w:hint="eastAsia"/>
              </w:rPr>
            </w:pPr>
            <w:r>
              <w:rPr>
                <w:rFonts w:hint="eastAsia"/>
              </w:rPr>
              <w:t>主要包括产线管理、PLC和读码相机管理等</w:t>
            </w:r>
          </w:p>
        </w:tc>
      </w:tr>
      <w:tr w14:paraId="0642599F">
        <w:tblPrEx>
          <w:tblCellMar>
            <w:top w:w="0" w:type="dxa"/>
            <w:left w:w="108" w:type="dxa"/>
            <w:bottom w:w="0" w:type="dxa"/>
            <w:right w:w="108" w:type="dxa"/>
          </w:tblCellMar>
        </w:tblPrEx>
        <w:trPr>
          <w:trHeight w:val="552" w:hRule="atLeast"/>
          <w:jc w:val="center"/>
        </w:trPr>
        <w:tc>
          <w:tcPr>
            <w:tcW w:w="694" w:type="dxa"/>
            <w:tcBorders>
              <w:top w:val="single" w:color="auto" w:sz="4" w:space="0"/>
              <w:left w:val="single" w:color="auto" w:sz="4" w:space="0"/>
              <w:bottom w:val="single" w:color="auto" w:sz="4" w:space="0"/>
              <w:right w:val="single" w:color="auto" w:sz="4" w:space="0"/>
            </w:tcBorders>
            <w:shd w:val="clear" w:color="auto" w:fill="auto"/>
            <w:vAlign w:val="center"/>
          </w:tcPr>
          <w:p w14:paraId="27FC8EA4">
            <w:pPr>
              <w:bidi w:val="0"/>
              <w:rPr>
                <w:rFonts w:hint="eastAsia"/>
              </w:rPr>
            </w:pPr>
            <w:r>
              <w:rPr>
                <w:rFonts w:hint="eastAsia"/>
              </w:rPr>
              <w:t>8</w:t>
            </w:r>
          </w:p>
        </w:tc>
        <w:tc>
          <w:tcPr>
            <w:tcW w:w="2221" w:type="dxa"/>
            <w:tcBorders>
              <w:top w:val="single" w:color="auto" w:sz="4" w:space="0"/>
              <w:left w:val="nil"/>
              <w:bottom w:val="single" w:color="auto" w:sz="4" w:space="0"/>
              <w:right w:val="single" w:color="auto" w:sz="4" w:space="0"/>
            </w:tcBorders>
            <w:shd w:val="clear" w:color="auto" w:fill="auto"/>
            <w:vAlign w:val="center"/>
          </w:tcPr>
          <w:p w14:paraId="7D9B7D9A">
            <w:pPr>
              <w:bidi w:val="0"/>
              <w:rPr>
                <w:rFonts w:hint="eastAsia"/>
              </w:rPr>
            </w:pPr>
            <w:r>
              <w:rPr>
                <w:rFonts w:hint="eastAsia"/>
              </w:rPr>
              <w:t>8 人员同步</w:t>
            </w:r>
          </w:p>
        </w:tc>
        <w:tc>
          <w:tcPr>
            <w:tcW w:w="1695" w:type="dxa"/>
            <w:tcBorders>
              <w:top w:val="single" w:color="auto" w:sz="4" w:space="0"/>
              <w:left w:val="nil"/>
              <w:bottom w:val="single" w:color="auto" w:sz="4" w:space="0"/>
              <w:right w:val="single" w:color="auto" w:sz="4" w:space="0"/>
            </w:tcBorders>
            <w:shd w:val="clear" w:color="auto" w:fill="auto"/>
            <w:vAlign w:val="center"/>
          </w:tcPr>
          <w:p w14:paraId="357288AD">
            <w:pPr>
              <w:bidi w:val="0"/>
              <w:rPr>
                <w:rFonts w:hint="eastAsia"/>
              </w:rPr>
            </w:pPr>
            <w:r>
              <w:rPr>
                <w:rFonts w:hint="eastAsia"/>
              </w:rPr>
              <w:t>作业流程</w:t>
            </w:r>
          </w:p>
        </w:tc>
        <w:tc>
          <w:tcPr>
            <w:tcW w:w="5309" w:type="dxa"/>
            <w:tcBorders>
              <w:top w:val="single" w:color="auto" w:sz="4" w:space="0"/>
              <w:left w:val="nil"/>
              <w:bottom w:val="single" w:color="auto" w:sz="4" w:space="0"/>
              <w:right w:val="single" w:color="auto" w:sz="4" w:space="0"/>
            </w:tcBorders>
            <w:shd w:val="clear" w:color="auto" w:fill="auto"/>
            <w:vAlign w:val="center"/>
          </w:tcPr>
          <w:p w14:paraId="29D5A90E">
            <w:pPr>
              <w:bidi w:val="0"/>
              <w:rPr>
                <w:rFonts w:hint="eastAsia"/>
              </w:rPr>
            </w:pPr>
            <w:r>
              <w:rPr>
                <w:rFonts w:hint="eastAsia"/>
              </w:rPr>
              <w:t>厂级系统的人员信息同步至本地环境</w:t>
            </w:r>
          </w:p>
        </w:tc>
      </w:tr>
      <w:tr w14:paraId="2F0F67B6">
        <w:tblPrEx>
          <w:tblCellMar>
            <w:top w:w="0" w:type="dxa"/>
            <w:left w:w="108" w:type="dxa"/>
            <w:bottom w:w="0" w:type="dxa"/>
            <w:right w:w="108" w:type="dxa"/>
          </w:tblCellMar>
        </w:tblPrEx>
        <w:trPr>
          <w:trHeight w:val="665"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24EC12CB">
            <w:pPr>
              <w:bidi w:val="0"/>
              <w:rPr>
                <w:rFonts w:hint="eastAsia"/>
              </w:rPr>
            </w:pPr>
            <w:r>
              <w:rPr>
                <w:rFonts w:hint="eastAsia"/>
              </w:rPr>
              <w:t>9</w:t>
            </w:r>
          </w:p>
        </w:tc>
        <w:tc>
          <w:tcPr>
            <w:tcW w:w="2221" w:type="dxa"/>
            <w:tcBorders>
              <w:top w:val="nil"/>
              <w:left w:val="nil"/>
              <w:bottom w:val="single" w:color="auto" w:sz="4" w:space="0"/>
              <w:right w:val="single" w:color="auto" w:sz="4" w:space="0"/>
            </w:tcBorders>
            <w:shd w:val="clear" w:color="auto" w:fill="auto"/>
            <w:vAlign w:val="center"/>
          </w:tcPr>
          <w:p w14:paraId="7E004CC6">
            <w:pPr>
              <w:bidi w:val="0"/>
              <w:rPr>
                <w:rFonts w:hint="eastAsia"/>
              </w:rPr>
            </w:pPr>
            <w:r>
              <w:rPr>
                <w:rFonts w:hint="eastAsia"/>
              </w:rPr>
              <w:t>9 角色同步</w:t>
            </w:r>
          </w:p>
        </w:tc>
        <w:tc>
          <w:tcPr>
            <w:tcW w:w="1695" w:type="dxa"/>
            <w:tcBorders>
              <w:top w:val="nil"/>
              <w:left w:val="nil"/>
              <w:bottom w:val="single" w:color="auto" w:sz="4" w:space="0"/>
              <w:right w:val="single" w:color="auto" w:sz="4" w:space="0"/>
            </w:tcBorders>
            <w:shd w:val="clear" w:color="auto" w:fill="auto"/>
            <w:vAlign w:val="center"/>
          </w:tcPr>
          <w:p w14:paraId="2E35AF76">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4D1CEB89">
            <w:pPr>
              <w:bidi w:val="0"/>
              <w:rPr>
                <w:rFonts w:hint="eastAsia"/>
              </w:rPr>
            </w:pPr>
            <w:r>
              <w:rPr>
                <w:rFonts w:hint="eastAsia"/>
              </w:rPr>
              <w:t>将厂级系统的角色信息同步至本地环境</w:t>
            </w:r>
          </w:p>
        </w:tc>
      </w:tr>
      <w:tr w14:paraId="23003C58">
        <w:tblPrEx>
          <w:tblCellMar>
            <w:top w:w="0" w:type="dxa"/>
            <w:left w:w="108" w:type="dxa"/>
            <w:bottom w:w="0" w:type="dxa"/>
            <w:right w:w="108" w:type="dxa"/>
          </w:tblCellMar>
        </w:tblPrEx>
        <w:trPr>
          <w:trHeight w:val="522"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29F17039">
            <w:pPr>
              <w:bidi w:val="0"/>
              <w:rPr>
                <w:rFonts w:hint="eastAsia"/>
              </w:rPr>
            </w:pPr>
            <w:r>
              <w:rPr>
                <w:rFonts w:hint="eastAsia"/>
              </w:rPr>
              <w:t>10</w:t>
            </w:r>
          </w:p>
        </w:tc>
        <w:tc>
          <w:tcPr>
            <w:tcW w:w="2221" w:type="dxa"/>
            <w:tcBorders>
              <w:top w:val="nil"/>
              <w:left w:val="nil"/>
              <w:bottom w:val="single" w:color="auto" w:sz="4" w:space="0"/>
              <w:right w:val="single" w:color="auto" w:sz="4" w:space="0"/>
            </w:tcBorders>
            <w:shd w:val="clear" w:color="auto" w:fill="auto"/>
            <w:vAlign w:val="center"/>
          </w:tcPr>
          <w:p w14:paraId="51B6B724">
            <w:pPr>
              <w:bidi w:val="0"/>
              <w:rPr>
                <w:rFonts w:hint="eastAsia"/>
              </w:rPr>
            </w:pPr>
            <w:r>
              <w:rPr>
                <w:rFonts w:hint="eastAsia"/>
              </w:rPr>
              <w:t>10 权限同步</w:t>
            </w:r>
          </w:p>
        </w:tc>
        <w:tc>
          <w:tcPr>
            <w:tcW w:w="1695" w:type="dxa"/>
            <w:tcBorders>
              <w:top w:val="nil"/>
              <w:left w:val="nil"/>
              <w:bottom w:val="single" w:color="auto" w:sz="4" w:space="0"/>
              <w:right w:val="single" w:color="auto" w:sz="4" w:space="0"/>
            </w:tcBorders>
            <w:shd w:val="clear" w:color="auto" w:fill="auto"/>
            <w:vAlign w:val="center"/>
          </w:tcPr>
          <w:p w14:paraId="2DFCA4E3">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158181EF">
            <w:pPr>
              <w:bidi w:val="0"/>
              <w:rPr>
                <w:rFonts w:hint="eastAsia"/>
              </w:rPr>
            </w:pPr>
            <w:r>
              <w:rPr>
                <w:rFonts w:hint="eastAsia"/>
              </w:rPr>
              <w:t>将厂级系统的权限信息同步至本地环境</w:t>
            </w:r>
          </w:p>
        </w:tc>
      </w:tr>
      <w:tr w14:paraId="51B8E7ED">
        <w:tblPrEx>
          <w:tblCellMar>
            <w:top w:w="0" w:type="dxa"/>
            <w:left w:w="108" w:type="dxa"/>
            <w:bottom w:w="0" w:type="dxa"/>
            <w:right w:w="108" w:type="dxa"/>
          </w:tblCellMar>
        </w:tblPrEx>
        <w:trPr>
          <w:trHeight w:val="61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046A5B0F">
            <w:pPr>
              <w:bidi w:val="0"/>
              <w:rPr>
                <w:rFonts w:hint="eastAsia"/>
              </w:rPr>
            </w:pPr>
            <w:r>
              <w:rPr>
                <w:rFonts w:hint="eastAsia"/>
              </w:rPr>
              <w:t>11</w:t>
            </w:r>
          </w:p>
        </w:tc>
        <w:tc>
          <w:tcPr>
            <w:tcW w:w="2221" w:type="dxa"/>
            <w:tcBorders>
              <w:top w:val="nil"/>
              <w:left w:val="nil"/>
              <w:bottom w:val="single" w:color="auto" w:sz="4" w:space="0"/>
              <w:right w:val="single" w:color="auto" w:sz="4" w:space="0"/>
            </w:tcBorders>
            <w:shd w:val="clear" w:color="auto" w:fill="auto"/>
            <w:vAlign w:val="center"/>
          </w:tcPr>
          <w:p w14:paraId="3B1966ED">
            <w:pPr>
              <w:bidi w:val="0"/>
              <w:rPr>
                <w:rFonts w:hint="eastAsia"/>
              </w:rPr>
            </w:pPr>
            <w:r>
              <w:rPr>
                <w:rFonts w:hint="eastAsia"/>
              </w:rPr>
              <w:t>11 品规同步</w:t>
            </w:r>
          </w:p>
        </w:tc>
        <w:tc>
          <w:tcPr>
            <w:tcW w:w="1695" w:type="dxa"/>
            <w:tcBorders>
              <w:top w:val="nil"/>
              <w:left w:val="nil"/>
              <w:bottom w:val="single" w:color="auto" w:sz="4" w:space="0"/>
              <w:right w:val="single" w:color="auto" w:sz="4" w:space="0"/>
            </w:tcBorders>
            <w:shd w:val="clear" w:color="auto" w:fill="auto"/>
            <w:vAlign w:val="center"/>
          </w:tcPr>
          <w:p w14:paraId="07E309B9">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522584B1">
            <w:pPr>
              <w:bidi w:val="0"/>
              <w:rPr>
                <w:rFonts w:hint="eastAsia"/>
              </w:rPr>
            </w:pPr>
            <w:r>
              <w:rPr>
                <w:rFonts w:hint="eastAsia"/>
              </w:rPr>
              <w:t>将厂级系统的品规信息同步至本地环境</w:t>
            </w:r>
          </w:p>
        </w:tc>
      </w:tr>
      <w:tr w14:paraId="099C5BC7">
        <w:tblPrEx>
          <w:tblCellMar>
            <w:top w:w="0" w:type="dxa"/>
            <w:left w:w="108" w:type="dxa"/>
            <w:bottom w:w="0" w:type="dxa"/>
            <w:right w:w="108" w:type="dxa"/>
          </w:tblCellMar>
        </w:tblPrEx>
        <w:trPr>
          <w:trHeight w:val="6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28C5F997">
            <w:pPr>
              <w:bidi w:val="0"/>
              <w:rPr>
                <w:rFonts w:hint="eastAsia"/>
              </w:rPr>
            </w:pPr>
            <w:r>
              <w:rPr>
                <w:rFonts w:hint="eastAsia"/>
              </w:rPr>
              <w:t>12</w:t>
            </w:r>
          </w:p>
        </w:tc>
        <w:tc>
          <w:tcPr>
            <w:tcW w:w="2221" w:type="dxa"/>
            <w:tcBorders>
              <w:top w:val="nil"/>
              <w:left w:val="nil"/>
              <w:bottom w:val="single" w:color="auto" w:sz="4" w:space="0"/>
              <w:right w:val="single" w:color="auto" w:sz="4" w:space="0"/>
            </w:tcBorders>
            <w:shd w:val="clear" w:color="auto" w:fill="auto"/>
            <w:vAlign w:val="center"/>
          </w:tcPr>
          <w:p w14:paraId="24B4BE7B">
            <w:pPr>
              <w:bidi w:val="0"/>
              <w:rPr>
                <w:rFonts w:hint="eastAsia"/>
              </w:rPr>
            </w:pPr>
            <w:r>
              <w:rPr>
                <w:rFonts w:hint="eastAsia"/>
              </w:rPr>
              <w:t>13 基础数据管理</w:t>
            </w:r>
          </w:p>
        </w:tc>
        <w:tc>
          <w:tcPr>
            <w:tcW w:w="1695" w:type="dxa"/>
            <w:tcBorders>
              <w:top w:val="nil"/>
              <w:left w:val="nil"/>
              <w:bottom w:val="single" w:color="auto" w:sz="4" w:space="0"/>
              <w:right w:val="single" w:color="auto" w:sz="4" w:space="0"/>
            </w:tcBorders>
            <w:shd w:val="clear" w:color="auto" w:fill="auto"/>
            <w:vAlign w:val="center"/>
          </w:tcPr>
          <w:p w14:paraId="6AB505F3">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701136EE">
            <w:pPr>
              <w:bidi w:val="0"/>
              <w:rPr>
                <w:rFonts w:hint="eastAsia"/>
              </w:rPr>
            </w:pPr>
            <w:r>
              <w:rPr>
                <w:rFonts w:hint="eastAsia"/>
              </w:rPr>
              <w:t>厂级系统的基础数据关联</w:t>
            </w:r>
          </w:p>
        </w:tc>
      </w:tr>
      <w:tr w14:paraId="56F0B493">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31D7187F">
            <w:pPr>
              <w:bidi w:val="0"/>
              <w:rPr>
                <w:rFonts w:hint="eastAsia"/>
              </w:rPr>
            </w:pPr>
            <w:r>
              <w:rPr>
                <w:rFonts w:hint="eastAsia"/>
              </w:rPr>
              <w:t>13</w:t>
            </w:r>
          </w:p>
        </w:tc>
        <w:tc>
          <w:tcPr>
            <w:tcW w:w="2221" w:type="dxa"/>
            <w:tcBorders>
              <w:top w:val="nil"/>
              <w:left w:val="nil"/>
              <w:bottom w:val="single" w:color="auto" w:sz="4" w:space="0"/>
              <w:right w:val="single" w:color="auto" w:sz="4" w:space="0"/>
            </w:tcBorders>
            <w:shd w:val="clear" w:color="auto" w:fill="auto"/>
            <w:vAlign w:val="center"/>
          </w:tcPr>
          <w:p w14:paraId="737F32A4">
            <w:pPr>
              <w:bidi w:val="0"/>
              <w:rPr>
                <w:rFonts w:hint="eastAsia"/>
              </w:rPr>
            </w:pPr>
            <w:r>
              <w:rPr>
                <w:rFonts w:hint="eastAsia"/>
              </w:rPr>
              <w:t>13 时钟同步</w:t>
            </w:r>
          </w:p>
        </w:tc>
        <w:tc>
          <w:tcPr>
            <w:tcW w:w="1695" w:type="dxa"/>
            <w:tcBorders>
              <w:top w:val="nil"/>
              <w:left w:val="nil"/>
              <w:bottom w:val="single" w:color="auto" w:sz="4" w:space="0"/>
              <w:right w:val="single" w:color="auto" w:sz="4" w:space="0"/>
            </w:tcBorders>
            <w:shd w:val="clear" w:color="auto" w:fill="auto"/>
            <w:vAlign w:val="center"/>
          </w:tcPr>
          <w:p w14:paraId="7CA370A3">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530E7DE8">
            <w:pPr>
              <w:bidi w:val="0"/>
              <w:rPr>
                <w:rFonts w:hint="eastAsia"/>
              </w:rPr>
            </w:pPr>
            <w:r>
              <w:rPr>
                <w:rFonts w:hint="eastAsia"/>
              </w:rPr>
              <w:t>获取厂级系统的时间服务器地址，通过此地址保证现场子系统与厂级系统的时间保持一致</w:t>
            </w:r>
          </w:p>
        </w:tc>
      </w:tr>
      <w:tr w14:paraId="44FB4B75">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128A3DA4">
            <w:pPr>
              <w:bidi w:val="0"/>
              <w:rPr>
                <w:rFonts w:hint="eastAsia"/>
              </w:rPr>
            </w:pPr>
            <w:r>
              <w:rPr>
                <w:rFonts w:hint="eastAsia"/>
              </w:rPr>
              <w:t>14</w:t>
            </w:r>
          </w:p>
        </w:tc>
        <w:tc>
          <w:tcPr>
            <w:tcW w:w="2221" w:type="dxa"/>
            <w:tcBorders>
              <w:top w:val="nil"/>
              <w:left w:val="nil"/>
              <w:bottom w:val="single" w:color="auto" w:sz="4" w:space="0"/>
              <w:right w:val="single" w:color="auto" w:sz="4" w:space="0"/>
            </w:tcBorders>
            <w:shd w:val="clear" w:color="auto" w:fill="auto"/>
            <w:vAlign w:val="center"/>
          </w:tcPr>
          <w:p w14:paraId="629E3930">
            <w:pPr>
              <w:bidi w:val="0"/>
              <w:rPr>
                <w:rFonts w:hint="eastAsia"/>
              </w:rPr>
            </w:pPr>
            <w:r>
              <w:rPr>
                <w:rFonts w:hint="eastAsia"/>
              </w:rPr>
              <w:t>14 机型集成方案选配</w:t>
            </w:r>
          </w:p>
        </w:tc>
        <w:tc>
          <w:tcPr>
            <w:tcW w:w="1695" w:type="dxa"/>
            <w:tcBorders>
              <w:top w:val="nil"/>
              <w:left w:val="nil"/>
              <w:bottom w:val="single" w:color="auto" w:sz="4" w:space="0"/>
              <w:right w:val="single" w:color="auto" w:sz="4" w:space="0"/>
            </w:tcBorders>
            <w:shd w:val="clear" w:color="auto" w:fill="auto"/>
            <w:vAlign w:val="center"/>
          </w:tcPr>
          <w:p w14:paraId="1C37C4F7">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74F96B37">
            <w:pPr>
              <w:bidi w:val="0"/>
              <w:rPr>
                <w:rFonts w:hint="eastAsia"/>
              </w:rPr>
            </w:pPr>
            <w:r>
              <w:rPr>
                <w:rFonts w:hint="eastAsia"/>
              </w:rPr>
              <w:t>从厂级获取到机型集成的方案配置，在子系统中设置好对应机型的算法配置</w:t>
            </w:r>
          </w:p>
        </w:tc>
      </w:tr>
      <w:tr w14:paraId="00C98BFD">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04498F4D">
            <w:pPr>
              <w:bidi w:val="0"/>
              <w:rPr>
                <w:rFonts w:hint="eastAsia"/>
              </w:rPr>
            </w:pPr>
            <w:r>
              <w:rPr>
                <w:rFonts w:hint="eastAsia"/>
              </w:rPr>
              <w:t>15</w:t>
            </w:r>
          </w:p>
        </w:tc>
        <w:tc>
          <w:tcPr>
            <w:tcW w:w="2221" w:type="dxa"/>
            <w:tcBorders>
              <w:top w:val="nil"/>
              <w:left w:val="nil"/>
              <w:bottom w:val="single" w:color="auto" w:sz="4" w:space="0"/>
              <w:right w:val="single" w:color="auto" w:sz="4" w:space="0"/>
            </w:tcBorders>
            <w:shd w:val="clear" w:color="auto" w:fill="auto"/>
            <w:vAlign w:val="center"/>
          </w:tcPr>
          <w:p w14:paraId="5710C689">
            <w:pPr>
              <w:bidi w:val="0"/>
              <w:rPr>
                <w:rFonts w:hint="eastAsia"/>
              </w:rPr>
            </w:pPr>
            <w:r>
              <w:rPr>
                <w:rFonts w:hint="eastAsia"/>
              </w:rPr>
              <w:t>15 设备配置</w:t>
            </w:r>
          </w:p>
        </w:tc>
        <w:tc>
          <w:tcPr>
            <w:tcW w:w="1695" w:type="dxa"/>
            <w:tcBorders>
              <w:top w:val="nil"/>
              <w:left w:val="nil"/>
              <w:bottom w:val="single" w:color="auto" w:sz="4" w:space="0"/>
              <w:right w:val="single" w:color="auto" w:sz="4" w:space="0"/>
            </w:tcBorders>
            <w:shd w:val="clear" w:color="auto" w:fill="auto"/>
            <w:vAlign w:val="center"/>
          </w:tcPr>
          <w:p w14:paraId="610FBFED">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4FC2CF05">
            <w:pPr>
              <w:bidi w:val="0"/>
              <w:rPr>
                <w:rFonts w:hint="eastAsia"/>
              </w:rPr>
            </w:pPr>
            <w:r>
              <w:rPr>
                <w:rFonts w:hint="eastAsia"/>
              </w:rPr>
              <w:t>从厂级获取到机型集成的设备配置，在子系统中设置好对应机型的设备配置</w:t>
            </w:r>
          </w:p>
        </w:tc>
      </w:tr>
      <w:tr w14:paraId="521C1834">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7F080EC5">
            <w:pPr>
              <w:bidi w:val="0"/>
              <w:rPr>
                <w:rFonts w:hint="eastAsia"/>
              </w:rPr>
            </w:pPr>
            <w:r>
              <w:rPr>
                <w:rFonts w:hint="eastAsia"/>
              </w:rPr>
              <w:t>16</w:t>
            </w:r>
          </w:p>
        </w:tc>
        <w:tc>
          <w:tcPr>
            <w:tcW w:w="2221" w:type="dxa"/>
            <w:tcBorders>
              <w:top w:val="nil"/>
              <w:left w:val="nil"/>
              <w:bottom w:val="single" w:color="auto" w:sz="4" w:space="0"/>
              <w:right w:val="single" w:color="auto" w:sz="4" w:space="0"/>
            </w:tcBorders>
            <w:shd w:val="clear" w:color="auto" w:fill="auto"/>
            <w:vAlign w:val="center"/>
          </w:tcPr>
          <w:p w14:paraId="5E6EA27D">
            <w:pPr>
              <w:bidi w:val="0"/>
              <w:rPr>
                <w:rFonts w:hint="eastAsia"/>
              </w:rPr>
            </w:pPr>
            <w:r>
              <w:rPr>
                <w:rFonts w:hint="eastAsia"/>
              </w:rPr>
              <w:t xml:space="preserve">16 硬件集成方案库管理 </w:t>
            </w:r>
          </w:p>
        </w:tc>
        <w:tc>
          <w:tcPr>
            <w:tcW w:w="1695" w:type="dxa"/>
            <w:tcBorders>
              <w:top w:val="nil"/>
              <w:left w:val="nil"/>
              <w:bottom w:val="single" w:color="auto" w:sz="4" w:space="0"/>
              <w:right w:val="single" w:color="auto" w:sz="4" w:space="0"/>
            </w:tcBorders>
            <w:shd w:val="clear" w:color="auto" w:fill="auto"/>
            <w:vAlign w:val="center"/>
          </w:tcPr>
          <w:p w14:paraId="77577263">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20EB6751">
            <w:pPr>
              <w:bidi w:val="0"/>
              <w:rPr>
                <w:rFonts w:hint="eastAsia"/>
              </w:rPr>
            </w:pPr>
            <w:r>
              <w:rPr>
                <w:rFonts w:hint="eastAsia"/>
              </w:rPr>
              <w:t>厂级系统的集成方案管理库，里面维护了所以的机型方案</w:t>
            </w:r>
          </w:p>
        </w:tc>
      </w:tr>
      <w:tr w14:paraId="49F1B109">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2BD06B38">
            <w:pPr>
              <w:bidi w:val="0"/>
              <w:rPr>
                <w:rFonts w:hint="eastAsia"/>
              </w:rPr>
            </w:pPr>
            <w:r>
              <w:rPr>
                <w:rFonts w:hint="eastAsia"/>
              </w:rPr>
              <w:t>17</w:t>
            </w:r>
          </w:p>
        </w:tc>
        <w:tc>
          <w:tcPr>
            <w:tcW w:w="2221" w:type="dxa"/>
            <w:tcBorders>
              <w:top w:val="nil"/>
              <w:left w:val="nil"/>
              <w:bottom w:val="single" w:color="auto" w:sz="4" w:space="0"/>
              <w:right w:val="single" w:color="auto" w:sz="4" w:space="0"/>
            </w:tcBorders>
            <w:shd w:val="clear" w:color="auto" w:fill="auto"/>
            <w:vAlign w:val="center"/>
          </w:tcPr>
          <w:p w14:paraId="149A8255">
            <w:pPr>
              <w:bidi w:val="0"/>
              <w:rPr>
                <w:rFonts w:hint="eastAsia"/>
              </w:rPr>
            </w:pPr>
            <w:r>
              <w:rPr>
                <w:rFonts w:hint="eastAsia"/>
              </w:rPr>
              <w:t>17 系统自检</w:t>
            </w:r>
          </w:p>
        </w:tc>
        <w:tc>
          <w:tcPr>
            <w:tcW w:w="1695" w:type="dxa"/>
            <w:tcBorders>
              <w:top w:val="nil"/>
              <w:left w:val="nil"/>
              <w:bottom w:val="single" w:color="auto" w:sz="4" w:space="0"/>
              <w:right w:val="single" w:color="auto" w:sz="4" w:space="0"/>
            </w:tcBorders>
            <w:shd w:val="clear" w:color="auto" w:fill="auto"/>
            <w:vAlign w:val="center"/>
          </w:tcPr>
          <w:p w14:paraId="18CB8ED0">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505607EB">
            <w:pPr>
              <w:bidi w:val="0"/>
              <w:rPr>
                <w:rFonts w:hint="eastAsia"/>
              </w:rPr>
            </w:pPr>
            <w:r>
              <w:rPr>
                <w:rFonts w:hint="eastAsia"/>
              </w:rPr>
              <w:t>在生产模式中配置完机型集成方案和设备配置后，对选择的配置进行检验。其中包括了对系统的运行环境和设备（PLC和读码相机）的检验</w:t>
            </w:r>
          </w:p>
        </w:tc>
      </w:tr>
      <w:tr w14:paraId="0701D0DB">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79B57F55">
            <w:pPr>
              <w:bidi w:val="0"/>
              <w:rPr>
                <w:rFonts w:hint="eastAsia"/>
              </w:rPr>
            </w:pPr>
            <w:r>
              <w:rPr>
                <w:rFonts w:hint="eastAsia"/>
              </w:rPr>
              <w:t>18</w:t>
            </w:r>
          </w:p>
        </w:tc>
        <w:tc>
          <w:tcPr>
            <w:tcW w:w="2221" w:type="dxa"/>
            <w:tcBorders>
              <w:top w:val="nil"/>
              <w:left w:val="nil"/>
              <w:bottom w:val="single" w:color="auto" w:sz="4" w:space="0"/>
              <w:right w:val="single" w:color="auto" w:sz="4" w:space="0"/>
            </w:tcBorders>
            <w:shd w:val="clear" w:color="auto" w:fill="auto"/>
            <w:vAlign w:val="center"/>
          </w:tcPr>
          <w:p w14:paraId="0C54DF40">
            <w:pPr>
              <w:bidi w:val="0"/>
              <w:rPr>
                <w:rFonts w:hint="eastAsia"/>
              </w:rPr>
            </w:pPr>
            <w:r>
              <w:rPr>
                <w:rFonts w:hint="eastAsia"/>
              </w:rPr>
              <w:t>18 系统版本管理</w:t>
            </w:r>
          </w:p>
        </w:tc>
        <w:tc>
          <w:tcPr>
            <w:tcW w:w="1695" w:type="dxa"/>
            <w:tcBorders>
              <w:top w:val="nil"/>
              <w:left w:val="nil"/>
              <w:bottom w:val="single" w:color="auto" w:sz="4" w:space="0"/>
              <w:right w:val="single" w:color="auto" w:sz="4" w:space="0"/>
            </w:tcBorders>
            <w:shd w:val="clear" w:color="auto" w:fill="auto"/>
            <w:vAlign w:val="center"/>
          </w:tcPr>
          <w:p w14:paraId="65FE1F69">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4C753AF8">
            <w:pPr>
              <w:bidi w:val="0"/>
              <w:rPr>
                <w:rFonts w:hint="eastAsia"/>
              </w:rPr>
            </w:pPr>
            <w:r>
              <w:rPr>
                <w:rFonts w:hint="eastAsia"/>
              </w:rPr>
              <w:t>版本管理包括了当前的版本信息、最新版本的更新提示操作</w:t>
            </w:r>
          </w:p>
        </w:tc>
      </w:tr>
      <w:tr w14:paraId="17B17C18">
        <w:tblPrEx>
          <w:tblCellMar>
            <w:top w:w="0" w:type="dxa"/>
            <w:left w:w="108" w:type="dxa"/>
            <w:bottom w:w="0" w:type="dxa"/>
            <w:right w:w="108" w:type="dxa"/>
          </w:tblCellMar>
        </w:tblPrEx>
        <w:trPr>
          <w:trHeight w:val="998" w:hRule="atLeast"/>
          <w:jc w:val="center"/>
        </w:trPr>
        <w:tc>
          <w:tcPr>
            <w:tcW w:w="694" w:type="dxa"/>
            <w:tcBorders>
              <w:top w:val="nil"/>
              <w:left w:val="single" w:color="auto" w:sz="4" w:space="0"/>
              <w:bottom w:val="single" w:color="auto" w:sz="4" w:space="0"/>
              <w:right w:val="single" w:color="auto" w:sz="4" w:space="0"/>
            </w:tcBorders>
            <w:shd w:val="clear" w:color="auto" w:fill="auto"/>
            <w:vAlign w:val="center"/>
          </w:tcPr>
          <w:p w14:paraId="7477575F">
            <w:pPr>
              <w:bidi w:val="0"/>
              <w:rPr>
                <w:rFonts w:hint="eastAsia"/>
              </w:rPr>
            </w:pPr>
            <w:r>
              <w:rPr>
                <w:rFonts w:hint="eastAsia"/>
              </w:rPr>
              <w:t>19</w:t>
            </w:r>
          </w:p>
        </w:tc>
        <w:tc>
          <w:tcPr>
            <w:tcW w:w="2221" w:type="dxa"/>
            <w:tcBorders>
              <w:top w:val="nil"/>
              <w:left w:val="nil"/>
              <w:bottom w:val="single" w:color="auto" w:sz="4" w:space="0"/>
              <w:right w:val="single" w:color="auto" w:sz="4" w:space="0"/>
            </w:tcBorders>
            <w:shd w:val="clear" w:color="auto" w:fill="auto"/>
            <w:vAlign w:val="center"/>
          </w:tcPr>
          <w:p w14:paraId="642DC1A7">
            <w:pPr>
              <w:bidi w:val="0"/>
              <w:rPr>
                <w:rFonts w:hint="eastAsia"/>
              </w:rPr>
            </w:pPr>
            <w:r>
              <w:rPr>
                <w:rFonts w:hint="eastAsia"/>
              </w:rPr>
              <w:t>19 产线状态更新</w:t>
            </w:r>
          </w:p>
        </w:tc>
        <w:tc>
          <w:tcPr>
            <w:tcW w:w="1695" w:type="dxa"/>
            <w:tcBorders>
              <w:top w:val="nil"/>
              <w:left w:val="nil"/>
              <w:bottom w:val="single" w:color="auto" w:sz="4" w:space="0"/>
              <w:right w:val="single" w:color="auto" w:sz="4" w:space="0"/>
            </w:tcBorders>
            <w:shd w:val="clear" w:color="auto" w:fill="auto"/>
            <w:vAlign w:val="center"/>
          </w:tcPr>
          <w:p w14:paraId="077FEA80">
            <w:pPr>
              <w:bidi w:val="0"/>
              <w:rPr>
                <w:rFonts w:hint="eastAsia"/>
              </w:rPr>
            </w:pPr>
            <w:r>
              <w:rPr>
                <w:rFonts w:hint="eastAsia"/>
              </w:rPr>
              <w:t>作业流程</w:t>
            </w:r>
          </w:p>
        </w:tc>
        <w:tc>
          <w:tcPr>
            <w:tcW w:w="5309" w:type="dxa"/>
            <w:tcBorders>
              <w:top w:val="nil"/>
              <w:left w:val="nil"/>
              <w:bottom w:val="single" w:color="auto" w:sz="4" w:space="0"/>
              <w:right w:val="single" w:color="auto" w:sz="4" w:space="0"/>
            </w:tcBorders>
            <w:shd w:val="clear" w:color="auto" w:fill="auto"/>
            <w:vAlign w:val="center"/>
          </w:tcPr>
          <w:p w14:paraId="0133BFBE">
            <w:pPr>
              <w:bidi w:val="0"/>
              <w:rPr>
                <w:rFonts w:hint="eastAsia"/>
              </w:rPr>
            </w:pPr>
            <w:r>
              <w:rPr>
                <w:rFonts w:hint="eastAsia"/>
              </w:rPr>
              <w:t>在产线注册成功后，将当前产线状态同步给厂级系统，厂级系统将产线状态更改为上线</w:t>
            </w:r>
          </w:p>
        </w:tc>
      </w:tr>
      <w:tr w14:paraId="7A80C264">
        <w:tblPrEx>
          <w:tblCellMar>
            <w:top w:w="0" w:type="dxa"/>
            <w:left w:w="108" w:type="dxa"/>
            <w:bottom w:w="0" w:type="dxa"/>
            <w:right w:w="108" w:type="dxa"/>
          </w:tblCellMar>
        </w:tblPrEx>
        <w:trPr>
          <w:trHeight w:val="998" w:hRule="atLeast"/>
          <w:jc w:val="center"/>
        </w:trPr>
        <w:tc>
          <w:tcPr>
            <w:tcW w:w="694" w:type="dxa"/>
            <w:tcBorders>
              <w:top w:val="single" w:color="auto" w:sz="4" w:space="0"/>
              <w:left w:val="single" w:color="auto" w:sz="4" w:space="0"/>
              <w:bottom w:val="single" w:color="auto" w:sz="4" w:space="0"/>
              <w:right w:val="single" w:color="auto" w:sz="4" w:space="0"/>
            </w:tcBorders>
            <w:shd w:val="clear" w:color="auto" w:fill="auto"/>
            <w:vAlign w:val="center"/>
          </w:tcPr>
          <w:p w14:paraId="7AF89EBF">
            <w:pPr>
              <w:bidi w:val="0"/>
              <w:rPr>
                <w:rFonts w:hint="eastAsia"/>
              </w:rPr>
            </w:pPr>
            <w:r>
              <w:rPr>
                <w:rFonts w:hint="eastAsia"/>
              </w:rPr>
              <w:t>20</w:t>
            </w:r>
          </w:p>
        </w:tc>
        <w:tc>
          <w:tcPr>
            <w:tcW w:w="2221" w:type="dxa"/>
            <w:tcBorders>
              <w:top w:val="single" w:color="auto" w:sz="4" w:space="0"/>
              <w:left w:val="single" w:color="auto" w:sz="4" w:space="0"/>
              <w:bottom w:val="single" w:color="auto" w:sz="4" w:space="0"/>
              <w:right w:val="single" w:color="auto" w:sz="4" w:space="0"/>
            </w:tcBorders>
            <w:shd w:val="clear" w:color="auto" w:fill="auto"/>
            <w:vAlign w:val="center"/>
          </w:tcPr>
          <w:p w14:paraId="43F56566">
            <w:pPr>
              <w:bidi w:val="0"/>
              <w:rPr>
                <w:rFonts w:hint="eastAsia"/>
              </w:rPr>
            </w:pPr>
            <w:r>
              <w:rPr>
                <w:rFonts w:hint="eastAsia"/>
              </w:rPr>
              <w:t>20 产线管理</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1F074730">
            <w:pPr>
              <w:bidi w:val="0"/>
              <w:rPr>
                <w:rFonts w:hint="eastAsia"/>
              </w:rPr>
            </w:pPr>
            <w:r>
              <w:rPr>
                <w:rFonts w:hint="eastAsia"/>
              </w:rPr>
              <w:t>作业流程</w:t>
            </w:r>
          </w:p>
        </w:tc>
        <w:tc>
          <w:tcPr>
            <w:tcW w:w="5309" w:type="dxa"/>
            <w:tcBorders>
              <w:top w:val="single" w:color="auto" w:sz="4" w:space="0"/>
              <w:left w:val="single" w:color="auto" w:sz="4" w:space="0"/>
              <w:bottom w:val="single" w:color="auto" w:sz="4" w:space="0"/>
              <w:right w:val="single" w:color="auto" w:sz="4" w:space="0"/>
            </w:tcBorders>
            <w:shd w:val="clear" w:color="auto" w:fill="auto"/>
            <w:vAlign w:val="center"/>
          </w:tcPr>
          <w:p w14:paraId="4CCE3D76">
            <w:pPr>
              <w:bidi w:val="0"/>
              <w:rPr>
                <w:rFonts w:hint="eastAsia"/>
              </w:rPr>
            </w:pPr>
            <w:r>
              <w:rPr>
                <w:rFonts w:hint="eastAsia"/>
              </w:rPr>
              <w:t>在厂级系统中维护的产线管理</w:t>
            </w:r>
          </w:p>
        </w:tc>
      </w:tr>
    </w:tbl>
    <w:p w14:paraId="19F17D32">
      <w:pPr>
        <w:bidi w:val="0"/>
        <w:rPr>
          <w:rFonts w:hint="eastAsia"/>
        </w:rPr>
      </w:pPr>
    </w:p>
    <w:p w14:paraId="54B8C4AF">
      <w:pPr>
        <w:pStyle w:val="10"/>
        <w:bidi w:val="0"/>
        <w:rPr>
          <w:rFonts w:hint="eastAsia"/>
        </w:rPr>
      </w:pPr>
      <w:bookmarkStart w:id="98" w:name="_Toc728752589"/>
      <w:bookmarkStart w:id="99" w:name="_Toc1303548148"/>
      <w:bookmarkStart w:id="100" w:name="_Toc1662"/>
      <w:bookmarkStart w:id="101" w:name="_Toc19005"/>
      <w:bookmarkStart w:id="102" w:name="_Toc23753"/>
      <w:r>
        <w:rPr>
          <w:rFonts w:hint="eastAsia"/>
        </w:rPr>
        <w:t>产线配置</w:t>
      </w:r>
      <w:bookmarkEnd w:id="98"/>
      <w:bookmarkEnd w:id="99"/>
      <w:bookmarkEnd w:id="100"/>
      <w:bookmarkEnd w:id="101"/>
      <w:bookmarkEnd w:id="102"/>
    </w:p>
    <w:p w14:paraId="1E2E7FAB">
      <w:pPr>
        <w:bidi w:val="0"/>
        <w:rPr>
          <w:rFonts w:hint="eastAsia"/>
        </w:rPr>
      </w:pPr>
      <w:r>
        <w:drawing>
          <wp:inline distT="0" distB="0" distL="0" distR="0">
            <wp:extent cx="5274310" cy="7623810"/>
            <wp:effectExtent l="0" t="0" r="2540" b="1524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7623810"/>
                    </a:xfrm>
                    <a:prstGeom prst="rect">
                      <a:avLst/>
                    </a:prstGeom>
                    <a:noFill/>
                    <a:ln>
                      <a:noFill/>
                    </a:ln>
                  </pic:spPr>
                </pic:pic>
              </a:graphicData>
            </a:graphic>
          </wp:inline>
        </w:drawing>
      </w:r>
    </w:p>
    <w:p w14:paraId="4C7A4184">
      <w:pPr>
        <w:bidi w:val="0"/>
        <w:rPr>
          <w:rFonts w:hint="eastAsia"/>
        </w:rPr>
      </w:pPr>
    </w:p>
    <w:tbl>
      <w:tblPr>
        <w:tblStyle w:val="43"/>
        <w:tblW w:w="9947" w:type="dxa"/>
        <w:jc w:val="center"/>
        <w:tblLayout w:type="autofit"/>
        <w:tblCellMar>
          <w:top w:w="0" w:type="dxa"/>
          <w:left w:w="108" w:type="dxa"/>
          <w:bottom w:w="0" w:type="dxa"/>
          <w:right w:w="108" w:type="dxa"/>
        </w:tblCellMar>
      </w:tblPr>
      <w:tblGrid>
        <w:gridCol w:w="690"/>
        <w:gridCol w:w="1520"/>
        <w:gridCol w:w="2250"/>
        <w:gridCol w:w="1510"/>
        <w:gridCol w:w="3977"/>
      </w:tblGrid>
      <w:tr w14:paraId="70EA8089">
        <w:tblPrEx>
          <w:tblCellMar>
            <w:top w:w="0" w:type="dxa"/>
            <w:left w:w="108" w:type="dxa"/>
            <w:bottom w:w="0" w:type="dxa"/>
            <w:right w:w="108" w:type="dxa"/>
          </w:tblCellMar>
        </w:tblPrEx>
        <w:trPr>
          <w:trHeight w:val="652" w:hRule="atLeast"/>
          <w:jc w:val="center"/>
        </w:trPr>
        <w:tc>
          <w:tcPr>
            <w:tcW w:w="69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6410CE8">
            <w:pPr>
              <w:bidi w:val="0"/>
              <w:rPr>
                <w:rFonts w:hint="eastAsia"/>
              </w:rPr>
            </w:pPr>
            <w:r>
              <w:rPr>
                <w:rFonts w:hint="eastAsia"/>
              </w:rPr>
              <w:t>序号</w:t>
            </w:r>
          </w:p>
        </w:tc>
        <w:tc>
          <w:tcPr>
            <w:tcW w:w="152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5B8D490">
            <w:pPr>
              <w:bidi w:val="0"/>
              <w:rPr>
                <w:rFonts w:hint="eastAsia"/>
              </w:rPr>
            </w:pPr>
            <w:r>
              <w:rPr>
                <w:rFonts w:hint="eastAsia"/>
              </w:rPr>
              <w:t>节点名称</w:t>
            </w:r>
          </w:p>
        </w:tc>
        <w:tc>
          <w:tcPr>
            <w:tcW w:w="225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F1C65ED">
            <w:pPr>
              <w:bidi w:val="0"/>
              <w:rPr>
                <w:rFonts w:hint="eastAsia"/>
              </w:rPr>
            </w:pPr>
            <w:r>
              <w:rPr>
                <w:rFonts w:hint="eastAsia"/>
              </w:rPr>
              <w:t>节点类型（操作/作业流程/示意流程）</w:t>
            </w:r>
          </w:p>
        </w:tc>
        <w:tc>
          <w:tcPr>
            <w:tcW w:w="151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1C1A7755">
            <w:pPr>
              <w:bidi w:val="0"/>
              <w:rPr>
                <w:rFonts w:hint="eastAsia"/>
              </w:rPr>
            </w:pPr>
            <w:r>
              <w:rPr>
                <w:rFonts w:hint="eastAsia"/>
              </w:rPr>
              <w:t>原信息系统</w:t>
            </w:r>
          </w:p>
        </w:tc>
        <w:tc>
          <w:tcPr>
            <w:tcW w:w="3977"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0287D2E">
            <w:pPr>
              <w:bidi w:val="0"/>
              <w:rPr>
                <w:rFonts w:hint="eastAsia"/>
              </w:rPr>
            </w:pPr>
            <w:r>
              <w:rPr>
                <w:rFonts w:hint="eastAsia"/>
              </w:rPr>
              <w:t>节点描述（如何做）</w:t>
            </w:r>
          </w:p>
        </w:tc>
      </w:tr>
      <w:tr w14:paraId="5E6D948D">
        <w:tblPrEx>
          <w:tblCellMar>
            <w:top w:w="0" w:type="dxa"/>
            <w:left w:w="108" w:type="dxa"/>
            <w:bottom w:w="0" w:type="dxa"/>
            <w:right w:w="108" w:type="dxa"/>
          </w:tblCellMar>
        </w:tblPrEx>
        <w:trPr>
          <w:trHeight w:val="480" w:hRule="atLeast"/>
          <w:jc w:val="center"/>
        </w:trPr>
        <w:tc>
          <w:tcPr>
            <w:tcW w:w="690" w:type="dxa"/>
            <w:vMerge w:val="continue"/>
            <w:tcBorders>
              <w:top w:val="single" w:color="auto" w:sz="4" w:space="0"/>
              <w:left w:val="single" w:color="auto" w:sz="4" w:space="0"/>
              <w:bottom w:val="single" w:color="auto" w:sz="4" w:space="0"/>
              <w:right w:val="single" w:color="auto" w:sz="4" w:space="0"/>
            </w:tcBorders>
            <w:vAlign w:val="center"/>
          </w:tcPr>
          <w:p w14:paraId="362DF329">
            <w:pPr>
              <w:bidi w:val="0"/>
              <w:rPr>
                <w:rFonts w:hint="eastAsia"/>
              </w:rPr>
            </w:pPr>
          </w:p>
        </w:tc>
        <w:tc>
          <w:tcPr>
            <w:tcW w:w="1520" w:type="dxa"/>
            <w:vMerge w:val="continue"/>
            <w:tcBorders>
              <w:top w:val="single" w:color="auto" w:sz="4" w:space="0"/>
              <w:left w:val="single" w:color="auto" w:sz="4" w:space="0"/>
              <w:bottom w:val="single" w:color="auto" w:sz="4" w:space="0"/>
              <w:right w:val="single" w:color="auto" w:sz="4" w:space="0"/>
            </w:tcBorders>
            <w:vAlign w:val="center"/>
          </w:tcPr>
          <w:p w14:paraId="5EA61653">
            <w:pPr>
              <w:bidi w:val="0"/>
              <w:rPr>
                <w:rFonts w:hint="eastAsia"/>
              </w:rPr>
            </w:pPr>
          </w:p>
        </w:tc>
        <w:tc>
          <w:tcPr>
            <w:tcW w:w="2250" w:type="dxa"/>
            <w:vMerge w:val="continue"/>
            <w:tcBorders>
              <w:top w:val="single" w:color="auto" w:sz="4" w:space="0"/>
              <w:left w:val="single" w:color="auto" w:sz="4" w:space="0"/>
              <w:bottom w:val="single" w:color="auto" w:sz="4" w:space="0"/>
              <w:right w:val="single" w:color="auto" w:sz="4" w:space="0"/>
            </w:tcBorders>
            <w:vAlign w:val="center"/>
          </w:tcPr>
          <w:p w14:paraId="519F021B">
            <w:pPr>
              <w:bidi w:val="0"/>
              <w:rPr>
                <w:rFonts w:hint="eastAsia"/>
              </w:rPr>
            </w:pPr>
          </w:p>
        </w:tc>
        <w:tc>
          <w:tcPr>
            <w:tcW w:w="1510" w:type="dxa"/>
            <w:vMerge w:val="continue"/>
            <w:tcBorders>
              <w:top w:val="single" w:color="auto" w:sz="4" w:space="0"/>
              <w:left w:val="single" w:color="auto" w:sz="4" w:space="0"/>
              <w:bottom w:val="single" w:color="auto" w:sz="4" w:space="0"/>
              <w:right w:val="single" w:color="auto" w:sz="4" w:space="0"/>
            </w:tcBorders>
            <w:vAlign w:val="center"/>
          </w:tcPr>
          <w:p w14:paraId="4CF09830">
            <w:pPr>
              <w:bidi w:val="0"/>
              <w:rPr>
                <w:rFonts w:hint="eastAsia"/>
              </w:rPr>
            </w:pPr>
          </w:p>
        </w:tc>
        <w:tc>
          <w:tcPr>
            <w:tcW w:w="3977" w:type="dxa"/>
            <w:vMerge w:val="continue"/>
            <w:tcBorders>
              <w:top w:val="single" w:color="auto" w:sz="4" w:space="0"/>
              <w:left w:val="single" w:color="auto" w:sz="4" w:space="0"/>
              <w:bottom w:val="single" w:color="auto" w:sz="4" w:space="0"/>
              <w:right w:val="single" w:color="auto" w:sz="4" w:space="0"/>
            </w:tcBorders>
            <w:vAlign w:val="center"/>
          </w:tcPr>
          <w:p w14:paraId="017658ED">
            <w:pPr>
              <w:bidi w:val="0"/>
              <w:rPr>
                <w:rFonts w:hint="eastAsia"/>
              </w:rPr>
            </w:pPr>
          </w:p>
        </w:tc>
      </w:tr>
      <w:tr w14:paraId="4BF469AE">
        <w:tblPrEx>
          <w:tblCellMar>
            <w:top w:w="0" w:type="dxa"/>
            <w:left w:w="108" w:type="dxa"/>
            <w:bottom w:w="0" w:type="dxa"/>
            <w:right w:w="108" w:type="dxa"/>
          </w:tblCellMar>
        </w:tblPrEx>
        <w:trPr>
          <w:trHeight w:val="468" w:hRule="atLeast"/>
          <w:jc w:val="center"/>
        </w:trPr>
        <w:tc>
          <w:tcPr>
            <w:tcW w:w="690" w:type="dxa"/>
            <w:vMerge w:val="continue"/>
            <w:tcBorders>
              <w:top w:val="single" w:color="auto" w:sz="4" w:space="0"/>
              <w:left w:val="single" w:color="auto" w:sz="4" w:space="0"/>
              <w:bottom w:val="single" w:color="auto" w:sz="4" w:space="0"/>
              <w:right w:val="single" w:color="auto" w:sz="4" w:space="0"/>
            </w:tcBorders>
            <w:vAlign w:val="center"/>
          </w:tcPr>
          <w:p w14:paraId="0FC06FC4">
            <w:pPr>
              <w:bidi w:val="0"/>
              <w:rPr>
                <w:rFonts w:hint="eastAsia"/>
              </w:rPr>
            </w:pPr>
          </w:p>
        </w:tc>
        <w:tc>
          <w:tcPr>
            <w:tcW w:w="1520" w:type="dxa"/>
            <w:vMerge w:val="continue"/>
            <w:tcBorders>
              <w:top w:val="single" w:color="auto" w:sz="4" w:space="0"/>
              <w:left w:val="single" w:color="auto" w:sz="4" w:space="0"/>
              <w:bottom w:val="single" w:color="auto" w:sz="4" w:space="0"/>
              <w:right w:val="single" w:color="auto" w:sz="4" w:space="0"/>
            </w:tcBorders>
            <w:vAlign w:val="center"/>
          </w:tcPr>
          <w:p w14:paraId="1DEAF544">
            <w:pPr>
              <w:bidi w:val="0"/>
              <w:rPr>
                <w:rFonts w:hint="eastAsia"/>
              </w:rPr>
            </w:pPr>
          </w:p>
        </w:tc>
        <w:tc>
          <w:tcPr>
            <w:tcW w:w="2250" w:type="dxa"/>
            <w:vMerge w:val="continue"/>
            <w:tcBorders>
              <w:top w:val="single" w:color="auto" w:sz="4" w:space="0"/>
              <w:left w:val="single" w:color="auto" w:sz="4" w:space="0"/>
              <w:bottom w:val="single" w:color="auto" w:sz="4" w:space="0"/>
              <w:right w:val="single" w:color="auto" w:sz="4" w:space="0"/>
            </w:tcBorders>
            <w:vAlign w:val="center"/>
          </w:tcPr>
          <w:p w14:paraId="729968A8">
            <w:pPr>
              <w:bidi w:val="0"/>
              <w:rPr>
                <w:rFonts w:hint="eastAsia"/>
              </w:rPr>
            </w:pPr>
          </w:p>
        </w:tc>
        <w:tc>
          <w:tcPr>
            <w:tcW w:w="1510" w:type="dxa"/>
            <w:vMerge w:val="continue"/>
            <w:tcBorders>
              <w:top w:val="single" w:color="auto" w:sz="4" w:space="0"/>
              <w:left w:val="single" w:color="auto" w:sz="4" w:space="0"/>
              <w:bottom w:val="single" w:color="auto" w:sz="4" w:space="0"/>
              <w:right w:val="single" w:color="auto" w:sz="4" w:space="0"/>
            </w:tcBorders>
            <w:vAlign w:val="center"/>
          </w:tcPr>
          <w:p w14:paraId="096BC9E2">
            <w:pPr>
              <w:bidi w:val="0"/>
              <w:rPr>
                <w:rFonts w:hint="eastAsia"/>
              </w:rPr>
            </w:pPr>
          </w:p>
        </w:tc>
        <w:tc>
          <w:tcPr>
            <w:tcW w:w="3977" w:type="dxa"/>
            <w:vMerge w:val="continue"/>
            <w:tcBorders>
              <w:top w:val="single" w:color="auto" w:sz="4" w:space="0"/>
              <w:left w:val="single" w:color="auto" w:sz="4" w:space="0"/>
              <w:bottom w:val="single" w:color="auto" w:sz="4" w:space="0"/>
              <w:right w:val="single" w:color="auto" w:sz="4" w:space="0"/>
            </w:tcBorders>
            <w:vAlign w:val="center"/>
          </w:tcPr>
          <w:p w14:paraId="7CDC8280">
            <w:pPr>
              <w:bidi w:val="0"/>
              <w:rPr>
                <w:rFonts w:hint="eastAsia"/>
              </w:rPr>
            </w:pPr>
          </w:p>
        </w:tc>
      </w:tr>
      <w:tr w14:paraId="6D479868">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79CA6BEE">
            <w:pPr>
              <w:bidi w:val="0"/>
              <w:rPr>
                <w:rFonts w:hint="eastAsia"/>
              </w:rPr>
            </w:pPr>
            <w:r>
              <w:rPr>
                <w:rFonts w:hint="eastAsia"/>
              </w:rPr>
              <w:t>1</w:t>
            </w:r>
          </w:p>
        </w:tc>
        <w:tc>
          <w:tcPr>
            <w:tcW w:w="1520" w:type="dxa"/>
            <w:tcBorders>
              <w:top w:val="nil"/>
              <w:left w:val="nil"/>
              <w:bottom w:val="single" w:color="auto" w:sz="4" w:space="0"/>
              <w:right w:val="single" w:color="auto" w:sz="4" w:space="0"/>
            </w:tcBorders>
            <w:shd w:val="clear" w:color="auto" w:fill="auto"/>
            <w:vAlign w:val="center"/>
          </w:tcPr>
          <w:p w14:paraId="0A9CF38A">
            <w:pPr>
              <w:bidi w:val="0"/>
              <w:rPr>
                <w:rFonts w:hint="eastAsia"/>
              </w:rPr>
            </w:pPr>
            <w:r>
              <w:rPr>
                <w:rFonts w:hint="eastAsia"/>
              </w:rPr>
              <w:t>1脱机检测</w:t>
            </w:r>
          </w:p>
        </w:tc>
        <w:tc>
          <w:tcPr>
            <w:tcW w:w="2250" w:type="dxa"/>
            <w:tcBorders>
              <w:top w:val="nil"/>
              <w:left w:val="nil"/>
              <w:bottom w:val="single" w:color="auto" w:sz="4" w:space="0"/>
              <w:right w:val="single" w:color="auto" w:sz="4" w:space="0"/>
            </w:tcBorders>
            <w:shd w:val="clear" w:color="auto" w:fill="auto"/>
            <w:vAlign w:val="center"/>
          </w:tcPr>
          <w:p w14:paraId="50367CB7">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71A5E906">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1DEFA87C">
            <w:pPr>
              <w:bidi w:val="0"/>
              <w:rPr>
                <w:rFonts w:hint="eastAsia"/>
              </w:rPr>
            </w:pPr>
            <w:r>
              <w:rPr>
                <w:rFonts w:hint="eastAsia"/>
              </w:rPr>
              <w:t>检测现场设备的状态</w:t>
            </w:r>
          </w:p>
        </w:tc>
      </w:tr>
      <w:tr w14:paraId="13FC48F5">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26FED7B4">
            <w:pPr>
              <w:bidi w:val="0"/>
              <w:rPr>
                <w:rFonts w:hint="eastAsia"/>
              </w:rPr>
            </w:pPr>
            <w:r>
              <w:rPr>
                <w:rFonts w:hint="eastAsia"/>
              </w:rPr>
              <w:t>2</w:t>
            </w:r>
          </w:p>
        </w:tc>
        <w:tc>
          <w:tcPr>
            <w:tcW w:w="1520" w:type="dxa"/>
            <w:tcBorders>
              <w:top w:val="nil"/>
              <w:left w:val="nil"/>
              <w:bottom w:val="single" w:color="auto" w:sz="4" w:space="0"/>
              <w:right w:val="single" w:color="auto" w:sz="4" w:space="0"/>
            </w:tcBorders>
            <w:shd w:val="clear" w:color="auto" w:fill="auto"/>
            <w:vAlign w:val="center"/>
          </w:tcPr>
          <w:p w14:paraId="300D39D1">
            <w:pPr>
              <w:bidi w:val="0"/>
              <w:rPr>
                <w:rFonts w:hint="eastAsia"/>
              </w:rPr>
            </w:pPr>
            <w:r>
              <w:rPr>
                <w:rFonts w:hint="eastAsia"/>
              </w:rPr>
              <w:t xml:space="preserve">用户身份验证 </w:t>
            </w:r>
          </w:p>
        </w:tc>
        <w:tc>
          <w:tcPr>
            <w:tcW w:w="2250" w:type="dxa"/>
            <w:tcBorders>
              <w:top w:val="nil"/>
              <w:left w:val="nil"/>
              <w:bottom w:val="single" w:color="auto" w:sz="4" w:space="0"/>
              <w:right w:val="single" w:color="auto" w:sz="4" w:space="0"/>
            </w:tcBorders>
            <w:shd w:val="clear" w:color="auto" w:fill="auto"/>
            <w:vAlign w:val="center"/>
          </w:tcPr>
          <w:p w14:paraId="5CB84571">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71D650B2">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179EBFBD">
            <w:pPr>
              <w:bidi w:val="0"/>
              <w:rPr>
                <w:rFonts w:hint="eastAsia"/>
              </w:rPr>
            </w:pPr>
            <w:r>
              <w:rPr>
                <w:rFonts w:hint="eastAsia"/>
              </w:rPr>
              <w:t>用户登陆时身份权限进行认真</w:t>
            </w:r>
          </w:p>
        </w:tc>
      </w:tr>
      <w:tr w14:paraId="14C09DD9">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7BB1843F">
            <w:pPr>
              <w:bidi w:val="0"/>
              <w:rPr>
                <w:rFonts w:hint="eastAsia"/>
              </w:rPr>
            </w:pPr>
            <w:r>
              <w:rPr>
                <w:rFonts w:hint="eastAsia"/>
              </w:rPr>
              <w:t>6</w:t>
            </w:r>
          </w:p>
        </w:tc>
        <w:tc>
          <w:tcPr>
            <w:tcW w:w="1520" w:type="dxa"/>
            <w:tcBorders>
              <w:top w:val="nil"/>
              <w:left w:val="nil"/>
              <w:bottom w:val="single" w:color="auto" w:sz="4" w:space="0"/>
              <w:right w:val="single" w:color="auto" w:sz="4" w:space="0"/>
            </w:tcBorders>
            <w:shd w:val="clear" w:color="auto" w:fill="auto"/>
            <w:vAlign w:val="center"/>
          </w:tcPr>
          <w:p w14:paraId="51C335E1">
            <w:pPr>
              <w:bidi w:val="0"/>
              <w:rPr>
                <w:rFonts w:hint="eastAsia"/>
              </w:rPr>
            </w:pPr>
            <w:r>
              <w:rPr>
                <w:rFonts w:hint="eastAsia"/>
              </w:rPr>
              <w:t>6排班计划同步</w:t>
            </w:r>
          </w:p>
        </w:tc>
        <w:tc>
          <w:tcPr>
            <w:tcW w:w="2250" w:type="dxa"/>
            <w:tcBorders>
              <w:top w:val="nil"/>
              <w:left w:val="nil"/>
              <w:bottom w:val="single" w:color="auto" w:sz="4" w:space="0"/>
              <w:right w:val="single" w:color="auto" w:sz="4" w:space="0"/>
            </w:tcBorders>
            <w:shd w:val="clear" w:color="auto" w:fill="auto"/>
            <w:vAlign w:val="center"/>
          </w:tcPr>
          <w:p w14:paraId="7D26CCF7">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4D8BB682">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279CFCF2">
            <w:pPr>
              <w:bidi w:val="0"/>
              <w:rPr>
                <w:rFonts w:hint="eastAsia"/>
              </w:rPr>
            </w:pPr>
            <w:r>
              <w:rPr>
                <w:rFonts w:hint="eastAsia"/>
              </w:rPr>
              <w:t>与厂级服务器上的排班计划数据进行同步</w:t>
            </w:r>
          </w:p>
        </w:tc>
      </w:tr>
      <w:tr w14:paraId="7C5B3DC1">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117F346A">
            <w:pPr>
              <w:bidi w:val="0"/>
              <w:rPr>
                <w:rFonts w:hint="eastAsia"/>
              </w:rPr>
            </w:pPr>
            <w:r>
              <w:rPr>
                <w:rFonts w:hint="eastAsia"/>
              </w:rPr>
              <w:t>7</w:t>
            </w:r>
          </w:p>
        </w:tc>
        <w:tc>
          <w:tcPr>
            <w:tcW w:w="1520" w:type="dxa"/>
            <w:tcBorders>
              <w:top w:val="nil"/>
              <w:left w:val="nil"/>
              <w:bottom w:val="single" w:color="auto" w:sz="4" w:space="0"/>
              <w:right w:val="single" w:color="auto" w:sz="4" w:space="0"/>
            </w:tcBorders>
            <w:shd w:val="clear" w:color="auto" w:fill="auto"/>
            <w:vAlign w:val="center"/>
          </w:tcPr>
          <w:p w14:paraId="1B8BD761">
            <w:pPr>
              <w:bidi w:val="0"/>
              <w:rPr>
                <w:rFonts w:hint="eastAsia"/>
              </w:rPr>
            </w:pPr>
            <w:r>
              <w:rPr>
                <w:rFonts w:hint="eastAsia"/>
              </w:rPr>
              <w:t>7“盒条件”厂级排班计划配置库</w:t>
            </w:r>
          </w:p>
        </w:tc>
        <w:tc>
          <w:tcPr>
            <w:tcW w:w="2250" w:type="dxa"/>
            <w:tcBorders>
              <w:top w:val="nil"/>
              <w:left w:val="nil"/>
              <w:bottom w:val="single" w:color="auto" w:sz="4" w:space="0"/>
              <w:right w:val="single" w:color="auto" w:sz="4" w:space="0"/>
            </w:tcBorders>
            <w:shd w:val="clear" w:color="auto" w:fill="auto"/>
            <w:vAlign w:val="center"/>
          </w:tcPr>
          <w:p w14:paraId="28E92865">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204B22B4">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65F5F825">
            <w:pPr>
              <w:bidi w:val="0"/>
              <w:rPr>
                <w:rFonts w:hint="eastAsia"/>
              </w:rPr>
            </w:pPr>
            <w:r>
              <w:rPr>
                <w:rFonts w:hint="eastAsia"/>
              </w:rPr>
              <w:t>“盒条件”厂级排班计划管理</w:t>
            </w:r>
          </w:p>
        </w:tc>
      </w:tr>
      <w:tr w14:paraId="29C7F180">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3F6230FF">
            <w:pPr>
              <w:bidi w:val="0"/>
              <w:rPr>
                <w:rFonts w:hint="eastAsia"/>
              </w:rPr>
            </w:pPr>
            <w:r>
              <w:rPr>
                <w:rFonts w:hint="eastAsia"/>
              </w:rPr>
              <w:t>8</w:t>
            </w:r>
          </w:p>
        </w:tc>
        <w:tc>
          <w:tcPr>
            <w:tcW w:w="1520" w:type="dxa"/>
            <w:tcBorders>
              <w:top w:val="nil"/>
              <w:left w:val="nil"/>
              <w:bottom w:val="single" w:color="auto" w:sz="4" w:space="0"/>
              <w:right w:val="single" w:color="auto" w:sz="4" w:space="0"/>
            </w:tcBorders>
            <w:shd w:val="clear" w:color="auto" w:fill="auto"/>
            <w:vAlign w:val="center"/>
          </w:tcPr>
          <w:p w14:paraId="77EA1DA8">
            <w:pPr>
              <w:bidi w:val="0"/>
              <w:rPr>
                <w:rFonts w:hint="eastAsia"/>
              </w:rPr>
            </w:pPr>
            <w:r>
              <w:rPr>
                <w:rFonts w:hint="eastAsia"/>
              </w:rPr>
              <w:t>8读取设备现场排班计划</w:t>
            </w:r>
          </w:p>
        </w:tc>
        <w:tc>
          <w:tcPr>
            <w:tcW w:w="2250" w:type="dxa"/>
            <w:tcBorders>
              <w:top w:val="nil"/>
              <w:left w:val="nil"/>
              <w:bottom w:val="single" w:color="auto" w:sz="4" w:space="0"/>
              <w:right w:val="single" w:color="auto" w:sz="4" w:space="0"/>
            </w:tcBorders>
            <w:shd w:val="clear" w:color="auto" w:fill="auto"/>
            <w:vAlign w:val="center"/>
          </w:tcPr>
          <w:p w14:paraId="656CF215">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418C34EA">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404176E9">
            <w:pPr>
              <w:bidi w:val="0"/>
              <w:rPr>
                <w:rFonts w:hint="eastAsia"/>
              </w:rPr>
            </w:pPr>
            <w:r>
              <w:rPr>
                <w:rFonts w:hint="eastAsia"/>
              </w:rPr>
              <w:t>在脱机状态下，获取现场子系统已有的排班计划数据</w:t>
            </w:r>
          </w:p>
        </w:tc>
      </w:tr>
      <w:tr w14:paraId="2223D548">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371F8C89">
            <w:pPr>
              <w:bidi w:val="0"/>
              <w:rPr>
                <w:rFonts w:hint="eastAsia"/>
              </w:rPr>
            </w:pPr>
            <w:r>
              <w:rPr>
                <w:rFonts w:hint="eastAsia"/>
              </w:rPr>
              <w:t>9</w:t>
            </w:r>
          </w:p>
        </w:tc>
        <w:tc>
          <w:tcPr>
            <w:tcW w:w="1520" w:type="dxa"/>
            <w:tcBorders>
              <w:top w:val="nil"/>
              <w:left w:val="nil"/>
              <w:bottom w:val="single" w:color="auto" w:sz="4" w:space="0"/>
              <w:right w:val="single" w:color="auto" w:sz="4" w:space="0"/>
            </w:tcBorders>
            <w:shd w:val="clear" w:color="auto" w:fill="auto"/>
            <w:vAlign w:val="center"/>
          </w:tcPr>
          <w:p w14:paraId="37B41CA0">
            <w:pPr>
              <w:bidi w:val="0"/>
              <w:rPr>
                <w:rFonts w:hint="eastAsia"/>
              </w:rPr>
            </w:pPr>
            <w:r>
              <w:rPr>
                <w:rFonts w:hint="eastAsia"/>
              </w:rPr>
              <w:t>9现场操作工任务领取</w:t>
            </w:r>
          </w:p>
        </w:tc>
        <w:tc>
          <w:tcPr>
            <w:tcW w:w="2250" w:type="dxa"/>
            <w:tcBorders>
              <w:top w:val="nil"/>
              <w:left w:val="nil"/>
              <w:bottom w:val="single" w:color="auto" w:sz="4" w:space="0"/>
              <w:right w:val="single" w:color="auto" w:sz="4" w:space="0"/>
            </w:tcBorders>
            <w:shd w:val="clear" w:color="auto" w:fill="auto"/>
            <w:vAlign w:val="center"/>
          </w:tcPr>
          <w:p w14:paraId="013F9886">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1DCCE9E6">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515BD289">
            <w:pPr>
              <w:bidi w:val="0"/>
              <w:rPr>
                <w:rFonts w:hint="eastAsia"/>
              </w:rPr>
            </w:pPr>
            <w:r>
              <w:rPr>
                <w:rFonts w:hint="eastAsia"/>
              </w:rPr>
              <w:t>现场子系统上操作工对于获取的排班计划的领取</w:t>
            </w:r>
          </w:p>
        </w:tc>
      </w:tr>
      <w:tr w14:paraId="798405D4">
        <w:tblPrEx>
          <w:tblCellMar>
            <w:top w:w="0" w:type="dxa"/>
            <w:left w:w="108" w:type="dxa"/>
            <w:bottom w:w="0" w:type="dxa"/>
            <w:right w:w="108" w:type="dxa"/>
          </w:tblCellMar>
        </w:tblPrEx>
        <w:trPr>
          <w:trHeight w:val="957" w:hRule="atLeast"/>
          <w:jc w:val="center"/>
        </w:trPr>
        <w:tc>
          <w:tcPr>
            <w:tcW w:w="690" w:type="dxa"/>
            <w:tcBorders>
              <w:top w:val="single" w:color="auto" w:sz="4" w:space="0"/>
              <w:left w:val="single" w:color="auto" w:sz="4" w:space="0"/>
              <w:bottom w:val="single" w:color="auto" w:sz="4" w:space="0"/>
              <w:right w:val="single" w:color="auto" w:sz="4" w:space="0"/>
            </w:tcBorders>
            <w:shd w:val="clear" w:color="auto" w:fill="auto"/>
            <w:vAlign w:val="center"/>
          </w:tcPr>
          <w:p w14:paraId="583E7762">
            <w:pPr>
              <w:bidi w:val="0"/>
              <w:rPr>
                <w:rFonts w:hint="eastAsia"/>
              </w:rPr>
            </w:pPr>
            <w:r>
              <w:rPr>
                <w:rFonts w:hint="eastAsia"/>
              </w:rPr>
              <w:t>10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14:paraId="25B17787">
            <w:pPr>
              <w:bidi w:val="0"/>
              <w:rPr>
                <w:rFonts w:hint="eastAsia"/>
              </w:rPr>
            </w:pPr>
            <w:r>
              <w:rPr>
                <w:rFonts w:hint="eastAsia"/>
              </w:rPr>
              <w:t>与实际是否相符</w:t>
            </w:r>
          </w:p>
        </w:tc>
        <w:tc>
          <w:tcPr>
            <w:tcW w:w="2250" w:type="dxa"/>
            <w:tcBorders>
              <w:top w:val="single" w:color="auto" w:sz="4" w:space="0"/>
              <w:left w:val="single" w:color="auto" w:sz="4" w:space="0"/>
              <w:bottom w:val="single" w:color="auto" w:sz="4" w:space="0"/>
              <w:right w:val="single" w:color="auto" w:sz="4" w:space="0"/>
            </w:tcBorders>
            <w:shd w:val="clear" w:color="auto" w:fill="auto"/>
            <w:vAlign w:val="center"/>
          </w:tcPr>
          <w:p w14:paraId="5810472B">
            <w:pPr>
              <w:bidi w:val="0"/>
              <w:rPr>
                <w:rFonts w:hint="eastAsia"/>
              </w:rPr>
            </w:pPr>
            <w:r>
              <w:rPr>
                <w:rFonts w:hint="eastAsia"/>
              </w:rPr>
              <w:t>操作</w:t>
            </w:r>
          </w:p>
        </w:tc>
        <w:tc>
          <w:tcPr>
            <w:tcW w:w="1510" w:type="dxa"/>
            <w:tcBorders>
              <w:top w:val="single" w:color="auto" w:sz="4" w:space="0"/>
              <w:left w:val="single" w:color="auto" w:sz="4" w:space="0"/>
              <w:bottom w:val="single" w:color="auto" w:sz="4" w:space="0"/>
              <w:right w:val="single" w:color="auto" w:sz="4" w:space="0"/>
            </w:tcBorders>
            <w:shd w:val="clear" w:color="auto" w:fill="auto"/>
            <w:vAlign w:val="center"/>
          </w:tcPr>
          <w:p w14:paraId="6A73D835">
            <w:pPr>
              <w:bidi w:val="0"/>
              <w:rPr>
                <w:rFonts w:hint="eastAsia"/>
              </w:rPr>
            </w:pPr>
            <w:r>
              <w:rPr>
                <w:rFonts w:hint="eastAsia"/>
              </w:rPr>
              <w:t>　</w:t>
            </w:r>
          </w:p>
        </w:tc>
        <w:tc>
          <w:tcPr>
            <w:tcW w:w="3977" w:type="dxa"/>
            <w:tcBorders>
              <w:top w:val="single" w:color="auto" w:sz="4" w:space="0"/>
              <w:left w:val="single" w:color="auto" w:sz="4" w:space="0"/>
              <w:bottom w:val="single" w:color="auto" w:sz="4" w:space="0"/>
              <w:right w:val="single" w:color="auto" w:sz="4" w:space="0"/>
            </w:tcBorders>
            <w:shd w:val="clear" w:color="auto" w:fill="auto"/>
            <w:vAlign w:val="center"/>
          </w:tcPr>
          <w:p w14:paraId="227594FF">
            <w:pPr>
              <w:bidi w:val="0"/>
              <w:rPr>
                <w:rFonts w:hint="eastAsia"/>
              </w:rPr>
            </w:pPr>
            <w:r>
              <w:rPr>
                <w:rFonts w:hint="eastAsia"/>
              </w:rPr>
              <w:t>判断与实际生产任务是否符合</w:t>
            </w:r>
          </w:p>
        </w:tc>
      </w:tr>
      <w:tr w14:paraId="6739822C">
        <w:tblPrEx>
          <w:tblCellMar>
            <w:top w:w="0" w:type="dxa"/>
            <w:left w:w="108" w:type="dxa"/>
            <w:bottom w:w="0" w:type="dxa"/>
            <w:right w:w="108" w:type="dxa"/>
          </w:tblCellMar>
        </w:tblPrEx>
        <w:trPr>
          <w:trHeight w:val="957" w:hRule="atLeast"/>
          <w:jc w:val="center"/>
        </w:trPr>
        <w:tc>
          <w:tcPr>
            <w:tcW w:w="690" w:type="dxa"/>
            <w:tcBorders>
              <w:top w:val="single" w:color="auto" w:sz="4" w:space="0"/>
              <w:left w:val="single" w:color="auto" w:sz="4" w:space="0"/>
              <w:bottom w:val="single" w:color="auto" w:sz="4" w:space="0"/>
              <w:right w:val="single" w:color="auto" w:sz="4" w:space="0"/>
            </w:tcBorders>
            <w:shd w:val="clear" w:color="auto" w:fill="auto"/>
            <w:vAlign w:val="center"/>
          </w:tcPr>
          <w:p w14:paraId="7FD50F8E">
            <w:pPr>
              <w:bidi w:val="0"/>
              <w:rPr>
                <w:rFonts w:hint="eastAsia"/>
              </w:rPr>
            </w:pPr>
            <w:r>
              <w:rPr>
                <w:rFonts w:hint="eastAsia"/>
              </w:rPr>
              <w:t>11</w:t>
            </w:r>
          </w:p>
        </w:tc>
        <w:tc>
          <w:tcPr>
            <w:tcW w:w="1520" w:type="dxa"/>
            <w:tcBorders>
              <w:top w:val="single" w:color="auto" w:sz="4" w:space="0"/>
              <w:left w:val="nil"/>
              <w:bottom w:val="single" w:color="auto" w:sz="4" w:space="0"/>
              <w:right w:val="single" w:color="auto" w:sz="4" w:space="0"/>
            </w:tcBorders>
            <w:shd w:val="clear" w:color="auto" w:fill="auto"/>
            <w:vAlign w:val="center"/>
          </w:tcPr>
          <w:p w14:paraId="64779DED">
            <w:pPr>
              <w:bidi w:val="0"/>
              <w:rPr>
                <w:rFonts w:hint="eastAsia"/>
              </w:rPr>
            </w:pPr>
            <w:r>
              <w:rPr>
                <w:rFonts w:hint="eastAsia"/>
              </w:rPr>
              <w:t>10现场操作工排班配置</w:t>
            </w:r>
          </w:p>
        </w:tc>
        <w:tc>
          <w:tcPr>
            <w:tcW w:w="2250" w:type="dxa"/>
            <w:tcBorders>
              <w:top w:val="single" w:color="auto" w:sz="4" w:space="0"/>
              <w:left w:val="nil"/>
              <w:bottom w:val="single" w:color="auto" w:sz="4" w:space="0"/>
              <w:right w:val="single" w:color="auto" w:sz="4" w:space="0"/>
            </w:tcBorders>
            <w:shd w:val="clear" w:color="auto" w:fill="auto"/>
            <w:vAlign w:val="center"/>
          </w:tcPr>
          <w:p w14:paraId="0F83D77F">
            <w:pPr>
              <w:bidi w:val="0"/>
              <w:rPr>
                <w:rFonts w:hint="eastAsia"/>
              </w:rPr>
            </w:pPr>
            <w:r>
              <w:rPr>
                <w:rFonts w:hint="eastAsia"/>
              </w:rPr>
              <w:t>操作</w:t>
            </w:r>
          </w:p>
        </w:tc>
        <w:tc>
          <w:tcPr>
            <w:tcW w:w="1510" w:type="dxa"/>
            <w:tcBorders>
              <w:top w:val="single" w:color="auto" w:sz="4" w:space="0"/>
              <w:left w:val="nil"/>
              <w:bottom w:val="single" w:color="auto" w:sz="4" w:space="0"/>
              <w:right w:val="single" w:color="auto" w:sz="4" w:space="0"/>
            </w:tcBorders>
            <w:shd w:val="clear" w:color="auto" w:fill="auto"/>
            <w:vAlign w:val="center"/>
          </w:tcPr>
          <w:p w14:paraId="33A7A050">
            <w:pPr>
              <w:bidi w:val="0"/>
              <w:rPr>
                <w:rFonts w:hint="eastAsia"/>
              </w:rPr>
            </w:pPr>
            <w:r>
              <w:rPr>
                <w:rFonts w:hint="eastAsia"/>
              </w:rPr>
              <w:t>　</w:t>
            </w:r>
          </w:p>
        </w:tc>
        <w:tc>
          <w:tcPr>
            <w:tcW w:w="3977" w:type="dxa"/>
            <w:tcBorders>
              <w:top w:val="single" w:color="auto" w:sz="4" w:space="0"/>
              <w:left w:val="nil"/>
              <w:bottom w:val="single" w:color="auto" w:sz="4" w:space="0"/>
              <w:right w:val="single" w:color="auto" w:sz="4" w:space="0"/>
            </w:tcBorders>
            <w:shd w:val="clear" w:color="auto" w:fill="auto"/>
            <w:vAlign w:val="center"/>
          </w:tcPr>
          <w:p w14:paraId="487EE8B0">
            <w:pPr>
              <w:bidi w:val="0"/>
              <w:rPr>
                <w:rFonts w:hint="eastAsia"/>
              </w:rPr>
            </w:pPr>
            <w:r>
              <w:rPr>
                <w:rFonts w:hint="eastAsia"/>
              </w:rPr>
              <w:t>当与实际任务不相符时，现场设备操作工对于排班的更正</w:t>
            </w:r>
          </w:p>
        </w:tc>
      </w:tr>
      <w:tr w14:paraId="41624749">
        <w:tblPrEx>
          <w:tblCellMar>
            <w:top w:w="0" w:type="dxa"/>
            <w:left w:w="108" w:type="dxa"/>
            <w:bottom w:w="0" w:type="dxa"/>
            <w:right w:w="108" w:type="dxa"/>
          </w:tblCellMar>
        </w:tblPrEx>
        <w:trPr>
          <w:trHeight w:val="957" w:hRule="atLeast"/>
          <w:jc w:val="center"/>
        </w:trPr>
        <w:tc>
          <w:tcPr>
            <w:tcW w:w="690" w:type="dxa"/>
            <w:tcBorders>
              <w:top w:val="nil"/>
              <w:left w:val="single" w:color="auto" w:sz="4" w:space="0"/>
              <w:bottom w:val="single" w:color="auto" w:sz="4" w:space="0"/>
              <w:right w:val="single" w:color="auto" w:sz="4" w:space="0"/>
            </w:tcBorders>
            <w:shd w:val="clear" w:color="auto" w:fill="auto"/>
            <w:vAlign w:val="center"/>
          </w:tcPr>
          <w:p w14:paraId="10CF39DB">
            <w:pPr>
              <w:bidi w:val="0"/>
              <w:rPr>
                <w:rFonts w:hint="eastAsia"/>
              </w:rPr>
            </w:pPr>
            <w:r>
              <w:rPr>
                <w:rFonts w:hint="eastAsia"/>
              </w:rPr>
              <w:t>12</w:t>
            </w:r>
          </w:p>
        </w:tc>
        <w:tc>
          <w:tcPr>
            <w:tcW w:w="1520" w:type="dxa"/>
            <w:tcBorders>
              <w:top w:val="nil"/>
              <w:left w:val="nil"/>
              <w:bottom w:val="single" w:color="auto" w:sz="4" w:space="0"/>
              <w:right w:val="single" w:color="auto" w:sz="4" w:space="0"/>
            </w:tcBorders>
            <w:shd w:val="clear" w:color="auto" w:fill="auto"/>
            <w:vAlign w:val="center"/>
          </w:tcPr>
          <w:p w14:paraId="5D4DF433">
            <w:pPr>
              <w:bidi w:val="0"/>
              <w:rPr>
                <w:rFonts w:hint="eastAsia"/>
              </w:rPr>
            </w:pPr>
            <w:r>
              <w:rPr>
                <w:rFonts w:hint="eastAsia"/>
              </w:rPr>
              <w:t>11任务确认</w:t>
            </w:r>
          </w:p>
        </w:tc>
        <w:tc>
          <w:tcPr>
            <w:tcW w:w="2250" w:type="dxa"/>
            <w:tcBorders>
              <w:top w:val="nil"/>
              <w:left w:val="nil"/>
              <w:bottom w:val="single" w:color="auto" w:sz="4" w:space="0"/>
              <w:right w:val="single" w:color="auto" w:sz="4" w:space="0"/>
            </w:tcBorders>
            <w:shd w:val="clear" w:color="auto" w:fill="auto"/>
            <w:vAlign w:val="center"/>
          </w:tcPr>
          <w:p w14:paraId="6BC73559">
            <w:pPr>
              <w:bidi w:val="0"/>
              <w:rPr>
                <w:rFonts w:hint="eastAsia"/>
              </w:rPr>
            </w:pPr>
            <w:r>
              <w:rPr>
                <w:rFonts w:hint="eastAsia"/>
              </w:rPr>
              <w:t>操作</w:t>
            </w:r>
          </w:p>
        </w:tc>
        <w:tc>
          <w:tcPr>
            <w:tcW w:w="1510" w:type="dxa"/>
            <w:tcBorders>
              <w:top w:val="nil"/>
              <w:left w:val="nil"/>
              <w:bottom w:val="single" w:color="auto" w:sz="4" w:space="0"/>
              <w:right w:val="single" w:color="auto" w:sz="4" w:space="0"/>
            </w:tcBorders>
            <w:shd w:val="clear" w:color="auto" w:fill="auto"/>
            <w:vAlign w:val="center"/>
          </w:tcPr>
          <w:p w14:paraId="687AD145">
            <w:pPr>
              <w:bidi w:val="0"/>
              <w:rPr>
                <w:rFonts w:hint="eastAsia"/>
              </w:rPr>
            </w:pPr>
            <w:r>
              <w:rPr>
                <w:rFonts w:hint="eastAsia"/>
              </w:rPr>
              <w:t>　</w:t>
            </w:r>
          </w:p>
        </w:tc>
        <w:tc>
          <w:tcPr>
            <w:tcW w:w="3977" w:type="dxa"/>
            <w:tcBorders>
              <w:top w:val="nil"/>
              <w:left w:val="nil"/>
              <w:bottom w:val="single" w:color="auto" w:sz="4" w:space="0"/>
              <w:right w:val="single" w:color="auto" w:sz="4" w:space="0"/>
            </w:tcBorders>
            <w:shd w:val="clear" w:color="auto" w:fill="auto"/>
            <w:vAlign w:val="center"/>
          </w:tcPr>
          <w:p w14:paraId="6A6059E0">
            <w:pPr>
              <w:bidi w:val="0"/>
              <w:rPr>
                <w:rFonts w:hint="eastAsia"/>
              </w:rPr>
            </w:pPr>
            <w:r>
              <w:rPr>
                <w:rFonts w:hint="eastAsia"/>
              </w:rPr>
              <w:t>任务确认</w:t>
            </w:r>
          </w:p>
        </w:tc>
      </w:tr>
    </w:tbl>
    <w:p w14:paraId="7768E460">
      <w:pPr>
        <w:bidi w:val="0"/>
        <w:rPr>
          <w:rFonts w:hint="eastAsia"/>
        </w:rPr>
      </w:pPr>
    </w:p>
    <w:p w14:paraId="50EBB077">
      <w:pPr>
        <w:pStyle w:val="10"/>
        <w:bidi w:val="0"/>
        <w:rPr>
          <w:rFonts w:hint="eastAsia"/>
        </w:rPr>
      </w:pPr>
      <w:bookmarkStart w:id="103" w:name="_Toc1739817202"/>
      <w:bookmarkStart w:id="104" w:name="_Toc8455"/>
      <w:bookmarkStart w:id="105" w:name="_Toc1346564367"/>
      <w:bookmarkStart w:id="106" w:name="_Toc11926"/>
      <w:bookmarkStart w:id="107" w:name="_Toc23986"/>
      <w:r>
        <w:rPr>
          <w:rFonts w:hint="eastAsia"/>
        </w:rPr>
        <w:t>排产确认</w:t>
      </w:r>
      <w:bookmarkEnd w:id="103"/>
      <w:bookmarkEnd w:id="104"/>
      <w:bookmarkEnd w:id="105"/>
      <w:bookmarkEnd w:id="106"/>
      <w:bookmarkEnd w:id="107"/>
    </w:p>
    <w:p w14:paraId="62692DCF">
      <w:pPr>
        <w:bidi w:val="0"/>
        <w:rPr>
          <w:rFonts w:hint="eastAsia"/>
        </w:rPr>
      </w:pPr>
      <w:r>
        <w:drawing>
          <wp:inline distT="0" distB="0" distL="0" distR="0">
            <wp:extent cx="5274310" cy="7626985"/>
            <wp:effectExtent l="0" t="0" r="2540" b="1206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7626985"/>
                    </a:xfrm>
                    <a:prstGeom prst="rect">
                      <a:avLst/>
                    </a:prstGeom>
                    <a:noFill/>
                    <a:ln>
                      <a:noFill/>
                    </a:ln>
                  </pic:spPr>
                </pic:pic>
              </a:graphicData>
            </a:graphic>
          </wp:inline>
        </w:drawing>
      </w:r>
    </w:p>
    <w:tbl>
      <w:tblPr>
        <w:tblStyle w:val="43"/>
        <w:tblW w:w="4858" w:type="pct"/>
        <w:jc w:val="center"/>
        <w:tblLayout w:type="fixed"/>
        <w:tblCellMar>
          <w:top w:w="0" w:type="dxa"/>
          <w:left w:w="108" w:type="dxa"/>
          <w:bottom w:w="0" w:type="dxa"/>
          <w:right w:w="108" w:type="dxa"/>
        </w:tblCellMar>
      </w:tblPr>
      <w:tblGrid>
        <w:gridCol w:w="564"/>
        <w:gridCol w:w="1815"/>
        <w:gridCol w:w="1383"/>
        <w:gridCol w:w="1153"/>
        <w:gridCol w:w="4107"/>
      </w:tblGrid>
      <w:tr w14:paraId="1D244890">
        <w:tblPrEx>
          <w:tblCellMar>
            <w:top w:w="0" w:type="dxa"/>
            <w:left w:w="108" w:type="dxa"/>
            <w:bottom w:w="0" w:type="dxa"/>
            <w:right w:w="108" w:type="dxa"/>
          </w:tblCellMar>
        </w:tblPrEx>
        <w:trPr>
          <w:trHeight w:val="652" w:hRule="atLeast"/>
          <w:jc w:val="center"/>
        </w:trPr>
        <w:tc>
          <w:tcPr>
            <w:tcW w:w="313" w:type="pct"/>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C93ADD0">
            <w:pPr>
              <w:bidi w:val="0"/>
              <w:rPr>
                <w:rFonts w:hint="eastAsia"/>
              </w:rPr>
            </w:pPr>
            <w:r>
              <w:rPr>
                <w:rFonts w:hint="eastAsia"/>
              </w:rPr>
              <w:t>序号</w:t>
            </w:r>
          </w:p>
        </w:tc>
        <w:tc>
          <w:tcPr>
            <w:tcW w:w="1006" w:type="pct"/>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022AB852">
            <w:pPr>
              <w:bidi w:val="0"/>
              <w:rPr>
                <w:rFonts w:hint="eastAsia"/>
              </w:rPr>
            </w:pPr>
            <w:r>
              <w:rPr>
                <w:rFonts w:hint="eastAsia"/>
              </w:rPr>
              <w:t>节点名称</w:t>
            </w:r>
          </w:p>
        </w:tc>
        <w:tc>
          <w:tcPr>
            <w:tcW w:w="766" w:type="pct"/>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078190CC">
            <w:pPr>
              <w:bidi w:val="0"/>
              <w:rPr>
                <w:rFonts w:hint="eastAsia"/>
              </w:rPr>
            </w:pPr>
            <w:r>
              <w:rPr>
                <w:rFonts w:hint="eastAsia"/>
              </w:rPr>
              <w:t>节点类型（操作/作业流程/示意流程）</w:t>
            </w:r>
          </w:p>
        </w:tc>
        <w:tc>
          <w:tcPr>
            <w:tcW w:w="639" w:type="pct"/>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D8897DD">
            <w:pPr>
              <w:bidi w:val="0"/>
              <w:rPr>
                <w:rFonts w:hint="eastAsia"/>
              </w:rPr>
            </w:pPr>
            <w:r>
              <w:rPr>
                <w:rFonts w:hint="eastAsia"/>
              </w:rPr>
              <w:t>原信息系统</w:t>
            </w:r>
          </w:p>
        </w:tc>
        <w:tc>
          <w:tcPr>
            <w:tcW w:w="2277" w:type="pct"/>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B037C08">
            <w:pPr>
              <w:bidi w:val="0"/>
              <w:rPr>
                <w:rFonts w:hint="eastAsia"/>
              </w:rPr>
            </w:pPr>
            <w:r>
              <w:rPr>
                <w:rFonts w:hint="eastAsia"/>
              </w:rPr>
              <w:t>节点描述（如何做）</w:t>
            </w:r>
          </w:p>
        </w:tc>
      </w:tr>
      <w:tr w14:paraId="00469BF8">
        <w:tblPrEx>
          <w:tblCellMar>
            <w:top w:w="0" w:type="dxa"/>
            <w:left w:w="108" w:type="dxa"/>
            <w:bottom w:w="0" w:type="dxa"/>
            <w:right w:w="108" w:type="dxa"/>
          </w:tblCellMar>
        </w:tblPrEx>
        <w:trPr>
          <w:trHeight w:val="480" w:hRule="atLeast"/>
          <w:jc w:val="center"/>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E0875EF">
            <w:pPr>
              <w:bidi w:val="0"/>
              <w:rPr>
                <w:rFonts w:hint="eastAsia"/>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14:paraId="1F74227B">
            <w:pPr>
              <w:bidi w:val="0"/>
              <w:rPr>
                <w:rFonts w:hint="eastAsia"/>
              </w:rPr>
            </w:pPr>
          </w:p>
        </w:tc>
        <w:tc>
          <w:tcPr>
            <w:tcW w:w="766" w:type="pct"/>
            <w:vMerge w:val="continue"/>
            <w:tcBorders>
              <w:top w:val="single" w:color="auto" w:sz="4" w:space="0"/>
              <w:left w:val="single" w:color="auto" w:sz="4" w:space="0"/>
              <w:bottom w:val="single" w:color="auto" w:sz="4" w:space="0"/>
              <w:right w:val="single" w:color="auto" w:sz="4" w:space="0"/>
            </w:tcBorders>
            <w:vAlign w:val="center"/>
          </w:tcPr>
          <w:p w14:paraId="38D88224">
            <w:pPr>
              <w:bidi w:val="0"/>
              <w:rPr>
                <w:rFonts w:hint="eastAsia"/>
              </w:rPr>
            </w:pPr>
          </w:p>
        </w:tc>
        <w:tc>
          <w:tcPr>
            <w:tcW w:w="639" w:type="pct"/>
            <w:vMerge w:val="continue"/>
            <w:tcBorders>
              <w:top w:val="single" w:color="auto" w:sz="4" w:space="0"/>
              <w:left w:val="single" w:color="auto" w:sz="4" w:space="0"/>
              <w:bottom w:val="single" w:color="auto" w:sz="4" w:space="0"/>
              <w:right w:val="single" w:color="auto" w:sz="4" w:space="0"/>
            </w:tcBorders>
            <w:vAlign w:val="center"/>
          </w:tcPr>
          <w:p w14:paraId="2CD91363">
            <w:pPr>
              <w:bidi w:val="0"/>
              <w:rPr>
                <w:rFonts w:hint="eastAsia"/>
              </w:rPr>
            </w:pPr>
          </w:p>
        </w:tc>
        <w:tc>
          <w:tcPr>
            <w:tcW w:w="2277" w:type="pct"/>
            <w:vMerge w:val="continue"/>
            <w:tcBorders>
              <w:top w:val="single" w:color="auto" w:sz="4" w:space="0"/>
              <w:left w:val="single" w:color="auto" w:sz="4" w:space="0"/>
              <w:bottom w:val="single" w:color="auto" w:sz="4" w:space="0"/>
              <w:right w:val="single" w:color="auto" w:sz="4" w:space="0"/>
            </w:tcBorders>
            <w:vAlign w:val="center"/>
          </w:tcPr>
          <w:p w14:paraId="6E072C1D">
            <w:pPr>
              <w:bidi w:val="0"/>
              <w:rPr>
                <w:rFonts w:hint="eastAsia"/>
              </w:rPr>
            </w:pPr>
          </w:p>
        </w:tc>
      </w:tr>
      <w:tr w14:paraId="2107F906">
        <w:tblPrEx>
          <w:tblCellMar>
            <w:top w:w="0" w:type="dxa"/>
            <w:left w:w="108" w:type="dxa"/>
            <w:bottom w:w="0" w:type="dxa"/>
            <w:right w:w="108" w:type="dxa"/>
          </w:tblCellMar>
        </w:tblPrEx>
        <w:trPr>
          <w:trHeight w:val="468" w:hRule="atLeast"/>
          <w:jc w:val="center"/>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A788FBE">
            <w:pPr>
              <w:bidi w:val="0"/>
              <w:rPr>
                <w:rFonts w:hint="eastAsia"/>
              </w:rPr>
            </w:pPr>
          </w:p>
        </w:tc>
        <w:tc>
          <w:tcPr>
            <w:tcW w:w="1006" w:type="pct"/>
            <w:vMerge w:val="continue"/>
            <w:tcBorders>
              <w:top w:val="single" w:color="auto" w:sz="4" w:space="0"/>
              <w:left w:val="single" w:color="auto" w:sz="4" w:space="0"/>
              <w:bottom w:val="single" w:color="auto" w:sz="4" w:space="0"/>
              <w:right w:val="single" w:color="auto" w:sz="4" w:space="0"/>
            </w:tcBorders>
            <w:vAlign w:val="center"/>
          </w:tcPr>
          <w:p w14:paraId="0021498F">
            <w:pPr>
              <w:bidi w:val="0"/>
              <w:rPr>
                <w:rFonts w:hint="eastAsia"/>
              </w:rPr>
            </w:pPr>
          </w:p>
        </w:tc>
        <w:tc>
          <w:tcPr>
            <w:tcW w:w="766" w:type="pct"/>
            <w:vMerge w:val="continue"/>
            <w:tcBorders>
              <w:top w:val="single" w:color="auto" w:sz="4" w:space="0"/>
              <w:left w:val="single" w:color="auto" w:sz="4" w:space="0"/>
              <w:bottom w:val="single" w:color="auto" w:sz="4" w:space="0"/>
              <w:right w:val="single" w:color="auto" w:sz="4" w:space="0"/>
            </w:tcBorders>
            <w:vAlign w:val="center"/>
          </w:tcPr>
          <w:p w14:paraId="3B42F205">
            <w:pPr>
              <w:bidi w:val="0"/>
              <w:rPr>
                <w:rFonts w:hint="eastAsia"/>
              </w:rPr>
            </w:pPr>
          </w:p>
        </w:tc>
        <w:tc>
          <w:tcPr>
            <w:tcW w:w="639" w:type="pct"/>
            <w:vMerge w:val="continue"/>
            <w:tcBorders>
              <w:top w:val="single" w:color="auto" w:sz="4" w:space="0"/>
              <w:left w:val="single" w:color="auto" w:sz="4" w:space="0"/>
              <w:bottom w:val="single" w:color="auto" w:sz="4" w:space="0"/>
              <w:right w:val="single" w:color="auto" w:sz="4" w:space="0"/>
            </w:tcBorders>
            <w:vAlign w:val="center"/>
          </w:tcPr>
          <w:p w14:paraId="12840D41">
            <w:pPr>
              <w:bidi w:val="0"/>
              <w:rPr>
                <w:rFonts w:hint="eastAsia"/>
              </w:rPr>
            </w:pPr>
          </w:p>
        </w:tc>
        <w:tc>
          <w:tcPr>
            <w:tcW w:w="2277" w:type="pct"/>
            <w:vMerge w:val="continue"/>
            <w:tcBorders>
              <w:top w:val="single" w:color="auto" w:sz="4" w:space="0"/>
              <w:left w:val="single" w:color="auto" w:sz="4" w:space="0"/>
              <w:bottom w:val="single" w:color="auto" w:sz="4" w:space="0"/>
              <w:right w:val="single" w:color="auto" w:sz="4" w:space="0"/>
            </w:tcBorders>
            <w:vAlign w:val="center"/>
          </w:tcPr>
          <w:p w14:paraId="7CF32FD2">
            <w:pPr>
              <w:bidi w:val="0"/>
              <w:rPr>
                <w:rFonts w:hint="eastAsia"/>
              </w:rPr>
            </w:pPr>
          </w:p>
        </w:tc>
      </w:tr>
      <w:tr w14:paraId="52B8A558">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2DC294C7">
            <w:pPr>
              <w:bidi w:val="0"/>
              <w:rPr>
                <w:rFonts w:hint="eastAsia"/>
              </w:rPr>
            </w:pPr>
            <w:r>
              <w:rPr>
                <w:rFonts w:hint="eastAsia"/>
              </w:rPr>
              <w:t>1</w:t>
            </w:r>
          </w:p>
        </w:tc>
        <w:tc>
          <w:tcPr>
            <w:tcW w:w="1006" w:type="pct"/>
            <w:tcBorders>
              <w:top w:val="nil"/>
              <w:left w:val="nil"/>
              <w:bottom w:val="single" w:color="auto" w:sz="4" w:space="0"/>
              <w:right w:val="single" w:color="auto" w:sz="4" w:space="0"/>
            </w:tcBorders>
            <w:shd w:val="clear" w:color="auto" w:fill="auto"/>
            <w:vAlign w:val="center"/>
          </w:tcPr>
          <w:p w14:paraId="60BBD93C">
            <w:pPr>
              <w:bidi w:val="0"/>
              <w:rPr>
                <w:rFonts w:hint="eastAsia"/>
              </w:rPr>
            </w:pPr>
            <w:r>
              <w:rPr>
                <w:rFonts w:hint="eastAsia"/>
              </w:rPr>
              <w:t>脱机检测</w:t>
            </w:r>
          </w:p>
        </w:tc>
        <w:tc>
          <w:tcPr>
            <w:tcW w:w="766" w:type="pct"/>
            <w:tcBorders>
              <w:top w:val="nil"/>
              <w:left w:val="nil"/>
              <w:bottom w:val="single" w:color="auto" w:sz="4" w:space="0"/>
              <w:right w:val="single" w:color="auto" w:sz="4" w:space="0"/>
            </w:tcBorders>
            <w:shd w:val="clear" w:color="auto" w:fill="auto"/>
            <w:vAlign w:val="center"/>
          </w:tcPr>
          <w:p w14:paraId="329C24C6">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7140DE1F">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379C10E3">
            <w:pPr>
              <w:bidi w:val="0"/>
              <w:rPr>
                <w:rFonts w:hint="eastAsia"/>
              </w:rPr>
            </w:pPr>
            <w:r>
              <w:rPr>
                <w:rFonts w:hint="eastAsia"/>
              </w:rPr>
              <w:t>检测现场设备的状态</w:t>
            </w:r>
          </w:p>
        </w:tc>
      </w:tr>
      <w:tr w14:paraId="36189F45">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2C79B62A">
            <w:pPr>
              <w:bidi w:val="0"/>
              <w:rPr>
                <w:rFonts w:hint="eastAsia"/>
              </w:rPr>
            </w:pPr>
            <w:r>
              <w:rPr>
                <w:rFonts w:hint="eastAsia"/>
              </w:rPr>
              <w:t>2</w:t>
            </w:r>
          </w:p>
        </w:tc>
        <w:tc>
          <w:tcPr>
            <w:tcW w:w="1006" w:type="pct"/>
            <w:tcBorders>
              <w:top w:val="nil"/>
              <w:left w:val="nil"/>
              <w:bottom w:val="single" w:color="auto" w:sz="4" w:space="0"/>
              <w:right w:val="single" w:color="auto" w:sz="4" w:space="0"/>
            </w:tcBorders>
            <w:shd w:val="clear" w:color="auto" w:fill="auto"/>
            <w:vAlign w:val="center"/>
          </w:tcPr>
          <w:p w14:paraId="13AC0AD7">
            <w:pPr>
              <w:bidi w:val="0"/>
              <w:rPr>
                <w:rFonts w:hint="eastAsia"/>
              </w:rPr>
            </w:pPr>
            <w:r>
              <w:rPr>
                <w:rFonts w:hint="eastAsia"/>
              </w:rPr>
              <w:t xml:space="preserve">用户身份验证 </w:t>
            </w:r>
          </w:p>
        </w:tc>
        <w:tc>
          <w:tcPr>
            <w:tcW w:w="766" w:type="pct"/>
            <w:tcBorders>
              <w:top w:val="nil"/>
              <w:left w:val="nil"/>
              <w:bottom w:val="single" w:color="auto" w:sz="4" w:space="0"/>
              <w:right w:val="single" w:color="auto" w:sz="4" w:space="0"/>
            </w:tcBorders>
            <w:shd w:val="clear" w:color="auto" w:fill="auto"/>
            <w:vAlign w:val="center"/>
          </w:tcPr>
          <w:p w14:paraId="222ED0A5">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13E1AA11">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4745C540">
            <w:pPr>
              <w:bidi w:val="0"/>
              <w:rPr>
                <w:rFonts w:hint="eastAsia"/>
              </w:rPr>
            </w:pPr>
            <w:r>
              <w:rPr>
                <w:rFonts w:hint="eastAsia"/>
              </w:rPr>
              <w:t>用户登陆时身份权限进行认真</w:t>
            </w:r>
          </w:p>
        </w:tc>
      </w:tr>
      <w:tr w14:paraId="1566D5D4">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77703B78">
            <w:pPr>
              <w:bidi w:val="0"/>
              <w:rPr>
                <w:rFonts w:hint="eastAsia"/>
              </w:rPr>
            </w:pPr>
            <w:r>
              <w:rPr>
                <w:rFonts w:hint="eastAsia"/>
              </w:rPr>
              <w:t>6</w:t>
            </w:r>
          </w:p>
        </w:tc>
        <w:tc>
          <w:tcPr>
            <w:tcW w:w="1006" w:type="pct"/>
            <w:tcBorders>
              <w:top w:val="nil"/>
              <w:left w:val="nil"/>
              <w:bottom w:val="single" w:color="auto" w:sz="4" w:space="0"/>
              <w:right w:val="single" w:color="auto" w:sz="4" w:space="0"/>
            </w:tcBorders>
            <w:shd w:val="clear" w:color="auto" w:fill="auto"/>
            <w:vAlign w:val="center"/>
          </w:tcPr>
          <w:p w14:paraId="3D8CF9AE">
            <w:pPr>
              <w:bidi w:val="0"/>
              <w:rPr>
                <w:rFonts w:hint="eastAsia"/>
              </w:rPr>
            </w:pPr>
            <w:r>
              <w:rPr>
                <w:rFonts w:hint="eastAsia"/>
              </w:rPr>
              <w:t>排班计划同步</w:t>
            </w:r>
          </w:p>
        </w:tc>
        <w:tc>
          <w:tcPr>
            <w:tcW w:w="766" w:type="pct"/>
            <w:tcBorders>
              <w:top w:val="nil"/>
              <w:left w:val="nil"/>
              <w:bottom w:val="single" w:color="auto" w:sz="4" w:space="0"/>
              <w:right w:val="single" w:color="auto" w:sz="4" w:space="0"/>
            </w:tcBorders>
            <w:shd w:val="clear" w:color="auto" w:fill="auto"/>
            <w:vAlign w:val="center"/>
          </w:tcPr>
          <w:p w14:paraId="2BD727D7">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6CC1D729">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143F58E3">
            <w:pPr>
              <w:bidi w:val="0"/>
              <w:rPr>
                <w:rFonts w:hint="eastAsia"/>
              </w:rPr>
            </w:pPr>
            <w:r>
              <w:rPr>
                <w:rFonts w:hint="eastAsia"/>
              </w:rPr>
              <w:t>与厂级服务器上的排班计划数据进行同步</w:t>
            </w:r>
          </w:p>
        </w:tc>
      </w:tr>
      <w:tr w14:paraId="40E5FF93">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6CCE8037">
            <w:pPr>
              <w:bidi w:val="0"/>
              <w:rPr>
                <w:rFonts w:hint="eastAsia"/>
              </w:rPr>
            </w:pPr>
            <w:r>
              <w:rPr>
                <w:rFonts w:hint="eastAsia"/>
              </w:rPr>
              <w:t>7</w:t>
            </w:r>
          </w:p>
        </w:tc>
        <w:tc>
          <w:tcPr>
            <w:tcW w:w="1006" w:type="pct"/>
            <w:tcBorders>
              <w:top w:val="nil"/>
              <w:left w:val="nil"/>
              <w:bottom w:val="single" w:color="auto" w:sz="4" w:space="0"/>
              <w:right w:val="single" w:color="auto" w:sz="4" w:space="0"/>
            </w:tcBorders>
            <w:shd w:val="clear" w:color="auto" w:fill="auto"/>
            <w:vAlign w:val="center"/>
          </w:tcPr>
          <w:p w14:paraId="4EA5D4B6">
            <w:pPr>
              <w:bidi w:val="0"/>
              <w:rPr>
                <w:rFonts w:hint="eastAsia"/>
              </w:rPr>
            </w:pPr>
            <w:r>
              <w:rPr>
                <w:rFonts w:hint="eastAsia"/>
              </w:rPr>
              <w:t>“盒条件”厂级排班计划配置库</w:t>
            </w:r>
          </w:p>
        </w:tc>
        <w:tc>
          <w:tcPr>
            <w:tcW w:w="766" w:type="pct"/>
            <w:tcBorders>
              <w:top w:val="nil"/>
              <w:left w:val="nil"/>
              <w:bottom w:val="single" w:color="auto" w:sz="4" w:space="0"/>
              <w:right w:val="single" w:color="auto" w:sz="4" w:space="0"/>
            </w:tcBorders>
            <w:shd w:val="clear" w:color="auto" w:fill="auto"/>
            <w:vAlign w:val="center"/>
          </w:tcPr>
          <w:p w14:paraId="574A98DB">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15D39890">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7263576A">
            <w:pPr>
              <w:bidi w:val="0"/>
              <w:rPr>
                <w:rFonts w:hint="eastAsia"/>
              </w:rPr>
            </w:pPr>
            <w:r>
              <w:rPr>
                <w:rFonts w:hint="eastAsia"/>
              </w:rPr>
              <w:t>“盒条件”厂级排班计划管理</w:t>
            </w:r>
          </w:p>
        </w:tc>
      </w:tr>
      <w:tr w14:paraId="514E21DC">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526062C1">
            <w:pPr>
              <w:bidi w:val="0"/>
              <w:rPr>
                <w:rFonts w:hint="eastAsia"/>
              </w:rPr>
            </w:pPr>
            <w:r>
              <w:rPr>
                <w:rFonts w:hint="eastAsia"/>
              </w:rPr>
              <w:t>8</w:t>
            </w:r>
          </w:p>
        </w:tc>
        <w:tc>
          <w:tcPr>
            <w:tcW w:w="1006" w:type="pct"/>
            <w:tcBorders>
              <w:top w:val="nil"/>
              <w:left w:val="nil"/>
              <w:bottom w:val="single" w:color="auto" w:sz="4" w:space="0"/>
              <w:right w:val="single" w:color="auto" w:sz="4" w:space="0"/>
            </w:tcBorders>
            <w:shd w:val="clear" w:color="auto" w:fill="auto"/>
            <w:vAlign w:val="center"/>
          </w:tcPr>
          <w:p w14:paraId="3E26B74E">
            <w:pPr>
              <w:bidi w:val="0"/>
              <w:rPr>
                <w:rFonts w:hint="eastAsia"/>
              </w:rPr>
            </w:pPr>
            <w:r>
              <w:rPr>
                <w:rFonts w:hint="eastAsia"/>
              </w:rPr>
              <w:t>读取设备现场排班计划</w:t>
            </w:r>
          </w:p>
        </w:tc>
        <w:tc>
          <w:tcPr>
            <w:tcW w:w="766" w:type="pct"/>
            <w:tcBorders>
              <w:top w:val="nil"/>
              <w:left w:val="nil"/>
              <w:bottom w:val="single" w:color="auto" w:sz="4" w:space="0"/>
              <w:right w:val="single" w:color="auto" w:sz="4" w:space="0"/>
            </w:tcBorders>
            <w:shd w:val="clear" w:color="auto" w:fill="auto"/>
            <w:vAlign w:val="center"/>
          </w:tcPr>
          <w:p w14:paraId="4519694F">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5CA54701">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5AA1ECE6">
            <w:pPr>
              <w:bidi w:val="0"/>
              <w:rPr>
                <w:rFonts w:hint="eastAsia"/>
              </w:rPr>
            </w:pPr>
            <w:r>
              <w:rPr>
                <w:rFonts w:hint="eastAsia"/>
              </w:rPr>
              <w:t>在脱机状态下，获取现场子系统已有的排班计划数据</w:t>
            </w:r>
          </w:p>
        </w:tc>
      </w:tr>
      <w:tr w14:paraId="50A4C4D2">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62E74051">
            <w:pPr>
              <w:bidi w:val="0"/>
              <w:rPr>
                <w:rFonts w:hint="eastAsia"/>
              </w:rPr>
            </w:pPr>
            <w:r>
              <w:rPr>
                <w:rFonts w:hint="eastAsia"/>
              </w:rPr>
              <w:t>9</w:t>
            </w:r>
          </w:p>
        </w:tc>
        <w:tc>
          <w:tcPr>
            <w:tcW w:w="1006" w:type="pct"/>
            <w:tcBorders>
              <w:top w:val="nil"/>
              <w:left w:val="nil"/>
              <w:bottom w:val="single" w:color="auto" w:sz="4" w:space="0"/>
              <w:right w:val="single" w:color="auto" w:sz="4" w:space="0"/>
            </w:tcBorders>
            <w:shd w:val="clear" w:color="auto" w:fill="auto"/>
            <w:vAlign w:val="center"/>
          </w:tcPr>
          <w:p w14:paraId="68BD8026">
            <w:pPr>
              <w:bidi w:val="0"/>
              <w:rPr>
                <w:rFonts w:hint="eastAsia"/>
              </w:rPr>
            </w:pPr>
            <w:r>
              <w:rPr>
                <w:rFonts w:hint="eastAsia"/>
              </w:rPr>
              <w:t>现场操作工任务领取</w:t>
            </w:r>
          </w:p>
        </w:tc>
        <w:tc>
          <w:tcPr>
            <w:tcW w:w="766" w:type="pct"/>
            <w:tcBorders>
              <w:top w:val="nil"/>
              <w:left w:val="nil"/>
              <w:bottom w:val="single" w:color="auto" w:sz="4" w:space="0"/>
              <w:right w:val="single" w:color="auto" w:sz="4" w:space="0"/>
            </w:tcBorders>
            <w:shd w:val="clear" w:color="auto" w:fill="auto"/>
            <w:vAlign w:val="center"/>
          </w:tcPr>
          <w:p w14:paraId="4C935B06">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48CD527E">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31E0B3DE">
            <w:pPr>
              <w:bidi w:val="0"/>
              <w:rPr>
                <w:rFonts w:hint="eastAsia"/>
              </w:rPr>
            </w:pPr>
            <w:r>
              <w:rPr>
                <w:rFonts w:hint="eastAsia"/>
              </w:rPr>
              <w:t>现场子系统上操作工对于获取的排班计划的领取</w:t>
            </w:r>
          </w:p>
        </w:tc>
      </w:tr>
      <w:tr w14:paraId="2760B300">
        <w:tblPrEx>
          <w:tblCellMar>
            <w:top w:w="0" w:type="dxa"/>
            <w:left w:w="108" w:type="dxa"/>
            <w:bottom w:w="0" w:type="dxa"/>
            <w:right w:w="108" w:type="dxa"/>
          </w:tblCellMar>
        </w:tblPrEx>
        <w:trPr>
          <w:trHeight w:val="957" w:hRule="atLeast"/>
          <w:jc w:val="center"/>
        </w:trPr>
        <w:tc>
          <w:tcPr>
            <w:tcW w:w="313" w:type="pct"/>
            <w:tcBorders>
              <w:top w:val="nil"/>
              <w:left w:val="single" w:color="auto" w:sz="4" w:space="0"/>
              <w:bottom w:val="single" w:color="auto" w:sz="4" w:space="0"/>
              <w:right w:val="single" w:color="auto" w:sz="4" w:space="0"/>
            </w:tcBorders>
            <w:shd w:val="clear" w:color="auto" w:fill="auto"/>
            <w:vAlign w:val="center"/>
          </w:tcPr>
          <w:p w14:paraId="366C6AA8">
            <w:pPr>
              <w:bidi w:val="0"/>
              <w:rPr>
                <w:rFonts w:hint="eastAsia"/>
              </w:rPr>
            </w:pPr>
            <w:r>
              <w:rPr>
                <w:rFonts w:hint="eastAsia"/>
              </w:rPr>
              <w:t>10</w:t>
            </w:r>
          </w:p>
        </w:tc>
        <w:tc>
          <w:tcPr>
            <w:tcW w:w="1006" w:type="pct"/>
            <w:tcBorders>
              <w:top w:val="nil"/>
              <w:left w:val="nil"/>
              <w:bottom w:val="single" w:color="auto" w:sz="4" w:space="0"/>
              <w:right w:val="single" w:color="auto" w:sz="4" w:space="0"/>
            </w:tcBorders>
            <w:shd w:val="clear" w:color="auto" w:fill="auto"/>
            <w:vAlign w:val="center"/>
          </w:tcPr>
          <w:p w14:paraId="2A8DDC0B">
            <w:pPr>
              <w:bidi w:val="0"/>
              <w:rPr>
                <w:rFonts w:hint="eastAsia"/>
              </w:rPr>
            </w:pPr>
            <w:r>
              <w:rPr>
                <w:rFonts w:hint="eastAsia"/>
              </w:rPr>
              <w:t>与实际是否相符</w:t>
            </w:r>
          </w:p>
        </w:tc>
        <w:tc>
          <w:tcPr>
            <w:tcW w:w="766" w:type="pct"/>
            <w:tcBorders>
              <w:top w:val="nil"/>
              <w:left w:val="nil"/>
              <w:bottom w:val="single" w:color="auto" w:sz="4" w:space="0"/>
              <w:right w:val="single" w:color="auto" w:sz="4" w:space="0"/>
            </w:tcBorders>
            <w:shd w:val="clear" w:color="auto" w:fill="auto"/>
            <w:vAlign w:val="center"/>
          </w:tcPr>
          <w:p w14:paraId="1E4A95A4">
            <w:pPr>
              <w:bidi w:val="0"/>
              <w:rPr>
                <w:rFonts w:hint="eastAsia"/>
              </w:rPr>
            </w:pPr>
            <w:r>
              <w:rPr>
                <w:rFonts w:hint="eastAsia"/>
              </w:rPr>
              <w:t>操作</w:t>
            </w:r>
          </w:p>
        </w:tc>
        <w:tc>
          <w:tcPr>
            <w:tcW w:w="639" w:type="pct"/>
            <w:tcBorders>
              <w:top w:val="nil"/>
              <w:left w:val="nil"/>
              <w:bottom w:val="single" w:color="auto" w:sz="4" w:space="0"/>
              <w:right w:val="single" w:color="auto" w:sz="4" w:space="0"/>
            </w:tcBorders>
            <w:shd w:val="clear" w:color="auto" w:fill="auto"/>
            <w:vAlign w:val="center"/>
          </w:tcPr>
          <w:p w14:paraId="3B460849">
            <w:pPr>
              <w:bidi w:val="0"/>
              <w:rPr>
                <w:rFonts w:hint="eastAsia"/>
              </w:rPr>
            </w:pPr>
            <w:r>
              <w:rPr>
                <w:rFonts w:hint="eastAsia"/>
              </w:rPr>
              <w:t>　</w:t>
            </w:r>
          </w:p>
        </w:tc>
        <w:tc>
          <w:tcPr>
            <w:tcW w:w="2277" w:type="pct"/>
            <w:tcBorders>
              <w:top w:val="nil"/>
              <w:left w:val="nil"/>
              <w:bottom w:val="single" w:color="auto" w:sz="4" w:space="0"/>
              <w:right w:val="single" w:color="auto" w:sz="4" w:space="0"/>
            </w:tcBorders>
            <w:shd w:val="clear" w:color="auto" w:fill="auto"/>
            <w:vAlign w:val="center"/>
          </w:tcPr>
          <w:p w14:paraId="6F5600B6">
            <w:pPr>
              <w:bidi w:val="0"/>
              <w:rPr>
                <w:rFonts w:hint="eastAsia"/>
              </w:rPr>
            </w:pPr>
            <w:r>
              <w:rPr>
                <w:rFonts w:hint="eastAsia"/>
              </w:rPr>
              <w:t>判断与实际生产任务是否符合</w:t>
            </w:r>
          </w:p>
        </w:tc>
      </w:tr>
      <w:tr w14:paraId="5FD95FF2">
        <w:tblPrEx>
          <w:tblCellMar>
            <w:top w:w="0" w:type="dxa"/>
            <w:left w:w="108" w:type="dxa"/>
            <w:bottom w:w="0" w:type="dxa"/>
            <w:right w:w="108" w:type="dxa"/>
          </w:tblCellMar>
        </w:tblPrEx>
        <w:trPr>
          <w:trHeight w:val="957" w:hRule="atLeast"/>
          <w:jc w:val="center"/>
        </w:trPr>
        <w:tc>
          <w:tcPr>
            <w:tcW w:w="313" w:type="pct"/>
            <w:tcBorders>
              <w:top w:val="single" w:color="auto" w:sz="4" w:space="0"/>
              <w:left w:val="single" w:color="auto" w:sz="4" w:space="0"/>
              <w:bottom w:val="single" w:color="auto" w:sz="4" w:space="0"/>
              <w:right w:val="single" w:color="auto" w:sz="4" w:space="0"/>
            </w:tcBorders>
            <w:shd w:val="clear" w:color="auto" w:fill="auto"/>
            <w:vAlign w:val="center"/>
          </w:tcPr>
          <w:p w14:paraId="048E2E99">
            <w:pPr>
              <w:bidi w:val="0"/>
              <w:rPr>
                <w:rFonts w:hint="eastAsia"/>
              </w:rPr>
            </w:pPr>
            <w:r>
              <w:rPr>
                <w:rFonts w:hint="eastAsia"/>
              </w:rPr>
              <w:t>11</w:t>
            </w:r>
          </w:p>
        </w:tc>
        <w:tc>
          <w:tcPr>
            <w:tcW w:w="1006" w:type="pct"/>
            <w:tcBorders>
              <w:top w:val="single" w:color="auto" w:sz="4" w:space="0"/>
              <w:left w:val="single" w:color="auto" w:sz="4" w:space="0"/>
              <w:bottom w:val="single" w:color="auto" w:sz="4" w:space="0"/>
              <w:right w:val="single" w:color="auto" w:sz="4" w:space="0"/>
            </w:tcBorders>
            <w:shd w:val="clear" w:color="auto" w:fill="auto"/>
            <w:vAlign w:val="center"/>
          </w:tcPr>
          <w:p w14:paraId="1C91DB51">
            <w:pPr>
              <w:bidi w:val="0"/>
              <w:rPr>
                <w:rFonts w:hint="eastAsia"/>
              </w:rPr>
            </w:pPr>
            <w:r>
              <w:rPr>
                <w:rFonts w:hint="eastAsia"/>
              </w:rPr>
              <w:t>10现场操作工排班配置</w:t>
            </w:r>
          </w:p>
        </w:tc>
        <w:tc>
          <w:tcPr>
            <w:tcW w:w="766" w:type="pct"/>
            <w:tcBorders>
              <w:top w:val="single" w:color="auto" w:sz="4" w:space="0"/>
              <w:left w:val="single" w:color="auto" w:sz="4" w:space="0"/>
              <w:bottom w:val="single" w:color="auto" w:sz="4" w:space="0"/>
              <w:right w:val="single" w:color="auto" w:sz="4" w:space="0"/>
            </w:tcBorders>
            <w:shd w:val="clear" w:color="auto" w:fill="auto"/>
            <w:vAlign w:val="center"/>
          </w:tcPr>
          <w:p w14:paraId="3D15840B">
            <w:pPr>
              <w:bidi w:val="0"/>
              <w:rPr>
                <w:rFonts w:hint="eastAsia"/>
              </w:rPr>
            </w:pPr>
            <w:r>
              <w:rPr>
                <w:rFonts w:hint="eastAsia"/>
              </w:rPr>
              <w:t>操作</w:t>
            </w:r>
          </w:p>
        </w:tc>
        <w:tc>
          <w:tcPr>
            <w:tcW w:w="639" w:type="pct"/>
            <w:tcBorders>
              <w:top w:val="single" w:color="auto" w:sz="4" w:space="0"/>
              <w:left w:val="single" w:color="auto" w:sz="4" w:space="0"/>
              <w:bottom w:val="single" w:color="auto" w:sz="4" w:space="0"/>
              <w:right w:val="single" w:color="auto" w:sz="4" w:space="0"/>
            </w:tcBorders>
            <w:shd w:val="clear" w:color="auto" w:fill="auto"/>
            <w:vAlign w:val="center"/>
          </w:tcPr>
          <w:p w14:paraId="7BC7E990">
            <w:pPr>
              <w:bidi w:val="0"/>
              <w:rPr>
                <w:rFonts w:hint="eastAsia"/>
              </w:rPr>
            </w:pPr>
            <w:r>
              <w:rPr>
                <w:rFonts w:hint="eastAsia"/>
              </w:rPr>
              <w:t>　</w:t>
            </w:r>
          </w:p>
        </w:tc>
        <w:tc>
          <w:tcPr>
            <w:tcW w:w="2277" w:type="pct"/>
            <w:tcBorders>
              <w:top w:val="single" w:color="auto" w:sz="4" w:space="0"/>
              <w:left w:val="single" w:color="auto" w:sz="4" w:space="0"/>
              <w:bottom w:val="single" w:color="auto" w:sz="4" w:space="0"/>
              <w:right w:val="single" w:color="auto" w:sz="4" w:space="0"/>
            </w:tcBorders>
            <w:shd w:val="clear" w:color="auto" w:fill="auto"/>
            <w:vAlign w:val="center"/>
          </w:tcPr>
          <w:p w14:paraId="5D69BC70">
            <w:pPr>
              <w:bidi w:val="0"/>
              <w:rPr>
                <w:rFonts w:hint="eastAsia"/>
              </w:rPr>
            </w:pPr>
            <w:r>
              <w:rPr>
                <w:rFonts w:hint="eastAsia"/>
              </w:rPr>
              <w:t>当与实际任务不相符时，现场设备操作工对于排班的更正</w:t>
            </w:r>
          </w:p>
        </w:tc>
      </w:tr>
      <w:tr w14:paraId="20674231">
        <w:tblPrEx>
          <w:tblCellMar>
            <w:top w:w="0" w:type="dxa"/>
            <w:left w:w="108" w:type="dxa"/>
            <w:bottom w:w="0" w:type="dxa"/>
            <w:right w:w="108" w:type="dxa"/>
          </w:tblCellMar>
        </w:tblPrEx>
        <w:trPr>
          <w:trHeight w:val="957" w:hRule="atLeast"/>
          <w:jc w:val="center"/>
        </w:trPr>
        <w:tc>
          <w:tcPr>
            <w:tcW w:w="313" w:type="pct"/>
            <w:tcBorders>
              <w:top w:val="single" w:color="auto" w:sz="4" w:space="0"/>
              <w:left w:val="single" w:color="auto" w:sz="4" w:space="0"/>
              <w:bottom w:val="single" w:color="auto" w:sz="4" w:space="0"/>
              <w:right w:val="single" w:color="auto" w:sz="4" w:space="0"/>
            </w:tcBorders>
            <w:shd w:val="clear" w:color="auto" w:fill="auto"/>
            <w:vAlign w:val="center"/>
          </w:tcPr>
          <w:p w14:paraId="78D6172A">
            <w:pPr>
              <w:bidi w:val="0"/>
              <w:rPr>
                <w:rFonts w:hint="eastAsia"/>
              </w:rPr>
            </w:pPr>
            <w:r>
              <w:rPr>
                <w:rFonts w:hint="eastAsia"/>
              </w:rPr>
              <w:t>12</w:t>
            </w:r>
          </w:p>
        </w:tc>
        <w:tc>
          <w:tcPr>
            <w:tcW w:w="1006" w:type="pct"/>
            <w:tcBorders>
              <w:top w:val="single" w:color="auto" w:sz="4" w:space="0"/>
              <w:left w:val="nil"/>
              <w:bottom w:val="single" w:color="auto" w:sz="4" w:space="0"/>
              <w:right w:val="single" w:color="auto" w:sz="4" w:space="0"/>
            </w:tcBorders>
            <w:shd w:val="clear" w:color="auto" w:fill="auto"/>
            <w:vAlign w:val="center"/>
          </w:tcPr>
          <w:p w14:paraId="5429D59A">
            <w:pPr>
              <w:bidi w:val="0"/>
              <w:rPr>
                <w:rFonts w:hint="eastAsia"/>
              </w:rPr>
            </w:pPr>
            <w:r>
              <w:rPr>
                <w:rFonts w:hint="eastAsia"/>
              </w:rPr>
              <w:t>11任务确认</w:t>
            </w:r>
          </w:p>
        </w:tc>
        <w:tc>
          <w:tcPr>
            <w:tcW w:w="766" w:type="pct"/>
            <w:tcBorders>
              <w:top w:val="single" w:color="auto" w:sz="4" w:space="0"/>
              <w:left w:val="nil"/>
              <w:bottom w:val="single" w:color="auto" w:sz="4" w:space="0"/>
              <w:right w:val="single" w:color="auto" w:sz="4" w:space="0"/>
            </w:tcBorders>
            <w:shd w:val="clear" w:color="auto" w:fill="auto"/>
            <w:vAlign w:val="center"/>
          </w:tcPr>
          <w:p w14:paraId="04F36F88">
            <w:pPr>
              <w:bidi w:val="0"/>
              <w:rPr>
                <w:rFonts w:hint="eastAsia"/>
              </w:rPr>
            </w:pPr>
            <w:r>
              <w:rPr>
                <w:rFonts w:hint="eastAsia"/>
              </w:rPr>
              <w:t>操作</w:t>
            </w:r>
          </w:p>
        </w:tc>
        <w:tc>
          <w:tcPr>
            <w:tcW w:w="639" w:type="pct"/>
            <w:tcBorders>
              <w:top w:val="single" w:color="auto" w:sz="4" w:space="0"/>
              <w:left w:val="nil"/>
              <w:bottom w:val="single" w:color="auto" w:sz="4" w:space="0"/>
              <w:right w:val="single" w:color="auto" w:sz="4" w:space="0"/>
            </w:tcBorders>
            <w:shd w:val="clear" w:color="auto" w:fill="auto"/>
            <w:vAlign w:val="center"/>
          </w:tcPr>
          <w:p w14:paraId="0231B97E">
            <w:pPr>
              <w:bidi w:val="0"/>
              <w:rPr>
                <w:rFonts w:hint="eastAsia"/>
              </w:rPr>
            </w:pPr>
            <w:r>
              <w:rPr>
                <w:rFonts w:hint="eastAsia"/>
              </w:rPr>
              <w:t>　</w:t>
            </w:r>
          </w:p>
        </w:tc>
        <w:tc>
          <w:tcPr>
            <w:tcW w:w="2277" w:type="pct"/>
            <w:tcBorders>
              <w:top w:val="single" w:color="auto" w:sz="4" w:space="0"/>
              <w:left w:val="nil"/>
              <w:bottom w:val="single" w:color="auto" w:sz="4" w:space="0"/>
              <w:right w:val="single" w:color="auto" w:sz="4" w:space="0"/>
            </w:tcBorders>
            <w:shd w:val="clear" w:color="auto" w:fill="auto"/>
            <w:vAlign w:val="center"/>
          </w:tcPr>
          <w:p w14:paraId="7A717026">
            <w:pPr>
              <w:bidi w:val="0"/>
              <w:rPr>
                <w:rFonts w:hint="eastAsia"/>
              </w:rPr>
            </w:pPr>
            <w:r>
              <w:rPr>
                <w:rFonts w:hint="eastAsia"/>
              </w:rPr>
              <w:t>任务确认</w:t>
            </w:r>
          </w:p>
        </w:tc>
      </w:tr>
    </w:tbl>
    <w:p w14:paraId="07EEB33B">
      <w:pPr>
        <w:bidi w:val="0"/>
        <w:rPr>
          <w:rFonts w:hint="eastAsia"/>
        </w:rPr>
      </w:pPr>
    </w:p>
    <w:p w14:paraId="289575AC">
      <w:pPr>
        <w:pStyle w:val="10"/>
        <w:bidi w:val="0"/>
        <w:rPr>
          <w:rFonts w:hint="eastAsia"/>
        </w:rPr>
      </w:pPr>
      <w:bookmarkStart w:id="108" w:name="_Toc25787"/>
      <w:bookmarkStart w:id="109" w:name="_Toc9761"/>
      <w:bookmarkStart w:id="110" w:name="_Toc4039"/>
      <w:bookmarkStart w:id="111" w:name="_Toc212015541"/>
      <w:bookmarkStart w:id="112" w:name="_Toc1468401263"/>
      <w:r>
        <w:rPr>
          <w:rFonts w:hint="eastAsia"/>
        </w:rPr>
        <w:t>“盒条”在线关联</w:t>
      </w:r>
      <w:bookmarkEnd w:id="108"/>
      <w:bookmarkEnd w:id="109"/>
      <w:bookmarkEnd w:id="110"/>
      <w:bookmarkEnd w:id="111"/>
      <w:bookmarkEnd w:id="112"/>
    </w:p>
    <w:p w14:paraId="10F0F761">
      <w:pPr>
        <w:bidi w:val="0"/>
        <w:rPr>
          <w:rFonts w:hint="eastAsia"/>
        </w:rPr>
      </w:pPr>
      <w:r>
        <w:drawing>
          <wp:inline distT="0" distB="0" distL="0" distR="0">
            <wp:extent cx="5267960" cy="7432040"/>
            <wp:effectExtent l="0" t="0" r="8890" b="1651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67960" cy="7432040"/>
                    </a:xfrm>
                    <a:prstGeom prst="rect">
                      <a:avLst/>
                    </a:prstGeom>
                    <a:noFill/>
                    <a:ln>
                      <a:noFill/>
                    </a:ln>
                  </pic:spPr>
                </pic:pic>
              </a:graphicData>
            </a:graphic>
          </wp:inline>
        </w:drawing>
      </w:r>
    </w:p>
    <w:p w14:paraId="52C2596E">
      <w:pPr>
        <w:bidi w:val="0"/>
        <w:rPr>
          <w:rFonts w:hint="eastAsia"/>
        </w:rPr>
      </w:pPr>
    </w:p>
    <w:tbl>
      <w:tblPr>
        <w:tblStyle w:val="43"/>
        <w:tblW w:w="9102" w:type="dxa"/>
        <w:jc w:val="center"/>
        <w:tblLayout w:type="autofit"/>
        <w:tblCellMar>
          <w:top w:w="0" w:type="dxa"/>
          <w:left w:w="108" w:type="dxa"/>
          <w:bottom w:w="0" w:type="dxa"/>
          <w:right w:w="108" w:type="dxa"/>
        </w:tblCellMar>
      </w:tblPr>
      <w:tblGrid>
        <w:gridCol w:w="699"/>
        <w:gridCol w:w="2259"/>
        <w:gridCol w:w="1506"/>
        <w:gridCol w:w="4638"/>
      </w:tblGrid>
      <w:tr w14:paraId="35DAC2ED">
        <w:trPr>
          <w:trHeight w:val="652" w:hRule="atLeast"/>
          <w:jc w:val="center"/>
        </w:trPr>
        <w:tc>
          <w:tcPr>
            <w:tcW w:w="69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CDE84D7">
            <w:pPr>
              <w:bidi w:val="0"/>
              <w:rPr>
                <w:rFonts w:hint="eastAsia"/>
              </w:rPr>
            </w:pPr>
            <w:r>
              <w:rPr>
                <w:rFonts w:hint="eastAsia"/>
              </w:rPr>
              <w:t>序号</w:t>
            </w:r>
          </w:p>
        </w:tc>
        <w:tc>
          <w:tcPr>
            <w:tcW w:w="225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C7F6BFC">
            <w:pPr>
              <w:bidi w:val="0"/>
              <w:rPr>
                <w:rFonts w:hint="eastAsia"/>
              </w:rPr>
            </w:pPr>
            <w:r>
              <w:rPr>
                <w:rFonts w:hint="eastAsia"/>
              </w:rPr>
              <w:t>节点名称</w:t>
            </w:r>
          </w:p>
        </w:tc>
        <w:tc>
          <w:tcPr>
            <w:tcW w:w="1506"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E071A09">
            <w:pPr>
              <w:bidi w:val="0"/>
              <w:rPr>
                <w:rFonts w:hint="eastAsia"/>
              </w:rPr>
            </w:pPr>
            <w:r>
              <w:rPr>
                <w:rFonts w:hint="eastAsia"/>
              </w:rPr>
              <w:t>节点类型（操作/作业流程/示意流程）</w:t>
            </w:r>
          </w:p>
        </w:tc>
        <w:tc>
          <w:tcPr>
            <w:tcW w:w="4638"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68BB95D">
            <w:pPr>
              <w:bidi w:val="0"/>
              <w:rPr>
                <w:rFonts w:hint="eastAsia"/>
              </w:rPr>
            </w:pPr>
            <w:r>
              <w:rPr>
                <w:rFonts w:hint="eastAsia"/>
              </w:rPr>
              <w:t>节点描述（如何做）</w:t>
            </w:r>
          </w:p>
        </w:tc>
      </w:tr>
      <w:tr w14:paraId="5D653A8B">
        <w:tblPrEx>
          <w:tblCellMar>
            <w:top w:w="0" w:type="dxa"/>
            <w:left w:w="108" w:type="dxa"/>
            <w:bottom w:w="0" w:type="dxa"/>
            <w:right w:w="108" w:type="dxa"/>
          </w:tblCellMar>
        </w:tblPrEx>
        <w:trPr>
          <w:trHeight w:val="48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0E9128B">
            <w:pPr>
              <w:bidi w:val="0"/>
              <w:rPr>
                <w:rFonts w:hint="eastAsia"/>
              </w:rPr>
            </w:pPr>
          </w:p>
        </w:tc>
        <w:tc>
          <w:tcPr>
            <w:tcW w:w="2259" w:type="dxa"/>
            <w:vMerge w:val="continue"/>
            <w:tcBorders>
              <w:top w:val="single" w:color="auto" w:sz="4" w:space="0"/>
              <w:left w:val="single" w:color="auto" w:sz="4" w:space="0"/>
              <w:bottom w:val="single" w:color="auto" w:sz="4" w:space="0"/>
              <w:right w:val="single" w:color="auto" w:sz="4" w:space="0"/>
            </w:tcBorders>
            <w:vAlign w:val="center"/>
          </w:tcPr>
          <w:p w14:paraId="369A8248">
            <w:pPr>
              <w:bidi w:val="0"/>
              <w:rPr>
                <w:rFonts w:hint="eastAsia"/>
              </w:rPr>
            </w:pPr>
          </w:p>
        </w:tc>
        <w:tc>
          <w:tcPr>
            <w:tcW w:w="1506" w:type="dxa"/>
            <w:vMerge w:val="continue"/>
            <w:tcBorders>
              <w:top w:val="single" w:color="auto" w:sz="4" w:space="0"/>
              <w:left w:val="single" w:color="auto" w:sz="4" w:space="0"/>
              <w:bottom w:val="single" w:color="auto" w:sz="4" w:space="0"/>
              <w:right w:val="single" w:color="auto" w:sz="4" w:space="0"/>
            </w:tcBorders>
            <w:vAlign w:val="center"/>
          </w:tcPr>
          <w:p w14:paraId="4EECE93F">
            <w:pPr>
              <w:bidi w:val="0"/>
              <w:rPr>
                <w:rFonts w:hint="eastAsia"/>
              </w:rPr>
            </w:pPr>
          </w:p>
        </w:tc>
        <w:tc>
          <w:tcPr>
            <w:tcW w:w="4638" w:type="dxa"/>
            <w:vMerge w:val="continue"/>
            <w:tcBorders>
              <w:top w:val="single" w:color="auto" w:sz="4" w:space="0"/>
              <w:left w:val="single" w:color="auto" w:sz="4" w:space="0"/>
              <w:bottom w:val="single" w:color="auto" w:sz="4" w:space="0"/>
              <w:right w:val="single" w:color="auto" w:sz="4" w:space="0"/>
            </w:tcBorders>
            <w:vAlign w:val="center"/>
          </w:tcPr>
          <w:p w14:paraId="54B34035">
            <w:pPr>
              <w:bidi w:val="0"/>
              <w:rPr>
                <w:rFonts w:hint="eastAsia"/>
              </w:rPr>
            </w:pPr>
          </w:p>
        </w:tc>
      </w:tr>
      <w:tr w14:paraId="43DC9A6D">
        <w:tblPrEx>
          <w:tblCellMar>
            <w:top w:w="0" w:type="dxa"/>
            <w:left w:w="108" w:type="dxa"/>
            <w:bottom w:w="0" w:type="dxa"/>
            <w:right w:w="108" w:type="dxa"/>
          </w:tblCellMar>
        </w:tblPrEx>
        <w:trPr>
          <w:trHeight w:val="468"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01A417D">
            <w:pPr>
              <w:bidi w:val="0"/>
              <w:rPr>
                <w:rFonts w:hint="eastAsia"/>
              </w:rPr>
            </w:pPr>
          </w:p>
        </w:tc>
        <w:tc>
          <w:tcPr>
            <w:tcW w:w="2259" w:type="dxa"/>
            <w:vMerge w:val="continue"/>
            <w:tcBorders>
              <w:top w:val="single" w:color="auto" w:sz="4" w:space="0"/>
              <w:left w:val="single" w:color="auto" w:sz="4" w:space="0"/>
              <w:bottom w:val="single" w:color="auto" w:sz="4" w:space="0"/>
              <w:right w:val="single" w:color="auto" w:sz="4" w:space="0"/>
            </w:tcBorders>
            <w:vAlign w:val="center"/>
          </w:tcPr>
          <w:p w14:paraId="3107F368">
            <w:pPr>
              <w:bidi w:val="0"/>
              <w:rPr>
                <w:rFonts w:hint="eastAsia"/>
              </w:rPr>
            </w:pPr>
          </w:p>
        </w:tc>
        <w:tc>
          <w:tcPr>
            <w:tcW w:w="1506" w:type="dxa"/>
            <w:vMerge w:val="continue"/>
            <w:tcBorders>
              <w:top w:val="single" w:color="auto" w:sz="4" w:space="0"/>
              <w:left w:val="single" w:color="auto" w:sz="4" w:space="0"/>
              <w:bottom w:val="single" w:color="auto" w:sz="4" w:space="0"/>
              <w:right w:val="single" w:color="auto" w:sz="4" w:space="0"/>
            </w:tcBorders>
            <w:vAlign w:val="center"/>
          </w:tcPr>
          <w:p w14:paraId="7B2A41E0">
            <w:pPr>
              <w:bidi w:val="0"/>
              <w:rPr>
                <w:rFonts w:hint="eastAsia"/>
              </w:rPr>
            </w:pPr>
          </w:p>
        </w:tc>
        <w:tc>
          <w:tcPr>
            <w:tcW w:w="4638" w:type="dxa"/>
            <w:vMerge w:val="continue"/>
            <w:tcBorders>
              <w:top w:val="single" w:color="auto" w:sz="4" w:space="0"/>
              <w:left w:val="single" w:color="auto" w:sz="4" w:space="0"/>
              <w:bottom w:val="single" w:color="auto" w:sz="4" w:space="0"/>
              <w:right w:val="single" w:color="auto" w:sz="4" w:space="0"/>
            </w:tcBorders>
            <w:vAlign w:val="center"/>
          </w:tcPr>
          <w:p w14:paraId="61738CB3">
            <w:pPr>
              <w:bidi w:val="0"/>
              <w:rPr>
                <w:rFonts w:hint="eastAsia"/>
              </w:rPr>
            </w:pPr>
          </w:p>
        </w:tc>
      </w:tr>
      <w:tr w14:paraId="74FA50FD">
        <w:tblPrEx>
          <w:tblCellMar>
            <w:top w:w="0" w:type="dxa"/>
            <w:left w:w="108" w:type="dxa"/>
            <w:bottom w:w="0" w:type="dxa"/>
            <w:right w:w="108" w:type="dxa"/>
          </w:tblCellMar>
        </w:tblPrEx>
        <w:trPr>
          <w:trHeight w:val="85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55B46F81">
            <w:pPr>
              <w:bidi w:val="0"/>
              <w:rPr>
                <w:rFonts w:hint="eastAsia"/>
              </w:rPr>
            </w:pPr>
            <w:r>
              <w:rPr>
                <w:rFonts w:hint="eastAsia"/>
              </w:rPr>
              <w:t>1</w:t>
            </w:r>
          </w:p>
        </w:tc>
        <w:tc>
          <w:tcPr>
            <w:tcW w:w="2259" w:type="dxa"/>
            <w:tcBorders>
              <w:top w:val="nil"/>
              <w:left w:val="nil"/>
              <w:bottom w:val="single" w:color="auto" w:sz="4" w:space="0"/>
              <w:right w:val="single" w:color="auto" w:sz="4" w:space="0"/>
            </w:tcBorders>
            <w:shd w:val="clear" w:color="auto" w:fill="auto"/>
            <w:vAlign w:val="center"/>
          </w:tcPr>
          <w:p w14:paraId="3466458A">
            <w:pPr>
              <w:bidi w:val="0"/>
              <w:rPr>
                <w:rFonts w:hint="eastAsia"/>
              </w:rPr>
            </w:pPr>
            <w:r>
              <w:rPr>
                <w:rFonts w:hint="eastAsia"/>
              </w:rPr>
              <w:t>卷烟二维码品检工位</w:t>
            </w:r>
          </w:p>
        </w:tc>
        <w:tc>
          <w:tcPr>
            <w:tcW w:w="1506" w:type="dxa"/>
            <w:tcBorders>
              <w:top w:val="nil"/>
              <w:left w:val="nil"/>
              <w:bottom w:val="single" w:color="auto" w:sz="4" w:space="0"/>
              <w:right w:val="single" w:color="auto" w:sz="4" w:space="0"/>
            </w:tcBorders>
            <w:shd w:val="clear" w:color="auto" w:fill="auto"/>
            <w:vAlign w:val="center"/>
          </w:tcPr>
          <w:p w14:paraId="1F631270">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25D5949">
            <w:pPr>
              <w:bidi w:val="0"/>
              <w:rPr>
                <w:rFonts w:hint="eastAsia"/>
              </w:rPr>
            </w:pPr>
            <w:r>
              <w:rPr>
                <w:rFonts w:hint="eastAsia"/>
              </w:rPr>
              <w:t>包装机上安装的固定读码器工位，用来读取卷烟盒二维码。并且该工位在剔除口前，方便剔除验码失败的烟包。</w:t>
            </w:r>
          </w:p>
        </w:tc>
      </w:tr>
      <w:tr w14:paraId="0BFFE4A6">
        <w:tblPrEx>
          <w:tblCellMar>
            <w:top w:w="0" w:type="dxa"/>
            <w:left w:w="108" w:type="dxa"/>
            <w:bottom w:w="0" w:type="dxa"/>
            <w:right w:w="108" w:type="dxa"/>
          </w:tblCellMar>
        </w:tblPrEx>
        <w:trPr>
          <w:trHeight w:val="105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6CE15ED">
            <w:pPr>
              <w:bidi w:val="0"/>
              <w:rPr>
                <w:rFonts w:hint="eastAsia"/>
              </w:rPr>
            </w:pPr>
            <w:r>
              <w:rPr>
                <w:rFonts w:hint="eastAsia"/>
              </w:rPr>
              <w:t>2</w:t>
            </w:r>
          </w:p>
        </w:tc>
        <w:tc>
          <w:tcPr>
            <w:tcW w:w="2259" w:type="dxa"/>
            <w:tcBorders>
              <w:top w:val="nil"/>
              <w:left w:val="nil"/>
              <w:bottom w:val="single" w:color="auto" w:sz="4" w:space="0"/>
              <w:right w:val="single" w:color="auto" w:sz="4" w:space="0"/>
            </w:tcBorders>
            <w:shd w:val="clear" w:color="auto" w:fill="auto"/>
            <w:vAlign w:val="center"/>
          </w:tcPr>
          <w:p w14:paraId="336E454A">
            <w:pPr>
              <w:bidi w:val="0"/>
              <w:rPr>
                <w:rFonts w:hint="eastAsia"/>
              </w:rPr>
            </w:pPr>
            <w:r>
              <w:rPr>
                <w:rFonts w:hint="eastAsia"/>
              </w:rPr>
              <w:t>获取小盒二维码数据</w:t>
            </w:r>
          </w:p>
        </w:tc>
        <w:tc>
          <w:tcPr>
            <w:tcW w:w="1506" w:type="dxa"/>
            <w:tcBorders>
              <w:top w:val="nil"/>
              <w:left w:val="nil"/>
              <w:bottom w:val="single" w:color="auto" w:sz="4" w:space="0"/>
              <w:right w:val="single" w:color="auto" w:sz="4" w:space="0"/>
            </w:tcBorders>
            <w:shd w:val="clear" w:color="auto" w:fill="auto"/>
            <w:vAlign w:val="center"/>
          </w:tcPr>
          <w:p w14:paraId="614B55C4">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3647E67">
            <w:pPr>
              <w:bidi w:val="0"/>
              <w:rPr>
                <w:rFonts w:hint="eastAsia"/>
              </w:rPr>
            </w:pPr>
            <w:r>
              <w:rPr>
                <w:rFonts w:hint="eastAsia"/>
              </w:rPr>
              <w:t>“盒条”关联现场管理子系统实时接收卷烟二维码品检工位上固定读码器传回的二维码数据。</w:t>
            </w:r>
          </w:p>
        </w:tc>
      </w:tr>
      <w:tr w14:paraId="22C465D8">
        <w:tblPrEx>
          <w:tblCellMar>
            <w:top w:w="0" w:type="dxa"/>
            <w:left w:w="108" w:type="dxa"/>
            <w:bottom w:w="0" w:type="dxa"/>
            <w:right w:w="108" w:type="dxa"/>
          </w:tblCellMar>
        </w:tblPrEx>
        <w:trPr>
          <w:trHeight w:val="106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37ED3913">
            <w:pPr>
              <w:bidi w:val="0"/>
              <w:rPr>
                <w:rFonts w:hint="eastAsia"/>
              </w:rPr>
            </w:pPr>
            <w:r>
              <w:rPr>
                <w:rFonts w:hint="eastAsia"/>
              </w:rPr>
              <w:t>3</w:t>
            </w:r>
          </w:p>
        </w:tc>
        <w:tc>
          <w:tcPr>
            <w:tcW w:w="2259" w:type="dxa"/>
            <w:tcBorders>
              <w:top w:val="nil"/>
              <w:left w:val="nil"/>
              <w:bottom w:val="single" w:color="auto" w:sz="4" w:space="0"/>
              <w:right w:val="single" w:color="auto" w:sz="4" w:space="0"/>
            </w:tcBorders>
            <w:shd w:val="clear" w:color="auto" w:fill="auto"/>
            <w:vAlign w:val="center"/>
          </w:tcPr>
          <w:p w14:paraId="28B1E313">
            <w:pPr>
              <w:bidi w:val="0"/>
              <w:rPr>
                <w:rFonts w:hint="eastAsia"/>
              </w:rPr>
            </w:pPr>
            <w:r>
              <w:rPr>
                <w:rFonts w:hint="eastAsia"/>
              </w:rPr>
              <w:t>小盒二维码校验</w:t>
            </w:r>
          </w:p>
        </w:tc>
        <w:tc>
          <w:tcPr>
            <w:tcW w:w="1506" w:type="dxa"/>
            <w:tcBorders>
              <w:top w:val="nil"/>
              <w:left w:val="nil"/>
              <w:bottom w:val="single" w:color="auto" w:sz="4" w:space="0"/>
              <w:right w:val="single" w:color="auto" w:sz="4" w:space="0"/>
            </w:tcBorders>
            <w:shd w:val="clear" w:color="auto" w:fill="auto"/>
            <w:vAlign w:val="center"/>
          </w:tcPr>
          <w:p w14:paraId="16979CC2">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1FFC81B">
            <w:pPr>
              <w:bidi w:val="0"/>
              <w:rPr>
                <w:rFonts w:hint="eastAsia"/>
              </w:rPr>
            </w:pPr>
            <w:r>
              <w:rPr>
                <w:rFonts w:hint="eastAsia"/>
              </w:rPr>
              <w:t>“盒条”关联现场管理子系统将获取的二维码进行校验，校验内容包括：二维码识别情况、二维码品规校验情况。</w:t>
            </w:r>
          </w:p>
        </w:tc>
      </w:tr>
      <w:tr w14:paraId="399C3260">
        <w:tblPrEx>
          <w:tblCellMar>
            <w:top w:w="0" w:type="dxa"/>
            <w:left w:w="108" w:type="dxa"/>
            <w:bottom w:w="0" w:type="dxa"/>
            <w:right w:w="108" w:type="dxa"/>
          </w:tblCellMar>
        </w:tblPrEx>
        <w:trPr>
          <w:trHeight w:val="106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7EDA53E4">
            <w:pPr>
              <w:bidi w:val="0"/>
              <w:rPr>
                <w:rFonts w:hint="eastAsia"/>
              </w:rPr>
            </w:pPr>
            <w:r>
              <w:rPr>
                <w:rFonts w:hint="eastAsia"/>
              </w:rPr>
              <w:t>4</w:t>
            </w:r>
          </w:p>
        </w:tc>
        <w:tc>
          <w:tcPr>
            <w:tcW w:w="2259" w:type="dxa"/>
            <w:tcBorders>
              <w:top w:val="nil"/>
              <w:left w:val="nil"/>
              <w:bottom w:val="single" w:color="auto" w:sz="4" w:space="0"/>
              <w:right w:val="single" w:color="auto" w:sz="4" w:space="0"/>
            </w:tcBorders>
            <w:shd w:val="clear" w:color="auto" w:fill="auto"/>
            <w:vAlign w:val="center"/>
          </w:tcPr>
          <w:p w14:paraId="17E7F784">
            <w:pPr>
              <w:bidi w:val="0"/>
              <w:rPr>
                <w:rFonts w:hint="eastAsia"/>
              </w:rPr>
            </w:pPr>
            <w:r>
              <w:rPr>
                <w:rFonts w:hint="eastAsia"/>
              </w:rPr>
              <w:t>小盒剔除</w:t>
            </w:r>
          </w:p>
        </w:tc>
        <w:tc>
          <w:tcPr>
            <w:tcW w:w="1506" w:type="dxa"/>
            <w:tcBorders>
              <w:top w:val="nil"/>
              <w:left w:val="nil"/>
              <w:bottom w:val="single" w:color="auto" w:sz="4" w:space="0"/>
              <w:right w:val="single" w:color="auto" w:sz="4" w:space="0"/>
            </w:tcBorders>
            <w:shd w:val="clear" w:color="auto" w:fill="auto"/>
            <w:vAlign w:val="center"/>
          </w:tcPr>
          <w:p w14:paraId="582E7F0F">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4071ACD">
            <w:pPr>
              <w:bidi w:val="0"/>
              <w:rPr>
                <w:rFonts w:hint="eastAsia"/>
              </w:rPr>
            </w:pPr>
            <w:r>
              <w:rPr>
                <w:rFonts w:hint="eastAsia"/>
              </w:rPr>
              <w:t>当步骤3中二维码校验失败且连续失败次数小于n时，通过手动或者发送指令到原机进行小盒剔除操作。</w:t>
            </w:r>
          </w:p>
        </w:tc>
      </w:tr>
      <w:tr w14:paraId="0FC74EED">
        <w:tblPrEx>
          <w:tblCellMar>
            <w:top w:w="0" w:type="dxa"/>
            <w:left w:w="108" w:type="dxa"/>
            <w:bottom w:w="0" w:type="dxa"/>
            <w:right w:w="108" w:type="dxa"/>
          </w:tblCellMar>
        </w:tblPrEx>
        <w:trPr>
          <w:trHeight w:val="7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322CAEC">
            <w:pPr>
              <w:bidi w:val="0"/>
              <w:rPr>
                <w:rFonts w:hint="eastAsia"/>
              </w:rPr>
            </w:pPr>
            <w:r>
              <w:rPr>
                <w:rFonts w:hint="eastAsia"/>
              </w:rPr>
              <w:t>5</w:t>
            </w:r>
          </w:p>
        </w:tc>
        <w:tc>
          <w:tcPr>
            <w:tcW w:w="2259" w:type="dxa"/>
            <w:tcBorders>
              <w:top w:val="nil"/>
              <w:left w:val="nil"/>
              <w:bottom w:val="single" w:color="auto" w:sz="4" w:space="0"/>
              <w:right w:val="single" w:color="auto" w:sz="4" w:space="0"/>
            </w:tcBorders>
            <w:shd w:val="clear" w:color="auto" w:fill="auto"/>
            <w:vAlign w:val="center"/>
          </w:tcPr>
          <w:p w14:paraId="5D570C26">
            <w:pPr>
              <w:bidi w:val="0"/>
              <w:rPr>
                <w:rFonts w:hint="eastAsia"/>
              </w:rPr>
            </w:pPr>
            <w:r>
              <w:rPr>
                <w:rFonts w:hint="eastAsia"/>
              </w:rPr>
              <w:t>设备停机</w:t>
            </w:r>
          </w:p>
        </w:tc>
        <w:tc>
          <w:tcPr>
            <w:tcW w:w="1506" w:type="dxa"/>
            <w:tcBorders>
              <w:top w:val="nil"/>
              <w:left w:val="nil"/>
              <w:bottom w:val="single" w:color="auto" w:sz="4" w:space="0"/>
              <w:right w:val="single" w:color="auto" w:sz="4" w:space="0"/>
            </w:tcBorders>
            <w:shd w:val="clear" w:color="auto" w:fill="auto"/>
            <w:vAlign w:val="center"/>
          </w:tcPr>
          <w:p w14:paraId="572A1407">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08314507">
            <w:pPr>
              <w:bidi w:val="0"/>
              <w:rPr>
                <w:rFonts w:hint="eastAsia"/>
              </w:rPr>
            </w:pPr>
            <w:r>
              <w:rPr>
                <w:rFonts w:hint="eastAsia"/>
              </w:rPr>
              <w:t>当步骤3中二维码校验失败且连续失败次数大于n时，通过手动或者发送指令到原机进行设备停机操作。</w:t>
            </w:r>
          </w:p>
        </w:tc>
      </w:tr>
      <w:tr w14:paraId="6CB757BC">
        <w:tblPrEx>
          <w:tblCellMar>
            <w:top w:w="0" w:type="dxa"/>
            <w:left w:w="108" w:type="dxa"/>
            <w:bottom w:w="0" w:type="dxa"/>
            <w:right w:w="108" w:type="dxa"/>
          </w:tblCellMar>
        </w:tblPrEx>
        <w:trPr>
          <w:trHeight w:val="87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12E7C4C">
            <w:pPr>
              <w:bidi w:val="0"/>
              <w:rPr>
                <w:rFonts w:hint="eastAsia"/>
              </w:rPr>
            </w:pPr>
            <w:r>
              <w:rPr>
                <w:rFonts w:hint="eastAsia"/>
              </w:rPr>
              <w:t>6</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3367E5CC">
            <w:pPr>
              <w:bidi w:val="0"/>
              <w:rPr>
                <w:rFonts w:hint="eastAsia"/>
              </w:rPr>
            </w:pPr>
            <w:r>
              <w:rPr>
                <w:rFonts w:hint="eastAsia"/>
              </w:rPr>
              <w:t>卷烟盒二维码读取工位</w:t>
            </w:r>
          </w:p>
        </w:tc>
        <w:tc>
          <w:tcPr>
            <w:tcW w:w="1506" w:type="dxa"/>
            <w:tcBorders>
              <w:top w:val="single" w:color="auto" w:sz="4" w:space="0"/>
              <w:left w:val="single" w:color="auto" w:sz="4" w:space="0"/>
              <w:bottom w:val="single" w:color="auto" w:sz="4" w:space="0"/>
              <w:right w:val="single" w:color="auto" w:sz="4" w:space="0"/>
            </w:tcBorders>
            <w:shd w:val="clear" w:color="auto" w:fill="auto"/>
            <w:vAlign w:val="center"/>
          </w:tcPr>
          <w:p w14:paraId="33C6F501">
            <w:pPr>
              <w:bidi w:val="0"/>
              <w:rPr>
                <w:rFonts w:hint="eastAsia"/>
              </w:rPr>
            </w:pPr>
            <w:r>
              <w:rPr>
                <w:rFonts w:hint="eastAsia"/>
              </w:rPr>
              <w:t>操作</w:t>
            </w:r>
          </w:p>
        </w:tc>
        <w:tc>
          <w:tcPr>
            <w:tcW w:w="4638" w:type="dxa"/>
            <w:tcBorders>
              <w:top w:val="single" w:color="auto" w:sz="4" w:space="0"/>
              <w:left w:val="single" w:color="auto" w:sz="4" w:space="0"/>
              <w:bottom w:val="single" w:color="auto" w:sz="4" w:space="0"/>
              <w:right w:val="single" w:color="auto" w:sz="4" w:space="0"/>
            </w:tcBorders>
            <w:shd w:val="clear" w:color="auto" w:fill="auto"/>
            <w:vAlign w:val="center"/>
          </w:tcPr>
          <w:p w14:paraId="3E8A3AD2">
            <w:pPr>
              <w:bidi w:val="0"/>
              <w:rPr>
                <w:rFonts w:hint="eastAsia"/>
              </w:rPr>
            </w:pPr>
            <w:r>
              <w:rPr>
                <w:rFonts w:hint="eastAsia"/>
              </w:rPr>
              <w:t>包装机上安装的固定读码器工位，用来读取卷烟盒二维码。通过相位触发对经过的单包X进行读码。</w:t>
            </w:r>
          </w:p>
        </w:tc>
      </w:tr>
      <w:tr w14:paraId="2BDC2F46">
        <w:tblPrEx>
          <w:tblCellMar>
            <w:top w:w="0" w:type="dxa"/>
            <w:left w:w="108" w:type="dxa"/>
            <w:bottom w:w="0" w:type="dxa"/>
            <w:right w:w="108" w:type="dxa"/>
          </w:tblCellMar>
        </w:tblPrEx>
        <w:trPr>
          <w:trHeight w:val="90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4264454">
            <w:pPr>
              <w:bidi w:val="0"/>
              <w:rPr>
                <w:rFonts w:hint="eastAsia"/>
              </w:rPr>
            </w:pPr>
            <w:r>
              <w:rPr>
                <w:rFonts w:hint="eastAsia"/>
              </w:rPr>
              <w:t>7</w:t>
            </w:r>
          </w:p>
        </w:tc>
        <w:tc>
          <w:tcPr>
            <w:tcW w:w="2259" w:type="dxa"/>
            <w:tcBorders>
              <w:top w:val="single" w:color="auto" w:sz="4" w:space="0"/>
              <w:left w:val="nil"/>
              <w:bottom w:val="single" w:color="auto" w:sz="4" w:space="0"/>
              <w:right w:val="single" w:color="auto" w:sz="4" w:space="0"/>
            </w:tcBorders>
            <w:shd w:val="clear" w:color="auto" w:fill="auto"/>
            <w:vAlign w:val="center"/>
          </w:tcPr>
          <w:p w14:paraId="7FA75312">
            <w:pPr>
              <w:bidi w:val="0"/>
              <w:rPr>
                <w:rFonts w:hint="eastAsia"/>
              </w:rPr>
            </w:pPr>
            <w:r>
              <w:rPr>
                <w:rFonts w:hint="eastAsia"/>
              </w:rPr>
              <w:t>获取小盒二维码</w:t>
            </w:r>
          </w:p>
        </w:tc>
        <w:tc>
          <w:tcPr>
            <w:tcW w:w="1506" w:type="dxa"/>
            <w:tcBorders>
              <w:top w:val="single" w:color="auto" w:sz="4" w:space="0"/>
              <w:left w:val="nil"/>
              <w:bottom w:val="single" w:color="auto" w:sz="4" w:space="0"/>
              <w:right w:val="single" w:color="auto" w:sz="4" w:space="0"/>
            </w:tcBorders>
            <w:shd w:val="clear" w:color="auto" w:fill="auto"/>
            <w:vAlign w:val="center"/>
          </w:tcPr>
          <w:p w14:paraId="5F91FBE6">
            <w:pPr>
              <w:bidi w:val="0"/>
              <w:rPr>
                <w:rFonts w:hint="eastAsia"/>
              </w:rPr>
            </w:pPr>
            <w:r>
              <w:rPr>
                <w:rFonts w:hint="eastAsia"/>
              </w:rPr>
              <w:t>操作</w:t>
            </w:r>
          </w:p>
        </w:tc>
        <w:tc>
          <w:tcPr>
            <w:tcW w:w="4638" w:type="dxa"/>
            <w:tcBorders>
              <w:top w:val="single" w:color="auto" w:sz="4" w:space="0"/>
              <w:left w:val="nil"/>
              <w:bottom w:val="single" w:color="auto" w:sz="4" w:space="0"/>
              <w:right w:val="single" w:color="auto" w:sz="4" w:space="0"/>
            </w:tcBorders>
            <w:shd w:val="clear" w:color="auto" w:fill="auto"/>
            <w:vAlign w:val="center"/>
          </w:tcPr>
          <w:p w14:paraId="42C91C34">
            <w:pPr>
              <w:bidi w:val="0"/>
              <w:rPr>
                <w:rFonts w:hint="eastAsia"/>
              </w:rPr>
            </w:pPr>
            <w:r>
              <w:rPr>
                <w:rFonts w:hint="eastAsia"/>
              </w:rPr>
              <w:t>“盒条”关联现场管理子系统实时接收卷烟盒二维码读取工位上固定读码器传回的二维码数据。</w:t>
            </w:r>
          </w:p>
        </w:tc>
      </w:tr>
      <w:tr w14:paraId="25001184">
        <w:tblPrEx>
          <w:tblCellMar>
            <w:top w:w="0" w:type="dxa"/>
            <w:left w:w="108" w:type="dxa"/>
            <w:bottom w:w="0" w:type="dxa"/>
            <w:right w:w="108" w:type="dxa"/>
          </w:tblCellMar>
        </w:tblPrEx>
        <w:trPr>
          <w:trHeight w:val="67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B325A9D">
            <w:pPr>
              <w:bidi w:val="0"/>
              <w:rPr>
                <w:rFonts w:hint="eastAsia"/>
              </w:rPr>
            </w:pPr>
            <w:r>
              <w:rPr>
                <w:rFonts w:hint="eastAsia"/>
              </w:rPr>
              <w:t>8</w:t>
            </w:r>
          </w:p>
        </w:tc>
        <w:tc>
          <w:tcPr>
            <w:tcW w:w="2259" w:type="dxa"/>
            <w:tcBorders>
              <w:top w:val="nil"/>
              <w:left w:val="nil"/>
              <w:bottom w:val="single" w:color="auto" w:sz="4" w:space="0"/>
              <w:right w:val="single" w:color="auto" w:sz="4" w:space="0"/>
            </w:tcBorders>
            <w:shd w:val="clear" w:color="auto" w:fill="auto"/>
            <w:vAlign w:val="center"/>
          </w:tcPr>
          <w:p w14:paraId="5A0150C6">
            <w:pPr>
              <w:bidi w:val="0"/>
              <w:rPr>
                <w:rFonts w:hint="eastAsia"/>
              </w:rPr>
            </w:pPr>
            <w:r>
              <w:rPr>
                <w:rFonts w:hint="eastAsia"/>
              </w:rPr>
              <w:t>建立小盒队列</w:t>
            </w:r>
          </w:p>
        </w:tc>
        <w:tc>
          <w:tcPr>
            <w:tcW w:w="1506" w:type="dxa"/>
            <w:tcBorders>
              <w:top w:val="nil"/>
              <w:left w:val="nil"/>
              <w:bottom w:val="single" w:color="auto" w:sz="4" w:space="0"/>
              <w:right w:val="single" w:color="auto" w:sz="4" w:space="0"/>
            </w:tcBorders>
            <w:shd w:val="clear" w:color="auto" w:fill="auto"/>
            <w:vAlign w:val="center"/>
          </w:tcPr>
          <w:p w14:paraId="06EE5FB3">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5A0C0A79">
            <w:pPr>
              <w:bidi w:val="0"/>
              <w:rPr>
                <w:rFonts w:hint="eastAsia"/>
              </w:rPr>
            </w:pPr>
            <w:r>
              <w:rPr>
                <w:rFonts w:hint="eastAsia"/>
              </w:rPr>
              <w:t>将步骤7中获取的小盒二维码建立小盒队列。</w:t>
            </w:r>
          </w:p>
        </w:tc>
      </w:tr>
      <w:tr w14:paraId="7B7833D6">
        <w:tblPrEx>
          <w:tblCellMar>
            <w:top w:w="0" w:type="dxa"/>
            <w:left w:w="108" w:type="dxa"/>
            <w:bottom w:w="0" w:type="dxa"/>
            <w:right w:w="108" w:type="dxa"/>
          </w:tblCellMar>
        </w:tblPrEx>
        <w:trPr>
          <w:trHeight w:val="70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83F3B6F">
            <w:pPr>
              <w:bidi w:val="0"/>
              <w:rPr>
                <w:rFonts w:hint="eastAsia"/>
              </w:rPr>
            </w:pPr>
            <w:r>
              <w:rPr>
                <w:rFonts w:hint="eastAsia"/>
              </w:rPr>
              <w:t>9</w:t>
            </w:r>
          </w:p>
        </w:tc>
        <w:tc>
          <w:tcPr>
            <w:tcW w:w="2259" w:type="dxa"/>
            <w:tcBorders>
              <w:top w:val="nil"/>
              <w:left w:val="nil"/>
              <w:bottom w:val="single" w:color="auto" w:sz="4" w:space="0"/>
              <w:right w:val="single" w:color="auto" w:sz="4" w:space="0"/>
            </w:tcBorders>
            <w:shd w:val="clear" w:color="auto" w:fill="auto"/>
            <w:vAlign w:val="center"/>
          </w:tcPr>
          <w:p w14:paraId="334A24D5">
            <w:pPr>
              <w:bidi w:val="0"/>
              <w:rPr>
                <w:rFonts w:hint="eastAsia"/>
              </w:rPr>
            </w:pPr>
            <w:r>
              <w:rPr>
                <w:rFonts w:hint="eastAsia"/>
              </w:rPr>
              <w:t>卷烟条二维码读取工位</w:t>
            </w:r>
          </w:p>
        </w:tc>
        <w:tc>
          <w:tcPr>
            <w:tcW w:w="1506" w:type="dxa"/>
            <w:tcBorders>
              <w:top w:val="nil"/>
              <w:left w:val="nil"/>
              <w:bottom w:val="single" w:color="auto" w:sz="4" w:space="0"/>
              <w:right w:val="single" w:color="auto" w:sz="4" w:space="0"/>
            </w:tcBorders>
            <w:shd w:val="clear" w:color="auto" w:fill="auto"/>
            <w:vAlign w:val="center"/>
          </w:tcPr>
          <w:p w14:paraId="496D8468">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1C55C14">
            <w:pPr>
              <w:bidi w:val="0"/>
              <w:rPr>
                <w:rFonts w:hint="eastAsia"/>
              </w:rPr>
            </w:pPr>
            <w:r>
              <w:rPr>
                <w:rFonts w:hint="eastAsia"/>
              </w:rPr>
              <w:t>包装机上安装的固定读码器工位，用来读取卷烟条二维码。</w:t>
            </w:r>
          </w:p>
        </w:tc>
      </w:tr>
      <w:tr w14:paraId="152A57E4">
        <w:tblPrEx>
          <w:tblCellMar>
            <w:top w:w="0" w:type="dxa"/>
            <w:left w:w="108" w:type="dxa"/>
            <w:bottom w:w="0" w:type="dxa"/>
            <w:right w:w="108" w:type="dxa"/>
          </w:tblCellMar>
        </w:tblPrEx>
        <w:trPr>
          <w:trHeight w:val="81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5141B57F">
            <w:pPr>
              <w:bidi w:val="0"/>
              <w:rPr>
                <w:rFonts w:hint="eastAsia"/>
              </w:rPr>
            </w:pPr>
            <w:r>
              <w:rPr>
                <w:rFonts w:hint="eastAsia"/>
              </w:rPr>
              <w:t>10</w:t>
            </w:r>
          </w:p>
        </w:tc>
        <w:tc>
          <w:tcPr>
            <w:tcW w:w="2259" w:type="dxa"/>
            <w:tcBorders>
              <w:top w:val="nil"/>
              <w:left w:val="nil"/>
              <w:bottom w:val="single" w:color="auto" w:sz="4" w:space="0"/>
              <w:right w:val="single" w:color="auto" w:sz="4" w:space="0"/>
            </w:tcBorders>
            <w:shd w:val="clear" w:color="auto" w:fill="auto"/>
            <w:vAlign w:val="center"/>
          </w:tcPr>
          <w:p w14:paraId="2229DAE6">
            <w:pPr>
              <w:bidi w:val="0"/>
              <w:rPr>
                <w:rFonts w:hint="eastAsia"/>
              </w:rPr>
            </w:pPr>
            <w:r>
              <w:rPr>
                <w:rFonts w:hint="eastAsia"/>
              </w:rPr>
              <w:t>获取1个条盒二维码</w:t>
            </w:r>
          </w:p>
        </w:tc>
        <w:tc>
          <w:tcPr>
            <w:tcW w:w="1506" w:type="dxa"/>
            <w:tcBorders>
              <w:top w:val="nil"/>
              <w:left w:val="nil"/>
              <w:bottom w:val="single" w:color="auto" w:sz="4" w:space="0"/>
              <w:right w:val="single" w:color="auto" w:sz="4" w:space="0"/>
            </w:tcBorders>
            <w:shd w:val="clear" w:color="auto" w:fill="auto"/>
            <w:vAlign w:val="center"/>
          </w:tcPr>
          <w:p w14:paraId="6044108E">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F0269D3">
            <w:pPr>
              <w:bidi w:val="0"/>
              <w:rPr>
                <w:rFonts w:hint="eastAsia"/>
              </w:rPr>
            </w:pPr>
            <w:r>
              <w:rPr>
                <w:rFonts w:hint="eastAsia"/>
              </w:rPr>
              <w:t>“盒条”关联现场管理子系统实时接收卷烟条二维码读取工位上固定读码器传回的二维码数据。</w:t>
            </w:r>
          </w:p>
        </w:tc>
      </w:tr>
      <w:tr w14:paraId="2CE24B78">
        <w:tblPrEx>
          <w:tblCellMar>
            <w:top w:w="0" w:type="dxa"/>
            <w:left w:w="108" w:type="dxa"/>
            <w:bottom w:w="0" w:type="dxa"/>
            <w:right w:w="108" w:type="dxa"/>
          </w:tblCellMar>
        </w:tblPrEx>
        <w:trPr>
          <w:trHeight w:val="91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554CB614">
            <w:pPr>
              <w:bidi w:val="0"/>
              <w:rPr>
                <w:rFonts w:hint="eastAsia"/>
              </w:rPr>
            </w:pPr>
            <w:r>
              <w:rPr>
                <w:rFonts w:hint="eastAsia"/>
              </w:rPr>
              <w:t>11</w:t>
            </w:r>
          </w:p>
        </w:tc>
        <w:tc>
          <w:tcPr>
            <w:tcW w:w="2259" w:type="dxa"/>
            <w:tcBorders>
              <w:top w:val="nil"/>
              <w:left w:val="nil"/>
              <w:bottom w:val="single" w:color="auto" w:sz="4" w:space="0"/>
              <w:right w:val="single" w:color="auto" w:sz="4" w:space="0"/>
            </w:tcBorders>
            <w:shd w:val="clear" w:color="auto" w:fill="auto"/>
            <w:vAlign w:val="center"/>
          </w:tcPr>
          <w:p w14:paraId="3BEAE2CC">
            <w:pPr>
              <w:bidi w:val="0"/>
              <w:rPr>
                <w:rFonts w:hint="eastAsia"/>
              </w:rPr>
            </w:pPr>
            <w:r>
              <w:rPr>
                <w:rFonts w:hint="eastAsia"/>
              </w:rPr>
              <w:t>建立条盒码队列</w:t>
            </w:r>
          </w:p>
        </w:tc>
        <w:tc>
          <w:tcPr>
            <w:tcW w:w="1506" w:type="dxa"/>
            <w:tcBorders>
              <w:top w:val="nil"/>
              <w:left w:val="nil"/>
              <w:bottom w:val="single" w:color="auto" w:sz="4" w:space="0"/>
              <w:right w:val="single" w:color="auto" w:sz="4" w:space="0"/>
            </w:tcBorders>
            <w:shd w:val="clear" w:color="auto" w:fill="auto"/>
            <w:vAlign w:val="center"/>
          </w:tcPr>
          <w:p w14:paraId="58315D19">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2670D981">
            <w:pPr>
              <w:bidi w:val="0"/>
              <w:rPr>
                <w:rFonts w:hint="eastAsia"/>
              </w:rPr>
            </w:pPr>
            <w:r>
              <w:rPr>
                <w:rFonts w:hint="eastAsia"/>
              </w:rPr>
              <w:t>将步骤10中获取的条盒二维码建立条盒队列。</w:t>
            </w:r>
          </w:p>
        </w:tc>
      </w:tr>
      <w:tr w14:paraId="534271AF">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6BA3233">
            <w:pPr>
              <w:bidi w:val="0"/>
              <w:rPr>
                <w:rFonts w:hint="eastAsia"/>
              </w:rPr>
            </w:pPr>
            <w:r>
              <w:rPr>
                <w:rFonts w:hint="eastAsia"/>
              </w:rPr>
              <w:t>12</w:t>
            </w:r>
          </w:p>
        </w:tc>
        <w:tc>
          <w:tcPr>
            <w:tcW w:w="2259" w:type="dxa"/>
            <w:tcBorders>
              <w:top w:val="nil"/>
              <w:left w:val="nil"/>
              <w:bottom w:val="single" w:color="auto" w:sz="4" w:space="0"/>
              <w:right w:val="single" w:color="auto" w:sz="4" w:space="0"/>
            </w:tcBorders>
            <w:shd w:val="clear" w:color="auto" w:fill="auto"/>
            <w:vAlign w:val="center"/>
          </w:tcPr>
          <w:p w14:paraId="58CA70C8">
            <w:pPr>
              <w:bidi w:val="0"/>
              <w:rPr>
                <w:rFonts w:hint="eastAsia"/>
              </w:rPr>
            </w:pPr>
            <w:r>
              <w:rPr>
                <w:rFonts w:hint="eastAsia"/>
              </w:rPr>
              <w:t>“盒条”序列校验工位</w:t>
            </w:r>
          </w:p>
        </w:tc>
        <w:tc>
          <w:tcPr>
            <w:tcW w:w="1506" w:type="dxa"/>
            <w:tcBorders>
              <w:top w:val="nil"/>
              <w:left w:val="nil"/>
              <w:bottom w:val="single" w:color="auto" w:sz="4" w:space="0"/>
              <w:right w:val="single" w:color="auto" w:sz="4" w:space="0"/>
            </w:tcBorders>
            <w:shd w:val="clear" w:color="auto" w:fill="auto"/>
            <w:vAlign w:val="center"/>
          </w:tcPr>
          <w:p w14:paraId="0EE00E30">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51B7545C">
            <w:pPr>
              <w:bidi w:val="0"/>
              <w:rPr>
                <w:rFonts w:hint="eastAsia"/>
              </w:rPr>
            </w:pPr>
            <w:r>
              <w:rPr>
                <w:rFonts w:hint="eastAsia"/>
              </w:rPr>
              <w:t>包装机上安装的固定读码器工位，用来读取卷烟盒二维码。</w:t>
            </w:r>
          </w:p>
        </w:tc>
      </w:tr>
      <w:tr w14:paraId="5CEAC1DC">
        <w:tblPrEx>
          <w:tblCellMar>
            <w:top w:w="0" w:type="dxa"/>
            <w:left w:w="108" w:type="dxa"/>
            <w:bottom w:w="0" w:type="dxa"/>
            <w:right w:w="108" w:type="dxa"/>
          </w:tblCellMar>
        </w:tblPrEx>
        <w:trPr>
          <w:trHeight w:val="10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30559A14">
            <w:pPr>
              <w:bidi w:val="0"/>
              <w:rPr>
                <w:rFonts w:hint="eastAsia"/>
              </w:rPr>
            </w:pPr>
            <w:r>
              <w:rPr>
                <w:rFonts w:hint="eastAsia"/>
              </w:rPr>
              <w:t>13</w:t>
            </w:r>
          </w:p>
        </w:tc>
        <w:tc>
          <w:tcPr>
            <w:tcW w:w="2259" w:type="dxa"/>
            <w:tcBorders>
              <w:top w:val="nil"/>
              <w:left w:val="nil"/>
              <w:bottom w:val="single" w:color="auto" w:sz="4" w:space="0"/>
              <w:right w:val="single" w:color="auto" w:sz="4" w:space="0"/>
            </w:tcBorders>
            <w:shd w:val="clear" w:color="auto" w:fill="auto"/>
            <w:vAlign w:val="center"/>
          </w:tcPr>
          <w:p w14:paraId="4034636B">
            <w:pPr>
              <w:bidi w:val="0"/>
              <w:rPr>
                <w:rFonts w:hint="eastAsia"/>
              </w:rPr>
            </w:pPr>
            <w:r>
              <w:rPr>
                <w:rFonts w:hint="eastAsia"/>
              </w:rPr>
              <w:t>获取小盒二维码</w:t>
            </w:r>
          </w:p>
        </w:tc>
        <w:tc>
          <w:tcPr>
            <w:tcW w:w="1506" w:type="dxa"/>
            <w:tcBorders>
              <w:top w:val="nil"/>
              <w:left w:val="nil"/>
              <w:bottom w:val="single" w:color="auto" w:sz="4" w:space="0"/>
              <w:right w:val="single" w:color="auto" w:sz="4" w:space="0"/>
            </w:tcBorders>
            <w:shd w:val="clear" w:color="auto" w:fill="auto"/>
            <w:vAlign w:val="center"/>
          </w:tcPr>
          <w:p w14:paraId="2D3ABA0E">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3D063D0C">
            <w:pPr>
              <w:bidi w:val="0"/>
              <w:rPr>
                <w:rFonts w:hint="eastAsia"/>
              </w:rPr>
            </w:pPr>
            <w:r>
              <w:rPr>
                <w:rFonts w:hint="eastAsia"/>
              </w:rPr>
              <w:t>“盒条”关联现场管理子系统实时接收“盒条”序列校验工位上固定读码器传回的二维码数据。</w:t>
            </w:r>
          </w:p>
        </w:tc>
      </w:tr>
      <w:tr w14:paraId="77DC0997">
        <w:tblPrEx>
          <w:tblCellMar>
            <w:top w:w="0" w:type="dxa"/>
            <w:left w:w="108" w:type="dxa"/>
            <w:bottom w:w="0" w:type="dxa"/>
            <w:right w:w="108" w:type="dxa"/>
          </w:tblCellMar>
        </w:tblPrEx>
        <w:trPr>
          <w:trHeight w:val="52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26FA0183">
            <w:pPr>
              <w:bidi w:val="0"/>
              <w:rPr>
                <w:rFonts w:hint="eastAsia"/>
              </w:rPr>
            </w:pPr>
            <w:r>
              <w:rPr>
                <w:rFonts w:hint="eastAsia"/>
              </w:rPr>
              <w:t>14</w:t>
            </w:r>
          </w:p>
        </w:tc>
        <w:tc>
          <w:tcPr>
            <w:tcW w:w="2259" w:type="dxa"/>
            <w:tcBorders>
              <w:top w:val="nil"/>
              <w:left w:val="nil"/>
              <w:bottom w:val="single" w:color="auto" w:sz="4" w:space="0"/>
              <w:right w:val="single" w:color="auto" w:sz="4" w:space="0"/>
            </w:tcBorders>
            <w:shd w:val="clear" w:color="auto" w:fill="auto"/>
            <w:vAlign w:val="center"/>
          </w:tcPr>
          <w:p w14:paraId="29FF2647">
            <w:pPr>
              <w:bidi w:val="0"/>
              <w:rPr>
                <w:rFonts w:hint="eastAsia"/>
              </w:rPr>
            </w:pPr>
            <w:r>
              <w:rPr>
                <w:rFonts w:hint="eastAsia"/>
              </w:rPr>
              <w:t>建立校验队列</w:t>
            </w:r>
          </w:p>
        </w:tc>
        <w:tc>
          <w:tcPr>
            <w:tcW w:w="1506" w:type="dxa"/>
            <w:tcBorders>
              <w:top w:val="nil"/>
              <w:left w:val="nil"/>
              <w:bottom w:val="single" w:color="auto" w:sz="4" w:space="0"/>
              <w:right w:val="single" w:color="auto" w:sz="4" w:space="0"/>
            </w:tcBorders>
            <w:shd w:val="clear" w:color="auto" w:fill="auto"/>
            <w:vAlign w:val="center"/>
          </w:tcPr>
          <w:p w14:paraId="137F2BC7">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6231D29">
            <w:pPr>
              <w:bidi w:val="0"/>
              <w:rPr>
                <w:rFonts w:hint="eastAsia"/>
              </w:rPr>
            </w:pPr>
            <w:r>
              <w:rPr>
                <w:rFonts w:hint="eastAsia"/>
              </w:rPr>
              <w:t>将步骤13中获取的小盒二维码建立校验队列。</w:t>
            </w:r>
          </w:p>
        </w:tc>
      </w:tr>
      <w:tr w14:paraId="5B71F7DB">
        <w:tblPrEx>
          <w:tblCellMar>
            <w:top w:w="0" w:type="dxa"/>
            <w:left w:w="108" w:type="dxa"/>
            <w:bottom w:w="0" w:type="dxa"/>
            <w:right w:w="108" w:type="dxa"/>
          </w:tblCellMar>
        </w:tblPrEx>
        <w:trPr>
          <w:trHeight w:val="61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CED7E12">
            <w:pPr>
              <w:bidi w:val="0"/>
              <w:rPr>
                <w:rFonts w:hint="eastAsia"/>
              </w:rPr>
            </w:pPr>
            <w:r>
              <w:rPr>
                <w:rFonts w:hint="eastAsia"/>
              </w:rPr>
              <w:t>15</w:t>
            </w:r>
          </w:p>
        </w:tc>
        <w:tc>
          <w:tcPr>
            <w:tcW w:w="2259" w:type="dxa"/>
            <w:tcBorders>
              <w:top w:val="nil"/>
              <w:left w:val="nil"/>
              <w:bottom w:val="single" w:color="auto" w:sz="4" w:space="0"/>
              <w:right w:val="single" w:color="auto" w:sz="4" w:space="0"/>
            </w:tcBorders>
            <w:shd w:val="clear" w:color="auto" w:fill="auto"/>
            <w:vAlign w:val="center"/>
          </w:tcPr>
          <w:p w14:paraId="6CFE8D7C">
            <w:pPr>
              <w:bidi w:val="0"/>
              <w:rPr>
                <w:rFonts w:hint="eastAsia"/>
              </w:rPr>
            </w:pPr>
            <w:r>
              <w:rPr>
                <w:rFonts w:hint="eastAsia"/>
              </w:rPr>
              <w:t>调用关联算法</w:t>
            </w:r>
          </w:p>
        </w:tc>
        <w:tc>
          <w:tcPr>
            <w:tcW w:w="1506" w:type="dxa"/>
            <w:tcBorders>
              <w:top w:val="nil"/>
              <w:left w:val="nil"/>
              <w:bottom w:val="single" w:color="auto" w:sz="4" w:space="0"/>
              <w:right w:val="single" w:color="auto" w:sz="4" w:space="0"/>
            </w:tcBorders>
            <w:shd w:val="clear" w:color="auto" w:fill="auto"/>
            <w:vAlign w:val="center"/>
          </w:tcPr>
          <w:p w14:paraId="5AB3891C">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2EF18476">
            <w:pPr>
              <w:bidi w:val="0"/>
              <w:rPr>
                <w:rFonts w:hint="eastAsia"/>
              </w:rPr>
            </w:pPr>
            <w:r>
              <w:rPr>
                <w:rFonts w:hint="eastAsia"/>
              </w:rPr>
              <w:t>在获取条、盒二维码以及小盒校验二维码后，调用关联算法进行“盒条”关联操作。</w:t>
            </w:r>
          </w:p>
        </w:tc>
      </w:tr>
      <w:tr w14:paraId="0A1F498F">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4913E013">
            <w:pPr>
              <w:bidi w:val="0"/>
              <w:rPr>
                <w:rFonts w:hint="eastAsia"/>
              </w:rPr>
            </w:pPr>
            <w:r>
              <w:rPr>
                <w:rFonts w:hint="eastAsia"/>
              </w:rPr>
              <w:t>16</w:t>
            </w:r>
          </w:p>
        </w:tc>
        <w:tc>
          <w:tcPr>
            <w:tcW w:w="2259" w:type="dxa"/>
            <w:tcBorders>
              <w:top w:val="nil"/>
              <w:left w:val="nil"/>
              <w:bottom w:val="single" w:color="auto" w:sz="4" w:space="0"/>
              <w:right w:val="single" w:color="auto" w:sz="4" w:space="0"/>
            </w:tcBorders>
            <w:shd w:val="clear" w:color="auto" w:fill="auto"/>
            <w:vAlign w:val="center"/>
          </w:tcPr>
          <w:p w14:paraId="7737B707">
            <w:pPr>
              <w:bidi w:val="0"/>
              <w:rPr>
                <w:rFonts w:hint="eastAsia"/>
              </w:rPr>
            </w:pPr>
            <w:r>
              <w:rPr>
                <w:rFonts w:hint="eastAsia"/>
              </w:rPr>
              <w:t>获得条烟与盒烟的对应关系</w:t>
            </w:r>
          </w:p>
        </w:tc>
        <w:tc>
          <w:tcPr>
            <w:tcW w:w="1506" w:type="dxa"/>
            <w:tcBorders>
              <w:top w:val="nil"/>
              <w:left w:val="nil"/>
              <w:bottom w:val="single" w:color="auto" w:sz="4" w:space="0"/>
              <w:right w:val="single" w:color="auto" w:sz="4" w:space="0"/>
            </w:tcBorders>
            <w:shd w:val="clear" w:color="auto" w:fill="auto"/>
            <w:vAlign w:val="center"/>
          </w:tcPr>
          <w:p w14:paraId="23718C64">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18AFD52">
            <w:pPr>
              <w:bidi w:val="0"/>
              <w:rPr>
                <w:rFonts w:hint="eastAsia"/>
              </w:rPr>
            </w:pPr>
            <w:r>
              <w:rPr>
                <w:rFonts w:hint="eastAsia"/>
              </w:rPr>
              <w:t>获取“盒条”关联数据，即一个条盒二维码与多个小盒二维码关联。</w:t>
            </w:r>
          </w:p>
        </w:tc>
      </w:tr>
      <w:tr w14:paraId="57642E1E">
        <w:tblPrEx>
          <w:tblCellMar>
            <w:top w:w="0" w:type="dxa"/>
            <w:left w:w="108" w:type="dxa"/>
            <w:bottom w:w="0" w:type="dxa"/>
            <w:right w:w="108" w:type="dxa"/>
          </w:tblCellMar>
        </w:tblPrEx>
        <w:trPr>
          <w:trHeight w:val="129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0449F88">
            <w:pPr>
              <w:bidi w:val="0"/>
              <w:rPr>
                <w:rFonts w:hint="eastAsia"/>
              </w:rPr>
            </w:pPr>
            <w:r>
              <w:rPr>
                <w:rFonts w:hint="eastAsia"/>
              </w:rPr>
              <w:t>17</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4E13DCBA">
            <w:pPr>
              <w:bidi w:val="0"/>
              <w:rPr>
                <w:rFonts w:hint="eastAsia"/>
              </w:rPr>
            </w:pPr>
            <w:r>
              <w:rPr>
                <w:rFonts w:hint="eastAsia"/>
              </w:rPr>
              <w:t>关联关系正确性校验</w:t>
            </w:r>
          </w:p>
        </w:tc>
        <w:tc>
          <w:tcPr>
            <w:tcW w:w="1506" w:type="dxa"/>
            <w:tcBorders>
              <w:top w:val="single" w:color="auto" w:sz="4" w:space="0"/>
              <w:left w:val="single" w:color="auto" w:sz="4" w:space="0"/>
              <w:bottom w:val="single" w:color="auto" w:sz="4" w:space="0"/>
              <w:right w:val="single" w:color="auto" w:sz="4" w:space="0"/>
            </w:tcBorders>
            <w:shd w:val="clear" w:color="auto" w:fill="auto"/>
            <w:vAlign w:val="center"/>
          </w:tcPr>
          <w:p w14:paraId="288A7AB8">
            <w:pPr>
              <w:bidi w:val="0"/>
              <w:rPr>
                <w:rFonts w:hint="eastAsia"/>
              </w:rPr>
            </w:pPr>
            <w:r>
              <w:rPr>
                <w:rFonts w:hint="eastAsia"/>
              </w:rPr>
              <w:t>操作</w:t>
            </w:r>
          </w:p>
        </w:tc>
        <w:tc>
          <w:tcPr>
            <w:tcW w:w="4638" w:type="dxa"/>
            <w:tcBorders>
              <w:top w:val="single" w:color="auto" w:sz="4" w:space="0"/>
              <w:left w:val="single" w:color="auto" w:sz="4" w:space="0"/>
              <w:bottom w:val="single" w:color="auto" w:sz="4" w:space="0"/>
              <w:right w:val="single" w:color="auto" w:sz="4" w:space="0"/>
            </w:tcBorders>
            <w:shd w:val="clear" w:color="auto" w:fill="auto"/>
            <w:vAlign w:val="center"/>
          </w:tcPr>
          <w:p w14:paraId="29E46F04">
            <w:pPr>
              <w:bidi w:val="0"/>
              <w:rPr>
                <w:rFonts w:hint="eastAsia"/>
              </w:rPr>
            </w:pPr>
            <w:r>
              <w:rPr>
                <w:rFonts w:hint="eastAsia"/>
              </w:rPr>
              <w:t>对于步骤16中的关联数据进行校验，校验内容包括：小盒二维码识别情况、条盒二维码识别情况、条盒二维码品规校验情况、校验二维码校验情况。</w:t>
            </w:r>
          </w:p>
        </w:tc>
      </w:tr>
      <w:tr w14:paraId="0E2E912D">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7FF1107A">
            <w:pPr>
              <w:bidi w:val="0"/>
              <w:rPr>
                <w:rFonts w:hint="eastAsia"/>
              </w:rPr>
            </w:pPr>
            <w:r>
              <w:rPr>
                <w:rFonts w:hint="eastAsia"/>
              </w:rPr>
              <w:t>18</w:t>
            </w:r>
          </w:p>
        </w:tc>
        <w:tc>
          <w:tcPr>
            <w:tcW w:w="2259" w:type="dxa"/>
            <w:tcBorders>
              <w:top w:val="single" w:color="auto" w:sz="4" w:space="0"/>
              <w:left w:val="nil"/>
              <w:bottom w:val="single" w:color="auto" w:sz="4" w:space="0"/>
              <w:right w:val="single" w:color="auto" w:sz="4" w:space="0"/>
            </w:tcBorders>
            <w:shd w:val="clear" w:color="auto" w:fill="auto"/>
            <w:vAlign w:val="center"/>
          </w:tcPr>
          <w:p w14:paraId="43D2BB52">
            <w:pPr>
              <w:bidi w:val="0"/>
              <w:rPr>
                <w:rFonts w:hint="eastAsia"/>
              </w:rPr>
            </w:pPr>
            <w:r>
              <w:rPr>
                <w:rFonts w:hint="eastAsia"/>
              </w:rPr>
              <w:t>条盒剔除</w:t>
            </w:r>
          </w:p>
        </w:tc>
        <w:tc>
          <w:tcPr>
            <w:tcW w:w="1506" w:type="dxa"/>
            <w:tcBorders>
              <w:top w:val="single" w:color="auto" w:sz="4" w:space="0"/>
              <w:left w:val="nil"/>
              <w:bottom w:val="single" w:color="auto" w:sz="4" w:space="0"/>
              <w:right w:val="single" w:color="auto" w:sz="4" w:space="0"/>
            </w:tcBorders>
            <w:shd w:val="clear" w:color="auto" w:fill="auto"/>
            <w:vAlign w:val="center"/>
          </w:tcPr>
          <w:p w14:paraId="098015FE">
            <w:pPr>
              <w:bidi w:val="0"/>
              <w:rPr>
                <w:rFonts w:hint="eastAsia"/>
              </w:rPr>
            </w:pPr>
            <w:r>
              <w:rPr>
                <w:rFonts w:hint="eastAsia"/>
              </w:rPr>
              <w:t>操作</w:t>
            </w:r>
          </w:p>
        </w:tc>
        <w:tc>
          <w:tcPr>
            <w:tcW w:w="4638" w:type="dxa"/>
            <w:tcBorders>
              <w:top w:val="single" w:color="auto" w:sz="4" w:space="0"/>
              <w:left w:val="nil"/>
              <w:bottom w:val="single" w:color="auto" w:sz="4" w:space="0"/>
              <w:right w:val="single" w:color="auto" w:sz="4" w:space="0"/>
            </w:tcBorders>
            <w:shd w:val="clear" w:color="auto" w:fill="auto"/>
            <w:vAlign w:val="center"/>
          </w:tcPr>
          <w:p w14:paraId="3A605E43">
            <w:pPr>
              <w:bidi w:val="0"/>
              <w:rPr>
                <w:rFonts w:hint="eastAsia"/>
              </w:rPr>
            </w:pPr>
            <w:r>
              <w:rPr>
                <w:rFonts w:hint="eastAsia"/>
              </w:rPr>
              <w:t>当步骤17中关联关系正确性校验失败且连续失败次数小于3时，通过手动或者发送指令到原机进行条盒剔除操作。</w:t>
            </w:r>
          </w:p>
        </w:tc>
      </w:tr>
      <w:tr w14:paraId="3419D0C0">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nil"/>
            </w:tcBorders>
            <w:shd w:val="clear" w:color="auto" w:fill="auto"/>
            <w:vAlign w:val="center"/>
          </w:tcPr>
          <w:p w14:paraId="37BB8E6A">
            <w:pPr>
              <w:bidi w:val="0"/>
              <w:rPr>
                <w:rFonts w:hint="eastAsia"/>
              </w:rPr>
            </w:pPr>
            <w:r>
              <w:rPr>
                <w:rFonts w:hint="eastAsia"/>
              </w:rPr>
              <w:t>19</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51B07E45">
            <w:pPr>
              <w:bidi w:val="0"/>
              <w:rPr>
                <w:rFonts w:hint="eastAsia"/>
              </w:rPr>
            </w:pPr>
            <w:r>
              <w:rPr>
                <w:rFonts w:hint="eastAsia"/>
              </w:rPr>
              <w:t>设备停机</w:t>
            </w:r>
          </w:p>
        </w:tc>
        <w:tc>
          <w:tcPr>
            <w:tcW w:w="1506" w:type="dxa"/>
            <w:tcBorders>
              <w:top w:val="nil"/>
              <w:left w:val="nil"/>
              <w:bottom w:val="single" w:color="auto" w:sz="4" w:space="0"/>
              <w:right w:val="single" w:color="auto" w:sz="4" w:space="0"/>
            </w:tcBorders>
            <w:shd w:val="clear" w:color="auto" w:fill="auto"/>
            <w:vAlign w:val="center"/>
          </w:tcPr>
          <w:p w14:paraId="149C5F68">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0097CA0C">
            <w:pPr>
              <w:bidi w:val="0"/>
              <w:rPr>
                <w:rFonts w:hint="eastAsia"/>
              </w:rPr>
            </w:pPr>
            <w:r>
              <w:rPr>
                <w:rFonts w:hint="eastAsia"/>
              </w:rPr>
              <w:t>当步骤17中关联关系正确性校验失败且连续失败次数大于3时，通过手动或者发送指令到原机进行设备停机操作。</w:t>
            </w:r>
          </w:p>
        </w:tc>
      </w:tr>
      <w:tr w14:paraId="48C50E55">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nil"/>
            </w:tcBorders>
            <w:shd w:val="clear" w:color="auto" w:fill="auto"/>
            <w:noWrap/>
            <w:vAlign w:val="center"/>
          </w:tcPr>
          <w:p w14:paraId="3CB5EEDC">
            <w:pPr>
              <w:bidi w:val="0"/>
              <w:rPr>
                <w:rFonts w:hint="eastAsia"/>
              </w:rPr>
            </w:pPr>
            <w:r>
              <w:rPr>
                <w:rFonts w:hint="eastAsia"/>
              </w:rPr>
              <w:t>20</w:t>
            </w:r>
          </w:p>
        </w:tc>
        <w:tc>
          <w:tcPr>
            <w:tcW w:w="225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7823E0">
            <w:pPr>
              <w:bidi w:val="0"/>
              <w:rPr>
                <w:rFonts w:hint="eastAsia"/>
              </w:rPr>
            </w:pPr>
            <w:r>
              <w:rPr>
                <w:rFonts w:hint="eastAsia"/>
              </w:rPr>
              <w:t>本地存储关联数据</w:t>
            </w:r>
          </w:p>
        </w:tc>
        <w:tc>
          <w:tcPr>
            <w:tcW w:w="1506" w:type="dxa"/>
            <w:tcBorders>
              <w:top w:val="nil"/>
              <w:left w:val="nil"/>
              <w:bottom w:val="single" w:color="auto" w:sz="4" w:space="0"/>
              <w:right w:val="single" w:color="auto" w:sz="4" w:space="0"/>
            </w:tcBorders>
            <w:shd w:val="clear" w:color="auto" w:fill="auto"/>
            <w:vAlign w:val="center"/>
          </w:tcPr>
          <w:p w14:paraId="39726F3C">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noWrap/>
            <w:vAlign w:val="center"/>
          </w:tcPr>
          <w:p w14:paraId="14CAB88C">
            <w:pPr>
              <w:bidi w:val="0"/>
              <w:rPr>
                <w:rFonts w:hint="eastAsia"/>
              </w:rPr>
            </w:pPr>
            <w:r>
              <w:rPr>
                <w:rFonts w:hint="eastAsia"/>
              </w:rPr>
              <w:t>关联关系校验通过的数据写入表中。</w:t>
            </w:r>
          </w:p>
        </w:tc>
      </w:tr>
    </w:tbl>
    <w:p w14:paraId="5DB426B6">
      <w:pPr>
        <w:bidi w:val="0"/>
        <w:rPr>
          <w:rFonts w:hint="eastAsia"/>
        </w:rPr>
      </w:pPr>
    </w:p>
    <w:p w14:paraId="1AA52DC0">
      <w:pPr>
        <w:pStyle w:val="10"/>
        <w:bidi w:val="0"/>
        <w:rPr>
          <w:rFonts w:hint="eastAsia"/>
        </w:rPr>
      </w:pPr>
      <w:bookmarkStart w:id="113" w:name="_Toc28833"/>
      <w:bookmarkStart w:id="114" w:name="_Toc1726901026"/>
      <w:bookmarkStart w:id="115" w:name="_Toc169693691"/>
      <w:bookmarkStart w:id="116" w:name="_Toc25120"/>
      <w:bookmarkStart w:id="117" w:name="_Toc7193"/>
      <w:r>
        <w:rPr>
          <w:rFonts w:hint="eastAsia"/>
        </w:rPr>
        <w:t>关联数据查询</w:t>
      </w:r>
      <w:bookmarkEnd w:id="113"/>
      <w:bookmarkEnd w:id="114"/>
      <w:bookmarkEnd w:id="115"/>
      <w:bookmarkEnd w:id="116"/>
      <w:bookmarkEnd w:id="117"/>
    </w:p>
    <w:p w14:paraId="10B9B7BC">
      <w:pPr>
        <w:bidi w:val="0"/>
        <w:rPr>
          <w:rFonts w:hint="eastAsia"/>
        </w:rPr>
      </w:pPr>
      <w:r>
        <w:rPr>
          <w:rFonts w:hint="eastAsia" w:asciiTheme="minorEastAsia" w:hAnsiTheme="minorEastAsia" w:eastAsiaTheme="minorEastAsia" w:cstheme="minorEastAsia"/>
          <w:szCs w:val="24"/>
        </w:rPr>
        <w:object>
          <v:shape id="_x0000_i1025" o:spt="75" type="#_x0000_t75" style="height:624pt;width:444pt;" o:ole="t" filled="f" o:preferrelative="t" stroked="f" coordsize="21600,21600">
            <v:path/>
            <v:fill on="f" focussize="0,0"/>
            <v:stroke on="f" joinstyle="miter"/>
            <v:imagedata r:id="rId25" o:title=""/>
            <o:lock v:ext="edit" aspectratio="t"/>
            <w10:wrap type="none"/>
            <w10:anchorlock/>
          </v:shape>
          <o:OLEObject Type="Embed" ProgID="Visio.Drawing.15" ShapeID="_x0000_i1025" DrawAspect="Content" ObjectID="_1468075725">
            <o:LockedField>false</o:LockedField>
          </o:OLEObject>
        </w:object>
      </w:r>
    </w:p>
    <w:tbl>
      <w:tblPr>
        <w:tblStyle w:val="43"/>
        <w:tblW w:w="9102" w:type="dxa"/>
        <w:jc w:val="center"/>
        <w:tblLayout w:type="autofit"/>
        <w:tblCellMar>
          <w:top w:w="0" w:type="dxa"/>
          <w:left w:w="108" w:type="dxa"/>
          <w:bottom w:w="0" w:type="dxa"/>
          <w:right w:w="108" w:type="dxa"/>
        </w:tblCellMar>
      </w:tblPr>
      <w:tblGrid>
        <w:gridCol w:w="699"/>
        <w:gridCol w:w="2259"/>
        <w:gridCol w:w="1506"/>
        <w:gridCol w:w="4638"/>
      </w:tblGrid>
      <w:tr w14:paraId="4FA34B7C">
        <w:tblPrEx>
          <w:tblCellMar>
            <w:top w:w="0" w:type="dxa"/>
            <w:left w:w="108" w:type="dxa"/>
            <w:bottom w:w="0" w:type="dxa"/>
            <w:right w:w="108" w:type="dxa"/>
          </w:tblCellMar>
        </w:tblPrEx>
        <w:trPr>
          <w:trHeight w:val="652" w:hRule="atLeast"/>
          <w:jc w:val="center"/>
        </w:trPr>
        <w:tc>
          <w:tcPr>
            <w:tcW w:w="69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3754936">
            <w:pPr>
              <w:bidi w:val="0"/>
              <w:rPr>
                <w:rFonts w:hint="eastAsia"/>
              </w:rPr>
            </w:pPr>
            <w:r>
              <w:rPr>
                <w:rFonts w:hint="eastAsia"/>
              </w:rPr>
              <w:t>序号</w:t>
            </w:r>
          </w:p>
        </w:tc>
        <w:tc>
          <w:tcPr>
            <w:tcW w:w="225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35F44D4">
            <w:pPr>
              <w:bidi w:val="0"/>
              <w:rPr>
                <w:rFonts w:hint="eastAsia"/>
              </w:rPr>
            </w:pPr>
            <w:r>
              <w:rPr>
                <w:rFonts w:hint="eastAsia"/>
              </w:rPr>
              <w:t>节点名称</w:t>
            </w:r>
          </w:p>
        </w:tc>
        <w:tc>
          <w:tcPr>
            <w:tcW w:w="1506"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C557727">
            <w:pPr>
              <w:bidi w:val="0"/>
              <w:rPr>
                <w:rFonts w:hint="eastAsia"/>
              </w:rPr>
            </w:pPr>
            <w:r>
              <w:rPr>
                <w:rFonts w:hint="eastAsia"/>
              </w:rPr>
              <w:t>节点类型（操作/作业流程/示意流程）</w:t>
            </w:r>
          </w:p>
        </w:tc>
        <w:tc>
          <w:tcPr>
            <w:tcW w:w="4638"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80AAF2D">
            <w:pPr>
              <w:bidi w:val="0"/>
              <w:rPr>
                <w:rFonts w:hint="eastAsia"/>
              </w:rPr>
            </w:pPr>
            <w:r>
              <w:rPr>
                <w:rFonts w:hint="eastAsia"/>
              </w:rPr>
              <w:t>节点描述（如何做）</w:t>
            </w:r>
          </w:p>
        </w:tc>
      </w:tr>
      <w:tr w14:paraId="094544BD">
        <w:tblPrEx>
          <w:tblCellMar>
            <w:top w:w="0" w:type="dxa"/>
            <w:left w:w="108" w:type="dxa"/>
            <w:bottom w:w="0" w:type="dxa"/>
            <w:right w:w="108" w:type="dxa"/>
          </w:tblCellMar>
        </w:tblPrEx>
        <w:trPr>
          <w:trHeight w:val="48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AE893DB">
            <w:pPr>
              <w:bidi w:val="0"/>
              <w:rPr>
                <w:rFonts w:hint="eastAsia"/>
              </w:rPr>
            </w:pPr>
          </w:p>
        </w:tc>
        <w:tc>
          <w:tcPr>
            <w:tcW w:w="2259" w:type="dxa"/>
            <w:vMerge w:val="continue"/>
            <w:tcBorders>
              <w:top w:val="single" w:color="auto" w:sz="4" w:space="0"/>
              <w:left w:val="single" w:color="auto" w:sz="4" w:space="0"/>
              <w:bottom w:val="single" w:color="auto" w:sz="4" w:space="0"/>
              <w:right w:val="single" w:color="auto" w:sz="4" w:space="0"/>
            </w:tcBorders>
            <w:vAlign w:val="center"/>
          </w:tcPr>
          <w:p w14:paraId="74677CF9">
            <w:pPr>
              <w:bidi w:val="0"/>
              <w:rPr>
                <w:rFonts w:hint="eastAsia"/>
              </w:rPr>
            </w:pPr>
          </w:p>
        </w:tc>
        <w:tc>
          <w:tcPr>
            <w:tcW w:w="1506" w:type="dxa"/>
            <w:vMerge w:val="continue"/>
            <w:tcBorders>
              <w:top w:val="single" w:color="auto" w:sz="4" w:space="0"/>
              <w:left w:val="single" w:color="auto" w:sz="4" w:space="0"/>
              <w:bottom w:val="single" w:color="auto" w:sz="4" w:space="0"/>
              <w:right w:val="single" w:color="auto" w:sz="4" w:space="0"/>
            </w:tcBorders>
            <w:vAlign w:val="center"/>
          </w:tcPr>
          <w:p w14:paraId="2215D5D1">
            <w:pPr>
              <w:bidi w:val="0"/>
              <w:rPr>
                <w:rFonts w:hint="eastAsia"/>
              </w:rPr>
            </w:pPr>
          </w:p>
        </w:tc>
        <w:tc>
          <w:tcPr>
            <w:tcW w:w="4638" w:type="dxa"/>
            <w:vMerge w:val="continue"/>
            <w:tcBorders>
              <w:top w:val="single" w:color="auto" w:sz="4" w:space="0"/>
              <w:left w:val="single" w:color="auto" w:sz="4" w:space="0"/>
              <w:bottom w:val="single" w:color="auto" w:sz="4" w:space="0"/>
              <w:right w:val="single" w:color="auto" w:sz="4" w:space="0"/>
            </w:tcBorders>
            <w:vAlign w:val="center"/>
          </w:tcPr>
          <w:p w14:paraId="3E3C70DC">
            <w:pPr>
              <w:bidi w:val="0"/>
              <w:rPr>
                <w:rFonts w:hint="eastAsia"/>
              </w:rPr>
            </w:pPr>
          </w:p>
        </w:tc>
      </w:tr>
      <w:tr w14:paraId="0FBE5AC6">
        <w:tblPrEx>
          <w:tblCellMar>
            <w:top w:w="0" w:type="dxa"/>
            <w:left w:w="108" w:type="dxa"/>
            <w:bottom w:w="0" w:type="dxa"/>
            <w:right w:w="108" w:type="dxa"/>
          </w:tblCellMar>
        </w:tblPrEx>
        <w:trPr>
          <w:trHeight w:val="468"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F305100">
            <w:pPr>
              <w:bidi w:val="0"/>
              <w:rPr>
                <w:rFonts w:hint="eastAsia"/>
              </w:rPr>
            </w:pPr>
          </w:p>
        </w:tc>
        <w:tc>
          <w:tcPr>
            <w:tcW w:w="2259" w:type="dxa"/>
            <w:vMerge w:val="continue"/>
            <w:tcBorders>
              <w:top w:val="single" w:color="auto" w:sz="4" w:space="0"/>
              <w:left w:val="single" w:color="auto" w:sz="4" w:space="0"/>
              <w:bottom w:val="single" w:color="auto" w:sz="4" w:space="0"/>
              <w:right w:val="single" w:color="auto" w:sz="4" w:space="0"/>
            </w:tcBorders>
            <w:vAlign w:val="center"/>
          </w:tcPr>
          <w:p w14:paraId="2B70B327">
            <w:pPr>
              <w:bidi w:val="0"/>
              <w:rPr>
                <w:rFonts w:hint="eastAsia"/>
              </w:rPr>
            </w:pPr>
          </w:p>
        </w:tc>
        <w:tc>
          <w:tcPr>
            <w:tcW w:w="1506" w:type="dxa"/>
            <w:vMerge w:val="continue"/>
            <w:tcBorders>
              <w:top w:val="single" w:color="auto" w:sz="4" w:space="0"/>
              <w:left w:val="single" w:color="auto" w:sz="4" w:space="0"/>
              <w:bottom w:val="single" w:color="auto" w:sz="4" w:space="0"/>
              <w:right w:val="single" w:color="auto" w:sz="4" w:space="0"/>
            </w:tcBorders>
            <w:vAlign w:val="center"/>
          </w:tcPr>
          <w:p w14:paraId="2F3F9FD8">
            <w:pPr>
              <w:bidi w:val="0"/>
              <w:rPr>
                <w:rFonts w:hint="eastAsia"/>
              </w:rPr>
            </w:pPr>
          </w:p>
        </w:tc>
        <w:tc>
          <w:tcPr>
            <w:tcW w:w="4638" w:type="dxa"/>
            <w:vMerge w:val="continue"/>
            <w:tcBorders>
              <w:top w:val="single" w:color="auto" w:sz="4" w:space="0"/>
              <w:left w:val="single" w:color="auto" w:sz="4" w:space="0"/>
              <w:bottom w:val="single" w:color="auto" w:sz="4" w:space="0"/>
              <w:right w:val="single" w:color="auto" w:sz="4" w:space="0"/>
            </w:tcBorders>
            <w:vAlign w:val="center"/>
          </w:tcPr>
          <w:p w14:paraId="4B131D16">
            <w:pPr>
              <w:bidi w:val="0"/>
              <w:rPr>
                <w:rFonts w:hint="eastAsia"/>
              </w:rPr>
            </w:pPr>
          </w:p>
        </w:tc>
      </w:tr>
      <w:tr w14:paraId="354AC161">
        <w:tblPrEx>
          <w:tblCellMar>
            <w:top w:w="0" w:type="dxa"/>
            <w:left w:w="108" w:type="dxa"/>
            <w:bottom w:w="0" w:type="dxa"/>
            <w:right w:w="108" w:type="dxa"/>
          </w:tblCellMar>
        </w:tblPrEx>
        <w:trPr>
          <w:trHeight w:val="85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4F14C43">
            <w:pPr>
              <w:bidi w:val="0"/>
              <w:rPr>
                <w:rFonts w:hint="eastAsia"/>
              </w:rPr>
            </w:pPr>
            <w:r>
              <w:rPr>
                <w:rFonts w:hint="eastAsia"/>
              </w:rPr>
              <w:t>1</w:t>
            </w:r>
          </w:p>
        </w:tc>
        <w:tc>
          <w:tcPr>
            <w:tcW w:w="2259" w:type="dxa"/>
            <w:tcBorders>
              <w:top w:val="nil"/>
              <w:left w:val="nil"/>
              <w:bottom w:val="single" w:color="auto" w:sz="4" w:space="0"/>
              <w:right w:val="single" w:color="auto" w:sz="4" w:space="0"/>
            </w:tcBorders>
            <w:shd w:val="clear" w:color="auto" w:fill="auto"/>
            <w:vAlign w:val="center"/>
          </w:tcPr>
          <w:p w14:paraId="5B366AF4">
            <w:pPr>
              <w:bidi w:val="0"/>
              <w:rPr>
                <w:rFonts w:hint="eastAsia"/>
              </w:rPr>
            </w:pPr>
            <w:r>
              <w:rPr>
                <w:rFonts w:hint="eastAsia"/>
              </w:rPr>
              <w:t>卷烟二维码品检工位</w:t>
            </w:r>
          </w:p>
        </w:tc>
        <w:tc>
          <w:tcPr>
            <w:tcW w:w="1506" w:type="dxa"/>
            <w:tcBorders>
              <w:top w:val="nil"/>
              <w:left w:val="nil"/>
              <w:bottom w:val="single" w:color="auto" w:sz="4" w:space="0"/>
              <w:right w:val="single" w:color="auto" w:sz="4" w:space="0"/>
            </w:tcBorders>
            <w:shd w:val="clear" w:color="auto" w:fill="auto"/>
            <w:vAlign w:val="center"/>
          </w:tcPr>
          <w:p w14:paraId="290DEE4A">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6BDCFE78">
            <w:pPr>
              <w:bidi w:val="0"/>
              <w:rPr>
                <w:rFonts w:hint="eastAsia"/>
              </w:rPr>
            </w:pPr>
            <w:r>
              <w:rPr>
                <w:rFonts w:hint="eastAsia"/>
              </w:rPr>
              <w:t>包装机上安装的固定读码器工位，用来读取卷烟盒二维码。并且该工位在剔除口前，方便剔除验码失败的烟包。</w:t>
            </w:r>
          </w:p>
        </w:tc>
      </w:tr>
      <w:tr w14:paraId="1E766A96">
        <w:tblPrEx>
          <w:tblCellMar>
            <w:top w:w="0" w:type="dxa"/>
            <w:left w:w="108" w:type="dxa"/>
            <w:bottom w:w="0" w:type="dxa"/>
            <w:right w:w="108" w:type="dxa"/>
          </w:tblCellMar>
        </w:tblPrEx>
        <w:trPr>
          <w:trHeight w:val="105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0C67FDC6">
            <w:pPr>
              <w:bidi w:val="0"/>
              <w:rPr>
                <w:rFonts w:hint="eastAsia"/>
              </w:rPr>
            </w:pPr>
            <w:r>
              <w:rPr>
                <w:rFonts w:hint="eastAsia"/>
              </w:rPr>
              <w:t>2</w:t>
            </w:r>
          </w:p>
        </w:tc>
        <w:tc>
          <w:tcPr>
            <w:tcW w:w="2259" w:type="dxa"/>
            <w:tcBorders>
              <w:top w:val="nil"/>
              <w:left w:val="nil"/>
              <w:bottom w:val="single" w:color="auto" w:sz="4" w:space="0"/>
              <w:right w:val="single" w:color="auto" w:sz="4" w:space="0"/>
            </w:tcBorders>
            <w:shd w:val="clear" w:color="auto" w:fill="auto"/>
            <w:vAlign w:val="center"/>
          </w:tcPr>
          <w:p w14:paraId="0CCE6C0F">
            <w:pPr>
              <w:bidi w:val="0"/>
              <w:rPr>
                <w:rFonts w:hint="eastAsia"/>
              </w:rPr>
            </w:pPr>
            <w:r>
              <w:rPr>
                <w:rFonts w:hint="eastAsia"/>
              </w:rPr>
              <w:t>获取小盒二维码数据</w:t>
            </w:r>
          </w:p>
        </w:tc>
        <w:tc>
          <w:tcPr>
            <w:tcW w:w="1506" w:type="dxa"/>
            <w:tcBorders>
              <w:top w:val="nil"/>
              <w:left w:val="nil"/>
              <w:bottom w:val="single" w:color="auto" w:sz="4" w:space="0"/>
              <w:right w:val="single" w:color="auto" w:sz="4" w:space="0"/>
            </w:tcBorders>
            <w:shd w:val="clear" w:color="auto" w:fill="auto"/>
            <w:vAlign w:val="center"/>
          </w:tcPr>
          <w:p w14:paraId="3504F325">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4A86D5E">
            <w:pPr>
              <w:bidi w:val="0"/>
              <w:rPr>
                <w:rFonts w:hint="eastAsia"/>
              </w:rPr>
            </w:pPr>
            <w:r>
              <w:rPr>
                <w:rFonts w:hint="eastAsia"/>
              </w:rPr>
              <w:t>“盒条”关联现场管理子系统实时接收卷烟二维码品检工位上固定读码器传回的二维码数据。</w:t>
            </w:r>
          </w:p>
        </w:tc>
      </w:tr>
      <w:tr w14:paraId="39C0E575">
        <w:tblPrEx>
          <w:tblCellMar>
            <w:top w:w="0" w:type="dxa"/>
            <w:left w:w="108" w:type="dxa"/>
            <w:bottom w:w="0" w:type="dxa"/>
            <w:right w:w="108" w:type="dxa"/>
          </w:tblCellMar>
        </w:tblPrEx>
        <w:trPr>
          <w:trHeight w:val="106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77B9397">
            <w:pPr>
              <w:bidi w:val="0"/>
              <w:rPr>
                <w:rFonts w:hint="eastAsia"/>
              </w:rPr>
            </w:pPr>
            <w:r>
              <w:rPr>
                <w:rFonts w:hint="eastAsia"/>
              </w:rPr>
              <w:t>3</w:t>
            </w:r>
          </w:p>
        </w:tc>
        <w:tc>
          <w:tcPr>
            <w:tcW w:w="2259" w:type="dxa"/>
            <w:tcBorders>
              <w:top w:val="nil"/>
              <w:left w:val="nil"/>
              <w:bottom w:val="single" w:color="auto" w:sz="4" w:space="0"/>
              <w:right w:val="single" w:color="auto" w:sz="4" w:space="0"/>
            </w:tcBorders>
            <w:shd w:val="clear" w:color="auto" w:fill="auto"/>
            <w:vAlign w:val="center"/>
          </w:tcPr>
          <w:p w14:paraId="4FB5FF2C">
            <w:pPr>
              <w:bidi w:val="0"/>
              <w:rPr>
                <w:rFonts w:hint="eastAsia"/>
              </w:rPr>
            </w:pPr>
            <w:r>
              <w:rPr>
                <w:rFonts w:hint="eastAsia"/>
              </w:rPr>
              <w:t>小盒二维码校验</w:t>
            </w:r>
          </w:p>
        </w:tc>
        <w:tc>
          <w:tcPr>
            <w:tcW w:w="1506" w:type="dxa"/>
            <w:tcBorders>
              <w:top w:val="nil"/>
              <w:left w:val="nil"/>
              <w:bottom w:val="single" w:color="auto" w:sz="4" w:space="0"/>
              <w:right w:val="single" w:color="auto" w:sz="4" w:space="0"/>
            </w:tcBorders>
            <w:shd w:val="clear" w:color="auto" w:fill="auto"/>
            <w:vAlign w:val="center"/>
          </w:tcPr>
          <w:p w14:paraId="3939CFCA">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FD75CB2">
            <w:pPr>
              <w:bidi w:val="0"/>
              <w:rPr>
                <w:rFonts w:hint="eastAsia"/>
              </w:rPr>
            </w:pPr>
            <w:r>
              <w:rPr>
                <w:rFonts w:hint="eastAsia"/>
              </w:rPr>
              <w:t>“盒条”关联现场管理子系统将获取的二维码进行校验，校验内容包括：二维码识别情况、二维码品规校验情况。</w:t>
            </w:r>
          </w:p>
        </w:tc>
      </w:tr>
      <w:tr w14:paraId="203575A2">
        <w:tblPrEx>
          <w:tblCellMar>
            <w:top w:w="0" w:type="dxa"/>
            <w:left w:w="108" w:type="dxa"/>
            <w:bottom w:w="0" w:type="dxa"/>
            <w:right w:w="108" w:type="dxa"/>
          </w:tblCellMar>
        </w:tblPrEx>
        <w:trPr>
          <w:trHeight w:val="106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A46F1B4">
            <w:pPr>
              <w:bidi w:val="0"/>
              <w:rPr>
                <w:rFonts w:hint="eastAsia"/>
              </w:rPr>
            </w:pPr>
            <w:r>
              <w:rPr>
                <w:rFonts w:hint="eastAsia"/>
              </w:rPr>
              <w:t>4</w:t>
            </w:r>
          </w:p>
        </w:tc>
        <w:tc>
          <w:tcPr>
            <w:tcW w:w="2259" w:type="dxa"/>
            <w:tcBorders>
              <w:top w:val="nil"/>
              <w:left w:val="nil"/>
              <w:bottom w:val="single" w:color="auto" w:sz="4" w:space="0"/>
              <w:right w:val="single" w:color="auto" w:sz="4" w:space="0"/>
            </w:tcBorders>
            <w:shd w:val="clear" w:color="auto" w:fill="auto"/>
            <w:vAlign w:val="center"/>
          </w:tcPr>
          <w:p w14:paraId="230EE174">
            <w:pPr>
              <w:bidi w:val="0"/>
              <w:rPr>
                <w:rFonts w:hint="eastAsia"/>
              </w:rPr>
            </w:pPr>
            <w:r>
              <w:rPr>
                <w:rFonts w:hint="eastAsia"/>
              </w:rPr>
              <w:t>小盒剔除</w:t>
            </w:r>
          </w:p>
        </w:tc>
        <w:tc>
          <w:tcPr>
            <w:tcW w:w="1506" w:type="dxa"/>
            <w:tcBorders>
              <w:top w:val="nil"/>
              <w:left w:val="nil"/>
              <w:bottom w:val="single" w:color="auto" w:sz="4" w:space="0"/>
              <w:right w:val="single" w:color="auto" w:sz="4" w:space="0"/>
            </w:tcBorders>
            <w:shd w:val="clear" w:color="auto" w:fill="auto"/>
            <w:vAlign w:val="center"/>
          </w:tcPr>
          <w:p w14:paraId="3D6F7FC6">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04588FA">
            <w:pPr>
              <w:bidi w:val="0"/>
              <w:rPr>
                <w:rFonts w:hint="eastAsia"/>
              </w:rPr>
            </w:pPr>
            <w:r>
              <w:rPr>
                <w:rFonts w:hint="eastAsia"/>
              </w:rPr>
              <w:t>当步骤3中二维码校验失败且连续失败次数小于n时，通过手动或者发送指令到原机进行小盒剔除操作。</w:t>
            </w:r>
          </w:p>
        </w:tc>
      </w:tr>
      <w:tr w14:paraId="6EB5BCD9">
        <w:tblPrEx>
          <w:tblCellMar>
            <w:top w:w="0" w:type="dxa"/>
            <w:left w:w="108" w:type="dxa"/>
            <w:bottom w:w="0" w:type="dxa"/>
            <w:right w:w="108" w:type="dxa"/>
          </w:tblCellMar>
        </w:tblPrEx>
        <w:trPr>
          <w:trHeight w:val="7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2CD732A1">
            <w:pPr>
              <w:bidi w:val="0"/>
              <w:rPr>
                <w:rFonts w:hint="eastAsia"/>
              </w:rPr>
            </w:pPr>
            <w:r>
              <w:rPr>
                <w:rFonts w:hint="eastAsia"/>
              </w:rPr>
              <w:t>5</w:t>
            </w:r>
          </w:p>
        </w:tc>
        <w:tc>
          <w:tcPr>
            <w:tcW w:w="2259" w:type="dxa"/>
            <w:tcBorders>
              <w:top w:val="nil"/>
              <w:left w:val="nil"/>
              <w:bottom w:val="single" w:color="auto" w:sz="4" w:space="0"/>
              <w:right w:val="single" w:color="auto" w:sz="4" w:space="0"/>
            </w:tcBorders>
            <w:shd w:val="clear" w:color="auto" w:fill="auto"/>
            <w:vAlign w:val="center"/>
          </w:tcPr>
          <w:p w14:paraId="78135390">
            <w:pPr>
              <w:bidi w:val="0"/>
              <w:rPr>
                <w:rFonts w:hint="eastAsia"/>
              </w:rPr>
            </w:pPr>
            <w:r>
              <w:rPr>
                <w:rFonts w:hint="eastAsia"/>
              </w:rPr>
              <w:t>设备停机</w:t>
            </w:r>
          </w:p>
        </w:tc>
        <w:tc>
          <w:tcPr>
            <w:tcW w:w="1506" w:type="dxa"/>
            <w:tcBorders>
              <w:top w:val="nil"/>
              <w:left w:val="nil"/>
              <w:bottom w:val="single" w:color="auto" w:sz="4" w:space="0"/>
              <w:right w:val="single" w:color="auto" w:sz="4" w:space="0"/>
            </w:tcBorders>
            <w:shd w:val="clear" w:color="auto" w:fill="auto"/>
            <w:vAlign w:val="center"/>
          </w:tcPr>
          <w:p w14:paraId="1569FBA2">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7163DF7">
            <w:pPr>
              <w:bidi w:val="0"/>
              <w:rPr>
                <w:rFonts w:hint="eastAsia"/>
              </w:rPr>
            </w:pPr>
            <w:r>
              <w:rPr>
                <w:rFonts w:hint="eastAsia"/>
              </w:rPr>
              <w:t>当步骤3中二维码校验失败且连续失败次数大于n时，通过手动或者发送指令到原机进行设备停机操作。</w:t>
            </w:r>
          </w:p>
        </w:tc>
      </w:tr>
      <w:tr w14:paraId="2FC03F72">
        <w:tblPrEx>
          <w:tblCellMar>
            <w:top w:w="0" w:type="dxa"/>
            <w:left w:w="108" w:type="dxa"/>
            <w:bottom w:w="0" w:type="dxa"/>
            <w:right w:w="108" w:type="dxa"/>
          </w:tblCellMar>
        </w:tblPrEx>
        <w:trPr>
          <w:trHeight w:val="87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EFBEC3B">
            <w:pPr>
              <w:bidi w:val="0"/>
              <w:rPr>
                <w:rFonts w:hint="eastAsia"/>
              </w:rPr>
            </w:pPr>
            <w:r>
              <w:rPr>
                <w:rFonts w:hint="eastAsia"/>
              </w:rPr>
              <w:t>6</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74923D80">
            <w:pPr>
              <w:bidi w:val="0"/>
              <w:rPr>
                <w:rFonts w:hint="eastAsia"/>
              </w:rPr>
            </w:pPr>
            <w:r>
              <w:rPr>
                <w:rFonts w:hint="eastAsia"/>
              </w:rPr>
              <w:t>卷烟盒二维码读取工位</w:t>
            </w:r>
          </w:p>
        </w:tc>
        <w:tc>
          <w:tcPr>
            <w:tcW w:w="1506" w:type="dxa"/>
            <w:tcBorders>
              <w:top w:val="single" w:color="auto" w:sz="4" w:space="0"/>
              <w:left w:val="single" w:color="auto" w:sz="4" w:space="0"/>
              <w:bottom w:val="single" w:color="auto" w:sz="4" w:space="0"/>
              <w:right w:val="single" w:color="auto" w:sz="4" w:space="0"/>
            </w:tcBorders>
            <w:shd w:val="clear" w:color="auto" w:fill="auto"/>
            <w:vAlign w:val="center"/>
          </w:tcPr>
          <w:p w14:paraId="01F3199C">
            <w:pPr>
              <w:bidi w:val="0"/>
              <w:rPr>
                <w:rFonts w:hint="eastAsia"/>
              </w:rPr>
            </w:pPr>
            <w:r>
              <w:rPr>
                <w:rFonts w:hint="eastAsia"/>
              </w:rPr>
              <w:t>操作</w:t>
            </w:r>
          </w:p>
        </w:tc>
        <w:tc>
          <w:tcPr>
            <w:tcW w:w="4638" w:type="dxa"/>
            <w:tcBorders>
              <w:top w:val="single" w:color="auto" w:sz="4" w:space="0"/>
              <w:left w:val="single" w:color="auto" w:sz="4" w:space="0"/>
              <w:bottom w:val="single" w:color="auto" w:sz="4" w:space="0"/>
              <w:right w:val="single" w:color="auto" w:sz="4" w:space="0"/>
            </w:tcBorders>
            <w:shd w:val="clear" w:color="auto" w:fill="auto"/>
            <w:vAlign w:val="center"/>
          </w:tcPr>
          <w:p w14:paraId="4C0ADDFF">
            <w:pPr>
              <w:bidi w:val="0"/>
              <w:rPr>
                <w:rFonts w:hint="eastAsia"/>
              </w:rPr>
            </w:pPr>
            <w:r>
              <w:rPr>
                <w:rFonts w:hint="eastAsia"/>
              </w:rPr>
              <w:t>包装机上安装的固定读码器工位，用来读取卷烟盒二维码。通过相位触发对经过的单包X进行读码。</w:t>
            </w:r>
          </w:p>
        </w:tc>
      </w:tr>
      <w:tr w14:paraId="432A0538">
        <w:tblPrEx>
          <w:tblCellMar>
            <w:top w:w="0" w:type="dxa"/>
            <w:left w:w="108" w:type="dxa"/>
            <w:bottom w:w="0" w:type="dxa"/>
            <w:right w:w="108" w:type="dxa"/>
          </w:tblCellMar>
        </w:tblPrEx>
        <w:trPr>
          <w:trHeight w:val="90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0CD5DEF">
            <w:pPr>
              <w:bidi w:val="0"/>
              <w:rPr>
                <w:rFonts w:hint="eastAsia"/>
              </w:rPr>
            </w:pPr>
            <w:r>
              <w:rPr>
                <w:rFonts w:hint="eastAsia"/>
              </w:rPr>
              <w:t>7</w:t>
            </w:r>
          </w:p>
        </w:tc>
        <w:tc>
          <w:tcPr>
            <w:tcW w:w="2259" w:type="dxa"/>
            <w:tcBorders>
              <w:top w:val="single" w:color="auto" w:sz="4" w:space="0"/>
              <w:left w:val="nil"/>
              <w:bottom w:val="single" w:color="auto" w:sz="4" w:space="0"/>
              <w:right w:val="single" w:color="auto" w:sz="4" w:space="0"/>
            </w:tcBorders>
            <w:shd w:val="clear" w:color="auto" w:fill="auto"/>
            <w:vAlign w:val="center"/>
          </w:tcPr>
          <w:p w14:paraId="4016326C">
            <w:pPr>
              <w:bidi w:val="0"/>
              <w:rPr>
                <w:rFonts w:hint="eastAsia"/>
              </w:rPr>
            </w:pPr>
            <w:r>
              <w:rPr>
                <w:rFonts w:hint="eastAsia"/>
              </w:rPr>
              <w:t>获取小盒二维码</w:t>
            </w:r>
          </w:p>
        </w:tc>
        <w:tc>
          <w:tcPr>
            <w:tcW w:w="1506" w:type="dxa"/>
            <w:tcBorders>
              <w:top w:val="single" w:color="auto" w:sz="4" w:space="0"/>
              <w:left w:val="nil"/>
              <w:bottom w:val="single" w:color="auto" w:sz="4" w:space="0"/>
              <w:right w:val="single" w:color="auto" w:sz="4" w:space="0"/>
            </w:tcBorders>
            <w:shd w:val="clear" w:color="auto" w:fill="auto"/>
            <w:vAlign w:val="center"/>
          </w:tcPr>
          <w:p w14:paraId="33BFACDA">
            <w:pPr>
              <w:bidi w:val="0"/>
              <w:rPr>
                <w:rFonts w:hint="eastAsia"/>
              </w:rPr>
            </w:pPr>
            <w:r>
              <w:rPr>
                <w:rFonts w:hint="eastAsia"/>
              </w:rPr>
              <w:t>操作</w:t>
            </w:r>
          </w:p>
        </w:tc>
        <w:tc>
          <w:tcPr>
            <w:tcW w:w="4638" w:type="dxa"/>
            <w:tcBorders>
              <w:top w:val="single" w:color="auto" w:sz="4" w:space="0"/>
              <w:left w:val="nil"/>
              <w:bottom w:val="single" w:color="auto" w:sz="4" w:space="0"/>
              <w:right w:val="single" w:color="auto" w:sz="4" w:space="0"/>
            </w:tcBorders>
            <w:shd w:val="clear" w:color="auto" w:fill="auto"/>
            <w:vAlign w:val="center"/>
          </w:tcPr>
          <w:p w14:paraId="3F956962">
            <w:pPr>
              <w:bidi w:val="0"/>
              <w:rPr>
                <w:rFonts w:hint="eastAsia"/>
              </w:rPr>
            </w:pPr>
            <w:r>
              <w:rPr>
                <w:rFonts w:hint="eastAsia"/>
              </w:rPr>
              <w:t>“盒条”关联现场管理子系统实时接收卷烟盒二维码读取工位上固定读码器传回的二维码数据。</w:t>
            </w:r>
          </w:p>
        </w:tc>
      </w:tr>
      <w:tr w14:paraId="67106167">
        <w:tblPrEx>
          <w:tblCellMar>
            <w:top w:w="0" w:type="dxa"/>
            <w:left w:w="108" w:type="dxa"/>
            <w:bottom w:w="0" w:type="dxa"/>
            <w:right w:w="108" w:type="dxa"/>
          </w:tblCellMar>
        </w:tblPrEx>
        <w:trPr>
          <w:trHeight w:val="67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8E1AF41">
            <w:pPr>
              <w:bidi w:val="0"/>
              <w:rPr>
                <w:rFonts w:hint="eastAsia"/>
              </w:rPr>
            </w:pPr>
            <w:r>
              <w:rPr>
                <w:rFonts w:hint="eastAsia"/>
              </w:rPr>
              <w:t>8</w:t>
            </w:r>
          </w:p>
        </w:tc>
        <w:tc>
          <w:tcPr>
            <w:tcW w:w="2259" w:type="dxa"/>
            <w:tcBorders>
              <w:top w:val="nil"/>
              <w:left w:val="nil"/>
              <w:bottom w:val="single" w:color="auto" w:sz="4" w:space="0"/>
              <w:right w:val="single" w:color="auto" w:sz="4" w:space="0"/>
            </w:tcBorders>
            <w:shd w:val="clear" w:color="auto" w:fill="auto"/>
            <w:vAlign w:val="center"/>
          </w:tcPr>
          <w:p w14:paraId="6A918DD0">
            <w:pPr>
              <w:bidi w:val="0"/>
              <w:rPr>
                <w:rFonts w:hint="eastAsia"/>
              </w:rPr>
            </w:pPr>
            <w:r>
              <w:rPr>
                <w:rFonts w:hint="eastAsia"/>
              </w:rPr>
              <w:t>建立小盒队列</w:t>
            </w:r>
          </w:p>
        </w:tc>
        <w:tc>
          <w:tcPr>
            <w:tcW w:w="1506" w:type="dxa"/>
            <w:tcBorders>
              <w:top w:val="nil"/>
              <w:left w:val="nil"/>
              <w:bottom w:val="single" w:color="auto" w:sz="4" w:space="0"/>
              <w:right w:val="single" w:color="auto" w:sz="4" w:space="0"/>
            </w:tcBorders>
            <w:shd w:val="clear" w:color="auto" w:fill="auto"/>
            <w:vAlign w:val="center"/>
          </w:tcPr>
          <w:p w14:paraId="43CDA569">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0FA2213E">
            <w:pPr>
              <w:bidi w:val="0"/>
              <w:rPr>
                <w:rFonts w:hint="eastAsia"/>
              </w:rPr>
            </w:pPr>
            <w:r>
              <w:rPr>
                <w:rFonts w:hint="eastAsia"/>
              </w:rPr>
              <w:t>将步骤7中获取的小盒二维码建立小盒队列。</w:t>
            </w:r>
          </w:p>
        </w:tc>
      </w:tr>
      <w:tr w14:paraId="3031383A">
        <w:tblPrEx>
          <w:tblCellMar>
            <w:top w:w="0" w:type="dxa"/>
            <w:left w:w="108" w:type="dxa"/>
            <w:bottom w:w="0" w:type="dxa"/>
            <w:right w:w="108" w:type="dxa"/>
          </w:tblCellMar>
        </w:tblPrEx>
        <w:trPr>
          <w:trHeight w:val="70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53CEB2DA">
            <w:pPr>
              <w:bidi w:val="0"/>
              <w:rPr>
                <w:rFonts w:hint="eastAsia"/>
              </w:rPr>
            </w:pPr>
            <w:r>
              <w:rPr>
                <w:rFonts w:hint="eastAsia"/>
              </w:rPr>
              <w:t>9</w:t>
            </w:r>
          </w:p>
        </w:tc>
        <w:tc>
          <w:tcPr>
            <w:tcW w:w="2259" w:type="dxa"/>
            <w:tcBorders>
              <w:top w:val="nil"/>
              <w:left w:val="nil"/>
              <w:bottom w:val="single" w:color="auto" w:sz="4" w:space="0"/>
              <w:right w:val="single" w:color="auto" w:sz="4" w:space="0"/>
            </w:tcBorders>
            <w:shd w:val="clear" w:color="auto" w:fill="auto"/>
            <w:vAlign w:val="center"/>
          </w:tcPr>
          <w:p w14:paraId="0008E8BF">
            <w:pPr>
              <w:bidi w:val="0"/>
              <w:rPr>
                <w:rFonts w:hint="eastAsia"/>
              </w:rPr>
            </w:pPr>
            <w:r>
              <w:rPr>
                <w:rFonts w:hint="eastAsia"/>
              </w:rPr>
              <w:t>卷烟条二维码读取工位</w:t>
            </w:r>
          </w:p>
        </w:tc>
        <w:tc>
          <w:tcPr>
            <w:tcW w:w="1506" w:type="dxa"/>
            <w:tcBorders>
              <w:top w:val="nil"/>
              <w:left w:val="nil"/>
              <w:bottom w:val="single" w:color="auto" w:sz="4" w:space="0"/>
              <w:right w:val="single" w:color="auto" w:sz="4" w:space="0"/>
            </w:tcBorders>
            <w:shd w:val="clear" w:color="auto" w:fill="auto"/>
            <w:vAlign w:val="center"/>
          </w:tcPr>
          <w:p w14:paraId="5562C09C">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9CBA6D4">
            <w:pPr>
              <w:bidi w:val="0"/>
              <w:rPr>
                <w:rFonts w:hint="eastAsia"/>
              </w:rPr>
            </w:pPr>
            <w:r>
              <w:rPr>
                <w:rFonts w:hint="eastAsia"/>
              </w:rPr>
              <w:t>包装机上安装的固定读码器工位，用来读取卷烟条二维码。</w:t>
            </w:r>
          </w:p>
        </w:tc>
      </w:tr>
      <w:tr w14:paraId="162F3E9C">
        <w:tblPrEx>
          <w:tblCellMar>
            <w:top w:w="0" w:type="dxa"/>
            <w:left w:w="108" w:type="dxa"/>
            <w:bottom w:w="0" w:type="dxa"/>
            <w:right w:w="108" w:type="dxa"/>
          </w:tblCellMar>
        </w:tblPrEx>
        <w:trPr>
          <w:trHeight w:val="81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B10E75B">
            <w:pPr>
              <w:bidi w:val="0"/>
              <w:rPr>
                <w:rFonts w:hint="eastAsia"/>
              </w:rPr>
            </w:pPr>
            <w:r>
              <w:rPr>
                <w:rFonts w:hint="eastAsia"/>
              </w:rPr>
              <w:t>10</w:t>
            </w:r>
          </w:p>
        </w:tc>
        <w:tc>
          <w:tcPr>
            <w:tcW w:w="2259" w:type="dxa"/>
            <w:tcBorders>
              <w:top w:val="nil"/>
              <w:left w:val="nil"/>
              <w:bottom w:val="single" w:color="auto" w:sz="4" w:space="0"/>
              <w:right w:val="single" w:color="auto" w:sz="4" w:space="0"/>
            </w:tcBorders>
            <w:shd w:val="clear" w:color="auto" w:fill="auto"/>
            <w:vAlign w:val="center"/>
          </w:tcPr>
          <w:p w14:paraId="3F5130DE">
            <w:pPr>
              <w:bidi w:val="0"/>
              <w:rPr>
                <w:rFonts w:hint="eastAsia"/>
              </w:rPr>
            </w:pPr>
            <w:r>
              <w:rPr>
                <w:rFonts w:hint="eastAsia"/>
              </w:rPr>
              <w:t>获取1个条盒二维码</w:t>
            </w:r>
          </w:p>
        </w:tc>
        <w:tc>
          <w:tcPr>
            <w:tcW w:w="1506" w:type="dxa"/>
            <w:tcBorders>
              <w:top w:val="nil"/>
              <w:left w:val="nil"/>
              <w:bottom w:val="single" w:color="auto" w:sz="4" w:space="0"/>
              <w:right w:val="single" w:color="auto" w:sz="4" w:space="0"/>
            </w:tcBorders>
            <w:shd w:val="clear" w:color="auto" w:fill="auto"/>
            <w:vAlign w:val="center"/>
          </w:tcPr>
          <w:p w14:paraId="2C70851A">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301EA8FC">
            <w:pPr>
              <w:bidi w:val="0"/>
              <w:rPr>
                <w:rFonts w:hint="eastAsia"/>
              </w:rPr>
            </w:pPr>
            <w:r>
              <w:rPr>
                <w:rFonts w:hint="eastAsia"/>
              </w:rPr>
              <w:t>“盒条”关联现场管理子系统实时接收卷烟条二维码读取工位上固定读码器传回的二维码数据。</w:t>
            </w:r>
          </w:p>
        </w:tc>
      </w:tr>
      <w:tr w14:paraId="167B43E3">
        <w:tblPrEx>
          <w:tblCellMar>
            <w:top w:w="0" w:type="dxa"/>
            <w:left w:w="108" w:type="dxa"/>
            <w:bottom w:w="0" w:type="dxa"/>
            <w:right w:w="108" w:type="dxa"/>
          </w:tblCellMar>
        </w:tblPrEx>
        <w:trPr>
          <w:trHeight w:val="91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7289BDF">
            <w:pPr>
              <w:bidi w:val="0"/>
              <w:rPr>
                <w:rFonts w:hint="eastAsia"/>
              </w:rPr>
            </w:pPr>
            <w:r>
              <w:rPr>
                <w:rFonts w:hint="eastAsia"/>
              </w:rPr>
              <w:t>11</w:t>
            </w:r>
          </w:p>
        </w:tc>
        <w:tc>
          <w:tcPr>
            <w:tcW w:w="2259" w:type="dxa"/>
            <w:tcBorders>
              <w:top w:val="nil"/>
              <w:left w:val="nil"/>
              <w:bottom w:val="single" w:color="auto" w:sz="4" w:space="0"/>
              <w:right w:val="single" w:color="auto" w:sz="4" w:space="0"/>
            </w:tcBorders>
            <w:shd w:val="clear" w:color="auto" w:fill="auto"/>
            <w:vAlign w:val="center"/>
          </w:tcPr>
          <w:p w14:paraId="4A0F3E31">
            <w:pPr>
              <w:bidi w:val="0"/>
              <w:rPr>
                <w:rFonts w:hint="eastAsia"/>
              </w:rPr>
            </w:pPr>
            <w:r>
              <w:rPr>
                <w:rFonts w:hint="eastAsia"/>
              </w:rPr>
              <w:t>建立条盒码队列</w:t>
            </w:r>
          </w:p>
        </w:tc>
        <w:tc>
          <w:tcPr>
            <w:tcW w:w="1506" w:type="dxa"/>
            <w:tcBorders>
              <w:top w:val="nil"/>
              <w:left w:val="nil"/>
              <w:bottom w:val="single" w:color="auto" w:sz="4" w:space="0"/>
              <w:right w:val="single" w:color="auto" w:sz="4" w:space="0"/>
            </w:tcBorders>
            <w:shd w:val="clear" w:color="auto" w:fill="auto"/>
            <w:vAlign w:val="center"/>
          </w:tcPr>
          <w:p w14:paraId="30D08C05">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5591DF13">
            <w:pPr>
              <w:bidi w:val="0"/>
              <w:rPr>
                <w:rFonts w:hint="eastAsia"/>
              </w:rPr>
            </w:pPr>
            <w:r>
              <w:rPr>
                <w:rFonts w:hint="eastAsia"/>
              </w:rPr>
              <w:t>将步骤10中获取的条盒二维码建立条盒队列。</w:t>
            </w:r>
          </w:p>
        </w:tc>
      </w:tr>
      <w:tr w14:paraId="3C61F8A7">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EF61CF0">
            <w:pPr>
              <w:bidi w:val="0"/>
              <w:rPr>
                <w:rFonts w:hint="eastAsia"/>
              </w:rPr>
            </w:pPr>
            <w:r>
              <w:rPr>
                <w:rFonts w:hint="eastAsia"/>
              </w:rPr>
              <w:t>12</w:t>
            </w:r>
          </w:p>
        </w:tc>
        <w:tc>
          <w:tcPr>
            <w:tcW w:w="2259" w:type="dxa"/>
            <w:tcBorders>
              <w:top w:val="nil"/>
              <w:left w:val="nil"/>
              <w:bottom w:val="single" w:color="auto" w:sz="4" w:space="0"/>
              <w:right w:val="single" w:color="auto" w:sz="4" w:space="0"/>
            </w:tcBorders>
            <w:shd w:val="clear" w:color="auto" w:fill="auto"/>
            <w:vAlign w:val="center"/>
          </w:tcPr>
          <w:p w14:paraId="46EF5D9E">
            <w:pPr>
              <w:bidi w:val="0"/>
              <w:rPr>
                <w:rFonts w:hint="eastAsia"/>
              </w:rPr>
            </w:pPr>
            <w:r>
              <w:rPr>
                <w:rFonts w:hint="eastAsia"/>
              </w:rPr>
              <w:t>“盒条”序列校验工位</w:t>
            </w:r>
          </w:p>
        </w:tc>
        <w:tc>
          <w:tcPr>
            <w:tcW w:w="1506" w:type="dxa"/>
            <w:tcBorders>
              <w:top w:val="nil"/>
              <w:left w:val="nil"/>
              <w:bottom w:val="single" w:color="auto" w:sz="4" w:space="0"/>
              <w:right w:val="single" w:color="auto" w:sz="4" w:space="0"/>
            </w:tcBorders>
            <w:shd w:val="clear" w:color="auto" w:fill="auto"/>
            <w:vAlign w:val="center"/>
          </w:tcPr>
          <w:p w14:paraId="1D2EB27C">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67CB57C3">
            <w:pPr>
              <w:bidi w:val="0"/>
              <w:rPr>
                <w:rFonts w:hint="eastAsia"/>
              </w:rPr>
            </w:pPr>
            <w:r>
              <w:rPr>
                <w:rFonts w:hint="eastAsia"/>
              </w:rPr>
              <w:t>包装机上安装的固定读码器工位，用来读取卷烟盒二维码。</w:t>
            </w:r>
          </w:p>
        </w:tc>
      </w:tr>
      <w:tr w14:paraId="050C38AF">
        <w:tblPrEx>
          <w:tblCellMar>
            <w:top w:w="0" w:type="dxa"/>
            <w:left w:w="108" w:type="dxa"/>
            <w:bottom w:w="0" w:type="dxa"/>
            <w:right w:w="108" w:type="dxa"/>
          </w:tblCellMar>
        </w:tblPrEx>
        <w:trPr>
          <w:trHeight w:val="10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25F27EDF">
            <w:pPr>
              <w:bidi w:val="0"/>
              <w:rPr>
                <w:rFonts w:hint="eastAsia"/>
              </w:rPr>
            </w:pPr>
            <w:r>
              <w:rPr>
                <w:rFonts w:hint="eastAsia"/>
              </w:rPr>
              <w:t>13</w:t>
            </w:r>
          </w:p>
        </w:tc>
        <w:tc>
          <w:tcPr>
            <w:tcW w:w="2259" w:type="dxa"/>
            <w:tcBorders>
              <w:top w:val="nil"/>
              <w:left w:val="nil"/>
              <w:bottom w:val="single" w:color="auto" w:sz="4" w:space="0"/>
              <w:right w:val="single" w:color="auto" w:sz="4" w:space="0"/>
            </w:tcBorders>
            <w:shd w:val="clear" w:color="auto" w:fill="auto"/>
            <w:vAlign w:val="center"/>
          </w:tcPr>
          <w:p w14:paraId="489173E9">
            <w:pPr>
              <w:bidi w:val="0"/>
              <w:rPr>
                <w:rFonts w:hint="eastAsia"/>
              </w:rPr>
            </w:pPr>
            <w:r>
              <w:rPr>
                <w:rFonts w:hint="eastAsia"/>
              </w:rPr>
              <w:t>获取小盒二维码</w:t>
            </w:r>
          </w:p>
        </w:tc>
        <w:tc>
          <w:tcPr>
            <w:tcW w:w="1506" w:type="dxa"/>
            <w:tcBorders>
              <w:top w:val="nil"/>
              <w:left w:val="nil"/>
              <w:bottom w:val="single" w:color="auto" w:sz="4" w:space="0"/>
              <w:right w:val="single" w:color="auto" w:sz="4" w:space="0"/>
            </w:tcBorders>
            <w:shd w:val="clear" w:color="auto" w:fill="auto"/>
            <w:vAlign w:val="center"/>
          </w:tcPr>
          <w:p w14:paraId="680A07AD">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338983DD">
            <w:pPr>
              <w:bidi w:val="0"/>
              <w:rPr>
                <w:rFonts w:hint="eastAsia"/>
              </w:rPr>
            </w:pPr>
            <w:r>
              <w:rPr>
                <w:rFonts w:hint="eastAsia"/>
              </w:rPr>
              <w:t>“盒条”关联现场管理子系统实时接收“盒条”序列校验工位上固定读码器传回的二维码数据。</w:t>
            </w:r>
          </w:p>
        </w:tc>
      </w:tr>
      <w:tr w14:paraId="2CF5572B">
        <w:tblPrEx>
          <w:tblCellMar>
            <w:top w:w="0" w:type="dxa"/>
            <w:left w:w="108" w:type="dxa"/>
            <w:bottom w:w="0" w:type="dxa"/>
            <w:right w:w="108" w:type="dxa"/>
          </w:tblCellMar>
        </w:tblPrEx>
        <w:trPr>
          <w:trHeight w:val="52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B82F2B1">
            <w:pPr>
              <w:bidi w:val="0"/>
              <w:rPr>
                <w:rFonts w:hint="eastAsia"/>
              </w:rPr>
            </w:pPr>
            <w:r>
              <w:rPr>
                <w:rFonts w:hint="eastAsia"/>
              </w:rPr>
              <w:t>14</w:t>
            </w:r>
          </w:p>
        </w:tc>
        <w:tc>
          <w:tcPr>
            <w:tcW w:w="2259" w:type="dxa"/>
            <w:tcBorders>
              <w:top w:val="nil"/>
              <w:left w:val="nil"/>
              <w:bottom w:val="single" w:color="auto" w:sz="4" w:space="0"/>
              <w:right w:val="single" w:color="auto" w:sz="4" w:space="0"/>
            </w:tcBorders>
            <w:shd w:val="clear" w:color="auto" w:fill="auto"/>
            <w:vAlign w:val="center"/>
          </w:tcPr>
          <w:p w14:paraId="4BE5C457">
            <w:pPr>
              <w:bidi w:val="0"/>
              <w:rPr>
                <w:rFonts w:hint="eastAsia"/>
              </w:rPr>
            </w:pPr>
            <w:r>
              <w:rPr>
                <w:rFonts w:hint="eastAsia"/>
              </w:rPr>
              <w:t>建立校验队列</w:t>
            </w:r>
          </w:p>
        </w:tc>
        <w:tc>
          <w:tcPr>
            <w:tcW w:w="1506" w:type="dxa"/>
            <w:tcBorders>
              <w:top w:val="nil"/>
              <w:left w:val="nil"/>
              <w:bottom w:val="single" w:color="auto" w:sz="4" w:space="0"/>
              <w:right w:val="single" w:color="auto" w:sz="4" w:space="0"/>
            </w:tcBorders>
            <w:shd w:val="clear" w:color="auto" w:fill="auto"/>
            <w:vAlign w:val="center"/>
          </w:tcPr>
          <w:p w14:paraId="7C3206AC">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419A82C">
            <w:pPr>
              <w:bidi w:val="0"/>
              <w:rPr>
                <w:rFonts w:hint="eastAsia"/>
              </w:rPr>
            </w:pPr>
            <w:r>
              <w:rPr>
                <w:rFonts w:hint="eastAsia"/>
              </w:rPr>
              <w:t>将步骤13中获取的小盒二维码建立校验队列。</w:t>
            </w:r>
          </w:p>
        </w:tc>
      </w:tr>
      <w:tr w14:paraId="38EEB5D4">
        <w:tblPrEx>
          <w:tblCellMar>
            <w:top w:w="0" w:type="dxa"/>
            <w:left w:w="108" w:type="dxa"/>
            <w:bottom w:w="0" w:type="dxa"/>
            <w:right w:w="108" w:type="dxa"/>
          </w:tblCellMar>
        </w:tblPrEx>
        <w:trPr>
          <w:trHeight w:val="61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519F4D7B">
            <w:pPr>
              <w:bidi w:val="0"/>
              <w:rPr>
                <w:rFonts w:hint="eastAsia"/>
              </w:rPr>
            </w:pPr>
            <w:r>
              <w:rPr>
                <w:rFonts w:hint="eastAsia"/>
              </w:rPr>
              <w:t>15</w:t>
            </w:r>
          </w:p>
        </w:tc>
        <w:tc>
          <w:tcPr>
            <w:tcW w:w="2259" w:type="dxa"/>
            <w:tcBorders>
              <w:top w:val="nil"/>
              <w:left w:val="nil"/>
              <w:bottom w:val="single" w:color="auto" w:sz="4" w:space="0"/>
              <w:right w:val="single" w:color="auto" w:sz="4" w:space="0"/>
            </w:tcBorders>
            <w:shd w:val="clear" w:color="auto" w:fill="auto"/>
            <w:vAlign w:val="center"/>
          </w:tcPr>
          <w:p w14:paraId="52CADE71">
            <w:pPr>
              <w:bidi w:val="0"/>
              <w:rPr>
                <w:rFonts w:hint="eastAsia"/>
              </w:rPr>
            </w:pPr>
            <w:r>
              <w:rPr>
                <w:rFonts w:hint="eastAsia"/>
              </w:rPr>
              <w:t>调用关联算法</w:t>
            </w:r>
          </w:p>
        </w:tc>
        <w:tc>
          <w:tcPr>
            <w:tcW w:w="1506" w:type="dxa"/>
            <w:tcBorders>
              <w:top w:val="nil"/>
              <w:left w:val="nil"/>
              <w:bottom w:val="single" w:color="auto" w:sz="4" w:space="0"/>
              <w:right w:val="single" w:color="auto" w:sz="4" w:space="0"/>
            </w:tcBorders>
            <w:shd w:val="clear" w:color="auto" w:fill="auto"/>
            <w:vAlign w:val="center"/>
          </w:tcPr>
          <w:p w14:paraId="23DB3C9F">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63ECA87">
            <w:pPr>
              <w:bidi w:val="0"/>
              <w:rPr>
                <w:rFonts w:hint="eastAsia"/>
              </w:rPr>
            </w:pPr>
            <w:r>
              <w:rPr>
                <w:rFonts w:hint="eastAsia"/>
              </w:rPr>
              <w:t>在获取条、盒二维码以及小盒校验二维码后，调用关联算法进行“盒条”关联操作。</w:t>
            </w:r>
          </w:p>
        </w:tc>
      </w:tr>
      <w:tr w14:paraId="39B90DAB">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773984E3">
            <w:pPr>
              <w:bidi w:val="0"/>
              <w:rPr>
                <w:rFonts w:hint="eastAsia"/>
              </w:rPr>
            </w:pPr>
            <w:r>
              <w:rPr>
                <w:rFonts w:hint="eastAsia"/>
              </w:rPr>
              <w:t>16</w:t>
            </w:r>
          </w:p>
        </w:tc>
        <w:tc>
          <w:tcPr>
            <w:tcW w:w="2259" w:type="dxa"/>
            <w:tcBorders>
              <w:top w:val="nil"/>
              <w:left w:val="nil"/>
              <w:bottom w:val="single" w:color="auto" w:sz="4" w:space="0"/>
              <w:right w:val="single" w:color="auto" w:sz="4" w:space="0"/>
            </w:tcBorders>
            <w:shd w:val="clear" w:color="auto" w:fill="auto"/>
            <w:vAlign w:val="center"/>
          </w:tcPr>
          <w:p w14:paraId="177B0C30">
            <w:pPr>
              <w:bidi w:val="0"/>
              <w:rPr>
                <w:rFonts w:hint="eastAsia"/>
              </w:rPr>
            </w:pPr>
            <w:r>
              <w:rPr>
                <w:rFonts w:hint="eastAsia"/>
              </w:rPr>
              <w:t>获得条烟与盒烟的对应关系</w:t>
            </w:r>
          </w:p>
        </w:tc>
        <w:tc>
          <w:tcPr>
            <w:tcW w:w="1506" w:type="dxa"/>
            <w:tcBorders>
              <w:top w:val="nil"/>
              <w:left w:val="nil"/>
              <w:bottom w:val="single" w:color="auto" w:sz="4" w:space="0"/>
              <w:right w:val="single" w:color="auto" w:sz="4" w:space="0"/>
            </w:tcBorders>
            <w:shd w:val="clear" w:color="auto" w:fill="auto"/>
            <w:vAlign w:val="center"/>
          </w:tcPr>
          <w:p w14:paraId="2770CB3B">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B46AD48">
            <w:pPr>
              <w:bidi w:val="0"/>
              <w:rPr>
                <w:rFonts w:hint="eastAsia"/>
              </w:rPr>
            </w:pPr>
            <w:r>
              <w:rPr>
                <w:rFonts w:hint="eastAsia"/>
              </w:rPr>
              <w:t>获取“盒条”关联数据，即一个条盒二维码与多个小盒二维码关联。</w:t>
            </w:r>
          </w:p>
        </w:tc>
      </w:tr>
      <w:tr w14:paraId="70F7DB8A">
        <w:tblPrEx>
          <w:tblCellMar>
            <w:top w:w="0" w:type="dxa"/>
            <w:left w:w="108" w:type="dxa"/>
            <w:bottom w:w="0" w:type="dxa"/>
            <w:right w:w="108" w:type="dxa"/>
          </w:tblCellMar>
        </w:tblPrEx>
        <w:trPr>
          <w:trHeight w:val="129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E83645F">
            <w:pPr>
              <w:bidi w:val="0"/>
              <w:rPr>
                <w:rFonts w:hint="eastAsia"/>
              </w:rPr>
            </w:pPr>
            <w:r>
              <w:rPr>
                <w:rFonts w:hint="eastAsia"/>
              </w:rPr>
              <w:t>17</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23291288">
            <w:pPr>
              <w:bidi w:val="0"/>
              <w:rPr>
                <w:rFonts w:hint="eastAsia"/>
              </w:rPr>
            </w:pPr>
            <w:r>
              <w:rPr>
                <w:rFonts w:hint="eastAsia"/>
              </w:rPr>
              <w:t>关联关系正确性校验</w:t>
            </w:r>
          </w:p>
        </w:tc>
        <w:tc>
          <w:tcPr>
            <w:tcW w:w="1506" w:type="dxa"/>
            <w:tcBorders>
              <w:top w:val="single" w:color="auto" w:sz="4" w:space="0"/>
              <w:left w:val="single" w:color="auto" w:sz="4" w:space="0"/>
              <w:bottom w:val="single" w:color="auto" w:sz="4" w:space="0"/>
              <w:right w:val="single" w:color="auto" w:sz="4" w:space="0"/>
            </w:tcBorders>
            <w:shd w:val="clear" w:color="auto" w:fill="auto"/>
            <w:vAlign w:val="center"/>
          </w:tcPr>
          <w:p w14:paraId="7FF64864">
            <w:pPr>
              <w:bidi w:val="0"/>
              <w:rPr>
                <w:rFonts w:hint="eastAsia"/>
              </w:rPr>
            </w:pPr>
            <w:r>
              <w:rPr>
                <w:rFonts w:hint="eastAsia"/>
              </w:rPr>
              <w:t>操作</w:t>
            </w:r>
          </w:p>
        </w:tc>
        <w:tc>
          <w:tcPr>
            <w:tcW w:w="4638" w:type="dxa"/>
            <w:tcBorders>
              <w:top w:val="single" w:color="auto" w:sz="4" w:space="0"/>
              <w:left w:val="single" w:color="auto" w:sz="4" w:space="0"/>
              <w:bottom w:val="single" w:color="auto" w:sz="4" w:space="0"/>
              <w:right w:val="single" w:color="auto" w:sz="4" w:space="0"/>
            </w:tcBorders>
            <w:shd w:val="clear" w:color="auto" w:fill="auto"/>
            <w:vAlign w:val="center"/>
          </w:tcPr>
          <w:p w14:paraId="75241481">
            <w:pPr>
              <w:bidi w:val="0"/>
              <w:rPr>
                <w:rFonts w:hint="eastAsia"/>
              </w:rPr>
            </w:pPr>
            <w:r>
              <w:rPr>
                <w:rFonts w:hint="eastAsia"/>
              </w:rPr>
              <w:t>对于步骤16中的关联数据进行校验，校验内容包括：小盒二维码识别情况、条盒二维码识别情况、条盒二维码品规校验情况、校验二维码校验情况。</w:t>
            </w:r>
          </w:p>
        </w:tc>
      </w:tr>
      <w:tr w14:paraId="13F6C596">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864135B">
            <w:pPr>
              <w:bidi w:val="0"/>
              <w:rPr>
                <w:rFonts w:hint="eastAsia"/>
              </w:rPr>
            </w:pPr>
            <w:r>
              <w:rPr>
                <w:rFonts w:hint="eastAsia"/>
              </w:rPr>
              <w:t>18</w:t>
            </w:r>
          </w:p>
        </w:tc>
        <w:tc>
          <w:tcPr>
            <w:tcW w:w="2259" w:type="dxa"/>
            <w:tcBorders>
              <w:top w:val="single" w:color="auto" w:sz="4" w:space="0"/>
              <w:left w:val="nil"/>
              <w:bottom w:val="single" w:color="auto" w:sz="4" w:space="0"/>
              <w:right w:val="single" w:color="auto" w:sz="4" w:space="0"/>
            </w:tcBorders>
            <w:shd w:val="clear" w:color="auto" w:fill="auto"/>
            <w:vAlign w:val="center"/>
          </w:tcPr>
          <w:p w14:paraId="4E1364CD">
            <w:pPr>
              <w:bidi w:val="0"/>
              <w:rPr>
                <w:rFonts w:hint="eastAsia"/>
              </w:rPr>
            </w:pPr>
            <w:r>
              <w:rPr>
                <w:rFonts w:hint="eastAsia"/>
              </w:rPr>
              <w:t>条盒剔除</w:t>
            </w:r>
          </w:p>
        </w:tc>
        <w:tc>
          <w:tcPr>
            <w:tcW w:w="1506" w:type="dxa"/>
            <w:tcBorders>
              <w:top w:val="single" w:color="auto" w:sz="4" w:space="0"/>
              <w:left w:val="nil"/>
              <w:bottom w:val="single" w:color="auto" w:sz="4" w:space="0"/>
              <w:right w:val="single" w:color="auto" w:sz="4" w:space="0"/>
            </w:tcBorders>
            <w:shd w:val="clear" w:color="auto" w:fill="auto"/>
            <w:vAlign w:val="center"/>
          </w:tcPr>
          <w:p w14:paraId="7B2BDBEC">
            <w:pPr>
              <w:bidi w:val="0"/>
              <w:rPr>
                <w:rFonts w:hint="eastAsia"/>
              </w:rPr>
            </w:pPr>
            <w:r>
              <w:rPr>
                <w:rFonts w:hint="eastAsia"/>
              </w:rPr>
              <w:t>操作</w:t>
            </w:r>
          </w:p>
        </w:tc>
        <w:tc>
          <w:tcPr>
            <w:tcW w:w="4638" w:type="dxa"/>
            <w:tcBorders>
              <w:top w:val="single" w:color="auto" w:sz="4" w:space="0"/>
              <w:left w:val="nil"/>
              <w:bottom w:val="single" w:color="auto" w:sz="4" w:space="0"/>
              <w:right w:val="single" w:color="auto" w:sz="4" w:space="0"/>
            </w:tcBorders>
            <w:shd w:val="clear" w:color="auto" w:fill="auto"/>
            <w:vAlign w:val="center"/>
          </w:tcPr>
          <w:p w14:paraId="08B91E0D">
            <w:pPr>
              <w:bidi w:val="0"/>
              <w:rPr>
                <w:rFonts w:hint="eastAsia"/>
              </w:rPr>
            </w:pPr>
            <w:r>
              <w:rPr>
                <w:rFonts w:hint="eastAsia"/>
              </w:rPr>
              <w:t>当步骤17中关联关系正确性校验失败且连续失败次数小于3时，通过手动或者发送指令到原机进行条盒剔除操作。</w:t>
            </w:r>
          </w:p>
        </w:tc>
      </w:tr>
      <w:tr w14:paraId="7428C98F">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nil"/>
            </w:tcBorders>
            <w:shd w:val="clear" w:color="auto" w:fill="auto"/>
            <w:vAlign w:val="center"/>
          </w:tcPr>
          <w:p w14:paraId="202F7272">
            <w:pPr>
              <w:bidi w:val="0"/>
              <w:rPr>
                <w:rFonts w:hint="eastAsia"/>
              </w:rPr>
            </w:pPr>
            <w:r>
              <w:rPr>
                <w:rFonts w:hint="eastAsia"/>
              </w:rPr>
              <w:t>19</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06F917C2">
            <w:pPr>
              <w:bidi w:val="0"/>
              <w:rPr>
                <w:rFonts w:hint="eastAsia"/>
              </w:rPr>
            </w:pPr>
            <w:r>
              <w:rPr>
                <w:rFonts w:hint="eastAsia"/>
              </w:rPr>
              <w:t>设备停机</w:t>
            </w:r>
          </w:p>
        </w:tc>
        <w:tc>
          <w:tcPr>
            <w:tcW w:w="1506" w:type="dxa"/>
            <w:tcBorders>
              <w:top w:val="nil"/>
              <w:left w:val="nil"/>
              <w:bottom w:val="single" w:color="auto" w:sz="4" w:space="0"/>
              <w:right w:val="single" w:color="auto" w:sz="4" w:space="0"/>
            </w:tcBorders>
            <w:shd w:val="clear" w:color="auto" w:fill="auto"/>
            <w:vAlign w:val="center"/>
          </w:tcPr>
          <w:p w14:paraId="77479DD1">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BDF3419">
            <w:pPr>
              <w:bidi w:val="0"/>
              <w:rPr>
                <w:rFonts w:hint="eastAsia"/>
              </w:rPr>
            </w:pPr>
            <w:r>
              <w:rPr>
                <w:rFonts w:hint="eastAsia"/>
              </w:rPr>
              <w:t>当步骤17中关联关系正确性校验失败且连续失败次数大于3时，通过手动或者发送指令到原机进行设备停机操作。</w:t>
            </w:r>
          </w:p>
        </w:tc>
      </w:tr>
      <w:tr w14:paraId="1F51C06A">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nil"/>
            </w:tcBorders>
            <w:shd w:val="clear" w:color="auto" w:fill="auto"/>
            <w:noWrap/>
            <w:vAlign w:val="center"/>
          </w:tcPr>
          <w:p w14:paraId="3A3D7E7F">
            <w:pPr>
              <w:bidi w:val="0"/>
              <w:rPr>
                <w:rFonts w:hint="eastAsia"/>
              </w:rPr>
            </w:pPr>
            <w:r>
              <w:rPr>
                <w:rFonts w:hint="eastAsia"/>
              </w:rPr>
              <w:t>20</w:t>
            </w:r>
          </w:p>
        </w:tc>
        <w:tc>
          <w:tcPr>
            <w:tcW w:w="225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595182">
            <w:pPr>
              <w:bidi w:val="0"/>
              <w:rPr>
                <w:rFonts w:hint="eastAsia"/>
              </w:rPr>
            </w:pPr>
            <w:r>
              <w:rPr>
                <w:rFonts w:hint="eastAsia"/>
              </w:rPr>
              <w:t>本地存储关联数据</w:t>
            </w:r>
          </w:p>
        </w:tc>
        <w:tc>
          <w:tcPr>
            <w:tcW w:w="1506" w:type="dxa"/>
            <w:tcBorders>
              <w:top w:val="nil"/>
              <w:left w:val="nil"/>
              <w:bottom w:val="single" w:color="auto" w:sz="4" w:space="0"/>
              <w:right w:val="single" w:color="auto" w:sz="4" w:space="0"/>
            </w:tcBorders>
            <w:shd w:val="clear" w:color="auto" w:fill="auto"/>
            <w:vAlign w:val="center"/>
          </w:tcPr>
          <w:p w14:paraId="39D40DA7">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noWrap/>
            <w:vAlign w:val="center"/>
          </w:tcPr>
          <w:p w14:paraId="49374D2F">
            <w:pPr>
              <w:bidi w:val="0"/>
              <w:rPr>
                <w:rFonts w:hint="eastAsia"/>
              </w:rPr>
            </w:pPr>
            <w:r>
              <w:rPr>
                <w:rFonts w:hint="eastAsia"/>
              </w:rPr>
              <w:t>关联关系校验通过的数据写入表中。</w:t>
            </w:r>
          </w:p>
        </w:tc>
      </w:tr>
    </w:tbl>
    <w:p w14:paraId="3D941B2C">
      <w:pPr>
        <w:bidi w:val="0"/>
        <w:rPr>
          <w:rFonts w:hint="eastAsia"/>
        </w:rPr>
      </w:pPr>
    </w:p>
    <w:p w14:paraId="7988B31D">
      <w:pPr>
        <w:pStyle w:val="12"/>
        <w:bidi w:val="0"/>
        <w:rPr>
          <w:rFonts w:hint="eastAsia"/>
        </w:rPr>
      </w:pPr>
      <w:bookmarkStart w:id="118" w:name="_Toc632963904"/>
      <w:bookmarkStart w:id="119" w:name="_Toc21787"/>
      <w:bookmarkStart w:id="120" w:name="_Toc26492"/>
      <w:bookmarkStart w:id="121" w:name="_Toc31252"/>
      <w:r>
        <w:rPr>
          <w:rFonts w:hint="eastAsia"/>
        </w:rPr>
        <w:t>剔除数据查询</w:t>
      </w:r>
      <w:bookmarkEnd w:id="118"/>
      <w:bookmarkEnd w:id="119"/>
      <w:bookmarkEnd w:id="120"/>
      <w:bookmarkEnd w:id="121"/>
    </w:p>
    <w:p w14:paraId="6FA9459E">
      <w:pPr>
        <w:bidi w:val="0"/>
        <w:rPr>
          <w:rFonts w:hint="eastAsia"/>
        </w:rPr>
      </w:pPr>
      <w:r>
        <w:drawing>
          <wp:inline distT="0" distB="0" distL="0" distR="0">
            <wp:extent cx="5274310" cy="7447915"/>
            <wp:effectExtent l="0" t="0" r="2540" b="63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7447915"/>
                    </a:xfrm>
                    <a:prstGeom prst="rect">
                      <a:avLst/>
                    </a:prstGeom>
                    <a:noFill/>
                    <a:ln>
                      <a:noFill/>
                    </a:ln>
                  </pic:spPr>
                </pic:pic>
              </a:graphicData>
            </a:graphic>
          </wp:inline>
        </w:drawing>
      </w:r>
    </w:p>
    <w:tbl>
      <w:tblPr>
        <w:tblStyle w:val="43"/>
        <w:tblW w:w="9102" w:type="dxa"/>
        <w:jc w:val="center"/>
        <w:tblLayout w:type="autofit"/>
        <w:tblCellMar>
          <w:top w:w="0" w:type="dxa"/>
          <w:left w:w="108" w:type="dxa"/>
          <w:bottom w:w="0" w:type="dxa"/>
          <w:right w:w="108" w:type="dxa"/>
        </w:tblCellMar>
      </w:tblPr>
      <w:tblGrid>
        <w:gridCol w:w="699"/>
        <w:gridCol w:w="2259"/>
        <w:gridCol w:w="1506"/>
        <w:gridCol w:w="4638"/>
      </w:tblGrid>
      <w:tr w14:paraId="3DFF3DB4">
        <w:tblPrEx>
          <w:tblCellMar>
            <w:top w:w="0" w:type="dxa"/>
            <w:left w:w="108" w:type="dxa"/>
            <w:bottom w:w="0" w:type="dxa"/>
            <w:right w:w="108" w:type="dxa"/>
          </w:tblCellMar>
        </w:tblPrEx>
        <w:trPr>
          <w:trHeight w:val="652" w:hRule="atLeast"/>
          <w:jc w:val="center"/>
        </w:trPr>
        <w:tc>
          <w:tcPr>
            <w:tcW w:w="69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1355653">
            <w:pPr>
              <w:bidi w:val="0"/>
              <w:rPr>
                <w:rFonts w:hint="eastAsia"/>
              </w:rPr>
            </w:pPr>
            <w:r>
              <w:rPr>
                <w:rFonts w:hint="eastAsia"/>
              </w:rPr>
              <w:t>序号</w:t>
            </w:r>
          </w:p>
        </w:tc>
        <w:tc>
          <w:tcPr>
            <w:tcW w:w="2259"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32B9F65F">
            <w:pPr>
              <w:bidi w:val="0"/>
              <w:rPr>
                <w:rFonts w:hint="eastAsia"/>
              </w:rPr>
            </w:pPr>
            <w:r>
              <w:rPr>
                <w:rFonts w:hint="eastAsia"/>
              </w:rPr>
              <w:t>节点名称</w:t>
            </w:r>
          </w:p>
        </w:tc>
        <w:tc>
          <w:tcPr>
            <w:tcW w:w="1506"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1735F089">
            <w:pPr>
              <w:bidi w:val="0"/>
              <w:rPr>
                <w:rFonts w:hint="eastAsia"/>
              </w:rPr>
            </w:pPr>
            <w:r>
              <w:rPr>
                <w:rFonts w:hint="eastAsia"/>
              </w:rPr>
              <w:t>节点类型（操作/作业流程/示意流程）</w:t>
            </w:r>
          </w:p>
        </w:tc>
        <w:tc>
          <w:tcPr>
            <w:tcW w:w="4638"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C851062">
            <w:pPr>
              <w:bidi w:val="0"/>
              <w:rPr>
                <w:rFonts w:hint="eastAsia"/>
              </w:rPr>
            </w:pPr>
            <w:r>
              <w:rPr>
                <w:rFonts w:hint="eastAsia"/>
              </w:rPr>
              <w:t>节点描述（如何做）</w:t>
            </w:r>
          </w:p>
        </w:tc>
      </w:tr>
      <w:tr w14:paraId="1F5C782A">
        <w:tblPrEx>
          <w:tblCellMar>
            <w:top w:w="0" w:type="dxa"/>
            <w:left w:w="108" w:type="dxa"/>
            <w:bottom w:w="0" w:type="dxa"/>
            <w:right w:w="108" w:type="dxa"/>
          </w:tblCellMar>
        </w:tblPrEx>
        <w:trPr>
          <w:trHeight w:val="48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F302605">
            <w:pPr>
              <w:bidi w:val="0"/>
              <w:rPr>
                <w:rFonts w:hint="eastAsia"/>
              </w:rPr>
            </w:pPr>
          </w:p>
        </w:tc>
        <w:tc>
          <w:tcPr>
            <w:tcW w:w="2259" w:type="dxa"/>
            <w:vMerge w:val="continue"/>
            <w:tcBorders>
              <w:top w:val="single" w:color="auto" w:sz="4" w:space="0"/>
              <w:left w:val="single" w:color="auto" w:sz="4" w:space="0"/>
              <w:bottom w:val="single" w:color="auto" w:sz="4" w:space="0"/>
              <w:right w:val="single" w:color="auto" w:sz="4" w:space="0"/>
            </w:tcBorders>
            <w:vAlign w:val="center"/>
          </w:tcPr>
          <w:p w14:paraId="045DB5AD">
            <w:pPr>
              <w:bidi w:val="0"/>
              <w:rPr>
                <w:rFonts w:hint="eastAsia"/>
              </w:rPr>
            </w:pPr>
          </w:p>
        </w:tc>
        <w:tc>
          <w:tcPr>
            <w:tcW w:w="1506" w:type="dxa"/>
            <w:vMerge w:val="continue"/>
            <w:tcBorders>
              <w:top w:val="single" w:color="auto" w:sz="4" w:space="0"/>
              <w:left w:val="single" w:color="auto" w:sz="4" w:space="0"/>
              <w:bottom w:val="single" w:color="auto" w:sz="4" w:space="0"/>
              <w:right w:val="single" w:color="auto" w:sz="4" w:space="0"/>
            </w:tcBorders>
            <w:vAlign w:val="center"/>
          </w:tcPr>
          <w:p w14:paraId="7AB31C53">
            <w:pPr>
              <w:bidi w:val="0"/>
              <w:rPr>
                <w:rFonts w:hint="eastAsia"/>
              </w:rPr>
            </w:pPr>
          </w:p>
        </w:tc>
        <w:tc>
          <w:tcPr>
            <w:tcW w:w="4638" w:type="dxa"/>
            <w:vMerge w:val="continue"/>
            <w:tcBorders>
              <w:top w:val="single" w:color="auto" w:sz="4" w:space="0"/>
              <w:left w:val="single" w:color="auto" w:sz="4" w:space="0"/>
              <w:bottom w:val="single" w:color="auto" w:sz="4" w:space="0"/>
              <w:right w:val="single" w:color="auto" w:sz="4" w:space="0"/>
            </w:tcBorders>
            <w:vAlign w:val="center"/>
          </w:tcPr>
          <w:p w14:paraId="086E2335">
            <w:pPr>
              <w:bidi w:val="0"/>
              <w:rPr>
                <w:rFonts w:hint="eastAsia"/>
              </w:rPr>
            </w:pPr>
          </w:p>
        </w:tc>
      </w:tr>
      <w:tr w14:paraId="02264B15">
        <w:tblPrEx>
          <w:tblCellMar>
            <w:top w:w="0" w:type="dxa"/>
            <w:left w:w="108" w:type="dxa"/>
            <w:bottom w:w="0" w:type="dxa"/>
            <w:right w:w="108" w:type="dxa"/>
          </w:tblCellMar>
        </w:tblPrEx>
        <w:trPr>
          <w:trHeight w:val="468"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500452E">
            <w:pPr>
              <w:bidi w:val="0"/>
              <w:rPr>
                <w:rFonts w:hint="eastAsia"/>
              </w:rPr>
            </w:pPr>
          </w:p>
        </w:tc>
        <w:tc>
          <w:tcPr>
            <w:tcW w:w="2259" w:type="dxa"/>
            <w:vMerge w:val="continue"/>
            <w:tcBorders>
              <w:top w:val="single" w:color="auto" w:sz="4" w:space="0"/>
              <w:left w:val="single" w:color="auto" w:sz="4" w:space="0"/>
              <w:bottom w:val="single" w:color="auto" w:sz="4" w:space="0"/>
              <w:right w:val="single" w:color="auto" w:sz="4" w:space="0"/>
            </w:tcBorders>
            <w:vAlign w:val="center"/>
          </w:tcPr>
          <w:p w14:paraId="6A550049">
            <w:pPr>
              <w:bidi w:val="0"/>
              <w:rPr>
                <w:rFonts w:hint="eastAsia"/>
              </w:rPr>
            </w:pPr>
          </w:p>
        </w:tc>
        <w:tc>
          <w:tcPr>
            <w:tcW w:w="1506" w:type="dxa"/>
            <w:vMerge w:val="continue"/>
            <w:tcBorders>
              <w:top w:val="single" w:color="auto" w:sz="4" w:space="0"/>
              <w:left w:val="single" w:color="auto" w:sz="4" w:space="0"/>
              <w:bottom w:val="single" w:color="auto" w:sz="4" w:space="0"/>
              <w:right w:val="single" w:color="auto" w:sz="4" w:space="0"/>
            </w:tcBorders>
            <w:vAlign w:val="center"/>
          </w:tcPr>
          <w:p w14:paraId="23256CE0">
            <w:pPr>
              <w:bidi w:val="0"/>
              <w:rPr>
                <w:rFonts w:hint="eastAsia"/>
              </w:rPr>
            </w:pPr>
          </w:p>
        </w:tc>
        <w:tc>
          <w:tcPr>
            <w:tcW w:w="4638" w:type="dxa"/>
            <w:vMerge w:val="continue"/>
            <w:tcBorders>
              <w:top w:val="single" w:color="auto" w:sz="4" w:space="0"/>
              <w:left w:val="single" w:color="auto" w:sz="4" w:space="0"/>
              <w:bottom w:val="single" w:color="auto" w:sz="4" w:space="0"/>
              <w:right w:val="single" w:color="auto" w:sz="4" w:space="0"/>
            </w:tcBorders>
            <w:vAlign w:val="center"/>
          </w:tcPr>
          <w:p w14:paraId="3DFD7AD4">
            <w:pPr>
              <w:bidi w:val="0"/>
              <w:rPr>
                <w:rFonts w:hint="eastAsia"/>
              </w:rPr>
            </w:pPr>
          </w:p>
        </w:tc>
      </w:tr>
      <w:tr w14:paraId="6480609C">
        <w:tblPrEx>
          <w:tblCellMar>
            <w:top w:w="0" w:type="dxa"/>
            <w:left w:w="108" w:type="dxa"/>
            <w:bottom w:w="0" w:type="dxa"/>
            <w:right w:w="108" w:type="dxa"/>
          </w:tblCellMar>
        </w:tblPrEx>
        <w:trPr>
          <w:trHeight w:val="85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5ABDFD29">
            <w:pPr>
              <w:bidi w:val="0"/>
              <w:rPr>
                <w:rFonts w:hint="eastAsia"/>
              </w:rPr>
            </w:pPr>
            <w:r>
              <w:rPr>
                <w:rFonts w:hint="eastAsia"/>
              </w:rPr>
              <w:t>1</w:t>
            </w:r>
          </w:p>
        </w:tc>
        <w:tc>
          <w:tcPr>
            <w:tcW w:w="2259" w:type="dxa"/>
            <w:tcBorders>
              <w:top w:val="nil"/>
              <w:left w:val="nil"/>
              <w:bottom w:val="single" w:color="auto" w:sz="4" w:space="0"/>
              <w:right w:val="single" w:color="auto" w:sz="4" w:space="0"/>
            </w:tcBorders>
            <w:shd w:val="clear" w:color="auto" w:fill="auto"/>
            <w:vAlign w:val="center"/>
          </w:tcPr>
          <w:p w14:paraId="51AA130B">
            <w:pPr>
              <w:bidi w:val="0"/>
              <w:rPr>
                <w:rFonts w:hint="eastAsia"/>
              </w:rPr>
            </w:pPr>
            <w:r>
              <w:rPr>
                <w:rFonts w:hint="eastAsia"/>
              </w:rPr>
              <w:t>卷烟二维码品检工位</w:t>
            </w:r>
          </w:p>
        </w:tc>
        <w:tc>
          <w:tcPr>
            <w:tcW w:w="1506" w:type="dxa"/>
            <w:tcBorders>
              <w:top w:val="nil"/>
              <w:left w:val="nil"/>
              <w:bottom w:val="single" w:color="auto" w:sz="4" w:space="0"/>
              <w:right w:val="single" w:color="auto" w:sz="4" w:space="0"/>
            </w:tcBorders>
            <w:shd w:val="clear" w:color="auto" w:fill="auto"/>
            <w:vAlign w:val="center"/>
          </w:tcPr>
          <w:p w14:paraId="53ECCAC2">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02A9FDB3">
            <w:pPr>
              <w:bidi w:val="0"/>
              <w:rPr>
                <w:rFonts w:hint="eastAsia"/>
              </w:rPr>
            </w:pPr>
            <w:r>
              <w:rPr>
                <w:rFonts w:hint="eastAsia"/>
              </w:rPr>
              <w:t>包装机上安装的固定读码器工位，用来读取卷烟盒二维码。并且该工位在剔除口前，方便剔除验码失败的烟包。</w:t>
            </w:r>
          </w:p>
        </w:tc>
      </w:tr>
      <w:tr w14:paraId="124C4390">
        <w:tblPrEx>
          <w:tblCellMar>
            <w:top w:w="0" w:type="dxa"/>
            <w:left w:w="108" w:type="dxa"/>
            <w:bottom w:w="0" w:type="dxa"/>
            <w:right w:w="108" w:type="dxa"/>
          </w:tblCellMar>
        </w:tblPrEx>
        <w:trPr>
          <w:trHeight w:val="105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2B2BC40E">
            <w:pPr>
              <w:bidi w:val="0"/>
              <w:rPr>
                <w:rFonts w:hint="eastAsia"/>
              </w:rPr>
            </w:pPr>
            <w:r>
              <w:rPr>
                <w:rFonts w:hint="eastAsia"/>
              </w:rPr>
              <w:t>2</w:t>
            </w:r>
          </w:p>
        </w:tc>
        <w:tc>
          <w:tcPr>
            <w:tcW w:w="2259" w:type="dxa"/>
            <w:tcBorders>
              <w:top w:val="nil"/>
              <w:left w:val="nil"/>
              <w:bottom w:val="single" w:color="auto" w:sz="4" w:space="0"/>
              <w:right w:val="single" w:color="auto" w:sz="4" w:space="0"/>
            </w:tcBorders>
            <w:shd w:val="clear" w:color="auto" w:fill="auto"/>
            <w:vAlign w:val="center"/>
          </w:tcPr>
          <w:p w14:paraId="06709A7A">
            <w:pPr>
              <w:bidi w:val="0"/>
              <w:rPr>
                <w:rFonts w:hint="eastAsia"/>
              </w:rPr>
            </w:pPr>
            <w:r>
              <w:rPr>
                <w:rFonts w:hint="eastAsia"/>
              </w:rPr>
              <w:t>获取小盒二维码数据</w:t>
            </w:r>
          </w:p>
        </w:tc>
        <w:tc>
          <w:tcPr>
            <w:tcW w:w="1506" w:type="dxa"/>
            <w:tcBorders>
              <w:top w:val="nil"/>
              <w:left w:val="nil"/>
              <w:bottom w:val="single" w:color="auto" w:sz="4" w:space="0"/>
              <w:right w:val="single" w:color="auto" w:sz="4" w:space="0"/>
            </w:tcBorders>
            <w:shd w:val="clear" w:color="auto" w:fill="auto"/>
            <w:vAlign w:val="center"/>
          </w:tcPr>
          <w:p w14:paraId="6FEF7DDD">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2CBCD7DA">
            <w:pPr>
              <w:bidi w:val="0"/>
              <w:rPr>
                <w:rFonts w:hint="eastAsia"/>
              </w:rPr>
            </w:pPr>
            <w:r>
              <w:rPr>
                <w:rFonts w:hint="eastAsia"/>
              </w:rPr>
              <w:t>“盒条”关联现场管理子系统实时接收卷烟二维码品检工位上固定读码器传回的二维码数据。</w:t>
            </w:r>
          </w:p>
        </w:tc>
      </w:tr>
      <w:tr w14:paraId="796BC786">
        <w:tblPrEx>
          <w:tblCellMar>
            <w:top w:w="0" w:type="dxa"/>
            <w:left w:w="108" w:type="dxa"/>
            <w:bottom w:w="0" w:type="dxa"/>
            <w:right w:w="108" w:type="dxa"/>
          </w:tblCellMar>
        </w:tblPrEx>
        <w:trPr>
          <w:trHeight w:val="106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3FC55B45">
            <w:pPr>
              <w:bidi w:val="0"/>
              <w:rPr>
                <w:rFonts w:hint="eastAsia"/>
              </w:rPr>
            </w:pPr>
            <w:r>
              <w:rPr>
                <w:rFonts w:hint="eastAsia"/>
              </w:rPr>
              <w:t>3</w:t>
            </w:r>
          </w:p>
        </w:tc>
        <w:tc>
          <w:tcPr>
            <w:tcW w:w="2259" w:type="dxa"/>
            <w:tcBorders>
              <w:top w:val="nil"/>
              <w:left w:val="nil"/>
              <w:bottom w:val="single" w:color="auto" w:sz="4" w:space="0"/>
              <w:right w:val="single" w:color="auto" w:sz="4" w:space="0"/>
            </w:tcBorders>
            <w:shd w:val="clear" w:color="auto" w:fill="auto"/>
            <w:vAlign w:val="center"/>
          </w:tcPr>
          <w:p w14:paraId="5A8889D4">
            <w:pPr>
              <w:bidi w:val="0"/>
              <w:rPr>
                <w:rFonts w:hint="eastAsia"/>
              </w:rPr>
            </w:pPr>
            <w:r>
              <w:rPr>
                <w:rFonts w:hint="eastAsia"/>
              </w:rPr>
              <w:t>小盒二维码校验</w:t>
            </w:r>
          </w:p>
        </w:tc>
        <w:tc>
          <w:tcPr>
            <w:tcW w:w="1506" w:type="dxa"/>
            <w:tcBorders>
              <w:top w:val="nil"/>
              <w:left w:val="nil"/>
              <w:bottom w:val="single" w:color="auto" w:sz="4" w:space="0"/>
              <w:right w:val="single" w:color="auto" w:sz="4" w:space="0"/>
            </w:tcBorders>
            <w:shd w:val="clear" w:color="auto" w:fill="auto"/>
            <w:vAlign w:val="center"/>
          </w:tcPr>
          <w:p w14:paraId="2D5AE957">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10D29CE">
            <w:pPr>
              <w:bidi w:val="0"/>
              <w:rPr>
                <w:rFonts w:hint="eastAsia"/>
              </w:rPr>
            </w:pPr>
            <w:r>
              <w:rPr>
                <w:rFonts w:hint="eastAsia"/>
              </w:rPr>
              <w:t>“盒条”关联现场管理子系统将获取的二维码进行校验，校验内容包括：二维码识别情况、二维码品规校验情况。</w:t>
            </w:r>
          </w:p>
        </w:tc>
      </w:tr>
      <w:tr w14:paraId="0BA78E13">
        <w:tblPrEx>
          <w:tblCellMar>
            <w:top w:w="0" w:type="dxa"/>
            <w:left w:w="108" w:type="dxa"/>
            <w:bottom w:w="0" w:type="dxa"/>
            <w:right w:w="108" w:type="dxa"/>
          </w:tblCellMar>
        </w:tblPrEx>
        <w:trPr>
          <w:trHeight w:val="106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0C336161">
            <w:pPr>
              <w:bidi w:val="0"/>
              <w:rPr>
                <w:rFonts w:hint="eastAsia"/>
              </w:rPr>
            </w:pPr>
            <w:r>
              <w:rPr>
                <w:rFonts w:hint="eastAsia"/>
              </w:rPr>
              <w:t>4</w:t>
            </w:r>
          </w:p>
        </w:tc>
        <w:tc>
          <w:tcPr>
            <w:tcW w:w="2259" w:type="dxa"/>
            <w:tcBorders>
              <w:top w:val="nil"/>
              <w:left w:val="nil"/>
              <w:bottom w:val="single" w:color="auto" w:sz="4" w:space="0"/>
              <w:right w:val="single" w:color="auto" w:sz="4" w:space="0"/>
            </w:tcBorders>
            <w:shd w:val="clear" w:color="auto" w:fill="auto"/>
            <w:vAlign w:val="center"/>
          </w:tcPr>
          <w:p w14:paraId="4548EF8C">
            <w:pPr>
              <w:bidi w:val="0"/>
              <w:rPr>
                <w:rFonts w:hint="eastAsia"/>
              </w:rPr>
            </w:pPr>
            <w:r>
              <w:rPr>
                <w:rFonts w:hint="eastAsia"/>
              </w:rPr>
              <w:t>小盒剔除</w:t>
            </w:r>
          </w:p>
        </w:tc>
        <w:tc>
          <w:tcPr>
            <w:tcW w:w="1506" w:type="dxa"/>
            <w:tcBorders>
              <w:top w:val="nil"/>
              <w:left w:val="nil"/>
              <w:bottom w:val="single" w:color="auto" w:sz="4" w:space="0"/>
              <w:right w:val="single" w:color="auto" w:sz="4" w:space="0"/>
            </w:tcBorders>
            <w:shd w:val="clear" w:color="auto" w:fill="auto"/>
            <w:vAlign w:val="center"/>
          </w:tcPr>
          <w:p w14:paraId="772CBECF">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3533A01">
            <w:pPr>
              <w:bidi w:val="0"/>
              <w:rPr>
                <w:rFonts w:hint="eastAsia"/>
              </w:rPr>
            </w:pPr>
            <w:r>
              <w:rPr>
                <w:rFonts w:hint="eastAsia"/>
              </w:rPr>
              <w:t>当步骤3中二维码校验失败且连续失败次数小于n时，通过手动或者发送指令到原机进行小盒剔除操作。</w:t>
            </w:r>
          </w:p>
        </w:tc>
      </w:tr>
      <w:tr w14:paraId="28D67516">
        <w:tblPrEx>
          <w:tblCellMar>
            <w:top w:w="0" w:type="dxa"/>
            <w:left w:w="108" w:type="dxa"/>
            <w:bottom w:w="0" w:type="dxa"/>
            <w:right w:w="108" w:type="dxa"/>
          </w:tblCellMar>
        </w:tblPrEx>
        <w:trPr>
          <w:trHeight w:val="7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1C021E6">
            <w:pPr>
              <w:bidi w:val="0"/>
              <w:rPr>
                <w:rFonts w:hint="eastAsia"/>
              </w:rPr>
            </w:pPr>
            <w:r>
              <w:rPr>
                <w:rFonts w:hint="eastAsia"/>
              </w:rPr>
              <w:t>5</w:t>
            </w:r>
          </w:p>
        </w:tc>
        <w:tc>
          <w:tcPr>
            <w:tcW w:w="2259" w:type="dxa"/>
            <w:tcBorders>
              <w:top w:val="nil"/>
              <w:left w:val="nil"/>
              <w:bottom w:val="single" w:color="auto" w:sz="4" w:space="0"/>
              <w:right w:val="single" w:color="auto" w:sz="4" w:space="0"/>
            </w:tcBorders>
            <w:shd w:val="clear" w:color="auto" w:fill="auto"/>
            <w:vAlign w:val="center"/>
          </w:tcPr>
          <w:p w14:paraId="21CBF412">
            <w:pPr>
              <w:bidi w:val="0"/>
              <w:rPr>
                <w:rFonts w:hint="eastAsia"/>
              </w:rPr>
            </w:pPr>
            <w:r>
              <w:rPr>
                <w:rFonts w:hint="eastAsia"/>
              </w:rPr>
              <w:t>设备停机</w:t>
            </w:r>
          </w:p>
        </w:tc>
        <w:tc>
          <w:tcPr>
            <w:tcW w:w="1506" w:type="dxa"/>
            <w:tcBorders>
              <w:top w:val="nil"/>
              <w:left w:val="nil"/>
              <w:bottom w:val="single" w:color="auto" w:sz="4" w:space="0"/>
              <w:right w:val="single" w:color="auto" w:sz="4" w:space="0"/>
            </w:tcBorders>
            <w:shd w:val="clear" w:color="auto" w:fill="auto"/>
            <w:vAlign w:val="center"/>
          </w:tcPr>
          <w:p w14:paraId="31035F37">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5283EAF">
            <w:pPr>
              <w:bidi w:val="0"/>
              <w:rPr>
                <w:rFonts w:hint="eastAsia"/>
              </w:rPr>
            </w:pPr>
            <w:r>
              <w:rPr>
                <w:rFonts w:hint="eastAsia"/>
              </w:rPr>
              <w:t>当步骤3中二维码校验失败且连续失败次数大于n时，通过手动或者发送指令到原机进行设备停机操作。</w:t>
            </w:r>
          </w:p>
        </w:tc>
      </w:tr>
      <w:tr w14:paraId="39CF6191">
        <w:tblPrEx>
          <w:tblCellMar>
            <w:top w:w="0" w:type="dxa"/>
            <w:left w:w="108" w:type="dxa"/>
            <w:bottom w:w="0" w:type="dxa"/>
            <w:right w:w="108" w:type="dxa"/>
          </w:tblCellMar>
        </w:tblPrEx>
        <w:trPr>
          <w:trHeight w:val="87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1EE36D7">
            <w:pPr>
              <w:bidi w:val="0"/>
              <w:rPr>
                <w:rFonts w:hint="eastAsia"/>
              </w:rPr>
            </w:pPr>
            <w:r>
              <w:rPr>
                <w:rFonts w:hint="eastAsia"/>
              </w:rPr>
              <w:t>6</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66D157DA">
            <w:pPr>
              <w:bidi w:val="0"/>
              <w:rPr>
                <w:rFonts w:hint="eastAsia"/>
              </w:rPr>
            </w:pPr>
            <w:r>
              <w:rPr>
                <w:rFonts w:hint="eastAsia"/>
              </w:rPr>
              <w:t>卷烟盒二维码读取工位</w:t>
            </w:r>
          </w:p>
        </w:tc>
        <w:tc>
          <w:tcPr>
            <w:tcW w:w="1506" w:type="dxa"/>
            <w:tcBorders>
              <w:top w:val="single" w:color="auto" w:sz="4" w:space="0"/>
              <w:left w:val="single" w:color="auto" w:sz="4" w:space="0"/>
              <w:bottom w:val="single" w:color="auto" w:sz="4" w:space="0"/>
              <w:right w:val="single" w:color="auto" w:sz="4" w:space="0"/>
            </w:tcBorders>
            <w:shd w:val="clear" w:color="auto" w:fill="auto"/>
            <w:vAlign w:val="center"/>
          </w:tcPr>
          <w:p w14:paraId="74B562F9">
            <w:pPr>
              <w:bidi w:val="0"/>
              <w:rPr>
                <w:rFonts w:hint="eastAsia"/>
              </w:rPr>
            </w:pPr>
            <w:r>
              <w:rPr>
                <w:rFonts w:hint="eastAsia"/>
              </w:rPr>
              <w:t>操作</w:t>
            </w:r>
          </w:p>
        </w:tc>
        <w:tc>
          <w:tcPr>
            <w:tcW w:w="4638" w:type="dxa"/>
            <w:tcBorders>
              <w:top w:val="single" w:color="auto" w:sz="4" w:space="0"/>
              <w:left w:val="single" w:color="auto" w:sz="4" w:space="0"/>
              <w:bottom w:val="single" w:color="auto" w:sz="4" w:space="0"/>
              <w:right w:val="single" w:color="auto" w:sz="4" w:space="0"/>
            </w:tcBorders>
            <w:shd w:val="clear" w:color="auto" w:fill="auto"/>
            <w:vAlign w:val="center"/>
          </w:tcPr>
          <w:p w14:paraId="7565648A">
            <w:pPr>
              <w:bidi w:val="0"/>
              <w:rPr>
                <w:rFonts w:hint="eastAsia"/>
              </w:rPr>
            </w:pPr>
            <w:r>
              <w:rPr>
                <w:rFonts w:hint="eastAsia"/>
              </w:rPr>
              <w:t>包装机上安装的固定读码器工位，用来读取卷烟盒二维码。通过相位触发对经过的单包X进行读码。</w:t>
            </w:r>
          </w:p>
        </w:tc>
      </w:tr>
      <w:tr w14:paraId="0914B761">
        <w:tblPrEx>
          <w:tblCellMar>
            <w:top w:w="0" w:type="dxa"/>
            <w:left w:w="108" w:type="dxa"/>
            <w:bottom w:w="0" w:type="dxa"/>
            <w:right w:w="108" w:type="dxa"/>
          </w:tblCellMar>
        </w:tblPrEx>
        <w:trPr>
          <w:trHeight w:val="90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0B6343A">
            <w:pPr>
              <w:bidi w:val="0"/>
              <w:rPr>
                <w:rFonts w:hint="eastAsia"/>
              </w:rPr>
            </w:pPr>
            <w:r>
              <w:rPr>
                <w:rFonts w:hint="eastAsia"/>
              </w:rPr>
              <w:t>7</w:t>
            </w:r>
          </w:p>
        </w:tc>
        <w:tc>
          <w:tcPr>
            <w:tcW w:w="2259" w:type="dxa"/>
            <w:tcBorders>
              <w:top w:val="single" w:color="auto" w:sz="4" w:space="0"/>
              <w:left w:val="nil"/>
              <w:bottom w:val="single" w:color="auto" w:sz="4" w:space="0"/>
              <w:right w:val="single" w:color="auto" w:sz="4" w:space="0"/>
            </w:tcBorders>
            <w:shd w:val="clear" w:color="auto" w:fill="auto"/>
            <w:vAlign w:val="center"/>
          </w:tcPr>
          <w:p w14:paraId="01EA3F3C">
            <w:pPr>
              <w:bidi w:val="0"/>
              <w:rPr>
                <w:rFonts w:hint="eastAsia"/>
              </w:rPr>
            </w:pPr>
            <w:r>
              <w:rPr>
                <w:rFonts w:hint="eastAsia"/>
              </w:rPr>
              <w:t>获取小盒二维码</w:t>
            </w:r>
          </w:p>
        </w:tc>
        <w:tc>
          <w:tcPr>
            <w:tcW w:w="1506" w:type="dxa"/>
            <w:tcBorders>
              <w:top w:val="single" w:color="auto" w:sz="4" w:space="0"/>
              <w:left w:val="nil"/>
              <w:bottom w:val="single" w:color="auto" w:sz="4" w:space="0"/>
              <w:right w:val="single" w:color="auto" w:sz="4" w:space="0"/>
            </w:tcBorders>
            <w:shd w:val="clear" w:color="auto" w:fill="auto"/>
            <w:vAlign w:val="center"/>
          </w:tcPr>
          <w:p w14:paraId="214E310E">
            <w:pPr>
              <w:bidi w:val="0"/>
              <w:rPr>
                <w:rFonts w:hint="eastAsia"/>
              </w:rPr>
            </w:pPr>
            <w:r>
              <w:rPr>
                <w:rFonts w:hint="eastAsia"/>
              </w:rPr>
              <w:t>操作</w:t>
            </w:r>
          </w:p>
        </w:tc>
        <w:tc>
          <w:tcPr>
            <w:tcW w:w="4638" w:type="dxa"/>
            <w:tcBorders>
              <w:top w:val="single" w:color="auto" w:sz="4" w:space="0"/>
              <w:left w:val="nil"/>
              <w:bottom w:val="single" w:color="auto" w:sz="4" w:space="0"/>
              <w:right w:val="single" w:color="auto" w:sz="4" w:space="0"/>
            </w:tcBorders>
            <w:shd w:val="clear" w:color="auto" w:fill="auto"/>
            <w:vAlign w:val="center"/>
          </w:tcPr>
          <w:p w14:paraId="5CAB165F">
            <w:pPr>
              <w:bidi w:val="0"/>
              <w:rPr>
                <w:rFonts w:hint="eastAsia"/>
              </w:rPr>
            </w:pPr>
            <w:r>
              <w:rPr>
                <w:rFonts w:hint="eastAsia"/>
              </w:rPr>
              <w:t>“盒条”关联现场管理子系统实时接收卷烟盒二维码读取工位上固定读码器传回的二维码数据。</w:t>
            </w:r>
          </w:p>
        </w:tc>
      </w:tr>
      <w:tr w14:paraId="3DA5156E">
        <w:tblPrEx>
          <w:tblCellMar>
            <w:top w:w="0" w:type="dxa"/>
            <w:left w:w="108" w:type="dxa"/>
            <w:bottom w:w="0" w:type="dxa"/>
            <w:right w:w="108" w:type="dxa"/>
          </w:tblCellMar>
        </w:tblPrEx>
        <w:trPr>
          <w:trHeight w:val="67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3121ABE7">
            <w:pPr>
              <w:bidi w:val="0"/>
              <w:rPr>
                <w:rFonts w:hint="eastAsia"/>
              </w:rPr>
            </w:pPr>
            <w:r>
              <w:rPr>
                <w:rFonts w:hint="eastAsia"/>
              </w:rPr>
              <w:t>8</w:t>
            </w:r>
          </w:p>
        </w:tc>
        <w:tc>
          <w:tcPr>
            <w:tcW w:w="2259" w:type="dxa"/>
            <w:tcBorders>
              <w:top w:val="nil"/>
              <w:left w:val="nil"/>
              <w:bottom w:val="single" w:color="auto" w:sz="4" w:space="0"/>
              <w:right w:val="single" w:color="auto" w:sz="4" w:space="0"/>
            </w:tcBorders>
            <w:shd w:val="clear" w:color="auto" w:fill="auto"/>
            <w:vAlign w:val="center"/>
          </w:tcPr>
          <w:p w14:paraId="2BE2581D">
            <w:pPr>
              <w:bidi w:val="0"/>
              <w:rPr>
                <w:rFonts w:hint="eastAsia"/>
              </w:rPr>
            </w:pPr>
            <w:r>
              <w:rPr>
                <w:rFonts w:hint="eastAsia"/>
              </w:rPr>
              <w:t>建立小盒队列</w:t>
            </w:r>
          </w:p>
        </w:tc>
        <w:tc>
          <w:tcPr>
            <w:tcW w:w="1506" w:type="dxa"/>
            <w:tcBorders>
              <w:top w:val="nil"/>
              <w:left w:val="nil"/>
              <w:bottom w:val="single" w:color="auto" w:sz="4" w:space="0"/>
              <w:right w:val="single" w:color="auto" w:sz="4" w:space="0"/>
            </w:tcBorders>
            <w:shd w:val="clear" w:color="auto" w:fill="auto"/>
            <w:vAlign w:val="center"/>
          </w:tcPr>
          <w:p w14:paraId="2E068CAB">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973C528">
            <w:pPr>
              <w:bidi w:val="0"/>
              <w:rPr>
                <w:rFonts w:hint="eastAsia"/>
              </w:rPr>
            </w:pPr>
            <w:r>
              <w:rPr>
                <w:rFonts w:hint="eastAsia"/>
              </w:rPr>
              <w:t>将步骤7中获取的小盒二维码建立小盒队列。</w:t>
            </w:r>
          </w:p>
        </w:tc>
      </w:tr>
      <w:tr w14:paraId="61381B0F">
        <w:tblPrEx>
          <w:tblCellMar>
            <w:top w:w="0" w:type="dxa"/>
            <w:left w:w="108" w:type="dxa"/>
            <w:bottom w:w="0" w:type="dxa"/>
            <w:right w:w="108" w:type="dxa"/>
          </w:tblCellMar>
        </w:tblPrEx>
        <w:trPr>
          <w:trHeight w:val="70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7A572770">
            <w:pPr>
              <w:bidi w:val="0"/>
              <w:rPr>
                <w:rFonts w:hint="eastAsia"/>
              </w:rPr>
            </w:pPr>
            <w:r>
              <w:rPr>
                <w:rFonts w:hint="eastAsia"/>
              </w:rPr>
              <w:t>9</w:t>
            </w:r>
          </w:p>
        </w:tc>
        <w:tc>
          <w:tcPr>
            <w:tcW w:w="2259" w:type="dxa"/>
            <w:tcBorders>
              <w:top w:val="nil"/>
              <w:left w:val="nil"/>
              <w:bottom w:val="single" w:color="auto" w:sz="4" w:space="0"/>
              <w:right w:val="single" w:color="auto" w:sz="4" w:space="0"/>
            </w:tcBorders>
            <w:shd w:val="clear" w:color="auto" w:fill="auto"/>
            <w:vAlign w:val="center"/>
          </w:tcPr>
          <w:p w14:paraId="29C6E014">
            <w:pPr>
              <w:bidi w:val="0"/>
              <w:rPr>
                <w:rFonts w:hint="eastAsia"/>
              </w:rPr>
            </w:pPr>
            <w:r>
              <w:rPr>
                <w:rFonts w:hint="eastAsia"/>
              </w:rPr>
              <w:t>卷烟条二维码读取工位</w:t>
            </w:r>
          </w:p>
        </w:tc>
        <w:tc>
          <w:tcPr>
            <w:tcW w:w="1506" w:type="dxa"/>
            <w:tcBorders>
              <w:top w:val="nil"/>
              <w:left w:val="nil"/>
              <w:bottom w:val="single" w:color="auto" w:sz="4" w:space="0"/>
              <w:right w:val="single" w:color="auto" w:sz="4" w:space="0"/>
            </w:tcBorders>
            <w:shd w:val="clear" w:color="auto" w:fill="auto"/>
            <w:vAlign w:val="center"/>
          </w:tcPr>
          <w:p w14:paraId="3287087F">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360130E7">
            <w:pPr>
              <w:bidi w:val="0"/>
              <w:rPr>
                <w:rFonts w:hint="eastAsia"/>
              </w:rPr>
            </w:pPr>
            <w:r>
              <w:rPr>
                <w:rFonts w:hint="eastAsia"/>
              </w:rPr>
              <w:t>包装机上安装的固定读码器工位，用来读取卷烟条二维码。</w:t>
            </w:r>
          </w:p>
        </w:tc>
      </w:tr>
      <w:tr w14:paraId="30DA3189">
        <w:tblPrEx>
          <w:tblCellMar>
            <w:top w:w="0" w:type="dxa"/>
            <w:left w:w="108" w:type="dxa"/>
            <w:bottom w:w="0" w:type="dxa"/>
            <w:right w:w="108" w:type="dxa"/>
          </w:tblCellMar>
        </w:tblPrEx>
        <w:trPr>
          <w:trHeight w:val="81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1A372CCD">
            <w:pPr>
              <w:bidi w:val="0"/>
              <w:rPr>
                <w:rFonts w:hint="eastAsia"/>
              </w:rPr>
            </w:pPr>
            <w:r>
              <w:rPr>
                <w:rFonts w:hint="eastAsia"/>
              </w:rPr>
              <w:t>10</w:t>
            </w:r>
          </w:p>
        </w:tc>
        <w:tc>
          <w:tcPr>
            <w:tcW w:w="2259" w:type="dxa"/>
            <w:tcBorders>
              <w:top w:val="nil"/>
              <w:left w:val="nil"/>
              <w:bottom w:val="single" w:color="auto" w:sz="4" w:space="0"/>
              <w:right w:val="single" w:color="auto" w:sz="4" w:space="0"/>
            </w:tcBorders>
            <w:shd w:val="clear" w:color="auto" w:fill="auto"/>
            <w:vAlign w:val="center"/>
          </w:tcPr>
          <w:p w14:paraId="2DF97C53">
            <w:pPr>
              <w:bidi w:val="0"/>
              <w:rPr>
                <w:rFonts w:hint="eastAsia"/>
              </w:rPr>
            </w:pPr>
            <w:r>
              <w:rPr>
                <w:rFonts w:hint="eastAsia"/>
              </w:rPr>
              <w:t>获取1个条盒二维码</w:t>
            </w:r>
          </w:p>
        </w:tc>
        <w:tc>
          <w:tcPr>
            <w:tcW w:w="1506" w:type="dxa"/>
            <w:tcBorders>
              <w:top w:val="nil"/>
              <w:left w:val="nil"/>
              <w:bottom w:val="single" w:color="auto" w:sz="4" w:space="0"/>
              <w:right w:val="single" w:color="auto" w:sz="4" w:space="0"/>
            </w:tcBorders>
            <w:shd w:val="clear" w:color="auto" w:fill="auto"/>
            <w:vAlign w:val="center"/>
          </w:tcPr>
          <w:p w14:paraId="0E336304">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F40A4D7">
            <w:pPr>
              <w:bidi w:val="0"/>
              <w:rPr>
                <w:rFonts w:hint="eastAsia"/>
              </w:rPr>
            </w:pPr>
            <w:r>
              <w:rPr>
                <w:rFonts w:hint="eastAsia"/>
              </w:rPr>
              <w:t>“盒条”关联现场管理子系统实时接收卷烟条二维码读取工位上固定读码器传回的二维码数据。</w:t>
            </w:r>
          </w:p>
        </w:tc>
      </w:tr>
      <w:tr w14:paraId="03512FF0">
        <w:tblPrEx>
          <w:tblCellMar>
            <w:top w:w="0" w:type="dxa"/>
            <w:left w:w="108" w:type="dxa"/>
            <w:bottom w:w="0" w:type="dxa"/>
            <w:right w:w="108" w:type="dxa"/>
          </w:tblCellMar>
        </w:tblPrEx>
        <w:trPr>
          <w:trHeight w:val="91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261EEF2C">
            <w:pPr>
              <w:bidi w:val="0"/>
              <w:rPr>
                <w:rFonts w:hint="eastAsia"/>
              </w:rPr>
            </w:pPr>
            <w:r>
              <w:rPr>
                <w:rFonts w:hint="eastAsia"/>
              </w:rPr>
              <w:t>11</w:t>
            </w:r>
          </w:p>
        </w:tc>
        <w:tc>
          <w:tcPr>
            <w:tcW w:w="2259" w:type="dxa"/>
            <w:tcBorders>
              <w:top w:val="nil"/>
              <w:left w:val="nil"/>
              <w:bottom w:val="single" w:color="auto" w:sz="4" w:space="0"/>
              <w:right w:val="single" w:color="auto" w:sz="4" w:space="0"/>
            </w:tcBorders>
            <w:shd w:val="clear" w:color="auto" w:fill="auto"/>
            <w:vAlign w:val="center"/>
          </w:tcPr>
          <w:p w14:paraId="5A2E06CA">
            <w:pPr>
              <w:bidi w:val="0"/>
              <w:rPr>
                <w:rFonts w:hint="eastAsia"/>
              </w:rPr>
            </w:pPr>
            <w:r>
              <w:rPr>
                <w:rFonts w:hint="eastAsia"/>
              </w:rPr>
              <w:t>建立条盒码队列</w:t>
            </w:r>
          </w:p>
        </w:tc>
        <w:tc>
          <w:tcPr>
            <w:tcW w:w="1506" w:type="dxa"/>
            <w:tcBorders>
              <w:top w:val="nil"/>
              <w:left w:val="nil"/>
              <w:bottom w:val="single" w:color="auto" w:sz="4" w:space="0"/>
              <w:right w:val="single" w:color="auto" w:sz="4" w:space="0"/>
            </w:tcBorders>
            <w:shd w:val="clear" w:color="auto" w:fill="auto"/>
            <w:vAlign w:val="center"/>
          </w:tcPr>
          <w:p w14:paraId="62F332B3">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7D337F1E">
            <w:pPr>
              <w:bidi w:val="0"/>
              <w:rPr>
                <w:rFonts w:hint="eastAsia"/>
              </w:rPr>
            </w:pPr>
            <w:r>
              <w:rPr>
                <w:rFonts w:hint="eastAsia"/>
              </w:rPr>
              <w:t>将步骤10中获取的条盒二维码建立条盒队列。</w:t>
            </w:r>
          </w:p>
        </w:tc>
      </w:tr>
      <w:tr w14:paraId="299DA854">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60C8457E">
            <w:pPr>
              <w:bidi w:val="0"/>
              <w:rPr>
                <w:rFonts w:hint="eastAsia"/>
              </w:rPr>
            </w:pPr>
            <w:r>
              <w:rPr>
                <w:rFonts w:hint="eastAsia"/>
              </w:rPr>
              <w:t>12</w:t>
            </w:r>
          </w:p>
        </w:tc>
        <w:tc>
          <w:tcPr>
            <w:tcW w:w="2259" w:type="dxa"/>
            <w:tcBorders>
              <w:top w:val="nil"/>
              <w:left w:val="nil"/>
              <w:bottom w:val="single" w:color="auto" w:sz="4" w:space="0"/>
              <w:right w:val="single" w:color="auto" w:sz="4" w:space="0"/>
            </w:tcBorders>
            <w:shd w:val="clear" w:color="auto" w:fill="auto"/>
            <w:vAlign w:val="center"/>
          </w:tcPr>
          <w:p w14:paraId="76AA67A4">
            <w:pPr>
              <w:bidi w:val="0"/>
              <w:rPr>
                <w:rFonts w:hint="eastAsia"/>
              </w:rPr>
            </w:pPr>
            <w:r>
              <w:rPr>
                <w:rFonts w:hint="eastAsia"/>
              </w:rPr>
              <w:t>“盒条”序列校验工位</w:t>
            </w:r>
          </w:p>
        </w:tc>
        <w:tc>
          <w:tcPr>
            <w:tcW w:w="1506" w:type="dxa"/>
            <w:tcBorders>
              <w:top w:val="nil"/>
              <w:left w:val="nil"/>
              <w:bottom w:val="single" w:color="auto" w:sz="4" w:space="0"/>
              <w:right w:val="single" w:color="auto" w:sz="4" w:space="0"/>
            </w:tcBorders>
            <w:shd w:val="clear" w:color="auto" w:fill="auto"/>
            <w:vAlign w:val="center"/>
          </w:tcPr>
          <w:p w14:paraId="3E9BBBA3">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34CAAF24">
            <w:pPr>
              <w:bidi w:val="0"/>
              <w:rPr>
                <w:rFonts w:hint="eastAsia"/>
              </w:rPr>
            </w:pPr>
            <w:r>
              <w:rPr>
                <w:rFonts w:hint="eastAsia"/>
              </w:rPr>
              <w:t>包装机上安装的固定读码器工位，用来读取卷烟盒二维码。</w:t>
            </w:r>
          </w:p>
        </w:tc>
      </w:tr>
      <w:tr w14:paraId="7CFFD330">
        <w:tblPrEx>
          <w:tblCellMar>
            <w:top w:w="0" w:type="dxa"/>
            <w:left w:w="108" w:type="dxa"/>
            <w:bottom w:w="0" w:type="dxa"/>
            <w:right w:w="108" w:type="dxa"/>
          </w:tblCellMar>
        </w:tblPrEx>
        <w:trPr>
          <w:trHeight w:val="10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4B5E7A27">
            <w:pPr>
              <w:bidi w:val="0"/>
              <w:rPr>
                <w:rFonts w:hint="eastAsia"/>
              </w:rPr>
            </w:pPr>
            <w:r>
              <w:rPr>
                <w:rFonts w:hint="eastAsia"/>
              </w:rPr>
              <w:t>13</w:t>
            </w:r>
          </w:p>
        </w:tc>
        <w:tc>
          <w:tcPr>
            <w:tcW w:w="2259" w:type="dxa"/>
            <w:tcBorders>
              <w:top w:val="nil"/>
              <w:left w:val="nil"/>
              <w:bottom w:val="single" w:color="auto" w:sz="4" w:space="0"/>
              <w:right w:val="single" w:color="auto" w:sz="4" w:space="0"/>
            </w:tcBorders>
            <w:shd w:val="clear" w:color="auto" w:fill="auto"/>
            <w:vAlign w:val="center"/>
          </w:tcPr>
          <w:p w14:paraId="279A6C81">
            <w:pPr>
              <w:bidi w:val="0"/>
              <w:rPr>
                <w:rFonts w:hint="eastAsia"/>
              </w:rPr>
            </w:pPr>
            <w:r>
              <w:rPr>
                <w:rFonts w:hint="eastAsia"/>
              </w:rPr>
              <w:t>获取小盒二维码</w:t>
            </w:r>
          </w:p>
        </w:tc>
        <w:tc>
          <w:tcPr>
            <w:tcW w:w="1506" w:type="dxa"/>
            <w:tcBorders>
              <w:top w:val="nil"/>
              <w:left w:val="nil"/>
              <w:bottom w:val="single" w:color="auto" w:sz="4" w:space="0"/>
              <w:right w:val="single" w:color="auto" w:sz="4" w:space="0"/>
            </w:tcBorders>
            <w:shd w:val="clear" w:color="auto" w:fill="auto"/>
            <w:vAlign w:val="center"/>
          </w:tcPr>
          <w:p w14:paraId="3E0119DE">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1FA59A4B">
            <w:pPr>
              <w:bidi w:val="0"/>
              <w:rPr>
                <w:rFonts w:hint="eastAsia"/>
              </w:rPr>
            </w:pPr>
            <w:r>
              <w:rPr>
                <w:rFonts w:hint="eastAsia"/>
              </w:rPr>
              <w:t>“盒条”关联现场管理子系统实时接收“盒条”序列校验工位上固定读码器传回的二维码数据。</w:t>
            </w:r>
          </w:p>
        </w:tc>
      </w:tr>
      <w:tr w14:paraId="54311177">
        <w:tblPrEx>
          <w:tblCellMar>
            <w:top w:w="0" w:type="dxa"/>
            <w:left w:w="108" w:type="dxa"/>
            <w:bottom w:w="0" w:type="dxa"/>
            <w:right w:w="108" w:type="dxa"/>
          </w:tblCellMar>
        </w:tblPrEx>
        <w:trPr>
          <w:trHeight w:val="52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2072B60C">
            <w:pPr>
              <w:bidi w:val="0"/>
              <w:rPr>
                <w:rFonts w:hint="eastAsia"/>
              </w:rPr>
            </w:pPr>
            <w:r>
              <w:rPr>
                <w:rFonts w:hint="eastAsia"/>
              </w:rPr>
              <w:t>14</w:t>
            </w:r>
          </w:p>
        </w:tc>
        <w:tc>
          <w:tcPr>
            <w:tcW w:w="2259" w:type="dxa"/>
            <w:tcBorders>
              <w:top w:val="nil"/>
              <w:left w:val="nil"/>
              <w:bottom w:val="single" w:color="auto" w:sz="4" w:space="0"/>
              <w:right w:val="single" w:color="auto" w:sz="4" w:space="0"/>
            </w:tcBorders>
            <w:shd w:val="clear" w:color="auto" w:fill="auto"/>
            <w:vAlign w:val="center"/>
          </w:tcPr>
          <w:p w14:paraId="524B834D">
            <w:pPr>
              <w:bidi w:val="0"/>
              <w:rPr>
                <w:rFonts w:hint="eastAsia"/>
              </w:rPr>
            </w:pPr>
            <w:r>
              <w:rPr>
                <w:rFonts w:hint="eastAsia"/>
              </w:rPr>
              <w:t>建立校验队列</w:t>
            </w:r>
          </w:p>
        </w:tc>
        <w:tc>
          <w:tcPr>
            <w:tcW w:w="1506" w:type="dxa"/>
            <w:tcBorders>
              <w:top w:val="nil"/>
              <w:left w:val="nil"/>
              <w:bottom w:val="single" w:color="auto" w:sz="4" w:space="0"/>
              <w:right w:val="single" w:color="auto" w:sz="4" w:space="0"/>
            </w:tcBorders>
            <w:shd w:val="clear" w:color="auto" w:fill="auto"/>
            <w:vAlign w:val="center"/>
          </w:tcPr>
          <w:p w14:paraId="402DA866">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4B8889E1">
            <w:pPr>
              <w:bidi w:val="0"/>
              <w:rPr>
                <w:rFonts w:hint="eastAsia"/>
              </w:rPr>
            </w:pPr>
            <w:r>
              <w:rPr>
                <w:rFonts w:hint="eastAsia"/>
              </w:rPr>
              <w:t>将步骤13中获取的小盒二维码建立校验队列。</w:t>
            </w:r>
          </w:p>
        </w:tc>
      </w:tr>
      <w:tr w14:paraId="13FB6692">
        <w:tblPrEx>
          <w:tblCellMar>
            <w:top w:w="0" w:type="dxa"/>
            <w:left w:w="108" w:type="dxa"/>
            <w:bottom w:w="0" w:type="dxa"/>
            <w:right w:w="108" w:type="dxa"/>
          </w:tblCellMar>
        </w:tblPrEx>
        <w:trPr>
          <w:trHeight w:val="61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48AD2080">
            <w:pPr>
              <w:bidi w:val="0"/>
              <w:rPr>
                <w:rFonts w:hint="eastAsia"/>
              </w:rPr>
            </w:pPr>
            <w:r>
              <w:rPr>
                <w:rFonts w:hint="eastAsia"/>
              </w:rPr>
              <w:t>15</w:t>
            </w:r>
          </w:p>
        </w:tc>
        <w:tc>
          <w:tcPr>
            <w:tcW w:w="2259" w:type="dxa"/>
            <w:tcBorders>
              <w:top w:val="nil"/>
              <w:left w:val="nil"/>
              <w:bottom w:val="single" w:color="auto" w:sz="4" w:space="0"/>
              <w:right w:val="single" w:color="auto" w:sz="4" w:space="0"/>
            </w:tcBorders>
            <w:shd w:val="clear" w:color="auto" w:fill="auto"/>
            <w:vAlign w:val="center"/>
          </w:tcPr>
          <w:p w14:paraId="169BB42F">
            <w:pPr>
              <w:bidi w:val="0"/>
              <w:rPr>
                <w:rFonts w:hint="eastAsia"/>
              </w:rPr>
            </w:pPr>
            <w:r>
              <w:rPr>
                <w:rFonts w:hint="eastAsia"/>
              </w:rPr>
              <w:t>调用关联算法</w:t>
            </w:r>
          </w:p>
        </w:tc>
        <w:tc>
          <w:tcPr>
            <w:tcW w:w="1506" w:type="dxa"/>
            <w:tcBorders>
              <w:top w:val="nil"/>
              <w:left w:val="nil"/>
              <w:bottom w:val="single" w:color="auto" w:sz="4" w:space="0"/>
              <w:right w:val="single" w:color="auto" w:sz="4" w:space="0"/>
            </w:tcBorders>
            <w:shd w:val="clear" w:color="auto" w:fill="auto"/>
            <w:vAlign w:val="center"/>
          </w:tcPr>
          <w:p w14:paraId="5662A9AB">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6FFB7021">
            <w:pPr>
              <w:bidi w:val="0"/>
              <w:rPr>
                <w:rFonts w:hint="eastAsia"/>
              </w:rPr>
            </w:pPr>
            <w:r>
              <w:rPr>
                <w:rFonts w:hint="eastAsia"/>
              </w:rPr>
              <w:t>在获取条、盒二维码以及小盒校验二维码后，调用关联算法进行“盒条”关联操作。</w:t>
            </w:r>
          </w:p>
        </w:tc>
      </w:tr>
      <w:tr w14:paraId="00D2F61A">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14:paraId="024C2257">
            <w:pPr>
              <w:bidi w:val="0"/>
              <w:rPr>
                <w:rFonts w:hint="eastAsia"/>
              </w:rPr>
            </w:pPr>
            <w:r>
              <w:rPr>
                <w:rFonts w:hint="eastAsia"/>
              </w:rPr>
              <w:t>16</w:t>
            </w:r>
          </w:p>
        </w:tc>
        <w:tc>
          <w:tcPr>
            <w:tcW w:w="2259" w:type="dxa"/>
            <w:tcBorders>
              <w:top w:val="nil"/>
              <w:left w:val="nil"/>
              <w:bottom w:val="single" w:color="auto" w:sz="4" w:space="0"/>
              <w:right w:val="single" w:color="auto" w:sz="4" w:space="0"/>
            </w:tcBorders>
            <w:shd w:val="clear" w:color="auto" w:fill="auto"/>
            <w:vAlign w:val="center"/>
          </w:tcPr>
          <w:p w14:paraId="7C953A47">
            <w:pPr>
              <w:bidi w:val="0"/>
              <w:rPr>
                <w:rFonts w:hint="eastAsia"/>
              </w:rPr>
            </w:pPr>
            <w:r>
              <w:rPr>
                <w:rFonts w:hint="eastAsia"/>
              </w:rPr>
              <w:t>获得条烟与盒烟的对应关系</w:t>
            </w:r>
          </w:p>
        </w:tc>
        <w:tc>
          <w:tcPr>
            <w:tcW w:w="1506" w:type="dxa"/>
            <w:tcBorders>
              <w:top w:val="nil"/>
              <w:left w:val="nil"/>
              <w:bottom w:val="single" w:color="auto" w:sz="4" w:space="0"/>
              <w:right w:val="single" w:color="auto" w:sz="4" w:space="0"/>
            </w:tcBorders>
            <w:shd w:val="clear" w:color="auto" w:fill="auto"/>
            <w:vAlign w:val="center"/>
          </w:tcPr>
          <w:p w14:paraId="42A7E70D">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3F415C3D">
            <w:pPr>
              <w:bidi w:val="0"/>
              <w:rPr>
                <w:rFonts w:hint="eastAsia"/>
              </w:rPr>
            </w:pPr>
            <w:r>
              <w:rPr>
                <w:rFonts w:hint="eastAsia"/>
              </w:rPr>
              <w:t>获取“盒条”关联数据，即一个条盒二维码与多个小盒二维码关联。</w:t>
            </w:r>
          </w:p>
        </w:tc>
      </w:tr>
      <w:tr w14:paraId="53BA26F0">
        <w:tblPrEx>
          <w:tblCellMar>
            <w:top w:w="0" w:type="dxa"/>
            <w:left w:w="108" w:type="dxa"/>
            <w:bottom w:w="0" w:type="dxa"/>
            <w:right w:w="108" w:type="dxa"/>
          </w:tblCellMar>
        </w:tblPrEx>
        <w:trPr>
          <w:trHeight w:val="129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F89B51C">
            <w:pPr>
              <w:bidi w:val="0"/>
              <w:rPr>
                <w:rFonts w:hint="eastAsia"/>
              </w:rPr>
            </w:pPr>
            <w:r>
              <w:rPr>
                <w:rFonts w:hint="eastAsia"/>
              </w:rPr>
              <w:t>17</w:t>
            </w:r>
          </w:p>
        </w:tc>
        <w:tc>
          <w:tcPr>
            <w:tcW w:w="2259" w:type="dxa"/>
            <w:tcBorders>
              <w:top w:val="single" w:color="auto" w:sz="4" w:space="0"/>
              <w:left w:val="single" w:color="auto" w:sz="4" w:space="0"/>
              <w:bottom w:val="single" w:color="auto" w:sz="4" w:space="0"/>
              <w:right w:val="single" w:color="auto" w:sz="4" w:space="0"/>
            </w:tcBorders>
            <w:shd w:val="clear" w:color="auto" w:fill="auto"/>
            <w:vAlign w:val="center"/>
          </w:tcPr>
          <w:p w14:paraId="2D3BC664">
            <w:pPr>
              <w:bidi w:val="0"/>
              <w:rPr>
                <w:rFonts w:hint="eastAsia"/>
              </w:rPr>
            </w:pPr>
            <w:r>
              <w:rPr>
                <w:rFonts w:hint="eastAsia"/>
              </w:rPr>
              <w:t>关联关系正确性校验</w:t>
            </w:r>
          </w:p>
        </w:tc>
        <w:tc>
          <w:tcPr>
            <w:tcW w:w="1506" w:type="dxa"/>
            <w:tcBorders>
              <w:top w:val="single" w:color="auto" w:sz="4" w:space="0"/>
              <w:left w:val="single" w:color="auto" w:sz="4" w:space="0"/>
              <w:bottom w:val="single" w:color="auto" w:sz="4" w:space="0"/>
              <w:right w:val="single" w:color="auto" w:sz="4" w:space="0"/>
            </w:tcBorders>
            <w:shd w:val="clear" w:color="auto" w:fill="auto"/>
            <w:vAlign w:val="center"/>
          </w:tcPr>
          <w:p w14:paraId="30CD60C0">
            <w:pPr>
              <w:bidi w:val="0"/>
              <w:rPr>
                <w:rFonts w:hint="eastAsia"/>
              </w:rPr>
            </w:pPr>
            <w:r>
              <w:rPr>
                <w:rFonts w:hint="eastAsia"/>
              </w:rPr>
              <w:t>操作</w:t>
            </w:r>
          </w:p>
        </w:tc>
        <w:tc>
          <w:tcPr>
            <w:tcW w:w="4638" w:type="dxa"/>
            <w:tcBorders>
              <w:top w:val="single" w:color="auto" w:sz="4" w:space="0"/>
              <w:left w:val="single" w:color="auto" w:sz="4" w:space="0"/>
              <w:bottom w:val="single" w:color="auto" w:sz="4" w:space="0"/>
              <w:right w:val="single" w:color="auto" w:sz="4" w:space="0"/>
            </w:tcBorders>
            <w:shd w:val="clear" w:color="auto" w:fill="auto"/>
            <w:vAlign w:val="center"/>
          </w:tcPr>
          <w:p w14:paraId="41AA5D05">
            <w:pPr>
              <w:bidi w:val="0"/>
              <w:rPr>
                <w:rFonts w:hint="eastAsia"/>
              </w:rPr>
            </w:pPr>
            <w:r>
              <w:rPr>
                <w:rFonts w:hint="eastAsia"/>
              </w:rPr>
              <w:t>对于步骤16中的关联数据进行校验，校验内容包括：小盒二维码识别情况、条盒二维码识别情况、条盒二维码品规校验情况、校验二维码校验情况。</w:t>
            </w:r>
          </w:p>
        </w:tc>
      </w:tr>
      <w:tr w14:paraId="54C35095">
        <w:tblPrEx>
          <w:tblCellMar>
            <w:top w:w="0" w:type="dxa"/>
            <w:left w:w="108" w:type="dxa"/>
            <w:bottom w:w="0" w:type="dxa"/>
            <w:right w:w="108" w:type="dxa"/>
          </w:tblCellMar>
        </w:tblPrEx>
        <w:trPr>
          <w:trHeight w:val="795"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FB966BC">
            <w:pPr>
              <w:bidi w:val="0"/>
              <w:rPr>
                <w:rFonts w:hint="eastAsia"/>
              </w:rPr>
            </w:pPr>
            <w:r>
              <w:rPr>
                <w:rFonts w:hint="eastAsia"/>
              </w:rPr>
              <w:t>18</w:t>
            </w:r>
          </w:p>
        </w:tc>
        <w:tc>
          <w:tcPr>
            <w:tcW w:w="2259" w:type="dxa"/>
            <w:tcBorders>
              <w:top w:val="single" w:color="auto" w:sz="4" w:space="0"/>
              <w:left w:val="nil"/>
              <w:bottom w:val="single" w:color="auto" w:sz="4" w:space="0"/>
              <w:right w:val="single" w:color="auto" w:sz="4" w:space="0"/>
            </w:tcBorders>
            <w:shd w:val="clear" w:color="auto" w:fill="auto"/>
            <w:vAlign w:val="center"/>
          </w:tcPr>
          <w:p w14:paraId="7D031C18">
            <w:pPr>
              <w:bidi w:val="0"/>
              <w:rPr>
                <w:rFonts w:hint="eastAsia"/>
              </w:rPr>
            </w:pPr>
            <w:r>
              <w:rPr>
                <w:rFonts w:hint="eastAsia"/>
              </w:rPr>
              <w:t>条盒剔除</w:t>
            </w:r>
          </w:p>
        </w:tc>
        <w:tc>
          <w:tcPr>
            <w:tcW w:w="1506" w:type="dxa"/>
            <w:tcBorders>
              <w:top w:val="single" w:color="auto" w:sz="4" w:space="0"/>
              <w:left w:val="nil"/>
              <w:bottom w:val="single" w:color="auto" w:sz="4" w:space="0"/>
              <w:right w:val="single" w:color="auto" w:sz="4" w:space="0"/>
            </w:tcBorders>
            <w:shd w:val="clear" w:color="auto" w:fill="auto"/>
            <w:vAlign w:val="center"/>
          </w:tcPr>
          <w:p w14:paraId="73D61009">
            <w:pPr>
              <w:bidi w:val="0"/>
              <w:rPr>
                <w:rFonts w:hint="eastAsia"/>
              </w:rPr>
            </w:pPr>
            <w:r>
              <w:rPr>
                <w:rFonts w:hint="eastAsia"/>
              </w:rPr>
              <w:t>操作</w:t>
            </w:r>
          </w:p>
        </w:tc>
        <w:tc>
          <w:tcPr>
            <w:tcW w:w="4638" w:type="dxa"/>
            <w:tcBorders>
              <w:top w:val="single" w:color="auto" w:sz="4" w:space="0"/>
              <w:left w:val="nil"/>
              <w:bottom w:val="single" w:color="auto" w:sz="4" w:space="0"/>
              <w:right w:val="single" w:color="auto" w:sz="4" w:space="0"/>
            </w:tcBorders>
            <w:shd w:val="clear" w:color="auto" w:fill="auto"/>
            <w:vAlign w:val="center"/>
          </w:tcPr>
          <w:p w14:paraId="0947A5AB">
            <w:pPr>
              <w:bidi w:val="0"/>
              <w:rPr>
                <w:rFonts w:hint="eastAsia"/>
              </w:rPr>
            </w:pPr>
            <w:r>
              <w:rPr>
                <w:rFonts w:hint="eastAsia"/>
              </w:rPr>
              <w:t>当步骤17中关联关系正确性校验失败且连续失败次数小于3时，通过手动或者发送指令到原机进行条盒剔除操作。</w:t>
            </w:r>
          </w:p>
        </w:tc>
      </w:tr>
      <w:tr w14:paraId="00FE01D0">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nil"/>
            </w:tcBorders>
            <w:shd w:val="clear" w:color="auto" w:fill="auto"/>
            <w:vAlign w:val="center"/>
          </w:tcPr>
          <w:p w14:paraId="066B3892">
            <w:pPr>
              <w:bidi w:val="0"/>
              <w:rPr>
                <w:rFonts w:hint="eastAsia"/>
              </w:rPr>
            </w:pPr>
            <w:r>
              <w:rPr>
                <w:rFonts w:hint="eastAsia"/>
              </w:rPr>
              <w:t>19</w:t>
            </w:r>
          </w:p>
        </w:tc>
        <w:tc>
          <w:tcPr>
            <w:tcW w:w="2259" w:type="dxa"/>
            <w:tcBorders>
              <w:top w:val="nil"/>
              <w:left w:val="single" w:color="auto" w:sz="4" w:space="0"/>
              <w:bottom w:val="single" w:color="auto" w:sz="4" w:space="0"/>
              <w:right w:val="single" w:color="auto" w:sz="4" w:space="0"/>
            </w:tcBorders>
            <w:shd w:val="clear" w:color="auto" w:fill="auto"/>
            <w:vAlign w:val="center"/>
          </w:tcPr>
          <w:p w14:paraId="180481BA">
            <w:pPr>
              <w:bidi w:val="0"/>
              <w:rPr>
                <w:rFonts w:hint="eastAsia"/>
              </w:rPr>
            </w:pPr>
            <w:r>
              <w:rPr>
                <w:rFonts w:hint="eastAsia"/>
              </w:rPr>
              <w:t>设备停机</w:t>
            </w:r>
          </w:p>
        </w:tc>
        <w:tc>
          <w:tcPr>
            <w:tcW w:w="1506" w:type="dxa"/>
            <w:tcBorders>
              <w:top w:val="nil"/>
              <w:left w:val="nil"/>
              <w:bottom w:val="single" w:color="auto" w:sz="4" w:space="0"/>
              <w:right w:val="single" w:color="auto" w:sz="4" w:space="0"/>
            </w:tcBorders>
            <w:shd w:val="clear" w:color="auto" w:fill="auto"/>
            <w:vAlign w:val="center"/>
          </w:tcPr>
          <w:p w14:paraId="1D8F457E">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vAlign w:val="center"/>
          </w:tcPr>
          <w:p w14:paraId="2987ED54">
            <w:pPr>
              <w:bidi w:val="0"/>
              <w:rPr>
                <w:rFonts w:hint="eastAsia"/>
              </w:rPr>
            </w:pPr>
            <w:r>
              <w:rPr>
                <w:rFonts w:hint="eastAsia"/>
              </w:rPr>
              <w:t>当步骤17中关联关系正确性校验失败且连续失败次数大于3时，通过手动或者发送指令到原机进行设备停机操作。</w:t>
            </w:r>
          </w:p>
        </w:tc>
      </w:tr>
      <w:tr w14:paraId="386F7E31">
        <w:tblPrEx>
          <w:tblCellMar>
            <w:top w:w="0" w:type="dxa"/>
            <w:left w:w="108" w:type="dxa"/>
            <w:bottom w:w="0" w:type="dxa"/>
            <w:right w:w="108" w:type="dxa"/>
          </w:tblCellMar>
        </w:tblPrEx>
        <w:trPr>
          <w:trHeight w:val="795" w:hRule="atLeast"/>
          <w:jc w:val="center"/>
        </w:trPr>
        <w:tc>
          <w:tcPr>
            <w:tcW w:w="699" w:type="dxa"/>
            <w:tcBorders>
              <w:top w:val="nil"/>
              <w:left w:val="single" w:color="auto" w:sz="4" w:space="0"/>
              <w:bottom w:val="single" w:color="auto" w:sz="4" w:space="0"/>
              <w:right w:val="nil"/>
            </w:tcBorders>
            <w:shd w:val="clear" w:color="auto" w:fill="auto"/>
            <w:noWrap/>
            <w:vAlign w:val="center"/>
          </w:tcPr>
          <w:p w14:paraId="0AB07D08">
            <w:pPr>
              <w:bidi w:val="0"/>
              <w:rPr>
                <w:rFonts w:hint="eastAsia"/>
              </w:rPr>
            </w:pPr>
            <w:r>
              <w:rPr>
                <w:rFonts w:hint="eastAsia"/>
              </w:rPr>
              <w:t>20</w:t>
            </w:r>
          </w:p>
        </w:tc>
        <w:tc>
          <w:tcPr>
            <w:tcW w:w="2259" w:type="dxa"/>
            <w:tcBorders>
              <w:top w:val="nil"/>
              <w:left w:val="single" w:color="auto" w:sz="4" w:space="0"/>
              <w:bottom w:val="single" w:color="auto" w:sz="4" w:space="0"/>
              <w:right w:val="single" w:color="auto" w:sz="4" w:space="0"/>
            </w:tcBorders>
            <w:shd w:val="clear" w:color="auto" w:fill="auto"/>
            <w:noWrap/>
            <w:vAlign w:val="center"/>
          </w:tcPr>
          <w:p w14:paraId="46618BFB">
            <w:pPr>
              <w:bidi w:val="0"/>
              <w:rPr>
                <w:rFonts w:hint="eastAsia"/>
              </w:rPr>
            </w:pPr>
            <w:r>
              <w:rPr>
                <w:rFonts w:hint="eastAsia"/>
              </w:rPr>
              <w:t>本地存储关联数据</w:t>
            </w:r>
          </w:p>
        </w:tc>
        <w:tc>
          <w:tcPr>
            <w:tcW w:w="1506" w:type="dxa"/>
            <w:tcBorders>
              <w:top w:val="nil"/>
              <w:left w:val="nil"/>
              <w:bottom w:val="single" w:color="auto" w:sz="4" w:space="0"/>
              <w:right w:val="single" w:color="auto" w:sz="4" w:space="0"/>
            </w:tcBorders>
            <w:shd w:val="clear" w:color="auto" w:fill="auto"/>
            <w:vAlign w:val="center"/>
          </w:tcPr>
          <w:p w14:paraId="5648E51F">
            <w:pPr>
              <w:bidi w:val="0"/>
              <w:rPr>
                <w:rFonts w:hint="eastAsia"/>
              </w:rPr>
            </w:pPr>
            <w:r>
              <w:rPr>
                <w:rFonts w:hint="eastAsia"/>
              </w:rPr>
              <w:t>操作</w:t>
            </w:r>
          </w:p>
        </w:tc>
        <w:tc>
          <w:tcPr>
            <w:tcW w:w="4638" w:type="dxa"/>
            <w:tcBorders>
              <w:top w:val="nil"/>
              <w:left w:val="nil"/>
              <w:bottom w:val="single" w:color="auto" w:sz="4" w:space="0"/>
              <w:right w:val="single" w:color="auto" w:sz="4" w:space="0"/>
            </w:tcBorders>
            <w:shd w:val="clear" w:color="auto" w:fill="auto"/>
            <w:noWrap/>
            <w:vAlign w:val="center"/>
          </w:tcPr>
          <w:p w14:paraId="5A6E2C8A">
            <w:pPr>
              <w:bidi w:val="0"/>
              <w:rPr>
                <w:rFonts w:hint="eastAsia"/>
              </w:rPr>
            </w:pPr>
            <w:r>
              <w:rPr>
                <w:rFonts w:hint="eastAsia"/>
              </w:rPr>
              <w:t>关联关系校验通过的数据写入表中。</w:t>
            </w:r>
          </w:p>
        </w:tc>
      </w:tr>
    </w:tbl>
    <w:p w14:paraId="41E5E93E">
      <w:pPr>
        <w:bidi w:val="0"/>
        <w:rPr>
          <w:rFonts w:hint="eastAsia"/>
        </w:rPr>
      </w:pPr>
      <w:r>
        <w:rPr>
          <w:rFonts w:hint="eastAsia"/>
        </w:rPr>
        <w:br w:type="page"/>
      </w:r>
    </w:p>
    <w:p w14:paraId="4D9224F7">
      <w:pPr>
        <w:pStyle w:val="12"/>
        <w:bidi w:val="0"/>
      </w:pPr>
      <w:bookmarkStart w:id="122" w:name="_Toc134472741"/>
      <w:bookmarkStart w:id="123" w:name="_Toc32669"/>
      <w:bookmarkStart w:id="124" w:name="_Toc24428"/>
      <w:r>
        <w:rPr>
          <w:rFonts w:hint="eastAsia"/>
        </w:rPr>
        <w:t>数据上传</w:t>
      </w:r>
      <w:bookmarkEnd w:id="122"/>
      <w:bookmarkEnd w:id="123"/>
      <w:bookmarkEnd w:id="124"/>
    </w:p>
    <w:p w14:paraId="01DC41DA">
      <w:pPr>
        <w:bidi w:val="0"/>
        <w:rPr>
          <w:rFonts w:hint="eastAsia"/>
        </w:rPr>
      </w:pPr>
      <w:r>
        <w:drawing>
          <wp:inline distT="0" distB="0" distL="0" distR="0">
            <wp:extent cx="5274310" cy="3900805"/>
            <wp:effectExtent l="0" t="0" r="2540" b="444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3900805"/>
                    </a:xfrm>
                    <a:prstGeom prst="rect">
                      <a:avLst/>
                    </a:prstGeom>
                    <a:noFill/>
                    <a:ln>
                      <a:noFill/>
                    </a:ln>
                  </pic:spPr>
                </pic:pic>
              </a:graphicData>
            </a:graphic>
          </wp:inline>
        </w:drawing>
      </w:r>
    </w:p>
    <w:p w14:paraId="72A6064D">
      <w:pPr>
        <w:bidi w:val="0"/>
        <w:rPr>
          <w:rFonts w:hint="eastAsia"/>
        </w:rPr>
      </w:pPr>
      <w:r>
        <w:rPr>
          <w:rFonts w:hint="eastAsia"/>
        </w:rPr>
        <w:br w:type="page"/>
      </w:r>
    </w:p>
    <w:tbl>
      <w:tblPr>
        <w:tblStyle w:val="43"/>
        <w:tblpPr w:leftFromText="180" w:rightFromText="180" w:vertAnchor="text" w:horzAnchor="margin" w:tblpY="187"/>
        <w:tblW w:w="8585" w:type="dxa"/>
        <w:tblInd w:w="0" w:type="dxa"/>
        <w:tblLayout w:type="autofit"/>
        <w:tblCellMar>
          <w:top w:w="0" w:type="dxa"/>
          <w:left w:w="108" w:type="dxa"/>
          <w:bottom w:w="0" w:type="dxa"/>
          <w:right w:w="108" w:type="dxa"/>
        </w:tblCellMar>
      </w:tblPr>
      <w:tblGrid>
        <w:gridCol w:w="693"/>
        <w:gridCol w:w="2217"/>
        <w:gridCol w:w="1693"/>
        <w:gridCol w:w="3982"/>
      </w:tblGrid>
      <w:tr w14:paraId="765CB7C8">
        <w:trPr>
          <w:trHeight w:val="652" w:hRule="atLeast"/>
        </w:trPr>
        <w:tc>
          <w:tcPr>
            <w:tcW w:w="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021AE17">
            <w:pPr>
              <w:bidi w:val="0"/>
              <w:rPr>
                <w:rFonts w:hint="eastAsia"/>
              </w:rPr>
            </w:pPr>
            <w:r>
              <w:rPr>
                <w:rFonts w:hint="eastAsia"/>
              </w:rPr>
              <w:t>序号</w:t>
            </w:r>
          </w:p>
        </w:tc>
        <w:tc>
          <w:tcPr>
            <w:tcW w:w="2217"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5DE7F6C6">
            <w:pPr>
              <w:bidi w:val="0"/>
              <w:rPr>
                <w:rFonts w:hint="eastAsia"/>
              </w:rPr>
            </w:pPr>
            <w:r>
              <w:rPr>
                <w:rFonts w:hint="eastAsia"/>
              </w:rPr>
              <w:t>节点名称</w:t>
            </w:r>
          </w:p>
        </w:tc>
        <w:tc>
          <w:tcPr>
            <w:tcW w:w="1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2599DC9">
            <w:pPr>
              <w:bidi w:val="0"/>
              <w:rPr>
                <w:rFonts w:hint="eastAsia"/>
              </w:rPr>
            </w:pPr>
            <w:r>
              <w:rPr>
                <w:rFonts w:hint="eastAsia"/>
              </w:rPr>
              <w:t>节点类型（操作/作业流程/示意流程）</w:t>
            </w:r>
          </w:p>
        </w:tc>
        <w:tc>
          <w:tcPr>
            <w:tcW w:w="3982"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5BC1387">
            <w:pPr>
              <w:bidi w:val="0"/>
              <w:rPr>
                <w:rFonts w:hint="eastAsia"/>
              </w:rPr>
            </w:pPr>
            <w:r>
              <w:rPr>
                <w:rFonts w:hint="eastAsia"/>
              </w:rPr>
              <w:t>节点描述（如何做）</w:t>
            </w:r>
          </w:p>
        </w:tc>
      </w:tr>
      <w:tr w14:paraId="534728B0">
        <w:tblPrEx>
          <w:tblCellMar>
            <w:top w:w="0" w:type="dxa"/>
            <w:left w:w="108" w:type="dxa"/>
            <w:bottom w:w="0" w:type="dxa"/>
            <w:right w:w="108" w:type="dxa"/>
          </w:tblCellMar>
        </w:tblPrEx>
        <w:trPr>
          <w:trHeight w:val="480" w:hRule="atLeast"/>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75F38E8B">
            <w:pPr>
              <w:bidi w:val="0"/>
              <w:rPr>
                <w:rFonts w:hint="eastAsia"/>
              </w:rPr>
            </w:pPr>
          </w:p>
        </w:tc>
        <w:tc>
          <w:tcPr>
            <w:tcW w:w="2217" w:type="dxa"/>
            <w:vMerge w:val="continue"/>
            <w:tcBorders>
              <w:top w:val="single" w:color="auto" w:sz="4" w:space="0"/>
              <w:left w:val="single" w:color="auto" w:sz="4" w:space="0"/>
              <w:bottom w:val="single" w:color="auto" w:sz="4" w:space="0"/>
              <w:right w:val="single" w:color="auto" w:sz="4" w:space="0"/>
            </w:tcBorders>
            <w:vAlign w:val="center"/>
          </w:tcPr>
          <w:p w14:paraId="7977B627">
            <w:pPr>
              <w:bidi w:val="0"/>
              <w:rPr>
                <w:rFonts w:hint="eastAsia"/>
              </w:rPr>
            </w:pPr>
          </w:p>
        </w:tc>
        <w:tc>
          <w:tcPr>
            <w:tcW w:w="1693" w:type="dxa"/>
            <w:vMerge w:val="continue"/>
            <w:tcBorders>
              <w:top w:val="single" w:color="auto" w:sz="4" w:space="0"/>
              <w:left w:val="single" w:color="auto" w:sz="4" w:space="0"/>
              <w:bottom w:val="single" w:color="auto" w:sz="4" w:space="0"/>
              <w:right w:val="single" w:color="auto" w:sz="4" w:space="0"/>
            </w:tcBorders>
            <w:vAlign w:val="center"/>
          </w:tcPr>
          <w:p w14:paraId="720755AA">
            <w:pPr>
              <w:bidi w:val="0"/>
              <w:rPr>
                <w:rFonts w:hint="eastAsia"/>
              </w:rPr>
            </w:pPr>
          </w:p>
        </w:tc>
        <w:tc>
          <w:tcPr>
            <w:tcW w:w="3982" w:type="dxa"/>
            <w:vMerge w:val="continue"/>
            <w:tcBorders>
              <w:top w:val="single" w:color="auto" w:sz="4" w:space="0"/>
              <w:left w:val="single" w:color="auto" w:sz="4" w:space="0"/>
              <w:bottom w:val="single" w:color="auto" w:sz="4" w:space="0"/>
              <w:right w:val="single" w:color="auto" w:sz="4" w:space="0"/>
            </w:tcBorders>
            <w:vAlign w:val="center"/>
          </w:tcPr>
          <w:p w14:paraId="31CF9550">
            <w:pPr>
              <w:bidi w:val="0"/>
              <w:rPr>
                <w:rFonts w:hint="eastAsia"/>
              </w:rPr>
            </w:pPr>
          </w:p>
        </w:tc>
      </w:tr>
      <w:tr w14:paraId="655D9A28">
        <w:tblPrEx>
          <w:tblCellMar>
            <w:top w:w="0" w:type="dxa"/>
            <w:left w:w="108" w:type="dxa"/>
            <w:bottom w:w="0" w:type="dxa"/>
            <w:right w:w="108" w:type="dxa"/>
          </w:tblCellMar>
        </w:tblPrEx>
        <w:trPr>
          <w:trHeight w:val="468" w:hRule="atLeast"/>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619E1122">
            <w:pPr>
              <w:bidi w:val="0"/>
              <w:rPr>
                <w:rFonts w:hint="eastAsia"/>
              </w:rPr>
            </w:pPr>
          </w:p>
        </w:tc>
        <w:tc>
          <w:tcPr>
            <w:tcW w:w="2217" w:type="dxa"/>
            <w:vMerge w:val="continue"/>
            <w:tcBorders>
              <w:top w:val="single" w:color="auto" w:sz="4" w:space="0"/>
              <w:left w:val="single" w:color="auto" w:sz="4" w:space="0"/>
              <w:bottom w:val="single" w:color="auto" w:sz="4" w:space="0"/>
              <w:right w:val="single" w:color="auto" w:sz="4" w:space="0"/>
            </w:tcBorders>
            <w:vAlign w:val="center"/>
          </w:tcPr>
          <w:p w14:paraId="51FEA637">
            <w:pPr>
              <w:bidi w:val="0"/>
              <w:rPr>
                <w:rFonts w:hint="eastAsia"/>
              </w:rPr>
            </w:pPr>
          </w:p>
        </w:tc>
        <w:tc>
          <w:tcPr>
            <w:tcW w:w="1693" w:type="dxa"/>
            <w:vMerge w:val="continue"/>
            <w:tcBorders>
              <w:top w:val="single" w:color="auto" w:sz="4" w:space="0"/>
              <w:left w:val="single" w:color="auto" w:sz="4" w:space="0"/>
              <w:bottom w:val="single" w:color="auto" w:sz="4" w:space="0"/>
              <w:right w:val="single" w:color="auto" w:sz="4" w:space="0"/>
            </w:tcBorders>
            <w:vAlign w:val="center"/>
          </w:tcPr>
          <w:p w14:paraId="64E0DD88">
            <w:pPr>
              <w:bidi w:val="0"/>
              <w:rPr>
                <w:rFonts w:hint="eastAsia"/>
              </w:rPr>
            </w:pPr>
          </w:p>
        </w:tc>
        <w:tc>
          <w:tcPr>
            <w:tcW w:w="3982" w:type="dxa"/>
            <w:vMerge w:val="continue"/>
            <w:tcBorders>
              <w:top w:val="single" w:color="auto" w:sz="4" w:space="0"/>
              <w:left w:val="single" w:color="auto" w:sz="4" w:space="0"/>
              <w:bottom w:val="single" w:color="auto" w:sz="4" w:space="0"/>
              <w:right w:val="single" w:color="auto" w:sz="4" w:space="0"/>
            </w:tcBorders>
            <w:vAlign w:val="center"/>
          </w:tcPr>
          <w:p w14:paraId="34A6A3EF">
            <w:pPr>
              <w:bidi w:val="0"/>
              <w:rPr>
                <w:rFonts w:hint="eastAsia"/>
              </w:rPr>
            </w:pPr>
          </w:p>
        </w:tc>
      </w:tr>
      <w:tr w14:paraId="7537B6A8">
        <w:tblPrEx>
          <w:tblCellMar>
            <w:top w:w="0" w:type="dxa"/>
            <w:left w:w="108" w:type="dxa"/>
            <w:bottom w:w="0" w:type="dxa"/>
            <w:right w:w="108" w:type="dxa"/>
          </w:tblCellMar>
        </w:tblPrEx>
        <w:trPr>
          <w:trHeight w:val="870"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6081FAFA">
            <w:pPr>
              <w:bidi w:val="0"/>
              <w:rPr>
                <w:rFonts w:hint="eastAsia"/>
              </w:rPr>
            </w:pPr>
            <w:r>
              <w:rPr>
                <w:rFonts w:hint="eastAsia"/>
              </w:rPr>
              <w:t>1</w:t>
            </w:r>
          </w:p>
        </w:tc>
        <w:tc>
          <w:tcPr>
            <w:tcW w:w="2217" w:type="dxa"/>
            <w:tcBorders>
              <w:top w:val="nil"/>
              <w:left w:val="nil"/>
              <w:bottom w:val="single" w:color="auto" w:sz="4" w:space="0"/>
              <w:right w:val="single" w:color="auto" w:sz="4" w:space="0"/>
            </w:tcBorders>
            <w:shd w:val="clear" w:color="auto" w:fill="auto"/>
            <w:vAlign w:val="center"/>
          </w:tcPr>
          <w:p w14:paraId="417C6264">
            <w:pPr>
              <w:bidi w:val="0"/>
              <w:rPr>
                <w:rFonts w:hint="eastAsia"/>
              </w:rPr>
            </w:pPr>
            <w:r>
              <w:rPr>
                <w:rFonts w:hint="eastAsia"/>
              </w:rPr>
              <w:t>1提取未同步条盒码</w:t>
            </w:r>
          </w:p>
        </w:tc>
        <w:tc>
          <w:tcPr>
            <w:tcW w:w="1693" w:type="dxa"/>
            <w:tcBorders>
              <w:top w:val="nil"/>
              <w:left w:val="nil"/>
              <w:bottom w:val="single" w:color="auto" w:sz="4" w:space="0"/>
              <w:right w:val="single" w:color="auto" w:sz="4" w:space="0"/>
            </w:tcBorders>
            <w:shd w:val="clear" w:color="auto" w:fill="auto"/>
            <w:vAlign w:val="center"/>
          </w:tcPr>
          <w:p w14:paraId="564569D6">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55BBB0E7">
            <w:pPr>
              <w:bidi w:val="0"/>
              <w:rPr>
                <w:rFonts w:hint="eastAsia"/>
              </w:rPr>
            </w:pPr>
            <w:r>
              <w:rPr>
                <w:rFonts w:hint="eastAsia"/>
              </w:rPr>
              <w:t>根据代码中设置的定时时间，查询全部未上传的条盒二维码信息。</w:t>
            </w:r>
          </w:p>
        </w:tc>
      </w:tr>
      <w:tr w14:paraId="77B0CA96">
        <w:tblPrEx>
          <w:tblCellMar>
            <w:top w:w="0" w:type="dxa"/>
            <w:left w:w="108" w:type="dxa"/>
            <w:bottom w:w="0" w:type="dxa"/>
            <w:right w:w="108" w:type="dxa"/>
          </w:tblCellMar>
        </w:tblPrEx>
        <w:trPr>
          <w:trHeight w:val="612"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21BB2749">
            <w:pPr>
              <w:bidi w:val="0"/>
              <w:rPr>
                <w:rFonts w:hint="eastAsia"/>
              </w:rPr>
            </w:pPr>
            <w:r>
              <w:rPr>
                <w:rFonts w:hint="eastAsia"/>
              </w:rPr>
              <w:t>2</w:t>
            </w:r>
          </w:p>
        </w:tc>
        <w:tc>
          <w:tcPr>
            <w:tcW w:w="2217" w:type="dxa"/>
            <w:tcBorders>
              <w:top w:val="nil"/>
              <w:left w:val="nil"/>
              <w:bottom w:val="single" w:color="auto" w:sz="4" w:space="0"/>
              <w:right w:val="single" w:color="auto" w:sz="4" w:space="0"/>
            </w:tcBorders>
            <w:shd w:val="clear" w:color="auto" w:fill="auto"/>
            <w:vAlign w:val="center"/>
          </w:tcPr>
          <w:p w14:paraId="1D9C4915">
            <w:pPr>
              <w:bidi w:val="0"/>
              <w:rPr>
                <w:rFonts w:hint="eastAsia"/>
              </w:rPr>
            </w:pPr>
            <w:r>
              <w:rPr>
                <w:rFonts w:hint="eastAsia"/>
              </w:rPr>
              <w:t>2提取盒条关联数据</w:t>
            </w:r>
          </w:p>
        </w:tc>
        <w:tc>
          <w:tcPr>
            <w:tcW w:w="1693" w:type="dxa"/>
            <w:tcBorders>
              <w:top w:val="nil"/>
              <w:left w:val="nil"/>
              <w:bottom w:val="single" w:color="auto" w:sz="4" w:space="0"/>
              <w:right w:val="single" w:color="auto" w:sz="4" w:space="0"/>
            </w:tcBorders>
            <w:shd w:val="clear" w:color="auto" w:fill="auto"/>
            <w:vAlign w:val="center"/>
          </w:tcPr>
          <w:p w14:paraId="499FF8CE">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5C37CDF0">
            <w:pPr>
              <w:bidi w:val="0"/>
              <w:rPr>
                <w:rFonts w:hint="eastAsia"/>
              </w:rPr>
            </w:pPr>
            <w:r>
              <w:rPr>
                <w:rFonts w:hint="eastAsia"/>
              </w:rPr>
              <w:t>根据未上传记录中的条二维码查询其关联数据信息。</w:t>
            </w:r>
          </w:p>
        </w:tc>
      </w:tr>
      <w:tr w14:paraId="01FAC3D0">
        <w:tblPrEx>
          <w:tblCellMar>
            <w:top w:w="0" w:type="dxa"/>
            <w:left w:w="108" w:type="dxa"/>
            <w:bottom w:w="0" w:type="dxa"/>
            <w:right w:w="108" w:type="dxa"/>
          </w:tblCellMar>
        </w:tblPrEx>
        <w:trPr>
          <w:trHeight w:val="859"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6F30B680">
            <w:pPr>
              <w:bidi w:val="0"/>
              <w:rPr>
                <w:rFonts w:hint="eastAsia"/>
              </w:rPr>
            </w:pPr>
            <w:r>
              <w:rPr>
                <w:rFonts w:hint="eastAsia"/>
              </w:rPr>
              <w:t>3</w:t>
            </w:r>
          </w:p>
        </w:tc>
        <w:tc>
          <w:tcPr>
            <w:tcW w:w="2217" w:type="dxa"/>
            <w:tcBorders>
              <w:top w:val="nil"/>
              <w:left w:val="nil"/>
              <w:bottom w:val="single" w:color="auto" w:sz="4" w:space="0"/>
              <w:right w:val="single" w:color="auto" w:sz="4" w:space="0"/>
            </w:tcBorders>
            <w:shd w:val="clear" w:color="auto" w:fill="auto"/>
            <w:vAlign w:val="center"/>
          </w:tcPr>
          <w:p w14:paraId="3B6B48CF">
            <w:pPr>
              <w:bidi w:val="0"/>
              <w:rPr>
                <w:rFonts w:hint="eastAsia"/>
              </w:rPr>
            </w:pPr>
            <w:r>
              <w:rPr>
                <w:rFonts w:hint="eastAsia"/>
              </w:rPr>
              <w:t>3生成json格式</w:t>
            </w:r>
          </w:p>
        </w:tc>
        <w:tc>
          <w:tcPr>
            <w:tcW w:w="1693" w:type="dxa"/>
            <w:tcBorders>
              <w:top w:val="nil"/>
              <w:left w:val="nil"/>
              <w:bottom w:val="single" w:color="auto" w:sz="4" w:space="0"/>
              <w:right w:val="single" w:color="auto" w:sz="4" w:space="0"/>
            </w:tcBorders>
            <w:shd w:val="clear" w:color="auto" w:fill="auto"/>
            <w:vAlign w:val="center"/>
          </w:tcPr>
          <w:p w14:paraId="38BD26C6">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1F7D17BD">
            <w:pPr>
              <w:bidi w:val="0"/>
              <w:rPr>
                <w:rFonts w:hint="eastAsia"/>
              </w:rPr>
            </w:pPr>
            <w:r>
              <w:rPr>
                <w:rFonts w:hint="eastAsia"/>
              </w:rPr>
              <w:t>根据数据通道要求将“条盒”上传数据生成json格式。</w:t>
            </w:r>
          </w:p>
        </w:tc>
      </w:tr>
      <w:tr w14:paraId="1AA0AE45">
        <w:tblPrEx>
          <w:tblCellMar>
            <w:top w:w="0" w:type="dxa"/>
            <w:left w:w="108" w:type="dxa"/>
            <w:bottom w:w="0" w:type="dxa"/>
            <w:right w:w="108" w:type="dxa"/>
          </w:tblCellMar>
        </w:tblPrEx>
        <w:trPr>
          <w:trHeight w:val="1050"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3F5AC5AA">
            <w:pPr>
              <w:bidi w:val="0"/>
              <w:rPr>
                <w:rFonts w:hint="eastAsia"/>
              </w:rPr>
            </w:pPr>
            <w:r>
              <w:rPr>
                <w:rFonts w:hint="eastAsia"/>
              </w:rPr>
              <w:t>4</w:t>
            </w:r>
          </w:p>
        </w:tc>
        <w:tc>
          <w:tcPr>
            <w:tcW w:w="2217" w:type="dxa"/>
            <w:tcBorders>
              <w:top w:val="nil"/>
              <w:left w:val="nil"/>
              <w:bottom w:val="single" w:color="auto" w:sz="4" w:space="0"/>
              <w:right w:val="single" w:color="auto" w:sz="4" w:space="0"/>
            </w:tcBorders>
            <w:shd w:val="clear" w:color="auto" w:fill="auto"/>
            <w:vAlign w:val="center"/>
          </w:tcPr>
          <w:p w14:paraId="5D5DE4BF">
            <w:pPr>
              <w:bidi w:val="0"/>
              <w:rPr>
                <w:rFonts w:hint="eastAsia"/>
              </w:rPr>
            </w:pPr>
            <w:r>
              <w:rPr>
                <w:rFonts w:hint="eastAsia"/>
              </w:rPr>
              <w:t>4调用上传接口</w:t>
            </w:r>
          </w:p>
        </w:tc>
        <w:tc>
          <w:tcPr>
            <w:tcW w:w="1693" w:type="dxa"/>
            <w:tcBorders>
              <w:top w:val="nil"/>
              <w:left w:val="nil"/>
              <w:bottom w:val="single" w:color="auto" w:sz="4" w:space="0"/>
              <w:right w:val="single" w:color="auto" w:sz="4" w:space="0"/>
            </w:tcBorders>
            <w:shd w:val="clear" w:color="auto" w:fill="auto"/>
            <w:vAlign w:val="center"/>
          </w:tcPr>
          <w:p w14:paraId="2BD55666">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1F512D0F">
            <w:pPr>
              <w:bidi w:val="0"/>
              <w:rPr>
                <w:rFonts w:hint="eastAsia"/>
              </w:rPr>
            </w:pPr>
            <w:r>
              <w:rPr>
                <w:rFonts w:hint="eastAsia"/>
              </w:rPr>
              <w:t>“盒条”关联现场管理子系统调用数据通道数据上传接口。</w:t>
            </w:r>
          </w:p>
        </w:tc>
      </w:tr>
      <w:tr w14:paraId="33F6E156">
        <w:tblPrEx>
          <w:tblCellMar>
            <w:top w:w="0" w:type="dxa"/>
            <w:left w:w="108" w:type="dxa"/>
            <w:bottom w:w="0" w:type="dxa"/>
            <w:right w:w="108" w:type="dxa"/>
          </w:tblCellMar>
        </w:tblPrEx>
        <w:trPr>
          <w:trHeight w:val="1069"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3A1CB273">
            <w:pPr>
              <w:bidi w:val="0"/>
              <w:rPr>
                <w:rFonts w:hint="eastAsia"/>
              </w:rPr>
            </w:pPr>
            <w:r>
              <w:rPr>
                <w:rFonts w:hint="eastAsia"/>
              </w:rPr>
              <w:t>5</w:t>
            </w:r>
          </w:p>
        </w:tc>
        <w:tc>
          <w:tcPr>
            <w:tcW w:w="2217" w:type="dxa"/>
            <w:tcBorders>
              <w:top w:val="nil"/>
              <w:left w:val="nil"/>
              <w:bottom w:val="single" w:color="auto" w:sz="4" w:space="0"/>
              <w:right w:val="single" w:color="auto" w:sz="4" w:space="0"/>
            </w:tcBorders>
            <w:shd w:val="clear" w:color="auto" w:fill="auto"/>
            <w:vAlign w:val="center"/>
          </w:tcPr>
          <w:p w14:paraId="201C6929">
            <w:pPr>
              <w:bidi w:val="0"/>
              <w:rPr>
                <w:rFonts w:hint="eastAsia"/>
              </w:rPr>
            </w:pPr>
            <w:r>
              <w:rPr>
                <w:rFonts w:hint="eastAsia"/>
              </w:rPr>
              <w:t>5写入消息队列</w:t>
            </w:r>
          </w:p>
        </w:tc>
        <w:tc>
          <w:tcPr>
            <w:tcW w:w="1693" w:type="dxa"/>
            <w:tcBorders>
              <w:top w:val="nil"/>
              <w:left w:val="nil"/>
              <w:bottom w:val="single" w:color="auto" w:sz="4" w:space="0"/>
              <w:right w:val="single" w:color="auto" w:sz="4" w:space="0"/>
            </w:tcBorders>
            <w:shd w:val="clear" w:color="auto" w:fill="auto"/>
            <w:vAlign w:val="center"/>
          </w:tcPr>
          <w:p w14:paraId="247DA5BC">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62CEC177">
            <w:pPr>
              <w:bidi w:val="0"/>
              <w:rPr>
                <w:rFonts w:hint="eastAsia"/>
              </w:rPr>
            </w:pPr>
            <w:r>
              <w:rPr>
                <w:rFonts w:hint="eastAsia"/>
              </w:rPr>
              <w:t>数据通道将上传信息写入消息队列中。</w:t>
            </w:r>
          </w:p>
        </w:tc>
      </w:tr>
      <w:tr w14:paraId="23DEA340">
        <w:tblPrEx>
          <w:tblCellMar>
            <w:top w:w="0" w:type="dxa"/>
            <w:left w:w="108" w:type="dxa"/>
            <w:bottom w:w="0" w:type="dxa"/>
            <w:right w:w="108" w:type="dxa"/>
          </w:tblCellMar>
        </w:tblPrEx>
        <w:trPr>
          <w:trHeight w:val="1069"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7A34719B">
            <w:pPr>
              <w:bidi w:val="0"/>
              <w:rPr>
                <w:rFonts w:hint="eastAsia"/>
              </w:rPr>
            </w:pPr>
            <w:r>
              <w:rPr>
                <w:rFonts w:hint="eastAsia"/>
              </w:rPr>
              <w:t>6</w:t>
            </w:r>
          </w:p>
        </w:tc>
        <w:tc>
          <w:tcPr>
            <w:tcW w:w="2217" w:type="dxa"/>
            <w:tcBorders>
              <w:top w:val="nil"/>
              <w:left w:val="nil"/>
              <w:bottom w:val="single" w:color="auto" w:sz="4" w:space="0"/>
              <w:right w:val="single" w:color="auto" w:sz="4" w:space="0"/>
            </w:tcBorders>
            <w:shd w:val="clear" w:color="auto" w:fill="auto"/>
            <w:vAlign w:val="center"/>
          </w:tcPr>
          <w:p w14:paraId="76D24F4D">
            <w:pPr>
              <w:bidi w:val="0"/>
              <w:rPr>
                <w:rFonts w:hint="eastAsia"/>
              </w:rPr>
            </w:pPr>
            <w:r>
              <w:rPr>
                <w:rFonts w:hint="eastAsia"/>
              </w:rPr>
              <w:t>6“盒条件”数据汇聚</w:t>
            </w:r>
          </w:p>
        </w:tc>
        <w:tc>
          <w:tcPr>
            <w:tcW w:w="1693" w:type="dxa"/>
            <w:tcBorders>
              <w:top w:val="nil"/>
              <w:left w:val="nil"/>
              <w:bottom w:val="single" w:color="auto" w:sz="4" w:space="0"/>
              <w:right w:val="single" w:color="auto" w:sz="4" w:space="0"/>
            </w:tcBorders>
            <w:shd w:val="clear" w:color="auto" w:fill="auto"/>
            <w:vAlign w:val="center"/>
          </w:tcPr>
          <w:p w14:paraId="49DBA396">
            <w:pPr>
              <w:bidi w:val="0"/>
              <w:rPr>
                <w:rFonts w:hint="eastAsia"/>
              </w:rPr>
            </w:pPr>
            <w:r>
              <w:rPr>
                <w:rFonts w:hint="eastAsia"/>
              </w:rPr>
              <w:t>作业流程</w:t>
            </w:r>
          </w:p>
        </w:tc>
        <w:tc>
          <w:tcPr>
            <w:tcW w:w="3982" w:type="dxa"/>
            <w:tcBorders>
              <w:top w:val="nil"/>
              <w:left w:val="nil"/>
              <w:bottom w:val="single" w:color="auto" w:sz="4" w:space="0"/>
              <w:right w:val="single" w:color="auto" w:sz="4" w:space="0"/>
            </w:tcBorders>
            <w:shd w:val="clear" w:color="auto" w:fill="auto"/>
            <w:vAlign w:val="center"/>
          </w:tcPr>
          <w:p w14:paraId="01389ED0">
            <w:pPr>
              <w:bidi w:val="0"/>
              <w:rPr>
                <w:rFonts w:hint="eastAsia"/>
              </w:rPr>
            </w:pPr>
            <w:r>
              <w:rPr>
                <w:rFonts w:hint="eastAsia"/>
              </w:rPr>
              <w:t>“盒条件”关联厂级管理子系统从现场管理子系统汇集“条盒”关联数据以及“条件”关联数据。</w:t>
            </w:r>
          </w:p>
        </w:tc>
      </w:tr>
      <w:tr w14:paraId="5AEF3F93">
        <w:tblPrEx>
          <w:tblCellMar>
            <w:top w:w="0" w:type="dxa"/>
            <w:left w:w="108" w:type="dxa"/>
            <w:bottom w:w="0" w:type="dxa"/>
            <w:right w:w="108" w:type="dxa"/>
          </w:tblCellMar>
        </w:tblPrEx>
        <w:trPr>
          <w:trHeight w:val="672"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19CF9D09">
            <w:pPr>
              <w:bidi w:val="0"/>
              <w:rPr>
                <w:rFonts w:hint="eastAsia"/>
              </w:rPr>
            </w:pPr>
            <w:r>
              <w:rPr>
                <w:rFonts w:hint="eastAsia"/>
              </w:rPr>
              <w:t>7</w:t>
            </w:r>
          </w:p>
        </w:tc>
        <w:tc>
          <w:tcPr>
            <w:tcW w:w="2217" w:type="dxa"/>
            <w:tcBorders>
              <w:top w:val="nil"/>
              <w:left w:val="nil"/>
              <w:bottom w:val="single" w:color="auto" w:sz="4" w:space="0"/>
              <w:right w:val="single" w:color="auto" w:sz="4" w:space="0"/>
            </w:tcBorders>
            <w:shd w:val="clear" w:color="auto" w:fill="auto"/>
            <w:vAlign w:val="center"/>
          </w:tcPr>
          <w:p w14:paraId="0FB8793C">
            <w:pPr>
              <w:bidi w:val="0"/>
              <w:rPr>
                <w:rFonts w:hint="eastAsia"/>
              </w:rPr>
            </w:pPr>
            <w:r>
              <w:rPr>
                <w:rFonts w:hint="eastAsia"/>
              </w:rPr>
              <w:t>7反馈写入结果</w:t>
            </w:r>
          </w:p>
        </w:tc>
        <w:tc>
          <w:tcPr>
            <w:tcW w:w="1693" w:type="dxa"/>
            <w:tcBorders>
              <w:top w:val="nil"/>
              <w:left w:val="nil"/>
              <w:bottom w:val="single" w:color="auto" w:sz="4" w:space="0"/>
              <w:right w:val="single" w:color="auto" w:sz="4" w:space="0"/>
            </w:tcBorders>
            <w:shd w:val="clear" w:color="auto" w:fill="auto"/>
            <w:vAlign w:val="center"/>
          </w:tcPr>
          <w:p w14:paraId="53662618">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299C61D3">
            <w:pPr>
              <w:bidi w:val="0"/>
              <w:rPr>
                <w:rFonts w:hint="eastAsia"/>
              </w:rPr>
            </w:pPr>
            <w:r>
              <w:rPr>
                <w:rFonts w:hint="eastAsia"/>
              </w:rPr>
              <w:t>数据通道获取写入队列是否成功的结果。</w:t>
            </w:r>
          </w:p>
        </w:tc>
      </w:tr>
      <w:tr w14:paraId="5477C3CC">
        <w:tblPrEx>
          <w:tblCellMar>
            <w:top w:w="0" w:type="dxa"/>
            <w:left w:w="108" w:type="dxa"/>
            <w:bottom w:w="0" w:type="dxa"/>
            <w:right w:w="108" w:type="dxa"/>
          </w:tblCellMar>
        </w:tblPrEx>
        <w:trPr>
          <w:trHeight w:val="870"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7BBB1BE4">
            <w:pPr>
              <w:bidi w:val="0"/>
              <w:rPr>
                <w:rFonts w:hint="eastAsia"/>
              </w:rPr>
            </w:pPr>
            <w:r>
              <w:rPr>
                <w:rFonts w:hint="eastAsia"/>
              </w:rPr>
              <w:t>8</w:t>
            </w:r>
          </w:p>
        </w:tc>
        <w:tc>
          <w:tcPr>
            <w:tcW w:w="2217" w:type="dxa"/>
            <w:tcBorders>
              <w:top w:val="nil"/>
              <w:left w:val="nil"/>
              <w:bottom w:val="single" w:color="auto" w:sz="4" w:space="0"/>
              <w:right w:val="single" w:color="auto" w:sz="4" w:space="0"/>
            </w:tcBorders>
            <w:shd w:val="clear" w:color="auto" w:fill="auto"/>
            <w:vAlign w:val="center"/>
          </w:tcPr>
          <w:p w14:paraId="5A58FF24">
            <w:pPr>
              <w:bidi w:val="0"/>
              <w:rPr>
                <w:rFonts w:hint="eastAsia"/>
              </w:rPr>
            </w:pPr>
            <w:r>
              <w:rPr>
                <w:rFonts w:hint="eastAsia"/>
              </w:rPr>
              <w:t>8接收反馈结果</w:t>
            </w:r>
          </w:p>
        </w:tc>
        <w:tc>
          <w:tcPr>
            <w:tcW w:w="1693" w:type="dxa"/>
            <w:tcBorders>
              <w:top w:val="nil"/>
              <w:left w:val="nil"/>
              <w:bottom w:val="single" w:color="auto" w:sz="4" w:space="0"/>
              <w:right w:val="single" w:color="auto" w:sz="4" w:space="0"/>
            </w:tcBorders>
            <w:shd w:val="clear" w:color="auto" w:fill="auto"/>
            <w:vAlign w:val="center"/>
          </w:tcPr>
          <w:p w14:paraId="180C9159">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73A15CC4">
            <w:pPr>
              <w:bidi w:val="0"/>
              <w:rPr>
                <w:rFonts w:hint="eastAsia"/>
              </w:rPr>
            </w:pPr>
            <w:r>
              <w:rPr>
                <w:rFonts w:hint="eastAsia"/>
              </w:rPr>
              <w:t>“盒条”关联现场管理子系统接收接口调用情况以及数据写入队列情况。</w:t>
            </w:r>
          </w:p>
        </w:tc>
      </w:tr>
      <w:tr w14:paraId="4C4A3799">
        <w:tblPrEx>
          <w:tblCellMar>
            <w:top w:w="0" w:type="dxa"/>
            <w:left w:w="108" w:type="dxa"/>
            <w:bottom w:w="0" w:type="dxa"/>
            <w:right w:w="108" w:type="dxa"/>
          </w:tblCellMar>
        </w:tblPrEx>
        <w:trPr>
          <w:trHeight w:val="900"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08727EEB">
            <w:pPr>
              <w:bidi w:val="0"/>
              <w:rPr>
                <w:rFonts w:hint="eastAsia"/>
              </w:rPr>
            </w:pPr>
            <w:r>
              <w:rPr>
                <w:rFonts w:hint="eastAsia"/>
              </w:rPr>
              <w:t>9</w:t>
            </w:r>
          </w:p>
        </w:tc>
        <w:tc>
          <w:tcPr>
            <w:tcW w:w="2217" w:type="dxa"/>
            <w:tcBorders>
              <w:top w:val="nil"/>
              <w:left w:val="nil"/>
              <w:bottom w:val="single" w:color="auto" w:sz="4" w:space="0"/>
              <w:right w:val="single" w:color="auto" w:sz="4" w:space="0"/>
            </w:tcBorders>
            <w:shd w:val="clear" w:color="auto" w:fill="auto"/>
            <w:vAlign w:val="center"/>
          </w:tcPr>
          <w:p w14:paraId="6B6220B6">
            <w:pPr>
              <w:bidi w:val="0"/>
              <w:rPr>
                <w:rFonts w:hint="eastAsia"/>
              </w:rPr>
            </w:pPr>
            <w:r>
              <w:rPr>
                <w:rFonts w:hint="eastAsia"/>
              </w:rPr>
              <w:t>9更新条码状态</w:t>
            </w:r>
          </w:p>
        </w:tc>
        <w:tc>
          <w:tcPr>
            <w:tcW w:w="1693" w:type="dxa"/>
            <w:tcBorders>
              <w:top w:val="nil"/>
              <w:left w:val="nil"/>
              <w:bottom w:val="single" w:color="auto" w:sz="4" w:space="0"/>
              <w:right w:val="single" w:color="auto" w:sz="4" w:space="0"/>
            </w:tcBorders>
            <w:shd w:val="clear" w:color="auto" w:fill="auto"/>
            <w:vAlign w:val="center"/>
          </w:tcPr>
          <w:p w14:paraId="13C866E9">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7AB48F40">
            <w:pPr>
              <w:bidi w:val="0"/>
              <w:rPr>
                <w:rFonts w:hint="eastAsia"/>
              </w:rPr>
            </w:pPr>
            <w:r>
              <w:rPr>
                <w:rFonts w:hint="eastAsia"/>
              </w:rPr>
              <w:t>数据上传成功时，更新条码上传状态为成功上传。</w:t>
            </w:r>
          </w:p>
        </w:tc>
      </w:tr>
      <w:tr w14:paraId="0EF2EF68">
        <w:tblPrEx>
          <w:tblCellMar>
            <w:top w:w="0" w:type="dxa"/>
            <w:left w:w="108" w:type="dxa"/>
            <w:bottom w:w="0" w:type="dxa"/>
            <w:right w:w="108" w:type="dxa"/>
          </w:tblCellMar>
        </w:tblPrEx>
        <w:trPr>
          <w:trHeight w:val="720" w:hRule="atLeast"/>
        </w:trPr>
        <w:tc>
          <w:tcPr>
            <w:tcW w:w="693" w:type="dxa"/>
            <w:tcBorders>
              <w:top w:val="nil"/>
              <w:left w:val="single" w:color="auto" w:sz="4" w:space="0"/>
              <w:bottom w:val="single" w:color="auto" w:sz="4" w:space="0"/>
              <w:right w:val="single" w:color="auto" w:sz="4" w:space="0"/>
            </w:tcBorders>
            <w:shd w:val="clear" w:color="auto" w:fill="auto"/>
            <w:vAlign w:val="center"/>
          </w:tcPr>
          <w:p w14:paraId="57D9FCB9">
            <w:pPr>
              <w:bidi w:val="0"/>
              <w:rPr>
                <w:rFonts w:hint="eastAsia"/>
              </w:rPr>
            </w:pPr>
            <w:r>
              <w:rPr>
                <w:rFonts w:hint="eastAsia"/>
              </w:rPr>
              <w:t>10</w:t>
            </w:r>
          </w:p>
        </w:tc>
        <w:tc>
          <w:tcPr>
            <w:tcW w:w="2217" w:type="dxa"/>
            <w:tcBorders>
              <w:top w:val="nil"/>
              <w:left w:val="nil"/>
              <w:bottom w:val="single" w:color="auto" w:sz="4" w:space="0"/>
              <w:right w:val="single" w:color="auto" w:sz="4" w:space="0"/>
            </w:tcBorders>
            <w:shd w:val="clear" w:color="auto" w:fill="auto"/>
            <w:vAlign w:val="center"/>
          </w:tcPr>
          <w:p w14:paraId="4E2A4496">
            <w:pPr>
              <w:bidi w:val="0"/>
              <w:rPr>
                <w:rFonts w:hint="eastAsia"/>
              </w:rPr>
            </w:pPr>
            <w:r>
              <w:rPr>
                <w:rFonts w:hint="eastAsia"/>
              </w:rPr>
              <w:t>10记录失败条码并更新条码状态</w:t>
            </w:r>
          </w:p>
        </w:tc>
        <w:tc>
          <w:tcPr>
            <w:tcW w:w="1693" w:type="dxa"/>
            <w:tcBorders>
              <w:top w:val="nil"/>
              <w:left w:val="nil"/>
              <w:bottom w:val="single" w:color="auto" w:sz="4" w:space="0"/>
              <w:right w:val="single" w:color="auto" w:sz="4" w:space="0"/>
            </w:tcBorders>
            <w:shd w:val="clear" w:color="auto" w:fill="auto"/>
            <w:vAlign w:val="center"/>
          </w:tcPr>
          <w:p w14:paraId="2B5AEAC4">
            <w:pPr>
              <w:bidi w:val="0"/>
              <w:rPr>
                <w:rFonts w:hint="eastAsia"/>
              </w:rPr>
            </w:pPr>
            <w:r>
              <w:rPr>
                <w:rFonts w:hint="eastAsia"/>
              </w:rPr>
              <w:t>操作</w:t>
            </w:r>
          </w:p>
        </w:tc>
        <w:tc>
          <w:tcPr>
            <w:tcW w:w="3982" w:type="dxa"/>
            <w:tcBorders>
              <w:top w:val="nil"/>
              <w:left w:val="nil"/>
              <w:bottom w:val="single" w:color="auto" w:sz="4" w:space="0"/>
              <w:right w:val="single" w:color="auto" w:sz="4" w:space="0"/>
            </w:tcBorders>
            <w:shd w:val="clear" w:color="auto" w:fill="auto"/>
            <w:vAlign w:val="center"/>
          </w:tcPr>
          <w:p w14:paraId="3B502517">
            <w:pPr>
              <w:bidi w:val="0"/>
              <w:rPr>
                <w:rFonts w:hint="eastAsia"/>
              </w:rPr>
            </w:pPr>
            <w:r>
              <w:rPr>
                <w:rFonts w:hint="eastAsia"/>
              </w:rPr>
              <w:t>在上传失败次数大于上限时，将上传失败数据进行保存,并更新条码上传状态为上传失败。</w:t>
            </w:r>
          </w:p>
        </w:tc>
      </w:tr>
    </w:tbl>
    <w:p w14:paraId="29C1E226">
      <w:pPr>
        <w:bidi w:val="0"/>
        <w:rPr>
          <w:rFonts w:hint="eastAsia"/>
        </w:rPr>
      </w:pPr>
    </w:p>
    <w:p w14:paraId="20CF35CF">
      <w:pPr>
        <w:pStyle w:val="12"/>
        <w:bidi w:val="0"/>
        <w:rPr>
          <w:rFonts w:hint="eastAsia"/>
        </w:rPr>
      </w:pPr>
      <w:bookmarkStart w:id="125" w:name="_Toc9800"/>
      <w:bookmarkStart w:id="126" w:name="_Toc10140"/>
      <w:bookmarkStart w:id="127" w:name="_Toc13502"/>
      <w:bookmarkStart w:id="128" w:name="_Toc2107803120"/>
      <w:r>
        <w:rPr>
          <w:rFonts w:hint="eastAsia"/>
        </w:rPr>
        <w:t>设备监控</w:t>
      </w:r>
      <w:bookmarkEnd w:id="125"/>
      <w:bookmarkEnd w:id="126"/>
      <w:bookmarkEnd w:id="127"/>
      <w:bookmarkEnd w:id="128"/>
    </w:p>
    <w:p w14:paraId="2711E809">
      <w:pPr>
        <w:bidi w:val="0"/>
        <w:rPr>
          <w:rFonts w:hint="eastAsia"/>
        </w:rPr>
      </w:pPr>
      <w:r>
        <w:drawing>
          <wp:inline distT="0" distB="0" distL="0" distR="0">
            <wp:extent cx="5252720" cy="8102600"/>
            <wp:effectExtent l="0" t="0" r="5080" b="1270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52720" cy="8102600"/>
                    </a:xfrm>
                    <a:prstGeom prst="rect">
                      <a:avLst/>
                    </a:prstGeom>
                    <a:noFill/>
                    <a:ln>
                      <a:noFill/>
                    </a:ln>
                  </pic:spPr>
                </pic:pic>
              </a:graphicData>
            </a:graphic>
          </wp:inline>
        </w:drawing>
      </w:r>
    </w:p>
    <w:p w14:paraId="660776F3">
      <w:pPr>
        <w:bidi w:val="0"/>
        <w:rPr>
          <w:rFonts w:hint="eastAsia"/>
        </w:rPr>
      </w:pPr>
    </w:p>
    <w:tbl>
      <w:tblPr>
        <w:tblStyle w:val="43"/>
        <w:tblW w:w="9915" w:type="dxa"/>
        <w:jc w:val="center"/>
        <w:tblLayout w:type="autofit"/>
        <w:tblCellMar>
          <w:top w:w="0" w:type="dxa"/>
          <w:left w:w="108" w:type="dxa"/>
          <w:bottom w:w="0" w:type="dxa"/>
          <w:right w:w="108" w:type="dxa"/>
        </w:tblCellMar>
      </w:tblPr>
      <w:tblGrid>
        <w:gridCol w:w="693"/>
        <w:gridCol w:w="2220"/>
        <w:gridCol w:w="1695"/>
        <w:gridCol w:w="5307"/>
      </w:tblGrid>
      <w:tr w14:paraId="1E1AA09B">
        <w:tblPrEx>
          <w:tblCellMar>
            <w:top w:w="0" w:type="dxa"/>
            <w:left w:w="108" w:type="dxa"/>
            <w:bottom w:w="0" w:type="dxa"/>
            <w:right w:w="108" w:type="dxa"/>
          </w:tblCellMar>
        </w:tblPrEx>
        <w:trPr>
          <w:trHeight w:val="652" w:hRule="atLeast"/>
          <w:jc w:val="center"/>
        </w:trPr>
        <w:tc>
          <w:tcPr>
            <w:tcW w:w="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08066CE9">
            <w:pPr>
              <w:bidi w:val="0"/>
              <w:rPr>
                <w:rFonts w:hint="eastAsia"/>
              </w:rPr>
            </w:pPr>
            <w:r>
              <w:rPr>
                <w:rFonts w:hint="eastAsia"/>
              </w:rPr>
              <w:t>序号</w:t>
            </w:r>
          </w:p>
        </w:tc>
        <w:tc>
          <w:tcPr>
            <w:tcW w:w="222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EBFD71B">
            <w:pPr>
              <w:bidi w:val="0"/>
              <w:rPr>
                <w:rFonts w:hint="eastAsia"/>
              </w:rPr>
            </w:pPr>
            <w:r>
              <w:rPr>
                <w:rFonts w:hint="eastAsia"/>
              </w:rPr>
              <w:t>节点名称</w:t>
            </w:r>
          </w:p>
        </w:tc>
        <w:tc>
          <w:tcPr>
            <w:tcW w:w="1695"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70C3739">
            <w:pPr>
              <w:bidi w:val="0"/>
              <w:rPr>
                <w:rFonts w:hint="eastAsia"/>
              </w:rPr>
            </w:pPr>
            <w:r>
              <w:rPr>
                <w:rFonts w:hint="eastAsia"/>
              </w:rPr>
              <w:t>节点类型（操作/作业流程/示意流程）</w:t>
            </w:r>
          </w:p>
        </w:tc>
        <w:tc>
          <w:tcPr>
            <w:tcW w:w="5307"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643CF2B5">
            <w:pPr>
              <w:bidi w:val="0"/>
              <w:rPr>
                <w:rFonts w:hint="eastAsia"/>
              </w:rPr>
            </w:pPr>
            <w:r>
              <w:rPr>
                <w:rFonts w:hint="eastAsia"/>
              </w:rPr>
              <w:t>节点描述（如何做）</w:t>
            </w:r>
          </w:p>
        </w:tc>
      </w:tr>
      <w:tr w14:paraId="0D3465FB">
        <w:tblPrEx>
          <w:tblCellMar>
            <w:top w:w="0" w:type="dxa"/>
            <w:left w:w="108" w:type="dxa"/>
            <w:bottom w:w="0" w:type="dxa"/>
            <w:right w:w="108" w:type="dxa"/>
          </w:tblCellMar>
        </w:tblPrEx>
        <w:trPr>
          <w:trHeight w:val="480"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6BF56997">
            <w:pPr>
              <w:bidi w:val="0"/>
              <w:rPr>
                <w:rFonts w:hint="eastAsia"/>
              </w:rPr>
            </w:pPr>
          </w:p>
        </w:tc>
        <w:tc>
          <w:tcPr>
            <w:tcW w:w="2220" w:type="dxa"/>
            <w:vMerge w:val="continue"/>
            <w:tcBorders>
              <w:top w:val="single" w:color="auto" w:sz="4" w:space="0"/>
              <w:left w:val="single" w:color="auto" w:sz="4" w:space="0"/>
              <w:bottom w:val="single" w:color="auto" w:sz="4" w:space="0"/>
              <w:right w:val="single" w:color="auto" w:sz="4" w:space="0"/>
            </w:tcBorders>
            <w:vAlign w:val="center"/>
          </w:tcPr>
          <w:p w14:paraId="21EC47F0">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095E848E">
            <w:pPr>
              <w:bidi w:val="0"/>
              <w:rPr>
                <w:rFonts w:hint="eastAsia"/>
              </w:rPr>
            </w:pPr>
          </w:p>
        </w:tc>
        <w:tc>
          <w:tcPr>
            <w:tcW w:w="5307" w:type="dxa"/>
            <w:vMerge w:val="continue"/>
            <w:tcBorders>
              <w:top w:val="single" w:color="auto" w:sz="4" w:space="0"/>
              <w:left w:val="single" w:color="auto" w:sz="4" w:space="0"/>
              <w:bottom w:val="single" w:color="auto" w:sz="4" w:space="0"/>
              <w:right w:val="single" w:color="auto" w:sz="4" w:space="0"/>
            </w:tcBorders>
            <w:vAlign w:val="center"/>
          </w:tcPr>
          <w:p w14:paraId="5F0426D6">
            <w:pPr>
              <w:bidi w:val="0"/>
              <w:rPr>
                <w:rFonts w:hint="eastAsia"/>
              </w:rPr>
            </w:pPr>
          </w:p>
        </w:tc>
      </w:tr>
      <w:tr w14:paraId="79E766D1">
        <w:tblPrEx>
          <w:tblCellMar>
            <w:top w:w="0" w:type="dxa"/>
            <w:left w:w="108" w:type="dxa"/>
            <w:bottom w:w="0" w:type="dxa"/>
            <w:right w:w="108" w:type="dxa"/>
          </w:tblCellMar>
        </w:tblPrEx>
        <w:trPr>
          <w:trHeight w:val="468"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506D4133">
            <w:pPr>
              <w:bidi w:val="0"/>
              <w:rPr>
                <w:rFonts w:hint="eastAsia"/>
              </w:rPr>
            </w:pPr>
          </w:p>
        </w:tc>
        <w:tc>
          <w:tcPr>
            <w:tcW w:w="2220" w:type="dxa"/>
            <w:vMerge w:val="continue"/>
            <w:tcBorders>
              <w:top w:val="single" w:color="auto" w:sz="4" w:space="0"/>
              <w:left w:val="single" w:color="auto" w:sz="4" w:space="0"/>
              <w:bottom w:val="single" w:color="auto" w:sz="4" w:space="0"/>
              <w:right w:val="single" w:color="auto" w:sz="4" w:space="0"/>
            </w:tcBorders>
            <w:vAlign w:val="center"/>
          </w:tcPr>
          <w:p w14:paraId="280449E4">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4823DE6F">
            <w:pPr>
              <w:bidi w:val="0"/>
              <w:rPr>
                <w:rFonts w:hint="eastAsia"/>
              </w:rPr>
            </w:pPr>
          </w:p>
        </w:tc>
        <w:tc>
          <w:tcPr>
            <w:tcW w:w="5307" w:type="dxa"/>
            <w:vMerge w:val="continue"/>
            <w:tcBorders>
              <w:top w:val="single" w:color="auto" w:sz="4" w:space="0"/>
              <w:left w:val="single" w:color="auto" w:sz="4" w:space="0"/>
              <w:bottom w:val="single" w:color="auto" w:sz="4" w:space="0"/>
              <w:right w:val="single" w:color="auto" w:sz="4" w:space="0"/>
            </w:tcBorders>
            <w:vAlign w:val="center"/>
          </w:tcPr>
          <w:p w14:paraId="679D2B7F">
            <w:pPr>
              <w:bidi w:val="0"/>
              <w:rPr>
                <w:rFonts w:hint="eastAsia"/>
              </w:rPr>
            </w:pPr>
          </w:p>
        </w:tc>
      </w:tr>
      <w:tr w14:paraId="571CA360">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6197894">
            <w:pPr>
              <w:bidi w:val="0"/>
              <w:rPr>
                <w:rFonts w:hint="eastAsia"/>
              </w:rPr>
            </w:pPr>
            <w:r>
              <w:rPr>
                <w:rFonts w:hint="eastAsia"/>
              </w:rPr>
              <w:t>1</w:t>
            </w:r>
          </w:p>
        </w:tc>
        <w:tc>
          <w:tcPr>
            <w:tcW w:w="2220" w:type="dxa"/>
            <w:tcBorders>
              <w:top w:val="nil"/>
              <w:left w:val="nil"/>
              <w:bottom w:val="single" w:color="auto" w:sz="4" w:space="0"/>
              <w:right w:val="single" w:color="auto" w:sz="4" w:space="0"/>
            </w:tcBorders>
            <w:shd w:val="clear" w:color="auto" w:fill="auto"/>
            <w:vAlign w:val="center"/>
          </w:tcPr>
          <w:p w14:paraId="403F7DF3">
            <w:pPr>
              <w:bidi w:val="0"/>
              <w:rPr>
                <w:rFonts w:hint="eastAsia"/>
              </w:rPr>
            </w:pPr>
            <w:r>
              <w:rPr>
                <w:rFonts w:hint="eastAsia"/>
              </w:rPr>
              <w:t>1 机型集成方案配置</w:t>
            </w:r>
          </w:p>
        </w:tc>
        <w:tc>
          <w:tcPr>
            <w:tcW w:w="1695" w:type="dxa"/>
            <w:tcBorders>
              <w:top w:val="nil"/>
              <w:left w:val="nil"/>
              <w:bottom w:val="single" w:color="auto" w:sz="4" w:space="0"/>
              <w:right w:val="single" w:color="auto" w:sz="4" w:space="0"/>
            </w:tcBorders>
            <w:shd w:val="clear" w:color="auto" w:fill="auto"/>
            <w:vAlign w:val="center"/>
          </w:tcPr>
          <w:p w14:paraId="04CBB54C">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649CF2F">
            <w:pPr>
              <w:bidi w:val="0"/>
              <w:rPr>
                <w:rFonts w:hint="eastAsia"/>
              </w:rPr>
            </w:pPr>
            <w:r>
              <w:rPr>
                <w:rFonts w:hint="eastAsia"/>
              </w:rPr>
              <w:t>系统在调试模式下，需要进行机型集成方案配置，也就是导入此机型的方案算法库以及一些动态的配置</w:t>
            </w:r>
          </w:p>
        </w:tc>
      </w:tr>
      <w:tr w14:paraId="68803D3D">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5FE7A3C">
            <w:pPr>
              <w:bidi w:val="0"/>
              <w:rPr>
                <w:rFonts w:hint="eastAsia"/>
              </w:rPr>
            </w:pPr>
            <w:r>
              <w:rPr>
                <w:rFonts w:hint="eastAsia"/>
              </w:rPr>
              <w:t>2</w:t>
            </w:r>
          </w:p>
        </w:tc>
        <w:tc>
          <w:tcPr>
            <w:tcW w:w="2220" w:type="dxa"/>
            <w:tcBorders>
              <w:top w:val="nil"/>
              <w:left w:val="nil"/>
              <w:bottom w:val="single" w:color="auto" w:sz="4" w:space="0"/>
              <w:right w:val="single" w:color="auto" w:sz="4" w:space="0"/>
            </w:tcBorders>
            <w:shd w:val="clear" w:color="auto" w:fill="auto"/>
            <w:vAlign w:val="center"/>
          </w:tcPr>
          <w:p w14:paraId="1A9519F8">
            <w:pPr>
              <w:bidi w:val="0"/>
              <w:rPr>
                <w:rFonts w:hint="eastAsia"/>
              </w:rPr>
            </w:pPr>
            <w:r>
              <w:rPr>
                <w:rFonts w:hint="eastAsia"/>
              </w:rPr>
              <w:t>2 设备配置</w:t>
            </w:r>
          </w:p>
        </w:tc>
        <w:tc>
          <w:tcPr>
            <w:tcW w:w="1695" w:type="dxa"/>
            <w:tcBorders>
              <w:top w:val="nil"/>
              <w:left w:val="nil"/>
              <w:bottom w:val="single" w:color="auto" w:sz="4" w:space="0"/>
              <w:right w:val="single" w:color="auto" w:sz="4" w:space="0"/>
            </w:tcBorders>
            <w:shd w:val="clear" w:color="auto" w:fill="auto"/>
            <w:vAlign w:val="center"/>
          </w:tcPr>
          <w:p w14:paraId="5DE3869C">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59866DDF">
            <w:pPr>
              <w:bidi w:val="0"/>
              <w:rPr>
                <w:rFonts w:hint="eastAsia"/>
              </w:rPr>
            </w:pPr>
            <w:r>
              <w:rPr>
                <w:rFonts w:hint="eastAsia"/>
              </w:rPr>
              <w:t>在调试模式下的，需要进行的机型设备配置，包括对读码器和PLC的基础信息配置</w:t>
            </w:r>
          </w:p>
        </w:tc>
      </w:tr>
      <w:tr w14:paraId="60AD3988">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B558D7D">
            <w:pPr>
              <w:bidi w:val="0"/>
              <w:rPr>
                <w:rFonts w:hint="eastAsia"/>
              </w:rPr>
            </w:pPr>
            <w:r>
              <w:rPr>
                <w:rFonts w:hint="eastAsia"/>
              </w:rPr>
              <w:t>3</w:t>
            </w:r>
          </w:p>
        </w:tc>
        <w:tc>
          <w:tcPr>
            <w:tcW w:w="2220" w:type="dxa"/>
            <w:tcBorders>
              <w:top w:val="nil"/>
              <w:left w:val="nil"/>
              <w:bottom w:val="single" w:color="auto" w:sz="4" w:space="0"/>
              <w:right w:val="single" w:color="auto" w:sz="4" w:space="0"/>
            </w:tcBorders>
            <w:shd w:val="clear" w:color="auto" w:fill="auto"/>
            <w:vAlign w:val="center"/>
          </w:tcPr>
          <w:p w14:paraId="5EAED72B">
            <w:pPr>
              <w:bidi w:val="0"/>
              <w:rPr>
                <w:rFonts w:hint="eastAsia"/>
              </w:rPr>
            </w:pPr>
            <w:r>
              <w:rPr>
                <w:rFonts w:hint="eastAsia"/>
              </w:rPr>
              <w:t>3 品规配置</w:t>
            </w:r>
          </w:p>
        </w:tc>
        <w:tc>
          <w:tcPr>
            <w:tcW w:w="1695" w:type="dxa"/>
            <w:tcBorders>
              <w:top w:val="nil"/>
              <w:left w:val="nil"/>
              <w:bottom w:val="single" w:color="auto" w:sz="4" w:space="0"/>
              <w:right w:val="single" w:color="auto" w:sz="4" w:space="0"/>
            </w:tcBorders>
            <w:shd w:val="clear" w:color="auto" w:fill="auto"/>
            <w:vAlign w:val="center"/>
          </w:tcPr>
          <w:p w14:paraId="03345AB8">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ABE8BFF">
            <w:pPr>
              <w:bidi w:val="0"/>
              <w:rPr>
                <w:rFonts w:hint="eastAsia"/>
              </w:rPr>
            </w:pPr>
            <w:r>
              <w:rPr>
                <w:rFonts w:hint="eastAsia"/>
              </w:rPr>
              <w:t>在调试模式下的品规配置，结合当前机台的实际调试牌号，配置好当前调试的品规信息</w:t>
            </w:r>
          </w:p>
        </w:tc>
      </w:tr>
      <w:tr w14:paraId="34EDCFEB">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2B170A2">
            <w:pPr>
              <w:bidi w:val="0"/>
              <w:rPr>
                <w:rFonts w:hint="eastAsia"/>
              </w:rPr>
            </w:pPr>
            <w:r>
              <w:rPr>
                <w:rFonts w:hint="eastAsia"/>
              </w:rPr>
              <w:t>4</w:t>
            </w:r>
          </w:p>
        </w:tc>
        <w:tc>
          <w:tcPr>
            <w:tcW w:w="2220" w:type="dxa"/>
            <w:tcBorders>
              <w:top w:val="nil"/>
              <w:left w:val="nil"/>
              <w:bottom w:val="single" w:color="auto" w:sz="4" w:space="0"/>
              <w:right w:val="single" w:color="auto" w:sz="4" w:space="0"/>
            </w:tcBorders>
            <w:shd w:val="clear" w:color="auto" w:fill="auto"/>
            <w:vAlign w:val="center"/>
          </w:tcPr>
          <w:p w14:paraId="662968A0">
            <w:pPr>
              <w:bidi w:val="0"/>
              <w:rPr>
                <w:rFonts w:hint="eastAsia"/>
              </w:rPr>
            </w:pPr>
            <w:r>
              <w:rPr>
                <w:rFonts w:hint="eastAsia"/>
              </w:rPr>
              <w:t>4 系统自检</w:t>
            </w:r>
          </w:p>
        </w:tc>
        <w:tc>
          <w:tcPr>
            <w:tcW w:w="1695" w:type="dxa"/>
            <w:tcBorders>
              <w:top w:val="nil"/>
              <w:left w:val="nil"/>
              <w:bottom w:val="single" w:color="auto" w:sz="4" w:space="0"/>
              <w:right w:val="single" w:color="auto" w:sz="4" w:space="0"/>
            </w:tcBorders>
            <w:shd w:val="clear" w:color="auto" w:fill="auto"/>
            <w:vAlign w:val="center"/>
          </w:tcPr>
          <w:p w14:paraId="1A2421F3">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310BA23">
            <w:pPr>
              <w:bidi w:val="0"/>
              <w:rPr>
                <w:rFonts w:hint="eastAsia"/>
              </w:rPr>
            </w:pPr>
            <w:r>
              <w:rPr>
                <w:rFonts w:hint="eastAsia"/>
              </w:rPr>
              <w:t>在调试模式下的系统自检业务，包括了对系统的运行环境、设备（PLC和读码相机）的检验</w:t>
            </w:r>
          </w:p>
        </w:tc>
      </w:tr>
      <w:tr w14:paraId="6B64BF6B">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974A06B">
            <w:pPr>
              <w:bidi w:val="0"/>
              <w:rPr>
                <w:rFonts w:hint="eastAsia"/>
              </w:rPr>
            </w:pPr>
            <w:r>
              <w:rPr>
                <w:rFonts w:hint="eastAsia"/>
              </w:rPr>
              <w:t>5</w:t>
            </w:r>
          </w:p>
        </w:tc>
        <w:tc>
          <w:tcPr>
            <w:tcW w:w="2220" w:type="dxa"/>
            <w:tcBorders>
              <w:top w:val="nil"/>
              <w:left w:val="nil"/>
              <w:bottom w:val="single" w:color="auto" w:sz="4" w:space="0"/>
              <w:right w:val="single" w:color="auto" w:sz="4" w:space="0"/>
            </w:tcBorders>
            <w:shd w:val="clear" w:color="auto" w:fill="auto"/>
            <w:vAlign w:val="center"/>
          </w:tcPr>
          <w:p w14:paraId="45830EA5">
            <w:pPr>
              <w:bidi w:val="0"/>
              <w:rPr>
                <w:rFonts w:hint="eastAsia"/>
              </w:rPr>
            </w:pPr>
            <w:r>
              <w:rPr>
                <w:rFonts w:hint="eastAsia"/>
              </w:rPr>
              <w:t>5 关联验证</w:t>
            </w:r>
          </w:p>
        </w:tc>
        <w:tc>
          <w:tcPr>
            <w:tcW w:w="1695" w:type="dxa"/>
            <w:tcBorders>
              <w:top w:val="nil"/>
              <w:left w:val="nil"/>
              <w:bottom w:val="single" w:color="auto" w:sz="4" w:space="0"/>
              <w:right w:val="single" w:color="auto" w:sz="4" w:space="0"/>
            </w:tcBorders>
            <w:shd w:val="clear" w:color="auto" w:fill="auto"/>
            <w:vAlign w:val="center"/>
          </w:tcPr>
          <w:p w14:paraId="3D8AA972">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DFE9C22">
            <w:pPr>
              <w:bidi w:val="0"/>
              <w:rPr>
                <w:rFonts w:hint="eastAsia"/>
              </w:rPr>
            </w:pPr>
            <w:r>
              <w:rPr>
                <w:rFonts w:hint="eastAsia"/>
              </w:rPr>
              <w:t>在调试模式下的系统关联验证业务，验证当前的系统集成方案配置、PLC信号、读码相机是否与当前机台匹配</w:t>
            </w:r>
          </w:p>
        </w:tc>
      </w:tr>
      <w:tr w14:paraId="14BB1E19">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2F5A6CA9">
            <w:pPr>
              <w:bidi w:val="0"/>
              <w:rPr>
                <w:rFonts w:hint="eastAsia"/>
              </w:rPr>
            </w:pPr>
            <w:r>
              <w:rPr>
                <w:rFonts w:hint="eastAsia"/>
              </w:rPr>
              <w:t>6</w:t>
            </w:r>
          </w:p>
        </w:tc>
        <w:tc>
          <w:tcPr>
            <w:tcW w:w="2220" w:type="dxa"/>
            <w:tcBorders>
              <w:top w:val="nil"/>
              <w:left w:val="nil"/>
              <w:bottom w:val="single" w:color="auto" w:sz="4" w:space="0"/>
              <w:right w:val="single" w:color="auto" w:sz="4" w:space="0"/>
            </w:tcBorders>
            <w:shd w:val="clear" w:color="auto" w:fill="auto"/>
            <w:vAlign w:val="center"/>
          </w:tcPr>
          <w:p w14:paraId="2DBC135D">
            <w:pPr>
              <w:bidi w:val="0"/>
              <w:rPr>
                <w:rFonts w:hint="eastAsia"/>
              </w:rPr>
            </w:pPr>
            <w:r>
              <w:rPr>
                <w:rFonts w:hint="eastAsia"/>
              </w:rPr>
              <w:t>6“盒条”产线注册</w:t>
            </w:r>
          </w:p>
        </w:tc>
        <w:tc>
          <w:tcPr>
            <w:tcW w:w="1695" w:type="dxa"/>
            <w:tcBorders>
              <w:top w:val="nil"/>
              <w:left w:val="nil"/>
              <w:bottom w:val="single" w:color="auto" w:sz="4" w:space="0"/>
              <w:right w:val="single" w:color="auto" w:sz="4" w:space="0"/>
            </w:tcBorders>
            <w:shd w:val="clear" w:color="auto" w:fill="auto"/>
            <w:vAlign w:val="center"/>
          </w:tcPr>
          <w:p w14:paraId="7D7C3F25">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5A844A98">
            <w:pPr>
              <w:bidi w:val="0"/>
              <w:rPr>
                <w:rFonts w:hint="eastAsia"/>
              </w:rPr>
            </w:pPr>
            <w:r>
              <w:rPr>
                <w:rFonts w:hint="eastAsia"/>
              </w:rPr>
              <w:t>在正式生产前，需要将当前产线注册到厂级系统中，注册成功后将其系统信息、机台信息、设备信息同步给厂级系统。</w:t>
            </w:r>
          </w:p>
        </w:tc>
      </w:tr>
      <w:tr w14:paraId="2DFEDC6A">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27E730DA">
            <w:pPr>
              <w:bidi w:val="0"/>
              <w:rPr>
                <w:rFonts w:hint="eastAsia"/>
              </w:rPr>
            </w:pPr>
            <w:r>
              <w:rPr>
                <w:rFonts w:hint="eastAsia"/>
              </w:rPr>
              <w:t>7</w:t>
            </w:r>
          </w:p>
        </w:tc>
        <w:tc>
          <w:tcPr>
            <w:tcW w:w="2220" w:type="dxa"/>
            <w:tcBorders>
              <w:top w:val="single" w:color="auto" w:sz="4" w:space="0"/>
              <w:left w:val="single" w:color="auto" w:sz="4" w:space="0"/>
              <w:bottom w:val="single" w:color="auto" w:sz="4" w:space="0"/>
              <w:right w:val="single" w:color="auto" w:sz="4" w:space="0"/>
            </w:tcBorders>
            <w:shd w:val="clear" w:color="auto" w:fill="auto"/>
            <w:vAlign w:val="center"/>
          </w:tcPr>
          <w:p w14:paraId="6C2FFE46">
            <w:pPr>
              <w:bidi w:val="0"/>
              <w:rPr>
                <w:rFonts w:hint="eastAsia"/>
              </w:rPr>
            </w:pPr>
            <w:r>
              <w:rPr>
                <w:rFonts w:hint="eastAsia"/>
              </w:rPr>
              <w:t>7“盒条件”关联</w:t>
            </w:r>
          </w:p>
          <w:p w14:paraId="5A001D79">
            <w:pPr>
              <w:bidi w:val="0"/>
              <w:rPr>
                <w:rFonts w:hint="eastAsia"/>
              </w:rPr>
            </w:pPr>
            <w:r>
              <w:rPr>
                <w:rFonts w:hint="eastAsia"/>
              </w:rPr>
              <w:t xml:space="preserve">厂级设备管理 </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1572183B">
            <w:pPr>
              <w:bidi w:val="0"/>
              <w:rPr>
                <w:rFonts w:hint="eastAsia"/>
              </w:rPr>
            </w:pPr>
            <w:r>
              <w:rPr>
                <w:rFonts w:hint="eastAsia"/>
              </w:rPr>
              <w:t>作业流程</w:t>
            </w:r>
          </w:p>
        </w:tc>
        <w:tc>
          <w:tcPr>
            <w:tcW w:w="5307" w:type="dxa"/>
            <w:tcBorders>
              <w:top w:val="single" w:color="auto" w:sz="4" w:space="0"/>
              <w:left w:val="single" w:color="auto" w:sz="4" w:space="0"/>
              <w:bottom w:val="single" w:color="auto" w:sz="4" w:space="0"/>
              <w:right w:val="single" w:color="auto" w:sz="4" w:space="0"/>
            </w:tcBorders>
            <w:shd w:val="clear" w:color="auto" w:fill="auto"/>
            <w:vAlign w:val="center"/>
          </w:tcPr>
          <w:p w14:paraId="58C31273">
            <w:pPr>
              <w:bidi w:val="0"/>
              <w:rPr>
                <w:rFonts w:hint="eastAsia"/>
              </w:rPr>
            </w:pPr>
            <w:r>
              <w:rPr>
                <w:rFonts w:hint="eastAsia"/>
              </w:rPr>
              <w:t>主要包括产线管理、PLC和读码相机管理等</w:t>
            </w:r>
          </w:p>
        </w:tc>
      </w:tr>
      <w:tr w14:paraId="47E396EB">
        <w:tblPrEx>
          <w:tblCellMar>
            <w:top w:w="0" w:type="dxa"/>
            <w:left w:w="108" w:type="dxa"/>
            <w:bottom w:w="0" w:type="dxa"/>
            <w:right w:w="108" w:type="dxa"/>
          </w:tblCellMar>
        </w:tblPrEx>
        <w:trPr>
          <w:trHeight w:val="552"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72567F2C">
            <w:pPr>
              <w:bidi w:val="0"/>
              <w:rPr>
                <w:rFonts w:hint="eastAsia"/>
              </w:rPr>
            </w:pPr>
            <w:r>
              <w:rPr>
                <w:rFonts w:hint="eastAsia"/>
              </w:rPr>
              <w:t>8</w:t>
            </w:r>
          </w:p>
        </w:tc>
        <w:tc>
          <w:tcPr>
            <w:tcW w:w="2220" w:type="dxa"/>
            <w:tcBorders>
              <w:top w:val="single" w:color="auto" w:sz="4" w:space="0"/>
              <w:left w:val="nil"/>
              <w:bottom w:val="single" w:color="auto" w:sz="4" w:space="0"/>
              <w:right w:val="single" w:color="auto" w:sz="4" w:space="0"/>
            </w:tcBorders>
            <w:shd w:val="clear" w:color="auto" w:fill="auto"/>
            <w:vAlign w:val="center"/>
          </w:tcPr>
          <w:p w14:paraId="0673FECC">
            <w:pPr>
              <w:bidi w:val="0"/>
              <w:rPr>
                <w:rFonts w:hint="eastAsia"/>
              </w:rPr>
            </w:pPr>
            <w:r>
              <w:rPr>
                <w:rFonts w:hint="eastAsia"/>
              </w:rPr>
              <w:t>8 人员同步</w:t>
            </w:r>
          </w:p>
        </w:tc>
        <w:tc>
          <w:tcPr>
            <w:tcW w:w="1695" w:type="dxa"/>
            <w:tcBorders>
              <w:top w:val="single" w:color="auto" w:sz="4" w:space="0"/>
              <w:left w:val="nil"/>
              <w:bottom w:val="single" w:color="auto" w:sz="4" w:space="0"/>
              <w:right w:val="single" w:color="auto" w:sz="4" w:space="0"/>
            </w:tcBorders>
            <w:shd w:val="clear" w:color="auto" w:fill="auto"/>
            <w:vAlign w:val="center"/>
          </w:tcPr>
          <w:p w14:paraId="659C6E73">
            <w:pPr>
              <w:bidi w:val="0"/>
              <w:rPr>
                <w:rFonts w:hint="eastAsia"/>
              </w:rPr>
            </w:pPr>
            <w:r>
              <w:rPr>
                <w:rFonts w:hint="eastAsia"/>
              </w:rPr>
              <w:t>作业流程</w:t>
            </w:r>
          </w:p>
        </w:tc>
        <w:tc>
          <w:tcPr>
            <w:tcW w:w="5307" w:type="dxa"/>
            <w:tcBorders>
              <w:top w:val="single" w:color="auto" w:sz="4" w:space="0"/>
              <w:left w:val="nil"/>
              <w:bottom w:val="single" w:color="auto" w:sz="4" w:space="0"/>
              <w:right w:val="single" w:color="auto" w:sz="4" w:space="0"/>
            </w:tcBorders>
            <w:shd w:val="clear" w:color="auto" w:fill="auto"/>
            <w:vAlign w:val="center"/>
          </w:tcPr>
          <w:p w14:paraId="7A296848">
            <w:pPr>
              <w:bidi w:val="0"/>
              <w:rPr>
                <w:rFonts w:hint="eastAsia"/>
              </w:rPr>
            </w:pPr>
            <w:r>
              <w:rPr>
                <w:rFonts w:hint="eastAsia"/>
              </w:rPr>
              <w:t>厂级系统的人员信息同步至本地环境</w:t>
            </w:r>
          </w:p>
        </w:tc>
      </w:tr>
      <w:tr w14:paraId="66A4597D">
        <w:tblPrEx>
          <w:tblCellMar>
            <w:top w:w="0" w:type="dxa"/>
            <w:left w:w="108" w:type="dxa"/>
            <w:bottom w:w="0" w:type="dxa"/>
            <w:right w:w="108" w:type="dxa"/>
          </w:tblCellMar>
        </w:tblPrEx>
        <w:trPr>
          <w:trHeight w:val="55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7FA97F9">
            <w:pPr>
              <w:bidi w:val="0"/>
              <w:rPr>
                <w:rFonts w:hint="eastAsia"/>
              </w:rPr>
            </w:pPr>
            <w:r>
              <w:rPr>
                <w:rFonts w:hint="eastAsia"/>
              </w:rPr>
              <w:t>9</w:t>
            </w:r>
          </w:p>
        </w:tc>
        <w:tc>
          <w:tcPr>
            <w:tcW w:w="2220" w:type="dxa"/>
            <w:tcBorders>
              <w:top w:val="nil"/>
              <w:left w:val="nil"/>
              <w:bottom w:val="single" w:color="auto" w:sz="4" w:space="0"/>
              <w:right w:val="single" w:color="auto" w:sz="4" w:space="0"/>
            </w:tcBorders>
            <w:shd w:val="clear" w:color="auto" w:fill="auto"/>
            <w:vAlign w:val="center"/>
          </w:tcPr>
          <w:p w14:paraId="3670EDB8">
            <w:pPr>
              <w:bidi w:val="0"/>
              <w:rPr>
                <w:rFonts w:hint="eastAsia"/>
              </w:rPr>
            </w:pPr>
            <w:r>
              <w:rPr>
                <w:rFonts w:hint="eastAsia"/>
              </w:rPr>
              <w:t>9 角色同步</w:t>
            </w:r>
          </w:p>
        </w:tc>
        <w:tc>
          <w:tcPr>
            <w:tcW w:w="1695" w:type="dxa"/>
            <w:tcBorders>
              <w:top w:val="nil"/>
              <w:left w:val="nil"/>
              <w:bottom w:val="single" w:color="auto" w:sz="4" w:space="0"/>
              <w:right w:val="single" w:color="auto" w:sz="4" w:space="0"/>
            </w:tcBorders>
            <w:shd w:val="clear" w:color="auto" w:fill="auto"/>
            <w:vAlign w:val="center"/>
          </w:tcPr>
          <w:p w14:paraId="5C0228AE">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524D4849">
            <w:pPr>
              <w:bidi w:val="0"/>
              <w:rPr>
                <w:rFonts w:hint="eastAsia"/>
              </w:rPr>
            </w:pPr>
            <w:r>
              <w:rPr>
                <w:rFonts w:hint="eastAsia"/>
              </w:rPr>
              <w:t>将厂级系统的角色信息同步至本地环境</w:t>
            </w:r>
          </w:p>
        </w:tc>
      </w:tr>
      <w:tr w14:paraId="3E57E38E">
        <w:tblPrEx>
          <w:tblCellMar>
            <w:top w:w="0" w:type="dxa"/>
            <w:left w:w="108" w:type="dxa"/>
            <w:bottom w:w="0" w:type="dxa"/>
            <w:right w:w="108" w:type="dxa"/>
          </w:tblCellMar>
        </w:tblPrEx>
        <w:trPr>
          <w:trHeight w:val="681"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F4A4EE7">
            <w:pPr>
              <w:bidi w:val="0"/>
              <w:rPr>
                <w:rFonts w:hint="eastAsia"/>
              </w:rPr>
            </w:pPr>
            <w:r>
              <w:rPr>
                <w:rFonts w:hint="eastAsia"/>
              </w:rPr>
              <w:t>10</w:t>
            </w:r>
          </w:p>
        </w:tc>
        <w:tc>
          <w:tcPr>
            <w:tcW w:w="2220" w:type="dxa"/>
            <w:tcBorders>
              <w:top w:val="nil"/>
              <w:left w:val="nil"/>
              <w:bottom w:val="single" w:color="auto" w:sz="4" w:space="0"/>
              <w:right w:val="single" w:color="auto" w:sz="4" w:space="0"/>
            </w:tcBorders>
            <w:shd w:val="clear" w:color="auto" w:fill="auto"/>
            <w:vAlign w:val="center"/>
          </w:tcPr>
          <w:p w14:paraId="6150AF16">
            <w:pPr>
              <w:bidi w:val="0"/>
              <w:rPr>
                <w:rFonts w:hint="eastAsia"/>
              </w:rPr>
            </w:pPr>
            <w:r>
              <w:rPr>
                <w:rFonts w:hint="eastAsia"/>
              </w:rPr>
              <w:t>10 权限同步</w:t>
            </w:r>
          </w:p>
        </w:tc>
        <w:tc>
          <w:tcPr>
            <w:tcW w:w="1695" w:type="dxa"/>
            <w:tcBorders>
              <w:top w:val="nil"/>
              <w:left w:val="nil"/>
              <w:bottom w:val="single" w:color="auto" w:sz="4" w:space="0"/>
              <w:right w:val="single" w:color="auto" w:sz="4" w:space="0"/>
            </w:tcBorders>
            <w:shd w:val="clear" w:color="auto" w:fill="auto"/>
            <w:vAlign w:val="center"/>
          </w:tcPr>
          <w:p w14:paraId="73380B2A">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3B1B4A6">
            <w:pPr>
              <w:bidi w:val="0"/>
              <w:rPr>
                <w:rFonts w:hint="eastAsia"/>
              </w:rPr>
            </w:pPr>
            <w:r>
              <w:rPr>
                <w:rFonts w:hint="eastAsia"/>
              </w:rPr>
              <w:t>将厂级系统的权限信息同步至本地环境</w:t>
            </w:r>
          </w:p>
        </w:tc>
      </w:tr>
      <w:tr w14:paraId="255DCE2C">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1206697">
            <w:pPr>
              <w:bidi w:val="0"/>
              <w:rPr>
                <w:rFonts w:hint="eastAsia"/>
              </w:rPr>
            </w:pPr>
            <w:r>
              <w:rPr>
                <w:rFonts w:hint="eastAsia"/>
              </w:rPr>
              <w:t>11</w:t>
            </w:r>
          </w:p>
        </w:tc>
        <w:tc>
          <w:tcPr>
            <w:tcW w:w="2220" w:type="dxa"/>
            <w:tcBorders>
              <w:top w:val="nil"/>
              <w:left w:val="nil"/>
              <w:bottom w:val="single" w:color="auto" w:sz="4" w:space="0"/>
              <w:right w:val="single" w:color="auto" w:sz="4" w:space="0"/>
            </w:tcBorders>
            <w:shd w:val="clear" w:color="auto" w:fill="auto"/>
            <w:vAlign w:val="center"/>
          </w:tcPr>
          <w:p w14:paraId="1435E6C7">
            <w:pPr>
              <w:bidi w:val="0"/>
              <w:rPr>
                <w:rFonts w:hint="eastAsia"/>
              </w:rPr>
            </w:pPr>
            <w:r>
              <w:rPr>
                <w:rFonts w:hint="eastAsia"/>
              </w:rPr>
              <w:t>11 品规同步</w:t>
            </w:r>
          </w:p>
        </w:tc>
        <w:tc>
          <w:tcPr>
            <w:tcW w:w="1695" w:type="dxa"/>
            <w:tcBorders>
              <w:top w:val="nil"/>
              <w:left w:val="nil"/>
              <w:bottom w:val="single" w:color="auto" w:sz="4" w:space="0"/>
              <w:right w:val="single" w:color="auto" w:sz="4" w:space="0"/>
            </w:tcBorders>
            <w:shd w:val="clear" w:color="auto" w:fill="auto"/>
            <w:vAlign w:val="center"/>
          </w:tcPr>
          <w:p w14:paraId="2494546E">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9565441">
            <w:pPr>
              <w:bidi w:val="0"/>
              <w:rPr>
                <w:rFonts w:hint="eastAsia"/>
              </w:rPr>
            </w:pPr>
            <w:r>
              <w:rPr>
                <w:rFonts w:hint="eastAsia"/>
              </w:rPr>
              <w:t>将厂级系统的品规信息同步至本地环境</w:t>
            </w:r>
          </w:p>
        </w:tc>
      </w:tr>
      <w:tr w14:paraId="4E58BA2D">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2D31329E">
            <w:pPr>
              <w:bidi w:val="0"/>
              <w:rPr>
                <w:rFonts w:hint="eastAsia"/>
              </w:rPr>
            </w:pPr>
            <w:r>
              <w:rPr>
                <w:rFonts w:hint="eastAsia"/>
              </w:rPr>
              <w:t>12</w:t>
            </w:r>
          </w:p>
        </w:tc>
        <w:tc>
          <w:tcPr>
            <w:tcW w:w="2220" w:type="dxa"/>
            <w:tcBorders>
              <w:top w:val="nil"/>
              <w:left w:val="nil"/>
              <w:bottom w:val="single" w:color="auto" w:sz="4" w:space="0"/>
              <w:right w:val="single" w:color="auto" w:sz="4" w:space="0"/>
            </w:tcBorders>
            <w:shd w:val="clear" w:color="auto" w:fill="auto"/>
            <w:vAlign w:val="center"/>
          </w:tcPr>
          <w:p w14:paraId="37576BD8">
            <w:pPr>
              <w:bidi w:val="0"/>
              <w:rPr>
                <w:rFonts w:hint="eastAsia"/>
              </w:rPr>
            </w:pPr>
            <w:r>
              <w:rPr>
                <w:rFonts w:hint="eastAsia"/>
              </w:rPr>
              <w:t>13 基础数据管理</w:t>
            </w:r>
          </w:p>
        </w:tc>
        <w:tc>
          <w:tcPr>
            <w:tcW w:w="1695" w:type="dxa"/>
            <w:tcBorders>
              <w:top w:val="nil"/>
              <w:left w:val="nil"/>
              <w:bottom w:val="single" w:color="auto" w:sz="4" w:space="0"/>
              <w:right w:val="single" w:color="auto" w:sz="4" w:space="0"/>
            </w:tcBorders>
            <w:shd w:val="clear" w:color="auto" w:fill="auto"/>
            <w:vAlign w:val="center"/>
          </w:tcPr>
          <w:p w14:paraId="1906841E">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369DF74">
            <w:pPr>
              <w:bidi w:val="0"/>
              <w:rPr>
                <w:rFonts w:hint="eastAsia"/>
              </w:rPr>
            </w:pPr>
            <w:r>
              <w:rPr>
                <w:rFonts w:hint="eastAsia"/>
              </w:rPr>
              <w:t>厂级系统的基础数据关联</w:t>
            </w:r>
          </w:p>
        </w:tc>
      </w:tr>
      <w:tr w14:paraId="2B1319E4">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7B10EED">
            <w:pPr>
              <w:bidi w:val="0"/>
              <w:rPr>
                <w:rFonts w:hint="eastAsia"/>
              </w:rPr>
            </w:pPr>
            <w:r>
              <w:rPr>
                <w:rFonts w:hint="eastAsia"/>
              </w:rPr>
              <w:t>13</w:t>
            </w:r>
          </w:p>
        </w:tc>
        <w:tc>
          <w:tcPr>
            <w:tcW w:w="2220" w:type="dxa"/>
            <w:tcBorders>
              <w:top w:val="nil"/>
              <w:left w:val="nil"/>
              <w:bottom w:val="single" w:color="auto" w:sz="4" w:space="0"/>
              <w:right w:val="single" w:color="auto" w:sz="4" w:space="0"/>
            </w:tcBorders>
            <w:shd w:val="clear" w:color="auto" w:fill="auto"/>
            <w:vAlign w:val="center"/>
          </w:tcPr>
          <w:p w14:paraId="09108282">
            <w:pPr>
              <w:bidi w:val="0"/>
              <w:rPr>
                <w:rFonts w:hint="eastAsia"/>
              </w:rPr>
            </w:pPr>
            <w:r>
              <w:rPr>
                <w:rFonts w:hint="eastAsia"/>
              </w:rPr>
              <w:t>13 时钟同步</w:t>
            </w:r>
          </w:p>
        </w:tc>
        <w:tc>
          <w:tcPr>
            <w:tcW w:w="1695" w:type="dxa"/>
            <w:tcBorders>
              <w:top w:val="nil"/>
              <w:left w:val="nil"/>
              <w:bottom w:val="single" w:color="auto" w:sz="4" w:space="0"/>
              <w:right w:val="single" w:color="auto" w:sz="4" w:space="0"/>
            </w:tcBorders>
            <w:shd w:val="clear" w:color="auto" w:fill="auto"/>
            <w:vAlign w:val="center"/>
          </w:tcPr>
          <w:p w14:paraId="6E8AC0C9">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8528EA0">
            <w:pPr>
              <w:bidi w:val="0"/>
              <w:rPr>
                <w:rFonts w:hint="eastAsia"/>
              </w:rPr>
            </w:pPr>
            <w:r>
              <w:rPr>
                <w:rFonts w:hint="eastAsia"/>
              </w:rPr>
              <w:t>获取厂级系统的时间服务器地址，通过此地址保证现场子系统与厂级系统的时间保持一致</w:t>
            </w:r>
          </w:p>
        </w:tc>
      </w:tr>
      <w:tr w14:paraId="535FE93F">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68787B0">
            <w:pPr>
              <w:bidi w:val="0"/>
              <w:rPr>
                <w:rFonts w:hint="eastAsia"/>
              </w:rPr>
            </w:pPr>
            <w:r>
              <w:rPr>
                <w:rFonts w:hint="eastAsia"/>
              </w:rPr>
              <w:t>14</w:t>
            </w:r>
          </w:p>
        </w:tc>
        <w:tc>
          <w:tcPr>
            <w:tcW w:w="2220" w:type="dxa"/>
            <w:tcBorders>
              <w:top w:val="nil"/>
              <w:left w:val="nil"/>
              <w:bottom w:val="single" w:color="auto" w:sz="4" w:space="0"/>
              <w:right w:val="single" w:color="auto" w:sz="4" w:space="0"/>
            </w:tcBorders>
            <w:shd w:val="clear" w:color="auto" w:fill="auto"/>
            <w:vAlign w:val="center"/>
          </w:tcPr>
          <w:p w14:paraId="0F5ADB6B">
            <w:pPr>
              <w:bidi w:val="0"/>
              <w:rPr>
                <w:rFonts w:hint="eastAsia"/>
              </w:rPr>
            </w:pPr>
            <w:r>
              <w:rPr>
                <w:rFonts w:hint="eastAsia"/>
              </w:rPr>
              <w:t>14 机型集成方案选配</w:t>
            </w:r>
          </w:p>
        </w:tc>
        <w:tc>
          <w:tcPr>
            <w:tcW w:w="1695" w:type="dxa"/>
            <w:tcBorders>
              <w:top w:val="nil"/>
              <w:left w:val="nil"/>
              <w:bottom w:val="single" w:color="auto" w:sz="4" w:space="0"/>
              <w:right w:val="single" w:color="auto" w:sz="4" w:space="0"/>
            </w:tcBorders>
            <w:shd w:val="clear" w:color="auto" w:fill="auto"/>
            <w:vAlign w:val="center"/>
          </w:tcPr>
          <w:p w14:paraId="1F798CD4">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1DA4E4D">
            <w:pPr>
              <w:bidi w:val="0"/>
              <w:rPr>
                <w:rFonts w:hint="eastAsia"/>
              </w:rPr>
            </w:pPr>
            <w:r>
              <w:rPr>
                <w:rFonts w:hint="eastAsia"/>
              </w:rPr>
              <w:t>从厂级获取到机型集成的方案配置，在子系统中设置好对应机型的算法配置</w:t>
            </w:r>
          </w:p>
        </w:tc>
      </w:tr>
      <w:tr w14:paraId="584F39A8">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28759CC5">
            <w:pPr>
              <w:bidi w:val="0"/>
              <w:rPr>
                <w:rFonts w:hint="eastAsia"/>
              </w:rPr>
            </w:pPr>
            <w:r>
              <w:rPr>
                <w:rFonts w:hint="eastAsia"/>
              </w:rPr>
              <w:t>15</w:t>
            </w:r>
          </w:p>
        </w:tc>
        <w:tc>
          <w:tcPr>
            <w:tcW w:w="2220" w:type="dxa"/>
            <w:tcBorders>
              <w:top w:val="nil"/>
              <w:left w:val="nil"/>
              <w:bottom w:val="single" w:color="auto" w:sz="4" w:space="0"/>
              <w:right w:val="single" w:color="auto" w:sz="4" w:space="0"/>
            </w:tcBorders>
            <w:shd w:val="clear" w:color="auto" w:fill="auto"/>
            <w:vAlign w:val="center"/>
          </w:tcPr>
          <w:p w14:paraId="65A93037">
            <w:pPr>
              <w:bidi w:val="0"/>
              <w:rPr>
                <w:rFonts w:hint="eastAsia"/>
              </w:rPr>
            </w:pPr>
            <w:r>
              <w:rPr>
                <w:rFonts w:hint="eastAsia"/>
              </w:rPr>
              <w:t>15 设备配置</w:t>
            </w:r>
          </w:p>
        </w:tc>
        <w:tc>
          <w:tcPr>
            <w:tcW w:w="1695" w:type="dxa"/>
            <w:tcBorders>
              <w:top w:val="nil"/>
              <w:left w:val="nil"/>
              <w:bottom w:val="single" w:color="auto" w:sz="4" w:space="0"/>
              <w:right w:val="single" w:color="auto" w:sz="4" w:space="0"/>
            </w:tcBorders>
            <w:shd w:val="clear" w:color="auto" w:fill="auto"/>
            <w:vAlign w:val="center"/>
          </w:tcPr>
          <w:p w14:paraId="725077B0">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E4F96EB">
            <w:pPr>
              <w:bidi w:val="0"/>
              <w:rPr>
                <w:rFonts w:hint="eastAsia"/>
              </w:rPr>
            </w:pPr>
            <w:r>
              <w:rPr>
                <w:rFonts w:hint="eastAsia"/>
              </w:rPr>
              <w:t>从厂级获取到机型集成的设备配置，在子系统中设置好对应机型的设备配置</w:t>
            </w:r>
          </w:p>
        </w:tc>
      </w:tr>
      <w:tr w14:paraId="0C93050C">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77B8065">
            <w:pPr>
              <w:bidi w:val="0"/>
              <w:rPr>
                <w:rFonts w:hint="eastAsia"/>
              </w:rPr>
            </w:pPr>
            <w:r>
              <w:rPr>
                <w:rFonts w:hint="eastAsia"/>
              </w:rPr>
              <w:t>16</w:t>
            </w:r>
          </w:p>
        </w:tc>
        <w:tc>
          <w:tcPr>
            <w:tcW w:w="2220" w:type="dxa"/>
            <w:tcBorders>
              <w:top w:val="nil"/>
              <w:left w:val="nil"/>
              <w:bottom w:val="single" w:color="auto" w:sz="4" w:space="0"/>
              <w:right w:val="single" w:color="auto" w:sz="4" w:space="0"/>
            </w:tcBorders>
            <w:shd w:val="clear" w:color="auto" w:fill="auto"/>
            <w:vAlign w:val="center"/>
          </w:tcPr>
          <w:p w14:paraId="0D196617">
            <w:pPr>
              <w:bidi w:val="0"/>
              <w:rPr>
                <w:rFonts w:hint="eastAsia"/>
              </w:rPr>
            </w:pPr>
            <w:r>
              <w:rPr>
                <w:rFonts w:hint="eastAsia"/>
              </w:rPr>
              <w:t xml:space="preserve">16 硬件集成方案库管理 </w:t>
            </w:r>
          </w:p>
        </w:tc>
        <w:tc>
          <w:tcPr>
            <w:tcW w:w="1695" w:type="dxa"/>
            <w:tcBorders>
              <w:top w:val="nil"/>
              <w:left w:val="nil"/>
              <w:bottom w:val="single" w:color="auto" w:sz="4" w:space="0"/>
              <w:right w:val="single" w:color="auto" w:sz="4" w:space="0"/>
            </w:tcBorders>
            <w:shd w:val="clear" w:color="auto" w:fill="auto"/>
            <w:vAlign w:val="center"/>
          </w:tcPr>
          <w:p w14:paraId="4610344D">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15912919">
            <w:pPr>
              <w:bidi w:val="0"/>
              <w:rPr>
                <w:rFonts w:hint="eastAsia"/>
              </w:rPr>
            </w:pPr>
            <w:r>
              <w:rPr>
                <w:rFonts w:hint="eastAsia"/>
              </w:rPr>
              <w:t>厂级系统的集成方案管理库，里面维护了所以的机型方案</w:t>
            </w:r>
          </w:p>
        </w:tc>
      </w:tr>
      <w:tr w14:paraId="205D589A">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79E5A1C">
            <w:pPr>
              <w:bidi w:val="0"/>
              <w:rPr>
                <w:rFonts w:hint="eastAsia"/>
              </w:rPr>
            </w:pPr>
            <w:r>
              <w:rPr>
                <w:rFonts w:hint="eastAsia"/>
              </w:rPr>
              <w:t>17</w:t>
            </w:r>
          </w:p>
        </w:tc>
        <w:tc>
          <w:tcPr>
            <w:tcW w:w="2220" w:type="dxa"/>
            <w:tcBorders>
              <w:top w:val="nil"/>
              <w:left w:val="nil"/>
              <w:bottom w:val="single" w:color="auto" w:sz="4" w:space="0"/>
              <w:right w:val="single" w:color="auto" w:sz="4" w:space="0"/>
            </w:tcBorders>
            <w:shd w:val="clear" w:color="auto" w:fill="auto"/>
            <w:vAlign w:val="center"/>
          </w:tcPr>
          <w:p w14:paraId="404A136F">
            <w:pPr>
              <w:bidi w:val="0"/>
              <w:rPr>
                <w:rFonts w:hint="eastAsia"/>
              </w:rPr>
            </w:pPr>
            <w:r>
              <w:rPr>
                <w:rFonts w:hint="eastAsia"/>
              </w:rPr>
              <w:t>17 系统自检</w:t>
            </w:r>
          </w:p>
        </w:tc>
        <w:tc>
          <w:tcPr>
            <w:tcW w:w="1695" w:type="dxa"/>
            <w:tcBorders>
              <w:top w:val="nil"/>
              <w:left w:val="nil"/>
              <w:bottom w:val="single" w:color="auto" w:sz="4" w:space="0"/>
              <w:right w:val="single" w:color="auto" w:sz="4" w:space="0"/>
            </w:tcBorders>
            <w:shd w:val="clear" w:color="auto" w:fill="auto"/>
            <w:vAlign w:val="center"/>
          </w:tcPr>
          <w:p w14:paraId="1A403783">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72F11B8D">
            <w:pPr>
              <w:bidi w:val="0"/>
              <w:rPr>
                <w:rFonts w:hint="eastAsia"/>
              </w:rPr>
            </w:pPr>
            <w:r>
              <w:rPr>
                <w:rFonts w:hint="eastAsia"/>
              </w:rPr>
              <w:t>在生产模式中配置完机型集成方案和设备配置后，对选择的配置进行检验。其中包括了对系统的运行环境和设备（PLC和读码相机）的检验</w:t>
            </w:r>
          </w:p>
        </w:tc>
      </w:tr>
      <w:tr w14:paraId="77CECA05">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AB84C0C">
            <w:pPr>
              <w:bidi w:val="0"/>
              <w:rPr>
                <w:rFonts w:hint="eastAsia"/>
              </w:rPr>
            </w:pPr>
            <w:r>
              <w:rPr>
                <w:rFonts w:hint="eastAsia"/>
              </w:rPr>
              <w:t>18</w:t>
            </w:r>
          </w:p>
        </w:tc>
        <w:tc>
          <w:tcPr>
            <w:tcW w:w="2220" w:type="dxa"/>
            <w:tcBorders>
              <w:top w:val="nil"/>
              <w:left w:val="nil"/>
              <w:bottom w:val="single" w:color="auto" w:sz="4" w:space="0"/>
              <w:right w:val="single" w:color="auto" w:sz="4" w:space="0"/>
            </w:tcBorders>
            <w:shd w:val="clear" w:color="auto" w:fill="auto"/>
            <w:vAlign w:val="center"/>
          </w:tcPr>
          <w:p w14:paraId="69FE8A2E">
            <w:pPr>
              <w:bidi w:val="0"/>
              <w:rPr>
                <w:rFonts w:hint="eastAsia"/>
              </w:rPr>
            </w:pPr>
            <w:r>
              <w:rPr>
                <w:rFonts w:hint="eastAsia"/>
              </w:rPr>
              <w:t>18 系统版本管理</w:t>
            </w:r>
          </w:p>
        </w:tc>
        <w:tc>
          <w:tcPr>
            <w:tcW w:w="1695" w:type="dxa"/>
            <w:tcBorders>
              <w:top w:val="nil"/>
              <w:left w:val="nil"/>
              <w:bottom w:val="single" w:color="auto" w:sz="4" w:space="0"/>
              <w:right w:val="single" w:color="auto" w:sz="4" w:space="0"/>
            </w:tcBorders>
            <w:shd w:val="clear" w:color="auto" w:fill="auto"/>
            <w:vAlign w:val="center"/>
          </w:tcPr>
          <w:p w14:paraId="766B159E">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117C84F7">
            <w:pPr>
              <w:bidi w:val="0"/>
              <w:rPr>
                <w:rFonts w:hint="eastAsia"/>
              </w:rPr>
            </w:pPr>
            <w:r>
              <w:rPr>
                <w:rFonts w:hint="eastAsia"/>
              </w:rPr>
              <w:t>版本管理包括了当前的版本信息、最新版本的更新提示操作</w:t>
            </w:r>
          </w:p>
        </w:tc>
      </w:tr>
      <w:tr w14:paraId="7EED60CA">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74F90863">
            <w:pPr>
              <w:bidi w:val="0"/>
              <w:rPr>
                <w:rFonts w:hint="eastAsia"/>
              </w:rPr>
            </w:pPr>
            <w:r>
              <w:rPr>
                <w:rFonts w:hint="eastAsia"/>
              </w:rPr>
              <w:t>19</w:t>
            </w:r>
          </w:p>
        </w:tc>
        <w:tc>
          <w:tcPr>
            <w:tcW w:w="2220" w:type="dxa"/>
            <w:tcBorders>
              <w:top w:val="single" w:color="auto" w:sz="4" w:space="0"/>
              <w:left w:val="single" w:color="auto" w:sz="4" w:space="0"/>
              <w:bottom w:val="single" w:color="auto" w:sz="4" w:space="0"/>
              <w:right w:val="single" w:color="auto" w:sz="4" w:space="0"/>
            </w:tcBorders>
            <w:shd w:val="clear" w:color="auto" w:fill="auto"/>
            <w:vAlign w:val="center"/>
          </w:tcPr>
          <w:p w14:paraId="72B9220C">
            <w:pPr>
              <w:bidi w:val="0"/>
              <w:rPr>
                <w:rFonts w:hint="eastAsia"/>
              </w:rPr>
            </w:pPr>
            <w:r>
              <w:rPr>
                <w:rFonts w:hint="eastAsia"/>
              </w:rPr>
              <w:t>19 产线状态更新</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04A6181E">
            <w:pPr>
              <w:bidi w:val="0"/>
              <w:rPr>
                <w:rFonts w:hint="eastAsia"/>
              </w:rPr>
            </w:pPr>
            <w:r>
              <w:rPr>
                <w:rFonts w:hint="eastAsia"/>
              </w:rPr>
              <w:t>作业流程</w:t>
            </w:r>
          </w:p>
        </w:tc>
        <w:tc>
          <w:tcPr>
            <w:tcW w:w="5307" w:type="dxa"/>
            <w:tcBorders>
              <w:top w:val="single" w:color="auto" w:sz="4" w:space="0"/>
              <w:left w:val="single" w:color="auto" w:sz="4" w:space="0"/>
              <w:bottom w:val="single" w:color="auto" w:sz="4" w:space="0"/>
              <w:right w:val="single" w:color="auto" w:sz="4" w:space="0"/>
            </w:tcBorders>
            <w:shd w:val="clear" w:color="auto" w:fill="auto"/>
            <w:vAlign w:val="center"/>
          </w:tcPr>
          <w:p w14:paraId="6D522E47">
            <w:pPr>
              <w:bidi w:val="0"/>
              <w:rPr>
                <w:rFonts w:hint="eastAsia"/>
              </w:rPr>
            </w:pPr>
            <w:r>
              <w:rPr>
                <w:rFonts w:hint="eastAsia"/>
              </w:rPr>
              <w:t>在产线注册成功后，将当前产线状态同步给厂级系统，厂级系统将产线状态更改为上线</w:t>
            </w:r>
          </w:p>
        </w:tc>
      </w:tr>
      <w:tr w14:paraId="132D3E1C">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52D6F83E">
            <w:pPr>
              <w:bidi w:val="0"/>
              <w:rPr>
                <w:rFonts w:hint="eastAsia"/>
              </w:rPr>
            </w:pPr>
            <w:r>
              <w:rPr>
                <w:rFonts w:hint="eastAsia"/>
              </w:rPr>
              <w:t>20</w:t>
            </w:r>
          </w:p>
        </w:tc>
        <w:tc>
          <w:tcPr>
            <w:tcW w:w="2220" w:type="dxa"/>
            <w:tcBorders>
              <w:top w:val="single" w:color="auto" w:sz="4" w:space="0"/>
              <w:left w:val="single" w:color="auto" w:sz="4" w:space="0"/>
              <w:bottom w:val="single" w:color="auto" w:sz="4" w:space="0"/>
              <w:right w:val="single" w:color="auto" w:sz="4" w:space="0"/>
            </w:tcBorders>
            <w:shd w:val="clear" w:color="auto" w:fill="auto"/>
            <w:vAlign w:val="center"/>
          </w:tcPr>
          <w:p w14:paraId="6B2D6B42">
            <w:pPr>
              <w:bidi w:val="0"/>
              <w:rPr>
                <w:rFonts w:hint="eastAsia"/>
              </w:rPr>
            </w:pPr>
            <w:r>
              <w:rPr>
                <w:rFonts w:hint="eastAsia"/>
              </w:rPr>
              <w:t>20 产线管理</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1FDE55B2">
            <w:pPr>
              <w:bidi w:val="0"/>
              <w:rPr>
                <w:rFonts w:hint="eastAsia"/>
              </w:rPr>
            </w:pPr>
            <w:r>
              <w:rPr>
                <w:rFonts w:hint="eastAsia"/>
              </w:rPr>
              <w:t>作业流程</w:t>
            </w:r>
          </w:p>
        </w:tc>
        <w:tc>
          <w:tcPr>
            <w:tcW w:w="5307" w:type="dxa"/>
            <w:tcBorders>
              <w:top w:val="single" w:color="auto" w:sz="4" w:space="0"/>
              <w:left w:val="single" w:color="auto" w:sz="4" w:space="0"/>
              <w:bottom w:val="single" w:color="auto" w:sz="4" w:space="0"/>
              <w:right w:val="single" w:color="auto" w:sz="4" w:space="0"/>
            </w:tcBorders>
            <w:shd w:val="clear" w:color="auto" w:fill="auto"/>
            <w:vAlign w:val="center"/>
          </w:tcPr>
          <w:p w14:paraId="41E3C0D0">
            <w:pPr>
              <w:bidi w:val="0"/>
              <w:rPr>
                <w:rFonts w:hint="eastAsia"/>
              </w:rPr>
            </w:pPr>
            <w:r>
              <w:rPr>
                <w:rFonts w:hint="eastAsia"/>
              </w:rPr>
              <w:t>在厂级系统中维护的产线管理</w:t>
            </w:r>
          </w:p>
        </w:tc>
      </w:tr>
    </w:tbl>
    <w:p w14:paraId="4022145F">
      <w:pPr>
        <w:bidi w:val="0"/>
        <w:rPr>
          <w:rFonts w:hint="eastAsia"/>
        </w:rPr>
      </w:pPr>
    </w:p>
    <w:p w14:paraId="477CC50D">
      <w:pPr>
        <w:pStyle w:val="12"/>
        <w:bidi w:val="0"/>
        <w:rPr>
          <w:rFonts w:hint="eastAsia"/>
        </w:rPr>
      </w:pPr>
      <w:bookmarkStart w:id="129" w:name="_Toc1396991637"/>
      <w:bookmarkStart w:id="130" w:name="_Toc28176"/>
      <w:bookmarkStart w:id="131" w:name="_Toc9982"/>
      <w:bookmarkStart w:id="132" w:name="_Toc23337"/>
      <w:r>
        <w:rPr>
          <w:rFonts w:hint="eastAsia"/>
        </w:rPr>
        <w:t>信号监控</w:t>
      </w:r>
      <w:bookmarkEnd w:id="129"/>
      <w:bookmarkEnd w:id="130"/>
      <w:bookmarkEnd w:id="131"/>
      <w:bookmarkEnd w:id="132"/>
    </w:p>
    <w:p w14:paraId="7C03CF22">
      <w:pPr>
        <w:bidi w:val="0"/>
        <w:rPr>
          <w:rFonts w:hint="eastAsia"/>
        </w:rPr>
      </w:pPr>
      <w:r>
        <w:drawing>
          <wp:inline distT="0" distB="0" distL="0" distR="0">
            <wp:extent cx="5252720" cy="8036560"/>
            <wp:effectExtent l="0" t="0" r="5080" b="254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52720" cy="8036560"/>
                    </a:xfrm>
                    <a:prstGeom prst="rect">
                      <a:avLst/>
                    </a:prstGeom>
                    <a:noFill/>
                    <a:ln>
                      <a:noFill/>
                    </a:ln>
                  </pic:spPr>
                </pic:pic>
              </a:graphicData>
            </a:graphic>
          </wp:inline>
        </w:drawing>
      </w:r>
    </w:p>
    <w:p w14:paraId="4FD19A50">
      <w:pPr>
        <w:bidi w:val="0"/>
      </w:pPr>
      <w:r>
        <w:br w:type="page"/>
      </w:r>
    </w:p>
    <w:p w14:paraId="70B565E2">
      <w:pPr>
        <w:bidi w:val="0"/>
        <w:rPr>
          <w:rFonts w:hint="eastAsia"/>
        </w:rPr>
      </w:pPr>
    </w:p>
    <w:tbl>
      <w:tblPr>
        <w:tblStyle w:val="43"/>
        <w:tblW w:w="9915" w:type="dxa"/>
        <w:jc w:val="center"/>
        <w:tblLayout w:type="autofit"/>
        <w:tblCellMar>
          <w:top w:w="0" w:type="dxa"/>
          <w:left w:w="108" w:type="dxa"/>
          <w:bottom w:w="0" w:type="dxa"/>
          <w:right w:w="108" w:type="dxa"/>
        </w:tblCellMar>
      </w:tblPr>
      <w:tblGrid>
        <w:gridCol w:w="693"/>
        <w:gridCol w:w="2220"/>
        <w:gridCol w:w="1695"/>
        <w:gridCol w:w="5307"/>
      </w:tblGrid>
      <w:tr w14:paraId="0F3EC637">
        <w:tblPrEx>
          <w:tblCellMar>
            <w:top w:w="0" w:type="dxa"/>
            <w:left w:w="108" w:type="dxa"/>
            <w:bottom w:w="0" w:type="dxa"/>
            <w:right w:w="108" w:type="dxa"/>
          </w:tblCellMar>
        </w:tblPrEx>
        <w:trPr>
          <w:trHeight w:val="652" w:hRule="atLeast"/>
          <w:jc w:val="center"/>
        </w:trPr>
        <w:tc>
          <w:tcPr>
            <w:tcW w:w="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62EDBB3">
            <w:pPr>
              <w:bidi w:val="0"/>
              <w:rPr>
                <w:rFonts w:hint="eastAsia"/>
              </w:rPr>
            </w:pPr>
            <w:r>
              <w:rPr>
                <w:rFonts w:hint="eastAsia"/>
              </w:rPr>
              <w:t>序号</w:t>
            </w:r>
          </w:p>
        </w:tc>
        <w:tc>
          <w:tcPr>
            <w:tcW w:w="222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CC8682C">
            <w:pPr>
              <w:bidi w:val="0"/>
              <w:rPr>
                <w:rFonts w:hint="eastAsia"/>
              </w:rPr>
            </w:pPr>
            <w:r>
              <w:rPr>
                <w:rFonts w:hint="eastAsia"/>
              </w:rPr>
              <w:t>节点名称</w:t>
            </w:r>
          </w:p>
        </w:tc>
        <w:tc>
          <w:tcPr>
            <w:tcW w:w="1695"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9E65F98">
            <w:pPr>
              <w:bidi w:val="0"/>
              <w:rPr>
                <w:rFonts w:hint="eastAsia"/>
              </w:rPr>
            </w:pPr>
            <w:r>
              <w:rPr>
                <w:rFonts w:hint="eastAsia"/>
              </w:rPr>
              <w:t>节点类型（操作/作业流程/示意流程）</w:t>
            </w:r>
          </w:p>
        </w:tc>
        <w:tc>
          <w:tcPr>
            <w:tcW w:w="5307"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3E72FAEC">
            <w:pPr>
              <w:bidi w:val="0"/>
              <w:rPr>
                <w:rFonts w:hint="eastAsia"/>
              </w:rPr>
            </w:pPr>
            <w:r>
              <w:rPr>
                <w:rFonts w:hint="eastAsia"/>
              </w:rPr>
              <w:t>节点描述（如何做）</w:t>
            </w:r>
          </w:p>
        </w:tc>
      </w:tr>
      <w:tr w14:paraId="7DCAC792">
        <w:tblPrEx>
          <w:tblCellMar>
            <w:top w:w="0" w:type="dxa"/>
            <w:left w:w="108" w:type="dxa"/>
            <w:bottom w:w="0" w:type="dxa"/>
            <w:right w:w="108" w:type="dxa"/>
          </w:tblCellMar>
        </w:tblPrEx>
        <w:trPr>
          <w:trHeight w:val="480"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5C008302">
            <w:pPr>
              <w:bidi w:val="0"/>
              <w:rPr>
                <w:rFonts w:hint="eastAsia"/>
              </w:rPr>
            </w:pPr>
          </w:p>
        </w:tc>
        <w:tc>
          <w:tcPr>
            <w:tcW w:w="2220" w:type="dxa"/>
            <w:vMerge w:val="continue"/>
            <w:tcBorders>
              <w:top w:val="single" w:color="auto" w:sz="4" w:space="0"/>
              <w:left w:val="single" w:color="auto" w:sz="4" w:space="0"/>
              <w:bottom w:val="single" w:color="auto" w:sz="4" w:space="0"/>
              <w:right w:val="single" w:color="auto" w:sz="4" w:space="0"/>
            </w:tcBorders>
            <w:vAlign w:val="center"/>
          </w:tcPr>
          <w:p w14:paraId="5D4A1227">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62358CF2">
            <w:pPr>
              <w:bidi w:val="0"/>
              <w:rPr>
                <w:rFonts w:hint="eastAsia"/>
              </w:rPr>
            </w:pPr>
          </w:p>
        </w:tc>
        <w:tc>
          <w:tcPr>
            <w:tcW w:w="5307" w:type="dxa"/>
            <w:vMerge w:val="continue"/>
            <w:tcBorders>
              <w:top w:val="single" w:color="auto" w:sz="4" w:space="0"/>
              <w:left w:val="single" w:color="auto" w:sz="4" w:space="0"/>
              <w:bottom w:val="single" w:color="auto" w:sz="4" w:space="0"/>
              <w:right w:val="single" w:color="auto" w:sz="4" w:space="0"/>
            </w:tcBorders>
            <w:vAlign w:val="center"/>
          </w:tcPr>
          <w:p w14:paraId="5A307440">
            <w:pPr>
              <w:bidi w:val="0"/>
              <w:rPr>
                <w:rFonts w:hint="eastAsia"/>
              </w:rPr>
            </w:pPr>
          </w:p>
        </w:tc>
      </w:tr>
      <w:tr w14:paraId="516AB4BC">
        <w:tblPrEx>
          <w:tblCellMar>
            <w:top w:w="0" w:type="dxa"/>
            <w:left w:w="108" w:type="dxa"/>
            <w:bottom w:w="0" w:type="dxa"/>
            <w:right w:w="108" w:type="dxa"/>
          </w:tblCellMar>
        </w:tblPrEx>
        <w:trPr>
          <w:trHeight w:val="468"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13A2438B">
            <w:pPr>
              <w:bidi w:val="0"/>
              <w:rPr>
                <w:rFonts w:hint="eastAsia"/>
              </w:rPr>
            </w:pPr>
          </w:p>
        </w:tc>
        <w:tc>
          <w:tcPr>
            <w:tcW w:w="2220" w:type="dxa"/>
            <w:vMerge w:val="continue"/>
            <w:tcBorders>
              <w:top w:val="single" w:color="auto" w:sz="4" w:space="0"/>
              <w:left w:val="single" w:color="auto" w:sz="4" w:space="0"/>
              <w:bottom w:val="single" w:color="auto" w:sz="4" w:space="0"/>
              <w:right w:val="single" w:color="auto" w:sz="4" w:space="0"/>
            </w:tcBorders>
            <w:vAlign w:val="center"/>
          </w:tcPr>
          <w:p w14:paraId="037559BD">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366701C0">
            <w:pPr>
              <w:bidi w:val="0"/>
              <w:rPr>
                <w:rFonts w:hint="eastAsia"/>
              </w:rPr>
            </w:pPr>
          </w:p>
        </w:tc>
        <w:tc>
          <w:tcPr>
            <w:tcW w:w="5307" w:type="dxa"/>
            <w:vMerge w:val="continue"/>
            <w:tcBorders>
              <w:top w:val="single" w:color="auto" w:sz="4" w:space="0"/>
              <w:left w:val="single" w:color="auto" w:sz="4" w:space="0"/>
              <w:bottom w:val="single" w:color="auto" w:sz="4" w:space="0"/>
              <w:right w:val="single" w:color="auto" w:sz="4" w:space="0"/>
            </w:tcBorders>
            <w:vAlign w:val="center"/>
          </w:tcPr>
          <w:p w14:paraId="4A2D6695">
            <w:pPr>
              <w:bidi w:val="0"/>
              <w:rPr>
                <w:rFonts w:hint="eastAsia"/>
              </w:rPr>
            </w:pPr>
          </w:p>
        </w:tc>
      </w:tr>
      <w:tr w14:paraId="49C01FDF">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130D909">
            <w:pPr>
              <w:bidi w:val="0"/>
              <w:rPr>
                <w:rFonts w:hint="eastAsia"/>
              </w:rPr>
            </w:pPr>
            <w:r>
              <w:rPr>
                <w:rFonts w:hint="eastAsia"/>
              </w:rPr>
              <w:t>1</w:t>
            </w:r>
          </w:p>
        </w:tc>
        <w:tc>
          <w:tcPr>
            <w:tcW w:w="2220" w:type="dxa"/>
            <w:tcBorders>
              <w:top w:val="nil"/>
              <w:left w:val="nil"/>
              <w:bottom w:val="single" w:color="auto" w:sz="4" w:space="0"/>
              <w:right w:val="single" w:color="auto" w:sz="4" w:space="0"/>
            </w:tcBorders>
            <w:shd w:val="clear" w:color="auto" w:fill="auto"/>
            <w:vAlign w:val="center"/>
          </w:tcPr>
          <w:p w14:paraId="512F55E3">
            <w:pPr>
              <w:bidi w:val="0"/>
              <w:rPr>
                <w:rFonts w:hint="eastAsia"/>
              </w:rPr>
            </w:pPr>
            <w:r>
              <w:rPr>
                <w:rFonts w:hint="eastAsia"/>
              </w:rPr>
              <w:t>1 机型集成方案配置</w:t>
            </w:r>
          </w:p>
        </w:tc>
        <w:tc>
          <w:tcPr>
            <w:tcW w:w="1695" w:type="dxa"/>
            <w:tcBorders>
              <w:top w:val="nil"/>
              <w:left w:val="nil"/>
              <w:bottom w:val="single" w:color="auto" w:sz="4" w:space="0"/>
              <w:right w:val="single" w:color="auto" w:sz="4" w:space="0"/>
            </w:tcBorders>
            <w:shd w:val="clear" w:color="auto" w:fill="auto"/>
            <w:vAlign w:val="center"/>
          </w:tcPr>
          <w:p w14:paraId="7FCDEDAC">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539AB49A">
            <w:pPr>
              <w:bidi w:val="0"/>
              <w:rPr>
                <w:rFonts w:hint="eastAsia"/>
              </w:rPr>
            </w:pPr>
            <w:r>
              <w:rPr>
                <w:rFonts w:hint="eastAsia"/>
              </w:rPr>
              <w:t>系统在调试模式下，需要进行机型集成方案配置，也就是导入此机型的方案算法库以及一些动态的配置</w:t>
            </w:r>
          </w:p>
        </w:tc>
      </w:tr>
      <w:tr w14:paraId="193FB17F">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6370BF0">
            <w:pPr>
              <w:bidi w:val="0"/>
              <w:rPr>
                <w:rFonts w:hint="eastAsia"/>
              </w:rPr>
            </w:pPr>
            <w:r>
              <w:rPr>
                <w:rFonts w:hint="eastAsia"/>
              </w:rPr>
              <w:t>2</w:t>
            </w:r>
          </w:p>
        </w:tc>
        <w:tc>
          <w:tcPr>
            <w:tcW w:w="2220" w:type="dxa"/>
            <w:tcBorders>
              <w:top w:val="nil"/>
              <w:left w:val="nil"/>
              <w:bottom w:val="single" w:color="auto" w:sz="4" w:space="0"/>
              <w:right w:val="single" w:color="auto" w:sz="4" w:space="0"/>
            </w:tcBorders>
            <w:shd w:val="clear" w:color="auto" w:fill="auto"/>
            <w:vAlign w:val="center"/>
          </w:tcPr>
          <w:p w14:paraId="6A445FF6">
            <w:pPr>
              <w:bidi w:val="0"/>
              <w:rPr>
                <w:rFonts w:hint="eastAsia"/>
              </w:rPr>
            </w:pPr>
            <w:r>
              <w:rPr>
                <w:rFonts w:hint="eastAsia"/>
              </w:rPr>
              <w:t>2 设备配置</w:t>
            </w:r>
          </w:p>
        </w:tc>
        <w:tc>
          <w:tcPr>
            <w:tcW w:w="1695" w:type="dxa"/>
            <w:tcBorders>
              <w:top w:val="nil"/>
              <w:left w:val="nil"/>
              <w:bottom w:val="single" w:color="auto" w:sz="4" w:space="0"/>
              <w:right w:val="single" w:color="auto" w:sz="4" w:space="0"/>
            </w:tcBorders>
            <w:shd w:val="clear" w:color="auto" w:fill="auto"/>
            <w:vAlign w:val="center"/>
          </w:tcPr>
          <w:p w14:paraId="63ACC6A9">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1F013D2">
            <w:pPr>
              <w:bidi w:val="0"/>
              <w:rPr>
                <w:rFonts w:hint="eastAsia"/>
              </w:rPr>
            </w:pPr>
            <w:r>
              <w:rPr>
                <w:rFonts w:hint="eastAsia"/>
              </w:rPr>
              <w:t>在调试模式下的，需要进行的机型设备配置，包括对读码器和PLC的基础信息配置</w:t>
            </w:r>
          </w:p>
        </w:tc>
      </w:tr>
      <w:tr w14:paraId="26C48A79">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CE1CB5C">
            <w:pPr>
              <w:bidi w:val="0"/>
              <w:rPr>
                <w:rFonts w:hint="eastAsia"/>
              </w:rPr>
            </w:pPr>
            <w:r>
              <w:rPr>
                <w:rFonts w:hint="eastAsia"/>
              </w:rPr>
              <w:t>3</w:t>
            </w:r>
          </w:p>
        </w:tc>
        <w:tc>
          <w:tcPr>
            <w:tcW w:w="2220" w:type="dxa"/>
            <w:tcBorders>
              <w:top w:val="nil"/>
              <w:left w:val="nil"/>
              <w:bottom w:val="single" w:color="auto" w:sz="4" w:space="0"/>
              <w:right w:val="single" w:color="auto" w:sz="4" w:space="0"/>
            </w:tcBorders>
            <w:shd w:val="clear" w:color="auto" w:fill="auto"/>
            <w:vAlign w:val="center"/>
          </w:tcPr>
          <w:p w14:paraId="44CA8985">
            <w:pPr>
              <w:bidi w:val="0"/>
              <w:rPr>
                <w:rFonts w:hint="eastAsia"/>
              </w:rPr>
            </w:pPr>
            <w:r>
              <w:rPr>
                <w:rFonts w:hint="eastAsia"/>
              </w:rPr>
              <w:t>3 品规配置</w:t>
            </w:r>
          </w:p>
        </w:tc>
        <w:tc>
          <w:tcPr>
            <w:tcW w:w="1695" w:type="dxa"/>
            <w:tcBorders>
              <w:top w:val="nil"/>
              <w:left w:val="nil"/>
              <w:bottom w:val="single" w:color="auto" w:sz="4" w:space="0"/>
              <w:right w:val="single" w:color="auto" w:sz="4" w:space="0"/>
            </w:tcBorders>
            <w:shd w:val="clear" w:color="auto" w:fill="auto"/>
            <w:vAlign w:val="center"/>
          </w:tcPr>
          <w:p w14:paraId="1DEDFB86">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7AA415E1">
            <w:pPr>
              <w:bidi w:val="0"/>
              <w:rPr>
                <w:rFonts w:hint="eastAsia"/>
              </w:rPr>
            </w:pPr>
            <w:r>
              <w:rPr>
                <w:rFonts w:hint="eastAsia"/>
              </w:rPr>
              <w:t>在调试模式下的品规配置，结合当前机台的实际调试牌号，配置好当前调试的品规信息</w:t>
            </w:r>
          </w:p>
        </w:tc>
      </w:tr>
      <w:tr w14:paraId="6FFFE1F9">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2DA5B42">
            <w:pPr>
              <w:bidi w:val="0"/>
              <w:rPr>
                <w:rFonts w:hint="eastAsia"/>
              </w:rPr>
            </w:pPr>
            <w:r>
              <w:rPr>
                <w:rFonts w:hint="eastAsia"/>
              </w:rPr>
              <w:t>4</w:t>
            </w:r>
          </w:p>
        </w:tc>
        <w:tc>
          <w:tcPr>
            <w:tcW w:w="2220" w:type="dxa"/>
            <w:tcBorders>
              <w:top w:val="nil"/>
              <w:left w:val="nil"/>
              <w:bottom w:val="single" w:color="auto" w:sz="4" w:space="0"/>
              <w:right w:val="single" w:color="auto" w:sz="4" w:space="0"/>
            </w:tcBorders>
            <w:shd w:val="clear" w:color="auto" w:fill="auto"/>
            <w:vAlign w:val="center"/>
          </w:tcPr>
          <w:p w14:paraId="1D40FD91">
            <w:pPr>
              <w:bidi w:val="0"/>
              <w:rPr>
                <w:rFonts w:hint="eastAsia"/>
              </w:rPr>
            </w:pPr>
            <w:r>
              <w:rPr>
                <w:rFonts w:hint="eastAsia"/>
              </w:rPr>
              <w:t>4 系统自检</w:t>
            </w:r>
          </w:p>
        </w:tc>
        <w:tc>
          <w:tcPr>
            <w:tcW w:w="1695" w:type="dxa"/>
            <w:tcBorders>
              <w:top w:val="nil"/>
              <w:left w:val="nil"/>
              <w:bottom w:val="single" w:color="auto" w:sz="4" w:space="0"/>
              <w:right w:val="single" w:color="auto" w:sz="4" w:space="0"/>
            </w:tcBorders>
            <w:shd w:val="clear" w:color="auto" w:fill="auto"/>
            <w:vAlign w:val="center"/>
          </w:tcPr>
          <w:p w14:paraId="492B92CD">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B39EE90">
            <w:pPr>
              <w:bidi w:val="0"/>
              <w:rPr>
                <w:rFonts w:hint="eastAsia"/>
              </w:rPr>
            </w:pPr>
            <w:r>
              <w:rPr>
                <w:rFonts w:hint="eastAsia"/>
              </w:rPr>
              <w:t>在调试模式下的系统自检业务，包括了对系统的运行环境、设备（PLC和读码相机）的检验</w:t>
            </w:r>
          </w:p>
        </w:tc>
      </w:tr>
      <w:tr w14:paraId="3D68560E">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80013B3">
            <w:pPr>
              <w:bidi w:val="0"/>
              <w:rPr>
                <w:rFonts w:hint="eastAsia"/>
              </w:rPr>
            </w:pPr>
            <w:r>
              <w:rPr>
                <w:rFonts w:hint="eastAsia"/>
              </w:rPr>
              <w:t>5</w:t>
            </w:r>
          </w:p>
        </w:tc>
        <w:tc>
          <w:tcPr>
            <w:tcW w:w="2220" w:type="dxa"/>
            <w:tcBorders>
              <w:top w:val="nil"/>
              <w:left w:val="nil"/>
              <w:bottom w:val="single" w:color="auto" w:sz="4" w:space="0"/>
              <w:right w:val="single" w:color="auto" w:sz="4" w:space="0"/>
            </w:tcBorders>
            <w:shd w:val="clear" w:color="auto" w:fill="auto"/>
            <w:vAlign w:val="center"/>
          </w:tcPr>
          <w:p w14:paraId="0F12FF6E">
            <w:pPr>
              <w:bidi w:val="0"/>
              <w:rPr>
                <w:rFonts w:hint="eastAsia"/>
              </w:rPr>
            </w:pPr>
            <w:r>
              <w:rPr>
                <w:rFonts w:hint="eastAsia"/>
              </w:rPr>
              <w:t>5 关联验证</w:t>
            </w:r>
          </w:p>
        </w:tc>
        <w:tc>
          <w:tcPr>
            <w:tcW w:w="1695" w:type="dxa"/>
            <w:tcBorders>
              <w:top w:val="nil"/>
              <w:left w:val="nil"/>
              <w:bottom w:val="single" w:color="auto" w:sz="4" w:space="0"/>
              <w:right w:val="single" w:color="auto" w:sz="4" w:space="0"/>
            </w:tcBorders>
            <w:shd w:val="clear" w:color="auto" w:fill="auto"/>
            <w:vAlign w:val="center"/>
          </w:tcPr>
          <w:p w14:paraId="73044573">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9290DF2">
            <w:pPr>
              <w:bidi w:val="0"/>
              <w:rPr>
                <w:rFonts w:hint="eastAsia"/>
              </w:rPr>
            </w:pPr>
            <w:r>
              <w:rPr>
                <w:rFonts w:hint="eastAsia"/>
              </w:rPr>
              <w:t>在调试模式下的系统关联验证业务，验证当前的系统集成方案配置、PLC信号、读码相机是否与当前机台匹配</w:t>
            </w:r>
          </w:p>
        </w:tc>
      </w:tr>
      <w:tr w14:paraId="500EBF02">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F3B5675">
            <w:pPr>
              <w:bidi w:val="0"/>
              <w:rPr>
                <w:rFonts w:hint="eastAsia"/>
              </w:rPr>
            </w:pPr>
            <w:r>
              <w:rPr>
                <w:rFonts w:hint="eastAsia"/>
              </w:rPr>
              <w:t>6</w:t>
            </w:r>
          </w:p>
        </w:tc>
        <w:tc>
          <w:tcPr>
            <w:tcW w:w="2220" w:type="dxa"/>
            <w:tcBorders>
              <w:top w:val="nil"/>
              <w:left w:val="nil"/>
              <w:bottom w:val="single" w:color="auto" w:sz="4" w:space="0"/>
              <w:right w:val="single" w:color="auto" w:sz="4" w:space="0"/>
            </w:tcBorders>
            <w:shd w:val="clear" w:color="auto" w:fill="auto"/>
            <w:vAlign w:val="center"/>
          </w:tcPr>
          <w:p w14:paraId="0ACCF7DA">
            <w:pPr>
              <w:bidi w:val="0"/>
              <w:rPr>
                <w:rFonts w:hint="eastAsia"/>
              </w:rPr>
            </w:pPr>
            <w:r>
              <w:rPr>
                <w:rFonts w:hint="eastAsia"/>
              </w:rPr>
              <w:t>6“盒条”产线注册</w:t>
            </w:r>
          </w:p>
        </w:tc>
        <w:tc>
          <w:tcPr>
            <w:tcW w:w="1695" w:type="dxa"/>
            <w:tcBorders>
              <w:top w:val="nil"/>
              <w:left w:val="nil"/>
              <w:bottom w:val="single" w:color="auto" w:sz="4" w:space="0"/>
              <w:right w:val="single" w:color="auto" w:sz="4" w:space="0"/>
            </w:tcBorders>
            <w:shd w:val="clear" w:color="auto" w:fill="auto"/>
            <w:vAlign w:val="center"/>
          </w:tcPr>
          <w:p w14:paraId="01D7F9F3">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EB5E6AB">
            <w:pPr>
              <w:bidi w:val="0"/>
              <w:rPr>
                <w:rFonts w:hint="eastAsia"/>
              </w:rPr>
            </w:pPr>
            <w:r>
              <w:rPr>
                <w:rFonts w:hint="eastAsia"/>
              </w:rPr>
              <w:t>在正式生产前，需要将当前产线注册到厂级系统中，注册成功后将其系统信息、机台信息、设备信息同步给厂级系统。</w:t>
            </w:r>
          </w:p>
        </w:tc>
      </w:tr>
      <w:tr w14:paraId="2B8776CF">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1BFFC58">
            <w:pPr>
              <w:bidi w:val="0"/>
              <w:rPr>
                <w:rFonts w:hint="eastAsia"/>
              </w:rPr>
            </w:pPr>
            <w:r>
              <w:rPr>
                <w:rFonts w:hint="eastAsia"/>
              </w:rPr>
              <w:t>7</w:t>
            </w:r>
          </w:p>
        </w:tc>
        <w:tc>
          <w:tcPr>
            <w:tcW w:w="2220" w:type="dxa"/>
            <w:tcBorders>
              <w:top w:val="nil"/>
              <w:left w:val="nil"/>
              <w:bottom w:val="single" w:color="auto" w:sz="4" w:space="0"/>
              <w:right w:val="single" w:color="auto" w:sz="4" w:space="0"/>
            </w:tcBorders>
            <w:shd w:val="clear" w:color="auto" w:fill="auto"/>
            <w:vAlign w:val="center"/>
          </w:tcPr>
          <w:p w14:paraId="533AC710">
            <w:pPr>
              <w:bidi w:val="0"/>
              <w:rPr>
                <w:rFonts w:hint="eastAsia"/>
              </w:rPr>
            </w:pPr>
            <w:r>
              <w:rPr>
                <w:rFonts w:hint="eastAsia"/>
              </w:rPr>
              <w:t>7“盒条件”关联</w:t>
            </w:r>
          </w:p>
          <w:p w14:paraId="64D392BF">
            <w:pPr>
              <w:bidi w:val="0"/>
              <w:rPr>
                <w:rFonts w:hint="eastAsia"/>
              </w:rPr>
            </w:pPr>
            <w:r>
              <w:rPr>
                <w:rFonts w:hint="eastAsia"/>
              </w:rPr>
              <w:t xml:space="preserve">厂级设备管理 </w:t>
            </w:r>
          </w:p>
        </w:tc>
        <w:tc>
          <w:tcPr>
            <w:tcW w:w="1695" w:type="dxa"/>
            <w:tcBorders>
              <w:top w:val="nil"/>
              <w:left w:val="nil"/>
              <w:bottom w:val="single" w:color="auto" w:sz="4" w:space="0"/>
              <w:right w:val="single" w:color="auto" w:sz="4" w:space="0"/>
            </w:tcBorders>
            <w:shd w:val="clear" w:color="auto" w:fill="auto"/>
            <w:vAlign w:val="center"/>
          </w:tcPr>
          <w:p w14:paraId="2998553B">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2AF23CA">
            <w:pPr>
              <w:bidi w:val="0"/>
              <w:rPr>
                <w:rFonts w:hint="eastAsia"/>
              </w:rPr>
            </w:pPr>
            <w:r>
              <w:rPr>
                <w:rFonts w:hint="eastAsia"/>
              </w:rPr>
              <w:t>主要包括产线管理、PLC和读码相机管理等</w:t>
            </w:r>
          </w:p>
        </w:tc>
      </w:tr>
      <w:tr w14:paraId="533385F2">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62A4821">
            <w:pPr>
              <w:bidi w:val="0"/>
              <w:rPr>
                <w:rFonts w:hint="eastAsia"/>
              </w:rPr>
            </w:pPr>
            <w:r>
              <w:rPr>
                <w:rFonts w:hint="eastAsia"/>
              </w:rPr>
              <w:t>8</w:t>
            </w:r>
          </w:p>
        </w:tc>
        <w:tc>
          <w:tcPr>
            <w:tcW w:w="2220" w:type="dxa"/>
            <w:tcBorders>
              <w:top w:val="nil"/>
              <w:left w:val="nil"/>
              <w:bottom w:val="single" w:color="auto" w:sz="4" w:space="0"/>
              <w:right w:val="single" w:color="auto" w:sz="4" w:space="0"/>
            </w:tcBorders>
            <w:shd w:val="clear" w:color="auto" w:fill="auto"/>
            <w:vAlign w:val="center"/>
          </w:tcPr>
          <w:p w14:paraId="4EB1EE0E">
            <w:pPr>
              <w:bidi w:val="0"/>
              <w:rPr>
                <w:rFonts w:hint="eastAsia"/>
              </w:rPr>
            </w:pPr>
            <w:r>
              <w:rPr>
                <w:rFonts w:hint="eastAsia"/>
              </w:rPr>
              <w:t>8 人员同步</w:t>
            </w:r>
          </w:p>
        </w:tc>
        <w:tc>
          <w:tcPr>
            <w:tcW w:w="1695" w:type="dxa"/>
            <w:tcBorders>
              <w:top w:val="nil"/>
              <w:left w:val="nil"/>
              <w:bottom w:val="single" w:color="auto" w:sz="4" w:space="0"/>
              <w:right w:val="single" w:color="auto" w:sz="4" w:space="0"/>
            </w:tcBorders>
            <w:shd w:val="clear" w:color="auto" w:fill="auto"/>
            <w:vAlign w:val="center"/>
          </w:tcPr>
          <w:p w14:paraId="6E797C6E">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779AEA5">
            <w:pPr>
              <w:bidi w:val="0"/>
              <w:rPr>
                <w:rFonts w:hint="eastAsia"/>
              </w:rPr>
            </w:pPr>
            <w:r>
              <w:rPr>
                <w:rFonts w:hint="eastAsia"/>
              </w:rPr>
              <w:t>厂级系统的人员信息同步至本地环境</w:t>
            </w:r>
          </w:p>
        </w:tc>
      </w:tr>
      <w:tr w14:paraId="32330481">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9816D9E">
            <w:pPr>
              <w:bidi w:val="0"/>
              <w:rPr>
                <w:rFonts w:hint="eastAsia"/>
              </w:rPr>
            </w:pPr>
            <w:r>
              <w:rPr>
                <w:rFonts w:hint="eastAsia"/>
              </w:rPr>
              <w:t>9</w:t>
            </w:r>
          </w:p>
        </w:tc>
        <w:tc>
          <w:tcPr>
            <w:tcW w:w="2220" w:type="dxa"/>
            <w:tcBorders>
              <w:top w:val="nil"/>
              <w:left w:val="nil"/>
              <w:bottom w:val="single" w:color="auto" w:sz="4" w:space="0"/>
              <w:right w:val="single" w:color="auto" w:sz="4" w:space="0"/>
            </w:tcBorders>
            <w:shd w:val="clear" w:color="auto" w:fill="auto"/>
            <w:vAlign w:val="center"/>
          </w:tcPr>
          <w:p w14:paraId="19C8DA95">
            <w:pPr>
              <w:bidi w:val="0"/>
              <w:rPr>
                <w:rFonts w:hint="eastAsia"/>
              </w:rPr>
            </w:pPr>
            <w:r>
              <w:rPr>
                <w:rFonts w:hint="eastAsia"/>
              </w:rPr>
              <w:t>9 角色同步</w:t>
            </w:r>
          </w:p>
        </w:tc>
        <w:tc>
          <w:tcPr>
            <w:tcW w:w="1695" w:type="dxa"/>
            <w:tcBorders>
              <w:top w:val="nil"/>
              <w:left w:val="nil"/>
              <w:bottom w:val="single" w:color="auto" w:sz="4" w:space="0"/>
              <w:right w:val="single" w:color="auto" w:sz="4" w:space="0"/>
            </w:tcBorders>
            <w:shd w:val="clear" w:color="auto" w:fill="auto"/>
            <w:vAlign w:val="center"/>
          </w:tcPr>
          <w:p w14:paraId="2B2D8893">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C70B144">
            <w:pPr>
              <w:bidi w:val="0"/>
              <w:rPr>
                <w:rFonts w:hint="eastAsia"/>
              </w:rPr>
            </w:pPr>
            <w:r>
              <w:rPr>
                <w:rFonts w:hint="eastAsia"/>
              </w:rPr>
              <w:t>将厂级系统的角色信息同步至本地环境</w:t>
            </w:r>
          </w:p>
        </w:tc>
      </w:tr>
      <w:tr w14:paraId="3F3882D0">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4AB9386">
            <w:pPr>
              <w:bidi w:val="0"/>
              <w:rPr>
                <w:rFonts w:hint="eastAsia"/>
              </w:rPr>
            </w:pPr>
            <w:r>
              <w:rPr>
                <w:rFonts w:hint="eastAsia"/>
              </w:rPr>
              <w:t>10</w:t>
            </w:r>
          </w:p>
        </w:tc>
        <w:tc>
          <w:tcPr>
            <w:tcW w:w="2220" w:type="dxa"/>
            <w:tcBorders>
              <w:top w:val="nil"/>
              <w:left w:val="nil"/>
              <w:bottom w:val="single" w:color="auto" w:sz="4" w:space="0"/>
              <w:right w:val="single" w:color="auto" w:sz="4" w:space="0"/>
            </w:tcBorders>
            <w:shd w:val="clear" w:color="auto" w:fill="auto"/>
            <w:vAlign w:val="center"/>
          </w:tcPr>
          <w:p w14:paraId="154FE5E9">
            <w:pPr>
              <w:bidi w:val="0"/>
              <w:rPr>
                <w:rFonts w:hint="eastAsia"/>
              </w:rPr>
            </w:pPr>
            <w:r>
              <w:rPr>
                <w:rFonts w:hint="eastAsia"/>
              </w:rPr>
              <w:t>10 权限同步</w:t>
            </w:r>
          </w:p>
        </w:tc>
        <w:tc>
          <w:tcPr>
            <w:tcW w:w="1695" w:type="dxa"/>
            <w:tcBorders>
              <w:top w:val="nil"/>
              <w:left w:val="nil"/>
              <w:bottom w:val="single" w:color="auto" w:sz="4" w:space="0"/>
              <w:right w:val="single" w:color="auto" w:sz="4" w:space="0"/>
            </w:tcBorders>
            <w:shd w:val="clear" w:color="auto" w:fill="auto"/>
            <w:vAlign w:val="center"/>
          </w:tcPr>
          <w:p w14:paraId="2646B090">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91C99F6">
            <w:pPr>
              <w:bidi w:val="0"/>
              <w:rPr>
                <w:rFonts w:hint="eastAsia"/>
              </w:rPr>
            </w:pPr>
            <w:r>
              <w:rPr>
                <w:rFonts w:hint="eastAsia"/>
              </w:rPr>
              <w:t>将厂级系统的权限信息同步至本地环境</w:t>
            </w:r>
          </w:p>
        </w:tc>
      </w:tr>
      <w:tr w14:paraId="0B07E786">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7BF8FD5D">
            <w:pPr>
              <w:bidi w:val="0"/>
              <w:rPr>
                <w:rFonts w:hint="eastAsia"/>
              </w:rPr>
            </w:pPr>
            <w:r>
              <w:rPr>
                <w:rFonts w:hint="eastAsia"/>
              </w:rPr>
              <w:t>11</w:t>
            </w:r>
          </w:p>
        </w:tc>
        <w:tc>
          <w:tcPr>
            <w:tcW w:w="2220" w:type="dxa"/>
            <w:tcBorders>
              <w:top w:val="single" w:color="auto" w:sz="4" w:space="0"/>
              <w:left w:val="single" w:color="auto" w:sz="4" w:space="0"/>
              <w:bottom w:val="single" w:color="auto" w:sz="4" w:space="0"/>
              <w:right w:val="single" w:color="auto" w:sz="4" w:space="0"/>
            </w:tcBorders>
            <w:shd w:val="clear" w:color="auto" w:fill="auto"/>
            <w:vAlign w:val="center"/>
          </w:tcPr>
          <w:p w14:paraId="3C27380D">
            <w:pPr>
              <w:bidi w:val="0"/>
              <w:rPr>
                <w:rFonts w:hint="eastAsia"/>
              </w:rPr>
            </w:pPr>
            <w:r>
              <w:rPr>
                <w:rFonts w:hint="eastAsia"/>
              </w:rPr>
              <w:t>11 品规同步</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6EFE67D5">
            <w:pPr>
              <w:bidi w:val="0"/>
              <w:rPr>
                <w:rFonts w:hint="eastAsia"/>
              </w:rPr>
            </w:pPr>
            <w:r>
              <w:rPr>
                <w:rFonts w:hint="eastAsia"/>
              </w:rPr>
              <w:t>作业流程</w:t>
            </w:r>
          </w:p>
        </w:tc>
        <w:tc>
          <w:tcPr>
            <w:tcW w:w="5307" w:type="dxa"/>
            <w:tcBorders>
              <w:top w:val="single" w:color="auto" w:sz="4" w:space="0"/>
              <w:left w:val="single" w:color="auto" w:sz="4" w:space="0"/>
              <w:bottom w:val="single" w:color="auto" w:sz="4" w:space="0"/>
              <w:right w:val="single" w:color="auto" w:sz="4" w:space="0"/>
            </w:tcBorders>
            <w:shd w:val="clear" w:color="auto" w:fill="auto"/>
            <w:vAlign w:val="center"/>
          </w:tcPr>
          <w:p w14:paraId="2F5AFD67">
            <w:pPr>
              <w:bidi w:val="0"/>
              <w:rPr>
                <w:rFonts w:hint="eastAsia"/>
              </w:rPr>
            </w:pPr>
            <w:r>
              <w:rPr>
                <w:rFonts w:hint="eastAsia"/>
              </w:rPr>
              <w:t>将厂级系统的品规信息同步至本地环境</w:t>
            </w:r>
          </w:p>
        </w:tc>
      </w:tr>
      <w:tr w14:paraId="0F0A1CD9">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16603648">
            <w:pPr>
              <w:bidi w:val="0"/>
              <w:rPr>
                <w:rFonts w:hint="eastAsia"/>
              </w:rPr>
            </w:pPr>
            <w:r>
              <w:rPr>
                <w:rFonts w:hint="eastAsia"/>
              </w:rPr>
              <w:t>12</w:t>
            </w:r>
          </w:p>
        </w:tc>
        <w:tc>
          <w:tcPr>
            <w:tcW w:w="2220" w:type="dxa"/>
            <w:tcBorders>
              <w:top w:val="single" w:color="auto" w:sz="4" w:space="0"/>
              <w:left w:val="nil"/>
              <w:bottom w:val="single" w:color="auto" w:sz="4" w:space="0"/>
              <w:right w:val="single" w:color="auto" w:sz="4" w:space="0"/>
            </w:tcBorders>
            <w:shd w:val="clear" w:color="auto" w:fill="auto"/>
            <w:vAlign w:val="center"/>
          </w:tcPr>
          <w:p w14:paraId="055388A5">
            <w:pPr>
              <w:bidi w:val="0"/>
              <w:rPr>
                <w:rFonts w:hint="eastAsia"/>
              </w:rPr>
            </w:pPr>
            <w:r>
              <w:rPr>
                <w:rFonts w:hint="eastAsia"/>
              </w:rPr>
              <w:t>13 基础数据管理</w:t>
            </w:r>
          </w:p>
        </w:tc>
        <w:tc>
          <w:tcPr>
            <w:tcW w:w="1695" w:type="dxa"/>
            <w:tcBorders>
              <w:top w:val="single" w:color="auto" w:sz="4" w:space="0"/>
              <w:left w:val="nil"/>
              <w:bottom w:val="single" w:color="auto" w:sz="4" w:space="0"/>
              <w:right w:val="single" w:color="auto" w:sz="4" w:space="0"/>
            </w:tcBorders>
            <w:shd w:val="clear" w:color="auto" w:fill="auto"/>
            <w:vAlign w:val="center"/>
          </w:tcPr>
          <w:p w14:paraId="2F464E0F">
            <w:pPr>
              <w:bidi w:val="0"/>
              <w:rPr>
                <w:rFonts w:hint="eastAsia"/>
              </w:rPr>
            </w:pPr>
            <w:r>
              <w:rPr>
                <w:rFonts w:hint="eastAsia"/>
              </w:rPr>
              <w:t>作业流程</w:t>
            </w:r>
          </w:p>
        </w:tc>
        <w:tc>
          <w:tcPr>
            <w:tcW w:w="5307" w:type="dxa"/>
            <w:tcBorders>
              <w:top w:val="single" w:color="auto" w:sz="4" w:space="0"/>
              <w:left w:val="nil"/>
              <w:bottom w:val="single" w:color="auto" w:sz="4" w:space="0"/>
              <w:right w:val="single" w:color="auto" w:sz="4" w:space="0"/>
            </w:tcBorders>
            <w:shd w:val="clear" w:color="auto" w:fill="auto"/>
            <w:vAlign w:val="center"/>
          </w:tcPr>
          <w:p w14:paraId="5EA6B003">
            <w:pPr>
              <w:bidi w:val="0"/>
              <w:rPr>
                <w:rFonts w:hint="eastAsia"/>
              </w:rPr>
            </w:pPr>
            <w:r>
              <w:rPr>
                <w:rFonts w:hint="eastAsia"/>
              </w:rPr>
              <w:t>厂级系统的基础数据关联</w:t>
            </w:r>
          </w:p>
        </w:tc>
      </w:tr>
      <w:tr w14:paraId="1055CC31">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2E2E7A5">
            <w:pPr>
              <w:bidi w:val="0"/>
              <w:rPr>
                <w:rFonts w:hint="eastAsia"/>
              </w:rPr>
            </w:pPr>
            <w:r>
              <w:rPr>
                <w:rFonts w:hint="eastAsia"/>
              </w:rPr>
              <w:t>13</w:t>
            </w:r>
          </w:p>
        </w:tc>
        <w:tc>
          <w:tcPr>
            <w:tcW w:w="2220" w:type="dxa"/>
            <w:tcBorders>
              <w:top w:val="nil"/>
              <w:left w:val="nil"/>
              <w:bottom w:val="single" w:color="auto" w:sz="4" w:space="0"/>
              <w:right w:val="single" w:color="auto" w:sz="4" w:space="0"/>
            </w:tcBorders>
            <w:shd w:val="clear" w:color="auto" w:fill="auto"/>
            <w:vAlign w:val="center"/>
          </w:tcPr>
          <w:p w14:paraId="116CDA22">
            <w:pPr>
              <w:bidi w:val="0"/>
              <w:rPr>
                <w:rFonts w:hint="eastAsia"/>
              </w:rPr>
            </w:pPr>
            <w:r>
              <w:rPr>
                <w:rFonts w:hint="eastAsia"/>
              </w:rPr>
              <w:t>13 时钟同步</w:t>
            </w:r>
          </w:p>
        </w:tc>
        <w:tc>
          <w:tcPr>
            <w:tcW w:w="1695" w:type="dxa"/>
            <w:tcBorders>
              <w:top w:val="nil"/>
              <w:left w:val="nil"/>
              <w:bottom w:val="single" w:color="auto" w:sz="4" w:space="0"/>
              <w:right w:val="single" w:color="auto" w:sz="4" w:space="0"/>
            </w:tcBorders>
            <w:shd w:val="clear" w:color="auto" w:fill="auto"/>
            <w:vAlign w:val="center"/>
          </w:tcPr>
          <w:p w14:paraId="67FAF3E4">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1457BC9">
            <w:pPr>
              <w:bidi w:val="0"/>
              <w:rPr>
                <w:rFonts w:hint="eastAsia"/>
              </w:rPr>
            </w:pPr>
            <w:r>
              <w:rPr>
                <w:rFonts w:hint="eastAsia"/>
              </w:rPr>
              <w:t>获取厂级系统的时间服务器地址，通过此地址保证现场子系统与厂级系统的时间保持一致</w:t>
            </w:r>
          </w:p>
        </w:tc>
      </w:tr>
      <w:tr w14:paraId="28173726">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75C1A39">
            <w:pPr>
              <w:bidi w:val="0"/>
              <w:rPr>
                <w:rFonts w:hint="eastAsia"/>
              </w:rPr>
            </w:pPr>
            <w:r>
              <w:rPr>
                <w:rFonts w:hint="eastAsia"/>
              </w:rPr>
              <w:t>14</w:t>
            </w:r>
          </w:p>
        </w:tc>
        <w:tc>
          <w:tcPr>
            <w:tcW w:w="2220" w:type="dxa"/>
            <w:tcBorders>
              <w:top w:val="nil"/>
              <w:left w:val="nil"/>
              <w:bottom w:val="single" w:color="auto" w:sz="4" w:space="0"/>
              <w:right w:val="single" w:color="auto" w:sz="4" w:space="0"/>
            </w:tcBorders>
            <w:shd w:val="clear" w:color="auto" w:fill="auto"/>
            <w:vAlign w:val="center"/>
          </w:tcPr>
          <w:p w14:paraId="62629F39">
            <w:pPr>
              <w:bidi w:val="0"/>
              <w:rPr>
                <w:rFonts w:hint="eastAsia"/>
              </w:rPr>
            </w:pPr>
            <w:r>
              <w:rPr>
                <w:rFonts w:hint="eastAsia"/>
              </w:rPr>
              <w:t>14 机型集成方案选配</w:t>
            </w:r>
          </w:p>
        </w:tc>
        <w:tc>
          <w:tcPr>
            <w:tcW w:w="1695" w:type="dxa"/>
            <w:tcBorders>
              <w:top w:val="nil"/>
              <w:left w:val="nil"/>
              <w:bottom w:val="single" w:color="auto" w:sz="4" w:space="0"/>
              <w:right w:val="single" w:color="auto" w:sz="4" w:space="0"/>
            </w:tcBorders>
            <w:shd w:val="clear" w:color="auto" w:fill="auto"/>
            <w:vAlign w:val="center"/>
          </w:tcPr>
          <w:p w14:paraId="44D308B1">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3F7C0567">
            <w:pPr>
              <w:bidi w:val="0"/>
              <w:rPr>
                <w:rFonts w:hint="eastAsia"/>
              </w:rPr>
            </w:pPr>
            <w:r>
              <w:rPr>
                <w:rFonts w:hint="eastAsia"/>
              </w:rPr>
              <w:t>从厂级获取到机型集成的方案配置，在子系统中设置好对应机型的算法配置</w:t>
            </w:r>
          </w:p>
        </w:tc>
      </w:tr>
      <w:tr w14:paraId="43DBEA4E">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2182BE37">
            <w:pPr>
              <w:bidi w:val="0"/>
              <w:rPr>
                <w:rFonts w:hint="eastAsia"/>
              </w:rPr>
            </w:pPr>
            <w:r>
              <w:rPr>
                <w:rFonts w:hint="eastAsia"/>
              </w:rPr>
              <w:t>15</w:t>
            </w:r>
          </w:p>
        </w:tc>
        <w:tc>
          <w:tcPr>
            <w:tcW w:w="2220" w:type="dxa"/>
            <w:tcBorders>
              <w:top w:val="nil"/>
              <w:left w:val="nil"/>
              <w:bottom w:val="single" w:color="auto" w:sz="4" w:space="0"/>
              <w:right w:val="single" w:color="auto" w:sz="4" w:space="0"/>
            </w:tcBorders>
            <w:shd w:val="clear" w:color="auto" w:fill="auto"/>
            <w:vAlign w:val="center"/>
          </w:tcPr>
          <w:p w14:paraId="6BA6DDCB">
            <w:pPr>
              <w:bidi w:val="0"/>
              <w:rPr>
                <w:rFonts w:hint="eastAsia"/>
              </w:rPr>
            </w:pPr>
            <w:r>
              <w:rPr>
                <w:rFonts w:hint="eastAsia"/>
              </w:rPr>
              <w:t>15 设备配置</w:t>
            </w:r>
          </w:p>
        </w:tc>
        <w:tc>
          <w:tcPr>
            <w:tcW w:w="1695" w:type="dxa"/>
            <w:tcBorders>
              <w:top w:val="nil"/>
              <w:left w:val="nil"/>
              <w:bottom w:val="single" w:color="auto" w:sz="4" w:space="0"/>
              <w:right w:val="single" w:color="auto" w:sz="4" w:space="0"/>
            </w:tcBorders>
            <w:shd w:val="clear" w:color="auto" w:fill="auto"/>
            <w:vAlign w:val="center"/>
          </w:tcPr>
          <w:p w14:paraId="610110F4">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102FFE5">
            <w:pPr>
              <w:bidi w:val="0"/>
              <w:rPr>
                <w:rFonts w:hint="eastAsia"/>
              </w:rPr>
            </w:pPr>
            <w:r>
              <w:rPr>
                <w:rFonts w:hint="eastAsia"/>
              </w:rPr>
              <w:t>从厂级获取到机型集成的设备配置，在子系统中设置好对应机型的设备配置</w:t>
            </w:r>
          </w:p>
        </w:tc>
      </w:tr>
      <w:tr w14:paraId="4990B832">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A2FD4FF">
            <w:pPr>
              <w:bidi w:val="0"/>
              <w:rPr>
                <w:rFonts w:hint="eastAsia"/>
              </w:rPr>
            </w:pPr>
            <w:r>
              <w:rPr>
                <w:rFonts w:hint="eastAsia"/>
              </w:rPr>
              <w:t>16</w:t>
            </w:r>
          </w:p>
        </w:tc>
        <w:tc>
          <w:tcPr>
            <w:tcW w:w="2220" w:type="dxa"/>
            <w:tcBorders>
              <w:top w:val="nil"/>
              <w:left w:val="nil"/>
              <w:bottom w:val="single" w:color="auto" w:sz="4" w:space="0"/>
              <w:right w:val="single" w:color="auto" w:sz="4" w:space="0"/>
            </w:tcBorders>
            <w:shd w:val="clear" w:color="auto" w:fill="auto"/>
            <w:vAlign w:val="center"/>
          </w:tcPr>
          <w:p w14:paraId="357379A1">
            <w:pPr>
              <w:bidi w:val="0"/>
              <w:rPr>
                <w:rFonts w:hint="eastAsia"/>
              </w:rPr>
            </w:pPr>
            <w:r>
              <w:rPr>
                <w:rFonts w:hint="eastAsia"/>
              </w:rPr>
              <w:t xml:space="preserve">16 硬件集成方案库管理 </w:t>
            </w:r>
          </w:p>
        </w:tc>
        <w:tc>
          <w:tcPr>
            <w:tcW w:w="1695" w:type="dxa"/>
            <w:tcBorders>
              <w:top w:val="nil"/>
              <w:left w:val="nil"/>
              <w:bottom w:val="single" w:color="auto" w:sz="4" w:space="0"/>
              <w:right w:val="single" w:color="auto" w:sz="4" w:space="0"/>
            </w:tcBorders>
            <w:shd w:val="clear" w:color="auto" w:fill="auto"/>
            <w:vAlign w:val="center"/>
          </w:tcPr>
          <w:p w14:paraId="0F657F0C">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746E486">
            <w:pPr>
              <w:bidi w:val="0"/>
              <w:rPr>
                <w:rFonts w:hint="eastAsia"/>
              </w:rPr>
            </w:pPr>
            <w:r>
              <w:rPr>
                <w:rFonts w:hint="eastAsia"/>
              </w:rPr>
              <w:t>厂级系统的集成方案管理库，里面维护了所以的机型方案</w:t>
            </w:r>
          </w:p>
        </w:tc>
      </w:tr>
      <w:tr w14:paraId="1FD3A65D">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7AA1796">
            <w:pPr>
              <w:bidi w:val="0"/>
              <w:rPr>
                <w:rFonts w:hint="eastAsia"/>
              </w:rPr>
            </w:pPr>
            <w:r>
              <w:rPr>
                <w:rFonts w:hint="eastAsia"/>
              </w:rPr>
              <w:t>17</w:t>
            </w:r>
          </w:p>
        </w:tc>
        <w:tc>
          <w:tcPr>
            <w:tcW w:w="2220" w:type="dxa"/>
            <w:tcBorders>
              <w:top w:val="nil"/>
              <w:left w:val="nil"/>
              <w:bottom w:val="single" w:color="auto" w:sz="4" w:space="0"/>
              <w:right w:val="single" w:color="auto" w:sz="4" w:space="0"/>
            </w:tcBorders>
            <w:shd w:val="clear" w:color="auto" w:fill="auto"/>
            <w:vAlign w:val="center"/>
          </w:tcPr>
          <w:p w14:paraId="6B02E08B">
            <w:pPr>
              <w:bidi w:val="0"/>
              <w:rPr>
                <w:rFonts w:hint="eastAsia"/>
              </w:rPr>
            </w:pPr>
            <w:r>
              <w:rPr>
                <w:rFonts w:hint="eastAsia"/>
              </w:rPr>
              <w:t>17 系统自检</w:t>
            </w:r>
          </w:p>
        </w:tc>
        <w:tc>
          <w:tcPr>
            <w:tcW w:w="1695" w:type="dxa"/>
            <w:tcBorders>
              <w:top w:val="nil"/>
              <w:left w:val="nil"/>
              <w:bottom w:val="single" w:color="auto" w:sz="4" w:space="0"/>
              <w:right w:val="single" w:color="auto" w:sz="4" w:space="0"/>
            </w:tcBorders>
            <w:shd w:val="clear" w:color="auto" w:fill="auto"/>
            <w:vAlign w:val="center"/>
          </w:tcPr>
          <w:p w14:paraId="1635156D">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627D618">
            <w:pPr>
              <w:bidi w:val="0"/>
              <w:rPr>
                <w:rFonts w:hint="eastAsia"/>
              </w:rPr>
            </w:pPr>
            <w:r>
              <w:rPr>
                <w:rFonts w:hint="eastAsia"/>
              </w:rPr>
              <w:t>在生产模式中配置完机型集成方案和设备配置后，对选择的配置进行检验。其中包括了对系统的运行环境和设备（PLC和读码相机）的检验</w:t>
            </w:r>
          </w:p>
        </w:tc>
      </w:tr>
      <w:tr w14:paraId="0923FD7E">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3E8A131">
            <w:pPr>
              <w:bidi w:val="0"/>
              <w:rPr>
                <w:rFonts w:hint="eastAsia"/>
              </w:rPr>
            </w:pPr>
            <w:r>
              <w:rPr>
                <w:rFonts w:hint="eastAsia"/>
              </w:rPr>
              <w:t>18</w:t>
            </w:r>
          </w:p>
        </w:tc>
        <w:tc>
          <w:tcPr>
            <w:tcW w:w="2220" w:type="dxa"/>
            <w:tcBorders>
              <w:top w:val="nil"/>
              <w:left w:val="nil"/>
              <w:bottom w:val="single" w:color="auto" w:sz="4" w:space="0"/>
              <w:right w:val="single" w:color="auto" w:sz="4" w:space="0"/>
            </w:tcBorders>
            <w:shd w:val="clear" w:color="auto" w:fill="auto"/>
            <w:vAlign w:val="center"/>
          </w:tcPr>
          <w:p w14:paraId="08C7F679">
            <w:pPr>
              <w:bidi w:val="0"/>
              <w:rPr>
                <w:rFonts w:hint="eastAsia"/>
              </w:rPr>
            </w:pPr>
            <w:r>
              <w:rPr>
                <w:rFonts w:hint="eastAsia"/>
              </w:rPr>
              <w:t>18 系统版本管理</w:t>
            </w:r>
          </w:p>
        </w:tc>
        <w:tc>
          <w:tcPr>
            <w:tcW w:w="1695" w:type="dxa"/>
            <w:tcBorders>
              <w:top w:val="nil"/>
              <w:left w:val="nil"/>
              <w:bottom w:val="single" w:color="auto" w:sz="4" w:space="0"/>
              <w:right w:val="single" w:color="auto" w:sz="4" w:space="0"/>
            </w:tcBorders>
            <w:shd w:val="clear" w:color="auto" w:fill="auto"/>
            <w:vAlign w:val="center"/>
          </w:tcPr>
          <w:p w14:paraId="5BF058F0">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1D2761BD">
            <w:pPr>
              <w:bidi w:val="0"/>
              <w:rPr>
                <w:rFonts w:hint="eastAsia"/>
              </w:rPr>
            </w:pPr>
            <w:r>
              <w:rPr>
                <w:rFonts w:hint="eastAsia"/>
              </w:rPr>
              <w:t>版本管理包括了当前的版本信息、最新版本的更新提示操作</w:t>
            </w:r>
          </w:p>
        </w:tc>
      </w:tr>
      <w:tr w14:paraId="16B17C6D">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0871060">
            <w:pPr>
              <w:bidi w:val="0"/>
              <w:rPr>
                <w:rFonts w:hint="eastAsia"/>
              </w:rPr>
            </w:pPr>
            <w:r>
              <w:rPr>
                <w:rFonts w:hint="eastAsia"/>
              </w:rPr>
              <w:t>19</w:t>
            </w:r>
          </w:p>
        </w:tc>
        <w:tc>
          <w:tcPr>
            <w:tcW w:w="2220" w:type="dxa"/>
            <w:tcBorders>
              <w:top w:val="nil"/>
              <w:left w:val="nil"/>
              <w:bottom w:val="single" w:color="auto" w:sz="4" w:space="0"/>
              <w:right w:val="single" w:color="auto" w:sz="4" w:space="0"/>
            </w:tcBorders>
            <w:shd w:val="clear" w:color="auto" w:fill="auto"/>
            <w:vAlign w:val="center"/>
          </w:tcPr>
          <w:p w14:paraId="104D4B98">
            <w:pPr>
              <w:bidi w:val="0"/>
              <w:rPr>
                <w:rFonts w:hint="eastAsia"/>
              </w:rPr>
            </w:pPr>
            <w:r>
              <w:rPr>
                <w:rFonts w:hint="eastAsia"/>
              </w:rPr>
              <w:t>19 产线状态更新</w:t>
            </w:r>
          </w:p>
        </w:tc>
        <w:tc>
          <w:tcPr>
            <w:tcW w:w="1695" w:type="dxa"/>
            <w:tcBorders>
              <w:top w:val="nil"/>
              <w:left w:val="nil"/>
              <w:bottom w:val="single" w:color="auto" w:sz="4" w:space="0"/>
              <w:right w:val="single" w:color="auto" w:sz="4" w:space="0"/>
            </w:tcBorders>
            <w:shd w:val="clear" w:color="auto" w:fill="auto"/>
            <w:vAlign w:val="center"/>
          </w:tcPr>
          <w:p w14:paraId="47069FAB">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6585068">
            <w:pPr>
              <w:bidi w:val="0"/>
              <w:rPr>
                <w:rFonts w:hint="eastAsia"/>
              </w:rPr>
            </w:pPr>
            <w:r>
              <w:rPr>
                <w:rFonts w:hint="eastAsia"/>
              </w:rPr>
              <w:t>在产线注册成功后，将当前产线状态同步给厂级系统，厂级系统将产线状态更改为上线</w:t>
            </w:r>
          </w:p>
        </w:tc>
      </w:tr>
      <w:tr w14:paraId="27764C5C">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B0DBAEF">
            <w:pPr>
              <w:bidi w:val="0"/>
              <w:rPr>
                <w:rFonts w:hint="eastAsia"/>
              </w:rPr>
            </w:pPr>
            <w:r>
              <w:rPr>
                <w:rFonts w:hint="eastAsia"/>
              </w:rPr>
              <w:t>20</w:t>
            </w:r>
          </w:p>
        </w:tc>
        <w:tc>
          <w:tcPr>
            <w:tcW w:w="2220" w:type="dxa"/>
            <w:tcBorders>
              <w:top w:val="nil"/>
              <w:left w:val="nil"/>
              <w:bottom w:val="single" w:color="auto" w:sz="4" w:space="0"/>
              <w:right w:val="single" w:color="auto" w:sz="4" w:space="0"/>
            </w:tcBorders>
            <w:shd w:val="clear" w:color="auto" w:fill="auto"/>
            <w:vAlign w:val="center"/>
          </w:tcPr>
          <w:p w14:paraId="1441D70F">
            <w:pPr>
              <w:bidi w:val="0"/>
              <w:rPr>
                <w:rFonts w:hint="eastAsia"/>
              </w:rPr>
            </w:pPr>
            <w:r>
              <w:rPr>
                <w:rFonts w:hint="eastAsia"/>
              </w:rPr>
              <w:t>20 产线管理</w:t>
            </w:r>
          </w:p>
        </w:tc>
        <w:tc>
          <w:tcPr>
            <w:tcW w:w="1695" w:type="dxa"/>
            <w:tcBorders>
              <w:top w:val="nil"/>
              <w:left w:val="nil"/>
              <w:bottom w:val="single" w:color="auto" w:sz="4" w:space="0"/>
              <w:right w:val="single" w:color="auto" w:sz="4" w:space="0"/>
            </w:tcBorders>
            <w:shd w:val="clear" w:color="auto" w:fill="auto"/>
            <w:vAlign w:val="center"/>
          </w:tcPr>
          <w:p w14:paraId="4358A6F8">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F4AA308">
            <w:pPr>
              <w:bidi w:val="0"/>
              <w:rPr>
                <w:rFonts w:hint="eastAsia"/>
              </w:rPr>
            </w:pPr>
            <w:r>
              <w:rPr>
                <w:rFonts w:hint="eastAsia"/>
              </w:rPr>
              <w:t>在厂级系统中维护的产线管理</w:t>
            </w:r>
          </w:p>
        </w:tc>
      </w:tr>
    </w:tbl>
    <w:p w14:paraId="1CD82E5E">
      <w:pPr>
        <w:bidi w:val="0"/>
        <w:rPr>
          <w:rFonts w:hint="eastAsia"/>
        </w:rPr>
      </w:pPr>
    </w:p>
    <w:p w14:paraId="0DA745A2">
      <w:pPr>
        <w:pStyle w:val="12"/>
        <w:bidi w:val="0"/>
        <w:rPr>
          <w:rFonts w:hint="eastAsia"/>
        </w:rPr>
      </w:pPr>
      <w:bookmarkStart w:id="133" w:name="_Toc8215"/>
      <w:bookmarkStart w:id="134" w:name="_Toc1718994347"/>
      <w:bookmarkStart w:id="135" w:name="_Toc2192"/>
      <w:bookmarkStart w:id="136" w:name="_Toc4472"/>
      <w:r>
        <w:rPr>
          <w:rFonts w:hint="eastAsia"/>
        </w:rPr>
        <w:t>网络监控</w:t>
      </w:r>
      <w:bookmarkEnd w:id="133"/>
      <w:bookmarkEnd w:id="134"/>
      <w:bookmarkEnd w:id="135"/>
      <w:bookmarkEnd w:id="136"/>
    </w:p>
    <w:p w14:paraId="0A27C81C">
      <w:pPr>
        <w:bidi w:val="0"/>
        <w:rPr>
          <w:rFonts w:hint="eastAsia"/>
        </w:rPr>
      </w:pPr>
      <w:r>
        <w:drawing>
          <wp:inline distT="0" distB="0" distL="0" distR="0">
            <wp:extent cx="5252720" cy="8290560"/>
            <wp:effectExtent l="0" t="0" r="5080" b="1524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52720" cy="8290560"/>
                    </a:xfrm>
                    <a:prstGeom prst="rect">
                      <a:avLst/>
                    </a:prstGeom>
                    <a:noFill/>
                    <a:ln>
                      <a:noFill/>
                    </a:ln>
                  </pic:spPr>
                </pic:pic>
              </a:graphicData>
            </a:graphic>
          </wp:inline>
        </w:drawing>
      </w:r>
    </w:p>
    <w:tbl>
      <w:tblPr>
        <w:tblStyle w:val="43"/>
        <w:tblW w:w="9915" w:type="dxa"/>
        <w:jc w:val="center"/>
        <w:tblLayout w:type="autofit"/>
        <w:tblCellMar>
          <w:top w:w="0" w:type="dxa"/>
          <w:left w:w="108" w:type="dxa"/>
          <w:bottom w:w="0" w:type="dxa"/>
          <w:right w:w="108" w:type="dxa"/>
        </w:tblCellMar>
      </w:tblPr>
      <w:tblGrid>
        <w:gridCol w:w="693"/>
        <w:gridCol w:w="2220"/>
        <w:gridCol w:w="1695"/>
        <w:gridCol w:w="5307"/>
      </w:tblGrid>
      <w:tr w14:paraId="0EA8AA54">
        <w:tblPrEx>
          <w:tblCellMar>
            <w:top w:w="0" w:type="dxa"/>
            <w:left w:w="108" w:type="dxa"/>
            <w:bottom w:w="0" w:type="dxa"/>
            <w:right w:w="108" w:type="dxa"/>
          </w:tblCellMar>
        </w:tblPrEx>
        <w:trPr>
          <w:trHeight w:val="652" w:hRule="atLeast"/>
          <w:jc w:val="center"/>
        </w:trPr>
        <w:tc>
          <w:tcPr>
            <w:tcW w:w="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582EFB93">
            <w:pPr>
              <w:bidi w:val="0"/>
              <w:rPr>
                <w:rFonts w:hint="eastAsia"/>
              </w:rPr>
            </w:pPr>
            <w:r>
              <w:rPr>
                <w:rFonts w:hint="eastAsia"/>
              </w:rPr>
              <w:t>序号</w:t>
            </w:r>
          </w:p>
        </w:tc>
        <w:tc>
          <w:tcPr>
            <w:tcW w:w="2220"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A7A4CFB">
            <w:pPr>
              <w:bidi w:val="0"/>
              <w:rPr>
                <w:rFonts w:hint="eastAsia"/>
              </w:rPr>
            </w:pPr>
            <w:r>
              <w:rPr>
                <w:rFonts w:hint="eastAsia"/>
              </w:rPr>
              <w:t>节点名称</w:t>
            </w:r>
          </w:p>
        </w:tc>
        <w:tc>
          <w:tcPr>
            <w:tcW w:w="1695"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1A747EBE">
            <w:pPr>
              <w:bidi w:val="0"/>
              <w:rPr>
                <w:rFonts w:hint="eastAsia"/>
              </w:rPr>
            </w:pPr>
            <w:r>
              <w:rPr>
                <w:rFonts w:hint="eastAsia"/>
              </w:rPr>
              <w:t>节点类型（操作/作业流程/示意流程）</w:t>
            </w:r>
          </w:p>
        </w:tc>
        <w:tc>
          <w:tcPr>
            <w:tcW w:w="5307"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488A311">
            <w:pPr>
              <w:bidi w:val="0"/>
              <w:rPr>
                <w:rFonts w:hint="eastAsia"/>
              </w:rPr>
            </w:pPr>
            <w:r>
              <w:rPr>
                <w:rFonts w:hint="eastAsia"/>
              </w:rPr>
              <w:t>节点描述（如何做）</w:t>
            </w:r>
          </w:p>
        </w:tc>
      </w:tr>
      <w:tr w14:paraId="1093954B">
        <w:tblPrEx>
          <w:tblCellMar>
            <w:top w:w="0" w:type="dxa"/>
            <w:left w:w="108" w:type="dxa"/>
            <w:bottom w:w="0" w:type="dxa"/>
            <w:right w:w="108" w:type="dxa"/>
          </w:tblCellMar>
        </w:tblPrEx>
        <w:trPr>
          <w:trHeight w:val="480"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100A0473">
            <w:pPr>
              <w:bidi w:val="0"/>
              <w:rPr>
                <w:rFonts w:hint="eastAsia"/>
              </w:rPr>
            </w:pPr>
          </w:p>
        </w:tc>
        <w:tc>
          <w:tcPr>
            <w:tcW w:w="2220" w:type="dxa"/>
            <w:vMerge w:val="continue"/>
            <w:tcBorders>
              <w:top w:val="single" w:color="auto" w:sz="4" w:space="0"/>
              <w:left w:val="single" w:color="auto" w:sz="4" w:space="0"/>
              <w:bottom w:val="single" w:color="auto" w:sz="4" w:space="0"/>
              <w:right w:val="single" w:color="auto" w:sz="4" w:space="0"/>
            </w:tcBorders>
            <w:vAlign w:val="center"/>
          </w:tcPr>
          <w:p w14:paraId="68B094DF">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4603CF2F">
            <w:pPr>
              <w:bidi w:val="0"/>
              <w:rPr>
                <w:rFonts w:hint="eastAsia"/>
              </w:rPr>
            </w:pPr>
          </w:p>
        </w:tc>
        <w:tc>
          <w:tcPr>
            <w:tcW w:w="5307" w:type="dxa"/>
            <w:vMerge w:val="continue"/>
            <w:tcBorders>
              <w:top w:val="single" w:color="auto" w:sz="4" w:space="0"/>
              <w:left w:val="single" w:color="auto" w:sz="4" w:space="0"/>
              <w:bottom w:val="single" w:color="auto" w:sz="4" w:space="0"/>
              <w:right w:val="single" w:color="auto" w:sz="4" w:space="0"/>
            </w:tcBorders>
            <w:vAlign w:val="center"/>
          </w:tcPr>
          <w:p w14:paraId="619A66BC">
            <w:pPr>
              <w:bidi w:val="0"/>
              <w:rPr>
                <w:rFonts w:hint="eastAsia"/>
              </w:rPr>
            </w:pPr>
          </w:p>
        </w:tc>
      </w:tr>
      <w:tr w14:paraId="5BD2B1EA">
        <w:tblPrEx>
          <w:tblCellMar>
            <w:top w:w="0" w:type="dxa"/>
            <w:left w:w="108" w:type="dxa"/>
            <w:bottom w:w="0" w:type="dxa"/>
            <w:right w:w="108" w:type="dxa"/>
          </w:tblCellMar>
        </w:tblPrEx>
        <w:trPr>
          <w:trHeight w:val="468"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0342127A">
            <w:pPr>
              <w:bidi w:val="0"/>
              <w:rPr>
                <w:rFonts w:hint="eastAsia"/>
              </w:rPr>
            </w:pPr>
          </w:p>
        </w:tc>
        <w:tc>
          <w:tcPr>
            <w:tcW w:w="2220" w:type="dxa"/>
            <w:vMerge w:val="continue"/>
            <w:tcBorders>
              <w:top w:val="single" w:color="auto" w:sz="4" w:space="0"/>
              <w:left w:val="single" w:color="auto" w:sz="4" w:space="0"/>
              <w:bottom w:val="single" w:color="auto" w:sz="4" w:space="0"/>
              <w:right w:val="single" w:color="auto" w:sz="4" w:space="0"/>
            </w:tcBorders>
            <w:vAlign w:val="center"/>
          </w:tcPr>
          <w:p w14:paraId="669B4932">
            <w:pPr>
              <w:bidi w:val="0"/>
              <w:rPr>
                <w:rFonts w:hint="eastAsia"/>
              </w:rPr>
            </w:pPr>
          </w:p>
        </w:tc>
        <w:tc>
          <w:tcPr>
            <w:tcW w:w="1695" w:type="dxa"/>
            <w:vMerge w:val="continue"/>
            <w:tcBorders>
              <w:top w:val="single" w:color="auto" w:sz="4" w:space="0"/>
              <w:left w:val="single" w:color="auto" w:sz="4" w:space="0"/>
              <w:bottom w:val="single" w:color="auto" w:sz="4" w:space="0"/>
              <w:right w:val="single" w:color="auto" w:sz="4" w:space="0"/>
            </w:tcBorders>
            <w:vAlign w:val="center"/>
          </w:tcPr>
          <w:p w14:paraId="3C0AF3D7">
            <w:pPr>
              <w:bidi w:val="0"/>
              <w:rPr>
                <w:rFonts w:hint="eastAsia"/>
              </w:rPr>
            </w:pPr>
          </w:p>
        </w:tc>
        <w:tc>
          <w:tcPr>
            <w:tcW w:w="5307" w:type="dxa"/>
            <w:vMerge w:val="continue"/>
            <w:tcBorders>
              <w:top w:val="single" w:color="auto" w:sz="4" w:space="0"/>
              <w:left w:val="single" w:color="auto" w:sz="4" w:space="0"/>
              <w:bottom w:val="single" w:color="auto" w:sz="4" w:space="0"/>
              <w:right w:val="single" w:color="auto" w:sz="4" w:space="0"/>
            </w:tcBorders>
            <w:vAlign w:val="center"/>
          </w:tcPr>
          <w:p w14:paraId="4D85B306">
            <w:pPr>
              <w:bidi w:val="0"/>
              <w:rPr>
                <w:rFonts w:hint="eastAsia"/>
              </w:rPr>
            </w:pPr>
          </w:p>
        </w:tc>
      </w:tr>
      <w:tr w14:paraId="329CF4F4">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01F4630">
            <w:pPr>
              <w:bidi w:val="0"/>
              <w:rPr>
                <w:rFonts w:hint="eastAsia"/>
              </w:rPr>
            </w:pPr>
            <w:r>
              <w:rPr>
                <w:rFonts w:hint="eastAsia"/>
              </w:rPr>
              <w:t>1</w:t>
            </w:r>
          </w:p>
        </w:tc>
        <w:tc>
          <w:tcPr>
            <w:tcW w:w="2220" w:type="dxa"/>
            <w:tcBorders>
              <w:top w:val="nil"/>
              <w:left w:val="nil"/>
              <w:bottom w:val="single" w:color="auto" w:sz="4" w:space="0"/>
              <w:right w:val="single" w:color="auto" w:sz="4" w:space="0"/>
            </w:tcBorders>
            <w:shd w:val="clear" w:color="auto" w:fill="auto"/>
            <w:vAlign w:val="center"/>
          </w:tcPr>
          <w:p w14:paraId="07F49F25">
            <w:pPr>
              <w:bidi w:val="0"/>
              <w:rPr>
                <w:rFonts w:hint="eastAsia"/>
              </w:rPr>
            </w:pPr>
            <w:r>
              <w:rPr>
                <w:rFonts w:hint="eastAsia"/>
              </w:rPr>
              <w:t>1 机型集成方案配置</w:t>
            </w:r>
          </w:p>
        </w:tc>
        <w:tc>
          <w:tcPr>
            <w:tcW w:w="1695" w:type="dxa"/>
            <w:tcBorders>
              <w:top w:val="nil"/>
              <w:left w:val="nil"/>
              <w:bottom w:val="single" w:color="auto" w:sz="4" w:space="0"/>
              <w:right w:val="single" w:color="auto" w:sz="4" w:space="0"/>
            </w:tcBorders>
            <w:shd w:val="clear" w:color="auto" w:fill="auto"/>
            <w:vAlign w:val="center"/>
          </w:tcPr>
          <w:p w14:paraId="665C0CEF">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3E3F49C2">
            <w:pPr>
              <w:bidi w:val="0"/>
              <w:rPr>
                <w:rFonts w:hint="eastAsia"/>
              </w:rPr>
            </w:pPr>
            <w:r>
              <w:rPr>
                <w:rFonts w:hint="eastAsia"/>
              </w:rPr>
              <w:t>系统在调试模式下，需要进行机型集成方案配置，也就是导入此机型的方案算法库以及一些动态的配置</w:t>
            </w:r>
          </w:p>
        </w:tc>
      </w:tr>
      <w:tr w14:paraId="78F66575">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0BCCB31">
            <w:pPr>
              <w:bidi w:val="0"/>
              <w:rPr>
                <w:rFonts w:hint="eastAsia"/>
              </w:rPr>
            </w:pPr>
            <w:r>
              <w:rPr>
                <w:rFonts w:hint="eastAsia"/>
              </w:rPr>
              <w:t>2</w:t>
            </w:r>
          </w:p>
        </w:tc>
        <w:tc>
          <w:tcPr>
            <w:tcW w:w="2220" w:type="dxa"/>
            <w:tcBorders>
              <w:top w:val="nil"/>
              <w:left w:val="nil"/>
              <w:bottom w:val="single" w:color="auto" w:sz="4" w:space="0"/>
              <w:right w:val="single" w:color="auto" w:sz="4" w:space="0"/>
            </w:tcBorders>
            <w:shd w:val="clear" w:color="auto" w:fill="auto"/>
            <w:vAlign w:val="center"/>
          </w:tcPr>
          <w:p w14:paraId="3DEF518D">
            <w:pPr>
              <w:bidi w:val="0"/>
              <w:rPr>
                <w:rFonts w:hint="eastAsia"/>
              </w:rPr>
            </w:pPr>
            <w:r>
              <w:rPr>
                <w:rFonts w:hint="eastAsia"/>
              </w:rPr>
              <w:t>2 设备配置</w:t>
            </w:r>
          </w:p>
        </w:tc>
        <w:tc>
          <w:tcPr>
            <w:tcW w:w="1695" w:type="dxa"/>
            <w:tcBorders>
              <w:top w:val="nil"/>
              <w:left w:val="nil"/>
              <w:bottom w:val="single" w:color="auto" w:sz="4" w:space="0"/>
              <w:right w:val="single" w:color="auto" w:sz="4" w:space="0"/>
            </w:tcBorders>
            <w:shd w:val="clear" w:color="auto" w:fill="auto"/>
            <w:vAlign w:val="center"/>
          </w:tcPr>
          <w:p w14:paraId="13609CB7">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13AF2450">
            <w:pPr>
              <w:bidi w:val="0"/>
              <w:rPr>
                <w:rFonts w:hint="eastAsia"/>
              </w:rPr>
            </w:pPr>
            <w:r>
              <w:rPr>
                <w:rFonts w:hint="eastAsia"/>
              </w:rPr>
              <w:t>在调试模式下的，需要进行的机型设备配置，包括对读码器和PLC的基础信息配置</w:t>
            </w:r>
          </w:p>
        </w:tc>
      </w:tr>
      <w:tr w14:paraId="011EDB97">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AF4B0E7">
            <w:pPr>
              <w:bidi w:val="0"/>
              <w:rPr>
                <w:rFonts w:hint="eastAsia"/>
              </w:rPr>
            </w:pPr>
            <w:r>
              <w:rPr>
                <w:rFonts w:hint="eastAsia"/>
              </w:rPr>
              <w:t>3</w:t>
            </w:r>
          </w:p>
        </w:tc>
        <w:tc>
          <w:tcPr>
            <w:tcW w:w="2220" w:type="dxa"/>
            <w:tcBorders>
              <w:top w:val="nil"/>
              <w:left w:val="nil"/>
              <w:bottom w:val="single" w:color="auto" w:sz="4" w:space="0"/>
              <w:right w:val="single" w:color="auto" w:sz="4" w:space="0"/>
            </w:tcBorders>
            <w:shd w:val="clear" w:color="auto" w:fill="auto"/>
            <w:vAlign w:val="center"/>
          </w:tcPr>
          <w:p w14:paraId="37174E78">
            <w:pPr>
              <w:bidi w:val="0"/>
              <w:rPr>
                <w:rFonts w:hint="eastAsia"/>
              </w:rPr>
            </w:pPr>
            <w:r>
              <w:rPr>
                <w:rFonts w:hint="eastAsia"/>
              </w:rPr>
              <w:t>3 品规配置</w:t>
            </w:r>
          </w:p>
        </w:tc>
        <w:tc>
          <w:tcPr>
            <w:tcW w:w="1695" w:type="dxa"/>
            <w:tcBorders>
              <w:top w:val="nil"/>
              <w:left w:val="nil"/>
              <w:bottom w:val="single" w:color="auto" w:sz="4" w:space="0"/>
              <w:right w:val="single" w:color="auto" w:sz="4" w:space="0"/>
            </w:tcBorders>
            <w:shd w:val="clear" w:color="auto" w:fill="auto"/>
            <w:vAlign w:val="center"/>
          </w:tcPr>
          <w:p w14:paraId="329E1359">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4CE77CB">
            <w:pPr>
              <w:bidi w:val="0"/>
              <w:rPr>
                <w:rFonts w:hint="eastAsia"/>
              </w:rPr>
            </w:pPr>
            <w:r>
              <w:rPr>
                <w:rFonts w:hint="eastAsia"/>
              </w:rPr>
              <w:t>在调试模式下的品规配置，结合当前机台的实际调试牌号，配置好当前调试的品规信息</w:t>
            </w:r>
          </w:p>
        </w:tc>
      </w:tr>
      <w:tr w14:paraId="58808276">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CB786B0">
            <w:pPr>
              <w:bidi w:val="0"/>
              <w:rPr>
                <w:rFonts w:hint="eastAsia"/>
              </w:rPr>
            </w:pPr>
            <w:r>
              <w:rPr>
                <w:rFonts w:hint="eastAsia"/>
              </w:rPr>
              <w:t>4</w:t>
            </w:r>
          </w:p>
        </w:tc>
        <w:tc>
          <w:tcPr>
            <w:tcW w:w="2220" w:type="dxa"/>
            <w:tcBorders>
              <w:top w:val="nil"/>
              <w:left w:val="nil"/>
              <w:bottom w:val="single" w:color="auto" w:sz="4" w:space="0"/>
              <w:right w:val="single" w:color="auto" w:sz="4" w:space="0"/>
            </w:tcBorders>
            <w:shd w:val="clear" w:color="auto" w:fill="auto"/>
            <w:vAlign w:val="center"/>
          </w:tcPr>
          <w:p w14:paraId="68BB0A5E">
            <w:pPr>
              <w:bidi w:val="0"/>
              <w:rPr>
                <w:rFonts w:hint="eastAsia"/>
              </w:rPr>
            </w:pPr>
            <w:r>
              <w:rPr>
                <w:rFonts w:hint="eastAsia"/>
              </w:rPr>
              <w:t>4 系统自检</w:t>
            </w:r>
          </w:p>
        </w:tc>
        <w:tc>
          <w:tcPr>
            <w:tcW w:w="1695" w:type="dxa"/>
            <w:tcBorders>
              <w:top w:val="nil"/>
              <w:left w:val="nil"/>
              <w:bottom w:val="single" w:color="auto" w:sz="4" w:space="0"/>
              <w:right w:val="single" w:color="auto" w:sz="4" w:space="0"/>
            </w:tcBorders>
            <w:shd w:val="clear" w:color="auto" w:fill="auto"/>
            <w:vAlign w:val="center"/>
          </w:tcPr>
          <w:p w14:paraId="7172C75F">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BA6B20D">
            <w:pPr>
              <w:bidi w:val="0"/>
              <w:rPr>
                <w:rFonts w:hint="eastAsia"/>
              </w:rPr>
            </w:pPr>
            <w:r>
              <w:rPr>
                <w:rFonts w:hint="eastAsia"/>
              </w:rPr>
              <w:t>在调试模式下的系统自检业务，包括了对系统的运行环境、设备（PLC和读码相机）的检验</w:t>
            </w:r>
          </w:p>
        </w:tc>
      </w:tr>
      <w:tr w14:paraId="32910AAC">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09FAD8A">
            <w:pPr>
              <w:bidi w:val="0"/>
              <w:rPr>
                <w:rFonts w:hint="eastAsia"/>
              </w:rPr>
            </w:pPr>
            <w:r>
              <w:rPr>
                <w:rFonts w:hint="eastAsia"/>
              </w:rPr>
              <w:t>5</w:t>
            </w:r>
          </w:p>
        </w:tc>
        <w:tc>
          <w:tcPr>
            <w:tcW w:w="2220" w:type="dxa"/>
            <w:tcBorders>
              <w:top w:val="nil"/>
              <w:left w:val="nil"/>
              <w:bottom w:val="single" w:color="auto" w:sz="4" w:space="0"/>
              <w:right w:val="single" w:color="auto" w:sz="4" w:space="0"/>
            </w:tcBorders>
            <w:shd w:val="clear" w:color="auto" w:fill="auto"/>
            <w:vAlign w:val="center"/>
          </w:tcPr>
          <w:p w14:paraId="60CA9047">
            <w:pPr>
              <w:bidi w:val="0"/>
              <w:rPr>
                <w:rFonts w:hint="eastAsia"/>
              </w:rPr>
            </w:pPr>
            <w:r>
              <w:rPr>
                <w:rFonts w:hint="eastAsia"/>
              </w:rPr>
              <w:t>5 关联验证</w:t>
            </w:r>
          </w:p>
        </w:tc>
        <w:tc>
          <w:tcPr>
            <w:tcW w:w="1695" w:type="dxa"/>
            <w:tcBorders>
              <w:top w:val="nil"/>
              <w:left w:val="nil"/>
              <w:bottom w:val="single" w:color="auto" w:sz="4" w:space="0"/>
              <w:right w:val="single" w:color="auto" w:sz="4" w:space="0"/>
            </w:tcBorders>
            <w:shd w:val="clear" w:color="auto" w:fill="auto"/>
            <w:vAlign w:val="center"/>
          </w:tcPr>
          <w:p w14:paraId="432CEF31">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4E068E9A">
            <w:pPr>
              <w:bidi w:val="0"/>
              <w:rPr>
                <w:rFonts w:hint="eastAsia"/>
              </w:rPr>
            </w:pPr>
            <w:r>
              <w:rPr>
                <w:rFonts w:hint="eastAsia"/>
              </w:rPr>
              <w:t>在调试模式下的系统关联验证业务，验证当前的系统集成方案配置、PLC信号、读码相机是否与当前机台匹配</w:t>
            </w:r>
          </w:p>
        </w:tc>
      </w:tr>
      <w:tr w14:paraId="7B1CF8CC">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1C9ED12">
            <w:pPr>
              <w:bidi w:val="0"/>
              <w:rPr>
                <w:rFonts w:hint="eastAsia"/>
              </w:rPr>
            </w:pPr>
            <w:r>
              <w:rPr>
                <w:rFonts w:hint="eastAsia"/>
              </w:rPr>
              <w:t>6</w:t>
            </w:r>
          </w:p>
        </w:tc>
        <w:tc>
          <w:tcPr>
            <w:tcW w:w="2220" w:type="dxa"/>
            <w:tcBorders>
              <w:top w:val="nil"/>
              <w:left w:val="nil"/>
              <w:bottom w:val="single" w:color="auto" w:sz="4" w:space="0"/>
              <w:right w:val="single" w:color="auto" w:sz="4" w:space="0"/>
            </w:tcBorders>
            <w:shd w:val="clear" w:color="auto" w:fill="auto"/>
            <w:vAlign w:val="center"/>
          </w:tcPr>
          <w:p w14:paraId="61851EB5">
            <w:pPr>
              <w:bidi w:val="0"/>
              <w:rPr>
                <w:rFonts w:hint="eastAsia"/>
              </w:rPr>
            </w:pPr>
            <w:r>
              <w:rPr>
                <w:rFonts w:hint="eastAsia"/>
              </w:rPr>
              <w:t>6“盒条”产线注册</w:t>
            </w:r>
          </w:p>
        </w:tc>
        <w:tc>
          <w:tcPr>
            <w:tcW w:w="1695" w:type="dxa"/>
            <w:tcBorders>
              <w:top w:val="nil"/>
              <w:left w:val="nil"/>
              <w:bottom w:val="single" w:color="auto" w:sz="4" w:space="0"/>
              <w:right w:val="single" w:color="auto" w:sz="4" w:space="0"/>
            </w:tcBorders>
            <w:shd w:val="clear" w:color="auto" w:fill="auto"/>
            <w:vAlign w:val="center"/>
          </w:tcPr>
          <w:p w14:paraId="293890B3">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101B10B">
            <w:pPr>
              <w:bidi w:val="0"/>
              <w:rPr>
                <w:rFonts w:hint="eastAsia"/>
              </w:rPr>
            </w:pPr>
            <w:r>
              <w:rPr>
                <w:rFonts w:hint="eastAsia"/>
              </w:rPr>
              <w:t>在正式生产前，需要将当前产线注册到厂级系统中，注册成功后将其系统信息、机台信息、设备信息同步给厂级系统。</w:t>
            </w:r>
          </w:p>
        </w:tc>
      </w:tr>
      <w:tr w14:paraId="5BCE7BB9">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719EAFC">
            <w:pPr>
              <w:bidi w:val="0"/>
              <w:rPr>
                <w:rFonts w:hint="eastAsia"/>
              </w:rPr>
            </w:pPr>
            <w:r>
              <w:rPr>
                <w:rFonts w:hint="eastAsia"/>
              </w:rPr>
              <w:t>7</w:t>
            </w:r>
          </w:p>
        </w:tc>
        <w:tc>
          <w:tcPr>
            <w:tcW w:w="2220" w:type="dxa"/>
            <w:tcBorders>
              <w:top w:val="nil"/>
              <w:left w:val="nil"/>
              <w:bottom w:val="single" w:color="auto" w:sz="4" w:space="0"/>
              <w:right w:val="single" w:color="auto" w:sz="4" w:space="0"/>
            </w:tcBorders>
            <w:shd w:val="clear" w:color="auto" w:fill="auto"/>
            <w:vAlign w:val="center"/>
          </w:tcPr>
          <w:p w14:paraId="77A83277">
            <w:pPr>
              <w:bidi w:val="0"/>
              <w:rPr>
                <w:rFonts w:hint="eastAsia"/>
              </w:rPr>
            </w:pPr>
            <w:r>
              <w:rPr>
                <w:rFonts w:hint="eastAsia"/>
              </w:rPr>
              <w:t>7“盒条件”关联</w:t>
            </w:r>
          </w:p>
          <w:p w14:paraId="5B9A5A03">
            <w:pPr>
              <w:bidi w:val="0"/>
              <w:rPr>
                <w:rFonts w:hint="eastAsia"/>
              </w:rPr>
            </w:pPr>
            <w:r>
              <w:rPr>
                <w:rFonts w:hint="eastAsia"/>
              </w:rPr>
              <w:t xml:space="preserve">厂级设备管理 </w:t>
            </w:r>
          </w:p>
        </w:tc>
        <w:tc>
          <w:tcPr>
            <w:tcW w:w="1695" w:type="dxa"/>
            <w:tcBorders>
              <w:top w:val="nil"/>
              <w:left w:val="nil"/>
              <w:bottom w:val="single" w:color="auto" w:sz="4" w:space="0"/>
              <w:right w:val="single" w:color="auto" w:sz="4" w:space="0"/>
            </w:tcBorders>
            <w:shd w:val="clear" w:color="auto" w:fill="auto"/>
            <w:vAlign w:val="center"/>
          </w:tcPr>
          <w:p w14:paraId="0EB22919">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9A696E0">
            <w:pPr>
              <w:bidi w:val="0"/>
              <w:rPr>
                <w:rFonts w:hint="eastAsia"/>
              </w:rPr>
            </w:pPr>
            <w:r>
              <w:rPr>
                <w:rFonts w:hint="eastAsia"/>
              </w:rPr>
              <w:t>主要包括产线管理、PLC和读码相机管理等</w:t>
            </w:r>
          </w:p>
        </w:tc>
      </w:tr>
      <w:tr w14:paraId="6A10A0F9">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DCEEFD8">
            <w:pPr>
              <w:bidi w:val="0"/>
              <w:rPr>
                <w:rFonts w:hint="eastAsia"/>
              </w:rPr>
            </w:pPr>
            <w:r>
              <w:rPr>
                <w:rFonts w:hint="eastAsia"/>
              </w:rPr>
              <w:t>8</w:t>
            </w:r>
          </w:p>
        </w:tc>
        <w:tc>
          <w:tcPr>
            <w:tcW w:w="2220" w:type="dxa"/>
            <w:tcBorders>
              <w:top w:val="nil"/>
              <w:left w:val="nil"/>
              <w:bottom w:val="single" w:color="auto" w:sz="4" w:space="0"/>
              <w:right w:val="single" w:color="auto" w:sz="4" w:space="0"/>
            </w:tcBorders>
            <w:shd w:val="clear" w:color="auto" w:fill="auto"/>
            <w:vAlign w:val="center"/>
          </w:tcPr>
          <w:p w14:paraId="0484B12D">
            <w:pPr>
              <w:bidi w:val="0"/>
              <w:rPr>
                <w:rFonts w:hint="eastAsia"/>
              </w:rPr>
            </w:pPr>
            <w:r>
              <w:rPr>
                <w:rFonts w:hint="eastAsia"/>
              </w:rPr>
              <w:t>8 人员同步</w:t>
            </w:r>
          </w:p>
        </w:tc>
        <w:tc>
          <w:tcPr>
            <w:tcW w:w="1695" w:type="dxa"/>
            <w:tcBorders>
              <w:top w:val="nil"/>
              <w:left w:val="nil"/>
              <w:bottom w:val="single" w:color="auto" w:sz="4" w:space="0"/>
              <w:right w:val="single" w:color="auto" w:sz="4" w:space="0"/>
            </w:tcBorders>
            <w:shd w:val="clear" w:color="auto" w:fill="auto"/>
            <w:vAlign w:val="center"/>
          </w:tcPr>
          <w:p w14:paraId="7D9D6195">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718B8F0">
            <w:pPr>
              <w:bidi w:val="0"/>
              <w:rPr>
                <w:rFonts w:hint="eastAsia"/>
              </w:rPr>
            </w:pPr>
            <w:r>
              <w:rPr>
                <w:rFonts w:hint="eastAsia"/>
              </w:rPr>
              <w:t>厂级系统的人员信息同步至本地环境</w:t>
            </w:r>
          </w:p>
        </w:tc>
      </w:tr>
      <w:tr w14:paraId="3F302081">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00D50A8">
            <w:pPr>
              <w:bidi w:val="0"/>
              <w:rPr>
                <w:rFonts w:hint="eastAsia"/>
              </w:rPr>
            </w:pPr>
            <w:r>
              <w:rPr>
                <w:rFonts w:hint="eastAsia"/>
              </w:rPr>
              <w:t>9</w:t>
            </w:r>
          </w:p>
        </w:tc>
        <w:tc>
          <w:tcPr>
            <w:tcW w:w="2220" w:type="dxa"/>
            <w:tcBorders>
              <w:top w:val="nil"/>
              <w:left w:val="nil"/>
              <w:bottom w:val="single" w:color="auto" w:sz="4" w:space="0"/>
              <w:right w:val="single" w:color="auto" w:sz="4" w:space="0"/>
            </w:tcBorders>
            <w:shd w:val="clear" w:color="auto" w:fill="auto"/>
            <w:vAlign w:val="center"/>
          </w:tcPr>
          <w:p w14:paraId="7E6BD715">
            <w:pPr>
              <w:bidi w:val="0"/>
              <w:rPr>
                <w:rFonts w:hint="eastAsia"/>
              </w:rPr>
            </w:pPr>
            <w:r>
              <w:rPr>
                <w:rFonts w:hint="eastAsia"/>
              </w:rPr>
              <w:t>9 角色同步</w:t>
            </w:r>
          </w:p>
        </w:tc>
        <w:tc>
          <w:tcPr>
            <w:tcW w:w="1695" w:type="dxa"/>
            <w:tcBorders>
              <w:top w:val="nil"/>
              <w:left w:val="nil"/>
              <w:bottom w:val="single" w:color="auto" w:sz="4" w:space="0"/>
              <w:right w:val="single" w:color="auto" w:sz="4" w:space="0"/>
            </w:tcBorders>
            <w:shd w:val="clear" w:color="auto" w:fill="auto"/>
            <w:vAlign w:val="center"/>
          </w:tcPr>
          <w:p w14:paraId="49C598B5">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1202F783">
            <w:pPr>
              <w:bidi w:val="0"/>
              <w:rPr>
                <w:rFonts w:hint="eastAsia"/>
              </w:rPr>
            </w:pPr>
            <w:r>
              <w:rPr>
                <w:rFonts w:hint="eastAsia"/>
              </w:rPr>
              <w:t>将厂级系统的角色信息同步至本地环境</w:t>
            </w:r>
          </w:p>
        </w:tc>
      </w:tr>
      <w:tr w14:paraId="0B1DD2BB">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D4C5348">
            <w:pPr>
              <w:bidi w:val="0"/>
              <w:rPr>
                <w:rFonts w:hint="eastAsia"/>
              </w:rPr>
            </w:pPr>
            <w:r>
              <w:rPr>
                <w:rFonts w:hint="eastAsia"/>
              </w:rPr>
              <w:t>10</w:t>
            </w:r>
          </w:p>
        </w:tc>
        <w:tc>
          <w:tcPr>
            <w:tcW w:w="2220" w:type="dxa"/>
            <w:tcBorders>
              <w:top w:val="nil"/>
              <w:left w:val="nil"/>
              <w:bottom w:val="single" w:color="auto" w:sz="4" w:space="0"/>
              <w:right w:val="single" w:color="auto" w:sz="4" w:space="0"/>
            </w:tcBorders>
            <w:shd w:val="clear" w:color="auto" w:fill="auto"/>
            <w:vAlign w:val="center"/>
          </w:tcPr>
          <w:p w14:paraId="37B66EDC">
            <w:pPr>
              <w:bidi w:val="0"/>
              <w:rPr>
                <w:rFonts w:hint="eastAsia"/>
              </w:rPr>
            </w:pPr>
            <w:r>
              <w:rPr>
                <w:rFonts w:hint="eastAsia"/>
              </w:rPr>
              <w:t>10 权限同步</w:t>
            </w:r>
          </w:p>
        </w:tc>
        <w:tc>
          <w:tcPr>
            <w:tcW w:w="1695" w:type="dxa"/>
            <w:tcBorders>
              <w:top w:val="nil"/>
              <w:left w:val="nil"/>
              <w:bottom w:val="single" w:color="auto" w:sz="4" w:space="0"/>
              <w:right w:val="single" w:color="auto" w:sz="4" w:space="0"/>
            </w:tcBorders>
            <w:shd w:val="clear" w:color="auto" w:fill="auto"/>
            <w:vAlign w:val="center"/>
          </w:tcPr>
          <w:p w14:paraId="111A7420">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6DE21009">
            <w:pPr>
              <w:bidi w:val="0"/>
              <w:rPr>
                <w:rFonts w:hint="eastAsia"/>
              </w:rPr>
            </w:pPr>
            <w:r>
              <w:rPr>
                <w:rFonts w:hint="eastAsia"/>
              </w:rPr>
              <w:t>将厂级系统的权限信息同步至本地环境</w:t>
            </w:r>
          </w:p>
        </w:tc>
      </w:tr>
      <w:tr w14:paraId="13BD42D9">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F653C5A">
            <w:pPr>
              <w:bidi w:val="0"/>
              <w:rPr>
                <w:rFonts w:hint="eastAsia"/>
              </w:rPr>
            </w:pPr>
            <w:r>
              <w:rPr>
                <w:rFonts w:hint="eastAsia"/>
              </w:rPr>
              <w:t>11</w:t>
            </w:r>
          </w:p>
        </w:tc>
        <w:tc>
          <w:tcPr>
            <w:tcW w:w="2220" w:type="dxa"/>
            <w:tcBorders>
              <w:top w:val="nil"/>
              <w:left w:val="nil"/>
              <w:bottom w:val="single" w:color="auto" w:sz="4" w:space="0"/>
              <w:right w:val="single" w:color="auto" w:sz="4" w:space="0"/>
            </w:tcBorders>
            <w:shd w:val="clear" w:color="auto" w:fill="auto"/>
            <w:vAlign w:val="center"/>
          </w:tcPr>
          <w:p w14:paraId="76539F6E">
            <w:pPr>
              <w:bidi w:val="0"/>
              <w:rPr>
                <w:rFonts w:hint="eastAsia"/>
              </w:rPr>
            </w:pPr>
            <w:r>
              <w:rPr>
                <w:rFonts w:hint="eastAsia"/>
              </w:rPr>
              <w:t>11 品规同步</w:t>
            </w:r>
          </w:p>
        </w:tc>
        <w:tc>
          <w:tcPr>
            <w:tcW w:w="1695" w:type="dxa"/>
            <w:tcBorders>
              <w:top w:val="nil"/>
              <w:left w:val="nil"/>
              <w:bottom w:val="single" w:color="auto" w:sz="4" w:space="0"/>
              <w:right w:val="single" w:color="auto" w:sz="4" w:space="0"/>
            </w:tcBorders>
            <w:shd w:val="clear" w:color="auto" w:fill="auto"/>
            <w:vAlign w:val="center"/>
          </w:tcPr>
          <w:p w14:paraId="0E02EBC8">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0585D6E">
            <w:pPr>
              <w:bidi w:val="0"/>
              <w:rPr>
                <w:rFonts w:hint="eastAsia"/>
              </w:rPr>
            </w:pPr>
            <w:r>
              <w:rPr>
                <w:rFonts w:hint="eastAsia"/>
              </w:rPr>
              <w:t>将厂级系统的品规信息同步至本地环境</w:t>
            </w:r>
          </w:p>
        </w:tc>
      </w:tr>
      <w:tr w14:paraId="0FC78B0D">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50267B84">
            <w:pPr>
              <w:bidi w:val="0"/>
              <w:rPr>
                <w:rFonts w:hint="eastAsia"/>
              </w:rPr>
            </w:pPr>
            <w:r>
              <w:rPr>
                <w:rFonts w:hint="eastAsia"/>
              </w:rPr>
              <w:t>12</w:t>
            </w:r>
          </w:p>
        </w:tc>
        <w:tc>
          <w:tcPr>
            <w:tcW w:w="2220" w:type="dxa"/>
            <w:tcBorders>
              <w:top w:val="single" w:color="auto" w:sz="4" w:space="0"/>
              <w:left w:val="single" w:color="auto" w:sz="4" w:space="0"/>
              <w:bottom w:val="single" w:color="auto" w:sz="4" w:space="0"/>
              <w:right w:val="single" w:color="auto" w:sz="4" w:space="0"/>
            </w:tcBorders>
            <w:shd w:val="clear" w:color="auto" w:fill="auto"/>
            <w:vAlign w:val="center"/>
          </w:tcPr>
          <w:p w14:paraId="07938AEC">
            <w:pPr>
              <w:bidi w:val="0"/>
              <w:rPr>
                <w:rFonts w:hint="eastAsia"/>
              </w:rPr>
            </w:pPr>
            <w:r>
              <w:rPr>
                <w:rFonts w:hint="eastAsia"/>
              </w:rPr>
              <w:t>13 基础数据管理</w:t>
            </w:r>
          </w:p>
        </w:tc>
        <w:tc>
          <w:tcPr>
            <w:tcW w:w="1695" w:type="dxa"/>
            <w:tcBorders>
              <w:top w:val="single" w:color="auto" w:sz="4" w:space="0"/>
              <w:left w:val="single" w:color="auto" w:sz="4" w:space="0"/>
              <w:bottom w:val="single" w:color="auto" w:sz="4" w:space="0"/>
              <w:right w:val="single" w:color="auto" w:sz="4" w:space="0"/>
            </w:tcBorders>
            <w:shd w:val="clear" w:color="auto" w:fill="auto"/>
            <w:vAlign w:val="center"/>
          </w:tcPr>
          <w:p w14:paraId="4BF45BA7">
            <w:pPr>
              <w:bidi w:val="0"/>
              <w:rPr>
                <w:rFonts w:hint="eastAsia"/>
              </w:rPr>
            </w:pPr>
            <w:r>
              <w:rPr>
                <w:rFonts w:hint="eastAsia"/>
              </w:rPr>
              <w:t>作业流程</w:t>
            </w:r>
          </w:p>
        </w:tc>
        <w:tc>
          <w:tcPr>
            <w:tcW w:w="5307" w:type="dxa"/>
            <w:tcBorders>
              <w:top w:val="single" w:color="auto" w:sz="4" w:space="0"/>
              <w:left w:val="single" w:color="auto" w:sz="4" w:space="0"/>
              <w:bottom w:val="single" w:color="auto" w:sz="4" w:space="0"/>
              <w:right w:val="single" w:color="auto" w:sz="4" w:space="0"/>
            </w:tcBorders>
            <w:shd w:val="clear" w:color="auto" w:fill="auto"/>
            <w:vAlign w:val="center"/>
          </w:tcPr>
          <w:p w14:paraId="438F820C">
            <w:pPr>
              <w:bidi w:val="0"/>
              <w:rPr>
                <w:rFonts w:hint="eastAsia"/>
              </w:rPr>
            </w:pPr>
            <w:r>
              <w:rPr>
                <w:rFonts w:hint="eastAsia"/>
              </w:rPr>
              <w:t>厂级系统的基础数据关联</w:t>
            </w:r>
          </w:p>
        </w:tc>
      </w:tr>
      <w:tr w14:paraId="22880A48">
        <w:tblPrEx>
          <w:tblCellMar>
            <w:top w:w="0" w:type="dxa"/>
            <w:left w:w="108" w:type="dxa"/>
            <w:bottom w:w="0" w:type="dxa"/>
            <w:right w:w="108" w:type="dxa"/>
          </w:tblCellMar>
        </w:tblPrEx>
        <w:trPr>
          <w:trHeight w:val="998"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06404D2C">
            <w:pPr>
              <w:bidi w:val="0"/>
              <w:rPr>
                <w:rFonts w:hint="eastAsia"/>
              </w:rPr>
            </w:pPr>
            <w:r>
              <w:rPr>
                <w:rFonts w:hint="eastAsia"/>
              </w:rPr>
              <w:t>13</w:t>
            </w:r>
          </w:p>
        </w:tc>
        <w:tc>
          <w:tcPr>
            <w:tcW w:w="2220" w:type="dxa"/>
            <w:tcBorders>
              <w:top w:val="single" w:color="auto" w:sz="4" w:space="0"/>
              <w:left w:val="nil"/>
              <w:bottom w:val="single" w:color="auto" w:sz="4" w:space="0"/>
              <w:right w:val="single" w:color="auto" w:sz="4" w:space="0"/>
            </w:tcBorders>
            <w:shd w:val="clear" w:color="auto" w:fill="auto"/>
            <w:vAlign w:val="center"/>
          </w:tcPr>
          <w:p w14:paraId="29EFC672">
            <w:pPr>
              <w:bidi w:val="0"/>
              <w:rPr>
                <w:rFonts w:hint="eastAsia"/>
              </w:rPr>
            </w:pPr>
            <w:r>
              <w:rPr>
                <w:rFonts w:hint="eastAsia"/>
              </w:rPr>
              <w:t>13 时钟同步</w:t>
            </w:r>
          </w:p>
        </w:tc>
        <w:tc>
          <w:tcPr>
            <w:tcW w:w="1695" w:type="dxa"/>
            <w:tcBorders>
              <w:top w:val="single" w:color="auto" w:sz="4" w:space="0"/>
              <w:left w:val="nil"/>
              <w:bottom w:val="single" w:color="auto" w:sz="4" w:space="0"/>
              <w:right w:val="single" w:color="auto" w:sz="4" w:space="0"/>
            </w:tcBorders>
            <w:shd w:val="clear" w:color="auto" w:fill="auto"/>
            <w:vAlign w:val="center"/>
          </w:tcPr>
          <w:p w14:paraId="5D61C98F">
            <w:pPr>
              <w:bidi w:val="0"/>
              <w:rPr>
                <w:rFonts w:hint="eastAsia"/>
              </w:rPr>
            </w:pPr>
            <w:r>
              <w:rPr>
                <w:rFonts w:hint="eastAsia"/>
              </w:rPr>
              <w:t>作业流程</w:t>
            </w:r>
          </w:p>
        </w:tc>
        <w:tc>
          <w:tcPr>
            <w:tcW w:w="5307" w:type="dxa"/>
            <w:tcBorders>
              <w:top w:val="single" w:color="auto" w:sz="4" w:space="0"/>
              <w:left w:val="nil"/>
              <w:bottom w:val="single" w:color="auto" w:sz="4" w:space="0"/>
              <w:right w:val="single" w:color="auto" w:sz="4" w:space="0"/>
            </w:tcBorders>
            <w:shd w:val="clear" w:color="auto" w:fill="auto"/>
            <w:vAlign w:val="center"/>
          </w:tcPr>
          <w:p w14:paraId="46C71075">
            <w:pPr>
              <w:bidi w:val="0"/>
              <w:rPr>
                <w:rFonts w:hint="eastAsia"/>
              </w:rPr>
            </w:pPr>
            <w:r>
              <w:rPr>
                <w:rFonts w:hint="eastAsia"/>
              </w:rPr>
              <w:t>获取厂级系统的时间服务器地址，通过此地址保证现场子系统与厂级系统的时间保持一致</w:t>
            </w:r>
          </w:p>
        </w:tc>
      </w:tr>
      <w:tr w14:paraId="45AD8258">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41BF8F8">
            <w:pPr>
              <w:bidi w:val="0"/>
              <w:rPr>
                <w:rFonts w:hint="eastAsia"/>
              </w:rPr>
            </w:pPr>
            <w:r>
              <w:rPr>
                <w:rFonts w:hint="eastAsia"/>
              </w:rPr>
              <w:t>14</w:t>
            </w:r>
          </w:p>
        </w:tc>
        <w:tc>
          <w:tcPr>
            <w:tcW w:w="2220" w:type="dxa"/>
            <w:tcBorders>
              <w:top w:val="nil"/>
              <w:left w:val="nil"/>
              <w:bottom w:val="single" w:color="auto" w:sz="4" w:space="0"/>
              <w:right w:val="single" w:color="auto" w:sz="4" w:space="0"/>
            </w:tcBorders>
            <w:shd w:val="clear" w:color="auto" w:fill="auto"/>
            <w:vAlign w:val="center"/>
          </w:tcPr>
          <w:p w14:paraId="1CDFC3E3">
            <w:pPr>
              <w:bidi w:val="0"/>
              <w:rPr>
                <w:rFonts w:hint="eastAsia"/>
              </w:rPr>
            </w:pPr>
            <w:r>
              <w:rPr>
                <w:rFonts w:hint="eastAsia"/>
              </w:rPr>
              <w:t>14 机型集成方案选配</w:t>
            </w:r>
          </w:p>
        </w:tc>
        <w:tc>
          <w:tcPr>
            <w:tcW w:w="1695" w:type="dxa"/>
            <w:tcBorders>
              <w:top w:val="nil"/>
              <w:left w:val="nil"/>
              <w:bottom w:val="single" w:color="auto" w:sz="4" w:space="0"/>
              <w:right w:val="single" w:color="auto" w:sz="4" w:space="0"/>
            </w:tcBorders>
            <w:shd w:val="clear" w:color="auto" w:fill="auto"/>
            <w:vAlign w:val="center"/>
          </w:tcPr>
          <w:p w14:paraId="33B70A31">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2E1E783A">
            <w:pPr>
              <w:bidi w:val="0"/>
              <w:rPr>
                <w:rFonts w:hint="eastAsia"/>
              </w:rPr>
            </w:pPr>
            <w:r>
              <w:rPr>
                <w:rFonts w:hint="eastAsia"/>
              </w:rPr>
              <w:t>从厂级获取到机型集成的方案配置，在子系统中设置好对应机型的算法配置</w:t>
            </w:r>
          </w:p>
        </w:tc>
      </w:tr>
      <w:tr w14:paraId="78069431">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A0BF92D">
            <w:pPr>
              <w:bidi w:val="0"/>
              <w:rPr>
                <w:rFonts w:hint="eastAsia"/>
              </w:rPr>
            </w:pPr>
            <w:r>
              <w:rPr>
                <w:rFonts w:hint="eastAsia"/>
              </w:rPr>
              <w:t>15</w:t>
            </w:r>
          </w:p>
        </w:tc>
        <w:tc>
          <w:tcPr>
            <w:tcW w:w="2220" w:type="dxa"/>
            <w:tcBorders>
              <w:top w:val="nil"/>
              <w:left w:val="nil"/>
              <w:bottom w:val="single" w:color="auto" w:sz="4" w:space="0"/>
              <w:right w:val="single" w:color="auto" w:sz="4" w:space="0"/>
            </w:tcBorders>
            <w:shd w:val="clear" w:color="auto" w:fill="auto"/>
            <w:vAlign w:val="center"/>
          </w:tcPr>
          <w:p w14:paraId="57F6A269">
            <w:pPr>
              <w:bidi w:val="0"/>
              <w:rPr>
                <w:rFonts w:hint="eastAsia"/>
              </w:rPr>
            </w:pPr>
            <w:r>
              <w:rPr>
                <w:rFonts w:hint="eastAsia"/>
              </w:rPr>
              <w:t>15 设备配置</w:t>
            </w:r>
          </w:p>
        </w:tc>
        <w:tc>
          <w:tcPr>
            <w:tcW w:w="1695" w:type="dxa"/>
            <w:tcBorders>
              <w:top w:val="nil"/>
              <w:left w:val="nil"/>
              <w:bottom w:val="single" w:color="auto" w:sz="4" w:space="0"/>
              <w:right w:val="single" w:color="auto" w:sz="4" w:space="0"/>
            </w:tcBorders>
            <w:shd w:val="clear" w:color="auto" w:fill="auto"/>
            <w:vAlign w:val="center"/>
          </w:tcPr>
          <w:p w14:paraId="236FB348">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0E1F99E3">
            <w:pPr>
              <w:bidi w:val="0"/>
              <w:rPr>
                <w:rFonts w:hint="eastAsia"/>
              </w:rPr>
            </w:pPr>
            <w:r>
              <w:rPr>
                <w:rFonts w:hint="eastAsia"/>
              </w:rPr>
              <w:t>从厂级获取到机型集成的设备配置，在子系统中设置好对应机型的设备配置</w:t>
            </w:r>
          </w:p>
        </w:tc>
      </w:tr>
      <w:tr w14:paraId="1A129DFF">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2135843">
            <w:pPr>
              <w:bidi w:val="0"/>
              <w:rPr>
                <w:rFonts w:hint="eastAsia"/>
              </w:rPr>
            </w:pPr>
            <w:r>
              <w:rPr>
                <w:rFonts w:hint="eastAsia"/>
              </w:rPr>
              <w:t>16</w:t>
            </w:r>
          </w:p>
        </w:tc>
        <w:tc>
          <w:tcPr>
            <w:tcW w:w="2220" w:type="dxa"/>
            <w:tcBorders>
              <w:top w:val="nil"/>
              <w:left w:val="nil"/>
              <w:bottom w:val="single" w:color="auto" w:sz="4" w:space="0"/>
              <w:right w:val="single" w:color="auto" w:sz="4" w:space="0"/>
            </w:tcBorders>
            <w:shd w:val="clear" w:color="auto" w:fill="auto"/>
            <w:vAlign w:val="center"/>
          </w:tcPr>
          <w:p w14:paraId="6FEB81BF">
            <w:pPr>
              <w:bidi w:val="0"/>
              <w:rPr>
                <w:rFonts w:hint="eastAsia"/>
              </w:rPr>
            </w:pPr>
            <w:r>
              <w:rPr>
                <w:rFonts w:hint="eastAsia"/>
              </w:rPr>
              <w:t xml:space="preserve">16 硬件集成方案库管理 </w:t>
            </w:r>
          </w:p>
        </w:tc>
        <w:tc>
          <w:tcPr>
            <w:tcW w:w="1695" w:type="dxa"/>
            <w:tcBorders>
              <w:top w:val="nil"/>
              <w:left w:val="nil"/>
              <w:bottom w:val="single" w:color="auto" w:sz="4" w:space="0"/>
              <w:right w:val="single" w:color="auto" w:sz="4" w:space="0"/>
            </w:tcBorders>
            <w:shd w:val="clear" w:color="auto" w:fill="auto"/>
            <w:vAlign w:val="center"/>
          </w:tcPr>
          <w:p w14:paraId="3B6C2080">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306D292C">
            <w:pPr>
              <w:bidi w:val="0"/>
              <w:rPr>
                <w:rFonts w:hint="eastAsia"/>
              </w:rPr>
            </w:pPr>
            <w:r>
              <w:rPr>
                <w:rFonts w:hint="eastAsia"/>
              </w:rPr>
              <w:t>厂级系统的集成方案管理库，里面维护了所以的机型方案</w:t>
            </w:r>
          </w:p>
        </w:tc>
      </w:tr>
      <w:tr w14:paraId="0E0A3EFD">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A078B61">
            <w:pPr>
              <w:bidi w:val="0"/>
              <w:rPr>
                <w:rFonts w:hint="eastAsia"/>
              </w:rPr>
            </w:pPr>
            <w:r>
              <w:rPr>
                <w:rFonts w:hint="eastAsia"/>
              </w:rPr>
              <w:t>17</w:t>
            </w:r>
          </w:p>
        </w:tc>
        <w:tc>
          <w:tcPr>
            <w:tcW w:w="2220" w:type="dxa"/>
            <w:tcBorders>
              <w:top w:val="nil"/>
              <w:left w:val="nil"/>
              <w:bottom w:val="single" w:color="auto" w:sz="4" w:space="0"/>
              <w:right w:val="single" w:color="auto" w:sz="4" w:space="0"/>
            </w:tcBorders>
            <w:shd w:val="clear" w:color="auto" w:fill="auto"/>
            <w:vAlign w:val="center"/>
          </w:tcPr>
          <w:p w14:paraId="12CCF5F1">
            <w:pPr>
              <w:bidi w:val="0"/>
              <w:rPr>
                <w:rFonts w:hint="eastAsia"/>
              </w:rPr>
            </w:pPr>
            <w:r>
              <w:rPr>
                <w:rFonts w:hint="eastAsia"/>
              </w:rPr>
              <w:t>17 系统自检</w:t>
            </w:r>
          </w:p>
        </w:tc>
        <w:tc>
          <w:tcPr>
            <w:tcW w:w="1695" w:type="dxa"/>
            <w:tcBorders>
              <w:top w:val="nil"/>
              <w:left w:val="nil"/>
              <w:bottom w:val="single" w:color="auto" w:sz="4" w:space="0"/>
              <w:right w:val="single" w:color="auto" w:sz="4" w:space="0"/>
            </w:tcBorders>
            <w:shd w:val="clear" w:color="auto" w:fill="auto"/>
            <w:vAlign w:val="center"/>
          </w:tcPr>
          <w:p w14:paraId="2316C286">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307286F7">
            <w:pPr>
              <w:bidi w:val="0"/>
              <w:rPr>
                <w:rFonts w:hint="eastAsia"/>
              </w:rPr>
            </w:pPr>
            <w:r>
              <w:rPr>
                <w:rFonts w:hint="eastAsia"/>
              </w:rPr>
              <w:t>在生产模式中配置完机型集成方案和设备配置后，对选择的配置进行检验。其中包括了对系统的运行环境和设备（PLC和读码相机）的检验</w:t>
            </w:r>
          </w:p>
        </w:tc>
      </w:tr>
      <w:tr w14:paraId="08C29C8C">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860A038">
            <w:pPr>
              <w:bidi w:val="0"/>
              <w:rPr>
                <w:rFonts w:hint="eastAsia"/>
              </w:rPr>
            </w:pPr>
            <w:r>
              <w:rPr>
                <w:rFonts w:hint="eastAsia"/>
              </w:rPr>
              <w:t>18</w:t>
            </w:r>
          </w:p>
        </w:tc>
        <w:tc>
          <w:tcPr>
            <w:tcW w:w="2220" w:type="dxa"/>
            <w:tcBorders>
              <w:top w:val="nil"/>
              <w:left w:val="nil"/>
              <w:bottom w:val="single" w:color="auto" w:sz="4" w:space="0"/>
              <w:right w:val="single" w:color="auto" w:sz="4" w:space="0"/>
            </w:tcBorders>
            <w:shd w:val="clear" w:color="auto" w:fill="auto"/>
            <w:vAlign w:val="center"/>
          </w:tcPr>
          <w:p w14:paraId="11491B78">
            <w:pPr>
              <w:bidi w:val="0"/>
              <w:rPr>
                <w:rFonts w:hint="eastAsia"/>
              </w:rPr>
            </w:pPr>
            <w:r>
              <w:rPr>
                <w:rFonts w:hint="eastAsia"/>
              </w:rPr>
              <w:t>18 系统版本管理</w:t>
            </w:r>
          </w:p>
        </w:tc>
        <w:tc>
          <w:tcPr>
            <w:tcW w:w="1695" w:type="dxa"/>
            <w:tcBorders>
              <w:top w:val="nil"/>
              <w:left w:val="nil"/>
              <w:bottom w:val="single" w:color="auto" w:sz="4" w:space="0"/>
              <w:right w:val="single" w:color="auto" w:sz="4" w:space="0"/>
            </w:tcBorders>
            <w:shd w:val="clear" w:color="auto" w:fill="auto"/>
            <w:vAlign w:val="center"/>
          </w:tcPr>
          <w:p w14:paraId="77F00FBB">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51278014">
            <w:pPr>
              <w:bidi w:val="0"/>
              <w:rPr>
                <w:rFonts w:hint="eastAsia"/>
              </w:rPr>
            </w:pPr>
            <w:r>
              <w:rPr>
                <w:rFonts w:hint="eastAsia"/>
              </w:rPr>
              <w:t>版本管理包括了当前的版本信息、最新版本的更新提示操作</w:t>
            </w:r>
          </w:p>
        </w:tc>
      </w:tr>
      <w:tr w14:paraId="7323F994">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1E16A00">
            <w:pPr>
              <w:bidi w:val="0"/>
              <w:rPr>
                <w:rFonts w:hint="eastAsia"/>
              </w:rPr>
            </w:pPr>
            <w:r>
              <w:rPr>
                <w:rFonts w:hint="eastAsia"/>
              </w:rPr>
              <w:t>19</w:t>
            </w:r>
          </w:p>
        </w:tc>
        <w:tc>
          <w:tcPr>
            <w:tcW w:w="2220" w:type="dxa"/>
            <w:tcBorders>
              <w:top w:val="nil"/>
              <w:left w:val="nil"/>
              <w:bottom w:val="single" w:color="auto" w:sz="4" w:space="0"/>
              <w:right w:val="single" w:color="auto" w:sz="4" w:space="0"/>
            </w:tcBorders>
            <w:shd w:val="clear" w:color="auto" w:fill="auto"/>
            <w:vAlign w:val="center"/>
          </w:tcPr>
          <w:p w14:paraId="1002F346">
            <w:pPr>
              <w:bidi w:val="0"/>
              <w:rPr>
                <w:rFonts w:hint="eastAsia"/>
              </w:rPr>
            </w:pPr>
            <w:r>
              <w:rPr>
                <w:rFonts w:hint="eastAsia"/>
              </w:rPr>
              <w:t>19 产线状态更新</w:t>
            </w:r>
          </w:p>
        </w:tc>
        <w:tc>
          <w:tcPr>
            <w:tcW w:w="1695" w:type="dxa"/>
            <w:tcBorders>
              <w:top w:val="nil"/>
              <w:left w:val="nil"/>
              <w:bottom w:val="single" w:color="auto" w:sz="4" w:space="0"/>
              <w:right w:val="single" w:color="auto" w:sz="4" w:space="0"/>
            </w:tcBorders>
            <w:shd w:val="clear" w:color="auto" w:fill="auto"/>
            <w:vAlign w:val="center"/>
          </w:tcPr>
          <w:p w14:paraId="7D906F17">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79465DD9">
            <w:pPr>
              <w:bidi w:val="0"/>
              <w:rPr>
                <w:rFonts w:hint="eastAsia"/>
              </w:rPr>
            </w:pPr>
            <w:r>
              <w:rPr>
                <w:rFonts w:hint="eastAsia"/>
              </w:rPr>
              <w:t>在产线注册成功后，将当前产线状态同步给厂级系统，厂级系统将产线状态更改为上线</w:t>
            </w:r>
          </w:p>
        </w:tc>
      </w:tr>
      <w:tr w14:paraId="5B52ACA7">
        <w:tblPrEx>
          <w:tblCellMar>
            <w:top w:w="0" w:type="dxa"/>
            <w:left w:w="108" w:type="dxa"/>
            <w:bottom w:w="0" w:type="dxa"/>
            <w:right w:w="108" w:type="dxa"/>
          </w:tblCellMar>
        </w:tblPrEx>
        <w:trPr>
          <w:trHeight w:val="998"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D89C7FB">
            <w:pPr>
              <w:bidi w:val="0"/>
              <w:rPr>
                <w:rFonts w:hint="eastAsia"/>
              </w:rPr>
            </w:pPr>
            <w:r>
              <w:rPr>
                <w:rFonts w:hint="eastAsia"/>
              </w:rPr>
              <w:t>20</w:t>
            </w:r>
          </w:p>
        </w:tc>
        <w:tc>
          <w:tcPr>
            <w:tcW w:w="2220" w:type="dxa"/>
            <w:tcBorders>
              <w:top w:val="nil"/>
              <w:left w:val="nil"/>
              <w:bottom w:val="single" w:color="auto" w:sz="4" w:space="0"/>
              <w:right w:val="single" w:color="auto" w:sz="4" w:space="0"/>
            </w:tcBorders>
            <w:shd w:val="clear" w:color="auto" w:fill="auto"/>
            <w:vAlign w:val="center"/>
          </w:tcPr>
          <w:p w14:paraId="3AC8FEAB">
            <w:pPr>
              <w:bidi w:val="0"/>
              <w:rPr>
                <w:rFonts w:hint="eastAsia"/>
              </w:rPr>
            </w:pPr>
            <w:r>
              <w:rPr>
                <w:rFonts w:hint="eastAsia"/>
              </w:rPr>
              <w:t>20 产线管理</w:t>
            </w:r>
          </w:p>
        </w:tc>
        <w:tc>
          <w:tcPr>
            <w:tcW w:w="1695" w:type="dxa"/>
            <w:tcBorders>
              <w:top w:val="nil"/>
              <w:left w:val="nil"/>
              <w:bottom w:val="single" w:color="auto" w:sz="4" w:space="0"/>
              <w:right w:val="single" w:color="auto" w:sz="4" w:space="0"/>
            </w:tcBorders>
            <w:shd w:val="clear" w:color="auto" w:fill="auto"/>
            <w:vAlign w:val="center"/>
          </w:tcPr>
          <w:p w14:paraId="6DC59F2E">
            <w:pPr>
              <w:bidi w:val="0"/>
              <w:rPr>
                <w:rFonts w:hint="eastAsia"/>
              </w:rPr>
            </w:pPr>
            <w:r>
              <w:rPr>
                <w:rFonts w:hint="eastAsia"/>
              </w:rPr>
              <w:t>作业流程</w:t>
            </w:r>
          </w:p>
        </w:tc>
        <w:tc>
          <w:tcPr>
            <w:tcW w:w="5307" w:type="dxa"/>
            <w:tcBorders>
              <w:top w:val="nil"/>
              <w:left w:val="nil"/>
              <w:bottom w:val="single" w:color="auto" w:sz="4" w:space="0"/>
              <w:right w:val="single" w:color="auto" w:sz="4" w:space="0"/>
            </w:tcBorders>
            <w:shd w:val="clear" w:color="auto" w:fill="auto"/>
            <w:vAlign w:val="center"/>
          </w:tcPr>
          <w:p w14:paraId="7D7727D2">
            <w:pPr>
              <w:bidi w:val="0"/>
              <w:rPr>
                <w:rFonts w:hint="eastAsia"/>
              </w:rPr>
            </w:pPr>
            <w:r>
              <w:rPr>
                <w:rFonts w:hint="eastAsia"/>
              </w:rPr>
              <w:t>在厂级系统中维护的产线管理</w:t>
            </w:r>
          </w:p>
        </w:tc>
      </w:tr>
    </w:tbl>
    <w:p w14:paraId="47AF9227">
      <w:pPr>
        <w:bidi w:val="0"/>
        <w:rPr>
          <w:rFonts w:hint="eastAsia"/>
        </w:rPr>
      </w:pPr>
    </w:p>
    <w:p w14:paraId="5C769CB9">
      <w:pPr>
        <w:pStyle w:val="12"/>
        <w:bidi w:val="0"/>
        <w:rPr>
          <w:rFonts w:hint="eastAsia"/>
        </w:rPr>
      </w:pPr>
      <w:bookmarkStart w:id="137" w:name="_Toc531495662"/>
      <w:bookmarkStart w:id="138" w:name="_Toc13301"/>
      <w:bookmarkStart w:id="139" w:name="_Toc23492"/>
      <w:bookmarkStart w:id="140" w:name="_Toc31554"/>
      <w:r>
        <w:rPr>
          <w:rFonts w:hint="eastAsia"/>
        </w:rPr>
        <w:t>系统运行日志</w:t>
      </w:r>
      <w:bookmarkEnd w:id="137"/>
      <w:bookmarkEnd w:id="138"/>
      <w:bookmarkEnd w:id="139"/>
      <w:bookmarkEnd w:id="140"/>
    </w:p>
    <w:p w14:paraId="763DB413">
      <w:pPr>
        <w:bidi w:val="0"/>
        <w:rPr>
          <w:rFonts w:hint="eastAsia"/>
        </w:rPr>
      </w:pPr>
      <w:r>
        <w:drawing>
          <wp:inline distT="0" distB="0" distL="0" distR="0">
            <wp:extent cx="5274310" cy="3787775"/>
            <wp:effectExtent l="0" t="0" r="0" b="317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74310" cy="3787775"/>
                    </a:xfrm>
                    <a:prstGeom prst="rect">
                      <a:avLst/>
                    </a:prstGeom>
                    <a:noFill/>
                    <a:ln>
                      <a:noFill/>
                    </a:ln>
                  </pic:spPr>
                </pic:pic>
              </a:graphicData>
            </a:graphic>
          </wp:inline>
        </w:drawing>
      </w:r>
    </w:p>
    <w:p w14:paraId="1A792A4C">
      <w:pPr>
        <w:bidi w:val="0"/>
      </w:pPr>
      <w:r>
        <w:br w:type="page"/>
      </w:r>
    </w:p>
    <w:p w14:paraId="1736F150">
      <w:pPr>
        <w:bidi w:val="0"/>
        <w:rPr>
          <w:rFonts w:hint="eastAsia"/>
        </w:rPr>
      </w:pPr>
    </w:p>
    <w:tbl>
      <w:tblPr>
        <w:tblStyle w:val="43"/>
        <w:tblW w:w="9138" w:type="dxa"/>
        <w:jc w:val="center"/>
        <w:tblLayout w:type="autofit"/>
        <w:tblCellMar>
          <w:top w:w="0" w:type="dxa"/>
          <w:left w:w="108" w:type="dxa"/>
          <w:bottom w:w="0" w:type="dxa"/>
          <w:right w:w="108" w:type="dxa"/>
        </w:tblCellMar>
      </w:tblPr>
      <w:tblGrid>
        <w:gridCol w:w="693"/>
        <w:gridCol w:w="2421"/>
        <w:gridCol w:w="1488"/>
        <w:gridCol w:w="4536"/>
      </w:tblGrid>
      <w:tr w14:paraId="78521696">
        <w:tblPrEx>
          <w:tblCellMar>
            <w:top w:w="0" w:type="dxa"/>
            <w:left w:w="108" w:type="dxa"/>
            <w:bottom w:w="0" w:type="dxa"/>
            <w:right w:w="108" w:type="dxa"/>
          </w:tblCellMar>
        </w:tblPrEx>
        <w:trPr>
          <w:trHeight w:val="652" w:hRule="atLeast"/>
          <w:jc w:val="center"/>
        </w:trPr>
        <w:tc>
          <w:tcPr>
            <w:tcW w:w="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27DDD6DC">
            <w:pPr>
              <w:bidi w:val="0"/>
              <w:rPr>
                <w:rFonts w:hint="eastAsia"/>
              </w:rPr>
            </w:pPr>
            <w:r>
              <w:rPr>
                <w:rFonts w:hint="eastAsia"/>
              </w:rPr>
              <w:t>序号</w:t>
            </w:r>
          </w:p>
        </w:tc>
        <w:tc>
          <w:tcPr>
            <w:tcW w:w="2421"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002E4E67">
            <w:pPr>
              <w:bidi w:val="0"/>
              <w:rPr>
                <w:rFonts w:hint="eastAsia"/>
              </w:rPr>
            </w:pPr>
            <w:r>
              <w:rPr>
                <w:rFonts w:hint="eastAsia"/>
              </w:rPr>
              <w:t>节点名称</w:t>
            </w:r>
          </w:p>
        </w:tc>
        <w:tc>
          <w:tcPr>
            <w:tcW w:w="1488"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4DB7D53">
            <w:pPr>
              <w:bidi w:val="0"/>
              <w:rPr>
                <w:rFonts w:hint="eastAsia"/>
              </w:rPr>
            </w:pPr>
            <w:r>
              <w:rPr>
                <w:rFonts w:hint="eastAsia"/>
              </w:rPr>
              <w:t>节点类型（操作/作业流程/示意流程）</w:t>
            </w:r>
          </w:p>
        </w:tc>
        <w:tc>
          <w:tcPr>
            <w:tcW w:w="4536"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9160EBF">
            <w:pPr>
              <w:bidi w:val="0"/>
              <w:rPr>
                <w:rFonts w:hint="eastAsia"/>
              </w:rPr>
            </w:pPr>
            <w:r>
              <w:rPr>
                <w:rFonts w:hint="eastAsia"/>
              </w:rPr>
              <w:t>节点描述（如何做）</w:t>
            </w:r>
          </w:p>
        </w:tc>
      </w:tr>
      <w:tr w14:paraId="2C1E8596">
        <w:tblPrEx>
          <w:tblCellMar>
            <w:top w:w="0" w:type="dxa"/>
            <w:left w:w="108" w:type="dxa"/>
            <w:bottom w:w="0" w:type="dxa"/>
            <w:right w:w="108" w:type="dxa"/>
          </w:tblCellMar>
        </w:tblPrEx>
        <w:trPr>
          <w:trHeight w:val="480"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4C945EA9">
            <w:pPr>
              <w:bidi w:val="0"/>
              <w:rPr>
                <w:rFonts w:hint="eastAsia"/>
              </w:rPr>
            </w:pPr>
          </w:p>
        </w:tc>
        <w:tc>
          <w:tcPr>
            <w:tcW w:w="2421" w:type="dxa"/>
            <w:vMerge w:val="continue"/>
            <w:tcBorders>
              <w:top w:val="single" w:color="auto" w:sz="4" w:space="0"/>
              <w:left w:val="single" w:color="auto" w:sz="4" w:space="0"/>
              <w:bottom w:val="single" w:color="auto" w:sz="4" w:space="0"/>
              <w:right w:val="single" w:color="auto" w:sz="4" w:space="0"/>
            </w:tcBorders>
            <w:vAlign w:val="center"/>
          </w:tcPr>
          <w:p w14:paraId="2EE83922">
            <w:pPr>
              <w:bidi w:val="0"/>
              <w:rPr>
                <w:rFonts w:hint="eastAsia"/>
              </w:rPr>
            </w:pPr>
          </w:p>
        </w:tc>
        <w:tc>
          <w:tcPr>
            <w:tcW w:w="1488" w:type="dxa"/>
            <w:vMerge w:val="continue"/>
            <w:tcBorders>
              <w:top w:val="single" w:color="auto" w:sz="4" w:space="0"/>
              <w:left w:val="single" w:color="auto" w:sz="4" w:space="0"/>
              <w:bottom w:val="single" w:color="auto" w:sz="4" w:space="0"/>
              <w:right w:val="single" w:color="auto" w:sz="4" w:space="0"/>
            </w:tcBorders>
            <w:vAlign w:val="center"/>
          </w:tcPr>
          <w:p w14:paraId="3EC82699">
            <w:pPr>
              <w:bidi w:val="0"/>
              <w:rPr>
                <w:rFonts w:hint="eastAsia"/>
              </w:rPr>
            </w:pPr>
          </w:p>
        </w:tc>
        <w:tc>
          <w:tcPr>
            <w:tcW w:w="4536" w:type="dxa"/>
            <w:vMerge w:val="continue"/>
            <w:tcBorders>
              <w:top w:val="single" w:color="auto" w:sz="4" w:space="0"/>
              <w:left w:val="single" w:color="auto" w:sz="4" w:space="0"/>
              <w:bottom w:val="single" w:color="auto" w:sz="4" w:space="0"/>
              <w:right w:val="single" w:color="auto" w:sz="4" w:space="0"/>
            </w:tcBorders>
            <w:vAlign w:val="center"/>
          </w:tcPr>
          <w:p w14:paraId="290B5E18">
            <w:pPr>
              <w:bidi w:val="0"/>
              <w:rPr>
                <w:rFonts w:hint="eastAsia"/>
              </w:rPr>
            </w:pPr>
          </w:p>
        </w:tc>
      </w:tr>
      <w:tr w14:paraId="15C6ABBE">
        <w:tblPrEx>
          <w:tblCellMar>
            <w:top w:w="0" w:type="dxa"/>
            <w:left w:w="108" w:type="dxa"/>
            <w:bottom w:w="0" w:type="dxa"/>
            <w:right w:w="108" w:type="dxa"/>
          </w:tblCellMar>
        </w:tblPrEx>
        <w:trPr>
          <w:trHeight w:val="468"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57930CEB">
            <w:pPr>
              <w:bidi w:val="0"/>
              <w:rPr>
                <w:rFonts w:hint="eastAsia"/>
              </w:rPr>
            </w:pPr>
          </w:p>
        </w:tc>
        <w:tc>
          <w:tcPr>
            <w:tcW w:w="2421" w:type="dxa"/>
            <w:vMerge w:val="continue"/>
            <w:tcBorders>
              <w:top w:val="single" w:color="auto" w:sz="4" w:space="0"/>
              <w:left w:val="single" w:color="auto" w:sz="4" w:space="0"/>
              <w:bottom w:val="single" w:color="auto" w:sz="4" w:space="0"/>
              <w:right w:val="single" w:color="auto" w:sz="4" w:space="0"/>
            </w:tcBorders>
            <w:vAlign w:val="center"/>
          </w:tcPr>
          <w:p w14:paraId="377DB8B1">
            <w:pPr>
              <w:bidi w:val="0"/>
              <w:rPr>
                <w:rFonts w:hint="eastAsia"/>
              </w:rPr>
            </w:pPr>
          </w:p>
        </w:tc>
        <w:tc>
          <w:tcPr>
            <w:tcW w:w="1488" w:type="dxa"/>
            <w:vMerge w:val="continue"/>
            <w:tcBorders>
              <w:top w:val="single" w:color="auto" w:sz="4" w:space="0"/>
              <w:left w:val="single" w:color="auto" w:sz="4" w:space="0"/>
              <w:bottom w:val="single" w:color="auto" w:sz="4" w:space="0"/>
              <w:right w:val="single" w:color="auto" w:sz="4" w:space="0"/>
            </w:tcBorders>
            <w:vAlign w:val="center"/>
          </w:tcPr>
          <w:p w14:paraId="61C39E28">
            <w:pPr>
              <w:bidi w:val="0"/>
              <w:rPr>
                <w:rFonts w:hint="eastAsia"/>
              </w:rPr>
            </w:pPr>
          </w:p>
        </w:tc>
        <w:tc>
          <w:tcPr>
            <w:tcW w:w="4536" w:type="dxa"/>
            <w:vMerge w:val="continue"/>
            <w:tcBorders>
              <w:top w:val="single" w:color="auto" w:sz="4" w:space="0"/>
              <w:left w:val="single" w:color="auto" w:sz="4" w:space="0"/>
              <w:bottom w:val="single" w:color="auto" w:sz="4" w:space="0"/>
              <w:right w:val="single" w:color="auto" w:sz="4" w:space="0"/>
            </w:tcBorders>
            <w:vAlign w:val="center"/>
          </w:tcPr>
          <w:p w14:paraId="5CD54746">
            <w:pPr>
              <w:bidi w:val="0"/>
              <w:rPr>
                <w:rFonts w:hint="eastAsia"/>
              </w:rPr>
            </w:pPr>
          </w:p>
        </w:tc>
      </w:tr>
      <w:tr w14:paraId="46934B89">
        <w:tblPrEx>
          <w:tblCellMar>
            <w:top w:w="0" w:type="dxa"/>
            <w:left w:w="108" w:type="dxa"/>
            <w:bottom w:w="0" w:type="dxa"/>
            <w:right w:w="108" w:type="dxa"/>
          </w:tblCellMar>
        </w:tblPrEx>
        <w:trPr>
          <w:trHeight w:val="87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7772E3D">
            <w:pPr>
              <w:bidi w:val="0"/>
              <w:rPr>
                <w:rFonts w:hint="eastAsia"/>
              </w:rPr>
            </w:pPr>
            <w:r>
              <w:rPr>
                <w:rFonts w:hint="eastAsia"/>
              </w:rPr>
              <w:t>1</w:t>
            </w:r>
          </w:p>
        </w:tc>
        <w:tc>
          <w:tcPr>
            <w:tcW w:w="2421" w:type="dxa"/>
            <w:tcBorders>
              <w:top w:val="nil"/>
              <w:left w:val="nil"/>
              <w:bottom w:val="single" w:color="auto" w:sz="4" w:space="0"/>
              <w:right w:val="single" w:color="auto" w:sz="4" w:space="0"/>
            </w:tcBorders>
            <w:shd w:val="clear" w:color="auto" w:fill="auto"/>
            <w:vAlign w:val="center"/>
          </w:tcPr>
          <w:p w14:paraId="1158D402">
            <w:pPr>
              <w:bidi w:val="0"/>
              <w:rPr>
                <w:rFonts w:hint="eastAsia"/>
              </w:rPr>
            </w:pPr>
            <w:r>
              <w:rPr>
                <w:rFonts w:hint="eastAsia"/>
              </w:rPr>
              <w:t>1“条盒”数据上传</w:t>
            </w:r>
          </w:p>
        </w:tc>
        <w:tc>
          <w:tcPr>
            <w:tcW w:w="1488" w:type="dxa"/>
            <w:tcBorders>
              <w:top w:val="nil"/>
              <w:left w:val="nil"/>
              <w:bottom w:val="single" w:color="auto" w:sz="4" w:space="0"/>
              <w:right w:val="single" w:color="auto" w:sz="4" w:space="0"/>
            </w:tcBorders>
            <w:shd w:val="clear" w:color="auto" w:fill="auto"/>
            <w:vAlign w:val="center"/>
          </w:tcPr>
          <w:p w14:paraId="640E3B49">
            <w:pPr>
              <w:bidi w:val="0"/>
              <w:rPr>
                <w:rFonts w:hint="eastAsia"/>
              </w:rPr>
            </w:pPr>
            <w:r>
              <w:rPr>
                <w:rFonts w:hint="eastAsia"/>
              </w:rPr>
              <w:t>作业流程</w:t>
            </w:r>
          </w:p>
        </w:tc>
        <w:tc>
          <w:tcPr>
            <w:tcW w:w="4536" w:type="dxa"/>
            <w:tcBorders>
              <w:top w:val="nil"/>
              <w:left w:val="nil"/>
              <w:bottom w:val="single" w:color="auto" w:sz="4" w:space="0"/>
              <w:right w:val="single" w:color="auto" w:sz="4" w:space="0"/>
            </w:tcBorders>
            <w:shd w:val="clear" w:color="auto" w:fill="auto"/>
            <w:vAlign w:val="center"/>
          </w:tcPr>
          <w:p w14:paraId="1EBB1727">
            <w:pPr>
              <w:bidi w:val="0"/>
              <w:rPr>
                <w:rFonts w:hint="eastAsia"/>
              </w:rPr>
            </w:pPr>
            <w:r>
              <w:rPr>
                <w:rFonts w:hint="eastAsia"/>
              </w:rPr>
              <w:t>“盒条”关联现场管理子系统将“条盒”关联成功数据上传到“盒条件”关联厂级管理子系统中。</w:t>
            </w:r>
          </w:p>
        </w:tc>
      </w:tr>
      <w:tr w14:paraId="72A30437">
        <w:tblPrEx>
          <w:tblCellMar>
            <w:top w:w="0" w:type="dxa"/>
            <w:left w:w="108" w:type="dxa"/>
            <w:bottom w:w="0" w:type="dxa"/>
            <w:right w:w="108" w:type="dxa"/>
          </w:tblCellMar>
        </w:tblPrEx>
        <w:trPr>
          <w:trHeight w:val="72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1B204FE">
            <w:pPr>
              <w:bidi w:val="0"/>
              <w:rPr>
                <w:rFonts w:hint="eastAsia"/>
              </w:rPr>
            </w:pPr>
            <w:r>
              <w:rPr>
                <w:rFonts w:hint="eastAsia"/>
              </w:rPr>
              <w:t>2</w:t>
            </w:r>
          </w:p>
        </w:tc>
        <w:tc>
          <w:tcPr>
            <w:tcW w:w="2421" w:type="dxa"/>
            <w:tcBorders>
              <w:top w:val="nil"/>
              <w:left w:val="nil"/>
              <w:bottom w:val="single" w:color="auto" w:sz="4" w:space="0"/>
              <w:right w:val="single" w:color="auto" w:sz="4" w:space="0"/>
            </w:tcBorders>
            <w:shd w:val="clear" w:color="auto" w:fill="auto"/>
            <w:vAlign w:val="center"/>
          </w:tcPr>
          <w:p w14:paraId="24B1A842">
            <w:pPr>
              <w:bidi w:val="0"/>
              <w:rPr>
                <w:rFonts w:hint="eastAsia"/>
              </w:rPr>
            </w:pPr>
            <w:r>
              <w:rPr>
                <w:rFonts w:hint="eastAsia"/>
              </w:rPr>
              <w:t>2“条件”数据上传</w:t>
            </w:r>
          </w:p>
        </w:tc>
        <w:tc>
          <w:tcPr>
            <w:tcW w:w="1488" w:type="dxa"/>
            <w:tcBorders>
              <w:top w:val="nil"/>
              <w:left w:val="nil"/>
              <w:bottom w:val="single" w:color="auto" w:sz="4" w:space="0"/>
              <w:right w:val="single" w:color="auto" w:sz="4" w:space="0"/>
            </w:tcBorders>
            <w:shd w:val="clear" w:color="auto" w:fill="auto"/>
            <w:vAlign w:val="center"/>
          </w:tcPr>
          <w:p w14:paraId="7D1FE359">
            <w:pPr>
              <w:bidi w:val="0"/>
              <w:rPr>
                <w:rFonts w:hint="eastAsia"/>
              </w:rPr>
            </w:pPr>
            <w:r>
              <w:rPr>
                <w:rFonts w:hint="eastAsia"/>
              </w:rPr>
              <w:t>作业流程</w:t>
            </w:r>
          </w:p>
        </w:tc>
        <w:tc>
          <w:tcPr>
            <w:tcW w:w="4536" w:type="dxa"/>
            <w:tcBorders>
              <w:top w:val="nil"/>
              <w:left w:val="nil"/>
              <w:bottom w:val="single" w:color="auto" w:sz="4" w:space="0"/>
              <w:right w:val="single" w:color="auto" w:sz="4" w:space="0"/>
            </w:tcBorders>
            <w:shd w:val="clear" w:color="auto" w:fill="auto"/>
            <w:vAlign w:val="center"/>
          </w:tcPr>
          <w:p w14:paraId="0AC6C8CD">
            <w:pPr>
              <w:bidi w:val="0"/>
              <w:rPr>
                <w:rFonts w:hint="eastAsia"/>
              </w:rPr>
            </w:pPr>
            <w:r>
              <w:rPr>
                <w:rFonts w:hint="eastAsia"/>
              </w:rPr>
              <w:t>“条件”关联现场管理子系统将“条件”关联成功数据上传到“盒条件”关联厂级管理子系统中。</w:t>
            </w:r>
          </w:p>
        </w:tc>
      </w:tr>
      <w:tr w14:paraId="35D1557F">
        <w:tblPrEx>
          <w:tblCellMar>
            <w:top w:w="0" w:type="dxa"/>
            <w:left w:w="108" w:type="dxa"/>
            <w:bottom w:w="0" w:type="dxa"/>
            <w:right w:w="108" w:type="dxa"/>
          </w:tblCellMar>
        </w:tblPrEx>
        <w:trPr>
          <w:trHeight w:val="85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88E6AC8">
            <w:pPr>
              <w:bidi w:val="0"/>
              <w:rPr>
                <w:rFonts w:hint="eastAsia"/>
              </w:rPr>
            </w:pPr>
            <w:r>
              <w:rPr>
                <w:rFonts w:hint="eastAsia"/>
              </w:rPr>
              <w:t>3</w:t>
            </w:r>
          </w:p>
        </w:tc>
        <w:tc>
          <w:tcPr>
            <w:tcW w:w="2421" w:type="dxa"/>
            <w:tcBorders>
              <w:top w:val="nil"/>
              <w:left w:val="nil"/>
              <w:bottom w:val="single" w:color="auto" w:sz="4" w:space="0"/>
              <w:right w:val="single" w:color="auto" w:sz="4" w:space="0"/>
            </w:tcBorders>
            <w:shd w:val="clear" w:color="auto" w:fill="auto"/>
            <w:vAlign w:val="center"/>
          </w:tcPr>
          <w:p w14:paraId="6777373C">
            <w:pPr>
              <w:bidi w:val="0"/>
              <w:rPr>
                <w:rFonts w:hint="eastAsia"/>
              </w:rPr>
            </w:pPr>
            <w:r>
              <w:rPr>
                <w:rFonts w:hint="eastAsia"/>
              </w:rPr>
              <w:t>3工业互联网时序数据库</w:t>
            </w:r>
          </w:p>
        </w:tc>
        <w:tc>
          <w:tcPr>
            <w:tcW w:w="1488" w:type="dxa"/>
            <w:tcBorders>
              <w:top w:val="nil"/>
              <w:left w:val="nil"/>
              <w:bottom w:val="single" w:color="auto" w:sz="4" w:space="0"/>
              <w:right w:val="single" w:color="auto" w:sz="4" w:space="0"/>
            </w:tcBorders>
            <w:shd w:val="clear" w:color="auto" w:fill="auto"/>
            <w:vAlign w:val="center"/>
          </w:tcPr>
          <w:p w14:paraId="7125A552">
            <w:pPr>
              <w:bidi w:val="0"/>
              <w:rPr>
                <w:rFonts w:hint="eastAsia"/>
              </w:rPr>
            </w:pPr>
            <w:r>
              <w:rPr>
                <w:rFonts w:hint="eastAsia"/>
              </w:rPr>
              <w:t>　</w:t>
            </w:r>
          </w:p>
        </w:tc>
        <w:tc>
          <w:tcPr>
            <w:tcW w:w="4536" w:type="dxa"/>
            <w:tcBorders>
              <w:top w:val="nil"/>
              <w:left w:val="nil"/>
              <w:bottom w:val="single" w:color="auto" w:sz="4" w:space="0"/>
              <w:right w:val="single" w:color="auto" w:sz="4" w:space="0"/>
            </w:tcBorders>
            <w:shd w:val="clear" w:color="auto" w:fill="auto"/>
            <w:vAlign w:val="center"/>
          </w:tcPr>
          <w:p w14:paraId="6D5F66F1">
            <w:pPr>
              <w:bidi w:val="0"/>
              <w:rPr>
                <w:rFonts w:hint="eastAsia"/>
              </w:rPr>
            </w:pPr>
            <w:r>
              <w:rPr>
                <w:rFonts w:hint="eastAsia"/>
              </w:rPr>
              <w:t>工业互联网存储上传的“条盒”关联数据、“条件”关联数据。</w:t>
            </w:r>
          </w:p>
        </w:tc>
      </w:tr>
      <w:tr w14:paraId="7835B1F4">
        <w:tblPrEx>
          <w:tblCellMar>
            <w:top w:w="0" w:type="dxa"/>
            <w:left w:w="108" w:type="dxa"/>
            <w:bottom w:w="0" w:type="dxa"/>
            <w:right w:w="108" w:type="dxa"/>
          </w:tblCellMar>
        </w:tblPrEx>
        <w:trPr>
          <w:trHeight w:val="105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22F65765">
            <w:pPr>
              <w:bidi w:val="0"/>
              <w:rPr>
                <w:rFonts w:hint="eastAsia"/>
              </w:rPr>
            </w:pPr>
            <w:r>
              <w:rPr>
                <w:rFonts w:hint="eastAsia"/>
              </w:rPr>
              <w:t>4</w:t>
            </w:r>
          </w:p>
        </w:tc>
        <w:tc>
          <w:tcPr>
            <w:tcW w:w="2421" w:type="dxa"/>
            <w:tcBorders>
              <w:top w:val="nil"/>
              <w:left w:val="nil"/>
              <w:bottom w:val="single" w:color="auto" w:sz="4" w:space="0"/>
              <w:right w:val="single" w:color="auto" w:sz="4" w:space="0"/>
            </w:tcBorders>
            <w:shd w:val="clear" w:color="auto" w:fill="auto"/>
            <w:vAlign w:val="center"/>
          </w:tcPr>
          <w:p w14:paraId="22EE2074">
            <w:pPr>
              <w:bidi w:val="0"/>
              <w:rPr>
                <w:rFonts w:hint="eastAsia"/>
              </w:rPr>
            </w:pPr>
            <w:r>
              <w:rPr>
                <w:rFonts w:hint="eastAsia"/>
              </w:rPr>
              <w:t>4增量关联数据</w:t>
            </w:r>
          </w:p>
        </w:tc>
        <w:tc>
          <w:tcPr>
            <w:tcW w:w="1488" w:type="dxa"/>
            <w:tcBorders>
              <w:top w:val="nil"/>
              <w:left w:val="nil"/>
              <w:bottom w:val="single" w:color="auto" w:sz="4" w:space="0"/>
              <w:right w:val="single" w:color="auto" w:sz="4" w:space="0"/>
            </w:tcBorders>
            <w:shd w:val="clear" w:color="auto" w:fill="auto"/>
            <w:vAlign w:val="center"/>
          </w:tcPr>
          <w:p w14:paraId="0706B6B1">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4C44B348">
            <w:pPr>
              <w:bidi w:val="0"/>
              <w:rPr>
                <w:rFonts w:hint="eastAsia"/>
              </w:rPr>
            </w:pPr>
            <w:r>
              <w:rPr>
                <w:rFonts w:hint="eastAsia"/>
              </w:rPr>
              <w:t>从数据库数据中提出增量的“条盒”关联数据、“条件”关联数据。</w:t>
            </w:r>
          </w:p>
        </w:tc>
      </w:tr>
      <w:tr w14:paraId="0DDBC64F">
        <w:tblPrEx>
          <w:tblCellMar>
            <w:top w:w="0" w:type="dxa"/>
            <w:left w:w="108" w:type="dxa"/>
            <w:bottom w:w="0" w:type="dxa"/>
            <w:right w:w="108" w:type="dxa"/>
          </w:tblCellMar>
        </w:tblPrEx>
        <w:trPr>
          <w:trHeight w:val="106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09D7D18">
            <w:pPr>
              <w:bidi w:val="0"/>
              <w:rPr>
                <w:rFonts w:hint="eastAsia"/>
              </w:rPr>
            </w:pPr>
            <w:r>
              <w:rPr>
                <w:rFonts w:hint="eastAsia"/>
              </w:rPr>
              <w:t>5</w:t>
            </w:r>
          </w:p>
        </w:tc>
        <w:tc>
          <w:tcPr>
            <w:tcW w:w="2421" w:type="dxa"/>
            <w:tcBorders>
              <w:top w:val="nil"/>
              <w:left w:val="nil"/>
              <w:bottom w:val="single" w:color="auto" w:sz="4" w:space="0"/>
              <w:right w:val="single" w:color="auto" w:sz="4" w:space="0"/>
            </w:tcBorders>
            <w:shd w:val="clear" w:color="auto" w:fill="auto"/>
            <w:vAlign w:val="center"/>
          </w:tcPr>
          <w:p w14:paraId="3349F994">
            <w:pPr>
              <w:bidi w:val="0"/>
              <w:rPr>
                <w:rFonts w:hint="eastAsia"/>
              </w:rPr>
            </w:pPr>
            <w:r>
              <w:rPr>
                <w:rFonts w:hint="eastAsia"/>
              </w:rPr>
              <w:t>5增量条或件码</w:t>
            </w:r>
          </w:p>
        </w:tc>
        <w:tc>
          <w:tcPr>
            <w:tcW w:w="1488" w:type="dxa"/>
            <w:tcBorders>
              <w:top w:val="nil"/>
              <w:left w:val="nil"/>
              <w:bottom w:val="single" w:color="auto" w:sz="4" w:space="0"/>
              <w:right w:val="single" w:color="auto" w:sz="4" w:space="0"/>
            </w:tcBorders>
            <w:shd w:val="clear" w:color="auto" w:fill="auto"/>
            <w:vAlign w:val="center"/>
          </w:tcPr>
          <w:p w14:paraId="1F705B88">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03DABB08">
            <w:pPr>
              <w:bidi w:val="0"/>
              <w:rPr>
                <w:rFonts w:hint="eastAsia"/>
              </w:rPr>
            </w:pPr>
            <w:r>
              <w:rPr>
                <w:rFonts w:hint="eastAsia"/>
              </w:rPr>
              <w:t>从数据库数据中提取“条盒”关联数据以及“条件”关联数据中的条码、件码。</w:t>
            </w:r>
          </w:p>
        </w:tc>
      </w:tr>
      <w:tr w14:paraId="03B0C494">
        <w:tblPrEx>
          <w:tblCellMar>
            <w:top w:w="0" w:type="dxa"/>
            <w:left w:w="108" w:type="dxa"/>
            <w:bottom w:w="0" w:type="dxa"/>
            <w:right w:w="108" w:type="dxa"/>
          </w:tblCellMar>
        </w:tblPrEx>
        <w:trPr>
          <w:trHeight w:val="641"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B8B7D3D">
            <w:pPr>
              <w:bidi w:val="0"/>
              <w:rPr>
                <w:rFonts w:hint="eastAsia"/>
              </w:rPr>
            </w:pPr>
            <w:r>
              <w:rPr>
                <w:rFonts w:hint="eastAsia"/>
              </w:rPr>
              <w:t>6</w:t>
            </w:r>
          </w:p>
        </w:tc>
        <w:tc>
          <w:tcPr>
            <w:tcW w:w="2421" w:type="dxa"/>
            <w:tcBorders>
              <w:top w:val="nil"/>
              <w:left w:val="nil"/>
              <w:bottom w:val="single" w:color="auto" w:sz="4" w:space="0"/>
              <w:right w:val="single" w:color="auto" w:sz="4" w:space="0"/>
            </w:tcBorders>
            <w:shd w:val="clear" w:color="auto" w:fill="auto"/>
            <w:vAlign w:val="center"/>
          </w:tcPr>
          <w:p w14:paraId="17B7952E">
            <w:pPr>
              <w:bidi w:val="0"/>
              <w:rPr>
                <w:rFonts w:hint="eastAsia"/>
              </w:rPr>
            </w:pPr>
            <w:r>
              <w:rPr>
                <w:rFonts w:hint="eastAsia"/>
              </w:rPr>
              <w:t>6更新条或件码数据</w:t>
            </w:r>
          </w:p>
        </w:tc>
        <w:tc>
          <w:tcPr>
            <w:tcW w:w="1488" w:type="dxa"/>
            <w:tcBorders>
              <w:top w:val="nil"/>
              <w:left w:val="nil"/>
              <w:bottom w:val="single" w:color="auto" w:sz="4" w:space="0"/>
              <w:right w:val="single" w:color="auto" w:sz="4" w:space="0"/>
            </w:tcBorders>
            <w:shd w:val="clear" w:color="auto" w:fill="auto"/>
            <w:vAlign w:val="center"/>
          </w:tcPr>
          <w:p w14:paraId="5D7A971B">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4C7C833B">
            <w:pPr>
              <w:bidi w:val="0"/>
              <w:rPr>
                <w:rFonts w:hint="eastAsia"/>
              </w:rPr>
            </w:pPr>
            <w:r>
              <w:rPr>
                <w:rFonts w:hint="eastAsia"/>
              </w:rPr>
              <w:t>将新增条或件码数据的数据写入表中</w:t>
            </w:r>
          </w:p>
        </w:tc>
      </w:tr>
      <w:tr w14:paraId="38B8F0BE">
        <w:tblPrEx>
          <w:tblCellMar>
            <w:top w:w="0" w:type="dxa"/>
            <w:left w:w="108" w:type="dxa"/>
            <w:bottom w:w="0" w:type="dxa"/>
            <w:right w:w="108" w:type="dxa"/>
          </w:tblCellMar>
        </w:tblPrEx>
        <w:trPr>
          <w:trHeight w:val="565"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FCEEDA7">
            <w:pPr>
              <w:bidi w:val="0"/>
              <w:rPr>
                <w:rFonts w:hint="eastAsia"/>
              </w:rPr>
            </w:pPr>
            <w:r>
              <w:rPr>
                <w:rFonts w:hint="eastAsia"/>
              </w:rPr>
              <w:t>7</w:t>
            </w:r>
          </w:p>
        </w:tc>
        <w:tc>
          <w:tcPr>
            <w:tcW w:w="2421" w:type="dxa"/>
            <w:tcBorders>
              <w:top w:val="nil"/>
              <w:left w:val="nil"/>
              <w:bottom w:val="single" w:color="auto" w:sz="4" w:space="0"/>
              <w:right w:val="single" w:color="auto" w:sz="4" w:space="0"/>
            </w:tcBorders>
            <w:shd w:val="clear" w:color="auto" w:fill="auto"/>
            <w:vAlign w:val="center"/>
          </w:tcPr>
          <w:p w14:paraId="33694868">
            <w:pPr>
              <w:bidi w:val="0"/>
              <w:rPr>
                <w:rFonts w:hint="eastAsia"/>
              </w:rPr>
            </w:pPr>
            <w:r>
              <w:rPr>
                <w:rFonts w:hint="eastAsia"/>
              </w:rPr>
              <w:t>7提取未汇聚条或件</w:t>
            </w:r>
          </w:p>
        </w:tc>
        <w:tc>
          <w:tcPr>
            <w:tcW w:w="1488" w:type="dxa"/>
            <w:tcBorders>
              <w:top w:val="nil"/>
              <w:left w:val="nil"/>
              <w:bottom w:val="single" w:color="auto" w:sz="4" w:space="0"/>
              <w:right w:val="single" w:color="auto" w:sz="4" w:space="0"/>
            </w:tcBorders>
            <w:shd w:val="clear" w:color="auto" w:fill="auto"/>
            <w:vAlign w:val="center"/>
          </w:tcPr>
          <w:p w14:paraId="6D4C1CA2">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643BF4F3">
            <w:pPr>
              <w:bidi w:val="0"/>
              <w:rPr>
                <w:rFonts w:hint="eastAsia"/>
              </w:rPr>
            </w:pPr>
            <w:r>
              <w:rPr>
                <w:rFonts w:hint="eastAsia"/>
              </w:rPr>
              <w:t>从表中提取没有成功汇聚的条或件码</w:t>
            </w:r>
          </w:p>
        </w:tc>
      </w:tr>
      <w:tr w14:paraId="0978A446">
        <w:tblPrEx>
          <w:tblCellMar>
            <w:top w:w="0" w:type="dxa"/>
            <w:left w:w="108" w:type="dxa"/>
            <w:bottom w:w="0" w:type="dxa"/>
            <w:right w:w="108" w:type="dxa"/>
          </w:tblCellMar>
        </w:tblPrEx>
        <w:trPr>
          <w:trHeight w:val="87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7C7D5676">
            <w:pPr>
              <w:bidi w:val="0"/>
              <w:rPr>
                <w:rFonts w:hint="eastAsia"/>
              </w:rPr>
            </w:pPr>
            <w:r>
              <w:rPr>
                <w:rFonts w:hint="eastAsia"/>
              </w:rPr>
              <w:t>8</w:t>
            </w:r>
          </w:p>
        </w:tc>
        <w:tc>
          <w:tcPr>
            <w:tcW w:w="2421" w:type="dxa"/>
            <w:tcBorders>
              <w:top w:val="nil"/>
              <w:left w:val="nil"/>
              <w:bottom w:val="single" w:color="auto" w:sz="4" w:space="0"/>
              <w:right w:val="single" w:color="auto" w:sz="4" w:space="0"/>
            </w:tcBorders>
            <w:shd w:val="clear" w:color="auto" w:fill="auto"/>
            <w:vAlign w:val="center"/>
          </w:tcPr>
          <w:p w14:paraId="60F142F5">
            <w:pPr>
              <w:bidi w:val="0"/>
              <w:rPr>
                <w:rFonts w:hint="eastAsia"/>
              </w:rPr>
            </w:pPr>
            <w:r>
              <w:rPr>
                <w:rFonts w:hint="eastAsia"/>
              </w:rPr>
              <w:t>8循环校验关联数据</w:t>
            </w:r>
          </w:p>
        </w:tc>
        <w:tc>
          <w:tcPr>
            <w:tcW w:w="1488" w:type="dxa"/>
            <w:tcBorders>
              <w:top w:val="nil"/>
              <w:left w:val="nil"/>
              <w:bottom w:val="single" w:color="auto" w:sz="4" w:space="0"/>
              <w:right w:val="single" w:color="auto" w:sz="4" w:space="0"/>
            </w:tcBorders>
            <w:shd w:val="clear" w:color="auto" w:fill="auto"/>
            <w:vAlign w:val="center"/>
          </w:tcPr>
          <w:p w14:paraId="235447EA">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0E20231E">
            <w:pPr>
              <w:bidi w:val="0"/>
              <w:rPr>
                <w:rFonts w:hint="eastAsia"/>
              </w:rPr>
            </w:pPr>
            <w:r>
              <w:rPr>
                <w:rFonts w:hint="eastAsia"/>
              </w:rPr>
              <w:t>将增量的关联数据进行校验，校验内容包括：关联数据中比例关系正确情况等</w:t>
            </w:r>
          </w:p>
        </w:tc>
      </w:tr>
      <w:tr w14:paraId="71B31BC7">
        <w:tblPrEx>
          <w:tblCellMar>
            <w:top w:w="0" w:type="dxa"/>
            <w:left w:w="108" w:type="dxa"/>
            <w:bottom w:w="0" w:type="dxa"/>
            <w:right w:w="108" w:type="dxa"/>
          </w:tblCellMar>
        </w:tblPrEx>
        <w:trPr>
          <w:trHeight w:val="90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959ECE0">
            <w:pPr>
              <w:bidi w:val="0"/>
              <w:rPr>
                <w:rFonts w:hint="eastAsia"/>
              </w:rPr>
            </w:pPr>
            <w:r>
              <w:rPr>
                <w:rFonts w:hint="eastAsia"/>
              </w:rPr>
              <w:t>9</w:t>
            </w:r>
          </w:p>
        </w:tc>
        <w:tc>
          <w:tcPr>
            <w:tcW w:w="2421" w:type="dxa"/>
            <w:tcBorders>
              <w:top w:val="nil"/>
              <w:left w:val="nil"/>
              <w:bottom w:val="single" w:color="auto" w:sz="4" w:space="0"/>
              <w:right w:val="single" w:color="auto" w:sz="4" w:space="0"/>
            </w:tcBorders>
            <w:shd w:val="clear" w:color="auto" w:fill="auto"/>
            <w:vAlign w:val="center"/>
          </w:tcPr>
          <w:p w14:paraId="7183DA31">
            <w:pPr>
              <w:bidi w:val="0"/>
              <w:rPr>
                <w:rFonts w:hint="eastAsia"/>
              </w:rPr>
            </w:pPr>
            <w:r>
              <w:rPr>
                <w:rFonts w:hint="eastAsia"/>
              </w:rPr>
              <w:t>9更新条或件码状态</w:t>
            </w:r>
          </w:p>
        </w:tc>
        <w:tc>
          <w:tcPr>
            <w:tcW w:w="1488" w:type="dxa"/>
            <w:tcBorders>
              <w:top w:val="nil"/>
              <w:left w:val="nil"/>
              <w:bottom w:val="single" w:color="auto" w:sz="4" w:space="0"/>
              <w:right w:val="single" w:color="auto" w:sz="4" w:space="0"/>
            </w:tcBorders>
            <w:shd w:val="clear" w:color="auto" w:fill="auto"/>
            <w:vAlign w:val="center"/>
          </w:tcPr>
          <w:p w14:paraId="22CD2FBD">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1CA52C13">
            <w:pPr>
              <w:bidi w:val="0"/>
              <w:rPr>
                <w:rFonts w:hint="eastAsia"/>
              </w:rPr>
            </w:pPr>
            <w:r>
              <w:rPr>
                <w:rFonts w:hint="eastAsia"/>
              </w:rPr>
              <w:t>若关联数据通过校验，则更新对应条或件码的汇聚状态。</w:t>
            </w:r>
          </w:p>
        </w:tc>
      </w:tr>
      <w:tr w14:paraId="54C73DC4">
        <w:tblPrEx>
          <w:tblCellMar>
            <w:top w:w="0" w:type="dxa"/>
            <w:left w:w="108" w:type="dxa"/>
            <w:bottom w:w="0" w:type="dxa"/>
            <w:right w:w="108" w:type="dxa"/>
          </w:tblCellMar>
        </w:tblPrEx>
        <w:trPr>
          <w:trHeight w:val="79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A04FAA9">
            <w:pPr>
              <w:bidi w:val="0"/>
              <w:rPr>
                <w:rFonts w:hint="eastAsia"/>
              </w:rPr>
            </w:pPr>
            <w:r>
              <w:rPr>
                <w:rFonts w:hint="eastAsia"/>
              </w:rPr>
              <w:t>10</w:t>
            </w:r>
          </w:p>
        </w:tc>
        <w:tc>
          <w:tcPr>
            <w:tcW w:w="2421" w:type="dxa"/>
            <w:tcBorders>
              <w:top w:val="nil"/>
              <w:left w:val="nil"/>
              <w:bottom w:val="single" w:color="auto" w:sz="4" w:space="0"/>
              <w:right w:val="single" w:color="auto" w:sz="4" w:space="0"/>
            </w:tcBorders>
            <w:shd w:val="clear" w:color="auto" w:fill="auto"/>
            <w:vAlign w:val="center"/>
          </w:tcPr>
          <w:p w14:paraId="2BDECA47">
            <w:pPr>
              <w:bidi w:val="0"/>
              <w:rPr>
                <w:rFonts w:hint="eastAsia"/>
              </w:rPr>
            </w:pPr>
            <w:r>
              <w:rPr>
                <w:rFonts w:hint="eastAsia"/>
              </w:rPr>
              <w:t>10保存错误记录</w:t>
            </w:r>
          </w:p>
        </w:tc>
        <w:tc>
          <w:tcPr>
            <w:tcW w:w="1488" w:type="dxa"/>
            <w:tcBorders>
              <w:top w:val="nil"/>
              <w:left w:val="nil"/>
              <w:bottom w:val="single" w:color="auto" w:sz="4" w:space="0"/>
              <w:right w:val="single" w:color="auto" w:sz="4" w:space="0"/>
            </w:tcBorders>
            <w:shd w:val="clear" w:color="auto" w:fill="auto"/>
            <w:vAlign w:val="center"/>
          </w:tcPr>
          <w:p w14:paraId="27B0CB45">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56153580">
            <w:pPr>
              <w:bidi w:val="0"/>
              <w:rPr>
                <w:rFonts w:hint="eastAsia"/>
              </w:rPr>
            </w:pPr>
            <w:r>
              <w:rPr>
                <w:rFonts w:hint="eastAsia"/>
              </w:rPr>
              <w:t>若关联数据没有通过校验，则保存错误原因记录。</w:t>
            </w:r>
          </w:p>
        </w:tc>
      </w:tr>
      <w:tr w14:paraId="24E28D8F">
        <w:tblPrEx>
          <w:tblCellMar>
            <w:top w:w="0" w:type="dxa"/>
            <w:left w:w="108" w:type="dxa"/>
            <w:bottom w:w="0" w:type="dxa"/>
            <w:right w:w="108" w:type="dxa"/>
          </w:tblCellMar>
        </w:tblPrEx>
        <w:trPr>
          <w:trHeight w:val="557"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21B3740">
            <w:pPr>
              <w:bidi w:val="0"/>
              <w:rPr>
                <w:rFonts w:hint="eastAsia"/>
              </w:rPr>
            </w:pPr>
            <w:r>
              <w:rPr>
                <w:rFonts w:hint="eastAsia"/>
              </w:rPr>
              <w:t>11</w:t>
            </w:r>
          </w:p>
        </w:tc>
        <w:tc>
          <w:tcPr>
            <w:tcW w:w="2421" w:type="dxa"/>
            <w:tcBorders>
              <w:top w:val="nil"/>
              <w:left w:val="nil"/>
              <w:bottom w:val="single" w:color="auto" w:sz="4" w:space="0"/>
              <w:right w:val="single" w:color="auto" w:sz="4" w:space="0"/>
            </w:tcBorders>
            <w:shd w:val="clear" w:color="auto" w:fill="auto"/>
            <w:vAlign w:val="center"/>
          </w:tcPr>
          <w:p w14:paraId="3C474D63">
            <w:pPr>
              <w:bidi w:val="0"/>
              <w:rPr>
                <w:rFonts w:hint="eastAsia"/>
              </w:rPr>
            </w:pPr>
            <w:r>
              <w:rPr>
                <w:rFonts w:hint="eastAsia"/>
              </w:rPr>
              <w:t>11反馈汇聚结果</w:t>
            </w:r>
          </w:p>
        </w:tc>
        <w:tc>
          <w:tcPr>
            <w:tcW w:w="1488" w:type="dxa"/>
            <w:tcBorders>
              <w:top w:val="nil"/>
              <w:left w:val="nil"/>
              <w:bottom w:val="single" w:color="auto" w:sz="4" w:space="0"/>
              <w:right w:val="single" w:color="auto" w:sz="4" w:space="0"/>
            </w:tcBorders>
            <w:shd w:val="clear" w:color="auto" w:fill="auto"/>
            <w:vAlign w:val="center"/>
          </w:tcPr>
          <w:p w14:paraId="097CA672">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6C763048">
            <w:pPr>
              <w:bidi w:val="0"/>
              <w:rPr>
                <w:rFonts w:hint="eastAsia"/>
              </w:rPr>
            </w:pPr>
            <w:r>
              <w:rPr>
                <w:rFonts w:hint="eastAsia"/>
              </w:rPr>
              <w:t>将数据汇聚状态反馈给对应的现场子系统</w:t>
            </w:r>
          </w:p>
        </w:tc>
      </w:tr>
      <w:tr w14:paraId="52DCA71E">
        <w:tblPrEx>
          <w:tblCellMar>
            <w:top w:w="0" w:type="dxa"/>
            <w:left w:w="108" w:type="dxa"/>
            <w:bottom w:w="0" w:type="dxa"/>
            <w:right w:w="108" w:type="dxa"/>
          </w:tblCellMar>
        </w:tblPrEx>
        <w:trPr>
          <w:trHeight w:val="81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2F47AD4E">
            <w:pPr>
              <w:bidi w:val="0"/>
              <w:rPr>
                <w:rFonts w:hint="eastAsia"/>
              </w:rPr>
            </w:pPr>
            <w:r>
              <w:rPr>
                <w:rFonts w:hint="eastAsia"/>
              </w:rPr>
              <w:t>12</w:t>
            </w:r>
          </w:p>
        </w:tc>
        <w:tc>
          <w:tcPr>
            <w:tcW w:w="2421" w:type="dxa"/>
            <w:tcBorders>
              <w:top w:val="nil"/>
              <w:left w:val="nil"/>
              <w:bottom w:val="single" w:color="auto" w:sz="4" w:space="0"/>
              <w:right w:val="single" w:color="auto" w:sz="4" w:space="0"/>
            </w:tcBorders>
            <w:shd w:val="clear" w:color="auto" w:fill="auto"/>
            <w:vAlign w:val="center"/>
          </w:tcPr>
          <w:p w14:paraId="65019036">
            <w:pPr>
              <w:bidi w:val="0"/>
              <w:rPr>
                <w:rFonts w:hint="eastAsia"/>
              </w:rPr>
            </w:pPr>
            <w:r>
              <w:rPr>
                <w:rFonts w:hint="eastAsia"/>
              </w:rPr>
              <w:t>12接收结果反馈</w:t>
            </w:r>
          </w:p>
        </w:tc>
        <w:tc>
          <w:tcPr>
            <w:tcW w:w="1488" w:type="dxa"/>
            <w:tcBorders>
              <w:top w:val="nil"/>
              <w:left w:val="nil"/>
              <w:bottom w:val="single" w:color="auto" w:sz="4" w:space="0"/>
              <w:right w:val="single" w:color="auto" w:sz="4" w:space="0"/>
            </w:tcBorders>
            <w:shd w:val="clear" w:color="auto" w:fill="auto"/>
            <w:vAlign w:val="center"/>
          </w:tcPr>
          <w:p w14:paraId="00E732A3">
            <w:pPr>
              <w:bidi w:val="0"/>
              <w:rPr>
                <w:rFonts w:hint="eastAsia"/>
              </w:rPr>
            </w:pPr>
            <w:r>
              <w:rPr>
                <w:rFonts w:hint="eastAsia"/>
              </w:rPr>
              <w:t>作业流程</w:t>
            </w:r>
          </w:p>
        </w:tc>
        <w:tc>
          <w:tcPr>
            <w:tcW w:w="4536" w:type="dxa"/>
            <w:tcBorders>
              <w:top w:val="nil"/>
              <w:left w:val="nil"/>
              <w:bottom w:val="single" w:color="auto" w:sz="4" w:space="0"/>
              <w:right w:val="single" w:color="auto" w:sz="4" w:space="0"/>
            </w:tcBorders>
            <w:shd w:val="clear" w:color="auto" w:fill="auto"/>
            <w:vAlign w:val="center"/>
          </w:tcPr>
          <w:p w14:paraId="2CB682DD">
            <w:pPr>
              <w:bidi w:val="0"/>
              <w:rPr>
                <w:rFonts w:hint="eastAsia"/>
              </w:rPr>
            </w:pPr>
            <w:r>
              <w:rPr>
                <w:rFonts w:hint="eastAsia"/>
              </w:rPr>
              <w:t>现场子系统接收数据汇聚的结果，成功或失败。</w:t>
            </w:r>
          </w:p>
        </w:tc>
      </w:tr>
    </w:tbl>
    <w:p w14:paraId="22221193">
      <w:pPr>
        <w:pStyle w:val="12"/>
        <w:bidi w:val="0"/>
        <w:rPr>
          <w:rFonts w:hint="eastAsia"/>
        </w:rPr>
      </w:pPr>
      <w:bookmarkStart w:id="141" w:name="_Toc20937"/>
      <w:bookmarkStart w:id="142" w:name="_Toc1439469922"/>
      <w:bookmarkStart w:id="143" w:name="_Toc14176"/>
      <w:bookmarkStart w:id="144" w:name="_Toc4042"/>
      <w:r>
        <w:rPr>
          <w:rFonts w:hint="eastAsia"/>
        </w:rPr>
        <w:t>操作日志</w:t>
      </w:r>
      <w:bookmarkEnd w:id="141"/>
      <w:bookmarkEnd w:id="142"/>
      <w:bookmarkEnd w:id="143"/>
      <w:bookmarkEnd w:id="144"/>
    </w:p>
    <w:p w14:paraId="4826BFCC">
      <w:pPr>
        <w:bidi w:val="0"/>
        <w:rPr>
          <w:rFonts w:hint="eastAsia"/>
        </w:rPr>
      </w:pPr>
      <w:r>
        <w:drawing>
          <wp:inline distT="0" distB="0" distL="0" distR="0">
            <wp:extent cx="5267960" cy="3789680"/>
            <wp:effectExtent l="0" t="0" r="0" b="127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67960" cy="3789680"/>
                    </a:xfrm>
                    <a:prstGeom prst="rect">
                      <a:avLst/>
                    </a:prstGeom>
                    <a:noFill/>
                    <a:ln>
                      <a:noFill/>
                    </a:ln>
                  </pic:spPr>
                </pic:pic>
              </a:graphicData>
            </a:graphic>
          </wp:inline>
        </w:drawing>
      </w:r>
    </w:p>
    <w:p w14:paraId="4EBD1983">
      <w:pPr>
        <w:bidi w:val="0"/>
        <w:rPr>
          <w:rFonts w:hint="eastAsia"/>
        </w:rPr>
      </w:pPr>
    </w:p>
    <w:tbl>
      <w:tblPr>
        <w:tblStyle w:val="43"/>
        <w:tblW w:w="9138" w:type="dxa"/>
        <w:jc w:val="center"/>
        <w:tblLayout w:type="autofit"/>
        <w:tblCellMar>
          <w:top w:w="0" w:type="dxa"/>
          <w:left w:w="108" w:type="dxa"/>
          <w:bottom w:w="0" w:type="dxa"/>
          <w:right w:w="108" w:type="dxa"/>
        </w:tblCellMar>
      </w:tblPr>
      <w:tblGrid>
        <w:gridCol w:w="693"/>
        <w:gridCol w:w="2217"/>
        <w:gridCol w:w="1692"/>
        <w:gridCol w:w="4536"/>
      </w:tblGrid>
      <w:tr w14:paraId="760DAB03">
        <w:tblPrEx>
          <w:tblCellMar>
            <w:top w:w="0" w:type="dxa"/>
            <w:left w:w="108" w:type="dxa"/>
            <w:bottom w:w="0" w:type="dxa"/>
            <w:right w:w="108" w:type="dxa"/>
          </w:tblCellMar>
        </w:tblPrEx>
        <w:trPr>
          <w:trHeight w:val="652" w:hRule="atLeast"/>
          <w:jc w:val="center"/>
        </w:trPr>
        <w:tc>
          <w:tcPr>
            <w:tcW w:w="693"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7DC4762C">
            <w:pPr>
              <w:bidi w:val="0"/>
              <w:rPr>
                <w:rFonts w:hint="eastAsia"/>
              </w:rPr>
            </w:pPr>
            <w:r>
              <w:rPr>
                <w:rFonts w:hint="eastAsia"/>
              </w:rPr>
              <w:t>序号</w:t>
            </w:r>
          </w:p>
        </w:tc>
        <w:tc>
          <w:tcPr>
            <w:tcW w:w="2217"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1817D358">
            <w:pPr>
              <w:bidi w:val="0"/>
              <w:rPr>
                <w:rFonts w:hint="eastAsia"/>
              </w:rPr>
            </w:pPr>
            <w:r>
              <w:rPr>
                <w:rFonts w:hint="eastAsia"/>
              </w:rPr>
              <w:t>节点名称</w:t>
            </w:r>
          </w:p>
        </w:tc>
        <w:tc>
          <w:tcPr>
            <w:tcW w:w="1692"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32E7E1E7">
            <w:pPr>
              <w:bidi w:val="0"/>
              <w:rPr>
                <w:rFonts w:hint="eastAsia"/>
              </w:rPr>
            </w:pPr>
            <w:r>
              <w:rPr>
                <w:rFonts w:hint="eastAsia"/>
              </w:rPr>
              <w:t>节点类型（操作/作业流程/示意流程）</w:t>
            </w:r>
          </w:p>
        </w:tc>
        <w:tc>
          <w:tcPr>
            <w:tcW w:w="4536" w:type="dxa"/>
            <w:vMerge w:val="restart"/>
            <w:tcBorders>
              <w:top w:val="single" w:color="auto" w:sz="4" w:space="0"/>
              <w:left w:val="single" w:color="auto" w:sz="4" w:space="0"/>
              <w:bottom w:val="single" w:color="auto" w:sz="4" w:space="0"/>
              <w:right w:val="single" w:color="auto" w:sz="4" w:space="0"/>
            </w:tcBorders>
            <w:shd w:val="clear" w:color="000000" w:fill="F2F2F2"/>
            <w:vAlign w:val="center"/>
          </w:tcPr>
          <w:p w14:paraId="4FD672E0">
            <w:pPr>
              <w:bidi w:val="0"/>
              <w:rPr>
                <w:rFonts w:hint="eastAsia"/>
              </w:rPr>
            </w:pPr>
            <w:r>
              <w:rPr>
                <w:rFonts w:hint="eastAsia"/>
              </w:rPr>
              <w:t>节点描述（如何做）</w:t>
            </w:r>
          </w:p>
        </w:tc>
      </w:tr>
      <w:tr w14:paraId="4412451F">
        <w:tblPrEx>
          <w:tblCellMar>
            <w:top w:w="0" w:type="dxa"/>
            <w:left w:w="108" w:type="dxa"/>
            <w:bottom w:w="0" w:type="dxa"/>
            <w:right w:w="108" w:type="dxa"/>
          </w:tblCellMar>
        </w:tblPrEx>
        <w:trPr>
          <w:trHeight w:val="480"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78275A76">
            <w:pPr>
              <w:bidi w:val="0"/>
              <w:rPr>
                <w:rFonts w:hint="eastAsia"/>
              </w:rPr>
            </w:pPr>
          </w:p>
        </w:tc>
        <w:tc>
          <w:tcPr>
            <w:tcW w:w="2217" w:type="dxa"/>
            <w:vMerge w:val="continue"/>
            <w:tcBorders>
              <w:top w:val="single" w:color="auto" w:sz="4" w:space="0"/>
              <w:left w:val="single" w:color="auto" w:sz="4" w:space="0"/>
              <w:bottom w:val="single" w:color="auto" w:sz="4" w:space="0"/>
              <w:right w:val="single" w:color="auto" w:sz="4" w:space="0"/>
            </w:tcBorders>
            <w:vAlign w:val="center"/>
          </w:tcPr>
          <w:p w14:paraId="479F2200">
            <w:pPr>
              <w:bidi w:val="0"/>
              <w:rPr>
                <w:rFonts w:hint="eastAsia"/>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54AA5E38">
            <w:pPr>
              <w:bidi w:val="0"/>
              <w:rPr>
                <w:rFonts w:hint="eastAsia"/>
              </w:rPr>
            </w:pPr>
          </w:p>
        </w:tc>
        <w:tc>
          <w:tcPr>
            <w:tcW w:w="4536" w:type="dxa"/>
            <w:vMerge w:val="continue"/>
            <w:tcBorders>
              <w:top w:val="single" w:color="auto" w:sz="4" w:space="0"/>
              <w:left w:val="single" w:color="auto" w:sz="4" w:space="0"/>
              <w:bottom w:val="single" w:color="auto" w:sz="4" w:space="0"/>
              <w:right w:val="single" w:color="auto" w:sz="4" w:space="0"/>
            </w:tcBorders>
            <w:vAlign w:val="center"/>
          </w:tcPr>
          <w:p w14:paraId="3FBAA456">
            <w:pPr>
              <w:bidi w:val="0"/>
              <w:rPr>
                <w:rFonts w:hint="eastAsia"/>
              </w:rPr>
            </w:pPr>
          </w:p>
        </w:tc>
      </w:tr>
      <w:tr w14:paraId="6F4A334F">
        <w:tblPrEx>
          <w:tblCellMar>
            <w:top w:w="0" w:type="dxa"/>
            <w:left w:w="108" w:type="dxa"/>
            <w:bottom w:w="0" w:type="dxa"/>
            <w:right w:w="108" w:type="dxa"/>
          </w:tblCellMar>
        </w:tblPrEx>
        <w:trPr>
          <w:trHeight w:val="468" w:hRule="atLeast"/>
          <w:jc w:val="center"/>
        </w:trPr>
        <w:tc>
          <w:tcPr>
            <w:tcW w:w="693" w:type="dxa"/>
            <w:vMerge w:val="continue"/>
            <w:tcBorders>
              <w:top w:val="single" w:color="auto" w:sz="4" w:space="0"/>
              <w:left w:val="single" w:color="auto" w:sz="4" w:space="0"/>
              <w:bottom w:val="single" w:color="auto" w:sz="4" w:space="0"/>
              <w:right w:val="single" w:color="auto" w:sz="4" w:space="0"/>
            </w:tcBorders>
            <w:vAlign w:val="center"/>
          </w:tcPr>
          <w:p w14:paraId="1F6F233D">
            <w:pPr>
              <w:bidi w:val="0"/>
              <w:rPr>
                <w:rFonts w:hint="eastAsia"/>
              </w:rPr>
            </w:pPr>
          </w:p>
        </w:tc>
        <w:tc>
          <w:tcPr>
            <w:tcW w:w="2217" w:type="dxa"/>
            <w:vMerge w:val="continue"/>
            <w:tcBorders>
              <w:top w:val="single" w:color="auto" w:sz="4" w:space="0"/>
              <w:left w:val="single" w:color="auto" w:sz="4" w:space="0"/>
              <w:bottom w:val="single" w:color="auto" w:sz="4" w:space="0"/>
              <w:right w:val="single" w:color="auto" w:sz="4" w:space="0"/>
            </w:tcBorders>
            <w:vAlign w:val="center"/>
          </w:tcPr>
          <w:p w14:paraId="38DB914F">
            <w:pPr>
              <w:bidi w:val="0"/>
              <w:rPr>
                <w:rFonts w:hint="eastAsia"/>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14:paraId="4E4377A1">
            <w:pPr>
              <w:bidi w:val="0"/>
              <w:rPr>
                <w:rFonts w:hint="eastAsia"/>
              </w:rPr>
            </w:pPr>
          </w:p>
        </w:tc>
        <w:tc>
          <w:tcPr>
            <w:tcW w:w="4536" w:type="dxa"/>
            <w:vMerge w:val="continue"/>
            <w:tcBorders>
              <w:top w:val="single" w:color="auto" w:sz="4" w:space="0"/>
              <w:left w:val="single" w:color="auto" w:sz="4" w:space="0"/>
              <w:bottom w:val="single" w:color="auto" w:sz="4" w:space="0"/>
              <w:right w:val="single" w:color="auto" w:sz="4" w:space="0"/>
            </w:tcBorders>
            <w:vAlign w:val="center"/>
          </w:tcPr>
          <w:p w14:paraId="18C56164">
            <w:pPr>
              <w:bidi w:val="0"/>
              <w:rPr>
                <w:rFonts w:hint="eastAsia"/>
              </w:rPr>
            </w:pPr>
          </w:p>
        </w:tc>
      </w:tr>
      <w:tr w14:paraId="6C91036F">
        <w:tblPrEx>
          <w:tblCellMar>
            <w:top w:w="0" w:type="dxa"/>
            <w:left w:w="108" w:type="dxa"/>
            <w:bottom w:w="0" w:type="dxa"/>
            <w:right w:w="108" w:type="dxa"/>
          </w:tblCellMar>
        </w:tblPrEx>
        <w:trPr>
          <w:trHeight w:val="870"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3BF12252">
            <w:pPr>
              <w:bidi w:val="0"/>
              <w:rPr>
                <w:rFonts w:hint="eastAsia"/>
              </w:rPr>
            </w:pPr>
            <w:r>
              <w:rPr>
                <w:rFonts w:hint="eastAsia"/>
              </w:rPr>
              <w:t>1</w:t>
            </w:r>
          </w:p>
        </w:tc>
        <w:tc>
          <w:tcPr>
            <w:tcW w:w="2217" w:type="dxa"/>
            <w:tcBorders>
              <w:top w:val="single" w:color="auto" w:sz="4" w:space="0"/>
              <w:left w:val="single" w:color="auto" w:sz="4" w:space="0"/>
              <w:bottom w:val="single" w:color="auto" w:sz="4" w:space="0"/>
              <w:right w:val="single" w:color="auto" w:sz="4" w:space="0"/>
            </w:tcBorders>
            <w:shd w:val="clear" w:color="auto" w:fill="auto"/>
            <w:vAlign w:val="center"/>
          </w:tcPr>
          <w:p w14:paraId="24AC92B6">
            <w:pPr>
              <w:bidi w:val="0"/>
              <w:rPr>
                <w:rFonts w:hint="eastAsia"/>
              </w:rPr>
            </w:pPr>
            <w:r>
              <w:rPr>
                <w:rFonts w:hint="eastAsia"/>
              </w:rPr>
              <w:t>1“条盒”数据上传</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4AFE2D72">
            <w:pPr>
              <w:bidi w:val="0"/>
              <w:rPr>
                <w:rFonts w:hint="eastAsia"/>
              </w:rPr>
            </w:pPr>
            <w:r>
              <w:rPr>
                <w:rFonts w:hint="eastAsia"/>
              </w:rPr>
              <w:t>作业流程</w:t>
            </w:r>
          </w:p>
        </w:tc>
        <w:tc>
          <w:tcPr>
            <w:tcW w:w="4536" w:type="dxa"/>
            <w:tcBorders>
              <w:top w:val="single" w:color="auto" w:sz="4" w:space="0"/>
              <w:left w:val="single" w:color="auto" w:sz="4" w:space="0"/>
              <w:bottom w:val="single" w:color="auto" w:sz="4" w:space="0"/>
              <w:right w:val="single" w:color="auto" w:sz="4" w:space="0"/>
            </w:tcBorders>
            <w:shd w:val="clear" w:color="auto" w:fill="auto"/>
            <w:vAlign w:val="center"/>
          </w:tcPr>
          <w:p w14:paraId="56586866">
            <w:pPr>
              <w:bidi w:val="0"/>
              <w:rPr>
                <w:rFonts w:hint="eastAsia"/>
              </w:rPr>
            </w:pPr>
            <w:r>
              <w:rPr>
                <w:rFonts w:hint="eastAsia"/>
              </w:rPr>
              <w:t>“盒条”关联现场管理子系统将“条盒”关联成功数据上传到“盒条件”关联厂级管理子系统中。</w:t>
            </w:r>
          </w:p>
        </w:tc>
      </w:tr>
      <w:tr w14:paraId="0DF74D21">
        <w:tblPrEx>
          <w:tblCellMar>
            <w:top w:w="0" w:type="dxa"/>
            <w:left w:w="108" w:type="dxa"/>
            <w:bottom w:w="0" w:type="dxa"/>
            <w:right w:w="108" w:type="dxa"/>
          </w:tblCellMar>
        </w:tblPrEx>
        <w:trPr>
          <w:trHeight w:val="720" w:hRule="atLeast"/>
          <w:jc w:val="center"/>
        </w:trPr>
        <w:tc>
          <w:tcPr>
            <w:tcW w:w="693" w:type="dxa"/>
            <w:tcBorders>
              <w:top w:val="single" w:color="auto" w:sz="4" w:space="0"/>
              <w:left w:val="single" w:color="auto" w:sz="4" w:space="0"/>
              <w:bottom w:val="single" w:color="auto" w:sz="4" w:space="0"/>
              <w:right w:val="single" w:color="auto" w:sz="4" w:space="0"/>
            </w:tcBorders>
            <w:shd w:val="clear" w:color="auto" w:fill="auto"/>
            <w:vAlign w:val="center"/>
          </w:tcPr>
          <w:p w14:paraId="42462EE9">
            <w:pPr>
              <w:bidi w:val="0"/>
              <w:rPr>
                <w:rFonts w:hint="eastAsia"/>
              </w:rPr>
            </w:pPr>
            <w:r>
              <w:rPr>
                <w:rFonts w:hint="eastAsia"/>
              </w:rPr>
              <w:t>2</w:t>
            </w:r>
          </w:p>
        </w:tc>
        <w:tc>
          <w:tcPr>
            <w:tcW w:w="2217" w:type="dxa"/>
            <w:tcBorders>
              <w:top w:val="single" w:color="auto" w:sz="4" w:space="0"/>
              <w:left w:val="single" w:color="auto" w:sz="4" w:space="0"/>
              <w:bottom w:val="single" w:color="auto" w:sz="4" w:space="0"/>
              <w:right w:val="single" w:color="auto" w:sz="4" w:space="0"/>
            </w:tcBorders>
            <w:shd w:val="clear" w:color="auto" w:fill="auto"/>
            <w:vAlign w:val="center"/>
          </w:tcPr>
          <w:p w14:paraId="4E4EA0F6">
            <w:pPr>
              <w:bidi w:val="0"/>
              <w:rPr>
                <w:rFonts w:hint="eastAsia"/>
              </w:rPr>
            </w:pPr>
            <w:r>
              <w:rPr>
                <w:rFonts w:hint="eastAsia"/>
              </w:rPr>
              <w:t>2“条件”数据上传</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042319D4">
            <w:pPr>
              <w:bidi w:val="0"/>
              <w:rPr>
                <w:rFonts w:hint="eastAsia"/>
              </w:rPr>
            </w:pPr>
            <w:r>
              <w:rPr>
                <w:rFonts w:hint="eastAsia"/>
              </w:rPr>
              <w:t>作业流程</w:t>
            </w:r>
          </w:p>
        </w:tc>
        <w:tc>
          <w:tcPr>
            <w:tcW w:w="4536" w:type="dxa"/>
            <w:tcBorders>
              <w:top w:val="single" w:color="auto" w:sz="4" w:space="0"/>
              <w:left w:val="single" w:color="auto" w:sz="4" w:space="0"/>
              <w:bottom w:val="single" w:color="auto" w:sz="4" w:space="0"/>
              <w:right w:val="single" w:color="auto" w:sz="4" w:space="0"/>
            </w:tcBorders>
            <w:shd w:val="clear" w:color="auto" w:fill="auto"/>
            <w:vAlign w:val="center"/>
          </w:tcPr>
          <w:p w14:paraId="7C9FA213">
            <w:pPr>
              <w:bidi w:val="0"/>
              <w:rPr>
                <w:rFonts w:hint="eastAsia"/>
              </w:rPr>
            </w:pPr>
            <w:r>
              <w:rPr>
                <w:rFonts w:hint="eastAsia"/>
              </w:rPr>
              <w:t>“条件”关联现场管理子系统将“条件”关联成功数据上传到“盒条件”关联厂级管理子系统中。</w:t>
            </w:r>
          </w:p>
        </w:tc>
      </w:tr>
      <w:tr w14:paraId="16245312">
        <w:tblPrEx>
          <w:tblCellMar>
            <w:top w:w="0" w:type="dxa"/>
            <w:left w:w="108" w:type="dxa"/>
            <w:bottom w:w="0" w:type="dxa"/>
            <w:right w:w="108" w:type="dxa"/>
          </w:tblCellMar>
        </w:tblPrEx>
        <w:trPr>
          <w:trHeight w:val="85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0957A023">
            <w:pPr>
              <w:bidi w:val="0"/>
              <w:rPr>
                <w:rFonts w:hint="eastAsia"/>
              </w:rPr>
            </w:pPr>
            <w:r>
              <w:rPr>
                <w:rFonts w:hint="eastAsia"/>
              </w:rPr>
              <w:t>3</w:t>
            </w:r>
          </w:p>
        </w:tc>
        <w:tc>
          <w:tcPr>
            <w:tcW w:w="2217" w:type="dxa"/>
            <w:tcBorders>
              <w:top w:val="single" w:color="auto" w:sz="4" w:space="0"/>
              <w:left w:val="nil"/>
              <w:bottom w:val="single" w:color="auto" w:sz="4" w:space="0"/>
              <w:right w:val="single" w:color="auto" w:sz="4" w:space="0"/>
            </w:tcBorders>
            <w:shd w:val="clear" w:color="auto" w:fill="auto"/>
            <w:vAlign w:val="center"/>
          </w:tcPr>
          <w:p w14:paraId="16A69E5A">
            <w:pPr>
              <w:bidi w:val="0"/>
              <w:rPr>
                <w:rFonts w:hint="eastAsia"/>
              </w:rPr>
            </w:pPr>
            <w:r>
              <w:rPr>
                <w:rFonts w:hint="eastAsia"/>
              </w:rPr>
              <w:t>3工业互联网时序数据库</w:t>
            </w:r>
          </w:p>
        </w:tc>
        <w:tc>
          <w:tcPr>
            <w:tcW w:w="1692" w:type="dxa"/>
            <w:tcBorders>
              <w:top w:val="single" w:color="auto" w:sz="4" w:space="0"/>
              <w:left w:val="nil"/>
              <w:bottom w:val="single" w:color="auto" w:sz="4" w:space="0"/>
              <w:right w:val="single" w:color="auto" w:sz="4" w:space="0"/>
            </w:tcBorders>
            <w:shd w:val="clear" w:color="auto" w:fill="auto"/>
            <w:vAlign w:val="center"/>
          </w:tcPr>
          <w:p w14:paraId="512D630B">
            <w:pPr>
              <w:bidi w:val="0"/>
              <w:rPr>
                <w:rFonts w:hint="eastAsia"/>
              </w:rPr>
            </w:pPr>
            <w:r>
              <w:rPr>
                <w:rFonts w:hint="eastAsia"/>
              </w:rPr>
              <w:t>　</w:t>
            </w:r>
          </w:p>
        </w:tc>
        <w:tc>
          <w:tcPr>
            <w:tcW w:w="4536" w:type="dxa"/>
            <w:tcBorders>
              <w:top w:val="single" w:color="auto" w:sz="4" w:space="0"/>
              <w:left w:val="nil"/>
              <w:bottom w:val="single" w:color="auto" w:sz="4" w:space="0"/>
              <w:right w:val="single" w:color="auto" w:sz="4" w:space="0"/>
            </w:tcBorders>
            <w:shd w:val="clear" w:color="auto" w:fill="auto"/>
            <w:vAlign w:val="center"/>
          </w:tcPr>
          <w:p w14:paraId="034E266F">
            <w:pPr>
              <w:bidi w:val="0"/>
              <w:rPr>
                <w:rFonts w:hint="eastAsia"/>
              </w:rPr>
            </w:pPr>
            <w:r>
              <w:rPr>
                <w:rFonts w:hint="eastAsia"/>
              </w:rPr>
              <w:t>工业互联网存储上传的“条盒”关联数据、“条件”关联数据。</w:t>
            </w:r>
          </w:p>
        </w:tc>
      </w:tr>
      <w:tr w14:paraId="48A7DEB5">
        <w:tblPrEx>
          <w:tblCellMar>
            <w:top w:w="0" w:type="dxa"/>
            <w:left w:w="108" w:type="dxa"/>
            <w:bottom w:w="0" w:type="dxa"/>
            <w:right w:w="108" w:type="dxa"/>
          </w:tblCellMar>
        </w:tblPrEx>
        <w:trPr>
          <w:trHeight w:val="105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67C92698">
            <w:pPr>
              <w:bidi w:val="0"/>
              <w:rPr>
                <w:rFonts w:hint="eastAsia"/>
              </w:rPr>
            </w:pPr>
            <w:r>
              <w:rPr>
                <w:rFonts w:hint="eastAsia"/>
              </w:rPr>
              <w:t>4</w:t>
            </w:r>
          </w:p>
        </w:tc>
        <w:tc>
          <w:tcPr>
            <w:tcW w:w="2217" w:type="dxa"/>
            <w:tcBorders>
              <w:top w:val="nil"/>
              <w:left w:val="nil"/>
              <w:bottom w:val="single" w:color="auto" w:sz="4" w:space="0"/>
              <w:right w:val="single" w:color="auto" w:sz="4" w:space="0"/>
            </w:tcBorders>
            <w:shd w:val="clear" w:color="auto" w:fill="auto"/>
            <w:vAlign w:val="center"/>
          </w:tcPr>
          <w:p w14:paraId="524CE3A0">
            <w:pPr>
              <w:bidi w:val="0"/>
              <w:rPr>
                <w:rFonts w:hint="eastAsia"/>
              </w:rPr>
            </w:pPr>
            <w:r>
              <w:rPr>
                <w:rFonts w:hint="eastAsia"/>
              </w:rPr>
              <w:t>4增量关联数据</w:t>
            </w:r>
          </w:p>
        </w:tc>
        <w:tc>
          <w:tcPr>
            <w:tcW w:w="1692" w:type="dxa"/>
            <w:tcBorders>
              <w:top w:val="nil"/>
              <w:left w:val="nil"/>
              <w:bottom w:val="single" w:color="auto" w:sz="4" w:space="0"/>
              <w:right w:val="single" w:color="auto" w:sz="4" w:space="0"/>
            </w:tcBorders>
            <w:shd w:val="clear" w:color="auto" w:fill="auto"/>
            <w:vAlign w:val="center"/>
          </w:tcPr>
          <w:p w14:paraId="0309C2AC">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6C50178C">
            <w:pPr>
              <w:bidi w:val="0"/>
              <w:rPr>
                <w:rFonts w:hint="eastAsia"/>
              </w:rPr>
            </w:pPr>
            <w:r>
              <w:rPr>
                <w:rFonts w:hint="eastAsia"/>
              </w:rPr>
              <w:t>从数据库数据中提出增量的“条盒”关联数据、“条件”关联数据。</w:t>
            </w:r>
          </w:p>
        </w:tc>
      </w:tr>
      <w:tr w14:paraId="38767B5F">
        <w:tblPrEx>
          <w:tblCellMar>
            <w:top w:w="0" w:type="dxa"/>
            <w:left w:w="108" w:type="dxa"/>
            <w:bottom w:w="0" w:type="dxa"/>
            <w:right w:w="108" w:type="dxa"/>
          </w:tblCellMar>
        </w:tblPrEx>
        <w:trPr>
          <w:trHeight w:val="106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C2450DB">
            <w:pPr>
              <w:bidi w:val="0"/>
              <w:rPr>
                <w:rFonts w:hint="eastAsia"/>
              </w:rPr>
            </w:pPr>
            <w:r>
              <w:rPr>
                <w:rFonts w:hint="eastAsia"/>
              </w:rPr>
              <w:t>5</w:t>
            </w:r>
          </w:p>
        </w:tc>
        <w:tc>
          <w:tcPr>
            <w:tcW w:w="2217" w:type="dxa"/>
            <w:tcBorders>
              <w:top w:val="nil"/>
              <w:left w:val="nil"/>
              <w:bottom w:val="single" w:color="auto" w:sz="4" w:space="0"/>
              <w:right w:val="single" w:color="auto" w:sz="4" w:space="0"/>
            </w:tcBorders>
            <w:shd w:val="clear" w:color="auto" w:fill="auto"/>
            <w:vAlign w:val="center"/>
          </w:tcPr>
          <w:p w14:paraId="25B41357">
            <w:pPr>
              <w:bidi w:val="0"/>
              <w:rPr>
                <w:rFonts w:hint="eastAsia"/>
              </w:rPr>
            </w:pPr>
            <w:r>
              <w:rPr>
                <w:rFonts w:hint="eastAsia"/>
              </w:rPr>
              <w:t>5增量条或件码</w:t>
            </w:r>
          </w:p>
        </w:tc>
        <w:tc>
          <w:tcPr>
            <w:tcW w:w="1692" w:type="dxa"/>
            <w:tcBorders>
              <w:top w:val="nil"/>
              <w:left w:val="nil"/>
              <w:bottom w:val="single" w:color="auto" w:sz="4" w:space="0"/>
              <w:right w:val="single" w:color="auto" w:sz="4" w:space="0"/>
            </w:tcBorders>
            <w:shd w:val="clear" w:color="auto" w:fill="auto"/>
            <w:vAlign w:val="center"/>
          </w:tcPr>
          <w:p w14:paraId="135E4197">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3EAE965F">
            <w:pPr>
              <w:bidi w:val="0"/>
              <w:rPr>
                <w:rFonts w:hint="eastAsia"/>
              </w:rPr>
            </w:pPr>
            <w:r>
              <w:rPr>
                <w:rFonts w:hint="eastAsia"/>
              </w:rPr>
              <w:t>从数据库数据中提取“条盒”关联数据以及“条件”关联数据中的条码、件码。</w:t>
            </w:r>
          </w:p>
        </w:tc>
      </w:tr>
      <w:tr w14:paraId="235EEA39">
        <w:tblPrEx>
          <w:tblCellMar>
            <w:top w:w="0" w:type="dxa"/>
            <w:left w:w="108" w:type="dxa"/>
            <w:bottom w:w="0" w:type="dxa"/>
            <w:right w:w="108" w:type="dxa"/>
          </w:tblCellMar>
        </w:tblPrEx>
        <w:trPr>
          <w:trHeight w:val="106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5445B09">
            <w:pPr>
              <w:bidi w:val="0"/>
              <w:rPr>
                <w:rFonts w:hint="eastAsia"/>
              </w:rPr>
            </w:pPr>
            <w:r>
              <w:rPr>
                <w:rFonts w:hint="eastAsia"/>
              </w:rPr>
              <w:t>6</w:t>
            </w:r>
          </w:p>
        </w:tc>
        <w:tc>
          <w:tcPr>
            <w:tcW w:w="2217" w:type="dxa"/>
            <w:tcBorders>
              <w:top w:val="nil"/>
              <w:left w:val="nil"/>
              <w:bottom w:val="single" w:color="auto" w:sz="4" w:space="0"/>
              <w:right w:val="single" w:color="auto" w:sz="4" w:space="0"/>
            </w:tcBorders>
            <w:shd w:val="clear" w:color="auto" w:fill="auto"/>
            <w:vAlign w:val="center"/>
          </w:tcPr>
          <w:p w14:paraId="24C8786A">
            <w:pPr>
              <w:bidi w:val="0"/>
              <w:rPr>
                <w:rFonts w:hint="eastAsia"/>
              </w:rPr>
            </w:pPr>
            <w:r>
              <w:rPr>
                <w:rFonts w:hint="eastAsia"/>
              </w:rPr>
              <w:t>6更新条或件码数据</w:t>
            </w:r>
          </w:p>
        </w:tc>
        <w:tc>
          <w:tcPr>
            <w:tcW w:w="1692" w:type="dxa"/>
            <w:tcBorders>
              <w:top w:val="nil"/>
              <w:left w:val="nil"/>
              <w:bottom w:val="single" w:color="auto" w:sz="4" w:space="0"/>
              <w:right w:val="single" w:color="auto" w:sz="4" w:space="0"/>
            </w:tcBorders>
            <w:shd w:val="clear" w:color="auto" w:fill="auto"/>
            <w:vAlign w:val="center"/>
          </w:tcPr>
          <w:p w14:paraId="16D5A466">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26369BE9">
            <w:pPr>
              <w:bidi w:val="0"/>
              <w:rPr>
                <w:rFonts w:hint="eastAsia"/>
              </w:rPr>
            </w:pPr>
            <w:r>
              <w:rPr>
                <w:rFonts w:hint="eastAsia"/>
              </w:rPr>
              <w:t>将新增条或件码数据的数据写入表中</w:t>
            </w:r>
          </w:p>
        </w:tc>
      </w:tr>
      <w:tr w14:paraId="73C0AD6F">
        <w:tblPrEx>
          <w:tblCellMar>
            <w:top w:w="0" w:type="dxa"/>
            <w:left w:w="108" w:type="dxa"/>
            <w:bottom w:w="0" w:type="dxa"/>
            <w:right w:w="108" w:type="dxa"/>
          </w:tblCellMar>
        </w:tblPrEx>
        <w:trPr>
          <w:trHeight w:val="942"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8C29A33">
            <w:pPr>
              <w:bidi w:val="0"/>
              <w:rPr>
                <w:rFonts w:hint="eastAsia"/>
              </w:rPr>
            </w:pPr>
            <w:r>
              <w:rPr>
                <w:rFonts w:hint="eastAsia"/>
              </w:rPr>
              <w:t>7</w:t>
            </w:r>
          </w:p>
        </w:tc>
        <w:tc>
          <w:tcPr>
            <w:tcW w:w="2217" w:type="dxa"/>
            <w:tcBorders>
              <w:top w:val="nil"/>
              <w:left w:val="nil"/>
              <w:bottom w:val="single" w:color="auto" w:sz="4" w:space="0"/>
              <w:right w:val="single" w:color="auto" w:sz="4" w:space="0"/>
            </w:tcBorders>
            <w:shd w:val="clear" w:color="auto" w:fill="auto"/>
            <w:vAlign w:val="center"/>
          </w:tcPr>
          <w:p w14:paraId="516B250D">
            <w:pPr>
              <w:bidi w:val="0"/>
              <w:rPr>
                <w:rFonts w:hint="eastAsia"/>
              </w:rPr>
            </w:pPr>
            <w:r>
              <w:rPr>
                <w:rFonts w:hint="eastAsia"/>
              </w:rPr>
              <w:t>7提取未汇聚条或件</w:t>
            </w:r>
          </w:p>
        </w:tc>
        <w:tc>
          <w:tcPr>
            <w:tcW w:w="1692" w:type="dxa"/>
            <w:tcBorders>
              <w:top w:val="nil"/>
              <w:left w:val="nil"/>
              <w:bottom w:val="single" w:color="auto" w:sz="4" w:space="0"/>
              <w:right w:val="single" w:color="auto" w:sz="4" w:space="0"/>
            </w:tcBorders>
            <w:shd w:val="clear" w:color="auto" w:fill="auto"/>
            <w:vAlign w:val="center"/>
          </w:tcPr>
          <w:p w14:paraId="6A7DB871">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34F78B7B">
            <w:pPr>
              <w:bidi w:val="0"/>
              <w:rPr>
                <w:rFonts w:hint="eastAsia"/>
              </w:rPr>
            </w:pPr>
            <w:r>
              <w:rPr>
                <w:rFonts w:hint="eastAsia"/>
              </w:rPr>
              <w:t>从表中提取没有成功汇聚的条或件码</w:t>
            </w:r>
          </w:p>
        </w:tc>
      </w:tr>
      <w:tr w14:paraId="12DFF3E0">
        <w:tblPrEx>
          <w:tblCellMar>
            <w:top w:w="0" w:type="dxa"/>
            <w:left w:w="108" w:type="dxa"/>
            <w:bottom w:w="0" w:type="dxa"/>
            <w:right w:w="108" w:type="dxa"/>
          </w:tblCellMar>
        </w:tblPrEx>
        <w:trPr>
          <w:trHeight w:val="87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BC9EF86">
            <w:pPr>
              <w:bidi w:val="0"/>
              <w:rPr>
                <w:rFonts w:hint="eastAsia"/>
              </w:rPr>
            </w:pPr>
            <w:r>
              <w:rPr>
                <w:rFonts w:hint="eastAsia"/>
              </w:rPr>
              <w:t>8</w:t>
            </w:r>
          </w:p>
        </w:tc>
        <w:tc>
          <w:tcPr>
            <w:tcW w:w="2217" w:type="dxa"/>
            <w:tcBorders>
              <w:top w:val="nil"/>
              <w:left w:val="nil"/>
              <w:bottom w:val="single" w:color="auto" w:sz="4" w:space="0"/>
              <w:right w:val="single" w:color="auto" w:sz="4" w:space="0"/>
            </w:tcBorders>
            <w:shd w:val="clear" w:color="auto" w:fill="auto"/>
            <w:vAlign w:val="center"/>
          </w:tcPr>
          <w:p w14:paraId="1575C465">
            <w:pPr>
              <w:bidi w:val="0"/>
              <w:rPr>
                <w:rFonts w:hint="eastAsia"/>
              </w:rPr>
            </w:pPr>
            <w:r>
              <w:rPr>
                <w:rFonts w:hint="eastAsia"/>
              </w:rPr>
              <w:t>8循环校验关联数据</w:t>
            </w:r>
          </w:p>
        </w:tc>
        <w:tc>
          <w:tcPr>
            <w:tcW w:w="1692" w:type="dxa"/>
            <w:tcBorders>
              <w:top w:val="nil"/>
              <w:left w:val="nil"/>
              <w:bottom w:val="single" w:color="auto" w:sz="4" w:space="0"/>
              <w:right w:val="single" w:color="auto" w:sz="4" w:space="0"/>
            </w:tcBorders>
            <w:shd w:val="clear" w:color="auto" w:fill="auto"/>
            <w:vAlign w:val="center"/>
          </w:tcPr>
          <w:p w14:paraId="4F53AE38">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76F803F7">
            <w:pPr>
              <w:bidi w:val="0"/>
              <w:rPr>
                <w:rFonts w:hint="eastAsia"/>
              </w:rPr>
            </w:pPr>
            <w:r>
              <w:rPr>
                <w:rFonts w:hint="eastAsia"/>
              </w:rPr>
              <w:t>将增量的关联数据进行校验，校验内容包括：关联数据中比例关系正确情况等</w:t>
            </w:r>
          </w:p>
        </w:tc>
      </w:tr>
      <w:tr w14:paraId="01453F8E">
        <w:tblPrEx>
          <w:tblCellMar>
            <w:top w:w="0" w:type="dxa"/>
            <w:left w:w="108" w:type="dxa"/>
            <w:bottom w:w="0" w:type="dxa"/>
            <w:right w:w="108" w:type="dxa"/>
          </w:tblCellMar>
        </w:tblPrEx>
        <w:trPr>
          <w:trHeight w:val="90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122ECA0E">
            <w:pPr>
              <w:bidi w:val="0"/>
              <w:rPr>
                <w:rFonts w:hint="eastAsia"/>
              </w:rPr>
            </w:pPr>
            <w:r>
              <w:rPr>
                <w:rFonts w:hint="eastAsia"/>
              </w:rPr>
              <w:t>9</w:t>
            </w:r>
          </w:p>
        </w:tc>
        <w:tc>
          <w:tcPr>
            <w:tcW w:w="2217" w:type="dxa"/>
            <w:tcBorders>
              <w:top w:val="nil"/>
              <w:left w:val="nil"/>
              <w:bottom w:val="single" w:color="auto" w:sz="4" w:space="0"/>
              <w:right w:val="single" w:color="auto" w:sz="4" w:space="0"/>
            </w:tcBorders>
            <w:shd w:val="clear" w:color="auto" w:fill="auto"/>
            <w:vAlign w:val="center"/>
          </w:tcPr>
          <w:p w14:paraId="47C5350B">
            <w:pPr>
              <w:bidi w:val="0"/>
              <w:rPr>
                <w:rFonts w:hint="eastAsia"/>
              </w:rPr>
            </w:pPr>
            <w:r>
              <w:rPr>
                <w:rFonts w:hint="eastAsia"/>
              </w:rPr>
              <w:t>9更新条或件码状态</w:t>
            </w:r>
          </w:p>
        </w:tc>
        <w:tc>
          <w:tcPr>
            <w:tcW w:w="1692" w:type="dxa"/>
            <w:tcBorders>
              <w:top w:val="nil"/>
              <w:left w:val="nil"/>
              <w:bottom w:val="single" w:color="auto" w:sz="4" w:space="0"/>
              <w:right w:val="single" w:color="auto" w:sz="4" w:space="0"/>
            </w:tcBorders>
            <w:shd w:val="clear" w:color="auto" w:fill="auto"/>
            <w:vAlign w:val="center"/>
          </w:tcPr>
          <w:p w14:paraId="2380154F">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5B837E1A">
            <w:pPr>
              <w:bidi w:val="0"/>
              <w:rPr>
                <w:rFonts w:hint="eastAsia"/>
              </w:rPr>
            </w:pPr>
            <w:r>
              <w:rPr>
                <w:rFonts w:hint="eastAsia"/>
              </w:rPr>
              <w:t>若关联数据通过校验，则更新对应条或件码的汇聚状态。</w:t>
            </w:r>
          </w:p>
        </w:tc>
      </w:tr>
      <w:tr w14:paraId="5A803B0F">
        <w:tblPrEx>
          <w:tblCellMar>
            <w:top w:w="0" w:type="dxa"/>
            <w:left w:w="108" w:type="dxa"/>
            <w:bottom w:w="0" w:type="dxa"/>
            <w:right w:w="108" w:type="dxa"/>
          </w:tblCellMar>
        </w:tblPrEx>
        <w:trPr>
          <w:trHeight w:val="79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3DC19BAB">
            <w:pPr>
              <w:bidi w:val="0"/>
              <w:rPr>
                <w:rFonts w:hint="eastAsia"/>
              </w:rPr>
            </w:pPr>
            <w:r>
              <w:rPr>
                <w:rFonts w:hint="eastAsia"/>
              </w:rPr>
              <w:t>10</w:t>
            </w:r>
          </w:p>
        </w:tc>
        <w:tc>
          <w:tcPr>
            <w:tcW w:w="2217" w:type="dxa"/>
            <w:tcBorders>
              <w:top w:val="nil"/>
              <w:left w:val="nil"/>
              <w:bottom w:val="single" w:color="auto" w:sz="4" w:space="0"/>
              <w:right w:val="single" w:color="auto" w:sz="4" w:space="0"/>
            </w:tcBorders>
            <w:shd w:val="clear" w:color="auto" w:fill="auto"/>
            <w:vAlign w:val="center"/>
          </w:tcPr>
          <w:p w14:paraId="43A12A98">
            <w:pPr>
              <w:bidi w:val="0"/>
              <w:rPr>
                <w:rFonts w:hint="eastAsia"/>
              </w:rPr>
            </w:pPr>
            <w:r>
              <w:rPr>
                <w:rFonts w:hint="eastAsia"/>
              </w:rPr>
              <w:t>10保存错误记录</w:t>
            </w:r>
          </w:p>
        </w:tc>
        <w:tc>
          <w:tcPr>
            <w:tcW w:w="1692" w:type="dxa"/>
            <w:tcBorders>
              <w:top w:val="nil"/>
              <w:left w:val="nil"/>
              <w:bottom w:val="single" w:color="auto" w:sz="4" w:space="0"/>
              <w:right w:val="single" w:color="auto" w:sz="4" w:space="0"/>
            </w:tcBorders>
            <w:shd w:val="clear" w:color="auto" w:fill="auto"/>
            <w:vAlign w:val="center"/>
          </w:tcPr>
          <w:p w14:paraId="10FDABA5">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633BBF34">
            <w:pPr>
              <w:bidi w:val="0"/>
              <w:rPr>
                <w:rFonts w:hint="eastAsia"/>
              </w:rPr>
            </w:pPr>
            <w:r>
              <w:rPr>
                <w:rFonts w:hint="eastAsia"/>
              </w:rPr>
              <w:t>若关联数据没有通过校验，则保存错误原因记录。</w:t>
            </w:r>
          </w:p>
        </w:tc>
      </w:tr>
      <w:tr w14:paraId="041AB256">
        <w:tblPrEx>
          <w:tblCellMar>
            <w:top w:w="0" w:type="dxa"/>
            <w:left w:w="108" w:type="dxa"/>
            <w:bottom w:w="0" w:type="dxa"/>
            <w:right w:w="108" w:type="dxa"/>
          </w:tblCellMar>
        </w:tblPrEx>
        <w:trPr>
          <w:trHeight w:val="709"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5A3E483D">
            <w:pPr>
              <w:bidi w:val="0"/>
              <w:rPr>
                <w:rFonts w:hint="eastAsia"/>
              </w:rPr>
            </w:pPr>
            <w:r>
              <w:rPr>
                <w:rFonts w:hint="eastAsia"/>
              </w:rPr>
              <w:t>11</w:t>
            </w:r>
          </w:p>
        </w:tc>
        <w:tc>
          <w:tcPr>
            <w:tcW w:w="2217" w:type="dxa"/>
            <w:tcBorders>
              <w:top w:val="nil"/>
              <w:left w:val="nil"/>
              <w:bottom w:val="single" w:color="auto" w:sz="4" w:space="0"/>
              <w:right w:val="single" w:color="auto" w:sz="4" w:space="0"/>
            </w:tcBorders>
            <w:shd w:val="clear" w:color="auto" w:fill="auto"/>
            <w:vAlign w:val="center"/>
          </w:tcPr>
          <w:p w14:paraId="2A5C9596">
            <w:pPr>
              <w:bidi w:val="0"/>
              <w:rPr>
                <w:rFonts w:hint="eastAsia"/>
              </w:rPr>
            </w:pPr>
            <w:r>
              <w:rPr>
                <w:rFonts w:hint="eastAsia"/>
              </w:rPr>
              <w:t>11反馈汇聚结果</w:t>
            </w:r>
          </w:p>
        </w:tc>
        <w:tc>
          <w:tcPr>
            <w:tcW w:w="1692" w:type="dxa"/>
            <w:tcBorders>
              <w:top w:val="nil"/>
              <w:left w:val="nil"/>
              <w:bottom w:val="single" w:color="auto" w:sz="4" w:space="0"/>
              <w:right w:val="single" w:color="auto" w:sz="4" w:space="0"/>
            </w:tcBorders>
            <w:shd w:val="clear" w:color="auto" w:fill="auto"/>
            <w:vAlign w:val="center"/>
          </w:tcPr>
          <w:p w14:paraId="2CEE5618">
            <w:pPr>
              <w:bidi w:val="0"/>
              <w:rPr>
                <w:rFonts w:hint="eastAsia"/>
              </w:rPr>
            </w:pPr>
            <w:r>
              <w:rPr>
                <w:rFonts w:hint="eastAsia"/>
              </w:rPr>
              <w:t>操作</w:t>
            </w:r>
          </w:p>
        </w:tc>
        <w:tc>
          <w:tcPr>
            <w:tcW w:w="4536" w:type="dxa"/>
            <w:tcBorders>
              <w:top w:val="nil"/>
              <w:left w:val="nil"/>
              <w:bottom w:val="single" w:color="auto" w:sz="4" w:space="0"/>
              <w:right w:val="single" w:color="auto" w:sz="4" w:space="0"/>
            </w:tcBorders>
            <w:shd w:val="clear" w:color="auto" w:fill="auto"/>
            <w:vAlign w:val="center"/>
          </w:tcPr>
          <w:p w14:paraId="411F601C">
            <w:pPr>
              <w:bidi w:val="0"/>
              <w:rPr>
                <w:rFonts w:hint="eastAsia"/>
              </w:rPr>
            </w:pPr>
            <w:r>
              <w:rPr>
                <w:rFonts w:hint="eastAsia"/>
              </w:rPr>
              <w:t>将数据汇聚状态反馈给对应的现场子系统</w:t>
            </w:r>
          </w:p>
        </w:tc>
      </w:tr>
      <w:tr w14:paraId="774206DE">
        <w:tblPrEx>
          <w:tblCellMar>
            <w:top w:w="0" w:type="dxa"/>
            <w:left w:w="108" w:type="dxa"/>
            <w:bottom w:w="0" w:type="dxa"/>
            <w:right w:w="108" w:type="dxa"/>
          </w:tblCellMar>
        </w:tblPrEx>
        <w:trPr>
          <w:trHeight w:val="810" w:hRule="atLeast"/>
          <w:jc w:val="center"/>
        </w:trPr>
        <w:tc>
          <w:tcPr>
            <w:tcW w:w="693" w:type="dxa"/>
            <w:tcBorders>
              <w:top w:val="nil"/>
              <w:left w:val="single" w:color="auto" w:sz="4" w:space="0"/>
              <w:bottom w:val="single" w:color="auto" w:sz="4" w:space="0"/>
              <w:right w:val="single" w:color="auto" w:sz="4" w:space="0"/>
            </w:tcBorders>
            <w:shd w:val="clear" w:color="auto" w:fill="auto"/>
            <w:vAlign w:val="center"/>
          </w:tcPr>
          <w:p w14:paraId="4CBDFE8D">
            <w:pPr>
              <w:bidi w:val="0"/>
              <w:rPr>
                <w:rFonts w:hint="eastAsia"/>
              </w:rPr>
            </w:pPr>
            <w:r>
              <w:rPr>
                <w:rFonts w:hint="eastAsia"/>
              </w:rPr>
              <w:t>12</w:t>
            </w:r>
          </w:p>
        </w:tc>
        <w:tc>
          <w:tcPr>
            <w:tcW w:w="2217" w:type="dxa"/>
            <w:tcBorders>
              <w:top w:val="nil"/>
              <w:left w:val="nil"/>
              <w:bottom w:val="single" w:color="auto" w:sz="4" w:space="0"/>
              <w:right w:val="single" w:color="auto" w:sz="4" w:space="0"/>
            </w:tcBorders>
            <w:shd w:val="clear" w:color="auto" w:fill="auto"/>
            <w:vAlign w:val="center"/>
          </w:tcPr>
          <w:p w14:paraId="5381D5C2">
            <w:pPr>
              <w:bidi w:val="0"/>
              <w:rPr>
                <w:rFonts w:hint="eastAsia"/>
              </w:rPr>
            </w:pPr>
            <w:r>
              <w:rPr>
                <w:rFonts w:hint="eastAsia"/>
              </w:rPr>
              <w:t>12接收结果反馈</w:t>
            </w:r>
          </w:p>
        </w:tc>
        <w:tc>
          <w:tcPr>
            <w:tcW w:w="1692" w:type="dxa"/>
            <w:tcBorders>
              <w:top w:val="nil"/>
              <w:left w:val="nil"/>
              <w:bottom w:val="single" w:color="auto" w:sz="4" w:space="0"/>
              <w:right w:val="single" w:color="auto" w:sz="4" w:space="0"/>
            </w:tcBorders>
            <w:shd w:val="clear" w:color="auto" w:fill="auto"/>
            <w:vAlign w:val="center"/>
          </w:tcPr>
          <w:p w14:paraId="23B9FB43">
            <w:pPr>
              <w:bidi w:val="0"/>
              <w:rPr>
                <w:rFonts w:hint="eastAsia"/>
              </w:rPr>
            </w:pPr>
            <w:r>
              <w:rPr>
                <w:rFonts w:hint="eastAsia"/>
              </w:rPr>
              <w:t>作业流程</w:t>
            </w:r>
          </w:p>
        </w:tc>
        <w:tc>
          <w:tcPr>
            <w:tcW w:w="4536" w:type="dxa"/>
            <w:tcBorders>
              <w:top w:val="nil"/>
              <w:left w:val="nil"/>
              <w:bottom w:val="single" w:color="auto" w:sz="4" w:space="0"/>
              <w:right w:val="single" w:color="auto" w:sz="4" w:space="0"/>
            </w:tcBorders>
            <w:shd w:val="clear" w:color="auto" w:fill="auto"/>
            <w:vAlign w:val="center"/>
          </w:tcPr>
          <w:p w14:paraId="288A8BBD">
            <w:pPr>
              <w:bidi w:val="0"/>
              <w:rPr>
                <w:rFonts w:hint="eastAsia"/>
              </w:rPr>
            </w:pPr>
            <w:r>
              <w:rPr>
                <w:rFonts w:hint="eastAsia"/>
              </w:rPr>
              <w:t>现场子系统接收数据汇聚的结果，成功或失败。</w:t>
            </w:r>
          </w:p>
        </w:tc>
      </w:tr>
    </w:tbl>
    <w:p w14:paraId="17E827FA">
      <w:pPr>
        <w:rPr>
          <w:rFonts w:hint="eastAsia"/>
          <w:lang w:val="en-US" w:eastAsia="zh-CN"/>
        </w:rPr>
      </w:pPr>
    </w:p>
    <w:p w14:paraId="3D781E62">
      <w:pPr>
        <w:rPr>
          <w:rFonts w:hint="default"/>
          <w:lang w:val="en-US" w:eastAsia="zh-CN"/>
        </w:rPr>
      </w:pPr>
      <w:r>
        <w:rPr>
          <w:rFonts w:hint="default"/>
          <w:lang w:val="en-US" w:eastAsia="zh-CN"/>
        </w:rPr>
        <w:br w:type="page"/>
      </w:r>
    </w:p>
    <w:p w14:paraId="3AAD67E8">
      <w:pPr>
        <w:pStyle w:val="5"/>
        <w:rPr>
          <w:rFonts w:hint="default"/>
          <w:lang w:val="en-US" w:eastAsia="zh-CN"/>
        </w:rPr>
      </w:pPr>
    </w:p>
    <w:p w14:paraId="4E76B555">
      <w:pPr>
        <w:pStyle w:val="9"/>
        <w:pageBreakBefore w:val="0"/>
        <w:numPr>
          <w:ilvl w:val="2"/>
          <w:numId w:val="12"/>
        </w:numPr>
        <w:tabs>
          <w:tab w:val="left" w:pos="0"/>
        </w:tabs>
        <w:kinsoku/>
        <w:wordWrap/>
        <w:overflowPunct/>
        <w:topLinePunct w:val="0"/>
        <w:autoSpaceDE/>
        <w:autoSpaceDN/>
        <w:bidi w:val="0"/>
        <w:spacing w:line="360" w:lineRule="auto"/>
        <w:textAlignment w:val="auto"/>
        <w:rPr>
          <w:rFonts w:hint="default"/>
          <w:lang w:val="en-US" w:eastAsia="zh-CN"/>
        </w:rPr>
      </w:pPr>
      <w:bookmarkStart w:id="145" w:name="_Toc1189151972"/>
      <w:bookmarkStart w:id="146" w:name="_Toc844737187"/>
      <w:bookmarkStart w:id="147" w:name="_Toc404328914"/>
      <w:r>
        <w:rPr>
          <w:rFonts w:hint="eastAsia"/>
          <w:lang w:val="en-US" w:eastAsia="zh-CN"/>
        </w:rPr>
        <w:t>“盒条”关联实施方案(ZB45)</w:t>
      </w:r>
      <w:bookmarkEnd w:id="145"/>
      <w:bookmarkEnd w:id="146"/>
      <w:bookmarkEnd w:id="147"/>
    </w:p>
    <w:p w14:paraId="7E413D4A">
      <w:pPr>
        <w:pStyle w:val="10"/>
        <w:tabs>
          <w:tab w:val="left" w:pos="864"/>
        </w:tabs>
        <w:rPr>
          <w:rFonts w:hint="eastAsia" w:ascii="宋体" w:hAnsi="宋体" w:eastAsia="宋体" w:cs="Times New Roman"/>
          <w:lang w:val="en-US" w:eastAsia="zh-CN"/>
        </w:rPr>
      </w:pPr>
      <w:bookmarkStart w:id="148" w:name="_Toc563390359"/>
      <w:bookmarkStart w:id="149" w:name="_Toc267153746"/>
      <w:r>
        <w:rPr>
          <w:rFonts w:hint="eastAsia" w:ascii="宋体" w:hAnsi="宋体" w:eastAsia="宋体" w:cs="Times New Roman"/>
          <w:lang w:val="en-US" w:eastAsia="zh-CN"/>
        </w:rPr>
        <w:t>部署结构与关联原理</w:t>
      </w:r>
      <w:bookmarkEnd w:id="148"/>
      <w:bookmarkEnd w:id="149"/>
    </w:p>
    <w:p w14:paraId="2D754CBC">
      <w:pPr>
        <w:ind w:firstLine="480" w:firstLineChars="0"/>
        <w:rPr>
          <w:rFonts w:ascii="宋体" w:hAnsi="宋体" w:cs="宋体"/>
          <w:bCs/>
          <w:szCs w:val="24"/>
        </w:rPr>
      </w:pPr>
      <w:r>
        <w:t>ZB45(GDX2)</w:t>
      </w:r>
      <w:r>
        <w:rPr>
          <w:rFonts w:hint="eastAsia"/>
          <w:lang w:val="en-US" w:eastAsia="zh-CN"/>
        </w:rPr>
        <w:t>型包装机</w:t>
      </w:r>
      <w:r>
        <w:t>辅机沿烟包前进方向从前至后依次形成有烟包入口工位、透明纸包装工位、热封工位、烟包剔除工位、补包工位、条烟成型平台工位、条盒纸输送工位和硬条包装工位。烟草包装机主机连续生产的烟包在烟包入口工位经传送带输送到透明纸包装工位的透明纸包装轮上，在透明纸包装轮上实现烟包的透明纸折叠成型包装；然后经过热封工位的热封模块，由热封模块对烟包上包覆的透明纸进行热封美容；然后经过烟包剔除工位的剔除装置，由剔除装置对透明纸包装存在缺陷的烟包进行剔除，并随后由补包工位的补包器进行补包操作，剔除装置为剔除轮，补包器位于剔除装置的上方；接着，烟包被输送至条烟成型平台工位的条烟成型平台，在条烟成型平台形成十包烟包一组的条烟组 (分两层，每层五包烟包)，由推烟杆将条烟组推入条盒，条盒由条盒纸输送工位的条盒纸下降通道内输送的条盒纸在硬条包装工位入口处折叠形成，在硬条包装工位进行硬条包装之前，条盒的左右两侧呈敞开状态，因此推入条盒中的条烟组最左侧的两包烟包的左侧面和最右侧的两包烟包的右侧面可见；然后可在硬条包装工位完成硬条包装，形成条；后续还有对条进行透明纸包装的硬条透明纸包装工位和用于剔除不合格大条的硬条剔除工位。</w:t>
      </w:r>
    </w:p>
    <w:p w14:paraId="19D9BB33">
      <w:pPr>
        <w:pStyle w:val="12"/>
        <w:tabs>
          <w:tab w:val="left" w:pos="432"/>
          <w:tab w:val="left" w:pos="1152"/>
          <w:tab w:val="left" w:pos="1276"/>
        </w:tabs>
        <w:ind w:left="0" w:firstLine="0"/>
      </w:pPr>
      <w:bookmarkStart w:id="150" w:name="_Toc581829014"/>
      <w:bookmarkStart w:id="151" w:name="_Toc130220675"/>
      <w:r>
        <w:rPr>
          <w:rFonts w:hint="eastAsia" w:ascii="宋体" w:hAnsi="宋体" w:cs="宋体"/>
        </w:rPr>
        <w:t>二维码朝向说明</w:t>
      </w:r>
      <w:bookmarkEnd w:id="150"/>
      <w:bookmarkEnd w:id="151"/>
    </w:p>
    <w:p w14:paraId="4D24EF64">
      <w:pPr>
        <w:ind w:firstLine="420"/>
        <w:rPr>
          <w:rFonts w:ascii="宋体" w:hAnsi="宋体" w:cs="宋体"/>
          <w:bCs/>
          <w:szCs w:val="24"/>
        </w:rPr>
      </w:pPr>
      <w:r>
        <w:rPr>
          <w:rFonts w:ascii="宋体" w:hAnsi="宋体" w:cs="宋体"/>
          <w:bCs/>
          <w:szCs w:val="24"/>
        </w:rPr>
        <w:t>根据国家局对小盒二维码和条盒二维码的喷印面指导要求</w:t>
      </w:r>
      <w:r>
        <w:rPr>
          <w:rFonts w:hint="eastAsia" w:ascii="宋体" w:hAnsi="宋体" w:cs="宋体"/>
          <w:bCs/>
          <w:szCs w:val="24"/>
        </w:rPr>
        <w:t>，</w:t>
      </w:r>
      <w:r>
        <w:rPr>
          <w:rFonts w:ascii="宋体" w:hAnsi="宋体" w:cs="宋体"/>
          <w:bCs/>
          <w:szCs w:val="24"/>
        </w:rPr>
        <w:t>小盒二维码应在小盒</w:t>
      </w:r>
      <w:r>
        <w:rPr>
          <w:rFonts w:hint="eastAsia" w:ascii="宋体" w:hAnsi="宋体" w:cs="宋体"/>
          <w:bCs/>
          <w:szCs w:val="24"/>
        </w:rPr>
        <w:t>B</w:t>
      </w:r>
      <w:r>
        <w:rPr>
          <w:rFonts w:ascii="宋体" w:hAnsi="宋体" w:cs="宋体"/>
          <w:bCs/>
          <w:szCs w:val="24"/>
        </w:rPr>
        <w:t>面</w:t>
      </w:r>
      <w:r>
        <w:rPr>
          <w:rFonts w:hint="eastAsia" w:ascii="宋体" w:hAnsi="宋体" w:cs="宋体"/>
          <w:bCs/>
          <w:szCs w:val="24"/>
        </w:rPr>
        <w:t>，</w:t>
      </w:r>
      <w:r>
        <w:rPr>
          <w:rFonts w:ascii="宋体" w:hAnsi="宋体" w:cs="宋体"/>
          <w:bCs/>
          <w:szCs w:val="24"/>
        </w:rPr>
        <w:t>条盒二维码应在C面</w:t>
      </w:r>
      <w:r>
        <w:rPr>
          <w:rFonts w:hint="eastAsia" w:ascii="宋体" w:hAnsi="宋体" w:cs="宋体"/>
          <w:bCs/>
          <w:szCs w:val="24"/>
        </w:rPr>
        <w:t>。</w:t>
      </w:r>
    </w:p>
    <w:p w14:paraId="5CA43F81">
      <w:pPr>
        <w:ind w:firstLine="420"/>
        <w:rPr>
          <w:rFonts w:hint="eastAsia" w:ascii="宋体" w:hAnsi="宋体" w:eastAsia="宋体" w:cs="宋体"/>
          <w:bCs/>
          <w:szCs w:val="24"/>
          <w:lang w:eastAsia="zh-CN"/>
        </w:rPr>
      </w:pPr>
      <w:r>
        <w:rPr>
          <w:rFonts w:ascii="宋体" w:hAnsi="宋体" w:cs="宋体"/>
          <w:bCs/>
          <w:szCs w:val="24"/>
        </w:rPr>
        <w:t>盒烟二维码印刷在B面</w:t>
      </w:r>
      <w:r>
        <w:rPr>
          <w:rFonts w:hint="eastAsia" w:ascii="宋体" w:hAnsi="宋体" w:cs="宋体"/>
          <w:bCs/>
          <w:szCs w:val="24"/>
        </w:rPr>
        <w:t>，</w:t>
      </w:r>
      <w:r>
        <w:rPr>
          <w:rFonts w:ascii="宋体" w:hAnsi="宋体" w:cs="宋体"/>
          <w:bCs/>
          <w:szCs w:val="24"/>
        </w:rPr>
        <w:t>由于生产工艺的不同</w:t>
      </w:r>
      <w:r>
        <w:rPr>
          <w:rFonts w:hint="eastAsia" w:ascii="宋体" w:hAnsi="宋体" w:cs="宋体"/>
          <w:bCs/>
          <w:szCs w:val="24"/>
        </w:rPr>
        <w:t>，</w:t>
      </w:r>
      <w:r>
        <w:rPr>
          <w:rFonts w:ascii="宋体" w:hAnsi="宋体" w:cs="宋体"/>
          <w:bCs/>
          <w:szCs w:val="24"/>
        </w:rPr>
        <w:t>而导致二维码在设备主要位置的朝向有所不同</w:t>
      </w:r>
      <w:r>
        <w:rPr>
          <w:rFonts w:hint="eastAsia" w:ascii="宋体" w:hAnsi="宋体" w:cs="宋体"/>
          <w:bCs/>
          <w:szCs w:val="24"/>
        </w:rPr>
        <w:t>。主要的位置有：CH入口拐角处、小盒补烟器处以及CT推包入条处。</w:t>
      </w:r>
    </w:p>
    <w:p w14:paraId="191EC4A3">
      <w:pPr>
        <w:pStyle w:val="18"/>
        <w:jc w:val="center"/>
      </w:pPr>
      <w:r>
        <w:t xml:space="preserve">表 </w:t>
      </w:r>
      <w:r>
        <w:rPr>
          <w:rFonts w:hint="eastAsia"/>
        </w:rPr>
        <w:t>小盒二位朝向表</w:t>
      </w:r>
    </w:p>
    <w:tbl>
      <w:tblPr>
        <w:tblStyle w:val="4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2021"/>
        <w:gridCol w:w="3031"/>
        <w:gridCol w:w="2791"/>
      </w:tblGrid>
      <w:tr w14:paraId="30C2E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5" w:type="pct"/>
            <w:shd w:val="clear" w:color="auto" w:fill="F1F1F1" w:themeFill="background1" w:themeFillShade="F2"/>
          </w:tcPr>
          <w:p w14:paraId="789D9BEC">
            <w:pPr>
              <w:jc w:val="center"/>
              <w:rPr>
                <w:rFonts w:ascii="宋体" w:hAnsi="宋体" w:cs="宋体"/>
                <w:bCs/>
                <w:szCs w:val="24"/>
              </w:rPr>
            </w:pPr>
            <w:r>
              <w:rPr>
                <w:rFonts w:hint="eastAsia" w:ascii="宋体" w:hAnsi="宋体" w:cs="宋体"/>
                <w:bCs/>
                <w:szCs w:val="24"/>
              </w:rPr>
              <w:t>序号</w:t>
            </w:r>
          </w:p>
        </w:tc>
        <w:tc>
          <w:tcPr>
            <w:tcW w:w="1088" w:type="pct"/>
            <w:shd w:val="clear" w:color="auto" w:fill="F1F1F1" w:themeFill="background1" w:themeFillShade="F2"/>
          </w:tcPr>
          <w:p w14:paraId="7DEB91E7">
            <w:pPr>
              <w:jc w:val="center"/>
              <w:rPr>
                <w:rFonts w:ascii="宋体" w:hAnsi="宋体" w:cs="宋体"/>
                <w:bCs/>
                <w:szCs w:val="24"/>
              </w:rPr>
            </w:pPr>
            <w:r>
              <w:rPr>
                <w:rFonts w:hint="eastAsia" w:ascii="宋体" w:hAnsi="宋体" w:cs="宋体"/>
                <w:bCs/>
                <w:szCs w:val="24"/>
              </w:rPr>
              <w:t>烟机设备位置</w:t>
            </w:r>
          </w:p>
        </w:tc>
        <w:tc>
          <w:tcPr>
            <w:tcW w:w="1632" w:type="pct"/>
            <w:shd w:val="clear" w:color="auto" w:fill="F1F1F1" w:themeFill="background1" w:themeFillShade="F2"/>
          </w:tcPr>
          <w:p w14:paraId="22BC39E7">
            <w:pPr>
              <w:jc w:val="center"/>
              <w:rPr>
                <w:rFonts w:hint="default" w:ascii="宋体" w:hAnsi="宋体" w:eastAsia="宋体" w:cs="宋体"/>
                <w:bCs/>
                <w:szCs w:val="24"/>
                <w:lang w:val="en-US" w:eastAsia="zh-CN"/>
              </w:rPr>
            </w:pPr>
            <w:r>
              <w:rPr>
                <w:rFonts w:hint="eastAsia" w:ascii="宋体" w:hAnsi="宋体" w:cs="宋体"/>
                <w:bCs/>
                <w:szCs w:val="24"/>
                <w:lang w:val="en-US" w:eastAsia="zh-CN"/>
              </w:rPr>
              <w:t>内侧</w:t>
            </w:r>
          </w:p>
        </w:tc>
        <w:tc>
          <w:tcPr>
            <w:tcW w:w="1503" w:type="pct"/>
            <w:shd w:val="clear" w:color="auto" w:fill="F1F1F1" w:themeFill="background1" w:themeFillShade="F2"/>
          </w:tcPr>
          <w:p w14:paraId="4510EF32">
            <w:pPr>
              <w:jc w:val="center"/>
              <w:rPr>
                <w:rFonts w:hint="default" w:ascii="宋体" w:hAnsi="宋体" w:eastAsia="宋体" w:cs="宋体"/>
                <w:bCs/>
                <w:szCs w:val="24"/>
                <w:lang w:val="en-US" w:eastAsia="zh-CN"/>
              </w:rPr>
            </w:pPr>
            <w:r>
              <w:rPr>
                <w:rFonts w:hint="eastAsia" w:ascii="宋体" w:hAnsi="宋体" w:cs="宋体"/>
                <w:bCs/>
                <w:szCs w:val="24"/>
                <w:lang w:val="en-US" w:eastAsia="zh-CN"/>
              </w:rPr>
              <w:t>外侧</w:t>
            </w:r>
          </w:p>
        </w:tc>
      </w:tr>
      <w:tr w14:paraId="04D68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Align w:val="center"/>
          </w:tcPr>
          <w:p w14:paraId="4A4BF117">
            <w:pPr>
              <w:jc w:val="center"/>
              <w:rPr>
                <w:rFonts w:ascii="宋体" w:hAnsi="宋体" w:cs="宋体"/>
                <w:bCs/>
                <w:szCs w:val="24"/>
              </w:rPr>
            </w:pPr>
            <w:r>
              <w:rPr>
                <w:rFonts w:hint="eastAsia" w:ascii="宋体" w:hAnsi="宋体" w:cs="宋体"/>
                <w:bCs/>
                <w:szCs w:val="24"/>
              </w:rPr>
              <w:t>1</w:t>
            </w:r>
          </w:p>
        </w:tc>
        <w:tc>
          <w:tcPr>
            <w:tcW w:w="1088" w:type="pct"/>
            <w:vAlign w:val="center"/>
          </w:tcPr>
          <w:p w14:paraId="30795003">
            <w:pPr>
              <w:jc w:val="center"/>
              <w:rPr>
                <w:rFonts w:ascii="宋体" w:hAnsi="宋体" w:cs="宋体"/>
                <w:bCs/>
                <w:szCs w:val="24"/>
              </w:rPr>
            </w:pPr>
            <w:r>
              <w:rPr>
                <w:rFonts w:hint="eastAsia" w:ascii="宋体" w:hAnsi="宋体" w:cs="宋体"/>
                <w:bCs/>
                <w:szCs w:val="24"/>
              </w:rPr>
              <w:t>CH入口拐角</w:t>
            </w:r>
          </w:p>
        </w:tc>
        <w:tc>
          <w:tcPr>
            <w:tcW w:w="1632" w:type="pct"/>
          </w:tcPr>
          <w:p w14:paraId="774E4399">
            <w:pPr>
              <w:rPr>
                <w:rFonts w:ascii="宋体" w:hAnsi="宋体" w:cs="宋体"/>
                <w:bCs/>
                <w:szCs w:val="24"/>
              </w:rPr>
            </w:pPr>
            <w:r>
              <w:rPr>
                <w:rFonts w:hint="eastAsia" w:ascii="宋体" w:hAnsi="宋体" w:cs="宋体"/>
                <w:bCs/>
                <w:szCs w:val="24"/>
              </w:rPr>
              <w:t>小盒二维码朝向内侧，即朝向BV小盒透明包装机。</w:t>
            </w:r>
          </w:p>
        </w:tc>
        <w:tc>
          <w:tcPr>
            <w:tcW w:w="1503" w:type="pct"/>
          </w:tcPr>
          <w:p w14:paraId="56A974A1">
            <w:pPr>
              <w:rPr>
                <w:rFonts w:ascii="宋体" w:hAnsi="宋体" w:cs="宋体"/>
                <w:bCs/>
                <w:szCs w:val="24"/>
              </w:rPr>
            </w:pPr>
            <w:r>
              <w:rPr>
                <w:rFonts w:hint="eastAsia" w:ascii="宋体" w:hAnsi="宋体" w:cs="宋体"/>
                <w:bCs/>
                <w:szCs w:val="24"/>
              </w:rPr>
              <w:t>小盒二维码朝向外侧，即背向BV小盒透明包装机。</w:t>
            </w:r>
          </w:p>
        </w:tc>
      </w:tr>
      <w:tr w14:paraId="432FE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Align w:val="center"/>
          </w:tcPr>
          <w:p w14:paraId="49D13FA9">
            <w:pPr>
              <w:jc w:val="center"/>
              <w:rPr>
                <w:rFonts w:ascii="宋体" w:hAnsi="宋体" w:cs="宋体"/>
                <w:bCs/>
                <w:szCs w:val="24"/>
              </w:rPr>
            </w:pPr>
            <w:r>
              <w:rPr>
                <w:rFonts w:hint="eastAsia" w:ascii="宋体" w:hAnsi="宋体" w:cs="宋体"/>
                <w:bCs/>
                <w:szCs w:val="24"/>
              </w:rPr>
              <w:t>2</w:t>
            </w:r>
          </w:p>
        </w:tc>
        <w:tc>
          <w:tcPr>
            <w:tcW w:w="1088" w:type="pct"/>
            <w:vAlign w:val="center"/>
          </w:tcPr>
          <w:p w14:paraId="62565CB9">
            <w:pPr>
              <w:jc w:val="center"/>
              <w:rPr>
                <w:rFonts w:ascii="宋体" w:hAnsi="宋体" w:cs="宋体"/>
                <w:bCs/>
                <w:szCs w:val="24"/>
              </w:rPr>
            </w:pPr>
            <w:r>
              <w:rPr>
                <w:rFonts w:hint="eastAsia" w:ascii="宋体" w:hAnsi="宋体" w:cs="宋体"/>
                <w:bCs/>
                <w:szCs w:val="24"/>
              </w:rPr>
              <w:t>小盒补烟器处</w:t>
            </w:r>
          </w:p>
        </w:tc>
        <w:tc>
          <w:tcPr>
            <w:tcW w:w="1632" w:type="pct"/>
          </w:tcPr>
          <w:p w14:paraId="1ED7582D">
            <w:pPr>
              <w:rPr>
                <w:rFonts w:ascii="宋体" w:hAnsi="宋体" w:cs="宋体"/>
                <w:bCs/>
                <w:szCs w:val="24"/>
              </w:rPr>
            </w:pPr>
            <w:r>
              <w:rPr>
                <w:rFonts w:hint="eastAsia" w:ascii="宋体" w:hAnsi="宋体" w:cs="宋体"/>
                <w:bCs/>
                <w:szCs w:val="24"/>
              </w:rPr>
              <w:t>小盒二维码朝向外侧，即在小盒补烟器处外侧。</w:t>
            </w:r>
          </w:p>
        </w:tc>
        <w:tc>
          <w:tcPr>
            <w:tcW w:w="1503" w:type="pct"/>
          </w:tcPr>
          <w:p w14:paraId="50D4A9C5">
            <w:pPr>
              <w:rPr>
                <w:rFonts w:ascii="宋体" w:hAnsi="宋体" w:cs="宋体"/>
                <w:bCs/>
                <w:szCs w:val="24"/>
              </w:rPr>
            </w:pPr>
            <w:r>
              <w:rPr>
                <w:rFonts w:hint="eastAsia" w:ascii="宋体" w:hAnsi="宋体" w:cs="宋体"/>
                <w:bCs/>
                <w:szCs w:val="24"/>
              </w:rPr>
              <w:t>小盒二维码朝向内侧，即在小盒补烟器处内。</w:t>
            </w:r>
          </w:p>
        </w:tc>
      </w:tr>
      <w:tr w14:paraId="66009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Align w:val="center"/>
          </w:tcPr>
          <w:p w14:paraId="4B029F3C">
            <w:pPr>
              <w:jc w:val="center"/>
              <w:rPr>
                <w:rFonts w:ascii="宋体" w:hAnsi="宋体" w:cs="宋体"/>
                <w:bCs/>
                <w:szCs w:val="24"/>
              </w:rPr>
            </w:pPr>
            <w:r>
              <w:rPr>
                <w:rFonts w:hint="eastAsia" w:ascii="宋体" w:hAnsi="宋体" w:cs="宋体"/>
                <w:bCs/>
                <w:szCs w:val="24"/>
              </w:rPr>
              <w:t>3</w:t>
            </w:r>
          </w:p>
        </w:tc>
        <w:tc>
          <w:tcPr>
            <w:tcW w:w="1088" w:type="pct"/>
            <w:vAlign w:val="center"/>
          </w:tcPr>
          <w:p w14:paraId="6EDAE9FE">
            <w:pPr>
              <w:jc w:val="center"/>
              <w:rPr>
                <w:rFonts w:ascii="宋体" w:hAnsi="宋体" w:cs="宋体"/>
                <w:bCs/>
                <w:szCs w:val="24"/>
              </w:rPr>
            </w:pPr>
            <w:r>
              <w:rPr>
                <w:rFonts w:hint="eastAsia" w:ascii="宋体" w:hAnsi="宋体" w:cs="宋体"/>
                <w:bCs/>
                <w:szCs w:val="24"/>
              </w:rPr>
              <w:t>CT推包到条</w:t>
            </w:r>
          </w:p>
        </w:tc>
        <w:tc>
          <w:tcPr>
            <w:tcW w:w="1632" w:type="pct"/>
          </w:tcPr>
          <w:p w14:paraId="3A6EEACD">
            <w:pPr>
              <w:rPr>
                <w:rFonts w:ascii="宋体" w:hAnsi="宋体" w:cs="宋体"/>
                <w:bCs/>
                <w:szCs w:val="24"/>
              </w:rPr>
            </w:pPr>
            <w:r>
              <w:rPr>
                <w:rFonts w:hint="eastAsia" w:ascii="宋体" w:hAnsi="宋体" w:cs="宋体"/>
                <w:bCs/>
                <w:szCs w:val="24"/>
              </w:rPr>
              <w:t>小盒二维码朝外侧，即在推包入条时二维码背向CH</w:t>
            </w:r>
          </w:p>
        </w:tc>
        <w:tc>
          <w:tcPr>
            <w:tcW w:w="1503" w:type="pct"/>
          </w:tcPr>
          <w:p w14:paraId="192081D9">
            <w:pPr>
              <w:rPr>
                <w:rFonts w:ascii="宋体" w:hAnsi="宋体" w:cs="宋体"/>
                <w:bCs/>
                <w:szCs w:val="24"/>
              </w:rPr>
            </w:pPr>
            <w:r>
              <w:rPr>
                <w:rFonts w:hint="eastAsia" w:ascii="宋体" w:hAnsi="宋体" w:cs="宋体"/>
                <w:bCs/>
                <w:szCs w:val="24"/>
              </w:rPr>
              <w:t>小盒二维码朝内侧，即在推包入条时二维码朝向CH</w:t>
            </w:r>
          </w:p>
        </w:tc>
      </w:tr>
    </w:tbl>
    <w:p w14:paraId="55B18D30">
      <w:pPr>
        <w:ind w:firstLine="420"/>
        <w:rPr>
          <w:rFonts w:ascii="宋体" w:hAnsi="宋体" w:cs="宋体"/>
          <w:bCs/>
          <w:szCs w:val="24"/>
        </w:rPr>
      </w:pPr>
      <w:r>
        <w:rPr>
          <w:rFonts w:hint="eastAsia" w:ascii="宋体" w:hAnsi="宋体" w:cs="宋体"/>
          <w:bCs/>
          <w:szCs w:val="24"/>
        </w:rPr>
        <w:t>条</w:t>
      </w:r>
      <w:r>
        <w:rPr>
          <w:rFonts w:ascii="宋体" w:hAnsi="宋体" w:cs="宋体"/>
          <w:bCs/>
          <w:szCs w:val="24"/>
        </w:rPr>
        <w:t>烟二维码印刷在</w:t>
      </w:r>
      <w:r>
        <w:rPr>
          <w:rFonts w:hint="eastAsia" w:ascii="宋体" w:hAnsi="宋体" w:cs="宋体"/>
          <w:bCs/>
          <w:szCs w:val="24"/>
        </w:rPr>
        <w:t>C</w:t>
      </w:r>
      <w:r>
        <w:rPr>
          <w:rFonts w:ascii="宋体" w:hAnsi="宋体" w:cs="宋体"/>
          <w:bCs/>
          <w:szCs w:val="24"/>
        </w:rPr>
        <w:t>面</w:t>
      </w:r>
      <w:r>
        <w:rPr>
          <w:rFonts w:hint="eastAsia" w:ascii="宋体" w:hAnsi="宋体" w:cs="宋体"/>
          <w:bCs/>
          <w:szCs w:val="24"/>
        </w:rPr>
        <w:t>，</w:t>
      </w:r>
      <w:r>
        <w:rPr>
          <w:rFonts w:ascii="宋体" w:hAnsi="宋体" w:cs="宋体"/>
          <w:bCs/>
          <w:szCs w:val="24"/>
        </w:rPr>
        <w:t>由于</w:t>
      </w:r>
      <w:r>
        <w:rPr>
          <w:rFonts w:hint="eastAsia" w:ascii="宋体" w:hAnsi="宋体" w:cs="宋体"/>
          <w:bCs/>
          <w:szCs w:val="24"/>
        </w:rPr>
        <w:t>条烟</w:t>
      </w:r>
      <w:r>
        <w:rPr>
          <w:rFonts w:ascii="宋体" w:hAnsi="宋体" w:cs="宋体"/>
          <w:bCs/>
          <w:szCs w:val="24"/>
        </w:rPr>
        <w:t>版式以及生产工艺的不同</w:t>
      </w:r>
      <w:r>
        <w:rPr>
          <w:rFonts w:hint="eastAsia" w:ascii="宋体" w:hAnsi="宋体" w:cs="宋体"/>
          <w:bCs/>
          <w:szCs w:val="24"/>
        </w:rPr>
        <w:t>，</w:t>
      </w:r>
      <w:r>
        <w:rPr>
          <w:rFonts w:ascii="宋体" w:hAnsi="宋体" w:cs="宋体"/>
          <w:bCs/>
          <w:szCs w:val="24"/>
        </w:rPr>
        <w:t>而导致二维码在设备主要位置的朝向有所不同</w:t>
      </w:r>
      <w:r>
        <w:rPr>
          <w:rFonts w:hint="eastAsia" w:ascii="宋体" w:hAnsi="宋体" w:cs="宋体"/>
          <w:bCs/>
          <w:szCs w:val="24"/>
        </w:rPr>
        <w:t>。主要的位置有：条烟包装纸下落处。</w:t>
      </w:r>
    </w:p>
    <w:tbl>
      <w:tblPr>
        <w:tblStyle w:val="4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3195"/>
        <w:gridCol w:w="2316"/>
        <w:gridCol w:w="2318"/>
      </w:tblGrid>
      <w:tr w14:paraId="2B8CA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pct"/>
            <w:shd w:val="clear" w:color="auto" w:fill="F1F1F1" w:themeFill="background1" w:themeFillShade="F2"/>
          </w:tcPr>
          <w:p w14:paraId="66CE7E0C">
            <w:pPr>
              <w:jc w:val="center"/>
              <w:rPr>
                <w:rFonts w:ascii="宋体" w:hAnsi="宋体" w:cs="宋体"/>
                <w:bCs/>
                <w:szCs w:val="24"/>
              </w:rPr>
            </w:pPr>
            <w:r>
              <w:rPr>
                <w:rFonts w:hint="eastAsia" w:ascii="宋体" w:hAnsi="宋体" w:cs="宋体"/>
                <w:bCs/>
                <w:szCs w:val="24"/>
              </w:rPr>
              <w:t>序号</w:t>
            </w:r>
          </w:p>
        </w:tc>
        <w:tc>
          <w:tcPr>
            <w:tcW w:w="1720" w:type="pct"/>
            <w:shd w:val="clear" w:color="auto" w:fill="F1F1F1" w:themeFill="background1" w:themeFillShade="F2"/>
          </w:tcPr>
          <w:p w14:paraId="57F2C05E">
            <w:pPr>
              <w:jc w:val="center"/>
              <w:rPr>
                <w:rFonts w:ascii="宋体" w:hAnsi="宋体" w:cs="宋体"/>
                <w:bCs/>
                <w:szCs w:val="24"/>
              </w:rPr>
            </w:pPr>
            <w:r>
              <w:rPr>
                <w:rFonts w:hint="eastAsia" w:ascii="宋体" w:hAnsi="宋体" w:cs="宋体"/>
                <w:bCs/>
                <w:szCs w:val="24"/>
              </w:rPr>
              <w:t>烟机设备位置</w:t>
            </w:r>
          </w:p>
        </w:tc>
        <w:tc>
          <w:tcPr>
            <w:tcW w:w="1247" w:type="pct"/>
            <w:shd w:val="clear" w:color="auto" w:fill="F1F1F1" w:themeFill="background1" w:themeFillShade="F2"/>
          </w:tcPr>
          <w:p w14:paraId="4B267439">
            <w:pPr>
              <w:jc w:val="center"/>
              <w:rPr>
                <w:rFonts w:hint="eastAsia" w:ascii="宋体" w:hAnsi="宋体" w:eastAsia="宋体" w:cs="宋体"/>
                <w:bCs/>
                <w:szCs w:val="24"/>
                <w:lang w:eastAsia="zh-CN"/>
              </w:rPr>
            </w:pPr>
            <w:r>
              <w:rPr>
                <w:rFonts w:hint="eastAsia" w:ascii="宋体" w:hAnsi="宋体" w:cs="宋体"/>
                <w:bCs/>
                <w:szCs w:val="24"/>
                <w:lang w:val="en-US" w:eastAsia="zh-CN"/>
              </w:rPr>
              <w:t>内侧</w:t>
            </w:r>
          </w:p>
        </w:tc>
        <w:tc>
          <w:tcPr>
            <w:tcW w:w="1248" w:type="pct"/>
            <w:shd w:val="clear" w:color="auto" w:fill="F1F1F1" w:themeFill="background1" w:themeFillShade="F2"/>
          </w:tcPr>
          <w:p w14:paraId="0185919A">
            <w:pPr>
              <w:jc w:val="center"/>
              <w:rPr>
                <w:rFonts w:hint="default" w:ascii="宋体" w:hAnsi="宋体" w:eastAsia="宋体" w:cs="宋体"/>
                <w:bCs/>
                <w:szCs w:val="24"/>
                <w:lang w:val="en-US" w:eastAsia="zh-CN"/>
              </w:rPr>
            </w:pPr>
            <w:r>
              <w:rPr>
                <w:rFonts w:hint="eastAsia" w:ascii="宋体" w:hAnsi="宋体" w:cs="宋体"/>
                <w:bCs/>
                <w:szCs w:val="24"/>
                <w:lang w:val="en-US" w:eastAsia="zh-CN"/>
              </w:rPr>
              <w:t>外侧</w:t>
            </w:r>
          </w:p>
        </w:tc>
      </w:tr>
      <w:tr w14:paraId="7FEF8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pct"/>
            <w:vAlign w:val="center"/>
          </w:tcPr>
          <w:p w14:paraId="0F6BA94A">
            <w:pPr>
              <w:jc w:val="center"/>
              <w:rPr>
                <w:rFonts w:ascii="宋体" w:hAnsi="宋体" w:cs="宋体"/>
                <w:bCs/>
                <w:szCs w:val="24"/>
              </w:rPr>
            </w:pPr>
            <w:r>
              <w:rPr>
                <w:rFonts w:hint="eastAsia" w:ascii="宋体" w:hAnsi="宋体" w:cs="宋体"/>
                <w:bCs/>
                <w:szCs w:val="24"/>
              </w:rPr>
              <w:t>1</w:t>
            </w:r>
          </w:p>
        </w:tc>
        <w:tc>
          <w:tcPr>
            <w:tcW w:w="1720" w:type="pct"/>
            <w:vAlign w:val="center"/>
          </w:tcPr>
          <w:p w14:paraId="69A547A6">
            <w:pPr>
              <w:jc w:val="center"/>
              <w:rPr>
                <w:rFonts w:ascii="宋体" w:hAnsi="宋体" w:cs="宋体"/>
                <w:bCs/>
                <w:szCs w:val="24"/>
              </w:rPr>
            </w:pPr>
            <w:r>
              <w:rPr>
                <w:rFonts w:hint="eastAsia" w:ascii="宋体" w:hAnsi="宋体" w:cs="宋体"/>
                <w:bCs/>
                <w:szCs w:val="24"/>
              </w:rPr>
              <w:t>条烟商标纸下落</w:t>
            </w:r>
          </w:p>
        </w:tc>
        <w:tc>
          <w:tcPr>
            <w:tcW w:w="1247" w:type="pct"/>
          </w:tcPr>
          <w:p w14:paraId="7520E835">
            <w:pPr>
              <w:rPr>
                <w:rFonts w:ascii="宋体" w:hAnsi="宋体" w:cs="宋体"/>
                <w:bCs/>
                <w:szCs w:val="24"/>
              </w:rPr>
            </w:pPr>
            <w:r>
              <w:rPr>
                <w:rFonts w:hint="eastAsia" w:ascii="宋体" w:hAnsi="宋体" w:cs="宋体"/>
                <w:bCs/>
                <w:szCs w:val="24"/>
              </w:rPr>
              <w:t>条盒二维码朝向内侧，即朝向CH</w:t>
            </w:r>
          </w:p>
        </w:tc>
        <w:tc>
          <w:tcPr>
            <w:tcW w:w="1248" w:type="pct"/>
          </w:tcPr>
          <w:p w14:paraId="08EE1E2E">
            <w:pPr>
              <w:rPr>
                <w:rFonts w:ascii="宋体" w:hAnsi="宋体" w:cs="宋体"/>
                <w:bCs/>
                <w:szCs w:val="24"/>
              </w:rPr>
            </w:pPr>
            <w:r>
              <w:rPr>
                <w:rFonts w:hint="eastAsia" w:ascii="宋体" w:hAnsi="宋体" w:cs="宋体"/>
                <w:bCs/>
                <w:szCs w:val="24"/>
              </w:rPr>
              <w:t>小盒二维码朝向外侧，即背向CH</w:t>
            </w:r>
          </w:p>
        </w:tc>
      </w:tr>
    </w:tbl>
    <w:p w14:paraId="236C346F">
      <w:pPr>
        <w:ind w:firstLine="420"/>
        <w:rPr>
          <w:rFonts w:ascii="宋体" w:hAnsi="宋体" w:cs="宋体"/>
          <w:bCs/>
          <w:szCs w:val="24"/>
        </w:rPr>
      </w:pPr>
      <w:r>
        <w:rPr>
          <w:rFonts w:hint="eastAsia" w:ascii="宋体" w:hAnsi="宋体" w:cs="宋体"/>
          <w:bCs/>
          <w:szCs w:val="24"/>
        </w:rPr>
        <w:t>。</w:t>
      </w:r>
    </w:p>
    <w:p w14:paraId="31C1B803">
      <w:pPr>
        <w:pStyle w:val="12"/>
        <w:tabs>
          <w:tab w:val="left" w:pos="432"/>
          <w:tab w:val="left" w:pos="1296"/>
        </w:tabs>
        <w:rPr>
          <w:rFonts w:ascii="宋体" w:hAnsi="宋体" w:cs="宋体"/>
        </w:rPr>
      </w:pPr>
      <w:bookmarkStart w:id="152" w:name="_Toc217731411"/>
      <w:bookmarkStart w:id="153" w:name="_Toc130220676"/>
      <w:r>
        <w:rPr>
          <w:rFonts w:hint="eastAsia" w:ascii="宋体" w:hAnsi="宋体" w:cs="宋体"/>
        </w:rPr>
        <w:t>读码器安装工位</w:t>
      </w:r>
      <w:bookmarkEnd w:id="152"/>
      <w:bookmarkEnd w:id="153"/>
    </w:p>
    <w:p w14:paraId="5A8A90BD">
      <w:pPr>
        <w:ind w:firstLine="420"/>
        <w:rPr>
          <w:rFonts w:ascii="宋体" w:hAnsi="宋体" w:cs="宋体"/>
          <w:b/>
          <w:bCs/>
          <w:szCs w:val="24"/>
        </w:rPr>
      </w:pPr>
      <w:r>
        <w:rPr>
          <w:rFonts w:hint="eastAsia" w:ascii="宋体" w:hAnsi="宋体" w:cs="宋体"/>
          <w:bCs/>
          <w:szCs w:val="24"/>
        </w:rPr>
        <w:t>如图所示，“盒条”关联二维码关联硬件集成安装，主要包括小盒B面二维码品检工位、小盒B面二维码读码工位、小盒B面二维码校验工位、条盒C面二维码采集关联工位，以及盒条关联现场管理子系统。</w:t>
      </w:r>
    </w:p>
    <w:p w14:paraId="1A6B3089">
      <w:pPr>
        <w:jc w:val="center"/>
        <w:rPr>
          <w:rFonts w:ascii="宋体" w:hAnsi="宋体" w:cs="宋体"/>
          <w:bCs/>
          <w:szCs w:val="24"/>
        </w:rPr>
      </w:pPr>
      <w:r>
        <w:drawing>
          <wp:inline distT="0" distB="0" distL="114300" distR="114300">
            <wp:extent cx="5268595" cy="3270885"/>
            <wp:effectExtent l="0" t="0" r="8255" b="5715"/>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33"/>
                    <a:stretch>
                      <a:fillRect/>
                    </a:stretch>
                  </pic:blipFill>
                  <pic:spPr>
                    <a:xfrm>
                      <a:off x="0" y="0"/>
                      <a:ext cx="5268595" cy="3270885"/>
                    </a:xfrm>
                    <a:prstGeom prst="rect">
                      <a:avLst/>
                    </a:prstGeom>
                    <a:noFill/>
                    <a:ln>
                      <a:noFill/>
                    </a:ln>
                  </pic:spPr>
                </pic:pic>
              </a:graphicData>
            </a:graphic>
          </wp:inline>
        </w:drawing>
      </w:r>
    </w:p>
    <w:p w14:paraId="2F180C17">
      <w:pPr>
        <w:pStyle w:val="2"/>
        <w:tabs>
          <w:tab w:val="left" w:pos="5580"/>
        </w:tabs>
        <w:ind w:left="0" w:leftChars="0" w:firstLine="0" w:firstLineChars="0"/>
        <w:jc w:val="center"/>
        <w:rPr>
          <w:rFonts w:ascii="宋体" w:hAnsi="宋体" w:eastAsia="宋体" w:cs="宋体"/>
          <w:bCs/>
          <w:sz w:val="24"/>
          <w:szCs w:val="24"/>
        </w:rPr>
      </w:pPr>
      <w:r>
        <w:rPr>
          <w:rFonts w:hint="eastAsia" w:ascii="宋体" w:hAnsi="宋体" w:eastAsia="宋体" w:cs="宋体"/>
          <w:bCs/>
          <w:sz w:val="24"/>
          <w:szCs w:val="24"/>
        </w:rPr>
        <w:t>图：硬件总体集成布局</w:t>
      </w:r>
    </w:p>
    <w:p w14:paraId="446F25AD">
      <w:pPr>
        <w:pStyle w:val="13"/>
        <w:tabs>
          <w:tab w:val="left" w:pos="1296"/>
        </w:tabs>
        <w:rPr>
          <w:rFonts w:ascii="宋体" w:hAnsi="宋体" w:cs="宋体"/>
        </w:rPr>
      </w:pPr>
      <w:bookmarkStart w:id="154" w:name="_Toc130220677"/>
      <w:r>
        <w:rPr>
          <w:rFonts w:hint="eastAsia" w:ascii="宋体" w:hAnsi="宋体" w:cs="宋体"/>
        </w:rPr>
        <w:t>盒烟品检工位</w:t>
      </w:r>
      <w:bookmarkEnd w:id="154"/>
    </w:p>
    <w:p w14:paraId="3447DC98">
      <w:pPr>
        <w:ind w:firstLine="480" w:firstLineChars="200"/>
        <w:rPr>
          <w:rFonts w:ascii="宋体" w:hAnsi="宋体" w:cs="宋体"/>
          <w:bCs/>
          <w:szCs w:val="24"/>
        </w:rPr>
      </w:pPr>
      <w:r>
        <w:rPr>
          <w:rFonts w:hint="eastAsia" w:ascii="宋体" w:hAnsi="宋体" w:cs="宋体"/>
          <w:bCs/>
          <w:szCs w:val="24"/>
        </w:rPr>
        <w:t>“盒条”关联现场小盒</w:t>
      </w:r>
      <w:r>
        <w:rPr>
          <w:rFonts w:hint="eastAsia" w:ascii="宋体" w:hAnsi="宋体" w:cs="宋体"/>
        </w:rPr>
        <w:t>二维码品检工位，根据烟机的构成的区别，固定读码器所</w:t>
      </w:r>
      <w:r>
        <w:rPr>
          <w:rFonts w:hint="eastAsia" w:ascii="宋体" w:hAnsi="宋体" w:cs="宋体"/>
          <w:bCs/>
          <w:szCs w:val="24"/>
        </w:rPr>
        <w:t>安装的位置有所不同。</w:t>
      </w:r>
    </w:p>
    <w:p w14:paraId="309ADC52">
      <w:pPr>
        <w:pStyle w:val="114"/>
        <w:numPr>
          <w:ilvl w:val="0"/>
          <w:numId w:val="15"/>
        </w:numPr>
        <w:ind w:left="-420" w:firstLine="900" w:firstLineChars="0"/>
        <w:rPr>
          <w:rFonts w:ascii="宋体" w:hAnsi="宋体" w:cs="宋体"/>
          <w:bCs/>
          <w:szCs w:val="24"/>
        </w:rPr>
      </w:pPr>
      <w:r>
        <w:rPr>
          <w:rFonts w:ascii="宋体" w:hAnsi="宋体" w:cs="宋体"/>
          <w:bCs/>
          <w:szCs w:val="24"/>
        </w:rPr>
        <w:t>对于包含</w:t>
      </w:r>
      <w:r>
        <w:rPr>
          <w:rFonts w:hint="eastAsia" w:ascii="宋体" w:hAnsi="宋体" w:cs="宋体"/>
          <w:bCs/>
          <w:szCs w:val="24"/>
        </w:rPr>
        <w:t>小盒转向塔吸盘的包装机</w:t>
      </w:r>
    </w:p>
    <w:p w14:paraId="37EC87B9">
      <w:pPr>
        <w:pStyle w:val="114"/>
        <w:numPr>
          <w:ilvl w:val="0"/>
          <w:numId w:val="16"/>
        </w:numPr>
        <w:ind w:firstLineChars="0"/>
        <w:rPr>
          <w:rFonts w:hint="default" w:ascii="宋体" w:hAnsi="宋体" w:eastAsia="宋体" w:cs="宋体"/>
          <w:bCs/>
          <w:szCs w:val="24"/>
          <w:lang w:val="en-US" w:eastAsia="zh-CN"/>
        </w:rPr>
      </w:pPr>
      <w:r>
        <w:rPr>
          <w:rFonts w:ascii="宋体" w:hAnsi="宋体" w:cs="宋体"/>
          <w:bCs/>
          <w:szCs w:val="24"/>
        </w:rPr>
        <w:t>小盒B面二维码朝向盒透方向</w:t>
      </w:r>
      <w:r>
        <w:rPr>
          <w:rFonts w:hint="eastAsia" w:ascii="宋体" w:hAnsi="宋体" w:cs="宋体"/>
          <w:bCs/>
          <w:szCs w:val="24"/>
          <w:lang w:val="en-US" w:eastAsia="zh-CN"/>
        </w:rPr>
        <w:t>盒烟品检工位部署方案</w:t>
      </w:r>
    </w:p>
    <w:p w14:paraId="35FBB9CF">
      <w:pPr>
        <w:ind w:firstLine="480" w:firstLineChars="200"/>
        <w:rPr>
          <w:rFonts w:ascii="宋体" w:hAnsi="宋体" w:cs="宋体"/>
        </w:rPr>
      </w:pPr>
      <w:r>
        <w:rPr>
          <w:rFonts w:ascii="宋体" w:hAnsi="宋体" w:cs="宋体"/>
          <w:bCs/>
          <w:szCs w:val="24"/>
        </w:rPr>
        <w:t>若小盒B面二维码朝向盒透方向</w:t>
      </w:r>
      <w:r>
        <w:rPr>
          <w:rFonts w:hint="eastAsia" w:ascii="宋体" w:hAnsi="宋体" w:cs="宋体"/>
          <w:bCs/>
          <w:szCs w:val="24"/>
        </w:rPr>
        <w:t>，则读码器安装在转塔内测，</w:t>
      </w:r>
      <w:r>
        <w:rPr>
          <w:rFonts w:hint="eastAsia" w:ascii="宋体" w:hAnsi="宋体" w:cs="宋体"/>
        </w:rPr>
        <w:t>对小盒B面二维码采集。</w:t>
      </w:r>
    </w:p>
    <w:p w14:paraId="4ADE2B16">
      <w:pPr>
        <w:pStyle w:val="2"/>
        <w:tabs>
          <w:tab w:val="left" w:pos="5580"/>
        </w:tabs>
        <w:ind w:left="307" w:leftChars="0" w:hanging="307" w:hangingChars="171"/>
        <w:jc w:val="center"/>
      </w:pPr>
      <w:r>
        <w:drawing>
          <wp:inline distT="0" distB="0" distL="114300" distR="114300">
            <wp:extent cx="3521075" cy="2486025"/>
            <wp:effectExtent l="0" t="0" r="3175" b="9525"/>
            <wp:docPr id="1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
                    <pic:cNvPicPr>
                      <a:picLocks noChangeAspect="1"/>
                    </pic:cNvPicPr>
                  </pic:nvPicPr>
                  <pic:blipFill>
                    <a:blip r:embed="rId34"/>
                    <a:stretch>
                      <a:fillRect/>
                    </a:stretch>
                  </pic:blipFill>
                  <pic:spPr>
                    <a:xfrm>
                      <a:off x="0" y="0"/>
                      <a:ext cx="3521075" cy="2486025"/>
                    </a:xfrm>
                    <a:prstGeom prst="rect">
                      <a:avLst/>
                    </a:prstGeom>
                    <a:noFill/>
                    <a:ln>
                      <a:noFill/>
                    </a:ln>
                  </pic:spPr>
                </pic:pic>
              </a:graphicData>
            </a:graphic>
          </wp:inline>
        </w:drawing>
      </w:r>
    </w:p>
    <w:p w14:paraId="5E72A513">
      <w:pPr>
        <w:pStyle w:val="2"/>
        <w:tabs>
          <w:tab w:val="left" w:pos="5580"/>
        </w:tabs>
        <w:ind w:left="0" w:leftChars="0" w:firstLine="0" w:firstLineChars="0"/>
        <w:jc w:val="center"/>
        <w:rPr>
          <w:rFonts w:hint="eastAsia" w:eastAsia="宋体"/>
          <w:lang w:val="en-US" w:eastAsia="zh-CN"/>
        </w:rPr>
      </w:pPr>
      <w:r>
        <w:rPr>
          <w:rFonts w:hint="eastAsia" w:ascii="宋体" w:hAnsi="宋体" w:eastAsia="宋体" w:cs="宋体"/>
          <w:bCs/>
          <w:sz w:val="24"/>
          <w:szCs w:val="24"/>
        </w:rPr>
        <w:t>图：小盒品检方案</w:t>
      </w:r>
      <w:r>
        <w:rPr>
          <w:rFonts w:hint="eastAsia" w:ascii="宋体" w:hAnsi="宋体" w:eastAsia="宋体" w:cs="宋体"/>
          <w:bCs/>
          <w:sz w:val="24"/>
          <w:szCs w:val="24"/>
          <w:lang w:val="en-US" w:eastAsia="zh-CN"/>
        </w:rPr>
        <w:t>1</w:t>
      </w:r>
    </w:p>
    <w:p w14:paraId="55E3B3F3">
      <w:pPr>
        <w:pStyle w:val="114"/>
        <w:numPr>
          <w:ilvl w:val="0"/>
          <w:numId w:val="16"/>
        </w:numPr>
        <w:ind w:firstLineChars="0"/>
        <w:rPr>
          <w:rFonts w:ascii="宋体" w:hAnsi="宋体" w:cs="宋体"/>
          <w:bCs/>
          <w:szCs w:val="24"/>
        </w:rPr>
      </w:pPr>
      <w:r>
        <w:rPr>
          <w:rFonts w:ascii="宋体" w:hAnsi="宋体" w:cs="宋体"/>
          <w:bCs/>
          <w:szCs w:val="24"/>
        </w:rPr>
        <w:t>小盒B面二维码</w:t>
      </w:r>
      <w:r>
        <w:rPr>
          <w:rFonts w:hint="eastAsia" w:ascii="宋体" w:hAnsi="宋体" w:cs="宋体"/>
          <w:bCs/>
          <w:szCs w:val="24"/>
        </w:rPr>
        <w:t>背</w:t>
      </w:r>
      <w:r>
        <w:rPr>
          <w:rFonts w:ascii="宋体" w:hAnsi="宋体" w:cs="宋体"/>
          <w:bCs/>
          <w:szCs w:val="24"/>
        </w:rPr>
        <w:t>向盒透方向</w:t>
      </w:r>
      <w:r>
        <w:rPr>
          <w:rFonts w:hint="eastAsia" w:ascii="宋体" w:hAnsi="宋体" w:cs="宋体"/>
          <w:bCs/>
          <w:szCs w:val="24"/>
          <w:lang w:val="en-US" w:eastAsia="zh-CN"/>
        </w:rPr>
        <w:t>盒烟品检工位部署方案</w:t>
      </w:r>
    </w:p>
    <w:p w14:paraId="3C64E551">
      <w:pPr>
        <w:ind w:firstLine="480" w:firstLineChars="200"/>
        <w:rPr>
          <w:rFonts w:ascii="宋体" w:hAnsi="宋体" w:cs="宋体"/>
        </w:rPr>
      </w:pPr>
      <w:r>
        <w:rPr>
          <w:rFonts w:ascii="宋体" w:hAnsi="宋体" w:cs="宋体"/>
          <w:bCs/>
          <w:szCs w:val="24"/>
        </w:rPr>
        <w:t>若小盒B面二维码</w:t>
      </w:r>
      <w:r>
        <w:rPr>
          <w:rFonts w:hint="eastAsia" w:ascii="宋体" w:hAnsi="宋体" w:cs="宋体"/>
          <w:bCs/>
          <w:szCs w:val="24"/>
        </w:rPr>
        <w:t>背</w:t>
      </w:r>
      <w:r>
        <w:rPr>
          <w:rFonts w:ascii="宋体" w:hAnsi="宋体" w:cs="宋体"/>
          <w:bCs/>
          <w:szCs w:val="24"/>
        </w:rPr>
        <w:t>向盒透方向</w:t>
      </w:r>
      <w:r>
        <w:rPr>
          <w:rFonts w:hint="eastAsia" w:ascii="宋体" w:hAnsi="宋体" w:cs="宋体"/>
          <w:bCs/>
          <w:szCs w:val="24"/>
        </w:rPr>
        <w:t>，则读码器安装在转塔外测，</w:t>
      </w:r>
      <w:r>
        <w:rPr>
          <w:rFonts w:hint="eastAsia" w:ascii="宋体" w:hAnsi="宋体" w:cs="宋体"/>
        </w:rPr>
        <w:t>对小盒B面二维码采集。</w:t>
      </w:r>
    </w:p>
    <w:p w14:paraId="426BEFBB">
      <w:pPr>
        <w:pStyle w:val="2"/>
        <w:tabs>
          <w:tab w:val="left" w:pos="5580"/>
        </w:tabs>
        <w:ind w:left="307" w:leftChars="0" w:hanging="307" w:hangingChars="171"/>
        <w:jc w:val="center"/>
      </w:pPr>
      <w:r>
        <w:drawing>
          <wp:inline distT="0" distB="0" distL="114300" distR="114300">
            <wp:extent cx="3666490" cy="2073275"/>
            <wp:effectExtent l="0" t="0" r="10160" b="3175"/>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35"/>
                    <a:stretch>
                      <a:fillRect/>
                    </a:stretch>
                  </pic:blipFill>
                  <pic:spPr>
                    <a:xfrm>
                      <a:off x="0" y="0"/>
                      <a:ext cx="3666490" cy="2073275"/>
                    </a:xfrm>
                    <a:prstGeom prst="rect">
                      <a:avLst/>
                    </a:prstGeom>
                    <a:noFill/>
                    <a:ln>
                      <a:noFill/>
                    </a:ln>
                  </pic:spPr>
                </pic:pic>
              </a:graphicData>
            </a:graphic>
          </wp:inline>
        </w:drawing>
      </w:r>
    </w:p>
    <w:p w14:paraId="39D05A0A">
      <w:pPr>
        <w:pStyle w:val="2"/>
        <w:tabs>
          <w:tab w:val="left" w:pos="5580"/>
        </w:tabs>
        <w:ind w:left="0" w:leftChars="0" w:firstLine="0" w:firstLineChars="0"/>
        <w:jc w:val="center"/>
        <w:rPr>
          <w:rFonts w:hint="eastAsia" w:eastAsia="宋体"/>
          <w:lang w:val="en-US" w:eastAsia="zh-CN"/>
        </w:rPr>
      </w:pPr>
      <w:r>
        <w:rPr>
          <w:rFonts w:hint="eastAsia" w:ascii="宋体" w:hAnsi="宋体" w:eastAsia="宋体" w:cs="宋体"/>
          <w:bCs/>
          <w:sz w:val="24"/>
          <w:szCs w:val="24"/>
        </w:rPr>
        <w:t>图：小盒品检方案</w:t>
      </w:r>
      <w:r>
        <w:rPr>
          <w:rFonts w:hint="eastAsia" w:ascii="宋体" w:hAnsi="宋体" w:eastAsia="宋体" w:cs="宋体"/>
          <w:bCs/>
          <w:sz w:val="24"/>
          <w:szCs w:val="24"/>
          <w:lang w:val="en-US" w:eastAsia="zh-CN"/>
        </w:rPr>
        <w:t>2</w:t>
      </w:r>
    </w:p>
    <w:p w14:paraId="614193F0">
      <w:pPr>
        <w:pStyle w:val="114"/>
        <w:numPr>
          <w:ilvl w:val="0"/>
          <w:numId w:val="15"/>
        </w:numPr>
        <w:ind w:left="-420" w:firstLine="900" w:firstLineChars="0"/>
        <w:rPr>
          <w:rFonts w:ascii="宋体" w:hAnsi="宋体" w:cs="宋体"/>
          <w:bCs/>
          <w:szCs w:val="24"/>
        </w:rPr>
      </w:pPr>
      <w:r>
        <w:rPr>
          <w:rFonts w:ascii="宋体" w:hAnsi="宋体" w:cs="宋体"/>
          <w:bCs/>
          <w:szCs w:val="24"/>
        </w:rPr>
        <w:t>对于</w:t>
      </w:r>
      <w:r>
        <w:rPr>
          <w:rFonts w:hint="eastAsia" w:ascii="宋体" w:hAnsi="宋体" w:cs="宋体"/>
          <w:bCs/>
          <w:szCs w:val="24"/>
        </w:rPr>
        <w:t>进行</w:t>
      </w:r>
      <w:r>
        <w:rPr>
          <w:rFonts w:ascii="宋体" w:hAnsi="宋体" w:cs="宋体"/>
          <w:bCs/>
          <w:szCs w:val="24"/>
        </w:rPr>
        <w:t>小盒直角转向</w:t>
      </w:r>
      <w:r>
        <w:rPr>
          <w:rFonts w:hint="eastAsia" w:ascii="宋体" w:hAnsi="宋体" w:cs="宋体"/>
          <w:bCs/>
          <w:szCs w:val="24"/>
        </w:rPr>
        <w:t>的包装机</w:t>
      </w:r>
    </w:p>
    <w:p w14:paraId="20079027">
      <w:pPr>
        <w:pStyle w:val="114"/>
        <w:numPr>
          <w:ilvl w:val="0"/>
          <w:numId w:val="16"/>
        </w:numPr>
        <w:ind w:firstLineChars="0"/>
        <w:rPr>
          <w:rFonts w:ascii="宋体" w:hAnsi="宋体" w:cs="宋体"/>
          <w:bCs/>
          <w:szCs w:val="24"/>
        </w:rPr>
      </w:pPr>
      <w:r>
        <w:rPr>
          <w:rFonts w:ascii="宋体" w:hAnsi="宋体" w:cs="宋体"/>
          <w:bCs/>
          <w:szCs w:val="24"/>
        </w:rPr>
        <w:t>小盒B面二维码朝向盒透方向</w:t>
      </w:r>
      <w:r>
        <w:rPr>
          <w:rFonts w:hint="eastAsia" w:ascii="宋体" w:hAnsi="宋体" w:cs="宋体"/>
          <w:bCs/>
          <w:szCs w:val="24"/>
          <w:lang w:val="en-US" w:eastAsia="zh-CN"/>
        </w:rPr>
        <w:t>盒烟品检工位部署方案</w:t>
      </w:r>
    </w:p>
    <w:p w14:paraId="7D9A7BE2">
      <w:pPr>
        <w:ind w:firstLine="480" w:firstLineChars="200"/>
        <w:rPr>
          <w:rFonts w:hint="eastAsia" w:ascii="宋体" w:hAnsi="宋体" w:cs="宋体"/>
        </w:rPr>
      </w:pPr>
      <w:r>
        <w:rPr>
          <w:rFonts w:ascii="宋体" w:hAnsi="宋体" w:cs="宋体"/>
          <w:bCs/>
          <w:szCs w:val="24"/>
        </w:rPr>
        <w:t>若小盒B面二维码朝向盒透方向</w:t>
      </w:r>
      <w:r>
        <w:rPr>
          <w:rFonts w:hint="eastAsia" w:ascii="宋体" w:hAnsi="宋体" w:cs="宋体"/>
          <w:bCs/>
          <w:szCs w:val="24"/>
        </w:rPr>
        <w:t>，则读码器安装在小盒转向后的轨道上，向外</w:t>
      </w:r>
      <w:r>
        <w:rPr>
          <w:rFonts w:hint="eastAsia" w:ascii="宋体" w:hAnsi="宋体" w:cs="宋体"/>
        </w:rPr>
        <w:t>对小盒B面二维码采集。</w:t>
      </w:r>
    </w:p>
    <w:p w14:paraId="30AFABCD">
      <w:pPr>
        <w:pStyle w:val="114"/>
        <w:numPr>
          <w:ilvl w:val="0"/>
          <w:numId w:val="16"/>
        </w:numPr>
        <w:ind w:firstLineChars="0"/>
      </w:pPr>
      <w:r>
        <w:rPr>
          <w:rFonts w:ascii="宋体" w:hAnsi="宋体" w:cs="宋体"/>
          <w:bCs/>
          <w:szCs w:val="24"/>
        </w:rPr>
        <w:t>小盒B面二维码</w:t>
      </w:r>
      <w:r>
        <w:rPr>
          <w:rFonts w:hint="eastAsia" w:ascii="宋体" w:hAnsi="宋体" w:cs="宋体"/>
          <w:bCs/>
          <w:szCs w:val="24"/>
        </w:rPr>
        <w:t>背</w:t>
      </w:r>
      <w:r>
        <w:rPr>
          <w:rFonts w:ascii="宋体" w:hAnsi="宋体" w:cs="宋体"/>
          <w:bCs/>
          <w:szCs w:val="24"/>
        </w:rPr>
        <w:t>向盒透方向</w:t>
      </w:r>
      <w:r>
        <w:rPr>
          <w:rFonts w:hint="eastAsia" w:ascii="宋体" w:hAnsi="宋体" w:cs="宋体"/>
          <w:bCs/>
          <w:szCs w:val="24"/>
          <w:lang w:val="en-US" w:eastAsia="zh-CN"/>
        </w:rPr>
        <w:t>盒烟品检工位部署方案</w:t>
      </w:r>
    </w:p>
    <w:p w14:paraId="2A3C6BCE">
      <w:pPr>
        <w:ind w:firstLine="480" w:firstLineChars="200"/>
      </w:pPr>
      <w:r>
        <w:rPr>
          <w:rFonts w:ascii="宋体" w:hAnsi="宋体" w:cs="宋体"/>
          <w:bCs/>
          <w:szCs w:val="24"/>
        </w:rPr>
        <w:t>若小盒B面二维码</w:t>
      </w:r>
      <w:r>
        <w:rPr>
          <w:rFonts w:hint="eastAsia" w:ascii="宋体" w:hAnsi="宋体" w:cs="宋体"/>
          <w:bCs/>
          <w:szCs w:val="24"/>
        </w:rPr>
        <w:t>背</w:t>
      </w:r>
      <w:r>
        <w:rPr>
          <w:rFonts w:ascii="宋体" w:hAnsi="宋体" w:cs="宋体"/>
          <w:bCs/>
          <w:szCs w:val="24"/>
        </w:rPr>
        <w:t>向盒透方向</w:t>
      </w:r>
      <w:r>
        <w:rPr>
          <w:rFonts w:hint="eastAsia" w:ascii="宋体" w:hAnsi="宋体" w:cs="宋体"/>
          <w:bCs/>
          <w:szCs w:val="24"/>
        </w:rPr>
        <w:t>，则读码器安装在小盒转向后的轨道上，向内</w:t>
      </w:r>
      <w:r>
        <w:rPr>
          <w:rFonts w:hint="eastAsia" w:ascii="宋体" w:hAnsi="宋体" w:cs="宋体"/>
        </w:rPr>
        <w:t>对小盒B面二维码采集。</w:t>
      </w:r>
    </w:p>
    <w:p w14:paraId="7427D1F7">
      <w:pPr>
        <w:ind w:firstLine="480" w:firstLineChars="200"/>
        <w:rPr>
          <w:rFonts w:ascii="宋体" w:hAnsi="宋体" w:cs="宋体"/>
          <w:b/>
          <w:bCs/>
          <w:szCs w:val="24"/>
        </w:rPr>
      </w:pPr>
      <w:r>
        <w:rPr>
          <w:rFonts w:hint="eastAsia" w:ascii="宋体" w:hAnsi="宋体" w:cs="宋体"/>
          <w:bCs/>
          <w:szCs w:val="24"/>
        </w:rPr>
        <w:t>当小盒二维码识别异常时，“盒条”关联现场管理子系统将信号反馈给包装机程序，控制包装机小盒剔除工位剔除扫码异常的小盒，并统计剔除小盒的数量。当连续三次检测异常时（连续三次无法读码或者重码），“盒条”关联现场管理子系统报警并将停机信号反馈给包装机程序，控制包装机停机并输出报警信息，确保小盒二维码预扫描验码识别无异常状况时，再重新开机。</w:t>
      </w:r>
    </w:p>
    <w:p w14:paraId="051E9FF4">
      <w:pPr>
        <w:pStyle w:val="13"/>
        <w:tabs>
          <w:tab w:val="left" w:pos="1296"/>
        </w:tabs>
        <w:rPr>
          <w:rFonts w:ascii="宋体" w:hAnsi="宋体" w:cs="宋体"/>
        </w:rPr>
      </w:pPr>
      <w:bookmarkStart w:id="155" w:name="_Toc130220678"/>
      <w:r>
        <w:rPr>
          <w:rFonts w:hint="eastAsia" w:ascii="宋体" w:hAnsi="宋体" w:cs="宋体"/>
        </w:rPr>
        <w:t>盒烟读码工位</w:t>
      </w:r>
      <w:bookmarkEnd w:id="155"/>
    </w:p>
    <w:p w14:paraId="4A92D4DF">
      <w:pPr>
        <w:ind w:firstLine="480" w:firstLineChars="200"/>
        <w:rPr>
          <w:rFonts w:ascii="宋体" w:hAnsi="宋体" w:cs="宋体"/>
          <w:bCs/>
          <w:szCs w:val="24"/>
        </w:rPr>
      </w:pPr>
      <w:r>
        <w:rPr>
          <w:rFonts w:hint="eastAsia" w:ascii="宋体" w:hAnsi="宋体" w:cs="宋体"/>
          <w:bCs/>
          <w:szCs w:val="24"/>
        </w:rPr>
        <w:t>“盒条”关联现场小盒</w:t>
      </w:r>
      <w:r>
        <w:rPr>
          <w:rFonts w:hint="eastAsia" w:ascii="宋体" w:hAnsi="宋体" w:cs="宋体"/>
        </w:rPr>
        <w:t>二维码品检工位，固定读码器根据小盒二维码的朝向而存在不同的</w:t>
      </w:r>
      <w:r>
        <w:rPr>
          <w:rFonts w:hint="eastAsia" w:ascii="宋体" w:hAnsi="宋体" w:cs="宋体"/>
          <w:bCs/>
          <w:szCs w:val="24"/>
        </w:rPr>
        <w:t>安装的位置</w:t>
      </w:r>
    </w:p>
    <w:p w14:paraId="4021EDAB">
      <w:pPr>
        <w:pStyle w:val="114"/>
        <w:numPr>
          <w:ilvl w:val="0"/>
          <w:numId w:val="16"/>
        </w:numPr>
        <w:ind w:firstLineChars="0"/>
        <w:rPr>
          <w:rFonts w:ascii="宋体" w:hAnsi="宋体" w:cs="宋体"/>
          <w:bCs/>
          <w:szCs w:val="24"/>
        </w:rPr>
      </w:pPr>
      <w:r>
        <w:rPr>
          <w:rFonts w:ascii="宋体" w:hAnsi="宋体" w:cs="宋体"/>
          <w:bCs/>
          <w:szCs w:val="24"/>
        </w:rPr>
        <w:t>对于生产</w:t>
      </w:r>
      <w:r>
        <w:rPr>
          <w:rFonts w:hint="eastAsia" w:ascii="宋体" w:hAnsi="宋体" w:cs="宋体"/>
          <w:bCs/>
          <w:szCs w:val="24"/>
        </w:rPr>
        <w:t>小盒</w:t>
      </w:r>
      <w:r>
        <w:rPr>
          <w:rFonts w:ascii="宋体" w:hAnsi="宋体" w:cs="宋体"/>
          <w:bCs/>
          <w:szCs w:val="24"/>
        </w:rPr>
        <w:t>二维码朝向马耳他轮外侧</w:t>
      </w:r>
    </w:p>
    <w:p w14:paraId="5EE4853C">
      <w:pPr>
        <w:ind w:firstLine="480" w:firstLineChars="200"/>
        <w:rPr>
          <w:rFonts w:ascii="宋体" w:hAnsi="宋体" w:cs="宋体"/>
        </w:rPr>
      </w:pPr>
      <w:r>
        <w:rPr>
          <w:rFonts w:hint="eastAsia" w:ascii="宋体" w:hAnsi="宋体" w:cs="宋体"/>
          <w:bCs/>
          <w:szCs w:val="24"/>
        </w:rPr>
        <w:t>读码器安装在小盒补烟通道下方外侧，</w:t>
      </w:r>
      <w:r>
        <w:rPr>
          <w:rFonts w:hint="eastAsia" w:ascii="宋体" w:hAnsi="宋体" w:cs="宋体"/>
        </w:rPr>
        <w:t>从而对补烟通道最下方的小盒B面二维码进行双包二维码采集。如下图所示：</w:t>
      </w:r>
    </w:p>
    <w:p w14:paraId="1B309D8F">
      <w:pPr>
        <w:pStyle w:val="2"/>
        <w:tabs>
          <w:tab w:val="left" w:pos="5580"/>
        </w:tabs>
        <w:ind w:left="307" w:leftChars="0" w:hanging="307" w:hangingChars="171"/>
        <w:jc w:val="center"/>
      </w:pPr>
      <w:r>
        <w:drawing>
          <wp:inline distT="0" distB="0" distL="114300" distR="114300">
            <wp:extent cx="3216275" cy="2131060"/>
            <wp:effectExtent l="0" t="0" r="3175" b="254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36"/>
                    <a:stretch>
                      <a:fillRect/>
                    </a:stretch>
                  </pic:blipFill>
                  <pic:spPr>
                    <a:xfrm>
                      <a:off x="0" y="0"/>
                      <a:ext cx="3216275" cy="2131060"/>
                    </a:xfrm>
                    <a:prstGeom prst="rect">
                      <a:avLst/>
                    </a:prstGeom>
                    <a:noFill/>
                    <a:ln>
                      <a:noFill/>
                    </a:ln>
                  </pic:spPr>
                </pic:pic>
              </a:graphicData>
            </a:graphic>
          </wp:inline>
        </w:drawing>
      </w:r>
    </w:p>
    <w:p w14:paraId="611C4881">
      <w:pPr>
        <w:pStyle w:val="2"/>
        <w:tabs>
          <w:tab w:val="left" w:pos="5580"/>
        </w:tabs>
        <w:ind w:left="0" w:leftChars="0" w:firstLine="0" w:firstLineChars="0"/>
        <w:jc w:val="center"/>
        <w:rPr>
          <w:rFonts w:hint="eastAsia" w:eastAsia="宋体"/>
          <w:lang w:val="en-US" w:eastAsia="zh-CN"/>
        </w:rPr>
      </w:pPr>
      <w:r>
        <w:rPr>
          <w:rFonts w:hint="eastAsia" w:ascii="宋体" w:hAnsi="宋体" w:eastAsia="宋体" w:cs="宋体"/>
          <w:bCs/>
          <w:sz w:val="24"/>
          <w:szCs w:val="24"/>
        </w:rPr>
        <w:t>图：小盒读码方案</w:t>
      </w:r>
      <w:r>
        <w:rPr>
          <w:rFonts w:hint="eastAsia" w:ascii="宋体" w:hAnsi="宋体" w:eastAsia="宋体" w:cs="宋体"/>
          <w:bCs/>
          <w:sz w:val="24"/>
          <w:szCs w:val="24"/>
          <w:lang w:val="en-US" w:eastAsia="zh-CN"/>
        </w:rPr>
        <w:t>1</w:t>
      </w:r>
    </w:p>
    <w:p w14:paraId="2C233563">
      <w:pPr>
        <w:pStyle w:val="114"/>
        <w:numPr>
          <w:ilvl w:val="0"/>
          <w:numId w:val="16"/>
        </w:numPr>
        <w:ind w:firstLineChars="0"/>
        <w:rPr>
          <w:rFonts w:ascii="宋体" w:hAnsi="宋体" w:cs="宋体"/>
          <w:bCs/>
          <w:szCs w:val="24"/>
        </w:rPr>
      </w:pPr>
      <w:r>
        <w:rPr>
          <w:rFonts w:ascii="宋体" w:hAnsi="宋体" w:cs="宋体"/>
          <w:bCs/>
          <w:szCs w:val="24"/>
        </w:rPr>
        <w:t>对于</w:t>
      </w:r>
      <w:r>
        <w:rPr>
          <w:rFonts w:hint="eastAsia" w:ascii="宋体" w:hAnsi="宋体" w:cs="宋体"/>
          <w:bCs/>
          <w:szCs w:val="24"/>
        </w:rPr>
        <w:t>生产小盒二维码朝向马耳他轮内侧</w:t>
      </w:r>
    </w:p>
    <w:p w14:paraId="32E447AC">
      <w:pPr>
        <w:ind w:firstLine="480" w:firstLineChars="200"/>
        <w:rPr>
          <w:rFonts w:ascii="宋体" w:hAnsi="宋体" w:cs="宋体"/>
        </w:rPr>
      </w:pPr>
      <w:r>
        <w:rPr>
          <w:rFonts w:hint="eastAsia" w:ascii="宋体" w:hAnsi="宋体" w:cs="宋体"/>
          <w:bCs/>
          <w:szCs w:val="24"/>
        </w:rPr>
        <w:t>读码器安装在马耳他轮内，</w:t>
      </w:r>
      <w:r>
        <w:rPr>
          <w:rFonts w:hint="eastAsia" w:ascii="宋体" w:hAnsi="宋体" w:cs="宋体"/>
        </w:rPr>
        <w:t>从而对补烟通道最下方的小盒B面二维码进行双包二维码采集。如下图所示：</w:t>
      </w:r>
    </w:p>
    <w:p w14:paraId="5999CD5E">
      <w:pPr>
        <w:pStyle w:val="2"/>
        <w:tabs>
          <w:tab w:val="left" w:pos="5580"/>
        </w:tabs>
        <w:ind w:left="307" w:leftChars="0" w:hanging="307" w:hangingChars="171"/>
        <w:jc w:val="center"/>
      </w:pPr>
      <w:r>
        <w:drawing>
          <wp:inline distT="0" distB="0" distL="114300" distR="114300">
            <wp:extent cx="3248660" cy="2463800"/>
            <wp:effectExtent l="0" t="0" r="8890" b="12700"/>
            <wp:docPr id="1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
                    <pic:cNvPicPr>
                      <a:picLocks noChangeAspect="1"/>
                    </pic:cNvPicPr>
                  </pic:nvPicPr>
                  <pic:blipFill>
                    <a:blip r:embed="rId37"/>
                    <a:stretch>
                      <a:fillRect/>
                    </a:stretch>
                  </pic:blipFill>
                  <pic:spPr>
                    <a:xfrm>
                      <a:off x="0" y="0"/>
                      <a:ext cx="3248660" cy="2463800"/>
                    </a:xfrm>
                    <a:prstGeom prst="rect">
                      <a:avLst/>
                    </a:prstGeom>
                    <a:noFill/>
                    <a:ln>
                      <a:noFill/>
                    </a:ln>
                  </pic:spPr>
                </pic:pic>
              </a:graphicData>
            </a:graphic>
          </wp:inline>
        </w:drawing>
      </w:r>
    </w:p>
    <w:p w14:paraId="71F3A791">
      <w:pPr>
        <w:pStyle w:val="2"/>
        <w:tabs>
          <w:tab w:val="left" w:pos="5580"/>
        </w:tabs>
        <w:ind w:left="0" w:leftChars="0" w:firstLine="0" w:firstLineChars="0"/>
        <w:jc w:val="center"/>
        <w:rPr>
          <w:rFonts w:hint="eastAsia" w:eastAsia="宋体"/>
          <w:lang w:val="en-US" w:eastAsia="zh-CN"/>
        </w:rPr>
      </w:pPr>
      <w:r>
        <w:rPr>
          <w:rFonts w:hint="eastAsia" w:ascii="宋体" w:hAnsi="宋体" w:eastAsia="宋体" w:cs="宋体"/>
          <w:bCs/>
          <w:sz w:val="24"/>
          <w:szCs w:val="24"/>
        </w:rPr>
        <w:t>图：小盒读码方案</w:t>
      </w:r>
      <w:r>
        <w:rPr>
          <w:rFonts w:hint="eastAsia" w:ascii="宋体" w:hAnsi="宋体" w:eastAsia="宋体" w:cs="宋体"/>
          <w:bCs/>
          <w:sz w:val="24"/>
          <w:szCs w:val="24"/>
          <w:lang w:val="en-US" w:eastAsia="zh-CN"/>
        </w:rPr>
        <w:t>2</w:t>
      </w:r>
    </w:p>
    <w:p w14:paraId="292FF9CB">
      <w:pPr>
        <w:ind w:firstLine="480"/>
        <w:rPr>
          <w:rFonts w:ascii="宋体" w:hAnsi="宋体" w:cs="宋体"/>
          <w:b/>
          <w:bCs/>
          <w:szCs w:val="24"/>
        </w:rPr>
      </w:pPr>
      <w:r>
        <w:rPr>
          <w:rFonts w:ascii="宋体" w:hAnsi="宋体" w:cs="宋体"/>
        </w:rPr>
        <w:t>在当前工位</w:t>
      </w:r>
      <w:r>
        <w:rPr>
          <w:rFonts w:hint="eastAsia" w:ascii="宋体" w:hAnsi="宋体" w:cs="宋体"/>
        </w:rPr>
        <w:t>当小盒二维码识别异常时，“盒条”关联现场管理子系统将信号反馈给包装机程序，控制包装机条盒剔除工位剔除扫码异常的小盒所在的条盒，并统计剔除条盒的数量。</w:t>
      </w:r>
    </w:p>
    <w:p w14:paraId="23FE475A">
      <w:pPr>
        <w:pStyle w:val="13"/>
        <w:tabs>
          <w:tab w:val="left" w:pos="1296"/>
        </w:tabs>
        <w:rPr>
          <w:rFonts w:ascii="宋体" w:hAnsi="宋体" w:cs="宋体"/>
        </w:rPr>
      </w:pPr>
      <w:bookmarkStart w:id="156" w:name="_Toc130220679"/>
      <w:r>
        <w:rPr>
          <w:rFonts w:hint="eastAsia" w:ascii="宋体" w:hAnsi="宋体" w:cs="宋体"/>
        </w:rPr>
        <w:t>关联校验工位</w:t>
      </w:r>
      <w:bookmarkEnd w:id="156"/>
    </w:p>
    <w:p w14:paraId="462E5EA4">
      <w:pPr>
        <w:ind w:firstLine="480" w:firstLineChars="200"/>
        <w:rPr>
          <w:rFonts w:hint="eastAsia" w:ascii="宋体" w:hAnsi="宋体" w:cs="宋体"/>
          <w:bCs/>
          <w:szCs w:val="24"/>
        </w:rPr>
      </w:pPr>
      <w:r>
        <w:rPr>
          <w:rFonts w:hint="eastAsia" w:ascii="宋体" w:hAnsi="宋体" w:cs="宋体"/>
          <w:bCs/>
          <w:szCs w:val="24"/>
        </w:rPr>
        <w:t>“盒条”关联现场关联</w:t>
      </w:r>
      <w:r>
        <w:rPr>
          <w:rFonts w:hint="eastAsia" w:ascii="宋体" w:hAnsi="宋体" w:cs="宋体"/>
        </w:rPr>
        <w:t>校验工位，由于小盒二维码的朝向不同，使得固定读码器</w:t>
      </w:r>
      <w:r>
        <w:rPr>
          <w:rFonts w:hint="eastAsia" w:ascii="宋体" w:hAnsi="宋体" w:cs="宋体"/>
          <w:bCs/>
          <w:szCs w:val="24"/>
        </w:rPr>
        <w:t>安装的位置有两种方案。</w:t>
      </w:r>
    </w:p>
    <w:p w14:paraId="3C1FA95F">
      <w:pPr>
        <w:pStyle w:val="114"/>
        <w:numPr>
          <w:ilvl w:val="0"/>
          <w:numId w:val="16"/>
        </w:numPr>
        <w:ind w:firstLineChars="0"/>
      </w:pPr>
      <w:r>
        <w:rPr>
          <w:rFonts w:ascii="宋体" w:hAnsi="宋体" w:cs="宋体"/>
          <w:bCs/>
          <w:szCs w:val="24"/>
        </w:rPr>
        <w:t>对于</w:t>
      </w:r>
      <w:r>
        <w:rPr>
          <w:rFonts w:hint="eastAsia" w:ascii="宋体" w:hAnsi="宋体" w:cs="宋体"/>
          <w:bCs/>
          <w:szCs w:val="24"/>
          <w:lang w:val="en-US" w:eastAsia="zh-CN"/>
        </w:rPr>
        <w:t>推包入条处</w:t>
      </w:r>
      <w:r>
        <w:rPr>
          <w:rFonts w:ascii="宋体" w:hAnsi="宋体" w:cs="宋体"/>
          <w:bCs/>
          <w:szCs w:val="24"/>
        </w:rPr>
        <w:t>小盒B面二维码朝</w:t>
      </w:r>
      <w:r>
        <w:rPr>
          <w:rFonts w:hint="eastAsia" w:ascii="宋体" w:hAnsi="宋体" w:cs="宋体"/>
          <w:bCs/>
          <w:szCs w:val="24"/>
        </w:rPr>
        <w:t>向CH</w:t>
      </w:r>
    </w:p>
    <w:p w14:paraId="2B29F3D3">
      <w:pPr>
        <w:ind w:firstLine="480" w:firstLineChars="200"/>
        <w:rPr>
          <w:rFonts w:ascii="宋体" w:hAnsi="宋体" w:cs="宋体"/>
        </w:rPr>
      </w:pPr>
      <w:r>
        <w:rPr>
          <w:rFonts w:ascii="宋体" w:hAnsi="宋体" w:cs="宋体"/>
          <w:bCs/>
          <w:szCs w:val="24"/>
        </w:rPr>
        <w:t>若小盒双包在推包入条处</w:t>
      </w:r>
      <w:r>
        <w:rPr>
          <w:rFonts w:hint="eastAsia" w:ascii="宋体" w:hAnsi="宋体" w:cs="宋体"/>
          <w:bCs/>
          <w:szCs w:val="24"/>
        </w:rPr>
        <w:t>，</w:t>
      </w:r>
      <w:r>
        <w:rPr>
          <w:rFonts w:ascii="宋体" w:hAnsi="宋体" w:cs="宋体"/>
          <w:bCs/>
          <w:szCs w:val="24"/>
        </w:rPr>
        <w:t>小盒B面二维码朝</w:t>
      </w:r>
      <w:r>
        <w:rPr>
          <w:rFonts w:hint="eastAsia" w:ascii="宋体" w:hAnsi="宋体" w:cs="宋体"/>
          <w:bCs/>
          <w:szCs w:val="24"/>
        </w:rPr>
        <w:t>向CH。关联校验读码器需安装在CT条烟成型通道靠近CH一侧，</w:t>
      </w:r>
      <w:r>
        <w:rPr>
          <w:rFonts w:hint="eastAsia" w:ascii="宋体" w:hAnsi="宋体" w:cs="宋体"/>
        </w:rPr>
        <w:t>对小盒B面二维码采集。</w:t>
      </w:r>
    </w:p>
    <w:p w14:paraId="477803F0">
      <w:pPr>
        <w:pStyle w:val="2"/>
        <w:tabs>
          <w:tab w:val="left" w:pos="5580"/>
        </w:tabs>
        <w:ind w:left="307" w:leftChars="0" w:hanging="307" w:hangingChars="171"/>
        <w:jc w:val="center"/>
      </w:pPr>
      <w:r>
        <w:drawing>
          <wp:inline distT="0" distB="0" distL="114300" distR="114300">
            <wp:extent cx="3564890" cy="2443480"/>
            <wp:effectExtent l="0" t="0" r="16510" b="1397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38"/>
                    <a:stretch>
                      <a:fillRect/>
                    </a:stretch>
                  </pic:blipFill>
                  <pic:spPr>
                    <a:xfrm>
                      <a:off x="0" y="0"/>
                      <a:ext cx="3564890" cy="2443480"/>
                    </a:xfrm>
                    <a:prstGeom prst="rect">
                      <a:avLst/>
                    </a:prstGeom>
                    <a:noFill/>
                    <a:ln>
                      <a:noFill/>
                    </a:ln>
                  </pic:spPr>
                </pic:pic>
              </a:graphicData>
            </a:graphic>
          </wp:inline>
        </w:drawing>
      </w:r>
    </w:p>
    <w:p w14:paraId="68B6F3F7">
      <w:pPr>
        <w:pStyle w:val="2"/>
        <w:tabs>
          <w:tab w:val="left" w:pos="5580"/>
        </w:tabs>
        <w:ind w:left="0" w:leftChars="0" w:firstLine="0" w:firstLineChars="0"/>
        <w:jc w:val="center"/>
        <w:rPr>
          <w:rFonts w:hint="eastAsia" w:eastAsia="宋体"/>
          <w:lang w:val="en-US" w:eastAsia="zh-CN"/>
        </w:rPr>
      </w:pPr>
      <w:r>
        <w:rPr>
          <w:rFonts w:hint="eastAsia" w:ascii="宋体" w:hAnsi="宋体" w:eastAsia="宋体" w:cs="宋体"/>
          <w:bCs/>
          <w:sz w:val="24"/>
          <w:szCs w:val="24"/>
        </w:rPr>
        <w:t>图：盒条关联校验方案</w:t>
      </w:r>
      <w:r>
        <w:rPr>
          <w:rFonts w:hint="eastAsia" w:ascii="宋体" w:hAnsi="宋体" w:eastAsia="宋体" w:cs="宋体"/>
          <w:bCs/>
          <w:sz w:val="24"/>
          <w:szCs w:val="24"/>
          <w:lang w:val="en-US" w:eastAsia="zh-CN"/>
        </w:rPr>
        <w:t>1</w:t>
      </w:r>
    </w:p>
    <w:p w14:paraId="2508EF85">
      <w:pPr>
        <w:pStyle w:val="114"/>
        <w:numPr>
          <w:ilvl w:val="0"/>
          <w:numId w:val="16"/>
        </w:numPr>
        <w:ind w:firstLineChars="0"/>
        <w:rPr>
          <w:rFonts w:ascii="宋体" w:hAnsi="宋体" w:cs="宋体"/>
          <w:bCs/>
          <w:szCs w:val="24"/>
        </w:rPr>
      </w:pPr>
      <w:r>
        <w:rPr>
          <w:rFonts w:ascii="宋体" w:hAnsi="宋体" w:cs="宋体"/>
          <w:bCs/>
          <w:szCs w:val="24"/>
        </w:rPr>
        <w:t>对于</w:t>
      </w:r>
      <w:r>
        <w:rPr>
          <w:rFonts w:hint="eastAsia" w:ascii="宋体" w:hAnsi="宋体" w:cs="宋体"/>
          <w:bCs/>
          <w:szCs w:val="24"/>
          <w:lang w:val="en-US" w:eastAsia="zh-CN"/>
        </w:rPr>
        <w:t>推包入条处</w:t>
      </w:r>
      <w:r>
        <w:rPr>
          <w:rFonts w:ascii="宋体" w:hAnsi="宋体" w:cs="宋体"/>
          <w:bCs/>
          <w:szCs w:val="24"/>
        </w:rPr>
        <w:t>小盒B面二维码</w:t>
      </w:r>
      <w:r>
        <w:rPr>
          <w:rFonts w:hint="eastAsia" w:ascii="宋体" w:hAnsi="宋体" w:cs="宋体"/>
          <w:bCs/>
          <w:szCs w:val="24"/>
          <w:lang w:val="en-US" w:eastAsia="zh-CN"/>
        </w:rPr>
        <w:t>背</w:t>
      </w:r>
      <w:r>
        <w:rPr>
          <w:rFonts w:hint="eastAsia" w:ascii="宋体" w:hAnsi="宋体" w:cs="宋体"/>
          <w:bCs/>
          <w:szCs w:val="24"/>
        </w:rPr>
        <w:t>向CH</w:t>
      </w:r>
    </w:p>
    <w:p w14:paraId="12A882D2">
      <w:pPr>
        <w:ind w:firstLine="480" w:firstLineChars="200"/>
        <w:rPr>
          <w:rFonts w:ascii="宋体" w:hAnsi="宋体" w:cs="宋体"/>
        </w:rPr>
      </w:pPr>
      <w:r>
        <w:rPr>
          <w:rFonts w:ascii="宋体" w:hAnsi="宋体" w:cs="宋体"/>
          <w:bCs/>
          <w:szCs w:val="24"/>
        </w:rPr>
        <w:t>若小盒双包在推包入条处</w:t>
      </w:r>
      <w:r>
        <w:rPr>
          <w:rFonts w:hint="eastAsia" w:ascii="宋体" w:hAnsi="宋体" w:cs="宋体"/>
          <w:bCs/>
          <w:szCs w:val="24"/>
        </w:rPr>
        <w:t>，</w:t>
      </w:r>
      <w:r>
        <w:rPr>
          <w:rFonts w:ascii="宋体" w:hAnsi="宋体" w:cs="宋体"/>
          <w:bCs/>
          <w:szCs w:val="24"/>
        </w:rPr>
        <w:t>小盒B面二维码</w:t>
      </w:r>
      <w:r>
        <w:rPr>
          <w:rFonts w:hint="eastAsia" w:ascii="宋体" w:hAnsi="宋体" w:cs="宋体"/>
          <w:bCs/>
          <w:szCs w:val="24"/>
        </w:rPr>
        <w:t>背向CH。关联校验读码器需安装在CT条烟成型通道靠近CV上料一侧，</w:t>
      </w:r>
      <w:r>
        <w:rPr>
          <w:rFonts w:hint="eastAsia" w:ascii="宋体" w:hAnsi="宋体" w:cs="宋体"/>
        </w:rPr>
        <w:t>对小盒B面二维码采集。</w:t>
      </w:r>
    </w:p>
    <w:p w14:paraId="5DBDD4E9">
      <w:pPr>
        <w:ind w:firstLine="480"/>
        <w:rPr>
          <w:rFonts w:ascii="宋体" w:hAnsi="宋体" w:cs="宋体"/>
        </w:rPr>
      </w:pPr>
      <w:r>
        <w:rPr>
          <w:rFonts w:ascii="宋体" w:hAnsi="宋体" w:cs="宋体"/>
        </w:rPr>
        <w:t>在当前工位</w:t>
      </w:r>
      <w:r>
        <w:rPr>
          <w:rFonts w:hint="eastAsia" w:ascii="宋体" w:hAnsi="宋体" w:cs="宋体"/>
        </w:rPr>
        <w:t>当小盒二维码识别与预期不符时，“盒条”关联现场管理子系统将信号反馈给包装机程序，控制包装机条盒剔除工位剔除扫码异常的小盒所在的条盒，并统计剔除条盒的数量。</w:t>
      </w:r>
    </w:p>
    <w:p w14:paraId="007347D1">
      <w:pPr>
        <w:pStyle w:val="2"/>
        <w:tabs>
          <w:tab w:val="left" w:pos="5580"/>
        </w:tabs>
        <w:ind w:left="307" w:leftChars="0" w:hanging="307" w:hangingChars="171"/>
        <w:jc w:val="center"/>
      </w:pPr>
      <w:r>
        <w:drawing>
          <wp:inline distT="0" distB="0" distL="114300" distR="114300">
            <wp:extent cx="3567430" cy="1860550"/>
            <wp:effectExtent l="0" t="0" r="13970" b="6350"/>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39"/>
                    <a:stretch>
                      <a:fillRect/>
                    </a:stretch>
                  </pic:blipFill>
                  <pic:spPr>
                    <a:xfrm>
                      <a:off x="0" y="0"/>
                      <a:ext cx="3567430" cy="1860550"/>
                    </a:xfrm>
                    <a:prstGeom prst="rect">
                      <a:avLst/>
                    </a:prstGeom>
                    <a:noFill/>
                    <a:ln>
                      <a:noFill/>
                    </a:ln>
                  </pic:spPr>
                </pic:pic>
              </a:graphicData>
            </a:graphic>
          </wp:inline>
        </w:drawing>
      </w:r>
    </w:p>
    <w:p w14:paraId="75327696">
      <w:pPr>
        <w:pStyle w:val="2"/>
        <w:tabs>
          <w:tab w:val="left" w:pos="5580"/>
        </w:tabs>
        <w:ind w:left="0" w:leftChars="0" w:firstLine="0" w:firstLineChars="0"/>
        <w:jc w:val="center"/>
        <w:rPr>
          <w:rFonts w:hint="eastAsia" w:eastAsia="宋体"/>
          <w:lang w:val="en-US" w:eastAsia="zh-CN"/>
        </w:rPr>
      </w:pPr>
      <w:r>
        <w:rPr>
          <w:rFonts w:hint="eastAsia" w:ascii="宋体" w:hAnsi="宋体" w:eastAsia="宋体" w:cs="宋体"/>
          <w:bCs/>
          <w:sz w:val="24"/>
          <w:szCs w:val="24"/>
        </w:rPr>
        <w:t>图：盒条关联校验方案</w:t>
      </w:r>
      <w:r>
        <w:rPr>
          <w:rFonts w:hint="eastAsia" w:ascii="宋体" w:hAnsi="宋体" w:eastAsia="宋体" w:cs="宋体"/>
          <w:bCs/>
          <w:sz w:val="24"/>
          <w:szCs w:val="24"/>
          <w:lang w:val="en-US" w:eastAsia="zh-CN"/>
        </w:rPr>
        <w:t>2</w:t>
      </w:r>
    </w:p>
    <w:p w14:paraId="15A1AF5F">
      <w:pPr>
        <w:pStyle w:val="13"/>
        <w:tabs>
          <w:tab w:val="left" w:pos="1296"/>
        </w:tabs>
        <w:rPr>
          <w:rFonts w:ascii="宋体" w:hAnsi="宋体" w:cs="宋体"/>
        </w:rPr>
      </w:pPr>
      <w:bookmarkStart w:id="157" w:name="_Toc130220680"/>
      <w:r>
        <w:rPr>
          <w:rFonts w:hint="eastAsia" w:ascii="宋体" w:hAnsi="宋体" w:cs="宋体"/>
          <w:szCs w:val="24"/>
        </w:rPr>
        <w:t>条烟读码</w:t>
      </w:r>
      <w:r>
        <w:rPr>
          <w:rFonts w:hint="eastAsia" w:ascii="宋体" w:hAnsi="宋体" w:cs="宋体"/>
        </w:rPr>
        <w:t>工位</w:t>
      </w:r>
      <w:bookmarkEnd w:id="157"/>
    </w:p>
    <w:p w14:paraId="1D1F6359">
      <w:pPr>
        <w:ind w:firstLine="480" w:firstLineChars="200"/>
        <w:rPr>
          <w:rFonts w:ascii="宋体" w:hAnsi="宋体" w:cs="宋体"/>
          <w:bCs/>
          <w:szCs w:val="24"/>
        </w:rPr>
      </w:pPr>
      <w:r>
        <w:rPr>
          <w:rFonts w:hint="eastAsia" w:ascii="宋体" w:hAnsi="宋体" w:cs="宋体"/>
          <w:bCs/>
          <w:szCs w:val="24"/>
        </w:rPr>
        <w:t>“盒条”关联现场条烟</w:t>
      </w:r>
      <w:r>
        <w:rPr>
          <w:rFonts w:hint="eastAsia" w:ascii="宋体" w:hAnsi="宋体" w:cs="宋体"/>
        </w:rPr>
        <w:t>读码工位，</w:t>
      </w:r>
      <w:r>
        <w:rPr>
          <w:rFonts w:hint="eastAsia" w:ascii="宋体" w:hAnsi="宋体" w:cs="宋体"/>
          <w:bCs/>
          <w:szCs w:val="24"/>
        </w:rPr>
        <w:t>安装在CT出烟轨道上方，</w:t>
      </w:r>
      <w:r>
        <w:rPr>
          <w:rFonts w:hint="eastAsia" w:ascii="宋体" w:hAnsi="宋体" w:cs="宋体"/>
        </w:rPr>
        <w:t>对下落的条烟包装纸C面二维码采集。</w:t>
      </w:r>
    </w:p>
    <w:p w14:paraId="7A8BB710">
      <w:pPr>
        <w:ind w:firstLine="480"/>
        <w:rPr>
          <w:rFonts w:ascii="宋体" w:hAnsi="宋体" w:cs="宋体"/>
          <w:b/>
          <w:bCs/>
          <w:szCs w:val="24"/>
        </w:rPr>
      </w:pPr>
      <w:r>
        <w:rPr>
          <w:rFonts w:ascii="宋体" w:hAnsi="宋体" w:cs="宋体"/>
        </w:rPr>
        <w:t>在当前工位</w:t>
      </w:r>
      <w:r>
        <w:rPr>
          <w:rFonts w:hint="eastAsia" w:ascii="宋体" w:hAnsi="宋体" w:cs="宋体"/>
        </w:rPr>
        <w:t>当条烟二维码识别异常时，“盒条”关联现场管理子系统将信号反馈给包装机程序，控制包装机条盒剔除工位剔除扫码异常的条盒，并统计剔除条盒的数量。</w:t>
      </w:r>
    </w:p>
    <w:p w14:paraId="0BFCDBA9">
      <w:pPr>
        <w:jc w:val="center"/>
      </w:pPr>
      <w:r>
        <w:drawing>
          <wp:inline distT="0" distB="0" distL="114300" distR="114300">
            <wp:extent cx="4277360" cy="2322830"/>
            <wp:effectExtent l="0" t="0" r="8890" b="1270"/>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
                    <pic:cNvPicPr>
                      <a:picLocks noChangeAspect="1"/>
                    </pic:cNvPicPr>
                  </pic:nvPicPr>
                  <pic:blipFill>
                    <a:blip r:embed="rId40"/>
                    <a:stretch>
                      <a:fillRect/>
                    </a:stretch>
                  </pic:blipFill>
                  <pic:spPr>
                    <a:xfrm>
                      <a:off x="0" y="0"/>
                      <a:ext cx="4277360" cy="2322830"/>
                    </a:xfrm>
                    <a:prstGeom prst="rect">
                      <a:avLst/>
                    </a:prstGeom>
                    <a:noFill/>
                    <a:ln>
                      <a:noFill/>
                    </a:ln>
                  </pic:spPr>
                </pic:pic>
              </a:graphicData>
            </a:graphic>
          </wp:inline>
        </w:drawing>
      </w:r>
    </w:p>
    <w:p w14:paraId="3A40ADBA">
      <w:pPr>
        <w:pStyle w:val="2"/>
        <w:tabs>
          <w:tab w:val="left" w:pos="5580"/>
        </w:tabs>
        <w:ind w:left="0" w:leftChars="0" w:firstLine="0" w:firstLineChars="0"/>
        <w:jc w:val="center"/>
        <w:rPr>
          <w:rFonts w:eastAsia="宋体"/>
        </w:rPr>
      </w:pPr>
      <w:r>
        <w:rPr>
          <w:rFonts w:hint="eastAsia" w:ascii="宋体" w:hAnsi="宋体" w:eastAsia="宋体" w:cs="宋体"/>
          <w:bCs/>
          <w:sz w:val="24"/>
          <w:szCs w:val="24"/>
        </w:rPr>
        <w:t>图：条盒读码工位方案</w:t>
      </w:r>
    </w:p>
    <w:p w14:paraId="010E931C">
      <w:pPr>
        <w:pStyle w:val="12"/>
        <w:tabs>
          <w:tab w:val="left" w:pos="432"/>
          <w:tab w:val="left" w:pos="1296"/>
        </w:tabs>
        <w:rPr>
          <w:rFonts w:ascii="宋体" w:hAnsi="宋体" w:cs="宋体"/>
        </w:rPr>
      </w:pPr>
      <w:bookmarkStart w:id="158" w:name="_Toc130220681"/>
      <w:bookmarkStart w:id="159" w:name="_Toc1879206961"/>
      <w:r>
        <w:rPr>
          <w:rFonts w:hint="eastAsia" w:ascii="宋体" w:hAnsi="宋体" w:cs="宋体"/>
        </w:rPr>
        <w:t>相关设备改造</w:t>
      </w:r>
      <w:bookmarkEnd w:id="158"/>
      <w:bookmarkEnd w:id="159"/>
    </w:p>
    <w:p w14:paraId="7EB7806E">
      <w:pPr>
        <w:pStyle w:val="13"/>
        <w:tabs>
          <w:tab w:val="left" w:pos="1296"/>
        </w:tabs>
        <w:rPr>
          <w:rFonts w:ascii="宋体" w:hAnsi="宋体" w:cs="宋体"/>
        </w:rPr>
      </w:pPr>
      <w:bookmarkStart w:id="160" w:name="_Toc130220682"/>
      <w:r>
        <w:rPr>
          <w:rFonts w:hint="eastAsia" w:ascii="宋体" w:hAnsi="宋体" w:cs="宋体"/>
          <w:lang w:val="en-US" w:eastAsia="zh-CN"/>
        </w:rPr>
        <w:t>小盒输送轨道上方护板</w:t>
      </w:r>
      <w:r>
        <w:rPr>
          <w:rFonts w:hint="eastAsia" w:ascii="宋体" w:hAnsi="宋体" w:cs="宋体"/>
        </w:rPr>
        <w:t>改造</w:t>
      </w:r>
      <w:bookmarkEnd w:id="160"/>
    </w:p>
    <w:p w14:paraId="53A9554F">
      <w:pPr>
        <w:ind w:firstLine="480" w:firstLineChars="200"/>
        <w:rPr>
          <w:rFonts w:hint="eastAsia" w:ascii="宋体" w:hAnsi="宋体" w:cs="宋体"/>
          <w:bCs/>
          <w:szCs w:val="24"/>
        </w:rPr>
      </w:pPr>
      <w:r>
        <w:rPr>
          <w:rFonts w:hint="eastAsia" w:ascii="宋体" w:hAnsi="宋体" w:cs="宋体"/>
          <w:bCs/>
          <w:szCs w:val="24"/>
        </w:rPr>
        <w:t>若小盒二维码</w:t>
      </w:r>
      <w:r>
        <w:rPr>
          <w:rFonts w:hint="eastAsia" w:ascii="宋体" w:hAnsi="宋体" w:cs="宋体"/>
          <w:bCs/>
          <w:szCs w:val="24"/>
          <w:lang w:val="en-US" w:eastAsia="zh-CN"/>
        </w:rPr>
        <w:t>在CH入口拐角处朝向盒透方向</w:t>
      </w:r>
      <w:r>
        <w:rPr>
          <w:rFonts w:hint="eastAsia" w:ascii="宋体" w:hAnsi="宋体" w:cs="宋体"/>
          <w:bCs/>
          <w:szCs w:val="24"/>
        </w:rPr>
        <w:t>，</w:t>
      </w:r>
      <w:r>
        <w:rPr>
          <w:rFonts w:hint="eastAsia" w:ascii="宋体" w:hAnsi="宋体" w:cs="宋体"/>
          <w:bCs/>
          <w:szCs w:val="24"/>
          <w:lang w:val="en-US" w:eastAsia="zh-CN"/>
        </w:rPr>
        <w:t>且小盒输送通道有护板遮挡小盒B面二维码，</w:t>
      </w:r>
      <w:r>
        <w:rPr>
          <w:rFonts w:hint="eastAsia" w:ascii="宋体" w:hAnsi="宋体" w:cs="宋体"/>
          <w:bCs/>
          <w:szCs w:val="24"/>
        </w:rPr>
        <w:t>则需要改造</w:t>
      </w:r>
      <w:r>
        <w:rPr>
          <w:rFonts w:hint="eastAsia" w:ascii="宋体" w:hAnsi="宋体" w:cs="宋体"/>
          <w:bCs/>
          <w:szCs w:val="24"/>
          <w:lang w:val="en-US" w:eastAsia="zh-CN"/>
        </w:rPr>
        <w:t>小盒输送通道起始位</w:t>
      </w:r>
      <w:r>
        <w:rPr>
          <w:rFonts w:hint="eastAsia" w:ascii="宋体" w:hAnsi="宋体" w:cs="宋体"/>
          <w:bCs/>
          <w:szCs w:val="24"/>
        </w:rPr>
        <w:t>护板，</w:t>
      </w:r>
      <w:r>
        <w:rPr>
          <w:rFonts w:hint="eastAsia" w:ascii="宋体" w:hAnsi="宋体" w:cs="宋体"/>
          <w:bCs/>
          <w:szCs w:val="24"/>
          <w:lang w:val="en-US" w:eastAsia="zh-CN"/>
        </w:rPr>
        <w:t>对护板进行开槽</w:t>
      </w:r>
      <w:r>
        <w:rPr>
          <w:rFonts w:hint="eastAsia" w:ascii="宋体" w:hAnsi="宋体" w:cs="宋体"/>
          <w:bCs/>
          <w:szCs w:val="24"/>
        </w:rPr>
        <w:t>，以便于盒烟</w:t>
      </w:r>
      <w:r>
        <w:rPr>
          <w:rFonts w:hint="eastAsia" w:ascii="宋体" w:hAnsi="宋体" w:cs="宋体"/>
          <w:bCs/>
          <w:szCs w:val="24"/>
          <w:lang w:val="en-US" w:eastAsia="zh-CN"/>
        </w:rPr>
        <w:t>品检</w:t>
      </w:r>
      <w:r>
        <w:rPr>
          <w:rFonts w:hint="eastAsia" w:ascii="宋体" w:hAnsi="宋体" w:cs="宋体"/>
          <w:bCs/>
          <w:szCs w:val="24"/>
        </w:rPr>
        <w:t>读码器</w:t>
      </w:r>
      <w:r>
        <w:rPr>
          <w:rFonts w:hint="eastAsia" w:ascii="宋体" w:hAnsi="宋体" w:cs="宋体"/>
          <w:bCs/>
          <w:szCs w:val="24"/>
          <w:lang w:val="en-US" w:eastAsia="zh-CN"/>
        </w:rPr>
        <w:t>对小盒二维码的读取</w:t>
      </w:r>
      <w:r>
        <w:rPr>
          <w:rFonts w:hint="eastAsia" w:ascii="宋体" w:hAnsi="宋体" w:cs="宋体"/>
          <w:bCs/>
          <w:szCs w:val="24"/>
        </w:rPr>
        <w:t>。</w:t>
      </w:r>
    </w:p>
    <w:p w14:paraId="6819172E">
      <w:pPr>
        <w:pStyle w:val="13"/>
        <w:tabs>
          <w:tab w:val="left" w:pos="1296"/>
        </w:tabs>
        <w:rPr>
          <w:rFonts w:ascii="宋体" w:hAnsi="宋体" w:cs="宋体"/>
        </w:rPr>
      </w:pPr>
      <w:r>
        <w:rPr>
          <w:rFonts w:hint="eastAsia" w:ascii="宋体" w:hAnsi="宋体" w:cs="宋体"/>
        </w:rPr>
        <w:t>补烟器下方改造</w:t>
      </w:r>
    </w:p>
    <w:p w14:paraId="6B45080F">
      <w:pPr>
        <w:ind w:firstLine="480" w:firstLineChars="200"/>
      </w:pPr>
      <w:r>
        <w:rPr>
          <w:rFonts w:hint="eastAsia" w:ascii="宋体" w:hAnsi="宋体" w:cs="宋体"/>
          <w:bCs/>
          <w:szCs w:val="24"/>
        </w:rPr>
        <w:t>若小盒二维码</w:t>
      </w:r>
      <w:r>
        <w:rPr>
          <w:rFonts w:hint="eastAsia" w:ascii="宋体" w:hAnsi="宋体" w:cs="宋体"/>
          <w:bCs/>
          <w:szCs w:val="24"/>
          <w:lang w:val="en-US" w:eastAsia="zh-CN"/>
        </w:rPr>
        <w:t>在CH出口转轮处</w:t>
      </w:r>
      <w:r>
        <w:rPr>
          <w:rFonts w:hint="eastAsia" w:ascii="宋体" w:hAnsi="宋体" w:cs="宋体"/>
          <w:bCs/>
          <w:szCs w:val="24"/>
        </w:rPr>
        <w:t>朝向马耳他轮外侧，则需要改造补烟器下方的马耳他轮护板，更换带有读码孔位的护板，以便于盒烟读码器的安装。</w:t>
      </w:r>
    </w:p>
    <w:p w14:paraId="57560AF4">
      <w:pPr>
        <w:pStyle w:val="12"/>
        <w:tabs>
          <w:tab w:val="left" w:pos="432"/>
          <w:tab w:val="left" w:pos="1296"/>
        </w:tabs>
        <w:rPr>
          <w:rFonts w:ascii="宋体" w:hAnsi="宋体" w:cs="宋体"/>
        </w:rPr>
      </w:pPr>
      <w:bookmarkStart w:id="161" w:name="_Toc130220683"/>
      <w:bookmarkStart w:id="162" w:name="_Toc1496441746"/>
      <w:r>
        <w:rPr>
          <w:rFonts w:hint="eastAsia" w:ascii="宋体" w:hAnsi="宋体" w:cs="宋体"/>
        </w:rPr>
        <w:t>关联控制原理</w:t>
      </w:r>
      <w:bookmarkEnd w:id="161"/>
      <w:bookmarkEnd w:id="162"/>
    </w:p>
    <w:p w14:paraId="275081B7">
      <w:pPr>
        <w:numPr>
          <w:ilvl w:val="0"/>
          <w:numId w:val="17"/>
        </w:numPr>
        <w:ind w:left="0" w:firstLine="480"/>
        <w:rPr>
          <w:rFonts w:ascii="宋体" w:hAnsi="宋体" w:cs="宋体"/>
          <w:bCs/>
          <w:szCs w:val="24"/>
        </w:rPr>
      </w:pPr>
      <w:r>
        <w:rPr>
          <w:rFonts w:hint="eastAsia" w:ascii="宋体" w:hAnsi="宋体" w:cs="宋体"/>
          <w:bCs/>
          <w:szCs w:val="24"/>
        </w:rPr>
        <w:t>小盒品检工位控制原理：小盒单包运行到转向位置，通过包装机程序获得小盒对应的工序号和相位位置，触发小盒B面二维码品检工位读码器读码，读码正确通过，读码失败经过包装机程序控制小盒剔除工位剔除小盒。</w:t>
      </w:r>
    </w:p>
    <w:p w14:paraId="604E6B7A">
      <w:pPr>
        <w:numPr>
          <w:ilvl w:val="0"/>
          <w:numId w:val="17"/>
        </w:numPr>
        <w:ind w:left="0" w:firstLine="480"/>
        <w:rPr>
          <w:rFonts w:ascii="宋体" w:hAnsi="宋体" w:cs="宋体"/>
          <w:bCs/>
          <w:szCs w:val="24"/>
        </w:rPr>
      </w:pPr>
      <w:r>
        <w:rPr>
          <w:rFonts w:hint="eastAsia" w:ascii="宋体" w:hAnsi="宋体" w:cs="宋体"/>
          <w:bCs/>
          <w:szCs w:val="24"/>
        </w:rPr>
        <w:t>小盒读码工位控制原理：在马耳他轮补烟器位置，通过烟机相位获得双包到位信号，触发盒烟读码器采集双包二维码。读码正确，则将读取的二维码传入盒条件关联子系统形成小盒二维码逻辑队列，准备与采集的条烟二维码建立关联。若双包中任何一包读码失败则经过包装机程序控制条盒剔除工位剔除该盒所对应的前一条条烟。</w:t>
      </w:r>
    </w:p>
    <w:p w14:paraId="7922FC40">
      <w:pPr>
        <w:numPr>
          <w:ilvl w:val="0"/>
          <w:numId w:val="17"/>
        </w:numPr>
        <w:ind w:left="0" w:firstLine="480"/>
        <w:rPr>
          <w:rFonts w:hint="eastAsia" w:ascii="宋体" w:hAnsi="宋体" w:eastAsia="宋体" w:cs="宋体"/>
          <w:bCs/>
          <w:szCs w:val="24"/>
        </w:rPr>
      </w:pPr>
      <w:r>
        <w:rPr>
          <w:rFonts w:hint="eastAsia" w:ascii="宋体" w:hAnsi="宋体" w:eastAsia="宋体" w:cs="宋体"/>
          <w:bCs/>
          <w:szCs w:val="24"/>
        </w:rPr>
        <w:t>“盒条”关联校验工位控制原理：在推盒入条的位置，通过传感器感应到条盒或者通过程序获得推盒入条的触发信号，触发小盒B面二维码盒条关联校验采集读码器读码，读码正确并判断是否属于该条盒序列的最后两个二维码，正确则通过，读码失败或者序列顺序不一致则经过包装机程序控制条盒剔除工位剔除该盒所对应的前一条。如果连续三次都是序列顺序不一致，则报警停机，清空小盒队列，重新开机。</w:t>
      </w:r>
    </w:p>
    <w:p w14:paraId="2D5A2128">
      <w:pPr>
        <w:numPr>
          <w:ilvl w:val="0"/>
          <w:numId w:val="17"/>
        </w:numPr>
        <w:ind w:left="0" w:firstLine="480"/>
        <w:rPr>
          <w:rFonts w:hint="eastAsia" w:ascii="宋体" w:hAnsi="宋体" w:eastAsia="宋体" w:cs="宋体"/>
          <w:bCs/>
          <w:szCs w:val="24"/>
          <w:lang w:val="en-US" w:eastAsia="zh-CN"/>
        </w:rPr>
      </w:pPr>
      <w:r>
        <w:rPr>
          <w:rFonts w:hint="eastAsia" w:ascii="宋体" w:hAnsi="宋体" w:eastAsia="宋体" w:cs="宋体"/>
          <w:bCs/>
          <w:szCs w:val="24"/>
        </w:rPr>
        <w:t>条盒读码工位控制原理：在条盒纸落下的位置，通过包装机程序获得工序号和相位位置，触发条盒C面条码采集读码器读码，读码正确通过，读码失败经过包装机程序控制条盒剔除工位剔除该条盒。</w:t>
      </w:r>
    </w:p>
    <w:p w14:paraId="48BC41F9">
      <w:pPr>
        <w:rPr>
          <w:rFonts w:hint="eastAsia"/>
          <w:lang w:val="en-US" w:eastAsia="zh-CN"/>
        </w:rPr>
      </w:pPr>
      <w:r>
        <w:rPr>
          <w:rFonts w:hint="eastAsia"/>
          <w:lang w:val="en-US" w:eastAsia="zh-CN"/>
        </w:rPr>
        <w:br w:type="page"/>
      </w:r>
    </w:p>
    <w:p w14:paraId="25F1D5B5">
      <w:pPr>
        <w:pStyle w:val="2"/>
        <w:rPr>
          <w:rFonts w:hint="eastAsia"/>
          <w:lang w:val="en-US" w:eastAsia="zh-CN"/>
        </w:rPr>
      </w:pPr>
    </w:p>
    <w:p w14:paraId="22135237">
      <w:pPr>
        <w:pStyle w:val="10"/>
        <w:tabs>
          <w:tab w:val="left" w:pos="864"/>
        </w:tabs>
        <w:rPr>
          <w:rFonts w:hint="eastAsia" w:eastAsia="宋体"/>
          <w:lang w:val="en-US" w:eastAsia="zh-CN"/>
        </w:rPr>
      </w:pPr>
      <w:bookmarkStart w:id="163" w:name="_Toc1001192225"/>
      <w:bookmarkStart w:id="164" w:name="_Toc456268621"/>
      <w:r>
        <w:rPr>
          <w:rFonts w:hint="eastAsia" w:ascii="宋体" w:hAnsi="宋体" w:eastAsia="宋体" w:cs="Times New Roman"/>
          <w:lang w:val="en-US" w:eastAsia="zh-CN"/>
        </w:rPr>
        <w:t>电气控制集成</w:t>
      </w:r>
      <w:bookmarkEnd w:id="163"/>
      <w:bookmarkEnd w:id="164"/>
    </w:p>
    <w:p w14:paraId="75576E11">
      <w:pPr>
        <w:bidi w:val="0"/>
        <w:ind w:firstLine="420" w:firstLineChars="0"/>
      </w:pPr>
      <w:r>
        <w:rPr>
          <w:rFonts w:hint="eastAsia"/>
        </w:rPr>
        <w:t>本</w:t>
      </w:r>
      <w:r>
        <w:rPr>
          <w:rFonts w:hint="eastAsia"/>
          <w:lang w:eastAsia="zh-CN"/>
        </w:rPr>
        <w:t>方案电气控制</w:t>
      </w:r>
      <w:r>
        <w:rPr>
          <w:rFonts w:hint="eastAsia"/>
        </w:rPr>
        <w:t>由两组P</w:t>
      </w:r>
      <w:r>
        <w:t>LC</w:t>
      </w:r>
      <w:r>
        <w:rPr>
          <w:rFonts w:hint="eastAsia"/>
        </w:rPr>
        <w:t>共同组成，分别是西门子2</w:t>
      </w:r>
      <w:r>
        <w:t>00S</w:t>
      </w:r>
      <w:r>
        <w:rPr>
          <w:rFonts w:hint="eastAsia"/>
        </w:rPr>
        <w:t>mart</w:t>
      </w:r>
      <w:r>
        <w:t>&amp;1215C</w:t>
      </w:r>
      <w:r>
        <w:rPr>
          <w:rFonts w:hint="eastAsia"/>
        </w:rPr>
        <w:t>，其中2</w:t>
      </w:r>
      <w:r>
        <w:t>00S</w:t>
      </w:r>
      <w:r>
        <w:rPr>
          <w:rFonts w:hint="eastAsia"/>
        </w:rPr>
        <w:t>mart用来控制现场动作、</w:t>
      </w:r>
      <w:r>
        <w:t>1215C</w:t>
      </w:r>
      <w:r>
        <w:rPr>
          <w:rFonts w:hint="eastAsia"/>
        </w:rPr>
        <w:t>用来完成底层自动化数据与上层</w:t>
      </w:r>
      <w:r>
        <w:t>PC</w:t>
      </w:r>
      <w:r>
        <w:rPr>
          <w:rFonts w:hint="eastAsia"/>
        </w:rPr>
        <w:t>端的数据交互功能。</w:t>
      </w:r>
    </w:p>
    <w:p w14:paraId="3DC5EFEE">
      <w:pPr>
        <w:bidi w:val="0"/>
        <w:ind w:firstLine="420" w:firstLineChars="0"/>
      </w:pPr>
      <w:r>
        <w:rPr>
          <w:rFonts w:hint="eastAsia"/>
        </w:rPr>
        <w:t>因本</w:t>
      </w:r>
      <w:r>
        <w:rPr>
          <w:rFonts w:hint="eastAsia"/>
          <w:lang w:eastAsia="zh-CN"/>
        </w:rPr>
        <w:t>方案</w:t>
      </w:r>
      <w:r>
        <w:rPr>
          <w:rFonts w:hint="eastAsia"/>
        </w:rPr>
        <w:t>为包装机外挂设备，考虑与原机对接时的电源公共M点问题，使用两套2</w:t>
      </w:r>
      <w:r>
        <w:t>4VDC</w:t>
      </w:r>
      <w:r>
        <w:rPr>
          <w:rFonts w:hint="eastAsia"/>
        </w:rPr>
        <w:t>电源，一套由原机引出用于信号交接，一套由本设备自带的直流开关电源生成，用于供给本套设备内部用电系统。</w:t>
      </w:r>
    </w:p>
    <w:p w14:paraId="394FA1EB">
      <w:pPr>
        <w:bidi w:val="0"/>
        <w:ind w:firstLine="420" w:firstLineChars="0"/>
      </w:pPr>
      <w:r>
        <w:rPr>
          <w:rFonts w:hint="eastAsia"/>
        </w:rPr>
        <w:t>用于包装机拍照、关联、剔除的2</w:t>
      </w:r>
      <w:r>
        <w:t>00S</w:t>
      </w:r>
      <w:r>
        <w:rPr>
          <w:rFonts w:hint="eastAsia"/>
        </w:rPr>
        <w:t>mart和与上位机通讯的1</w:t>
      </w:r>
      <w:r>
        <w:t>215C</w:t>
      </w:r>
      <w:r>
        <w:rPr>
          <w:rFonts w:hint="eastAsia"/>
        </w:rPr>
        <w:t>的硬件信号交互均通过光耦通道进行隔离处理，保证两者电源不会相互干扰。</w:t>
      </w:r>
    </w:p>
    <w:p w14:paraId="5A76C1B1">
      <w:pPr>
        <w:bidi w:val="0"/>
        <w:ind w:firstLine="420" w:firstLineChars="0"/>
      </w:pPr>
      <w:r>
        <w:t>存在单台包装机双面读码状态时，电气柜内配置有双路读码器供电选择继电器。</w:t>
      </w:r>
    </w:p>
    <w:p w14:paraId="72B8B8FD">
      <w:pPr>
        <w:bidi w:val="0"/>
      </w:pPr>
    </w:p>
    <w:p w14:paraId="2A3A5822">
      <w:pPr>
        <w:pStyle w:val="12"/>
        <w:bidi w:val="0"/>
      </w:pPr>
      <w:bookmarkStart w:id="165" w:name="_Toc1796306568"/>
      <w:r>
        <w:rPr>
          <w:rFonts w:hint="eastAsia"/>
        </w:rPr>
        <w:t>配套</w:t>
      </w:r>
      <w:r>
        <w:rPr>
          <w:rFonts w:hint="eastAsia"/>
          <w:lang w:eastAsia="zh-CN"/>
        </w:rPr>
        <w:t>模块及集成</w:t>
      </w:r>
      <w:bookmarkEnd w:id="165"/>
    </w:p>
    <w:p w14:paraId="4DB91F65">
      <w:pPr>
        <w:bidi w:val="0"/>
        <w:ind w:firstLine="420" w:firstLineChars="0"/>
      </w:pPr>
      <w:r>
        <w:t>ZB45</w:t>
      </w:r>
      <w:r>
        <w:rPr>
          <w:rFonts w:hint="eastAsia"/>
        </w:rPr>
        <w:t>外挂机型二维码设备分为：2</w:t>
      </w:r>
      <w:r>
        <w:t>20VAC</w:t>
      </w:r>
      <w:r>
        <w:rPr>
          <w:rFonts w:hint="eastAsia"/>
        </w:rPr>
        <w:t>主供电部分、2</w:t>
      </w:r>
      <w:r>
        <w:t>4VDC</w:t>
      </w:r>
      <w:r>
        <w:rPr>
          <w:rFonts w:hint="eastAsia"/>
        </w:rPr>
        <w:t>直流供电部分、端子排部分、外接航插部分、交换机部分、光耦模组部分、P</w:t>
      </w:r>
      <w:r>
        <w:t>LC模组部分</w:t>
      </w:r>
      <w:r>
        <w:rPr>
          <w:rFonts w:hint="eastAsia"/>
        </w:rPr>
        <w:t>、读码器部分</w:t>
      </w:r>
      <w:r>
        <w:t>。</w:t>
      </w:r>
    </w:p>
    <w:p w14:paraId="18AF698B">
      <w:pPr>
        <w:pStyle w:val="13"/>
        <w:bidi w:val="0"/>
      </w:pPr>
      <w:r>
        <w:rPr>
          <w:rFonts w:hint="eastAsia"/>
          <w:lang w:val="en-US" w:eastAsia="zh-CN"/>
        </w:rPr>
        <w:t xml:space="preserve"> </w:t>
      </w:r>
      <w:r>
        <w:rPr>
          <w:rFonts w:hint="eastAsia"/>
        </w:rPr>
        <w:t>2</w:t>
      </w:r>
      <w:r>
        <w:t>20VAC主供电</w:t>
      </w:r>
      <w:r>
        <w:rPr>
          <w:rFonts w:hint="eastAsia"/>
        </w:rPr>
        <w:t>部分</w:t>
      </w:r>
    </w:p>
    <w:p w14:paraId="788BD386">
      <w:pPr>
        <w:bidi w:val="0"/>
      </w:pPr>
      <w:r>
        <w:drawing>
          <wp:inline distT="0" distB="0" distL="0" distR="0">
            <wp:extent cx="5041900" cy="2352675"/>
            <wp:effectExtent l="0" t="0" r="6350" b="9525"/>
            <wp:docPr id="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041900" cy="2352675"/>
                    </a:xfrm>
                    <a:prstGeom prst="rect">
                      <a:avLst/>
                    </a:prstGeom>
                    <a:noFill/>
                    <a:ln>
                      <a:noFill/>
                    </a:ln>
                  </pic:spPr>
                </pic:pic>
              </a:graphicData>
            </a:graphic>
          </wp:inline>
        </w:drawing>
      </w:r>
    </w:p>
    <w:p w14:paraId="359D426C">
      <w:pPr>
        <w:bidi w:val="0"/>
      </w:pPr>
      <w:r>
        <w:drawing>
          <wp:inline distT="0" distB="0" distL="0" distR="0">
            <wp:extent cx="5784850" cy="4152900"/>
            <wp:effectExtent l="0" t="0" r="6350" b="0"/>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84850" cy="4152900"/>
                    </a:xfrm>
                    <a:prstGeom prst="rect">
                      <a:avLst/>
                    </a:prstGeom>
                    <a:noFill/>
                    <a:ln>
                      <a:noFill/>
                    </a:ln>
                  </pic:spPr>
                </pic:pic>
              </a:graphicData>
            </a:graphic>
          </wp:inline>
        </w:drawing>
      </w:r>
    </w:p>
    <w:p w14:paraId="5B85B01B">
      <w:pPr>
        <w:pStyle w:val="13"/>
        <w:bidi w:val="0"/>
      </w:pPr>
      <w:r>
        <w:rPr>
          <w:rFonts w:hint="eastAsia"/>
          <w:lang w:val="en-US" w:eastAsia="zh-CN"/>
        </w:rPr>
        <w:t xml:space="preserve"> </w:t>
      </w:r>
      <w:r>
        <w:t>24VDC直流供电部分</w:t>
      </w:r>
    </w:p>
    <w:p w14:paraId="30850EA2">
      <w:pPr>
        <w:bidi w:val="0"/>
      </w:pPr>
      <w:r>
        <w:drawing>
          <wp:inline distT="0" distB="0" distL="0" distR="0">
            <wp:extent cx="6120130" cy="1701165"/>
            <wp:effectExtent l="0" t="0" r="13970" b="13335"/>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noChangeArrowheads="1"/>
                    </pic:cNvPicPr>
                  </pic:nvPicPr>
                  <pic:blipFill>
                    <a:blip r:embed="rId43">
                      <a:extLst>
                        <a:ext uri="{28A0092B-C50C-407E-A947-70E740481C1C}">
                          <a14:useLocalDpi xmlns:a14="http://schemas.microsoft.com/office/drawing/2010/main" val="0"/>
                        </a:ext>
                      </a:extLst>
                    </a:blip>
                    <a:srcRect t="4724" b="14716"/>
                    <a:stretch>
                      <a:fillRect/>
                    </a:stretch>
                  </pic:blipFill>
                  <pic:spPr>
                    <a:xfrm>
                      <a:off x="0" y="0"/>
                      <a:ext cx="6120130" cy="1701165"/>
                    </a:xfrm>
                    <a:prstGeom prst="rect">
                      <a:avLst/>
                    </a:prstGeom>
                    <a:noFill/>
                    <a:ln>
                      <a:noFill/>
                    </a:ln>
                  </pic:spPr>
                </pic:pic>
              </a:graphicData>
            </a:graphic>
          </wp:inline>
        </w:drawing>
      </w:r>
      <w:r>
        <w:drawing>
          <wp:inline distT="0" distB="0" distL="0" distR="0">
            <wp:extent cx="5784850" cy="4152900"/>
            <wp:effectExtent l="0" t="0" r="6350" b="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84850" cy="4152900"/>
                    </a:xfrm>
                    <a:prstGeom prst="rect">
                      <a:avLst/>
                    </a:prstGeom>
                    <a:noFill/>
                    <a:ln>
                      <a:noFill/>
                    </a:ln>
                  </pic:spPr>
                </pic:pic>
              </a:graphicData>
            </a:graphic>
          </wp:inline>
        </w:drawing>
      </w:r>
    </w:p>
    <w:p w14:paraId="022F21CC">
      <w:pPr>
        <w:pStyle w:val="13"/>
        <w:bidi w:val="0"/>
      </w:pPr>
      <w:r>
        <w:rPr>
          <w:rFonts w:hint="eastAsia"/>
        </w:rPr>
        <w:t>端子排</w:t>
      </w:r>
      <w:r>
        <w:t>部分</w:t>
      </w:r>
    </w:p>
    <w:p w14:paraId="1BFC89F7">
      <w:pPr>
        <w:bidi w:val="0"/>
      </w:pPr>
      <w:r>
        <w:drawing>
          <wp:inline distT="0" distB="0" distL="0" distR="0">
            <wp:extent cx="6120130" cy="2380615"/>
            <wp:effectExtent l="0" t="0" r="13970" b="63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120130" cy="2380615"/>
                    </a:xfrm>
                    <a:prstGeom prst="rect">
                      <a:avLst/>
                    </a:prstGeom>
                    <a:noFill/>
                    <a:ln>
                      <a:noFill/>
                    </a:ln>
                  </pic:spPr>
                </pic:pic>
              </a:graphicData>
            </a:graphic>
          </wp:inline>
        </w:drawing>
      </w:r>
    </w:p>
    <w:p w14:paraId="7854AD9F">
      <w:pPr>
        <w:bidi w:val="0"/>
      </w:pPr>
      <w:r>
        <w:drawing>
          <wp:inline distT="0" distB="0" distL="0" distR="0">
            <wp:extent cx="6120130" cy="4393565"/>
            <wp:effectExtent l="0" t="0" r="13970" b="6985"/>
            <wp:docPr id="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120130" cy="4393565"/>
                    </a:xfrm>
                    <a:prstGeom prst="rect">
                      <a:avLst/>
                    </a:prstGeom>
                    <a:noFill/>
                    <a:ln>
                      <a:noFill/>
                    </a:ln>
                  </pic:spPr>
                </pic:pic>
              </a:graphicData>
            </a:graphic>
          </wp:inline>
        </w:drawing>
      </w:r>
      <w:r>
        <w:drawing>
          <wp:inline distT="0" distB="0" distL="0" distR="0">
            <wp:extent cx="6120130" cy="4406265"/>
            <wp:effectExtent l="0" t="0" r="13970" b="13335"/>
            <wp:docPr id="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120130" cy="4406265"/>
                    </a:xfrm>
                    <a:prstGeom prst="rect">
                      <a:avLst/>
                    </a:prstGeom>
                    <a:noFill/>
                    <a:ln>
                      <a:noFill/>
                    </a:ln>
                  </pic:spPr>
                </pic:pic>
              </a:graphicData>
            </a:graphic>
          </wp:inline>
        </w:drawing>
      </w:r>
    </w:p>
    <w:p w14:paraId="24411042">
      <w:pPr>
        <w:pStyle w:val="13"/>
        <w:bidi w:val="0"/>
      </w:pPr>
      <w:r>
        <w:rPr>
          <w:rFonts w:hint="eastAsia"/>
        </w:rPr>
        <w:t>外接航插</w:t>
      </w:r>
      <w:r>
        <w:t>部分</w:t>
      </w:r>
    </w:p>
    <w:p w14:paraId="3B5580DE">
      <w:pPr>
        <w:bidi w:val="0"/>
      </w:pPr>
      <w:r>
        <w:drawing>
          <wp:inline distT="0" distB="0" distL="0" distR="0">
            <wp:extent cx="5429250" cy="1720850"/>
            <wp:effectExtent l="0" t="0" r="0" b="12700"/>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429250" cy="1720850"/>
                    </a:xfrm>
                    <a:prstGeom prst="rect">
                      <a:avLst/>
                    </a:prstGeom>
                    <a:noFill/>
                    <a:ln>
                      <a:noFill/>
                    </a:ln>
                  </pic:spPr>
                </pic:pic>
              </a:graphicData>
            </a:graphic>
          </wp:inline>
        </w:drawing>
      </w:r>
    </w:p>
    <w:p w14:paraId="7EA146DE">
      <w:pPr>
        <w:pStyle w:val="13"/>
        <w:bidi w:val="0"/>
      </w:pPr>
      <w:r>
        <w:rPr>
          <w:rFonts w:hint="eastAsia"/>
        </w:rPr>
        <w:t>交换机</w:t>
      </w:r>
      <w:r>
        <w:t>部分</w:t>
      </w:r>
    </w:p>
    <w:p w14:paraId="246D241E">
      <w:pPr>
        <w:bidi w:val="0"/>
      </w:pPr>
      <w:r>
        <w:drawing>
          <wp:inline distT="0" distB="0" distL="0" distR="0">
            <wp:extent cx="6115050" cy="863600"/>
            <wp:effectExtent l="0" t="0" r="0" b="12700"/>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6115050" cy="863600"/>
                    </a:xfrm>
                    <a:prstGeom prst="rect">
                      <a:avLst/>
                    </a:prstGeom>
                    <a:noFill/>
                    <a:ln>
                      <a:noFill/>
                    </a:ln>
                  </pic:spPr>
                </pic:pic>
              </a:graphicData>
            </a:graphic>
          </wp:inline>
        </w:drawing>
      </w:r>
    </w:p>
    <w:p w14:paraId="0FDF7FCB">
      <w:pPr>
        <w:pStyle w:val="13"/>
        <w:bidi w:val="0"/>
      </w:pPr>
      <w:r>
        <w:rPr>
          <w:rFonts w:hint="eastAsia"/>
        </w:rPr>
        <w:t>光耦模组</w:t>
      </w:r>
      <w:r>
        <w:t>部分</w:t>
      </w:r>
    </w:p>
    <w:p w14:paraId="06EE0C1C">
      <w:pPr>
        <w:bidi w:val="0"/>
      </w:pPr>
      <w:r>
        <w:drawing>
          <wp:inline distT="0" distB="0" distL="0" distR="0">
            <wp:extent cx="6117590" cy="956310"/>
            <wp:effectExtent l="0" t="0" r="16510" b="15240"/>
            <wp:docPr id="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136346" cy="959533"/>
                    </a:xfrm>
                    <a:prstGeom prst="rect">
                      <a:avLst/>
                    </a:prstGeom>
                    <a:noFill/>
                    <a:ln>
                      <a:noFill/>
                    </a:ln>
                  </pic:spPr>
                </pic:pic>
              </a:graphicData>
            </a:graphic>
          </wp:inline>
        </w:drawing>
      </w:r>
    </w:p>
    <w:p w14:paraId="13CB361D">
      <w:pPr>
        <w:bidi w:val="0"/>
      </w:pPr>
      <w:r>
        <w:drawing>
          <wp:inline distT="0" distB="0" distL="0" distR="0">
            <wp:extent cx="6119495" cy="4061460"/>
            <wp:effectExtent l="0" t="0" r="14605" b="1524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6137036" cy="4061460"/>
                    </a:xfrm>
                    <a:prstGeom prst="rect">
                      <a:avLst/>
                    </a:prstGeom>
                    <a:noFill/>
                    <a:ln>
                      <a:noFill/>
                    </a:ln>
                  </pic:spPr>
                </pic:pic>
              </a:graphicData>
            </a:graphic>
          </wp:inline>
        </w:drawing>
      </w:r>
      <w:r>
        <w:t xml:space="preserve"> </w:t>
      </w:r>
      <w:r>
        <w:drawing>
          <wp:inline distT="0" distB="0" distL="0" distR="0">
            <wp:extent cx="6118860" cy="3685540"/>
            <wp:effectExtent l="0" t="0" r="15240" b="1016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51"/>
                    <a:stretch>
                      <a:fillRect/>
                    </a:stretch>
                  </pic:blipFill>
                  <pic:spPr>
                    <a:xfrm>
                      <a:off x="0" y="0"/>
                      <a:ext cx="6142673" cy="3699749"/>
                    </a:xfrm>
                    <a:prstGeom prst="rect">
                      <a:avLst/>
                    </a:prstGeom>
                  </pic:spPr>
                </pic:pic>
              </a:graphicData>
            </a:graphic>
          </wp:inline>
        </w:drawing>
      </w:r>
      <w:r>
        <w:t xml:space="preserve"> </w:t>
      </w:r>
    </w:p>
    <w:p w14:paraId="15D6B394">
      <w:pPr>
        <w:pStyle w:val="13"/>
        <w:bidi w:val="0"/>
      </w:pPr>
      <w:r>
        <w:rPr>
          <w:rFonts w:hint="eastAsia"/>
        </w:rPr>
        <w:t>PLC模组</w:t>
      </w:r>
      <w:r>
        <w:t>部分</w:t>
      </w:r>
    </w:p>
    <w:p w14:paraId="5F57D56D">
      <w:pPr>
        <w:bidi w:val="0"/>
      </w:pPr>
      <w:r>
        <w:drawing>
          <wp:inline distT="0" distB="0" distL="0" distR="0">
            <wp:extent cx="5759450" cy="2355850"/>
            <wp:effectExtent l="0" t="0" r="12700" b="635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759450" cy="2355850"/>
                    </a:xfrm>
                    <a:prstGeom prst="rect">
                      <a:avLst/>
                    </a:prstGeom>
                    <a:noFill/>
                    <a:ln>
                      <a:noFill/>
                    </a:ln>
                  </pic:spPr>
                </pic:pic>
              </a:graphicData>
            </a:graphic>
          </wp:inline>
        </w:drawing>
      </w:r>
    </w:p>
    <w:p w14:paraId="3ACA2DF8">
      <w:pPr>
        <w:bidi w:val="0"/>
      </w:pPr>
      <w:r>
        <w:drawing>
          <wp:inline distT="0" distB="0" distL="0" distR="0">
            <wp:extent cx="6120130" cy="4392930"/>
            <wp:effectExtent l="0" t="0" r="13970" b="762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53"/>
                    <a:stretch>
                      <a:fillRect/>
                    </a:stretch>
                  </pic:blipFill>
                  <pic:spPr>
                    <a:xfrm>
                      <a:off x="0" y="0"/>
                      <a:ext cx="6120130" cy="4392930"/>
                    </a:xfrm>
                    <a:prstGeom prst="rect">
                      <a:avLst/>
                    </a:prstGeom>
                  </pic:spPr>
                </pic:pic>
              </a:graphicData>
            </a:graphic>
          </wp:inline>
        </w:drawing>
      </w:r>
      <w:r>
        <w:t xml:space="preserve"> </w:t>
      </w:r>
      <w:r>
        <w:drawing>
          <wp:inline distT="0" distB="0" distL="0" distR="0">
            <wp:extent cx="6120130" cy="4398645"/>
            <wp:effectExtent l="0" t="0" r="13970" b="1905"/>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54"/>
                    <a:stretch>
                      <a:fillRect/>
                    </a:stretch>
                  </pic:blipFill>
                  <pic:spPr>
                    <a:xfrm>
                      <a:off x="0" y="0"/>
                      <a:ext cx="6120130" cy="4398645"/>
                    </a:xfrm>
                    <a:prstGeom prst="rect">
                      <a:avLst/>
                    </a:prstGeom>
                  </pic:spPr>
                </pic:pic>
              </a:graphicData>
            </a:graphic>
          </wp:inline>
        </w:drawing>
      </w:r>
    </w:p>
    <w:p w14:paraId="164EA3E3">
      <w:pPr>
        <w:pStyle w:val="13"/>
        <w:bidi w:val="0"/>
      </w:pPr>
      <w:r>
        <w:rPr>
          <w:rFonts w:hint="eastAsia"/>
        </w:rPr>
        <w:t>读码器</w:t>
      </w:r>
      <w:r>
        <w:t>部分</w:t>
      </w:r>
    </w:p>
    <w:p w14:paraId="166ACFBB">
      <w:pPr>
        <w:bidi w:val="0"/>
      </w:pPr>
      <w:r>
        <w:drawing>
          <wp:inline distT="0" distB="0" distL="0" distR="0">
            <wp:extent cx="5753100" cy="2870200"/>
            <wp:effectExtent l="0" t="0" r="0" b="635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53100" cy="2870200"/>
                    </a:xfrm>
                    <a:prstGeom prst="rect">
                      <a:avLst/>
                    </a:prstGeom>
                    <a:noFill/>
                    <a:ln>
                      <a:noFill/>
                    </a:ln>
                  </pic:spPr>
                </pic:pic>
              </a:graphicData>
            </a:graphic>
          </wp:inline>
        </w:drawing>
      </w:r>
    </w:p>
    <w:p w14:paraId="121D8F86">
      <w:pPr>
        <w:pStyle w:val="12"/>
        <w:bidi w:val="0"/>
      </w:pPr>
      <w:bookmarkStart w:id="166" w:name="_Toc2056612032"/>
      <w:r>
        <w:rPr>
          <w:rFonts w:hint="eastAsia"/>
          <w:lang w:eastAsia="zh-CN"/>
        </w:rPr>
        <w:t>电气信号对接</w:t>
      </w:r>
      <w:bookmarkEnd w:id="166"/>
    </w:p>
    <w:p w14:paraId="33874660">
      <w:pPr>
        <w:pStyle w:val="13"/>
        <w:bidi w:val="0"/>
      </w:pPr>
      <w:r>
        <w:rPr>
          <w:rFonts w:hint="eastAsia"/>
        </w:rPr>
        <w:t>电气原件BOM表</w:t>
      </w:r>
    </w:p>
    <w:tbl>
      <w:tblPr>
        <w:tblStyle w:val="43"/>
        <w:tblW w:w="8960" w:type="dxa"/>
        <w:tblInd w:w="118" w:type="dxa"/>
        <w:tblLayout w:type="autofit"/>
        <w:tblCellMar>
          <w:top w:w="0" w:type="dxa"/>
          <w:left w:w="108" w:type="dxa"/>
          <w:bottom w:w="0" w:type="dxa"/>
          <w:right w:w="108" w:type="dxa"/>
        </w:tblCellMar>
      </w:tblPr>
      <w:tblGrid>
        <w:gridCol w:w="2496"/>
        <w:gridCol w:w="1797"/>
        <w:gridCol w:w="2376"/>
        <w:gridCol w:w="837"/>
        <w:gridCol w:w="1454"/>
      </w:tblGrid>
      <w:tr w14:paraId="79BFABCC">
        <w:tblPrEx>
          <w:tblCellMar>
            <w:top w:w="0" w:type="dxa"/>
            <w:left w:w="108" w:type="dxa"/>
            <w:bottom w:w="0" w:type="dxa"/>
            <w:right w:w="108" w:type="dxa"/>
          </w:tblCellMar>
        </w:tblPrEx>
        <w:trPr>
          <w:trHeight w:val="270" w:hRule="atLeast"/>
        </w:trPr>
        <w:tc>
          <w:tcPr>
            <w:tcW w:w="2340" w:type="dxa"/>
            <w:tcBorders>
              <w:top w:val="single" w:color="auto" w:sz="8" w:space="0"/>
              <w:left w:val="single" w:color="auto" w:sz="8" w:space="0"/>
              <w:bottom w:val="single" w:color="auto" w:sz="8" w:space="0"/>
              <w:right w:val="single" w:color="auto" w:sz="8" w:space="0"/>
            </w:tcBorders>
            <w:shd w:val="clear" w:color="auto" w:fill="auto"/>
            <w:vAlign w:val="center"/>
          </w:tcPr>
          <w:p w14:paraId="234D7A1A">
            <w:pPr>
              <w:bidi w:val="0"/>
            </w:pPr>
            <w:r>
              <w:rPr>
                <w:rFonts w:hint="eastAsia"/>
              </w:rPr>
              <w:t>项目代号</w:t>
            </w:r>
          </w:p>
        </w:tc>
        <w:tc>
          <w:tcPr>
            <w:tcW w:w="1960" w:type="dxa"/>
            <w:tcBorders>
              <w:top w:val="single" w:color="auto" w:sz="8" w:space="0"/>
              <w:left w:val="nil"/>
              <w:bottom w:val="single" w:color="auto" w:sz="8" w:space="0"/>
              <w:right w:val="single" w:color="auto" w:sz="8" w:space="0"/>
            </w:tcBorders>
            <w:shd w:val="clear" w:color="auto" w:fill="auto"/>
            <w:vAlign w:val="center"/>
          </w:tcPr>
          <w:p w14:paraId="4970F1E2">
            <w:pPr>
              <w:bidi w:val="0"/>
            </w:pPr>
            <w:r>
              <w:rPr>
                <w:rFonts w:hint="eastAsia"/>
              </w:rPr>
              <w:t>名称</w:t>
            </w:r>
          </w:p>
        </w:tc>
        <w:tc>
          <w:tcPr>
            <w:tcW w:w="2280" w:type="dxa"/>
            <w:tcBorders>
              <w:top w:val="single" w:color="auto" w:sz="8" w:space="0"/>
              <w:left w:val="nil"/>
              <w:bottom w:val="single" w:color="auto" w:sz="8" w:space="0"/>
              <w:right w:val="single" w:color="auto" w:sz="8" w:space="0"/>
            </w:tcBorders>
            <w:shd w:val="clear" w:color="auto" w:fill="auto"/>
            <w:vAlign w:val="center"/>
          </w:tcPr>
          <w:p w14:paraId="3844EC26">
            <w:pPr>
              <w:bidi w:val="0"/>
            </w:pPr>
            <w:r>
              <w:rPr>
                <w:rFonts w:hint="eastAsia"/>
              </w:rPr>
              <w:t>型号</w:t>
            </w:r>
          </w:p>
        </w:tc>
        <w:tc>
          <w:tcPr>
            <w:tcW w:w="900" w:type="dxa"/>
            <w:tcBorders>
              <w:top w:val="single" w:color="auto" w:sz="8" w:space="0"/>
              <w:left w:val="nil"/>
              <w:bottom w:val="single" w:color="auto" w:sz="8" w:space="0"/>
              <w:right w:val="single" w:color="auto" w:sz="8" w:space="0"/>
            </w:tcBorders>
            <w:shd w:val="clear" w:color="auto" w:fill="auto"/>
            <w:vAlign w:val="center"/>
          </w:tcPr>
          <w:p w14:paraId="2863A579">
            <w:pPr>
              <w:bidi w:val="0"/>
            </w:pPr>
            <w:r>
              <w:rPr>
                <w:rFonts w:hint="eastAsia"/>
              </w:rPr>
              <w:t>数量</w:t>
            </w:r>
          </w:p>
        </w:tc>
        <w:tc>
          <w:tcPr>
            <w:tcW w:w="1480" w:type="dxa"/>
            <w:tcBorders>
              <w:top w:val="single" w:color="auto" w:sz="8" w:space="0"/>
              <w:left w:val="nil"/>
              <w:bottom w:val="single" w:color="auto" w:sz="8" w:space="0"/>
              <w:right w:val="single" w:color="auto" w:sz="8" w:space="0"/>
            </w:tcBorders>
            <w:shd w:val="clear" w:color="auto" w:fill="auto"/>
            <w:vAlign w:val="center"/>
          </w:tcPr>
          <w:p w14:paraId="3D226E6C">
            <w:pPr>
              <w:bidi w:val="0"/>
            </w:pPr>
            <w:r>
              <w:rPr>
                <w:rFonts w:hint="eastAsia"/>
              </w:rPr>
              <w:t>厂家</w:t>
            </w:r>
          </w:p>
        </w:tc>
      </w:tr>
      <w:tr w14:paraId="4234321D">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38C214EE">
            <w:pPr>
              <w:bidi w:val="0"/>
            </w:pPr>
            <w:r>
              <w:t>-V1</w:t>
            </w:r>
          </w:p>
        </w:tc>
        <w:tc>
          <w:tcPr>
            <w:tcW w:w="1960" w:type="dxa"/>
            <w:tcBorders>
              <w:top w:val="nil"/>
              <w:left w:val="nil"/>
              <w:bottom w:val="single" w:color="auto" w:sz="8" w:space="0"/>
              <w:right w:val="single" w:color="auto" w:sz="8" w:space="0"/>
            </w:tcBorders>
            <w:shd w:val="clear" w:color="auto" w:fill="auto"/>
            <w:vAlign w:val="center"/>
          </w:tcPr>
          <w:p w14:paraId="330E54B3">
            <w:pPr>
              <w:bidi w:val="0"/>
            </w:pPr>
            <w:r>
              <w:rPr>
                <w:rFonts w:hint="eastAsia"/>
              </w:rPr>
              <w:t>开关电源</w:t>
            </w:r>
          </w:p>
        </w:tc>
        <w:tc>
          <w:tcPr>
            <w:tcW w:w="2280" w:type="dxa"/>
            <w:tcBorders>
              <w:top w:val="nil"/>
              <w:left w:val="nil"/>
              <w:bottom w:val="single" w:color="auto" w:sz="8" w:space="0"/>
              <w:right w:val="single" w:color="auto" w:sz="8" w:space="0"/>
            </w:tcBorders>
            <w:shd w:val="clear" w:color="auto" w:fill="auto"/>
            <w:vAlign w:val="center"/>
          </w:tcPr>
          <w:p w14:paraId="7109AC76">
            <w:pPr>
              <w:bidi w:val="0"/>
            </w:pPr>
            <w:r>
              <w:rPr>
                <w:rFonts w:hint="eastAsia"/>
              </w:rPr>
              <w:t>NDR-240-24</w:t>
            </w:r>
          </w:p>
        </w:tc>
        <w:tc>
          <w:tcPr>
            <w:tcW w:w="900" w:type="dxa"/>
            <w:tcBorders>
              <w:top w:val="nil"/>
              <w:left w:val="nil"/>
              <w:bottom w:val="single" w:color="auto" w:sz="8" w:space="0"/>
              <w:right w:val="single" w:color="auto" w:sz="8" w:space="0"/>
            </w:tcBorders>
            <w:shd w:val="clear" w:color="auto" w:fill="auto"/>
            <w:vAlign w:val="center"/>
          </w:tcPr>
          <w:p w14:paraId="2683EC49">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60B9AA94">
            <w:pPr>
              <w:bidi w:val="0"/>
            </w:pPr>
            <w:r>
              <w:rPr>
                <w:rFonts w:hint="eastAsia"/>
              </w:rPr>
              <w:t>明伟（广州）</w:t>
            </w:r>
          </w:p>
        </w:tc>
      </w:tr>
      <w:tr w14:paraId="611BE576">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78EC8B5">
            <w:pPr>
              <w:bidi w:val="0"/>
            </w:pPr>
            <w:r>
              <w:t>-</w:t>
            </w:r>
            <w:r>
              <w:rPr>
                <w:rFonts w:hint="eastAsia"/>
              </w:rPr>
              <w:t>Q</w:t>
            </w:r>
            <w:r>
              <w:t>A1</w:t>
            </w:r>
          </w:p>
        </w:tc>
        <w:tc>
          <w:tcPr>
            <w:tcW w:w="1960" w:type="dxa"/>
            <w:tcBorders>
              <w:top w:val="nil"/>
              <w:left w:val="nil"/>
              <w:bottom w:val="single" w:color="auto" w:sz="8" w:space="0"/>
              <w:right w:val="single" w:color="auto" w:sz="8" w:space="0"/>
            </w:tcBorders>
            <w:shd w:val="clear" w:color="auto" w:fill="auto"/>
            <w:vAlign w:val="center"/>
          </w:tcPr>
          <w:p w14:paraId="79A654F3">
            <w:pPr>
              <w:bidi w:val="0"/>
            </w:pPr>
            <w:r>
              <w:rPr>
                <w:rFonts w:hint="eastAsia"/>
              </w:rPr>
              <w:t>转换(负荷</w:t>
            </w:r>
            <w:r>
              <w:t>)</w:t>
            </w:r>
            <w:r>
              <w:rPr>
                <w:rFonts w:hint="eastAsia"/>
              </w:rPr>
              <w:t>开关</w:t>
            </w:r>
          </w:p>
        </w:tc>
        <w:tc>
          <w:tcPr>
            <w:tcW w:w="2280" w:type="dxa"/>
            <w:tcBorders>
              <w:top w:val="nil"/>
              <w:left w:val="nil"/>
              <w:bottom w:val="single" w:color="auto" w:sz="8" w:space="0"/>
              <w:right w:val="single" w:color="auto" w:sz="8" w:space="0"/>
            </w:tcBorders>
            <w:shd w:val="clear" w:color="auto" w:fill="auto"/>
            <w:vAlign w:val="center"/>
          </w:tcPr>
          <w:p w14:paraId="3FEC4694">
            <w:pPr>
              <w:bidi w:val="0"/>
            </w:pPr>
            <w:r>
              <w:rPr>
                <w:rFonts w:hint="eastAsia"/>
              </w:rPr>
              <w:t>LW30-63（63A）</w:t>
            </w:r>
          </w:p>
        </w:tc>
        <w:tc>
          <w:tcPr>
            <w:tcW w:w="900" w:type="dxa"/>
            <w:tcBorders>
              <w:top w:val="nil"/>
              <w:left w:val="nil"/>
              <w:bottom w:val="single" w:color="auto" w:sz="8" w:space="0"/>
              <w:right w:val="single" w:color="auto" w:sz="8" w:space="0"/>
            </w:tcBorders>
            <w:shd w:val="clear" w:color="auto" w:fill="auto"/>
            <w:vAlign w:val="center"/>
          </w:tcPr>
          <w:p w14:paraId="6E1467EB">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34CCE946">
            <w:pPr>
              <w:bidi w:val="0"/>
            </w:pPr>
            <w:r>
              <w:rPr>
                <w:rFonts w:hint="eastAsia"/>
              </w:rPr>
              <w:t>长信</w:t>
            </w:r>
          </w:p>
        </w:tc>
      </w:tr>
      <w:tr w14:paraId="4B8AEA6B">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38B98F63">
            <w:pPr>
              <w:bidi w:val="0"/>
            </w:pPr>
            <w:r>
              <w:rPr>
                <w:rFonts w:hint="eastAsia"/>
              </w:rPr>
              <w:t>-</w:t>
            </w:r>
            <w:r>
              <w:t>QF1</w:t>
            </w:r>
          </w:p>
        </w:tc>
        <w:tc>
          <w:tcPr>
            <w:tcW w:w="1960" w:type="dxa"/>
            <w:tcBorders>
              <w:top w:val="nil"/>
              <w:left w:val="nil"/>
              <w:bottom w:val="single" w:color="auto" w:sz="8" w:space="0"/>
              <w:right w:val="single" w:color="auto" w:sz="8" w:space="0"/>
            </w:tcBorders>
            <w:shd w:val="clear" w:color="auto" w:fill="auto"/>
            <w:vAlign w:val="center"/>
          </w:tcPr>
          <w:p w14:paraId="79292557">
            <w:pPr>
              <w:bidi w:val="0"/>
            </w:pPr>
            <w:r>
              <w:rPr>
                <w:rFonts w:hint="eastAsia"/>
              </w:rPr>
              <w:t>小型断路器</w:t>
            </w:r>
          </w:p>
        </w:tc>
        <w:tc>
          <w:tcPr>
            <w:tcW w:w="2280" w:type="dxa"/>
            <w:tcBorders>
              <w:top w:val="nil"/>
              <w:left w:val="nil"/>
              <w:bottom w:val="single" w:color="auto" w:sz="8" w:space="0"/>
              <w:right w:val="single" w:color="auto" w:sz="8" w:space="0"/>
            </w:tcBorders>
            <w:shd w:val="clear" w:color="auto" w:fill="auto"/>
            <w:vAlign w:val="center"/>
          </w:tcPr>
          <w:p w14:paraId="2DF6A8A2">
            <w:pPr>
              <w:bidi w:val="0"/>
            </w:pPr>
            <w:r>
              <w:t>NDBI-63-D20</w:t>
            </w:r>
          </w:p>
        </w:tc>
        <w:tc>
          <w:tcPr>
            <w:tcW w:w="900" w:type="dxa"/>
            <w:tcBorders>
              <w:top w:val="nil"/>
              <w:left w:val="nil"/>
              <w:bottom w:val="single" w:color="auto" w:sz="8" w:space="0"/>
              <w:right w:val="single" w:color="auto" w:sz="8" w:space="0"/>
            </w:tcBorders>
            <w:shd w:val="clear" w:color="auto" w:fill="auto"/>
            <w:vAlign w:val="center"/>
          </w:tcPr>
          <w:p w14:paraId="7B8133F1">
            <w:pPr>
              <w:bidi w:val="0"/>
            </w:pPr>
            <w:r>
              <w:t>1</w:t>
            </w:r>
          </w:p>
        </w:tc>
        <w:tc>
          <w:tcPr>
            <w:tcW w:w="1480" w:type="dxa"/>
            <w:tcBorders>
              <w:top w:val="nil"/>
              <w:left w:val="nil"/>
              <w:bottom w:val="single" w:color="auto" w:sz="8" w:space="0"/>
              <w:right w:val="single" w:color="auto" w:sz="8" w:space="0"/>
            </w:tcBorders>
            <w:shd w:val="clear" w:color="auto" w:fill="auto"/>
            <w:vAlign w:val="center"/>
          </w:tcPr>
          <w:p w14:paraId="2E3B75BA">
            <w:pPr>
              <w:bidi w:val="0"/>
            </w:pPr>
            <w:r>
              <w:t>N</w:t>
            </w:r>
            <w:r>
              <w:rPr>
                <w:rFonts w:hint="eastAsia"/>
              </w:rPr>
              <w:t>a</w:t>
            </w:r>
            <w:r>
              <w:t>der</w:t>
            </w:r>
          </w:p>
        </w:tc>
      </w:tr>
      <w:tr w14:paraId="2892CC33">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154039A3">
            <w:pPr>
              <w:bidi w:val="0"/>
            </w:pPr>
            <w:r>
              <w:t>M1;M2</w:t>
            </w:r>
          </w:p>
        </w:tc>
        <w:tc>
          <w:tcPr>
            <w:tcW w:w="1960" w:type="dxa"/>
            <w:tcBorders>
              <w:top w:val="nil"/>
              <w:left w:val="nil"/>
              <w:bottom w:val="single" w:color="auto" w:sz="8" w:space="0"/>
              <w:right w:val="single" w:color="auto" w:sz="8" w:space="0"/>
            </w:tcBorders>
            <w:shd w:val="clear" w:color="auto" w:fill="auto"/>
            <w:vAlign w:val="center"/>
          </w:tcPr>
          <w:p w14:paraId="6DAD1011">
            <w:pPr>
              <w:bidi w:val="0"/>
            </w:pPr>
            <w:r>
              <w:rPr>
                <w:rFonts w:hint="eastAsia"/>
              </w:rPr>
              <w:t>散热风扇</w:t>
            </w:r>
          </w:p>
        </w:tc>
        <w:tc>
          <w:tcPr>
            <w:tcW w:w="2280" w:type="dxa"/>
            <w:tcBorders>
              <w:top w:val="nil"/>
              <w:left w:val="nil"/>
              <w:bottom w:val="single" w:color="auto" w:sz="8" w:space="0"/>
              <w:right w:val="single" w:color="auto" w:sz="8" w:space="0"/>
            </w:tcBorders>
            <w:shd w:val="clear" w:color="auto" w:fill="auto"/>
            <w:vAlign w:val="center"/>
          </w:tcPr>
          <w:p w14:paraId="646975CC">
            <w:pPr>
              <w:bidi w:val="0"/>
            </w:pPr>
            <w:r>
              <w:rPr>
                <w:rFonts w:hint="eastAsia"/>
              </w:rPr>
              <w:t>SKB-6221.230</w:t>
            </w:r>
          </w:p>
        </w:tc>
        <w:tc>
          <w:tcPr>
            <w:tcW w:w="900" w:type="dxa"/>
            <w:tcBorders>
              <w:top w:val="nil"/>
              <w:left w:val="nil"/>
              <w:bottom w:val="single" w:color="auto" w:sz="8" w:space="0"/>
              <w:right w:val="single" w:color="auto" w:sz="8" w:space="0"/>
            </w:tcBorders>
            <w:shd w:val="clear" w:color="auto" w:fill="auto"/>
            <w:vAlign w:val="center"/>
          </w:tcPr>
          <w:p w14:paraId="4806BEA7">
            <w:pPr>
              <w:bidi w:val="0"/>
            </w:pPr>
            <w:r>
              <w:rPr>
                <w:rFonts w:hint="eastAsia"/>
              </w:rPr>
              <w:t>2</w:t>
            </w:r>
          </w:p>
        </w:tc>
        <w:tc>
          <w:tcPr>
            <w:tcW w:w="1480" w:type="dxa"/>
            <w:tcBorders>
              <w:top w:val="nil"/>
              <w:left w:val="nil"/>
              <w:bottom w:val="single" w:color="auto" w:sz="8" w:space="0"/>
              <w:right w:val="single" w:color="auto" w:sz="8" w:space="0"/>
            </w:tcBorders>
            <w:shd w:val="clear" w:color="auto" w:fill="auto"/>
            <w:vAlign w:val="center"/>
          </w:tcPr>
          <w:p w14:paraId="606FCDAB">
            <w:pPr>
              <w:bidi w:val="0"/>
            </w:pPr>
            <w:r>
              <w:rPr>
                <w:rFonts w:hint="eastAsia"/>
              </w:rPr>
              <w:t>HFM</w:t>
            </w:r>
          </w:p>
        </w:tc>
      </w:tr>
      <w:tr w14:paraId="0A8C1887">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69DBA2E8">
            <w:pPr>
              <w:bidi w:val="0"/>
            </w:pPr>
            <w:r>
              <w:t>-XS1</w:t>
            </w:r>
          </w:p>
        </w:tc>
        <w:tc>
          <w:tcPr>
            <w:tcW w:w="1960" w:type="dxa"/>
            <w:tcBorders>
              <w:top w:val="nil"/>
              <w:left w:val="nil"/>
              <w:bottom w:val="single" w:color="auto" w:sz="8" w:space="0"/>
              <w:right w:val="single" w:color="auto" w:sz="8" w:space="0"/>
            </w:tcBorders>
            <w:shd w:val="clear" w:color="auto" w:fill="auto"/>
            <w:vAlign w:val="center"/>
          </w:tcPr>
          <w:p w14:paraId="33260C6C">
            <w:pPr>
              <w:bidi w:val="0"/>
            </w:pPr>
            <w:r>
              <w:rPr>
                <w:rFonts w:hint="eastAsia"/>
              </w:rPr>
              <w:t>三孔插座</w:t>
            </w:r>
          </w:p>
        </w:tc>
        <w:tc>
          <w:tcPr>
            <w:tcW w:w="2280" w:type="dxa"/>
            <w:tcBorders>
              <w:top w:val="nil"/>
              <w:left w:val="nil"/>
              <w:bottom w:val="single" w:color="auto" w:sz="8" w:space="0"/>
              <w:right w:val="single" w:color="auto" w:sz="8" w:space="0"/>
            </w:tcBorders>
            <w:shd w:val="clear" w:color="auto" w:fill="auto"/>
            <w:vAlign w:val="center"/>
          </w:tcPr>
          <w:p w14:paraId="06F00A92">
            <w:pPr>
              <w:bidi w:val="0"/>
            </w:pPr>
            <w:r>
              <w:rPr>
                <w:rFonts w:hint="eastAsia"/>
              </w:rPr>
              <w:t>AC30-122</w:t>
            </w:r>
          </w:p>
        </w:tc>
        <w:tc>
          <w:tcPr>
            <w:tcW w:w="900" w:type="dxa"/>
            <w:tcBorders>
              <w:top w:val="nil"/>
              <w:left w:val="nil"/>
              <w:bottom w:val="single" w:color="auto" w:sz="8" w:space="0"/>
              <w:right w:val="single" w:color="auto" w:sz="8" w:space="0"/>
            </w:tcBorders>
            <w:shd w:val="clear" w:color="auto" w:fill="auto"/>
            <w:vAlign w:val="center"/>
          </w:tcPr>
          <w:p w14:paraId="32FCE521">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0B16C1E0">
            <w:pPr>
              <w:bidi w:val="0"/>
            </w:pPr>
            <w:r>
              <w:rPr>
                <w:rFonts w:hint="eastAsia"/>
              </w:rPr>
              <w:t>CHINT</w:t>
            </w:r>
          </w:p>
        </w:tc>
      </w:tr>
      <w:tr w14:paraId="1E245C05">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E99FD42">
            <w:pPr>
              <w:bidi w:val="0"/>
            </w:pPr>
            <w:r>
              <w:rPr>
                <w:rFonts w:hint="eastAsia"/>
              </w:rPr>
              <w:t>-IPC</w:t>
            </w:r>
          </w:p>
        </w:tc>
        <w:tc>
          <w:tcPr>
            <w:tcW w:w="1960" w:type="dxa"/>
            <w:tcBorders>
              <w:top w:val="nil"/>
              <w:left w:val="nil"/>
              <w:bottom w:val="single" w:color="auto" w:sz="8" w:space="0"/>
              <w:right w:val="single" w:color="auto" w:sz="8" w:space="0"/>
            </w:tcBorders>
            <w:shd w:val="clear" w:color="auto" w:fill="auto"/>
            <w:vAlign w:val="center"/>
          </w:tcPr>
          <w:p w14:paraId="0BFE1037">
            <w:pPr>
              <w:bidi w:val="0"/>
            </w:pPr>
            <w:r>
              <w:rPr>
                <w:rFonts w:hint="eastAsia"/>
              </w:rPr>
              <w:t>工控机</w:t>
            </w:r>
          </w:p>
        </w:tc>
        <w:tc>
          <w:tcPr>
            <w:tcW w:w="2280" w:type="dxa"/>
            <w:tcBorders>
              <w:top w:val="nil"/>
              <w:left w:val="nil"/>
              <w:bottom w:val="single" w:color="auto" w:sz="8" w:space="0"/>
              <w:right w:val="single" w:color="auto" w:sz="8" w:space="0"/>
            </w:tcBorders>
            <w:shd w:val="clear" w:color="auto" w:fill="auto"/>
            <w:vAlign w:val="center"/>
          </w:tcPr>
          <w:p w14:paraId="7CE9C1FE">
            <w:pPr>
              <w:bidi w:val="0"/>
            </w:pPr>
            <w:r>
              <w:rPr>
                <w:rFonts w:hint="eastAsia"/>
              </w:rPr>
              <w:t>HPC-600</w:t>
            </w:r>
          </w:p>
        </w:tc>
        <w:tc>
          <w:tcPr>
            <w:tcW w:w="900" w:type="dxa"/>
            <w:tcBorders>
              <w:top w:val="nil"/>
              <w:left w:val="nil"/>
              <w:bottom w:val="single" w:color="auto" w:sz="8" w:space="0"/>
              <w:right w:val="single" w:color="auto" w:sz="8" w:space="0"/>
            </w:tcBorders>
            <w:shd w:val="clear" w:color="auto" w:fill="auto"/>
            <w:vAlign w:val="center"/>
          </w:tcPr>
          <w:p w14:paraId="34EDBDA6">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2B8F52FD">
            <w:pPr>
              <w:bidi w:val="0"/>
            </w:pPr>
            <w:r>
              <w:rPr>
                <w:rFonts w:hint="eastAsia"/>
              </w:rPr>
              <w:t>惠普</w:t>
            </w:r>
          </w:p>
        </w:tc>
      </w:tr>
      <w:tr w14:paraId="40F0A242">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B731096">
            <w:pPr>
              <w:bidi w:val="0"/>
            </w:pPr>
            <w:r>
              <w:rPr>
                <w:rFonts w:hint="eastAsia"/>
              </w:rPr>
              <w:t>-HMI</w:t>
            </w:r>
          </w:p>
        </w:tc>
        <w:tc>
          <w:tcPr>
            <w:tcW w:w="1960" w:type="dxa"/>
            <w:tcBorders>
              <w:top w:val="nil"/>
              <w:left w:val="nil"/>
              <w:bottom w:val="single" w:color="auto" w:sz="8" w:space="0"/>
              <w:right w:val="single" w:color="auto" w:sz="8" w:space="0"/>
            </w:tcBorders>
            <w:shd w:val="clear" w:color="auto" w:fill="auto"/>
            <w:vAlign w:val="center"/>
          </w:tcPr>
          <w:p w14:paraId="537B0D13">
            <w:pPr>
              <w:bidi w:val="0"/>
            </w:pPr>
            <w:r>
              <w:rPr>
                <w:rFonts w:hint="eastAsia"/>
              </w:rPr>
              <w:t>触摸屏</w:t>
            </w:r>
          </w:p>
        </w:tc>
        <w:tc>
          <w:tcPr>
            <w:tcW w:w="2280" w:type="dxa"/>
            <w:tcBorders>
              <w:top w:val="nil"/>
              <w:left w:val="nil"/>
              <w:bottom w:val="single" w:color="auto" w:sz="8" w:space="0"/>
              <w:right w:val="single" w:color="auto" w:sz="8" w:space="0"/>
            </w:tcBorders>
            <w:shd w:val="clear" w:color="auto" w:fill="auto"/>
            <w:vAlign w:val="center"/>
          </w:tcPr>
          <w:p w14:paraId="6B5E6517">
            <w:pPr>
              <w:bidi w:val="0"/>
            </w:pPr>
            <w:r>
              <w:rPr>
                <w:rFonts w:hint="eastAsia"/>
              </w:rPr>
              <w:t>PPC-215-3000</w:t>
            </w:r>
          </w:p>
        </w:tc>
        <w:tc>
          <w:tcPr>
            <w:tcW w:w="900" w:type="dxa"/>
            <w:tcBorders>
              <w:top w:val="nil"/>
              <w:left w:val="nil"/>
              <w:bottom w:val="single" w:color="auto" w:sz="8" w:space="0"/>
              <w:right w:val="single" w:color="auto" w:sz="8" w:space="0"/>
            </w:tcBorders>
            <w:shd w:val="clear" w:color="auto" w:fill="auto"/>
            <w:vAlign w:val="center"/>
          </w:tcPr>
          <w:p w14:paraId="39716AC3">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495CAA8E">
            <w:pPr>
              <w:bidi w:val="0"/>
            </w:pPr>
            <w:r>
              <w:rPr>
                <w:rFonts w:hint="eastAsia"/>
              </w:rPr>
              <w:t>adipcom</w:t>
            </w:r>
          </w:p>
        </w:tc>
      </w:tr>
      <w:tr w14:paraId="20AE2524">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6BF483C">
            <w:pPr>
              <w:bidi w:val="0"/>
            </w:pPr>
            <w:r>
              <w:t>-1215C</w:t>
            </w:r>
          </w:p>
        </w:tc>
        <w:tc>
          <w:tcPr>
            <w:tcW w:w="1960" w:type="dxa"/>
            <w:tcBorders>
              <w:top w:val="nil"/>
              <w:left w:val="nil"/>
              <w:bottom w:val="single" w:color="auto" w:sz="8" w:space="0"/>
              <w:right w:val="single" w:color="auto" w:sz="8" w:space="0"/>
            </w:tcBorders>
            <w:shd w:val="clear" w:color="auto" w:fill="auto"/>
            <w:vAlign w:val="center"/>
          </w:tcPr>
          <w:p w14:paraId="42E90A71">
            <w:pPr>
              <w:bidi w:val="0"/>
            </w:pPr>
            <w:r>
              <w:rPr>
                <w:rFonts w:hint="eastAsia"/>
              </w:rPr>
              <w:t>CPU</w:t>
            </w:r>
          </w:p>
        </w:tc>
        <w:tc>
          <w:tcPr>
            <w:tcW w:w="2280" w:type="dxa"/>
            <w:tcBorders>
              <w:top w:val="nil"/>
              <w:left w:val="nil"/>
              <w:bottom w:val="single" w:color="auto" w:sz="8" w:space="0"/>
              <w:right w:val="single" w:color="auto" w:sz="8" w:space="0"/>
            </w:tcBorders>
            <w:shd w:val="clear" w:color="auto" w:fill="auto"/>
            <w:vAlign w:val="center"/>
          </w:tcPr>
          <w:p w14:paraId="6213EA85">
            <w:pPr>
              <w:bidi w:val="0"/>
            </w:pPr>
            <w:r>
              <w:t>6ES7215-1HG31-0XB0</w:t>
            </w:r>
          </w:p>
        </w:tc>
        <w:tc>
          <w:tcPr>
            <w:tcW w:w="900" w:type="dxa"/>
            <w:tcBorders>
              <w:top w:val="nil"/>
              <w:left w:val="nil"/>
              <w:bottom w:val="single" w:color="auto" w:sz="8" w:space="0"/>
              <w:right w:val="single" w:color="auto" w:sz="8" w:space="0"/>
            </w:tcBorders>
            <w:shd w:val="clear" w:color="auto" w:fill="auto"/>
            <w:vAlign w:val="center"/>
          </w:tcPr>
          <w:p w14:paraId="67CF9DFF">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609C78FC">
            <w:pPr>
              <w:bidi w:val="0"/>
            </w:pPr>
            <w:r>
              <w:rPr>
                <w:rFonts w:hint="eastAsia"/>
              </w:rPr>
              <w:t>Siemens</w:t>
            </w:r>
          </w:p>
        </w:tc>
      </w:tr>
      <w:tr w14:paraId="2E8A215F">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0DBECC1">
            <w:pPr>
              <w:bidi w:val="0"/>
            </w:pPr>
            <w:r>
              <w:rPr>
                <w:rFonts w:hint="eastAsia"/>
              </w:rPr>
              <w:t>-DM1;-DM2;-DM3;-DM4</w:t>
            </w:r>
          </w:p>
        </w:tc>
        <w:tc>
          <w:tcPr>
            <w:tcW w:w="1960" w:type="dxa"/>
            <w:tcBorders>
              <w:top w:val="nil"/>
              <w:left w:val="nil"/>
              <w:bottom w:val="single" w:color="auto" w:sz="8" w:space="0"/>
              <w:right w:val="single" w:color="auto" w:sz="8" w:space="0"/>
            </w:tcBorders>
            <w:shd w:val="clear" w:color="auto" w:fill="auto"/>
            <w:vAlign w:val="center"/>
          </w:tcPr>
          <w:p w14:paraId="07B86324">
            <w:pPr>
              <w:bidi w:val="0"/>
            </w:pPr>
            <w:r>
              <w:rPr>
                <w:rFonts w:hint="eastAsia"/>
              </w:rPr>
              <w:t>读码器</w:t>
            </w:r>
          </w:p>
        </w:tc>
        <w:tc>
          <w:tcPr>
            <w:tcW w:w="2280" w:type="dxa"/>
            <w:tcBorders>
              <w:top w:val="nil"/>
              <w:left w:val="nil"/>
              <w:bottom w:val="single" w:color="auto" w:sz="8" w:space="0"/>
              <w:right w:val="single" w:color="auto" w:sz="8" w:space="0"/>
            </w:tcBorders>
            <w:shd w:val="clear" w:color="auto" w:fill="auto"/>
            <w:vAlign w:val="center"/>
          </w:tcPr>
          <w:p w14:paraId="3041510F">
            <w:pPr>
              <w:bidi w:val="0"/>
            </w:pPr>
            <w:r>
              <w:rPr>
                <w:rFonts w:hint="eastAsia"/>
              </w:rPr>
              <w:t>DM370-X</w:t>
            </w:r>
          </w:p>
        </w:tc>
        <w:tc>
          <w:tcPr>
            <w:tcW w:w="900" w:type="dxa"/>
            <w:tcBorders>
              <w:top w:val="nil"/>
              <w:left w:val="nil"/>
              <w:bottom w:val="single" w:color="auto" w:sz="8" w:space="0"/>
              <w:right w:val="single" w:color="auto" w:sz="8" w:space="0"/>
            </w:tcBorders>
            <w:shd w:val="clear" w:color="auto" w:fill="auto"/>
            <w:vAlign w:val="center"/>
          </w:tcPr>
          <w:p w14:paraId="2015071F">
            <w:pPr>
              <w:bidi w:val="0"/>
            </w:pPr>
            <w:r>
              <w:rPr>
                <w:rFonts w:hint="eastAsia"/>
              </w:rPr>
              <w:t>4</w:t>
            </w:r>
          </w:p>
        </w:tc>
        <w:tc>
          <w:tcPr>
            <w:tcW w:w="1480" w:type="dxa"/>
            <w:tcBorders>
              <w:top w:val="nil"/>
              <w:left w:val="nil"/>
              <w:bottom w:val="single" w:color="auto" w:sz="8" w:space="0"/>
              <w:right w:val="single" w:color="auto" w:sz="8" w:space="0"/>
            </w:tcBorders>
            <w:shd w:val="clear" w:color="auto" w:fill="auto"/>
            <w:vAlign w:val="center"/>
          </w:tcPr>
          <w:p w14:paraId="5DC48F3F">
            <w:pPr>
              <w:bidi w:val="0"/>
            </w:pPr>
            <w:r>
              <w:rPr>
                <w:rFonts w:hint="eastAsia"/>
              </w:rPr>
              <w:t>Cognex</w:t>
            </w:r>
          </w:p>
        </w:tc>
      </w:tr>
      <w:tr w14:paraId="267EB1C3">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BD657F4">
            <w:pPr>
              <w:bidi w:val="0"/>
            </w:pPr>
            <w:r>
              <w:rPr>
                <w:rFonts w:hint="eastAsia"/>
              </w:rPr>
              <w:t>-OC1;-OC2</w:t>
            </w:r>
          </w:p>
        </w:tc>
        <w:tc>
          <w:tcPr>
            <w:tcW w:w="1960" w:type="dxa"/>
            <w:tcBorders>
              <w:top w:val="nil"/>
              <w:left w:val="nil"/>
              <w:bottom w:val="single" w:color="auto" w:sz="8" w:space="0"/>
              <w:right w:val="single" w:color="auto" w:sz="8" w:space="0"/>
            </w:tcBorders>
            <w:shd w:val="clear" w:color="auto" w:fill="auto"/>
            <w:vAlign w:val="center"/>
          </w:tcPr>
          <w:p w14:paraId="5B5E58AE">
            <w:pPr>
              <w:bidi w:val="0"/>
            </w:pPr>
            <w:r>
              <w:rPr>
                <w:rFonts w:hint="eastAsia"/>
              </w:rPr>
              <w:t>光耦模块</w:t>
            </w:r>
          </w:p>
        </w:tc>
        <w:tc>
          <w:tcPr>
            <w:tcW w:w="2280" w:type="dxa"/>
            <w:tcBorders>
              <w:top w:val="nil"/>
              <w:left w:val="nil"/>
              <w:bottom w:val="single" w:color="auto" w:sz="8" w:space="0"/>
              <w:right w:val="single" w:color="auto" w:sz="8" w:space="0"/>
            </w:tcBorders>
            <w:shd w:val="clear" w:color="auto" w:fill="auto"/>
            <w:vAlign w:val="center"/>
          </w:tcPr>
          <w:p w14:paraId="3019589B">
            <w:pPr>
              <w:bidi w:val="0"/>
            </w:pPr>
            <w:r>
              <w:t>HL-SAB-PNP-12</w:t>
            </w:r>
          </w:p>
        </w:tc>
        <w:tc>
          <w:tcPr>
            <w:tcW w:w="900" w:type="dxa"/>
            <w:tcBorders>
              <w:top w:val="nil"/>
              <w:left w:val="nil"/>
              <w:bottom w:val="single" w:color="auto" w:sz="8" w:space="0"/>
              <w:right w:val="single" w:color="auto" w:sz="8" w:space="0"/>
            </w:tcBorders>
            <w:shd w:val="clear" w:color="auto" w:fill="auto"/>
            <w:vAlign w:val="center"/>
          </w:tcPr>
          <w:p w14:paraId="46E3D8B2">
            <w:pPr>
              <w:bidi w:val="0"/>
            </w:pPr>
            <w:r>
              <w:rPr>
                <w:rFonts w:hint="eastAsia"/>
              </w:rPr>
              <w:t>2</w:t>
            </w:r>
          </w:p>
        </w:tc>
        <w:tc>
          <w:tcPr>
            <w:tcW w:w="1480" w:type="dxa"/>
            <w:tcBorders>
              <w:top w:val="nil"/>
              <w:left w:val="nil"/>
              <w:bottom w:val="single" w:color="auto" w:sz="8" w:space="0"/>
              <w:right w:val="single" w:color="auto" w:sz="8" w:space="0"/>
            </w:tcBorders>
            <w:shd w:val="clear" w:color="auto" w:fill="auto"/>
            <w:vAlign w:val="center"/>
          </w:tcPr>
          <w:p w14:paraId="3FDE809B">
            <w:pPr>
              <w:bidi w:val="0"/>
            </w:pPr>
            <w:r>
              <w:rPr>
                <w:rFonts w:hint="eastAsia"/>
              </w:rPr>
              <w:t>奥延</w:t>
            </w:r>
          </w:p>
        </w:tc>
      </w:tr>
      <w:tr w14:paraId="5358CD62">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12CE0DB8">
            <w:pPr>
              <w:bidi w:val="0"/>
            </w:pPr>
            <w:r>
              <w:rPr>
                <w:rFonts w:hint="eastAsia"/>
              </w:rPr>
              <w:t>-KA1;-KA2;</w:t>
            </w:r>
          </w:p>
        </w:tc>
        <w:tc>
          <w:tcPr>
            <w:tcW w:w="1960" w:type="dxa"/>
            <w:tcBorders>
              <w:top w:val="nil"/>
              <w:left w:val="nil"/>
              <w:bottom w:val="single" w:color="auto" w:sz="8" w:space="0"/>
              <w:right w:val="single" w:color="auto" w:sz="8" w:space="0"/>
            </w:tcBorders>
            <w:shd w:val="clear" w:color="auto" w:fill="auto"/>
            <w:vAlign w:val="center"/>
          </w:tcPr>
          <w:p w14:paraId="4FFDEF5A">
            <w:pPr>
              <w:bidi w:val="0"/>
            </w:pPr>
            <w:r>
              <w:rPr>
                <w:rFonts w:hint="eastAsia"/>
              </w:rPr>
              <w:t>中间继电器</w:t>
            </w:r>
          </w:p>
        </w:tc>
        <w:tc>
          <w:tcPr>
            <w:tcW w:w="2280" w:type="dxa"/>
            <w:tcBorders>
              <w:top w:val="nil"/>
              <w:left w:val="nil"/>
              <w:bottom w:val="single" w:color="auto" w:sz="8" w:space="0"/>
              <w:right w:val="single" w:color="auto" w:sz="8" w:space="0"/>
            </w:tcBorders>
            <w:shd w:val="clear" w:color="auto" w:fill="auto"/>
            <w:vAlign w:val="center"/>
          </w:tcPr>
          <w:p w14:paraId="79C06687">
            <w:pPr>
              <w:bidi w:val="0"/>
            </w:pPr>
            <w:r>
              <w:t>RXM2AB2BD+RXZE1M2C</w:t>
            </w:r>
          </w:p>
        </w:tc>
        <w:tc>
          <w:tcPr>
            <w:tcW w:w="900" w:type="dxa"/>
            <w:tcBorders>
              <w:top w:val="nil"/>
              <w:left w:val="nil"/>
              <w:bottom w:val="single" w:color="auto" w:sz="8" w:space="0"/>
              <w:right w:val="single" w:color="auto" w:sz="8" w:space="0"/>
            </w:tcBorders>
            <w:shd w:val="clear" w:color="auto" w:fill="auto"/>
            <w:vAlign w:val="center"/>
          </w:tcPr>
          <w:p w14:paraId="1136F935">
            <w:pPr>
              <w:bidi w:val="0"/>
            </w:pPr>
            <w:r>
              <w:t>2</w:t>
            </w:r>
          </w:p>
        </w:tc>
        <w:tc>
          <w:tcPr>
            <w:tcW w:w="1480" w:type="dxa"/>
            <w:tcBorders>
              <w:top w:val="nil"/>
              <w:left w:val="nil"/>
              <w:bottom w:val="single" w:color="auto" w:sz="8" w:space="0"/>
              <w:right w:val="single" w:color="auto" w:sz="8" w:space="0"/>
            </w:tcBorders>
            <w:shd w:val="clear" w:color="auto" w:fill="auto"/>
            <w:vAlign w:val="center"/>
          </w:tcPr>
          <w:p w14:paraId="41FDCC8C">
            <w:pPr>
              <w:bidi w:val="0"/>
            </w:pPr>
            <w:r>
              <w:t>Schneider</w:t>
            </w:r>
          </w:p>
        </w:tc>
      </w:tr>
      <w:tr w14:paraId="63E906C1">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698CB439">
            <w:pPr>
              <w:bidi w:val="0"/>
            </w:pPr>
            <w:r>
              <w:rPr>
                <w:rFonts w:hint="eastAsia"/>
              </w:rPr>
              <w:t>-XA1;-XA2</w:t>
            </w:r>
          </w:p>
        </w:tc>
        <w:tc>
          <w:tcPr>
            <w:tcW w:w="1960" w:type="dxa"/>
            <w:tcBorders>
              <w:top w:val="nil"/>
              <w:left w:val="nil"/>
              <w:bottom w:val="single" w:color="auto" w:sz="8" w:space="0"/>
              <w:right w:val="single" w:color="auto" w:sz="8" w:space="0"/>
            </w:tcBorders>
            <w:shd w:val="clear" w:color="auto" w:fill="auto"/>
            <w:vAlign w:val="center"/>
          </w:tcPr>
          <w:p w14:paraId="4420A6CF">
            <w:pPr>
              <w:bidi w:val="0"/>
            </w:pPr>
            <w:r>
              <w:rPr>
                <w:rFonts w:hint="eastAsia"/>
              </w:rPr>
              <w:t>端子</w:t>
            </w:r>
          </w:p>
        </w:tc>
        <w:tc>
          <w:tcPr>
            <w:tcW w:w="2280" w:type="dxa"/>
            <w:tcBorders>
              <w:top w:val="nil"/>
              <w:left w:val="nil"/>
              <w:bottom w:val="single" w:color="auto" w:sz="8" w:space="0"/>
              <w:right w:val="single" w:color="auto" w:sz="8" w:space="0"/>
            </w:tcBorders>
            <w:shd w:val="clear" w:color="auto" w:fill="auto"/>
            <w:vAlign w:val="center"/>
          </w:tcPr>
          <w:p w14:paraId="5FF56316">
            <w:pPr>
              <w:bidi w:val="0"/>
            </w:pPr>
            <w:r>
              <w:t>280-833弹簧式</w:t>
            </w:r>
          </w:p>
        </w:tc>
        <w:tc>
          <w:tcPr>
            <w:tcW w:w="900" w:type="dxa"/>
            <w:tcBorders>
              <w:top w:val="nil"/>
              <w:left w:val="nil"/>
              <w:bottom w:val="single" w:color="auto" w:sz="8" w:space="0"/>
              <w:right w:val="single" w:color="auto" w:sz="8" w:space="0"/>
            </w:tcBorders>
            <w:shd w:val="clear" w:color="auto" w:fill="auto"/>
            <w:vAlign w:val="center"/>
          </w:tcPr>
          <w:p w14:paraId="5F338D66">
            <w:pPr>
              <w:bidi w:val="0"/>
            </w:pPr>
            <w:r>
              <w:t>40</w:t>
            </w:r>
          </w:p>
        </w:tc>
        <w:tc>
          <w:tcPr>
            <w:tcW w:w="1480" w:type="dxa"/>
            <w:tcBorders>
              <w:top w:val="nil"/>
              <w:left w:val="nil"/>
              <w:bottom w:val="single" w:color="auto" w:sz="8" w:space="0"/>
              <w:right w:val="single" w:color="auto" w:sz="8" w:space="0"/>
            </w:tcBorders>
            <w:shd w:val="clear" w:color="auto" w:fill="auto"/>
            <w:vAlign w:val="center"/>
          </w:tcPr>
          <w:p w14:paraId="3FC4C11E">
            <w:pPr>
              <w:bidi w:val="0"/>
            </w:pPr>
            <w:r>
              <w:t>WAGO</w:t>
            </w:r>
          </w:p>
        </w:tc>
      </w:tr>
      <w:tr w14:paraId="4E653884">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4E542FEA">
            <w:pPr>
              <w:bidi w:val="0"/>
            </w:pPr>
            <w:r>
              <w:rPr>
                <w:rFonts w:hint="eastAsia"/>
              </w:rPr>
              <w:t>-X1;-X2;-X4</w:t>
            </w:r>
          </w:p>
        </w:tc>
        <w:tc>
          <w:tcPr>
            <w:tcW w:w="1960" w:type="dxa"/>
            <w:tcBorders>
              <w:top w:val="nil"/>
              <w:left w:val="nil"/>
              <w:bottom w:val="single" w:color="auto" w:sz="8" w:space="0"/>
              <w:right w:val="single" w:color="auto" w:sz="8" w:space="0"/>
            </w:tcBorders>
            <w:shd w:val="clear" w:color="auto" w:fill="auto"/>
            <w:vAlign w:val="center"/>
          </w:tcPr>
          <w:p w14:paraId="4A3C1023">
            <w:pPr>
              <w:bidi w:val="0"/>
            </w:pPr>
            <w:r>
              <w:rPr>
                <w:rFonts w:hint="eastAsia"/>
              </w:rPr>
              <w:t>哈丁0.5mm 母针</w:t>
            </w:r>
          </w:p>
        </w:tc>
        <w:tc>
          <w:tcPr>
            <w:tcW w:w="2280" w:type="dxa"/>
            <w:tcBorders>
              <w:top w:val="nil"/>
              <w:left w:val="nil"/>
              <w:bottom w:val="single" w:color="auto" w:sz="8" w:space="0"/>
              <w:right w:val="single" w:color="auto" w:sz="8" w:space="0"/>
            </w:tcBorders>
            <w:shd w:val="clear" w:color="auto" w:fill="auto"/>
            <w:vAlign w:val="center"/>
          </w:tcPr>
          <w:p w14:paraId="36164A6E">
            <w:pPr>
              <w:bidi w:val="0"/>
            </w:pPr>
            <w:r>
              <w:rPr>
                <w:rFonts w:hint="eastAsia"/>
              </w:rPr>
              <w:t>9150006203</w:t>
            </w:r>
          </w:p>
        </w:tc>
        <w:tc>
          <w:tcPr>
            <w:tcW w:w="900" w:type="dxa"/>
            <w:tcBorders>
              <w:top w:val="nil"/>
              <w:left w:val="nil"/>
              <w:bottom w:val="single" w:color="auto" w:sz="8" w:space="0"/>
              <w:right w:val="single" w:color="auto" w:sz="8" w:space="0"/>
            </w:tcBorders>
            <w:shd w:val="clear" w:color="auto" w:fill="auto"/>
            <w:vAlign w:val="center"/>
          </w:tcPr>
          <w:p w14:paraId="1F9D3FC3">
            <w:pPr>
              <w:bidi w:val="0"/>
            </w:pPr>
            <w:r>
              <w:t>4</w:t>
            </w:r>
          </w:p>
        </w:tc>
        <w:tc>
          <w:tcPr>
            <w:tcW w:w="1480" w:type="dxa"/>
            <w:tcBorders>
              <w:top w:val="nil"/>
              <w:left w:val="nil"/>
              <w:bottom w:val="single" w:color="auto" w:sz="8" w:space="0"/>
              <w:right w:val="single" w:color="auto" w:sz="8" w:space="0"/>
            </w:tcBorders>
            <w:shd w:val="clear" w:color="auto" w:fill="auto"/>
            <w:vAlign w:val="center"/>
          </w:tcPr>
          <w:p w14:paraId="1C9AAE91">
            <w:pPr>
              <w:bidi w:val="0"/>
            </w:pPr>
            <w:r>
              <w:rPr>
                <w:rFonts w:hint="eastAsia"/>
              </w:rPr>
              <w:t>Harting</w:t>
            </w:r>
          </w:p>
        </w:tc>
      </w:tr>
      <w:tr w14:paraId="5F582FBA">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3F86EE4">
            <w:pPr>
              <w:bidi w:val="0"/>
            </w:pPr>
            <w:r>
              <w:rPr>
                <w:rFonts w:hint="eastAsia"/>
              </w:rPr>
              <w:t>-X1;-X2;-X4</w:t>
            </w:r>
          </w:p>
        </w:tc>
        <w:tc>
          <w:tcPr>
            <w:tcW w:w="1960" w:type="dxa"/>
            <w:tcBorders>
              <w:top w:val="nil"/>
              <w:left w:val="nil"/>
              <w:bottom w:val="single" w:color="auto" w:sz="8" w:space="0"/>
              <w:right w:val="single" w:color="auto" w:sz="8" w:space="0"/>
            </w:tcBorders>
            <w:shd w:val="clear" w:color="auto" w:fill="auto"/>
            <w:vAlign w:val="center"/>
          </w:tcPr>
          <w:p w14:paraId="351ADCFA">
            <w:pPr>
              <w:bidi w:val="0"/>
            </w:pPr>
            <w:r>
              <w:rPr>
                <w:rFonts w:hint="eastAsia"/>
              </w:rPr>
              <w:t>哈丁连接器公芯</w:t>
            </w:r>
          </w:p>
        </w:tc>
        <w:tc>
          <w:tcPr>
            <w:tcW w:w="2280" w:type="dxa"/>
            <w:tcBorders>
              <w:top w:val="nil"/>
              <w:left w:val="nil"/>
              <w:bottom w:val="single" w:color="auto" w:sz="8" w:space="0"/>
              <w:right w:val="single" w:color="auto" w:sz="8" w:space="0"/>
            </w:tcBorders>
            <w:shd w:val="clear" w:color="auto" w:fill="auto"/>
            <w:vAlign w:val="center"/>
          </w:tcPr>
          <w:p w14:paraId="55FE1187">
            <w:pPr>
              <w:bidi w:val="0"/>
            </w:pPr>
            <w:r>
              <w:rPr>
                <w:rFonts w:hint="eastAsia"/>
              </w:rPr>
              <w:t>9210403001</w:t>
            </w:r>
          </w:p>
        </w:tc>
        <w:tc>
          <w:tcPr>
            <w:tcW w:w="900" w:type="dxa"/>
            <w:tcBorders>
              <w:top w:val="nil"/>
              <w:left w:val="nil"/>
              <w:bottom w:val="single" w:color="auto" w:sz="8" w:space="0"/>
              <w:right w:val="single" w:color="auto" w:sz="8" w:space="0"/>
            </w:tcBorders>
            <w:shd w:val="clear" w:color="auto" w:fill="auto"/>
            <w:vAlign w:val="center"/>
          </w:tcPr>
          <w:p w14:paraId="3C9A7871">
            <w:pPr>
              <w:bidi w:val="0"/>
            </w:pPr>
            <w:r>
              <w:rPr>
                <w:rFonts w:hint="eastAsia"/>
              </w:rPr>
              <w:t>4</w:t>
            </w:r>
          </w:p>
        </w:tc>
        <w:tc>
          <w:tcPr>
            <w:tcW w:w="1480" w:type="dxa"/>
            <w:tcBorders>
              <w:top w:val="nil"/>
              <w:left w:val="nil"/>
              <w:bottom w:val="single" w:color="auto" w:sz="8" w:space="0"/>
              <w:right w:val="single" w:color="auto" w:sz="8" w:space="0"/>
            </w:tcBorders>
            <w:shd w:val="clear" w:color="auto" w:fill="auto"/>
            <w:vAlign w:val="center"/>
          </w:tcPr>
          <w:p w14:paraId="0DF70F34">
            <w:pPr>
              <w:bidi w:val="0"/>
            </w:pPr>
            <w:r>
              <w:rPr>
                <w:rFonts w:hint="eastAsia"/>
              </w:rPr>
              <w:t>Harting</w:t>
            </w:r>
          </w:p>
        </w:tc>
      </w:tr>
      <w:tr w14:paraId="00AAD0B1">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20EC666">
            <w:pPr>
              <w:bidi w:val="0"/>
            </w:pPr>
            <w:r>
              <w:rPr>
                <w:rFonts w:hint="eastAsia"/>
              </w:rPr>
              <w:t>-X1;-X2;-X3;-X4</w:t>
            </w:r>
          </w:p>
        </w:tc>
        <w:tc>
          <w:tcPr>
            <w:tcW w:w="1960" w:type="dxa"/>
            <w:tcBorders>
              <w:top w:val="nil"/>
              <w:left w:val="nil"/>
              <w:bottom w:val="single" w:color="auto" w:sz="8" w:space="0"/>
              <w:right w:val="single" w:color="auto" w:sz="8" w:space="0"/>
            </w:tcBorders>
            <w:shd w:val="clear" w:color="auto" w:fill="auto"/>
            <w:vAlign w:val="center"/>
          </w:tcPr>
          <w:p w14:paraId="0714FCC7">
            <w:pPr>
              <w:bidi w:val="0"/>
            </w:pPr>
            <w:r>
              <w:rPr>
                <w:rFonts w:hint="eastAsia"/>
              </w:rPr>
              <w:t>哈丁0.5mm 公针</w:t>
            </w:r>
          </w:p>
        </w:tc>
        <w:tc>
          <w:tcPr>
            <w:tcW w:w="2280" w:type="dxa"/>
            <w:tcBorders>
              <w:top w:val="nil"/>
              <w:left w:val="nil"/>
              <w:bottom w:val="single" w:color="auto" w:sz="8" w:space="0"/>
              <w:right w:val="single" w:color="auto" w:sz="8" w:space="0"/>
            </w:tcBorders>
            <w:shd w:val="clear" w:color="auto" w:fill="auto"/>
            <w:vAlign w:val="center"/>
          </w:tcPr>
          <w:p w14:paraId="10AA76E3">
            <w:pPr>
              <w:bidi w:val="0"/>
            </w:pPr>
            <w:r>
              <w:rPr>
                <w:rFonts w:hint="eastAsia"/>
              </w:rPr>
              <w:t>9150006103</w:t>
            </w:r>
          </w:p>
        </w:tc>
        <w:tc>
          <w:tcPr>
            <w:tcW w:w="900" w:type="dxa"/>
            <w:tcBorders>
              <w:top w:val="nil"/>
              <w:left w:val="nil"/>
              <w:bottom w:val="single" w:color="auto" w:sz="8" w:space="0"/>
              <w:right w:val="single" w:color="auto" w:sz="8" w:space="0"/>
            </w:tcBorders>
            <w:shd w:val="clear" w:color="auto" w:fill="auto"/>
            <w:vAlign w:val="center"/>
          </w:tcPr>
          <w:p w14:paraId="3C24B97B">
            <w:pPr>
              <w:bidi w:val="0"/>
            </w:pPr>
            <w:r>
              <w:rPr>
                <w:rFonts w:hint="eastAsia"/>
              </w:rPr>
              <w:t>X</w:t>
            </w:r>
          </w:p>
        </w:tc>
        <w:tc>
          <w:tcPr>
            <w:tcW w:w="1480" w:type="dxa"/>
            <w:tcBorders>
              <w:top w:val="nil"/>
              <w:left w:val="nil"/>
              <w:bottom w:val="single" w:color="auto" w:sz="8" w:space="0"/>
              <w:right w:val="single" w:color="auto" w:sz="8" w:space="0"/>
            </w:tcBorders>
            <w:shd w:val="clear" w:color="auto" w:fill="auto"/>
            <w:vAlign w:val="center"/>
          </w:tcPr>
          <w:p w14:paraId="1AC8FECA">
            <w:pPr>
              <w:bidi w:val="0"/>
            </w:pPr>
            <w:r>
              <w:rPr>
                <w:rFonts w:hint="eastAsia"/>
              </w:rPr>
              <w:t>Harting</w:t>
            </w:r>
          </w:p>
        </w:tc>
      </w:tr>
      <w:tr w14:paraId="06CA43AA">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4FB8992">
            <w:pPr>
              <w:bidi w:val="0"/>
            </w:pPr>
            <w:r>
              <w:rPr>
                <w:rFonts w:hint="eastAsia"/>
              </w:rPr>
              <w:t>-X1;-X2;-X3;-X4</w:t>
            </w:r>
          </w:p>
        </w:tc>
        <w:tc>
          <w:tcPr>
            <w:tcW w:w="1960" w:type="dxa"/>
            <w:tcBorders>
              <w:top w:val="nil"/>
              <w:left w:val="nil"/>
              <w:bottom w:val="single" w:color="auto" w:sz="8" w:space="0"/>
              <w:right w:val="single" w:color="auto" w:sz="8" w:space="0"/>
            </w:tcBorders>
            <w:shd w:val="clear" w:color="auto" w:fill="auto"/>
            <w:vAlign w:val="center"/>
          </w:tcPr>
          <w:p w14:paraId="3C1F309A">
            <w:pPr>
              <w:bidi w:val="0"/>
            </w:pPr>
            <w:r>
              <w:rPr>
                <w:rFonts w:hint="eastAsia"/>
              </w:rPr>
              <w:t>哈丁公头护罩</w:t>
            </w:r>
          </w:p>
        </w:tc>
        <w:tc>
          <w:tcPr>
            <w:tcW w:w="2280" w:type="dxa"/>
            <w:tcBorders>
              <w:top w:val="nil"/>
              <w:left w:val="nil"/>
              <w:bottom w:val="single" w:color="auto" w:sz="8" w:space="0"/>
              <w:right w:val="single" w:color="auto" w:sz="8" w:space="0"/>
            </w:tcBorders>
            <w:shd w:val="clear" w:color="auto" w:fill="auto"/>
            <w:vAlign w:val="center"/>
          </w:tcPr>
          <w:p w14:paraId="32054C2F">
            <w:pPr>
              <w:bidi w:val="0"/>
            </w:pPr>
            <w:r>
              <w:rPr>
                <w:rFonts w:hint="eastAsia"/>
              </w:rPr>
              <w:t>W16B-TEH-4B-M40</w:t>
            </w:r>
          </w:p>
        </w:tc>
        <w:tc>
          <w:tcPr>
            <w:tcW w:w="900" w:type="dxa"/>
            <w:tcBorders>
              <w:top w:val="nil"/>
              <w:left w:val="nil"/>
              <w:bottom w:val="single" w:color="auto" w:sz="8" w:space="0"/>
              <w:right w:val="single" w:color="auto" w:sz="8" w:space="0"/>
            </w:tcBorders>
            <w:shd w:val="clear" w:color="auto" w:fill="auto"/>
            <w:vAlign w:val="center"/>
          </w:tcPr>
          <w:p w14:paraId="15C83D01">
            <w:pPr>
              <w:bidi w:val="0"/>
            </w:pPr>
            <w:r>
              <w:rPr>
                <w:rFonts w:hint="eastAsia"/>
              </w:rPr>
              <w:t>X</w:t>
            </w:r>
          </w:p>
        </w:tc>
        <w:tc>
          <w:tcPr>
            <w:tcW w:w="1480" w:type="dxa"/>
            <w:tcBorders>
              <w:top w:val="nil"/>
              <w:left w:val="nil"/>
              <w:bottom w:val="single" w:color="auto" w:sz="8" w:space="0"/>
              <w:right w:val="single" w:color="auto" w:sz="8" w:space="0"/>
            </w:tcBorders>
            <w:shd w:val="clear" w:color="auto" w:fill="auto"/>
            <w:vAlign w:val="center"/>
          </w:tcPr>
          <w:p w14:paraId="317E9F41">
            <w:pPr>
              <w:bidi w:val="0"/>
            </w:pPr>
            <w:r>
              <w:rPr>
                <w:rFonts w:hint="eastAsia"/>
              </w:rPr>
              <w:t>Harting</w:t>
            </w:r>
          </w:p>
        </w:tc>
      </w:tr>
      <w:tr w14:paraId="5E349148">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01A255E">
            <w:pPr>
              <w:bidi w:val="0"/>
            </w:pPr>
            <w:r>
              <w:rPr>
                <w:rFonts w:hint="eastAsia"/>
              </w:rPr>
              <w:t>-Z101</w:t>
            </w:r>
          </w:p>
        </w:tc>
        <w:tc>
          <w:tcPr>
            <w:tcW w:w="1960" w:type="dxa"/>
            <w:tcBorders>
              <w:top w:val="nil"/>
              <w:left w:val="nil"/>
              <w:bottom w:val="single" w:color="auto" w:sz="8" w:space="0"/>
              <w:right w:val="single" w:color="auto" w:sz="8" w:space="0"/>
            </w:tcBorders>
            <w:shd w:val="clear" w:color="auto" w:fill="auto"/>
            <w:vAlign w:val="center"/>
          </w:tcPr>
          <w:p w14:paraId="472C4085">
            <w:pPr>
              <w:bidi w:val="0"/>
            </w:pPr>
            <w:r>
              <w:rPr>
                <w:rFonts w:hint="eastAsia"/>
              </w:rPr>
              <w:t>网络交换机</w:t>
            </w:r>
          </w:p>
        </w:tc>
        <w:tc>
          <w:tcPr>
            <w:tcW w:w="2280" w:type="dxa"/>
            <w:tcBorders>
              <w:top w:val="nil"/>
              <w:left w:val="nil"/>
              <w:bottom w:val="single" w:color="auto" w:sz="8" w:space="0"/>
              <w:right w:val="single" w:color="auto" w:sz="8" w:space="0"/>
            </w:tcBorders>
            <w:shd w:val="clear" w:color="auto" w:fill="auto"/>
            <w:vAlign w:val="center"/>
          </w:tcPr>
          <w:p w14:paraId="35F068A7">
            <w:pPr>
              <w:bidi w:val="0"/>
            </w:pPr>
            <w:r>
              <w:rPr>
                <w:rFonts w:hint="eastAsia"/>
              </w:rPr>
              <w:t>TL-SG2008</w:t>
            </w:r>
          </w:p>
        </w:tc>
        <w:tc>
          <w:tcPr>
            <w:tcW w:w="900" w:type="dxa"/>
            <w:tcBorders>
              <w:top w:val="nil"/>
              <w:left w:val="nil"/>
              <w:bottom w:val="single" w:color="auto" w:sz="8" w:space="0"/>
              <w:right w:val="single" w:color="auto" w:sz="8" w:space="0"/>
            </w:tcBorders>
            <w:shd w:val="clear" w:color="auto" w:fill="auto"/>
            <w:vAlign w:val="center"/>
          </w:tcPr>
          <w:p w14:paraId="58575AB4">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286DDE84">
            <w:pPr>
              <w:bidi w:val="0"/>
            </w:pPr>
            <w:r>
              <w:rPr>
                <w:rFonts w:hint="eastAsia"/>
              </w:rPr>
              <w:t>TP-Link</w:t>
            </w:r>
          </w:p>
        </w:tc>
      </w:tr>
    </w:tbl>
    <w:p w14:paraId="6947A279">
      <w:pPr>
        <w:pStyle w:val="13"/>
        <w:bidi w:val="0"/>
      </w:pPr>
      <w:r>
        <w:rPr>
          <w:rFonts w:hint="eastAsia"/>
        </w:rPr>
        <w:t>电缆接线图</w:t>
      </w:r>
    </w:p>
    <w:p w14:paraId="15AC0207">
      <w:pPr>
        <w:bidi w:val="0"/>
      </w:pPr>
      <w:r>
        <w:rPr>
          <w:rFonts w:hint="eastAsia"/>
        </w:rPr>
        <w:t>原机信号电缆接线图</w:t>
      </w:r>
    </w:p>
    <w:p w14:paraId="21187E57">
      <w:pPr>
        <w:bidi w:val="0"/>
      </w:pPr>
      <w:r>
        <w:drawing>
          <wp:inline distT="0" distB="0" distL="0" distR="0">
            <wp:extent cx="6120130" cy="3892550"/>
            <wp:effectExtent l="0" t="0" r="13970" b="12700"/>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56"/>
                    <a:stretch>
                      <a:fillRect/>
                    </a:stretch>
                  </pic:blipFill>
                  <pic:spPr>
                    <a:xfrm>
                      <a:off x="0" y="0"/>
                      <a:ext cx="6120130" cy="3892550"/>
                    </a:xfrm>
                    <a:prstGeom prst="rect">
                      <a:avLst/>
                    </a:prstGeom>
                  </pic:spPr>
                </pic:pic>
              </a:graphicData>
            </a:graphic>
          </wp:inline>
        </w:drawing>
      </w:r>
      <w:r>
        <w:t xml:space="preserve"> </w:t>
      </w:r>
    </w:p>
    <w:p w14:paraId="66319652">
      <w:pPr>
        <w:bidi w:val="0"/>
      </w:pPr>
      <w:r>
        <w:drawing>
          <wp:inline distT="0" distB="0" distL="0" distR="0">
            <wp:extent cx="6120130" cy="4070350"/>
            <wp:effectExtent l="0" t="0" r="13970" b="635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57"/>
                    <a:stretch>
                      <a:fillRect/>
                    </a:stretch>
                  </pic:blipFill>
                  <pic:spPr>
                    <a:xfrm>
                      <a:off x="0" y="0"/>
                      <a:ext cx="6120130" cy="4070350"/>
                    </a:xfrm>
                    <a:prstGeom prst="rect">
                      <a:avLst/>
                    </a:prstGeom>
                  </pic:spPr>
                </pic:pic>
              </a:graphicData>
            </a:graphic>
          </wp:inline>
        </w:drawing>
      </w:r>
      <w:r>
        <w:t xml:space="preserve"> </w:t>
      </w:r>
    </w:p>
    <w:p w14:paraId="3E58BB08">
      <w:pPr>
        <w:bidi w:val="0"/>
      </w:pPr>
      <w:r>
        <w:rPr>
          <w:rFonts w:hint="eastAsia"/>
        </w:rPr>
        <w:t>读码器电缆接线图</w:t>
      </w:r>
    </w:p>
    <w:p w14:paraId="09391A43">
      <w:pPr>
        <w:bidi w:val="0"/>
      </w:pPr>
      <w:r>
        <w:drawing>
          <wp:inline distT="0" distB="0" distL="0" distR="0">
            <wp:extent cx="6120130" cy="4389120"/>
            <wp:effectExtent l="0" t="0" r="13970" b="1143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58"/>
                    <a:stretch>
                      <a:fillRect/>
                    </a:stretch>
                  </pic:blipFill>
                  <pic:spPr>
                    <a:xfrm>
                      <a:off x="0" y="0"/>
                      <a:ext cx="6120130" cy="4389120"/>
                    </a:xfrm>
                    <a:prstGeom prst="rect">
                      <a:avLst/>
                    </a:prstGeom>
                  </pic:spPr>
                </pic:pic>
              </a:graphicData>
            </a:graphic>
          </wp:inline>
        </w:drawing>
      </w:r>
      <w:r>
        <w:t xml:space="preserve"> </w:t>
      </w:r>
    </w:p>
    <w:p w14:paraId="6F392C08">
      <w:pPr>
        <w:bidi w:val="0"/>
      </w:pPr>
    </w:p>
    <w:p w14:paraId="5A0C9B26">
      <w:pPr>
        <w:pStyle w:val="13"/>
        <w:bidi w:val="0"/>
      </w:pPr>
      <w:r>
        <w:rPr>
          <w:rFonts w:hint="eastAsia"/>
        </w:rPr>
        <w:t>网络配置图</w:t>
      </w:r>
    </w:p>
    <w:p w14:paraId="54E41272">
      <w:pPr>
        <w:bidi w:val="0"/>
      </w:pPr>
      <w:r>
        <w:drawing>
          <wp:inline distT="0" distB="0" distL="0" distR="0">
            <wp:extent cx="6120130" cy="4406265"/>
            <wp:effectExtent l="0" t="0" r="13970" b="1333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120130" cy="4406265"/>
                    </a:xfrm>
                    <a:prstGeom prst="rect">
                      <a:avLst/>
                    </a:prstGeom>
                    <a:noFill/>
                    <a:ln>
                      <a:noFill/>
                    </a:ln>
                  </pic:spPr>
                </pic:pic>
              </a:graphicData>
            </a:graphic>
          </wp:inline>
        </w:drawing>
      </w:r>
    </w:p>
    <w:p w14:paraId="42137A69">
      <w:pPr>
        <w:pStyle w:val="13"/>
        <w:bidi w:val="0"/>
      </w:pPr>
      <w:r>
        <w:rPr>
          <w:rFonts w:hint="eastAsia"/>
        </w:rPr>
        <w:t>点位配置图</w:t>
      </w:r>
    </w:p>
    <w:p w14:paraId="3B3486E5">
      <w:pPr>
        <w:bidi w:val="0"/>
      </w:pPr>
      <w:r>
        <w:rPr>
          <w:rFonts w:hint="eastAsia"/>
        </w:rPr>
        <w:t>1</w:t>
      </w:r>
      <w:r>
        <w:t>200PLC</w:t>
      </w:r>
      <w:r>
        <w:rPr>
          <w:rFonts w:hint="eastAsia"/>
        </w:rPr>
        <w:t>点位配置</w:t>
      </w:r>
    </w:p>
    <w:p w14:paraId="209DBC4A">
      <w:pPr>
        <w:bidi w:val="0"/>
      </w:pPr>
      <w:r>
        <w:drawing>
          <wp:inline distT="0" distB="0" distL="0" distR="0">
            <wp:extent cx="6120130" cy="4384675"/>
            <wp:effectExtent l="0" t="0" r="13970" b="1587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60"/>
                    <a:stretch>
                      <a:fillRect/>
                    </a:stretch>
                  </pic:blipFill>
                  <pic:spPr>
                    <a:xfrm>
                      <a:off x="0" y="0"/>
                      <a:ext cx="6120130" cy="4384675"/>
                    </a:xfrm>
                    <a:prstGeom prst="rect">
                      <a:avLst/>
                    </a:prstGeom>
                  </pic:spPr>
                </pic:pic>
              </a:graphicData>
            </a:graphic>
          </wp:inline>
        </w:drawing>
      </w:r>
      <w:r>
        <w:t xml:space="preserve"> </w:t>
      </w:r>
    </w:p>
    <w:p w14:paraId="5EAA1E3C">
      <w:pPr>
        <w:bidi w:val="0"/>
      </w:pPr>
      <w:r>
        <w:t>200PLC</w:t>
      </w:r>
      <w:r>
        <w:rPr>
          <w:rFonts w:hint="eastAsia"/>
        </w:rPr>
        <w:t>点位配置</w:t>
      </w:r>
    </w:p>
    <w:p w14:paraId="369F165F">
      <w:pPr>
        <w:bidi w:val="0"/>
      </w:pPr>
      <w:r>
        <w:drawing>
          <wp:inline distT="0" distB="0" distL="0" distR="0">
            <wp:extent cx="6120130" cy="3910330"/>
            <wp:effectExtent l="0" t="0" r="13970" b="1397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61"/>
                    <a:stretch>
                      <a:fillRect/>
                    </a:stretch>
                  </pic:blipFill>
                  <pic:spPr>
                    <a:xfrm>
                      <a:off x="0" y="0"/>
                      <a:ext cx="6127262" cy="3915376"/>
                    </a:xfrm>
                    <a:prstGeom prst="rect">
                      <a:avLst/>
                    </a:prstGeom>
                  </pic:spPr>
                </pic:pic>
              </a:graphicData>
            </a:graphic>
          </wp:inline>
        </w:drawing>
      </w:r>
      <w:r>
        <w:t xml:space="preserve"> </w:t>
      </w:r>
    </w:p>
    <w:p w14:paraId="380517FA">
      <w:pPr>
        <w:pStyle w:val="13"/>
        <w:bidi w:val="0"/>
      </w:pPr>
      <w:r>
        <w:rPr>
          <w:rFonts w:hint="eastAsia"/>
        </w:rPr>
        <w:t>烟机点位表</w:t>
      </w:r>
    </w:p>
    <w:p w14:paraId="20BC1D07">
      <w:pPr>
        <w:bidi w:val="0"/>
        <w:ind w:firstLine="420" w:firstLineChars="0"/>
      </w:pPr>
      <w:r>
        <w:rPr>
          <w:rFonts w:hint="eastAsia"/>
        </w:rPr>
        <w:t>外挂机型电气运维手册所包含的二维码相关剔除及停机信号接入点位/电源参照下表标红部分。</w:t>
      </w:r>
    </w:p>
    <w:tbl>
      <w:tblPr>
        <w:tblStyle w:val="43"/>
        <w:tblW w:w="9620" w:type="dxa"/>
        <w:tblInd w:w="0" w:type="dxa"/>
        <w:shd w:val="clear" w:color="auto" w:fill="FFFFFF" w:themeFill="background1"/>
        <w:tblLayout w:type="autofit"/>
        <w:tblCellMar>
          <w:top w:w="0" w:type="dxa"/>
          <w:left w:w="108" w:type="dxa"/>
          <w:bottom w:w="0" w:type="dxa"/>
          <w:right w:w="108" w:type="dxa"/>
        </w:tblCellMar>
      </w:tblPr>
      <w:tblGrid>
        <w:gridCol w:w="1718"/>
        <w:gridCol w:w="1656"/>
        <w:gridCol w:w="741"/>
        <w:gridCol w:w="2313"/>
        <w:gridCol w:w="1656"/>
        <w:gridCol w:w="1536"/>
      </w:tblGrid>
      <w:tr w14:paraId="78D3B49C">
        <w:tblPrEx>
          <w:tblCellMar>
            <w:top w:w="0" w:type="dxa"/>
            <w:left w:w="108" w:type="dxa"/>
            <w:bottom w:w="0" w:type="dxa"/>
            <w:right w:w="108" w:type="dxa"/>
          </w:tblCellMar>
        </w:tblPrEx>
        <w:trPr>
          <w:trHeight w:val="300" w:hRule="atLeast"/>
        </w:trPr>
        <w:tc>
          <w:tcPr>
            <w:tcW w:w="9620" w:type="dxa"/>
            <w:gridSpan w:val="6"/>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46C0DE23">
            <w:pPr>
              <w:bidi w:val="0"/>
              <w:rPr>
                <w:color w:val="auto"/>
              </w:rPr>
            </w:pPr>
            <w:r>
              <w:rPr>
                <w:rFonts w:hint="eastAsia"/>
                <w:color w:val="auto"/>
              </w:rPr>
              <w:t>二维码电柜与原机接线说明</w:t>
            </w:r>
          </w:p>
        </w:tc>
      </w:tr>
      <w:tr w14:paraId="5F7F1C71">
        <w:tblPrEx>
          <w:shd w:val="clear" w:color="auto" w:fill="FFFFFF" w:themeFill="background1"/>
          <w:tblCellMar>
            <w:top w:w="0" w:type="dxa"/>
            <w:left w:w="108" w:type="dxa"/>
            <w:bottom w:w="0" w:type="dxa"/>
            <w:right w:w="108" w:type="dxa"/>
          </w:tblCellMar>
        </w:tblPrEx>
        <w:trPr>
          <w:trHeight w:val="12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9DF193C">
            <w:pPr>
              <w:bidi w:val="0"/>
              <w:rPr>
                <w:color w:val="auto"/>
              </w:rPr>
            </w:pPr>
            <w:r>
              <w:rPr>
                <w:rFonts w:hint="eastAsia"/>
                <w:color w:val="auto"/>
              </w:rPr>
              <w:t>二维码电柜地址</w:t>
            </w:r>
          </w:p>
        </w:tc>
        <w:tc>
          <w:tcPr>
            <w:tcW w:w="1468" w:type="dxa"/>
            <w:tcBorders>
              <w:top w:val="nil"/>
              <w:left w:val="nil"/>
              <w:bottom w:val="single" w:color="auto" w:sz="4" w:space="0"/>
              <w:right w:val="single" w:color="auto" w:sz="4" w:space="0"/>
            </w:tcBorders>
            <w:shd w:val="clear" w:color="auto" w:fill="FFFFFF" w:themeFill="background1"/>
            <w:vAlign w:val="center"/>
          </w:tcPr>
          <w:p w14:paraId="5F2B7DDA">
            <w:pPr>
              <w:bidi w:val="0"/>
              <w:rPr>
                <w:color w:val="auto"/>
              </w:rPr>
            </w:pPr>
            <w:r>
              <w:rPr>
                <w:rFonts w:hint="eastAsia"/>
                <w:color w:val="auto"/>
              </w:rPr>
              <w:t>二维码电柜则航插</w:t>
            </w:r>
          </w:p>
        </w:tc>
        <w:tc>
          <w:tcPr>
            <w:tcW w:w="812" w:type="dxa"/>
            <w:tcBorders>
              <w:top w:val="nil"/>
              <w:left w:val="nil"/>
              <w:bottom w:val="single" w:color="auto" w:sz="4" w:space="0"/>
              <w:right w:val="single" w:color="auto" w:sz="4" w:space="0"/>
            </w:tcBorders>
            <w:shd w:val="clear" w:color="auto" w:fill="FFFFFF" w:themeFill="background1"/>
            <w:vAlign w:val="center"/>
          </w:tcPr>
          <w:p w14:paraId="3060AFF8">
            <w:pPr>
              <w:bidi w:val="0"/>
              <w:rPr>
                <w:color w:val="auto"/>
              </w:rPr>
            </w:pPr>
            <w:r>
              <w:rPr>
                <w:rFonts w:hint="eastAsia"/>
                <w:color w:val="auto"/>
              </w:rPr>
              <w:t>中间线缆颜色或线号</w:t>
            </w:r>
          </w:p>
        </w:tc>
        <w:tc>
          <w:tcPr>
            <w:tcW w:w="2597" w:type="dxa"/>
            <w:tcBorders>
              <w:top w:val="nil"/>
              <w:left w:val="nil"/>
              <w:bottom w:val="single" w:color="auto" w:sz="4" w:space="0"/>
              <w:right w:val="single" w:color="auto" w:sz="4" w:space="0"/>
            </w:tcBorders>
            <w:shd w:val="clear" w:color="auto" w:fill="FFFFFF" w:themeFill="background1"/>
            <w:vAlign w:val="center"/>
          </w:tcPr>
          <w:p w14:paraId="008F8564">
            <w:pPr>
              <w:bidi w:val="0"/>
              <w:rPr>
                <w:color w:val="auto"/>
              </w:rPr>
            </w:pPr>
            <w:r>
              <w:rPr>
                <w:rFonts w:hint="eastAsia"/>
                <w:color w:val="auto"/>
              </w:rPr>
              <w:t>例如:郑州C6机组原机电柜点位/每台原机的设备可能不同依据原机点位功能对应查找</w:t>
            </w:r>
          </w:p>
        </w:tc>
        <w:tc>
          <w:tcPr>
            <w:tcW w:w="1470" w:type="dxa"/>
            <w:tcBorders>
              <w:top w:val="nil"/>
              <w:left w:val="nil"/>
              <w:bottom w:val="single" w:color="auto" w:sz="4" w:space="0"/>
              <w:right w:val="single" w:color="auto" w:sz="4" w:space="0"/>
            </w:tcBorders>
            <w:shd w:val="clear" w:color="auto" w:fill="FFFFFF" w:themeFill="background1"/>
            <w:vAlign w:val="center"/>
          </w:tcPr>
          <w:p w14:paraId="46E32AC8">
            <w:pPr>
              <w:bidi w:val="0"/>
              <w:rPr>
                <w:color w:val="auto"/>
              </w:rPr>
            </w:pPr>
            <w:r>
              <w:rPr>
                <w:rFonts w:hint="eastAsia"/>
                <w:color w:val="auto"/>
              </w:rPr>
              <w:t>原机点位功能说明</w:t>
            </w:r>
          </w:p>
        </w:tc>
        <w:tc>
          <w:tcPr>
            <w:tcW w:w="1419" w:type="dxa"/>
            <w:tcBorders>
              <w:top w:val="nil"/>
              <w:left w:val="nil"/>
              <w:bottom w:val="single" w:color="auto" w:sz="4" w:space="0"/>
              <w:right w:val="single" w:color="auto" w:sz="4" w:space="0"/>
            </w:tcBorders>
            <w:shd w:val="clear" w:color="auto" w:fill="FFFFFF" w:themeFill="background1"/>
            <w:vAlign w:val="center"/>
          </w:tcPr>
          <w:p w14:paraId="761B20E3">
            <w:pPr>
              <w:bidi w:val="0"/>
              <w:rPr>
                <w:color w:val="auto"/>
              </w:rPr>
            </w:pPr>
            <w:r>
              <w:rPr>
                <w:rFonts w:hint="eastAsia"/>
                <w:color w:val="auto"/>
              </w:rPr>
              <w:t>原机电柜X4航插</w:t>
            </w:r>
          </w:p>
        </w:tc>
      </w:tr>
      <w:tr w14:paraId="211C0F81">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88000C4">
            <w:pPr>
              <w:bidi w:val="0"/>
              <w:rPr>
                <w:color w:val="auto"/>
              </w:rPr>
            </w:pPr>
            <w:r>
              <w:rPr>
                <w:rFonts w:hint="eastAsia"/>
                <w:color w:val="auto"/>
              </w:rPr>
              <w:t>动力电源供电AC220V：L</w:t>
            </w:r>
          </w:p>
        </w:tc>
        <w:tc>
          <w:tcPr>
            <w:tcW w:w="1468" w:type="dxa"/>
            <w:tcBorders>
              <w:top w:val="nil"/>
              <w:left w:val="nil"/>
              <w:bottom w:val="single" w:color="auto" w:sz="4" w:space="0"/>
              <w:right w:val="single" w:color="auto" w:sz="4" w:space="0"/>
            </w:tcBorders>
            <w:shd w:val="clear" w:color="auto" w:fill="FFFFFF" w:themeFill="background1"/>
            <w:vAlign w:val="center"/>
          </w:tcPr>
          <w:p w14:paraId="4F7C5374">
            <w:pPr>
              <w:bidi w:val="0"/>
              <w:rPr>
                <w:color w:val="auto"/>
              </w:rPr>
            </w:pPr>
            <w:r>
              <w:rPr>
                <w:rFonts w:hint="eastAsia"/>
                <w:color w:val="auto"/>
              </w:rPr>
              <w:t>Power航插1脚/L</w:t>
            </w:r>
          </w:p>
        </w:tc>
        <w:tc>
          <w:tcPr>
            <w:tcW w:w="812" w:type="dxa"/>
            <w:tcBorders>
              <w:top w:val="nil"/>
              <w:left w:val="nil"/>
              <w:bottom w:val="single" w:color="auto" w:sz="4" w:space="0"/>
              <w:right w:val="single" w:color="auto" w:sz="4" w:space="0"/>
            </w:tcBorders>
            <w:shd w:val="clear" w:color="auto" w:fill="FFFFFF" w:themeFill="background1"/>
            <w:vAlign w:val="center"/>
          </w:tcPr>
          <w:p w14:paraId="7D0F7D96">
            <w:pPr>
              <w:bidi w:val="0"/>
              <w:rPr>
                <w:color w:val="auto"/>
              </w:rPr>
            </w:pPr>
            <w:r>
              <w:rPr>
                <w:rFonts w:hint="eastAsia"/>
                <w:color w:val="auto"/>
              </w:rPr>
              <w:t>棕色</w:t>
            </w:r>
          </w:p>
        </w:tc>
        <w:tc>
          <w:tcPr>
            <w:tcW w:w="2597" w:type="dxa"/>
            <w:tcBorders>
              <w:top w:val="nil"/>
              <w:left w:val="nil"/>
              <w:bottom w:val="single" w:color="auto" w:sz="4" w:space="0"/>
              <w:right w:val="single" w:color="auto" w:sz="4" w:space="0"/>
            </w:tcBorders>
            <w:shd w:val="clear" w:color="auto" w:fill="FFFFFF" w:themeFill="background1"/>
            <w:vAlign w:val="center"/>
          </w:tcPr>
          <w:p w14:paraId="355A80E3">
            <w:pPr>
              <w:bidi w:val="0"/>
              <w:rPr>
                <w:color w:val="auto"/>
              </w:rPr>
            </w:pPr>
            <w:r>
              <w:rPr>
                <w:rFonts w:hint="eastAsia"/>
                <w:color w:val="auto"/>
              </w:rPr>
              <w:t>火线</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13F8264">
            <w:pPr>
              <w:bidi w:val="0"/>
              <w:rPr>
                <w:color w:val="auto"/>
              </w:rPr>
            </w:pPr>
            <w:r>
              <w:rPr>
                <w:rFonts w:hint="eastAsia"/>
                <w:color w:val="auto"/>
              </w:rPr>
              <w:t>原机AC220V电源</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7C7FA85">
            <w:pPr>
              <w:bidi w:val="0"/>
              <w:rPr>
                <w:color w:val="auto"/>
              </w:rPr>
            </w:pPr>
            <w:r>
              <w:rPr>
                <w:rFonts w:hint="eastAsia"/>
                <w:color w:val="auto"/>
              </w:rPr>
              <w:t>直接进原机电柜接线</w:t>
            </w:r>
          </w:p>
        </w:tc>
      </w:tr>
      <w:tr w14:paraId="58086D48">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14D70EE">
            <w:pPr>
              <w:bidi w:val="0"/>
              <w:rPr>
                <w:color w:val="auto"/>
              </w:rPr>
            </w:pPr>
            <w:r>
              <w:rPr>
                <w:rFonts w:hint="eastAsia"/>
                <w:color w:val="auto"/>
              </w:rPr>
              <w:t>动力电源供电AC220V：N</w:t>
            </w:r>
          </w:p>
        </w:tc>
        <w:tc>
          <w:tcPr>
            <w:tcW w:w="1468" w:type="dxa"/>
            <w:tcBorders>
              <w:top w:val="nil"/>
              <w:left w:val="nil"/>
              <w:bottom w:val="single" w:color="auto" w:sz="4" w:space="0"/>
              <w:right w:val="single" w:color="auto" w:sz="4" w:space="0"/>
            </w:tcBorders>
            <w:shd w:val="clear" w:color="auto" w:fill="FFFFFF" w:themeFill="background1"/>
            <w:vAlign w:val="center"/>
          </w:tcPr>
          <w:p w14:paraId="5F76A1A7">
            <w:pPr>
              <w:bidi w:val="0"/>
              <w:rPr>
                <w:color w:val="auto"/>
              </w:rPr>
            </w:pPr>
            <w:r>
              <w:rPr>
                <w:rFonts w:hint="eastAsia"/>
                <w:color w:val="auto"/>
              </w:rPr>
              <w:t>Power航插2脚/N</w:t>
            </w:r>
          </w:p>
        </w:tc>
        <w:tc>
          <w:tcPr>
            <w:tcW w:w="812" w:type="dxa"/>
            <w:tcBorders>
              <w:top w:val="nil"/>
              <w:left w:val="nil"/>
              <w:bottom w:val="single" w:color="auto" w:sz="4" w:space="0"/>
              <w:right w:val="single" w:color="auto" w:sz="4" w:space="0"/>
            </w:tcBorders>
            <w:shd w:val="clear" w:color="auto" w:fill="FFFFFF" w:themeFill="background1"/>
            <w:vAlign w:val="center"/>
          </w:tcPr>
          <w:p w14:paraId="408792A6">
            <w:pPr>
              <w:bidi w:val="0"/>
              <w:rPr>
                <w:color w:val="auto"/>
              </w:rPr>
            </w:pPr>
            <w:r>
              <w:rPr>
                <w:rFonts w:hint="eastAsia"/>
                <w:color w:val="auto"/>
              </w:rPr>
              <w:t>蓝色</w:t>
            </w:r>
          </w:p>
        </w:tc>
        <w:tc>
          <w:tcPr>
            <w:tcW w:w="2597" w:type="dxa"/>
            <w:tcBorders>
              <w:top w:val="nil"/>
              <w:left w:val="nil"/>
              <w:bottom w:val="single" w:color="auto" w:sz="4" w:space="0"/>
              <w:right w:val="single" w:color="auto" w:sz="4" w:space="0"/>
            </w:tcBorders>
            <w:shd w:val="clear" w:color="auto" w:fill="FFFFFF" w:themeFill="background1"/>
            <w:vAlign w:val="center"/>
          </w:tcPr>
          <w:p w14:paraId="604BE046">
            <w:pPr>
              <w:bidi w:val="0"/>
              <w:rPr>
                <w:color w:val="auto"/>
              </w:rPr>
            </w:pPr>
            <w:r>
              <w:rPr>
                <w:rFonts w:hint="eastAsia"/>
                <w:color w:val="auto"/>
              </w:rPr>
              <w:t>零线</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F9293C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6439C50">
            <w:pPr>
              <w:bidi w:val="0"/>
              <w:rPr>
                <w:color w:val="auto"/>
              </w:rPr>
            </w:pPr>
          </w:p>
        </w:tc>
      </w:tr>
      <w:tr w14:paraId="0AEDF146">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EC98522">
            <w:pPr>
              <w:bidi w:val="0"/>
              <w:rPr>
                <w:color w:val="auto"/>
              </w:rPr>
            </w:pPr>
            <w:r>
              <w:rPr>
                <w:rFonts w:hint="eastAsia"/>
                <w:color w:val="auto"/>
              </w:rPr>
              <w:t>动力电源供电AC220V：地</w:t>
            </w:r>
          </w:p>
        </w:tc>
        <w:tc>
          <w:tcPr>
            <w:tcW w:w="1468" w:type="dxa"/>
            <w:tcBorders>
              <w:top w:val="nil"/>
              <w:left w:val="nil"/>
              <w:bottom w:val="single" w:color="auto" w:sz="4" w:space="0"/>
              <w:right w:val="single" w:color="auto" w:sz="4" w:space="0"/>
            </w:tcBorders>
            <w:shd w:val="clear" w:color="auto" w:fill="FFFFFF" w:themeFill="background1"/>
            <w:vAlign w:val="center"/>
          </w:tcPr>
          <w:p w14:paraId="3FE63B5A">
            <w:pPr>
              <w:bidi w:val="0"/>
              <w:rPr>
                <w:color w:val="auto"/>
              </w:rPr>
            </w:pPr>
            <w:r>
              <w:rPr>
                <w:rFonts w:hint="eastAsia"/>
                <w:color w:val="auto"/>
              </w:rPr>
              <w:t>Power航插3脚/PE</w:t>
            </w:r>
          </w:p>
        </w:tc>
        <w:tc>
          <w:tcPr>
            <w:tcW w:w="812" w:type="dxa"/>
            <w:tcBorders>
              <w:top w:val="nil"/>
              <w:left w:val="nil"/>
              <w:bottom w:val="single" w:color="auto" w:sz="4" w:space="0"/>
              <w:right w:val="single" w:color="auto" w:sz="4" w:space="0"/>
            </w:tcBorders>
            <w:shd w:val="clear" w:color="auto" w:fill="FFFFFF" w:themeFill="background1"/>
            <w:vAlign w:val="center"/>
          </w:tcPr>
          <w:p w14:paraId="363FD7B6">
            <w:pPr>
              <w:bidi w:val="0"/>
              <w:rPr>
                <w:color w:val="auto"/>
              </w:rPr>
            </w:pPr>
            <w:r>
              <w:rPr>
                <w:rFonts w:hint="eastAsia"/>
                <w:color w:val="auto"/>
              </w:rPr>
              <w:t>黄绿色</w:t>
            </w:r>
          </w:p>
        </w:tc>
        <w:tc>
          <w:tcPr>
            <w:tcW w:w="2597" w:type="dxa"/>
            <w:tcBorders>
              <w:top w:val="nil"/>
              <w:left w:val="nil"/>
              <w:bottom w:val="single" w:color="auto" w:sz="4" w:space="0"/>
              <w:right w:val="single" w:color="auto" w:sz="4" w:space="0"/>
            </w:tcBorders>
            <w:shd w:val="clear" w:color="auto" w:fill="FFFFFF" w:themeFill="background1"/>
            <w:vAlign w:val="center"/>
          </w:tcPr>
          <w:p w14:paraId="4B7D3A68">
            <w:pPr>
              <w:bidi w:val="0"/>
              <w:rPr>
                <w:color w:val="auto"/>
              </w:rPr>
            </w:pPr>
            <w:r>
              <w:rPr>
                <w:rFonts w:hint="eastAsia"/>
                <w:color w:val="auto"/>
              </w:rPr>
              <w:t>PE地线</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E267612">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5DFB7DA">
            <w:pPr>
              <w:bidi w:val="0"/>
              <w:rPr>
                <w:color w:val="auto"/>
              </w:rPr>
            </w:pPr>
          </w:p>
        </w:tc>
      </w:tr>
      <w:tr w14:paraId="4AB7A692">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DE24A1C">
            <w:pPr>
              <w:bidi w:val="0"/>
              <w:rPr>
                <w:color w:val="auto"/>
              </w:rPr>
            </w:pPr>
            <w:r>
              <w:rPr>
                <w:rFonts w:hint="eastAsia"/>
                <w:color w:val="auto"/>
              </w:rPr>
              <w:t>控制电源供电DC24V：P24C1</w:t>
            </w:r>
          </w:p>
        </w:tc>
        <w:tc>
          <w:tcPr>
            <w:tcW w:w="1468" w:type="dxa"/>
            <w:tcBorders>
              <w:top w:val="nil"/>
              <w:left w:val="nil"/>
              <w:bottom w:val="single" w:color="auto" w:sz="4" w:space="0"/>
              <w:right w:val="single" w:color="auto" w:sz="4" w:space="0"/>
            </w:tcBorders>
            <w:shd w:val="clear" w:color="auto" w:fill="FFFFFF" w:themeFill="background1"/>
            <w:vAlign w:val="center"/>
          </w:tcPr>
          <w:p w14:paraId="31089B7B">
            <w:pPr>
              <w:bidi w:val="0"/>
              <w:rPr>
                <w:color w:val="auto"/>
              </w:rPr>
            </w:pPr>
            <w:r>
              <w:rPr>
                <w:rFonts w:hint="eastAsia"/>
                <w:color w:val="auto"/>
              </w:rPr>
              <w:t>P24VC1-X1-D7</w:t>
            </w:r>
          </w:p>
        </w:tc>
        <w:tc>
          <w:tcPr>
            <w:tcW w:w="812" w:type="dxa"/>
            <w:tcBorders>
              <w:top w:val="nil"/>
              <w:left w:val="nil"/>
              <w:bottom w:val="single" w:color="auto" w:sz="4" w:space="0"/>
              <w:right w:val="single" w:color="auto" w:sz="4" w:space="0"/>
            </w:tcBorders>
            <w:shd w:val="clear" w:color="auto" w:fill="FFFFFF" w:themeFill="background1"/>
            <w:vAlign w:val="center"/>
          </w:tcPr>
          <w:p w14:paraId="161068C7">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70F81FA4">
            <w:pPr>
              <w:bidi w:val="0"/>
              <w:rPr>
                <w:color w:val="auto"/>
              </w:rPr>
            </w:pPr>
            <w:r>
              <w:rPr>
                <w:rFonts w:hint="eastAsia"/>
                <w:color w:val="auto"/>
              </w:rPr>
              <w:t>原机DC24V正极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CB43D85">
            <w:pPr>
              <w:bidi w:val="0"/>
              <w:rPr>
                <w:color w:val="auto"/>
              </w:rPr>
            </w:pPr>
            <w:r>
              <w:rPr>
                <w:rFonts w:hint="eastAsia"/>
                <w:color w:val="auto"/>
              </w:rPr>
              <w:t>原机DC24V电源</w:t>
            </w:r>
          </w:p>
        </w:tc>
        <w:tc>
          <w:tcPr>
            <w:tcW w:w="1419" w:type="dxa"/>
            <w:tcBorders>
              <w:top w:val="nil"/>
              <w:left w:val="nil"/>
              <w:bottom w:val="single" w:color="auto" w:sz="4" w:space="0"/>
              <w:right w:val="single" w:color="auto" w:sz="4" w:space="0"/>
            </w:tcBorders>
            <w:shd w:val="clear" w:color="auto" w:fill="FFFFFF" w:themeFill="background1"/>
            <w:vAlign w:val="center"/>
          </w:tcPr>
          <w:p w14:paraId="20778662">
            <w:pPr>
              <w:bidi w:val="0"/>
              <w:rPr>
                <w:color w:val="auto"/>
              </w:rPr>
            </w:pPr>
            <w:r>
              <w:rPr>
                <w:rFonts w:hint="eastAsia"/>
                <w:color w:val="auto"/>
              </w:rPr>
              <w:t>450-X4-D7</w:t>
            </w:r>
          </w:p>
        </w:tc>
      </w:tr>
      <w:tr w14:paraId="09B39802">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13AFAEB">
            <w:pPr>
              <w:bidi w:val="0"/>
              <w:rPr>
                <w:color w:val="auto"/>
              </w:rPr>
            </w:pPr>
            <w:r>
              <w:rPr>
                <w:rFonts w:hint="eastAsia"/>
                <w:color w:val="auto"/>
              </w:rPr>
              <w:t>控制电源供电DC24V：N24C1</w:t>
            </w:r>
          </w:p>
        </w:tc>
        <w:tc>
          <w:tcPr>
            <w:tcW w:w="1468" w:type="dxa"/>
            <w:tcBorders>
              <w:top w:val="nil"/>
              <w:left w:val="nil"/>
              <w:bottom w:val="single" w:color="auto" w:sz="4" w:space="0"/>
              <w:right w:val="single" w:color="auto" w:sz="4" w:space="0"/>
            </w:tcBorders>
            <w:shd w:val="clear" w:color="auto" w:fill="FFFFFF" w:themeFill="background1"/>
            <w:vAlign w:val="center"/>
          </w:tcPr>
          <w:p w14:paraId="32CD4199">
            <w:pPr>
              <w:bidi w:val="0"/>
              <w:rPr>
                <w:color w:val="auto"/>
              </w:rPr>
            </w:pPr>
            <w:r>
              <w:rPr>
                <w:rFonts w:hint="eastAsia"/>
                <w:color w:val="auto"/>
              </w:rPr>
              <w:t>N24VC1-X1-D8</w:t>
            </w:r>
          </w:p>
        </w:tc>
        <w:tc>
          <w:tcPr>
            <w:tcW w:w="812" w:type="dxa"/>
            <w:tcBorders>
              <w:top w:val="nil"/>
              <w:left w:val="nil"/>
              <w:bottom w:val="single" w:color="auto" w:sz="4" w:space="0"/>
              <w:right w:val="single" w:color="auto" w:sz="4" w:space="0"/>
            </w:tcBorders>
            <w:shd w:val="clear" w:color="auto" w:fill="FFFFFF" w:themeFill="background1"/>
            <w:vAlign w:val="center"/>
          </w:tcPr>
          <w:p w14:paraId="5B2A8151">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5879CDBF">
            <w:pPr>
              <w:bidi w:val="0"/>
              <w:rPr>
                <w:color w:val="auto"/>
              </w:rPr>
            </w:pPr>
            <w:r>
              <w:rPr>
                <w:rFonts w:hint="eastAsia"/>
                <w:color w:val="auto"/>
              </w:rPr>
              <w:t>原机DC24V负极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119EE0C">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0B950A76">
            <w:pPr>
              <w:bidi w:val="0"/>
              <w:rPr>
                <w:color w:val="auto"/>
              </w:rPr>
            </w:pPr>
            <w:r>
              <w:rPr>
                <w:rFonts w:hint="eastAsia"/>
                <w:color w:val="auto"/>
              </w:rPr>
              <w:t>451-X4-D8</w:t>
            </w:r>
          </w:p>
        </w:tc>
      </w:tr>
      <w:tr w14:paraId="3AE3C031">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FB0366F">
            <w:pPr>
              <w:bidi w:val="0"/>
              <w:rPr>
                <w:color w:val="auto"/>
              </w:rPr>
            </w:pPr>
            <w:r>
              <w:rPr>
                <w:rFonts w:hint="eastAsia"/>
                <w:color w:val="auto"/>
              </w:rPr>
              <w:t>%I0.0</w:t>
            </w:r>
          </w:p>
        </w:tc>
        <w:tc>
          <w:tcPr>
            <w:tcW w:w="1468" w:type="dxa"/>
            <w:tcBorders>
              <w:top w:val="nil"/>
              <w:left w:val="nil"/>
              <w:bottom w:val="single" w:color="auto" w:sz="4" w:space="0"/>
              <w:right w:val="single" w:color="auto" w:sz="4" w:space="0"/>
            </w:tcBorders>
            <w:shd w:val="clear" w:color="auto" w:fill="FFFFFF" w:themeFill="background1"/>
            <w:vAlign w:val="center"/>
          </w:tcPr>
          <w:p w14:paraId="7E9FA029">
            <w:pPr>
              <w:bidi w:val="0"/>
              <w:rPr>
                <w:color w:val="auto"/>
              </w:rPr>
            </w:pPr>
            <w:r>
              <w:rPr>
                <w:rFonts w:hint="eastAsia"/>
                <w:color w:val="auto"/>
              </w:rPr>
              <w:t>200-X1-A1</w:t>
            </w:r>
          </w:p>
        </w:tc>
        <w:tc>
          <w:tcPr>
            <w:tcW w:w="812" w:type="dxa"/>
            <w:tcBorders>
              <w:top w:val="nil"/>
              <w:left w:val="nil"/>
              <w:bottom w:val="single" w:color="auto" w:sz="4" w:space="0"/>
              <w:right w:val="single" w:color="auto" w:sz="4" w:space="0"/>
            </w:tcBorders>
            <w:shd w:val="clear" w:color="auto" w:fill="FFFFFF" w:themeFill="background1"/>
            <w:vAlign w:val="center"/>
          </w:tcPr>
          <w:p w14:paraId="14942770">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6E80D343">
            <w:pPr>
              <w:bidi w:val="0"/>
              <w:rPr>
                <w:color w:val="auto"/>
              </w:rPr>
            </w:pPr>
            <w:r>
              <w:rPr>
                <w:rFonts w:hint="eastAsia"/>
                <w:color w:val="auto"/>
              </w:rPr>
              <w:t>N4-X104板卡11号接线端子</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7D3F581">
            <w:pPr>
              <w:bidi w:val="0"/>
              <w:rPr>
                <w:color w:val="auto"/>
              </w:rPr>
            </w:pPr>
            <w:r>
              <w:rPr>
                <w:rFonts w:hint="eastAsia"/>
                <w:color w:val="auto"/>
              </w:rPr>
              <w:t>原机CH编码器-需要接九根线</w:t>
            </w:r>
          </w:p>
        </w:tc>
        <w:tc>
          <w:tcPr>
            <w:tcW w:w="1419" w:type="dxa"/>
            <w:tcBorders>
              <w:top w:val="nil"/>
              <w:left w:val="nil"/>
              <w:bottom w:val="single" w:color="auto" w:sz="4" w:space="0"/>
              <w:right w:val="single" w:color="auto" w:sz="4" w:space="0"/>
            </w:tcBorders>
            <w:shd w:val="clear" w:color="auto" w:fill="FFFFFF" w:themeFill="background1"/>
            <w:vAlign w:val="center"/>
          </w:tcPr>
          <w:p w14:paraId="1A27201F">
            <w:pPr>
              <w:bidi w:val="0"/>
              <w:rPr>
                <w:color w:val="auto"/>
              </w:rPr>
            </w:pPr>
            <w:r>
              <w:rPr>
                <w:rFonts w:hint="eastAsia"/>
                <w:color w:val="auto"/>
              </w:rPr>
              <w:t>3200-X4-A1</w:t>
            </w:r>
          </w:p>
        </w:tc>
      </w:tr>
      <w:tr w14:paraId="09981022">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794A476">
            <w:pPr>
              <w:bidi w:val="0"/>
              <w:rPr>
                <w:color w:val="auto"/>
              </w:rPr>
            </w:pPr>
            <w:r>
              <w:rPr>
                <w:rFonts w:hint="eastAsia"/>
                <w:color w:val="auto"/>
              </w:rPr>
              <w:t>%I0.1</w:t>
            </w:r>
          </w:p>
        </w:tc>
        <w:tc>
          <w:tcPr>
            <w:tcW w:w="1468" w:type="dxa"/>
            <w:tcBorders>
              <w:top w:val="nil"/>
              <w:left w:val="nil"/>
              <w:bottom w:val="single" w:color="auto" w:sz="4" w:space="0"/>
              <w:right w:val="single" w:color="auto" w:sz="4" w:space="0"/>
            </w:tcBorders>
            <w:shd w:val="clear" w:color="auto" w:fill="FFFFFF" w:themeFill="background1"/>
            <w:vAlign w:val="center"/>
          </w:tcPr>
          <w:p w14:paraId="3C391D16">
            <w:pPr>
              <w:bidi w:val="0"/>
              <w:rPr>
                <w:color w:val="auto"/>
              </w:rPr>
            </w:pPr>
            <w:r>
              <w:rPr>
                <w:rFonts w:hint="eastAsia"/>
                <w:color w:val="auto"/>
              </w:rPr>
              <w:t>201-X1-A2</w:t>
            </w:r>
          </w:p>
        </w:tc>
        <w:tc>
          <w:tcPr>
            <w:tcW w:w="812" w:type="dxa"/>
            <w:tcBorders>
              <w:top w:val="nil"/>
              <w:left w:val="nil"/>
              <w:bottom w:val="single" w:color="auto" w:sz="4" w:space="0"/>
              <w:right w:val="single" w:color="auto" w:sz="4" w:space="0"/>
            </w:tcBorders>
            <w:shd w:val="clear" w:color="auto" w:fill="FFFFFF" w:themeFill="background1"/>
            <w:vAlign w:val="center"/>
          </w:tcPr>
          <w:p w14:paraId="7FD95ACC">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8436C07">
            <w:pPr>
              <w:bidi w:val="0"/>
              <w:rPr>
                <w:color w:val="auto"/>
              </w:rPr>
            </w:pPr>
            <w:r>
              <w:rPr>
                <w:rFonts w:hint="eastAsia"/>
                <w:color w:val="auto"/>
              </w:rPr>
              <w:t>N4-X104板卡12号接线端子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1F26181">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0A835E2B">
            <w:pPr>
              <w:bidi w:val="0"/>
              <w:rPr>
                <w:color w:val="auto"/>
              </w:rPr>
            </w:pPr>
            <w:r>
              <w:rPr>
                <w:rFonts w:hint="eastAsia"/>
                <w:color w:val="auto"/>
              </w:rPr>
              <w:t>3201-X4-A2</w:t>
            </w:r>
          </w:p>
        </w:tc>
      </w:tr>
      <w:tr w14:paraId="36A55D97">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B082B9A">
            <w:pPr>
              <w:bidi w:val="0"/>
              <w:rPr>
                <w:color w:val="auto"/>
              </w:rPr>
            </w:pPr>
            <w:r>
              <w:rPr>
                <w:rFonts w:hint="eastAsia"/>
                <w:color w:val="auto"/>
              </w:rPr>
              <w:t>%I0.2</w:t>
            </w:r>
          </w:p>
        </w:tc>
        <w:tc>
          <w:tcPr>
            <w:tcW w:w="1468" w:type="dxa"/>
            <w:tcBorders>
              <w:top w:val="nil"/>
              <w:left w:val="nil"/>
              <w:bottom w:val="single" w:color="auto" w:sz="4" w:space="0"/>
              <w:right w:val="single" w:color="auto" w:sz="4" w:space="0"/>
            </w:tcBorders>
            <w:shd w:val="clear" w:color="auto" w:fill="FFFFFF" w:themeFill="background1"/>
            <w:vAlign w:val="center"/>
          </w:tcPr>
          <w:p w14:paraId="49DF1418">
            <w:pPr>
              <w:bidi w:val="0"/>
              <w:rPr>
                <w:color w:val="auto"/>
              </w:rPr>
            </w:pPr>
            <w:r>
              <w:rPr>
                <w:rFonts w:hint="eastAsia"/>
                <w:color w:val="auto"/>
              </w:rPr>
              <w:t>202-X1-A3</w:t>
            </w:r>
          </w:p>
        </w:tc>
        <w:tc>
          <w:tcPr>
            <w:tcW w:w="812" w:type="dxa"/>
            <w:tcBorders>
              <w:top w:val="nil"/>
              <w:left w:val="nil"/>
              <w:bottom w:val="single" w:color="auto" w:sz="4" w:space="0"/>
              <w:right w:val="single" w:color="auto" w:sz="4" w:space="0"/>
            </w:tcBorders>
            <w:shd w:val="clear" w:color="auto" w:fill="FFFFFF" w:themeFill="background1"/>
            <w:vAlign w:val="center"/>
          </w:tcPr>
          <w:p w14:paraId="2FEA48BF">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3A7F9DF">
            <w:pPr>
              <w:bidi w:val="0"/>
              <w:rPr>
                <w:color w:val="auto"/>
              </w:rPr>
            </w:pPr>
            <w:r>
              <w:rPr>
                <w:rFonts w:hint="eastAsia"/>
                <w:color w:val="auto"/>
              </w:rPr>
              <w:t>N4-X104板卡13号接线端子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AC78315">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14D8D917">
            <w:pPr>
              <w:bidi w:val="0"/>
              <w:rPr>
                <w:color w:val="auto"/>
              </w:rPr>
            </w:pPr>
            <w:r>
              <w:rPr>
                <w:rFonts w:hint="eastAsia"/>
                <w:color w:val="auto"/>
              </w:rPr>
              <w:t>3202-X4-A3</w:t>
            </w:r>
          </w:p>
        </w:tc>
      </w:tr>
      <w:tr w14:paraId="4F0ECD2D">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321853C">
            <w:pPr>
              <w:bidi w:val="0"/>
              <w:rPr>
                <w:color w:val="auto"/>
              </w:rPr>
            </w:pPr>
            <w:r>
              <w:rPr>
                <w:rFonts w:hint="eastAsia"/>
                <w:color w:val="auto"/>
              </w:rPr>
              <w:t>%I0.3</w:t>
            </w:r>
          </w:p>
        </w:tc>
        <w:tc>
          <w:tcPr>
            <w:tcW w:w="1468" w:type="dxa"/>
            <w:tcBorders>
              <w:top w:val="nil"/>
              <w:left w:val="nil"/>
              <w:bottom w:val="single" w:color="auto" w:sz="4" w:space="0"/>
              <w:right w:val="single" w:color="auto" w:sz="4" w:space="0"/>
            </w:tcBorders>
            <w:shd w:val="clear" w:color="auto" w:fill="FFFFFF" w:themeFill="background1"/>
            <w:vAlign w:val="center"/>
          </w:tcPr>
          <w:p w14:paraId="1F9CCDE5">
            <w:pPr>
              <w:bidi w:val="0"/>
              <w:rPr>
                <w:color w:val="auto"/>
              </w:rPr>
            </w:pPr>
            <w:r>
              <w:rPr>
                <w:rFonts w:hint="eastAsia"/>
                <w:color w:val="auto"/>
              </w:rPr>
              <w:t>203-X1-A4</w:t>
            </w:r>
          </w:p>
        </w:tc>
        <w:tc>
          <w:tcPr>
            <w:tcW w:w="812" w:type="dxa"/>
            <w:tcBorders>
              <w:top w:val="nil"/>
              <w:left w:val="nil"/>
              <w:bottom w:val="single" w:color="auto" w:sz="4" w:space="0"/>
              <w:right w:val="single" w:color="auto" w:sz="4" w:space="0"/>
            </w:tcBorders>
            <w:shd w:val="clear" w:color="auto" w:fill="FFFFFF" w:themeFill="background1"/>
            <w:vAlign w:val="center"/>
          </w:tcPr>
          <w:p w14:paraId="54E4665F">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0952FBAE">
            <w:pPr>
              <w:bidi w:val="0"/>
              <w:rPr>
                <w:color w:val="auto"/>
              </w:rPr>
            </w:pPr>
            <w:r>
              <w:rPr>
                <w:rFonts w:hint="eastAsia"/>
                <w:color w:val="auto"/>
              </w:rPr>
              <w:t>N4-X104板卡14号接线端子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BEE9E9E">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3AE384A8">
            <w:pPr>
              <w:bidi w:val="0"/>
              <w:rPr>
                <w:color w:val="auto"/>
              </w:rPr>
            </w:pPr>
            <w:r>
              <w:rPr>
                <w:rFonts w:hint="eastAsia"/>
                <w:color w:val="auto"/>
              </w:rPr>
              <w:t>3203-X4-A4</w:t>
            </w:r>
          </w:p>
        </w:tc>
      </w:tr>
      <w:tr w14:paraId="23A27083">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3DAC2F0">
            <w:pPr>
              <w:bidi w:val="0"/>
              <w:rPr>
                <w:color w:val="auto"/>
              </w:rPr>
            </w:pPr>
            <w:r>
              <w:rPr>
                <w:rFonts w:hint="eastAsia"/>
                <w:color w:val="auto"/>
              </w:rPr>
              <w:t>%I0.4</w:t>
            </w:r>
          </w:p>
        </w:tc>
        <w:tc>
          <w:tcPr>
            <w:tcW w:w="1468" w:type="dxa"/>
            <w:tcBorders>
              <w:top w:val="nil"/>
              <w:left w:val="nil"/>
              <w:bottom w:val="single" w:color="auto" w:sz="4" w:space="0"/>
              <w:right w:val="single" w:color="auto" w:sz="4" w:space="0"/>
            </w:tcBorders>
            <w:shd w:val="clear" w:color="auto" w:fill="FFFFFF" w:themeFill="background1"/>
            <w:vAlign w:val="center"/>
          </w:tcPr>
          <w:p w14:paraId="2188D370">
            <w:pPr>
              <w:bidi w:val="0"/>
              <w:rPr>
                <w:color w:val="auto"/>
              </w:rPr>
            </w:pPr>
            <w:r>
              <w:rPr>
                <w:rFonts w:hint="eastAsia"/>
                <w:color w:val="auto"/>
              </w:rPr>
              <w:t>204-X1-A5</w:t>
            </w:r>
          </w:p>
        </w:tc>
        <w:tc>
          <w:tcPr>
            <w:tcW w:w="812" w:type="dxa"/>
            <w:tcBorders>
              <w:top w:val="nil"/>
              <w:left w:val="nil"/>
              <w:bottom w:val="single" w:color="auto" w:sz="4" w:space="0"/>
              <w:right w:val="single" w:color="auto" w:sz="4" w:space="0"/>
            </w:tcBorders>
            <w:shd w:val="clear" w:color="auto" w:fill="FFFFFF" w:themeFill="background1"/>
            <w:vAlign w:val="center"/>
          </w:tcPr>
          <w:p w14:paraId="76634EAF">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1A47BBA">
            <w:pPr>
              <w:bidi w:val="0"/>
              <w:rPr>
                <w:color w:val="auto"/>
              </w:rPr>
            </w:pPr>
            <w:r>
              <w:rPr>
                <w:rFonts w:hint="eastAsia"/>
                <w:color w:val="auto"/>
              </w:rPr>
              <w:t>N4-X104板卡15号接线端子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44472A3">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5975E61A">
            <w:pPr>
              <w:bidi w:val="0"/>
              <w:rPr>
                <w:color w:val="auto"/>
              </w:rPr>
            </w:pPr>
            <w:r>
              <w:rPr>
                <w:rFonts w:hint="eastAsia"/>
                <w:color w:val="auto"/>
              </w:rPr>
              <w:t>3204-X4-A5</w:t>
            </w:r>
          </w:p>
        </w:tc>
      </w:tr>
      <w:tr w14:paraId="4AAB83A7">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C75BC40">
            <w:pPr>
              <w:bidi w:val="0"/>
              <w:rPr>
                <w:color w:val="auto"/>
              </w:rPr>
            </w:pPr>
            <w:r>
              <w:rPr>
                <w:rFonts w:hint="eastAsia"/>
                <w:color w:val="auto"/>
              </w:rPr>
              <w:t>%I0.5</w:t>
            </w:r>
          </w:p>
        </w:tc>
        <w:tc>
          <w:tcPr>
            <w:tcW w:w="1468" w:type="dxa"/>
            <w:tcBorders>
              <w:top w:val="nil"/>
              <w:left w:val="nil"/>
              <w:bottom w:val="single" w:color="auto" w:sz="4" w:space="0"/>
              <w:right w:val="single" w:color="auto" w:sz="4" w:space="0"/>
            </w:tcBorders>
            <w:shd w:val="clear" w:color="auto" w:fill="FFFFFF" w:themeFill="background1"/>
            <w:vAlign w:val="center"/>
          </w:tcPr>
          <w:p w14:paraId="11D4F958">
            <w:pPr>
              <w:bidi w:val="0"/>
              <w:rPr>
                <w:color w:val="auto"/>
              </w:rPr>
            </w:pPr>
            <w:r>
              <w:rPr>
                <w:rFonts w:hint="eastAsia"/>
                <w:color w:val="auto"/>
              </w:rPr>
              <w:t>205-X1-A6</w:t>
            </w:r>
          </w:p>
        </w:tc>
        <w:tc>
          <w:tcPr>
            <w:tcW w:w="812" w:type="dxa"/>
            <w:tcBorders>
              <w:top w:val="nil"/>
              <w:left w:val="nil"/>
              <w:bottom w:val="single" w:color="auto" w:sz="4" w:space="0"/>
              <w:right w:val="single" w:color="auto" w:sz="4" w:space="0"/>
            </w:tcBorders>
            <w:shd w:val="clear" w:color="auto" w:fill="FFFFFF" w:themeFill="background1"/>
            <w:vAlign w:val="center"/>
          </w:tcPr>
          <w:p w14:paraId="2D2BAEC4">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8948F83">
            <w:pPr>
              <w:bidi w:val="0"/>
              <w:rPr>
                <w:color w:val="auto"/>
              </w:rPr>
            </w:pPr>
            <w:r>
              <w:rPr>
                <w:rFonts w:hint="eastAsia"/>
                <w:color w:val="auto"/>
              </w:rPr>
              <w:t>N4-X104板卡16号接线端子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3A0B85F">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4213950C">
            <w:pPr>
              <w:bidi w:val="0"/>
              <w:rPr>
                <w:color w:val="auto"/>
              </w:rPr>
            </w:pPr>
            <w:r>
              <w:rPr>
                <w:rFonts w:hint="eastAsia"/>
                <w:color w:val="auto"/>
              </w:rPr>
              <w:t>3205-X4-A6</w:t>
            </w:r>
          </w:p>
        </w:tc>
      </w:tr>
      <w:tr w14:paraId="1F5F9C65">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B08D6B3">
            <w:pPr>
              <w:bidi w:val="0"/>
              <w:rPr>
                <w:color w:val="auto"/>
              </w:rPr>
            </w:pPr>
            <w:r>
              <w:rPr>
                <w:rFonts w:hint="eastAsia"/>
                <w:color w:val="auto"/>
              </w:rPr>
              <w:t>%I0.6</w:t>
            </w:r>
          </w:p>
        </w:tc>
        <w:tc>
          <w:tcPr>
            <w:tcW w:w="1468" w:type="dxa"/>
            <w:tcBorders>
              <w:top w:val="nil"/>
              <w:left w:val="nil"/>
              <w:bottom w:val="single" w:color="auto" w:sz="4" w:space="0"/>
              <w:right w:val="single" w:color="auto" w:sz="4" w:space="0"/>
            </w:tcBorders>
            <w:shd w:val="clear" w:color="auto" w:fill="FFFFFF" w:themeFill="background1"/>
            <w:vAlign w:val="center"/>
          </w:tcPr>
          <w:p w14:paraId="01CF2548">
            <w:pPr>
              <w:bidi w:val="0"/>
              <w:rPr>
                <w:color w:val="auto"/>
              </w:rPr>
            </w:pPr>
            <w:r>
              <w:rPr>
                <w:rFonts w:hint="eastAsia"/>
                <w:color w:val="auto"/>
              </w:rPr>
              <w:t>206-X1-A7</w:t>
            </w:r>
          </w:p>
        </w:tc>
        <w:tc>
          <w:tcPr>
            <w:tcW w:w="812" w:type="dxa"/>
            <w:tcBorders>
              <w:top w:val="nil"/>
              <w:left w:val="nil"/>
              <w:bottom w:val="single" w:color="auto" w:sz="4" w:space="0"/>
              <w:right w:val="single" w:color="auto" w:sz="4" w:space="0"/>
            </w:tcBorders>
            <w:shd w:val="clear" w:color="auto" w:fill="FFFFFF" w:themeFill="background1"/>
            <w:vAlign w:val="center"/>
          </w:tcPr>
          <w:p w14:paraId="678DEE4C">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0D094D03">
            <w:pPr>
              <w:bidi w:val="0"/>
              <w:rPr>
                <w:color w:val="auto"/>
              </w:rPr>
            </w:pPr>
            <w:r>
              <w:rPr>
                <w:rFonts w:hint="eastAsia"/>
                <w:color w:val="auto"/>
              </w:rPr>
              <w:t>N4-X104板卡17号接线端子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DC3CAE1">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6A85FA52">
            <w:pPr>
              <w:bidi w:val="0"/>
              <w:rPr>
                <w:color w:val="auto"/>
              </w:rPr>
            </w:pPr>
            <w:r>
              <w:rPr>
                <w:rFonts w:hint="eastAsia"/>
                <w:color w:val="auto"/>
              </w:rPr>
              <w:t>3206-X4-A7</w:t>
            </w:r>
          </w:p>
        </w:tc>
      </w:tr>
      <w:tr w14:paraId="23557A23">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855587F">
            <w:pPr>
              <w:bidi w:val="0"/>
              <w:rPr>
                <w:color w:val="auto"/>
              </w:rPr>
            </w:pPr>
            <w:r>
              <w:rPr>
                <w:rFonts w:hint="eastAsia"/>
                <w:color w:val="auto"/>
              </w:rPr>
              <w:t>%I0.7</w:t>
            </w:r>
          </w:p>
        </w:tc>
        <w:tc>
          <w:tcPr>
            <w:tcW w:w="1468" w:type="dxa"/>
            <w:tcBorders>
              <w:top w:val="nil"/>
              <w:left w:val="nil"/>
              <w:bottom w:val="single" w:color="auto" w:sz="4" w:space="0"/>
              <w:right w:val="single" w:color="auto" w:sz="4" w:space="0"/>
            </w:tcBorders>
            <w:shd w:val="clear" w:color="auto" w:fill="FFFFFF" w:themeFill="background1"/>
            <w:vAlign w:val="center"/>
          </w:tcPr>
          <w:p w14:paraId="120785BB">
            <w:pPr>
              <w:bidi w:val="0"/>
              <w:rPr>
                <w:color w:val="auto"/>
              </w:rPr>
            </w:pPr>
            <w:r>
              <w:rPr>
                <w:rFonts w:hint="eastAsia"/>
                <w:color w:val="auto"/>
              </w:rPr>
              <w:t>207-X1-A8</w:t>
            </w:r>
          </w:p>
        </w:tc>
        <w:tc>
          <w:tcPr>
            <w:tcW w:w="812" w:type="dxa"/>
            <w:tcBorders>
              <w:top w:val="nil"/>
              <w:left w:val="nil"/>
              <w:bottom w:val="single" w:color="auto" w:sz="4" w:space="0"/>
              <w:right w:val="single" w:color="auto" w:sz="4" w:space="0"/>
            </w:tcBorders>
            <w:shd w:val="clear" w:color="auto" w:fill="FFFFFF" w:themeFill="background1"/>
            <w:vAlign w:val="center"/>
          </w:tcPr>
          <w:p w14:paraId="2AD755C1">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5BBE9E8D">
            <w:pPr>
              <w:bidi w:val="0"/>
              <w:rPr>
                <w:color w:val="auto"/>
              </w:rPr>
            </w:pPr>
            <w:r>
              <w:rPr>
                <w:rFonts w:hint="eastAsia"/>
                <w:color w:val="auto"/>
              </w:rPr>
              <w:t>N4-X104板卡18号接线端子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1B135F3">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16F9BD94">
            <w:pPr>
              <w:bidi w:val="0"/>
              <w:rPr>
                <w:color w:val="auto"/>
              </w:rPr>
            </w:pPr>
            <w:r>
              <w:rPr>
                <w:rFonts w:hint="eastAsia"/>
                <w:color w:val="auto"/>
              </w:rPr>
              <w:t>3207-X4-A8</w:t>
            </w:r>
          </w:p>
        </w:tc>
      </w:tr>
      <w:tr w14:paraId="6A4BA71F">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12F8B31">
            <w:pPr>
              <w:bidi w:val="0"/>
              <w:rPr>
                <w:color w:val="auto"/>
              </w:rPr>
            </w:pPr>
            <w:r>
              <w:rPr>
                <w:rFonts w:hint="eastAsia"/>
                <w:color w:val="auto"/>
              </w:rPr>
              <w:t>%I1.0</w:t>
            </w:r>
          </w:p>
        </w:tc>
        <w:tc>
          <w:tcPr>
            <w:tcW w:w="1468" w:type="dxa"/>
            <w:tcBorders>
              <w:top w:val="nil"/>
              <w:left w:val="nil"/>
              <w:bottom w:val="single" w:color="auto" w:sz="4" w:space="0"/>
              <w:right w:val="single" w:color="auto" w:sz="4" w:space="0"/>
            </w:tcBorders>
            <w:shd w:val="clear" w:color="auto" w:fill="FFFFFF" w:themeFill="background1"/>
            <w:vAlign w:val="center"/>
          </w:tcPr>
          <w:p w14:paraId="1BF8CBD2">
            <w:pPr>
              <w:bidi w:val="0"/>
              <w:rPr>
                <w:color w:val="auto"/>
              </w:rPr>
            </w:pPr>
            <w:r>
              <w:rPr>
                <w:rFonts w:hint="eastAsia"/>
                <w:color w:val="auto"/>
              </w:rPr>
              <w:t>220-X1-A9</w:t>
            </w:r>
          </w:p>
        </w:tc>
        <w:tc>
          <w:tcPr>
            <w:tcW w:w="812" w:type="dxa"/>
            <w:tcBorders>
              <w:top w:val="nil"/>
              <w:left w:val="nil"/>
              <w:bottom w:val="single" w:color="auto" w:sz="4" w:space="0"/>
              <w:right w:val="single" w:color="auto" w:sz="4" w:space="0"/>
            </w:tcBorders>
            <w:shd w:val="clear" w:color="auto" w:fill="FFFFFF" w:themeFill="background1"/>
            <w:vAlign w:val="center"/>
          </w:tcPr>
          <w:p w14:paraId="63E4354F">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53D40067">
            <w:pPr>
              <w:bidi w:val="0"/>
              <w:rPr>
                <w:color w:val="auto"/>
              </w:rPr>
            </w:pPr>
            <w:r>
              <w:rPr>
                <w:rFonts w:hint="eastAsia"/>
                <w:color w:val="auto"/>
              </w:rPr>
              <w:t>N4-X104板卡19号接线端子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836809E">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2AC80BFE">
            <w:pPr>
              <w:bidi w:val="0"/>
              <w:rPr>
                <w:color w:val="auto"/>
              </w:rPr>
            </w:pPr>
            <w:r>
              <w:rPr>
                <w:rFonts w:hint="eastAsia"/>
                <w:color w:val="auto"/>
              </w:rPr>
              <w:t>3220-X4-A9</w:t>
            </w:r>
          </w:p>
        </w:tc>
      </w:tr>
      <w:tr w14:paraId="13F2C9FC">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AF51D5B">
            <w:pPr>
              <w:bidi w:val="0"/>
              <w:rPr>
                <w:color w:val="auto"/>
              </w:rPr>
            </w:pPr>
            <w:r>
              <w:rPr>
                <w:rFonts w:hint="eastAsia"/>
                <w:color w:val="auto"/>
              </w:rPr>
              <w:t>%I9.7</w:t>
            </w:r>
          </w:p>
        </w:tc>
        <w:tc>
          <w:tcPr>
            <w:tcW w:w="1468" w:type="dxa"/>
            <w:tcBorders>
              <w:top w:val="nil"/>
              <w:left w:val="nil"/>
              <w:bottom w:val="single" w:color="auto" w:sz="4" w:space="0"/>
              <w:right w:val="single" w:color="auto" w:sz="4" w:space="0"/>
            </w:tcBorders>
            <w:shd w:val="clear" w:color="auto" w:fill="FFFFFF" w:themeFill="background1"/>
            <w:vAlign w:val="center"/>
          </w:tcPr>
          <w:p w14:paraId="01623D05">
            <w:pPr>
              <w:bidi w:val="0"/>
              <w:rPr>
                <w:color w:val="auto"/>
              </w:rPr>
            </w:pPr>
            <w:r>
              <w:rPr>
                <w:rFonts w:hint="eastAsia"/>
                <w:color w:val="auto"/>
              </w:rPr>
              <w:t>287-X1-C10</w:t>
            </w:r>
          </w:p>
        </w:tc>
        <w:tc>
          <w:tcPr>
            <w:tcW w:w="812" w:type="dxa"/>
            <w:tcBorders>
              <w:top w:val="nil"/>
              <w:left w:val="nil"/>
              <w:bottom w:val="single" w:color="auto" w:sz="4" w:space="0"/>
              <w:right w:val="single" w:color="auto" w:sz="4" w:space="0"/>
            </w:tcBorders>
            <w:shd w:val="clear" w:color="auto" w:fill="FFFFFF" w:themeFill="background1"/>
            <w:vAlign w:val="center"/>
          </w:tcPr>
          <w:p w14:paraId="65154EB4">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0E0015D">
            <w:pPr>
              <w:bidi w:val="0"/>
              <w:rPr>
                <w:color w:val="auto"/>
              </w:rPr>
            </w:pPr>
            <w:r>
              <w:rPr>
                <w:rFonts w:hint="eastAsia"/>
                <w:color w:val="auto"/>
              </w:rPr>
              <w:t>N13-X113板卡14号接线端子</w:t>
            </w:r>
          </w:p>
        </w:tc>
        <w:tc>
          <w:tcPr>
            <w:tcW w:w="1470" w:type="dxa"/>
            <w:tcBorders>
              <w:top w:val="nil"/>
              <w:left w:val="single" w:color="auto" w:sz="4" w:space="0"/>
              <w:bottom w:val="single" w:color="auto" w:sz="4" w:space="0"/>
              <w:right w:val="single" w:color="auto" w:sz="4" w:space="0"/>
            </w:tcBorders>
            <w:shd w:val="clear" w:color="auto" w:fill="FFFFFF" w:themeFill="background1"/>
            <w:vAlign w:val="center"/>
          </w:tcPr>
          <w:p w14:paraId="0B66364B">
            <w:pPr>
              <w:bidi w:val="0"/>
              <w:rPr>
                <w:color w:val="auto"/>
              </w:rPr>
            </w:pPr>
            <w:r>
              <w:rPr>
                <w:rFonts w:hint="eastAsia"/>
                <w:color w:val="auto"/>
              </w:rPr>
              <w:t>小盒剔除电磁阀</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1109A1A6">
            <w:pPr>
              <w:bidi w:val="0"/>
              <w:rPr>
                <w:color w:val="auto"/>
              </w:rPr>
            </w:pPr>
            <w:r>
              <w:rPr>
                <w:rFonts w:hint="eastAsia"/>
                <w:color w:val="auto"/>
              </w:rPr>
              <w:t>3287-X4-C10</w:t>
            </w:r>
          </w:p>
        </w:tc>
      </w:tr>
      <w:tr w14:paraId="65D378D0">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FFF13BF">
            <w:pPr>
              <w:bidi w:val="0"/>
              <w:rPr>
                <w:color w:val="auto"/>
              </w:rPr>
            </w:pPr>
            <w:r>
              <w:rPr>
                <w:rFonts w:hint="eastAsia"/>
                <w:color w:val="auto"/>
              </w:rPr>
              <w:t>备用</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4B29BDA8">
            <w:pPr>
              <w:bidi w:val="0"/>
              <w:rPr>
                <w:color w:val="auto"/>
              </w:rPr>
            </w:pPr>
            <w:r>
              <w:rPr>
                <w:rFonts w:hint="eastAsia"/>
                <w:color w:val="auto"/>
              </w:rPr>
              <w:t>XXX-X1-B5(备用)</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E95FFEA">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28A722C">
            <w:pPr>
              <w:bidi w:val="0"/>
              <w:rPr>
                <w:color w:val="auto"/>
              </w:rPr>
            </w:pPr>
            <w:r>
              <w:rPr>
                <w:rFonts w:hint="eastAsia"/>
                <w:color w:val="auto"/>
              </w:rPr>
              <w:t>　</w:t>
            </w:r>
          </w:p>
        </w:tc>
        <w:tc>
          <w:tcPr>
            <w:tcW w:w="1470" w:type="dxa"/>
            <w:tcBorders>
              <w:top w:val="single" w:color="auto" w:sz="4" w:space="0"/>
              <w:left w:val="nil"/>
              <w:bottom w:val="single" w:color="auto" w:sz="4" w:space="0"/>
              <w:right w:val="single" w:color="auto" w:sz="4" w:space="0"/>
            </w:tcBorders>
            <w:shd w:val="clear" w:color="auto" w:fill="FFFFFF" w:themeFill="background1"/>
            <w:vAlign w:val="center"/>
          </w:tcPr>
          <w:p w14:paraId="2D51FA2D">
            <w:pPr>
              <w:bidi w:val="0"/>
              <w:rPr>
                <w:color w:val="auto"/>
              </w:rPr>
            </w:pPr>
            <w:r>
              <w:rPr>
                <w:rFonts w:hint="eastAsia"/>
                <w:color w:val="auto"/>
              </w:rPr>
              <w:t>　</w:t>
            </w:r>
          </w:p>
        </w:tc>
        <w:tc>
          <w:tcPr>
            <w:tcW w:w="1419" w:type="dxa"/>
            <w:tcBorders>
              <w:top w:val="nil"/>
              <w:left w:val="nil"/>
              <w:bottom w:val="single" w:color="auto" w:sz="4" w:space="0"/>
              <w:right w:val="single" w:color="auto" w:sz="4" w:space="0"/>
            </w:tcBorders>
            <w:shd w:val="clear" w:color="auto" w:fill="FFFFFF" w:themeFill="background1"/>
            <w:vAlign w:val="center"/>
          </w:tcPr>
          <w:p w14:paraId="4A9D26C8">
            <w:pPr>
              <w:bidi w:val="0"/>
              <w:rPr>
                <w:color w:val="auto"/>
              </w:rPr>
            </w:pPr>
            <w:r>
              <w:rPr>
                <w:rFonts w:hint="eastAsia"/>
                <w:color w:val="auto"/>
              </w:rPr>
              <w:t>　</w:t>
            </w:r>
          </w:p>
        </w:tc>
      </w:tr>
      <w:tr w14:paraId="781F120C">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D606081">
            <w:pPr>
              <w:bidi w:val="0"/>
              <w:rPr>
                <w:color w:val="auto"/>
              </w:rPr>
            </w:pPr>
            <w:r>
              <w:rPr>
                <w:rFonts w:hint="eastAsia"/>
                <w:color w:val="auto"/>
              </w:rPr>
              <w:t>备用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3A2FBE8">
            <w:pPr>
              <w:bidi w:val="0"/>
              <w:rPr>
                <w:color w:val="auto"/>
              </w:rPr>
            </w:pPr>
            <w:r>
              <w:rPr>
                <w:rFonts w:hint="eastAsia"/>
                <w:color w:val="auto"/>
              </w:rPr>
              <w:t>XXX-X1-B6(备用)</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6CB85E3">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2B11FF7">
            <w:pPr>
              <w:bidi w:val="0"/>
              <w:rPr>
                <w:color w:val="auto"/>
              </w:rPr>
            </w:pPr>
            <w:r>
              <w:rPr>
                <w:rFonts w:hint="eastAsia"/>
                <w:color w:val="auto"/>
              </w:rPr>
              <w:t>　</w:t>
            </w:r>
          </w:p>
        </w:tc>
        <w:tc>
          <w:tcPr>
            <w:tcW w:w="1470" w:type="dxa"/>
            <w:tcBorders>
              <w:top w:val="nil"/>
              <w:left w:val="nil"/>
              <w:bottom w:val="single" w:color="auto" w:sz="4" w:space="0"/>
              <w:right w:val="single" w:color="auto" w:sz="4" w:space="0"/>
            </w:tcBorders>
            <w:shd w:val="clear" w:color="auto" w:fill="FFFFFF" w:themeFill="background1"/>
            <w:vAlign w:val="center"/>
          </w:tcPr>
          <w:p w14:paraId="79243B41">
            <w:pPr>
              <w:bidi w:val="0"/>
              <w:rPr>
                <w:color w:val="auto"/>
              </w:rPr>
            </w:pPr>
            <w:r>
              <w:rPr>
                <w:rFonts w:hint="eastAsia"/>
                <w:color w:val="auto"/>
              </w:rPr>
              <w:t>　</w:t>
            </w:r>
          </w:p>
        </w:tc>
        <w:tc>
          <w:tcPr>
            <w:tcW w:w="1419" w:type="dxa"/>
            <w:tcBorders>
              <w:top w:val="nil"/>
              <w:left w:val="nil"/>
              <w:bottom w:val="single" w:color="auto" w:sz="4" w:space="0"/>
              <w:right w:val="single" w:color="auto" w:sz="4" w:space="0"/>
            </w:tcBorders>
            <w:shd w:val="clear" w:color="auto" w:fill="FFFFFF" w:themeFill="background1"/>
            <w:vAlign w:val="center"/>
          </w:tcPr>
          <w:p w14:paraId="727DEE50">
            <w:pPr>
              <w:bidi w:val="0"/>
              <w:rPr>
                <w:color w:val="auto"/>
              </w:rPr>
            </w:pPr>
            <w:r>
              <w:rPr>
                <w:rFonts w:hint="eastAsia"/>
                <w:color w:val="auto"/>
              </w:rPr>
              <w:t>　</w:t>
            </w:r>
          </w:p>
        </w:tc>
      </w:tr>
      <w:tr w14:paraId="46AE48B0">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1E4546F">
            <w:pPr>
              <w:bidi w:val="0"/>
              <w:rPr>
                <w:color w:val="auto"/>
              </w:rPr>
            </w:pPr>
            <w:r>
              <w:rPr>
                <w:rFonts w:hint="eastAsia"/>
                <w:color w:val="auto"/>
              </w:rPr>
              <w:t>备用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2596523">
            <w:pPr>
              <w:bidi w:val="0"/>
              <w:rPr>
                <w:color w:val="auto"/>
              </w:rPr>
            </w:pPr>
            <w:r>
              <w:rPr>
                <w:rFonts w:hint="eastAsia"/>
                <w:color w:val="auto"/>
              </w:rPr>
              <w:t>XXX-X1-B9(备用)</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AECE17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710FAD9">
            <w:pPr>
              <w:bidi w:val="0"/>
              <w:rPr>
                <w:color w:val="auto"/>
              </w:rPr>
            </w:pPr>
            <w:r>
              <w:rPr>
                <w:rFonts w:hint="eastAsia"/>
                <w:color w:val="auto"/>
              </w:rPr>
              <w:t>　</w:t>
            </w:r>
          </w:p>
        </w:tc>
        <w:tc>
          <w:tcPr>
            <w:tcW w:w="1470" w:type="dxa"/>
            <w:tcBorders>
              <w:top w:val="nil"/>
              <w:left w:val="nil"/>
              <w:bottom w:val="single" w:color="auto" w:sz="4" w:space="0"/>
              <w:right w:val="single" w:color="auto" w:sz="4" w:space="0"/>
            </w:tcBorders>
            <w:shd w:val="clear" w:color="auto" w:fill="FFFFFF" w:themeFill="background1"/>
            <w:vAlign w:val="center"/>
          </w:tcPr>
          <w:p w14:paraId="2F982444">
            <w:pPr>
              <w:bidi w:val="0"/>
              <w:rPr>
                <w:color w:val="auto"/>
              </w:rPr>
            </w:pPr>
            <w:r>
              <w:rPr>
                <w:rFonts w:hint="eastAsia"/>
                <w:color w:val="auto"/>
              </w:rPr>
              <w:t>　</w:t>
            </w:r>
          </w:p>
        </w:tc>
        <w:tc>
          <w:tcPr>
            <w:tcW w:w="1419" w:type="dxa"/>
            <w:tcBorders>
              <w:top w:val="nil"/>
              <w:left w:val="nil"/>
              <w:bottom w:val="single" w:color="auto" w:sz="4" w:space="0"/>
              <w:right w:val="single" w:color="auto" w:sz="4" w:space="0"/>
            </w:tcBorders>
            <w:shd w:val="clear" w:color="auto" w:fill="FFFFFF" w:themeFill="background1"/>
            <w:vAlign w:val="center"/>
          </w:tcPr>
          <w:p w14:paraId="7321CADC">
            <w:pPr>
              <w:bidi w:val="0"/>
              <w:rPr>
                <w:color w:val="auto"/>
              </w:rPr>
            </w:pPr>
            <w:r>
              <w:rPr>
                <w:rFonts w:hint="eastAsia"/>
                <w:color w:val="auto"/>
              </w:rPr>
              <w:t>　</w:t>
            </w:r>
          </w:p>
        </w:tc>
      </w:tr>
      <w:tr w14:paraId="16DC54F1">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05AE69E">
            <w:pPr>
              <w:bidi w:val="0"/>
              <w:rPr>
                <w:color w:val="auto"/>
              </w:rPr>
            </w:pPr>
            <w:r>
              <w:rPr>
                <w:rFonts w:hint="eastAsia"/>
                <w:color w:val="auto"/>
              </w:rPr>
              <w:t>DC24V正极</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DA0CFFD">
            <w:pPr>
              <w:bidi w:val="0"/>
              <w:rPr>
                <w:color w:val="auto"/>
              </w:rPr>
            </w:pPr>
            <w:r>
              <w:rPr>
                <w:rFonts w:hint="eastAsia"/>
                <w:color w:val="auto"/>
              </w:rPr>
              <w:t>P24C1-X1-B7</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9F32DA8">
            <w:pPr>
              <w:bidi w:val="0"/>
              <w:rPr>
                <w:color w:val="auto"/>
              </w:rPr>
            </w:pPr>
            <w:r>
              <w:rPr>
                <w:rFonts w:hint="eastAsia"/>
                <w:color w:val="auto"/>
              </w:rPr>
              <w:t>棕</w:t>
            </w:r>
          </w:p>
        </w:tc>
        <w:tc>
          <w:tcPr>
            <w:tcW w:w="2597"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433802B7">
            <w:pPr>
              <w:bidi w:val="0"/>
              <w:rPr>
                <w:color w:val="auto"/>
              </w:rPr>
            </w:pPr>
            <w:r>
              <w:rPr>
                <w:rFonts w:hint="eastAsia"/>
                <w:color w:val="auto"/>
              </w:rPr>
              <w:t>马尔他轮推杆推出烟包位置</w:t>
            </w:r>
          </w:p>
        </w:tc>
        <w:tc>
          <w:tcPr>
            <w:tcW w:w="1470"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5411A474">
            <w:pPr>
              <w:bidi w:val="0"/>
              <w:rPr>
                <w:color w:val="auto"/>
              </w:rPr>
            </w:pPr>
            <w:r>
              <w:rPr>
                <w:rFonts w:hint="eastAsia"/>
                <w:color w:val="auto"/>
              </w:rPr>
              <w:t>堆叠传感器--我方自加</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B5F7EC4">
            <w:pPr>
              <w:bidi w:val="0"/>
              <w:rPr>
                <w:color w:val="auto"/>
              </w:rPr>
            </w:pPr>
            <w:r>
              <w:rPr>
                <w:rFonts w:hint="eastAsia"/>
                <w:color w:val="auto"/>
              </w:rPr>
              <w:t>　</w:t>
            </w:r>
          </w:p>
        </w:tc>
      </w:tr>
      <w:tr w14:paraId="1BC8BD8E">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435BEBC">
            <w:pPr>
              <w:bidi w:val="0"/>
              <w:rPr>
                <w:color w:val="auto"/>
              </w:rPr>
            </w:pPr>
            <w:r>
              <w:rPr>
                <w:rFonts w:hint="eastAsia"/>
                <w:color w:val="auto"/>
              </w:rPr>
              <w:t>DC24V负极</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886C102">
            <w:pPr>
              <w:bidi w:val="0"/>
              <w:rPr>
                <w:color w:val="auto"/>
              </w:rPr>
            </w:pPr>
            <w:r>
              <w:rPr>
                <w:rFonts w:hint="eastAsia"/>
                <w:color w:val="auto"/>
              </w:rPr>
              <w:t>N24C1-X1-B8</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970B66E">
            <w:pPr>
              <w:bidi w:val="0"/>
              <w:rPr>
                <w:color w:val="auto"/>
              </w:rPr>
            </w:pPr>
            <w:r>
              <w:rPr>
                <w:rFonts w:hint="eastAsia"/>
                <w:color w:val="auto"/>
              </w:rPr>
              <w:t>蓝</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68CCECD2">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5D28B4B6">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63CE3247">
            <w:pPr>
              <w:bidi w:val="0"/>
              <w:rPr>
                <w:color w:val="auto"/>
              </w:rPr>
            </w:pPr>
            <w:r>
              <w:rPr>
                <w:rFonts w:hint="eastAsia"/>
                <w:color w:val="auto"/>
              </w:rPr>
              <w:t>　</w:t>
            </w:r>
          </w:p>
        </w:tc>
      </w:tr>
      <w:tr w14:paraId="3D06EE52">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B012F3A">
            <w:pPr>
              <w:bidi w:val="0"/>
              <w:rPr>
                <w:color w:val="auto"/>
              </w:rPr>
            </w:pPr>
            <w:r>
              <w:rPr>
                <w:rFonts w:hint="eastAsia"/>
                <w:color w:val="auto"/>
              </w:rPr>
              <w:t>%I9.6</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9668E82">
            <w:pPr>
              <w:bidi w:val="0"/>
              <w:rPr>
                <w:color w:val="auto"/>
              </w:rPr>
            </w:pPr>
            <w:r>
              <w:rPr>
                <w:rFonts w:hint="eastAsia"/>
                <w:color w:val="auto"/>
              </w:rPr>
              <w:t>286-X1-B10</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538D0EE">
            <w:pPr>
              <w:bidi w:val="0"/>
              <w:rPr>
                <w:color w:val="auto"/>
              </w:rPr>
            </w:pPr>
            <w:r>
              <w:rPr>
                <w:rFonts w:hint="eastAsia"/>
                <w:color w:val="auto"/>
              </w:rPr>
              <w:t>黑</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05DC8D44">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62A037F7">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5AFEA8D">
            <w:pPr>
              <w:bidi w:val="0"/>
              <w:rPr>
                <w:color w:val="auto"/>
              </w:rPr>
            </w:pPr>
            <w:r>
              <w:rPr>
                <w:rFonts w:hint="eastAsia"/>
                <w:color w:val="auto"/>
              </w:rPr>
              <w:t>　</w:t>
            </w:r>
          </w:p>
        </w:tc>
      </w:tr>
      <w:tr w14:paraId="3C7714F4">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E51C93F">
            <w:pPr>
              <w:bidi w:val="0"/>
              <w:rPr>
                <w:color w:val="auto"/>
              </w:rPr>
            </w:pPr>
            <w:r>
              <w:rPr>
                <w:rFonts w:hint="eastAsia"/>
                <w:color w:val="auto"/>
              </w:rPr>
              <w:t>%I8.0</w:t>
            </w:r>
          </w:p>
        </w:tc>
        <w:tc>
          <w:tcPr>
            <w:tcW w:w="1468" w:type="dxa"/>
            <w:tcBorders>
              <w:top w:val="single" w:color="auto" w:sz="4" w:space="0"/>
              <w:left w:val="nil"/>
              <w:bottom w:val="single" w:color="auto" w:sz="4" w:space="0"/>
              <w:right w:val="single" w:color="auto" w:sz="4" w:space="0"/>
            </w:tcBorders>
            <w:shd w:val="clear" w:color="auto" w:fill="FFFFFF" w:themeFill="background1"/>
            <w:vAlign w:val="center"/>
          </w:tcPr>
          <w:p w14:paraId="6A19DB82">
            <w:pPr>
              <w:bidi w:val="0"/>
              <w:rPr>
                <w:color w:val="auto"/>
              </w:rPr>
            </w:pPr>
            <w:r>
              <w:rPr>
                <w:rFonts w:hint="eastAsia"/>
                <w:color w:val="auto"/>
              </w:rPr>
              <w:t>260-X1-C1</w:t>
            </w:r>
          </w:p>
        </w:tc>
        <w:tc>
          <w:tcPr>
            <w:tcW w:w="812" w:type="dxa"/>
            <w:tcBorders>
              <w:top w:val="nil"/>
              <w:left w:val="nil"/>
              <w:bottom w:val="single" w:color="auto" w:sz="4" w:space="0"/>
              <w:right w:val="single" w:color="auto" w:sz="4" w:space="0"/>
            </w:tcBorders>
            <w:shd w:val="clear" w:color="auto" w:fill="FFFFFF" w:themeFill="background1"/>
            <w:vAlign w:val="center"/>
          </w:tcPr>
          <w:p w14:paraId="164283D7">
            <w:pPr>
              <w:bidi w:val="0"/>
              <w:rPr>
                <w:color w:val="auto"/>
              </w:rPr>
            </w:pPr>
            <w:r>
              <w:rPr>
                <w:rFonts w:hint="eastAsia"/>
                <w:color w:val="auto"/>
              </w:rPr>
              <w:t>　</w:t>
            </w:r>
          </w:p>
        </w:tc>
        <w:tc>
          <w:tcPr>
            <w:tcW w:w="2597" w:type="dxa"/>
            <w:tcBorders>
              <w:top w:val="single" w:color="auto" w:sz="4" w:space="0"/>
              <w:left w:val="nil"/>
              <w:bottom w:val="single" w:color="auto" w:sz="4" w:space="0"/>
              <w:right w:val="single" w:color="auto" w:sz="4" w:space="0"/>
            </w:tcBorders>
            <w:shd w:val="clear" w:color="auto" w:fill="FFFFFF" w:themeFill="background1"/>
            <w:vAlign w:val="center"/>
          </w:tcPr>
          <w:p w14:paraId="7514EDE0">
            <w:pPr>
              <w:bidi w:val="0"/>
              <w:rPr>
                <w:color w:val="auto"/>
              </w:rPr>
            </w:pPr>
            <w:r>
              <w:rPr>
                <w:rFonts w:hint="eastAsia"/>
                <w:color w:val="auto"/>
              </w:rPr>
              <w:t>N5-X105板卡11号接线端子</w:t>
            </w:r>
          </w:p>
        </w:tc>
        <w:tc>
          <w:tcPr>
            <w:tcW w:w="1470"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75D01143">
            <w:pPr>
              <w:bidi w:val="0"/>
              <w:rPr>
                <w:color w:val="auto"/>
              </w:rPr>
            </w:pPr>
            <w:r>
              <w:rPr>
                <w:rFonts w:hint="eastAsia"/>
                <w:color w:val="auto"/>
              </w:rPr>
              <w:t>原机CT编码器-需要接九根线</w:t>
            </w:r>
          </w:p>
        </w:tc>
        <w:tc>
          <w:tcPr>
            <w:tcW w:w="1419"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FE0D3BF">
            <w:pPr>
              <w:bidi w:val="0"/>
              <w:rPr>
                <w:color w:val="auto"/>
              </w:rPr>
            </w:pPr>
            <w:r>
              <w:rPr>
                <w:rFonts w:hint="eastAsia"/>
                <w:color w:val="auto"/>
              </w:rPr>
              <w:t>3260-X4-C1</w:t>
            </w:r>
          </w:p>
        </w:tc>
      </w:tr>
      <w:tr w14:paraId="1906B61A">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3CFA1A6">
            <w:pPr>
              <w:bidi w:val="0"/>
              <w:rPr>
                <w:color w:val="auto"/>
              </w:rPr>
            </w:pPr>
            <w:r>
              <w:rPr>
                <w:rFonts w:hint="eastAsia"/>
                <w:color w:val="auto"/>
              </w:rPr>
              <w:t>%I8.1</w:t>
            </w:r>
          </w:p>
        </w:tc>
        <w:tc>
          <w:tcPr>
            <w:tcW w:w="1468" w:type="dxa"/>
            <w:tcBorders>
              <w:top w:val="nil"/>
              <w:left w:val="nil"/>
              <w:bottom w:val="single" w:color="auto" w:sz="4" w:space="0"/>
              <w:right w:val="single" w:color="auto" w:sz="4" w:space="0"/>
            </w:tcBorders>
            <w:shd w:val="clear" w:color="auto" w:fill="FFFFFF" w:themeFill="background1"/>
            <w:vAlign w:val="center"/>
          </w:tcPr>
          <w:p w14:paraId="50F1608B">
            <w:pPr>
              <w:bidi w:val="0"/>
              <w:rPr>
                <w:color w:val="auto"/>
              </w:rPr>
            </w:pPr>
            <w:r>
              <w:rPr>
                <w:rFonts w:hint="eastAsia"/>
                <w:color w:val="auto"/>
              </w:rPr>
              <w:t>261-X1-C2</w:t>
            </w:r>
          </w:p>
        </w:tc>
        <w:tc>
          <w:tcPr>
            <w:tcW w:w="812" w:type="dxa"/>
            <w:tcBorders>
              <w:top w:val="nil"/>
              <w:left w:val="nil"/>
              <w:bottom w:val="single" w:color="auto" w:sz="4" w:space="0"/>
              <w:right w:val="single" w:color="auto" w:sz="4" w:space="0"/>
            </w:tcBorders>
            <w:shd w:val="clear" w:color="auto" w:fill="FFFFFF" w:themeFill="background1"/>
            <w:vAlign w:val="center"/>
          </w:tcPr>
          <w:p w14:paraId="6BE35FFC">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2AA57CB">
            <w:pPr>
              <w:bidi w:val="0"/>
              <w:rPr>
                <w:color w:val="auto"/>
              </w:rPr>
            </w:pPr>
            <w:r>
              <w:rPr>
                <w:rFonts w:hint="eastAsia"/>
                <w:color w:val="auto"/>
              </w:rPr>
              <w:t>N5-X105板卡12号接线端子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6FCC23BB">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2009E0C">
            <w:pPr>
              <w:bidi w:val="0"/>
              <w:rPr>
                <w:color w:val="auto"/>
              </w:rPr>
            </w:pPr>
            <w:r>
              <w:rPr>
                <w:rFonts w:hint="eastAsia"/>
                <w:color w:val="auto"/>
              </w:rPr>
              <w:t>3261-X4-C2</w:t>
            </w:r>
          </w:p>
        </w:tc>
      </w:tr>
      <w:tr w14:paraId="56024B8E">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18928A2">
            <w:pPr>
              <w:bidi w:val="0"/>
              <w:rPr>
                <w:color w:val="auto"/>
              </w:rPr>
            </w:pPr>
            <w:r>
              <w:rPr>
                <w:rFonts w:hint="eastAsia"/>
                <w:color w:val="auto"/>
              </w:rPr>
              <w:t>%I8.2</w:t>
            </w:r>
          </w:p>
        </w:tc>
        <w:tc>
          <w:tcPr>
            <w:tcW w:w="1468" w:type="dxa"/>
            <w:tcBorders>
              <w:top w:val="nil"/>
              <w:left w:val="nil"/>
              <w:bottom w:val="single" w:color="auto" w:sz="4" w:space="0"/>
              <w:right w:val="single" w:color="auto" w:sz="4" w:space="0"/>
            </w:tcBorders>
            <w:shd w:val="clear" w:color="auto" w:fill="FFFFFF" w:themeFill="background1"/>
            <w:vAlign w:val="center"/>
          </w:tcPr>
          <w:p w14:paraId="1EFF6225">
            <w:pPr>
              <w:bidi w:val="0"/>
              <w:rPr>
                <w:color w:val="auto"/>
              </w:rPr>
            </w:pPr>
            <w:r>
              <w:rPr>
                <w:rFonts w:hint="eastAsia"/>
                <w:color w:val="auto"/>
              </w:rPr>
              <w:t>262-X1-C3</w:t>
            </w:r>
          </w:p>
        </w:tc>
        <w:tc>
          <w:tcPr>
            <w:tcW w:w="812" w:type="dxa"/>
            <w:tcBorders>
              <w:top w:val="nil"/>
              <w:left w:val="nil"/>
              <w:bottom w:val="single" w:color="auto" w:sz="4" w:space="0"/>
              <w:right w:val="single" w:color="auto" w:sz="4" w:space="0"/>
            </w:tcBorders>
            <w:shd w:val="clear" w:color="auto" w:fill="FFFFFF" w:themeFill="background1"/>
            <w:vAlign w:val="center"/>
          </w:tcPr>
          <w:p w14:paraId="792642E7">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0B6081E1">
            <w:pPr>
              <w:bidi w:val="0"/>
              <w:rPr>
                <w:color w:val="auto"/>
              </w:rPr>
            </w:pPr>
            <w:r>
              <w:rPr>
                <w:rFonts w:hint="eastAsia"/>
                <w:color w:val="auto"/>
              </w:rPr>
              <w:t>N5-X105板卡13号接线端子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566C7123">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1F122F7B">
            <w:pPr>
              <w:bidi w:val="0"/>
              <w:rPr>
                <w:color w:val="auto"/>
              </w:rPr>
            </w:pPr>
            <w:r>
              <w:rPr>
                <w:rFonts w:hint="eastAsia"/>
                <w:color w:val="auto"/>
              </w:rPr>
              <w:t>3262-X4-C3</w:t>
            </w:r>
          </w:p>
        </w:tc>
      </w:tr>
      <w:tr w14:paraId="43437382">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86E9EE1">
            <w:pPr>
              <w:bidi w:val="0"/>
              <w:rPr>
                <w:color w:val="auto"/>
              </w:rPr>
            </w:pPr>
            <w:r>
              <w:rPr>
                <w:rFonts w:hint="eastAsia"/>
                <w:color w:val="auto"/>
              </w:rPr>
              <w:t>%I8.3</w:t>
            </w:r>
          </w:p>
        </w:tc>
        <w:tc>
          <w:tcPr>
            <w:tcW w:w="1468" w:type="dxa"/>
            <w:tcBorders>
              <w:top w:val="nil"/>
              <w:left w:val="nil"/>
              <w:bottom w:val="single" w:color="auto" w:sz="4" w:space="0"/>
              <w:right w:val="single" w:color="auto" w:sz="4" w:space="0"/>
            </w:tcBorders>
            <w:shd w:val="clear" w:color="auto" w:fill="FFFFFF" w:themeFill="background1"/>
            <w:vAlign w:val="center"/>
          </w:tcPr>
          <w:p w14:paraId="36E7D1A3">
            <w:pPr>
              <w:bidi w:val="0"/>
              <w:rPr>
                <w:color w:val="auto"/>
              </w:rPr>
            </w:pPr>
            <w:r>
              <w:rPr>
                <w:rFonts w:hint="eastAsia"/>
                <w:color w:val="auto"/>
              </w:rPr>
              <w:t>263-X1-C4</w:t>
            </w:r>
          </w:p>
        </w:tc>
        <w:tc>
          <w:tcPr>
            <w:tcW w:w="812" w:type="dxa"/>
            <w:tcBorders>
              <w:top w:val="nil"/>
              <w:left w:val="nil"/>
              <w:bottom w:val="single" w:color="auto" w:sz="4" w:space="0"/>
              <w:right w:val="single" w:color="auto" w:sz="4" w:space="0"/>
            </w:tcBorders>
            <w:shd w:val="clear" w:color="auto" w:fill="FFFFFF" w:themeFill="background1"/>
            <w:vAlign w:val="center"/>
          </w:tcPr>
          <w:p w14:paraId="251509E4">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D3B16DF">
            <w:pPr>
              <w:bidi w:val="0"/>
              <w:rPr>
                <w:color w:val="auto"/>
              </w:rPr>
            </w:pPr>
            <w:r>
              <w:rPr>
                <w:rFonts w:hint="eastAsia"/>
                <w:color w:val="auto"/>
              </w:rPr>
              <w:t>N5-X105板卡14号接线端子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308D589B">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7EDDBCCB">
            <w:pPr>
              <w:bidi w:val="0"/>
              <w:rPr>
                <w:color w:val="auto"/>
              </w:rPr>
            </w:pPr>
            <w:r>
              <w:rPr>
                <w:rFonts w:hint="eastAsia"/>
                <w:color w:val="auto"/>
              </w:rPr>
              <w:t>3263-X4-C4</w:t>
            </w:r>
          </w:p>
        </w:tc>
      </w:tr>
      <w:tr w14:paraId="2B2A8E02">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2C63CD9">
            <w:pPr>
              <w:bidi w:val="0"/>
              <w:rPr>
                <w:color w:val="auto"/>
              </w:rPr>
            </w:pPr>
            <w:r>
              <w:rPr>
                <w:rFonts w:hint="eastAsia"/>
                <w:color w:val="auto"/>
              </w:rPr>
              <w:t>%I8.4</w:t>
            </w:r>
          </w:p>
        </w:tc>
        <w:tc>
          <w:tcPr>
            <w:tcW w:w="1468" w:type="dxa"/>
            <w:tcBorders>
              <w:top w:val="nil"/>
              <w:left w:val="nil"/>
              <w:bottom w:val="single" w:color="auto" w:sz="4" w:space="0"/>
              <w:right w:val="single" w:color="auto" w:sz="4" w:space="0"/>
            </w:tcBorders>
            <w:shd w:val="clear" w:color="auto" w:fill="FFFFFF" w:themeFill="background1"/>
            <w:vAlign w:val="center"/>
          </w:tcPr>
          <w:p w14:paraId="1A57790C">
            <w:pPr>
              <w:bidi w:val="0"/>
              <w:rPr>
                <w:color w:val="auto"/>
              </w:rPr>
            </w:pPr>
            <w:r>
              <w:rPr>
                <w:rFonts w:hint="eastAsia"/>
                <w:color w:val="auto"/>
              </w:rPr>
              <w:t>264-X1-C5</w:t>
            </w:r>
          </w:p>
        </w:tc>
        <w:tc>
          <w:tcPr>
            <w:tcW w:w="812" w:type="dxa"/>
            <w:tcBorders>
              <w:top w:val="nil"/>
              <w:left w:val="nil"/>
              <w:bottom w:val="single" w:color="auto" w:sz="4" w:space="0"/>
              <w:right w:val="single" w:color="auto" w:sz="4" w:space="0"/>
            </w:tcBorders>
            <w:shd w:val="clear" w:color="auto" w:fill="FFFFFF" w:themeFill="background1"/>
            <w:vAlign w:val="center"/>
          </w:tcPr>
          <w:p w14:paraId="2228BE86">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55F5B99D">
            <w:pPr>
              <w:bidi w:val="0"/>
              <w:rPr>
                <w:color w:val="auto"/>
              </w:rPr>
            </w:pPr>
            <w:r>
              <w:rPr>
                <w:rFonts w:hint="eastAsia"/>
                <w:color w:val="auto"/>
              </w:rPr>
              <w:t>N5-X105板卡15号接线端子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08F6A70D">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1EE89E80">
            <w:pPr>
              <w:bidi w:val="0"/>
              <w:rPr>
                <w:color w:val="auto"/>
              </w:rPr>
            </w:pPr>
            <w:r>
              <w:rPr>
                <w:rFonts w:hint="eastAsia"/>
                <w:color w:val="auto"/>
              </w:rPr>
              <w:t>3264-X4-C5</w:t>
            </w:r>
          </w:p>
        </w:tc>
      </w:tr>
      <w:tr w14:paraId="44CD9A2C">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6DB4495">
            <w:pPr>
              <w:bidi w:val="0"/>
              <w:rPr>
                <w:color w:val="auto"/>
              </w:rPr>
            </w:pPr>
            <w:r>
              <w:rPr>
                <w:rFonts w:hint="eastAsia"/>
                <w:color w:val="auto"/>
              </w:rPr>
              <w:t>%I8.5</w:t>
            </w:r>
          </w:p>
        </w:tc>
        <w:tc>
          <w:tcPr>
            <w:tcW w:w="1468" w:type="dxa"/>
            <w:tcBorders>
              <w:top w:val="nil"/>
              <w:left w:val="nil"/>
              <w:bottom w:val="single" w:color="auto" w:sz="4" w:space="0"/>
              <w:right w:val="single" w:color="auto" w:sz="4" w:space="0"/>
            </w:tcBorders>
            <w:shd w:val="clear" w:color="auto" w:fill="FFFFFF" w:themeFill="background1"/>
            <w:vAlign w:val="center"/>
          </w:tcPr>
          <w:p w14:paraId="3B36554B">
            <w:pPr>
              <w:bidi w:val="0"/>
              <w:rPr>
                <w:color w:val="auto"/>
              </w:rPr>
            </w:pPr>
            <w:r>
              <w:rPr>
                <w:rFonts w:hint="eastAsia"/>
                <w:color w:val="auto"/>
              </w:rPr>
              <w:t>265-X1-C6</w:t>
            </w:r>
          </w:p>
        </w:tc>
        <w:tc>
          <w:tcPr>
            <w:tcW w:w="812" w:type="dxa"/>
            <w:tcBorders>
              <w:top w:val="nil"/>
              <w:left w:val="nil"/>
              <w:bottom w:val="single" w:color="auto" w:sz="4" w:space="0"/>
              <w:right w:val="single" w:color="auto" w:sz="4" w:space="0"/>
            </w:tcBorders>
            <w:shd w:val="clear" w:color="auto" w:fill="FFFFFF" w:themeFill="background1"/>
            <w:vAlign w:val="center"/>
          </w:tcPr>
          <w:p w14:paraId="0E32B84C">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58CD804">
            <w:pPr>
              <w:bidi w:val="0"/>
              <w:rPr>
                <w:color w:val="auto"/>
              </w:rPr>
            </w:pPr>
            <w:r>
              <w:rPr>
                <w:rFonts w:hint="eastAsia"/>
                <w:color w:val="auto"/>
              </w:rPr>
              <w:t>N5-X105板卡16号接线端子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21714399">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C1CFC51">
            <w:pPr>
              <w:bidi w:val="0"/>
              <w:rPr>
                <w:color w:val="auto"/>
              </w:rPr>
            </w:pPr>
            <w:r>
              <w:rPr>
                <w:rFonts w:hint="eastAsia"/>
                <w:color w:val="auto"/>
              </w:rPr>
              <w:t>3265-X4-C6</w:t>
            </w:r>
          </w:p>
        </w:tc>
      </w:tr>
      <w:tr w14:paraId="39755A66">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1C2F713">
            <w:pPr>
              <w:bidi w:val="0"/>
              <w:rPr>
                <w:color w:val="auto"/>
              </w:rPr>
            </w:pPr>
            <w:r>
              <w:rPr>
                <w:rFonts w:hint="eastAsia"/>
                <w:color w:val="auto"/>
              </w:rPr>
              <w:t>%I8.6</w:t>
            </w:r>
          </w:p>
        </w:tc>
        <w:tc>
          <w:tcPr>
            <w:tcW w:w="1468" w:type="dxa"/>
            <w:tcBorders>
              <w:top w:val="nil"/>
              <w:left w:val="nil"/>
              <w:bottom w:val="single" w:color="auto" w:sz="4" w:space="0"/>
              <w:right w:val="single" w:color="auto" w:sz="4" w:space="0"/>
            </w:tcBorders>
            <w:shd w:val="clear" w:color="auto" w:fill="FFFFFF" w:themeFill="background1"/>
            <w:vAlign w:val="center"/>
          </w:tcPr>
          <w:p w14:paraId="5F8F7D26">
            <w:pPr>
              <w:bidi w:val="0"/>
              <w:rPr>
                <w:color w:val="auto"/>
              </w:rPr>
            </w:pPr>
            <w:r>
              <w:rPr>
                <w:rFonts w:hint="eastAsia"/>
                <w:color w:val="auto"/>
              </w:rPr>
              <w:t>266-X1-C7</w:t>
            </w:r>
          </w:p>
        </w:tc>
        <w:tc>
          <w:tcPr>
            <w:tcW w:w="812" w:type="dxa"/>
            <w:tcBorders>
              <w:top w:val="nil"/>
              <w:left w:val="nil"/>
              <w:bottom w:val="single" w:color="auto" w:sz="4" w:space="0"/>
              <w:right w:val="single" w:color="auto" w:sz="4" w:space="0"/>
            </w:tcBorders>
            <w:shd w:val="clear" w:color="auto" w:fill="FFFFFF" w:themeFill="background1"/>
            <w:vAlign w:val="center"/>
          </w:tcPr>
          <w:p w14:paraId="0EF63E2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70000EE">
            <w:pPr>
              <w:bidi w:val="0"/>
              <w:rPr>
                <w:color w:val="auto"/>
              </w:rPr>
            </w:pPr>
            <w:r>
              <w:rPr>
                <w:rFonts w:hint="eastAsia"/>
                <w:color w:val="auto"/>
              </w:rPr>
              <w:t>N5-X105板卡17号接线端子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5965F817">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BE4DC69">
            <w:pPr>
              <w:bidi w:val="0"/>
              <w:rPr>
                <w:color w:val="auto"/>
              </w:rPr>
            </w:pPr>
            <w:r>
              <w:rPr>
                <w:rFonts w:hint="eastAsia"/>
                <w:color w:val="auto"/>
              </w:rPr>
              <w:t>3266-X4-C7</w:t>
            </w:r>
          </w:p>
        </w:tc>
      </w:tr>
      <w:tr w14:paraId="685DF564">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B707F9E">
            <w:pPr>
              <w:bidi w:val="0"/>
              <w:rPr>
                <w:color w:val="auto"/>
              </w:rPr>
            </w:pPr>
            <w:r>
              <w:rPr>
                <w:rFonts w:hint="eastAsia"/>
                <w:color w:val="auto"/>
              </w:rPr>
              <w:t>%I8.7</w:t>
            </w:r>
          </w:p>
        </w:tc>
        <w:tc>
          <w:tcPr>
            <w:tcW w:w="1468" w:type="dxa"/>
            <w:tcBorders>
              <w:top w:val="nil"/>
              <w:left w:val="nil"/>
              <w:bottom w:val="single" w:color="auto" w:sz="4" w:space="0"/>
              <w:right w:val="single" w:color="auto" w:sz="4" w:space="0"/>
            </w:tcBorders>
            <w:shd w:val="clear" w:color="auto" w:fill="FFFFFF" w:themeFill="background1"/>
            <w:vAlign w:val="center"/>
          </w:tcPr>
          <w:p w14:paraId="40032E0C">
            <w:pPr>
              <w:bidi w:val="0"/>
              <w:rPr>
                <w:color w:val="auto"/>
              </w:rPr>
            </w:pPr>
            <w:r>
              <w:rPr>
                <w:rFonts w:hint="eastAsia"/>
                <w:color w:val="auto"/>
              </w:rPr>
              <w:t>267-X1-C8</w:t>
            </w:r>
          </w:p>
        </w:tc>
        <w:tc>
          <w:tcPr>
            <w:tcW w:w="812" w:type="dxa"/>
            <w:tcBorders>
              <w:top w:val="nil"/>
              <w:left w:val="nil"/>
              <w:bottom w:val="single" w:color="auto" w:sz="4" w:space="0"/>
              <w:right w:val="single" w:color="auto" w:sz="4" w:space="0"/>
            </w:tcBorders>
            <w:shd w:val="clear" w:color="auto" w:fill="FFFFFF" w:themeFill="background1"/>
            <w:vAlign w:val="center"/>
          </w:tcPr>
          <w:p w14:paraId="4C590D43">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027F0363">
            <w:pPr>
              <w:bidi w:val="0"/>
              <w:rPr>
                <w:color w:val="auto"/>
              </w:rPr>
            </w:pPr>
            <w:r>
              <w:rPr>
                <w:rFonts w:hint="eastAsia"/>
                <w:color w:val="auto"/>
              </w:rPr>
              <w:t>N5-X105板卡18号接线端子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294C41A7">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22C44B7A">
            <w:pPr>
              <w:bidi w:val="0"/>
              <w:rPr>
                <w:color w:val="auto"/>
              </w:rPr>
            </w:pPr>
            <w:r>
              <w:rPr>
                <w:rFonts w:hint="eastAsia"/>
                <w:color w:val="auto"/>
              </w:rPr>
              <w:t>3267-X4-C8</w:t>
            </w:r>
          </w:p>
        </w:tc>
      </w:tr>
      <w:tr w14:paraId="6633B3DC">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FCDBA9B">
            <w:pPr>
              <w:bidi w:val="0"/>
              <w:rPr>
                <w:color w:val="auto"/>
              </w:rPr>
            </w:pPr>
            <w:r>
              <w:rPr>
                <w:rFonts w:hint="eastAsia"/>
                <w:color w:val="auto"/>
              </w:rPr>
              <w:t>%I9.0</w:t>
            </w:r>
          </w:p>
        </w:tc>
        <w:tc>
          <w:tcPr>
            <w:tcW w:w="1468" w:type="dxa"/>
            <w:tcBorders>
              <w:top w:val="nil"/>
              <w:left w:val="nil"/>
              <w:bottom w:val="single" w:color="auto" w:sz="4" w:space="0"/>
              <w:right w:val="single" w:color="auto" w:sz="4" w:space="0"/>
            </w:tcBorders>
            <w:shd w:val="clear" w:color="auto" w:fill="FFFFFF" w:themeFill="background1"/>
            <w:vAlign w:val="center"/>
          </w:tcPr>
          <w:p w14:paraId="40DC2763">
            <w:pPr>
              <w:bidi w:val="0"/>
              <w:rPr>
                <w:color w:val="auto"/>
              </w:rPr>
            </w:pPr>
            <w:r>
              <w:rPr>
                <w:rFonts w:hint="eastAsia"/>
                <w:color w:val="auto"/>
              </w:rPr>
              <w:t>280-X1-C9</w:t>
            </w:r>
          </w:p>
        </w:tc>
        <w:tc>
          <w:tcPr>
            <w:tcW w:w="812" w:type="dxa"/>
            <w:tcBorders>
              <w:top w:val="nil"/>
              <w:left w:val="nil"/>
              <w:bottom w:val="single" w:color="auto" w:sz="4" w:space="0"/>
              <w:right w:val="single" w:color="auto" w:sz="4" w:space="0"/>
            </w:tcBorders>
            <w:shd w:val="clear" w:color="auto" w:fill="FFFFFF" w:themeFill="background1"/>
            <w:vAlign w:val="center"/>
          </w:tcPr>
          <w:p w14:paraId="1719D902">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02558A89">
            <w:pPr>
              <w:bidi w:val="0"/>
              <w:rPr>
                <w:color w:val="auto"/>
              </w:rPr>
            </w:pPr>
            <w:r>
              <w:rPr>
                <w:rFonts w:hint="eastAsia"/>
                <w:color w:val="auto"/>
              </w:rPr>
              <w:t>N5-X105板卡19号接线端子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2F846D2F">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58E908D">
            <w:pPr>
              <w:bidi w:val="0"/>
              <w:rPr>
                <w:color w:val="auto"/>
              </w:rPr>
            </w:pPr>
            <w:r>
              <w:rPr>
                <w:rFonts w:hint="eastAsia"/>
                <w:color w:val="auto"/>
              </w:rPr>
              <w:t>3280-X4-C9</w:t>
            </w:r>
          </w:p>
        </w:tc>
      </w:tr>
      <w:tr w14:paraId="56364715">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CED8F20">
            <w:pPr>
              <w:bidi w:val="0"/>
              <w:rPr>
                <w:color w:val="auto"/>
              </w:rPr>
            </w:pPr>
            <w:r>
              <w:rPr>
                <w:rFonts w:hint="eastAsia"/>
                <w:color w:val="auto"/>
              </w:rPr>
              <w:t>%I9.3</w:t>
            </w:r>
          </w:p>
        </w:tc>
        <w:tc>
          <w:tcPr>
            <w:tcW w:w="1468" w:type="dxa"/>
            <w:tcBorders>
              <w:top w:val="nil"/>
              <w:left w:val="nil"/>
              <w:bottom w:val="single" w:color="auto" w:sz="4" w:space="0"/>
              <w:right w:val="single" w:color="auto" w:sz="4" w:space="0"/>
            </w:tcBorders>
            <w:shd w:val="clear" w:color="auto" w:fill="FFFFFF" w:themeFill="background1"/>
            <w:vAlign w:val="center"/>
          </w:tcPr>
          <w:p w14:paraId="31DD2C77">
            <w:pPr>
              <w:bidi w:val="0"/>
              <w:rPr>
                <w:color w:val="auto"/>
              </w:rPr>
            </w:pPr>
            <w:r>
              <w:rPr>
                <w:rFonts w:hint="eastAsia"/>
                <w:color w:val="auto"/>
              </w:rPr>
              <w:t>283-X1-A10</w:t>
            </w:r>
          </w:p>
        </w:tc>
        <w:tc>
          <w:tcPr>
            <w:tcW w:w="812" w:type="dxa"/>
            <w:tcBorders>
              <w:top w:val="nil"/>
              <w:left w:val="nil"/>
              <w:bottom w:val="single" w:color="auto" w:sz="4" w:space="0"/>
              <w:right w:val="single" w:color="auto" w:sz="4" w:space="0"/>
            </w:tcBorders>
            <w:shd w:val="clear" w:color="auto" w:fill="FFFFFF" w:themeFill="background1"/>
            <w:vAlign w:val="center"/>
          </w:tcPr>
          <w:p w14:paraId="6A81BA74">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6881D35">
            <w:pPr>
              <w:bidi w:val="0"/>
              <w:rPr>
                <w:color w:val="auto"/>
              </w:rPr>
            </w:pPr>
            <w:r>
              <w:rPr>
                <w:rFonts w:hint="eastAsia"/>
                <w:color w:val="auto"/>
              </w:rPr>
              <w:t>N13-X113板卡29号接线端子</w:t>
            </w:r>
          </w:p>
        </w:tc>
        <w:tc>
          <w:tcPr>
            <w:tcW w:w="1470" w:type="dxa"/>
            <w:tcBorders>
              <w:top w:val="nil"/>
              <w:left w:val="single" w:color="auto" w:sz="4" w:space="0"/>
              <w:bottom w:val="single" w:color="auto" w:sz="4" w:space="0"/>
              <w:right w:val="single" w:color="auto" w:sz="4" w:space="0"/>
            </w:tcBorders>
            <w:shd w:val="clear" w:color="auto" w:fill="FFFFFF" w:themeFill="background1"/>
            <w:vAlign w:val="center"/>
          </w:tcPr>
          <w:p w14:paraId="1664495F">
            <w:pPr>
              <w:bidi w:val="0"/>
              <w:rPr>
                <w:color w:val="auto"/>
              </w:rPr>
            </w:pPr>
            <w:r>
              <w:rPr>
                <w:rFonts w:hint="eastAsia"/>
                <w:color w:val="auto"/>
              </w:rPr>
              <w:t>条盒剔除电磁阀</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67B8204B">
            <w:pPr>
              <w:bidi w:val="0"/>
              <w:rPr>
                <w:color w:val="auto"/>
              </w:rPr>
            </w:pPr>
            <w:r>
              <w:rPr>
                <w:rFonts w:hint="eastAsia"/>
                <w:color w:val="auto"/>
              </w:rPr>
              <w:t>3283-X4-A10</w:t>
            </w:r>
          </w:p>
        </w:tc>
      </w:tr>
      <w:tr w14:paraId="63845531">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91E95F8">
            <w:pPr>
              <w:bidi w:val="0"/>
              <w:rPr>
                <w:color w:val="auto"/>
              </w:rPr>
            </w:pPr>
            <w:r>
              <w:rPr>
                <w:rFonts w:hint="eastAsia"/>
                <w:color w:val="auto"/>
              </w:rPr>
              <w:t>%I9.2</w:t>
            </w:r>
          </w:p>
        </w:tc>
        <w:tc>
          <w:tcPr>
            <w:tcW w:w="1468" w:type="dxa"/>
            <w:tcBorders>
              <w:top w:val="nil"/>
              <w:left w:val="nil"/>
              <w:bottom w:val="single" w:color="auto" w:sz="4" w:space="0"/>
              <w:right w:val="single" w:color="auto" w:sz="4" w:space="0"/>
            </w:tcBorders>
            <w:shd w:val="clear" w:color="auto" w:fill="FFFFFF" w:themeFill="background1"/>
            <w:vAlign w:val="center"/>
          </w:tcPr>
          <w:p w14:paraId="27104E99">
            <w:pPr>
              <w:bidi w:val="0"/>
              <w:rPr>
                <w:color w:val="auto"/>
              </w:rPr>
            </w:pPr>
            <w:r>
              <w:rPr>
                <w:rFonts w:hint="eastAsia"/>
                <w:color w:val="auto"/>
              </w:rPr>
              <w:t>282-X1-B1</w:t>
            </w:r>
          </w:p>
        </w:tc>
        <w:tc>
          <w:tcPr>
            <w:tcW w:w="812" w:type="dxa"/>
            <w:tcBorders>
              <w:top w:val="nil"/>
              <w:left w:val="nil"/>
              <w:bottom w:val="single" w:color="auto" w:sz="4" w:space="0"/>
              <w:right w:val="single" w:color="auto" w:sz="4" w:space="0"/>
            </w:tcBorders>
            <w:shd w:val="clear" w:color="auto" w:fill="FFFFFF" w:themeFill="background1"/>
            <w:vAlign w:val="center"/>
          </w:tcPr>
          <w:p w14:paraId="0FE44540">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744EBE8A">
            <w:pPr>
              <w:bidi w:val="0"/>
              <w:rPr>
                <w:color w:val="auto"/>
              </w:rPr>
            </w:pPr>
            <w:r>
              <w:rPr>
                <w:rFonts w:hint="eastAsia"/>
                <w:color w:val="auto"/>
              </w:rPr>
              <w:t>N9-X109板卡4号接线端子</w:t>
            </w:r>
          </w:p>
        </w:tc>
        <w:tc>
          <w:tcPr>
            <w:tcW w:w="1470" w:type="dxa"/>
            <w:tcBorders>
              <w:top w:val="nil"/>
              <w:left w:val="single" w:color="auto" w:sz="4" w:space="0"/>
              <w:bottom w:val="single" w:color="auto" w:sz="4" w:space="0"/>
              <w:right w:val="single" w:color="auto" w:sz="4" w:space="0"/>
            </w:tcBorders>
            <w:shd w:val="clear" w:color="auto" w:fill="FFFFFF" w:themeFill="background1"/>
            <w:vAlign w:val="center"/>
          </w:tcPr>
          <w:p w14:paraId="37CB4E8A">
            <w:pPr>
              <w:bidi w:val="0"/>
              <w:rPr>
                <w:color w:val="auto"/>
              </w:rPr>
            </w:pPr>
            <w:r>
              <w:rPr>
                <w:rFonts w:hint="eastAsia"/>
                <w:color w:val="auto"/>
              </w:rPr>
              <w:t>CT毛刷检测传感器</w:t>
            </w:r>
          </w:p>
        </w:tc>
        <w:tc>
          <w:tcPr>
            <w:tcW w:w="1419"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51956B6B">
            <w:pPr>
              <w:bidi w:val="0"/>
              <w:rPr>
                <w:color w:val="auto"/>
              </w:rPr>
            </w:pPr>
            <w:r>
              <w:rPr>
                <w:rFonts w:hint="eastAsia"/>
                <w:color w:val="auto"/>
              </w:rPr>
              <w:t>3282-X4-B1</w:t>
            </w:r>
          </w:p>
        </w:tc>
      </w:tr>
      <w:tr w14:paraId="7E5A2D27">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93170D0">
            <w:pPr>
              <w:bidi w:val="0"/>
              <w:rPr>
                <w:color w:val="auto"/>
              </w:rPr>
            </w:pPr>
            <w:r>
              <w:rPr>
                <w:rFonts w:hint="eastAsia"/>
                <w:color w:val="auto"/>
              </w:rPr>
              <w:t>%I9.1</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5163BB41">
            <w:pPr>
              <w:bidi w:val="0"/>
              <w:rPr>
                <w:color w:val="auto"/>
              </w:rPr>
            </w:pPr>
            <w:r>
              <w:rPr>
                <w:rFonts w:hint="eastAsia"/>
                <w:color w:val="auto"/>
              </w:rPr>
              <w:t>281-X1-B2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2DA4C6B">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705DEBE4">
            <w:pPr>
              <w:bidi w:val="0"/>
              <w:rPr>
                <w:color w:val="auto"/>
              </w:rPr>
            </w:pPr>
            <w:r>
              <w:rPr>
                <w:rFonts w:hint="eastAsia"/>
                <w:color w:val="auto"/>
              </w:rPr>
              <w:t>N7-X107板卡21号接线端子</w:t>
            </w:r>
          </w:p>
        </w:tc>
        <w:tc>
          <w:tcPr>
            <w:tcW w:w="1470" w:type="dxa"/>
            <w:tcBorders>
              <w:top w:val="single" w:color="auto" w:sz="4" w:space="0"/>
              <w:left w:val="nil"/>
              <w:bottom w:val="single" w:color="auto" w:sz="4" w:space="0"/>
              <w:right w:val="single" w:color="auto" w:sz="4" w:space="0"/>
            </w:tcBorders>
            <w:shd w:val="clear" w:color="auto" w:fill="FFFFFF" w:themeFill="background1"/>
            <w:vAlign w:val="center"/>
          </w:tcPr>
          <w:p w14:paraId="28CF1C58">
            <w:pPr>
              <w:bidi w:val="0"/>
              <w:rPr>
                <w:color w:val="auto"/>
              </w:rPr>
            </w:pPr>
            <w:r>
              <w:rPr>
                <w:rFonts w:hint="eastAsia"/>
                <w:color w:val="auto"/>
              </w:rPr>
              <w:t>CH检测暂停按钮</w:t>
            </w:r>
          </w:p>
        </w:tc>
        <w:tc>
          <w:tcPr>
            <w:tcW w:w="1419" w:type="dxa"/>
            <w:tcBorders>
              <w:top w:val="nil"/>
              <w:left w:val="nil"/>
              <w:bottom w:val="single" w:color="auto" w:sz="4" w:space="0"/>
              <w:right w:val="single" w:color="auto" w:sz="4" w:space="0"/>
            </w:tcBorders>
            <w:shd w:val="clear" w:color="auto" w:fill="FFFFFF" w:themeFill="background1"/>
            <w:vAlign w:val="center"/>
          </w:tcPr>
          <w:p w14:paraId="30988EDA">
            <w:pPr>
              <w:bidi w:val="0"/>
              <w:rPr>
                <w:color w:val="auto"/>
              </w:rPr>
            </w:pPr>
            <w:r>
              <w:rPr>
                <w:rFonts w:hint="eastAsia"/>
                <w:color w:val="auto"/>
              </w:rPr>
              <w:t>3281-X4-B2</w:t>
            </w:r>
          </w:p>
        </w:tc>
      </w:tr>
      <w:tr w14:paraId="4C22EF65">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D4466B7">
            <w:pPr>
              <w:bidi w:val="0"/>
              <w:rPr>
                <w:color w:val="auto"/>
              </w:rPr>
            </w:pPr>
            <w:r>
              <w:rPr>
                <w:rFonts w:hint="eastAsia"/>
                <w:color w:val="auto"/>
              </w:rPr>
              <w:t>%I9.5</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9E26C88">
            <w:pPr>
              <w:bidi w:val="0"/>
              <w:rPr>
                <w:color w:val="auto"/>
              </w:rPr>
            </w:pPr>
            <w:r>
              <w:rPr>
                <w:rFonts w:hint="eastAsia"/>
                <w:color w:val="auto"/>
              </w:rPr>
              <w:t>285-X1-B3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2F6466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6F2AB31B">
            <w:pPr>
              <w:bidi w:val="0"/>
              <w:rPr>
                <w:color w:val="auto"/>
              </w:rPr>
            </w:pPr>
            <w:r>
              <w:rPr>
                <w:rFonts w:hint="eastAsia"/>
                <w:color w:val="auto"/>
              </w:rPr>
              <w:t>N9-X109板卡1号接线端子</w:t>
            </w:r>
          </w:p>
        </w:tc>
        <w:tc>
          <w:tcPr>
            <w:tcW w:w="1470" w:type="dxa"/>
            <w:tcBorders>
              <w:top w:val="nil"/>
              <w:left w:val="nil"/>
              <w:bottom w:val="single" w:color="auto" w:sz="4" w:space="0"/>
              <w:right w:val="single" w:color="auto" w:sz="4" w:space="0"/>
            </w:tcBorders>
            <w:shd w:val="clear" w:color="auto" w:fill="FFFFFF" w:themeFill="background1"/>
            <w:vAlign w:val="center"/>
          </w:tcPr>
          <w:p w14:paraId="269D91B5">
            <w:pPr>
              <w:bidi w:val="0"/>
              <w:rPr>
                <w:color w:val="auto"/>
              </w:rPr>
            </w:pPr>
            <w:r>
              <w:rPr>
                <w:rFonts w:hint="eastAsia"/>
                <w:color w:val="auto"/>
              </w:rPr>
              <w:t>CT检测暂停按钮</w:t>
            </w:r>
          </w:p>
        </w:tc>
        <w:tc>
          <w:tcPr>
            <w:tcW w:w="1419" w:type="dxa"/>
            <w:tcBorders>
              <w:top w:val="nil"/>
              <w:left w:val="nil"/>
              <w:bottom w:val="single" w:color="auto" w:sz="4" w:space="0"/>
              <w:right w:val="single" w:color="auto" w:sz="4" w:space="0"/>
            </w:tcBorders>
            <w:shd w:val="clear" w:color="auto" w:fill="FFFFFF" w:themeFill="background1"/>
            <w:vAlign w:val="center"/>
          </w:tcPr>
          <w:p w14:paraId="5096FF01">
            <w:pPr>
              <w:bidi w:val="0"/>
              <w:rPr>
                <w:color w:val="auto"/>
              </w:rPr>
            </w:pPr>
            <w:r>
              <w:rPr>
                <w:rFonts w:hint="eastAsia"/>
                <w:color w:val="auto"/>
              </w:rPr>
              <w:t>3285-X4-B3</w:t>
            </w:r>
          </w:p>
        </w:tc>
      </w:tr>
      <w:tr w14:paraId="0A54235F">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7FE59BF">
            <w:pPr>
              <w:bidi w:val="0"/>
              <w:rPr>
                <w:color w:val="auto"/>
              </w:rPr>
            </w:pPr>
            <w:r>
              <w:rPr>
                <w:rFonts w:hint="eastAsia"/>
                <w:color w:val="auto"/>
              </w:rPr>
              <w:t>%I9.4</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1CA4573">
            <w:pPr>
              <w:bidi w:val="0"/>
              <w:rPr>
                <w:color w:val="auto"/>
              </w:rPr>
            </w:pPr>
            <w:r>
              <w:rPr>
                <w:rFonts w:hint="eastAsia"/>
                <w:color w:val="auto"/>
              </w:rPr>
              <w:t>284-X1-B4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6925FAB">
            <w:pPr>
              <w:bidi w:val="0"/>
              <w:rPr>
                <w:color w:val="auto"/>
              </w:rPr>
            </w:pPr>
            <w:r>
              <w:rPr>
                <w:rFonts w:hint="eastAsia"/>
                <w:color w:val="auto"/>
              </w:rPr>
              <w:t>蓝</w:t>
            </w:r>
          </w:p>
        </w:tc>
        <w:tc>
          <w:tcPr>
            <w:tcW w:w="2597"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18A69CC">
            <w:pPr>
              <w:bidi w:val="0"/>
              <w:rPr>
                <w:color w:val="auto"/>
              </w:rPr>
            </w:pPr>
            <w:r>
              <w:rPr>
                <w:rFonts w:hint="eastAsia"/>
                <w:color w:val="auto"/>
              </w:rPr>
              <w:t>补烟气缸位置-磁性检测开关</w:t>
            </w:r>
          </w:p>
        </w:tc>
        <w:tc>
          <w:tcPr>
            <w:tcW w:w="1470"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37340512">
            <w:pPr>
              <w:bidi w:val="0"/>
              <w:rPr>
                <w:color w:val="auto"/>
              </w:rPr>
            </w:pPr>
            <w:r>
              <w:rPr>
                <w:rFonts w:hint="eastAsia"/>
                <w:color w:val="auto"/>
              </w:rPr>
              <w:t>磁性开关--我方或原机增加</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9C0A91A">
            <w:pPr>
              <w:bidi w:val="0"/>
              <w:rPr>
                <w:color w:val="auto"/>
              </w:rPr>
            </w:pPr>
            <w:r>
              <w:rPr>
                <w:rFonts w:hint="eastAsia"/>
                <w:color w:val="auto"/>
              </w:rPr>
              <w:t>3284-X4-B4</w:t>
            </w:r>
          </w:p>
        </w:tc>
      </w:tr>
      <w:tr w14:paraId="1C89FD6A">
        <w:tblPrEx>
          <w:tblCellMar>
            <w:top w:w="0" w:type="dxa"/>
            <w:left w:w="108" w:type="dxa"/>
            <w:bottom w:w="0" w:type="dxa"/>
            <w:right w:w="108" w:type="dxa"/>
          </w:tblCellMar>
        </w:tblPrEx>
        <w:trPr>
          <w:trHeight w:val="600" w:hRule="atLeast"/>
        </w:trPr>
        <w:tc>
          <w:tcPr>
            <w:tcW w:w="1854" w:type="dxa"/>
            <w:tcBorders>
              <w:top w:val="single" w:color="auto" w:sz="4" w:space="0"/>
              <w:left w:val="single" w:color="auto" w:sz="4" w:space="0"/>
              <w:bottom w:val="nil"/>
              <w:right w:val="single" w:color="auto" w:sz="4" w:space="0"/>
            </w:tcBorders>
            <w:shd w:val="clear" w:color="auto" w:fill="FFFFFF" w:themeFill="background1"/>
            <w:vAlign w:val="center"/>
          </w:tcPr>
          <w:p w14:paraId="0E73BD0A">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68D5AC8">
            <w:pPr>
              <w:bidi w:val="0"/>
              <w:rPr>
                <w:color w:val="auto"/>
              </w:rPr>
            </w:pPr>
            <w:r>
              <w:rPr>
                <w:rFonts w:hint="eastAsia"/>
                <w:color w:val="auto"/>
              </w:rPr>
              <w:t>P24C1-X1-B5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4EF6DB7">
            <w:pPr>
              <w:bidi w:val="0"/>
              <w:rPr>
                <w:color w:val="auto"/>
              </w:rPr>
            </w:pPr>
            <w:r>
              <w:rPr>
                <w:rFonts w:hint="eastAsia"/>
                <w:color w:val="auto"/>
              </w:rPr>
              <w:t>棕</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05227131">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43E15982">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500BF29">
            <w:pPr>
              <w:bidi w:val="0"/>
              <w:rPr>
                <w:color w:val="auto"/>
              </w:rPr>
            </w:pPr>
            <w:r>
              <w:rPr>
                <w:rFonts w:hint="eastAsia"/>
                <w:color w:val="auto"/>
              </w:rPr>
              <w:t>　</w:t>
            </w:r>
          </w:p>
        </w:tc>
      </w:tr>
      <w:tr w14:paraId="7B8C938D">
        <w:tblPrEx>
          <w:tblCellMar>
            <w:top w:w="0" w:type="dxa"/>
            <w:left w:w="108" w:type="dxa"/>
            <w:bottom w:w="0" w:type="dxa"/>
            <w:right w:w="108" w:type="dxa"/>
          </w:tblCellMar>
        </w:tblPrEx>
        <w:trPr>
          <w:trHeight w:val="600" w:hRule="atLeast"/>
        </w:trPr>
        <w:tc>
          <w:tcPr>
            <w:tcW w:w="1854"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2373E0B6">
            <w:pPr>
              <w:bidi w:val="0"/>
              <w:rPr>
                <w:color w:val="auto"/>
              </w:rPr>
            </w:pPr>
            <w:r>
              <w:rPr>
                <w:rFonts w:hint="eastAsia"/>
                <w:color w:val="auto"/>
              </w:rPr>
              <w:t>%Q12.6中转继电器</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5E7488CA">
            <w:pPr>
              <w:bidi w:val="0"/>
              <w:rPr>
                <w:color w:val="auto"/>
              </w:rPr>
            </w:pPr>
            <w:r>
              <w:rPr>
                <w:rFonts w:hint="eastAsia"/>
                <w:color w:val="auto"/>
              </w:rPr>
              <w:t>303-X1-D3</w:t>
            </w:r>
          </w:p>
        </w:tc>
        <w:tc>
          <w:tcPr>
            <w:tcW w:w="812" w:type="dxa"/>
            <w:tcBorders>
              <w:top w:val="nil"/>
              <w:left w:val="nil"/>
              <w:bottom w:val="single" w:color="auto" w:sz="4" w:space="0"/>
              <w:right w:val="single" w:color="auto" w:sz="4" w:space="0"/>
            </w:tcBorders>
            <w:shd w:val="clear" w:color="auto" w:fill="FFFFFF" w:themeFill="background1"/>
            <w:vAlign w:val="center"/>
          </w:tcPr>
          <w:p w14:paraId="5C7F3063">
            <w:pPr>
              <w:bidi w:val="0"/>
              <w:rPr>
                <w:color w:val="auto"/>
              </w:rPr>
            </w:pPr>
            <w:r>
              <w:rPr>
                <w:rFonts w:hint="eastAsia"/>
                <w:color w:val="auto"/>
              </w:rPr>
              <w:t>　</w:t>
            </w:r>
          </w:p>
        </w:tc>
        <w:tc>
          <w:tcPr>
            <w:tcW w:w="2597" w:type="dxa"/>
            <w:tcBorders>
              <w:top w:val="single" w:color="auto" w:sz="4" w:space="0"/>
              <w:left w:val="nil"/>
              <w:bottom w:val="single" w:color="auto" w:sz="4" w:space="0"/>
              <w:right w:val="single" w:color="auto" w:sz="4" w:space="0"/>
            </w:tcBorders>
            <w:shd w:val="clear" w:color="auto" w:fill="FFFFFF" w:themeFill="background1"/>
            <w:vAlign w:val="center"/>
          </w:tcPr>
          <w:p w14:paraId="6CAA5BFC">
            <w:pPr>
              <w:bidi w:val="0"/>
              <w:rPr>
                <w:color w:val="auto"/>
              </w:rPr>
            </w:pPr>
            <w:r>
              <w:rPr>
                <w:rFonts w:hint="eastAsia"/>
                <w:color w:val="auto"/>
              </w:rPr>
              <w:t>并接N8-X108板卡6号接线端子</w:t>
            </w:r>
          </w:p>
        </w:tc>
        <w:tc>
          <w:tcPr>
            <w:tcW w:w="1470"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1DB8C974">
            <w:pPr>
              <w:bidi w:val="0"/>
              <w:rPr>
                <w:color w:val="auto"/>
              </w:rPr>
            </w:pPr>
            <w:r>
              <w:rPr>
                <w:rFonts w:hint="eastAsia"/>
                <w:color w:val="auto"/>
              </w:rPr>
              <w:t>CH出口手动剔除按钮</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AAB32DE">
            <w:pPr>
              <w:bidi w:val="0"/>
              <w:rPr>
                <w:color w:val="auto"/>
              </w:rPr>
            </w:pPr>
            <w:r>
              <w:rPr>
                <w:rFonts w:hint="eastAsia"/>
                <w:color w:val="auto"/>
              </w:rPr>
              <w:t>3303-X4-D3</w:t>
            </w:r>
          </w:p>
        </w:tc>
      </w:tr>
      <w:tr w14:paraId="047CD0A6">
        <w:tblPrEx>
          <w:shd w:val="clear" w:color="auto" w:fill="FFFFFF" w:themeFill="background1"/>
          <w:tblCellMar>
            <w:top w:w="0" w:type="dxa"/>
            <w:left w:w="108" w:type="dxa"/>
            <w:bottom w:w="0" w:type="dxa"/>
            <w:right w:w="108" w:type="dxa"/>
          </w:tblCellMar>
        </w:tblPrEx>
        <w:trPr>
          <w:trHeight w:val="600" w:hRule="atLeast"/>
        </w:trPr>
        <w:tc>
          <w:tcPr>
            <w:tcW w:w="1854"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382699E6">
            <w:pPr>
              <w:bidi w:val="0"/>
              <w:rPr>
                <w:color w:val="auto"/>
              </w:rPr>
            </w:pP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89FB2BC">
            <w:pPr>
              <w:bidi w:val="0"/>
              <w:rPr>
                <w:color w:val="auto"/>
              </w:rPr>
            </w:pPr>
            <w:r>
              <w:rPr>
                <w:rFonts w:hint="eastAsia"/>
                <w:color w:val="auto"/>
              </w:rPr>
              <w:t>　</w:t>
            </w:r>
          </w:p>
        </w:tc>
        <w:tc>
          <w:tcPr>
            <w:tcW w:w="812" w:type="dxa"/>
            <w:tcBorders>
              <w:top w:val="nil"/>
              <w:left w:val="nil"/>
              <w:bottom w:val="single" w:color="auto" w:sz="4" w:space="0"/>
              <w:right w:val="single" w:color="auto" w:sz="4" w:space="0"/>
            </w:tcBorders>
            <w:shd w:val="clear" w:color="auto" w:fill="FFFFFF" w:themeFill="background1"/>
            <w:vAlign w:val="center"/>
          </w:tcPr>
          <w:p w14:paraId="2F4A9DCA">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F92E642">
            <w:pPr>
              <w:bidi w:val="0"/>
              <w:rPr>
                <w:color w:val="auto"/>
              </w:rPr>
            </w:pPr>
            <w:r>
              <w:rPr>
                <w:rFonts w:hint="eastAsia"/>
                <w:color w:val="auto"/>
              </w:rPr>
              <w:t>二维码柜内依据图纸更改接线</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7BACB892">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734B6347">
            <w:pPr>
              <w:bidi w:val="0"/>
              <w:rPr>
                <w:color w:val="auto"/>
              </w:rPr>
            </w:pPr>
            <w:r>
              <w:rPr>
                <w:rFonts w:hint="eastAsia"/>
                <w:color w:val="auto"/>
              </w:rPr>
              <w:t>　</w:t>
            </w:r>
          </w:p>
        </w:tc>
      </w:tr>
      <w:tr w14:paraId="05AB53F8">
        <w:tblPrEx>
          <w:shd w:val="clear" w:color="auto" w:fill="FFFFFF" w:themeFill="background1"/>
          <w:tblCellMar>
            <w:top w:w="0" w:type="dxa"/>
            <w:left w:w="108" w:type="dxa"/>
            <w:bottom w:w="0" w:type="dxa"/>
            <w:right w:w="108" w:type="dxa"/>
          </w:tblCellMar>
        </w:tblPrEx>
        <w:trPr>
          <w:trHeight w:val="300" w:hRule="atLeast"/>
        </w:trPr>
        <w:tc>
          <w:tcPr>
            <w:tcW w:w="1854"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33B6B2F1">
            <w:pPr>
              <w:bidi w:val="0"/>
              <w:rPr>
                <w:color w:val="auto"/>
              </w:rPr>
            </w:pPr>
            <w:r>
              <w:rPr>
                <w:rFonts w:hint="eastAsia"/>
                <w:color w:val="auto"/>
              </w:rPr>
              <w:t>%Q12.6中转继电器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18866E0">
            <w:pPr>
              <w:bidi w:val="0"/>
              <w:rPr>
                <w:color w:val="auto"/>
              </w:rPr>
            </w:pPr>
            <w:r>
              <w:rPr>
                <w:rFonts w:hint="eastAsia"/>
                <w:color w:val="auto"/>
              </w:rPr>
              <w:t>303-X1-D3</w:t>
            </w:r>
          </w:p>
        </w:tc>
        <w:tc>
          <w:tcPr>
            <w:tcW w:w="812" w:type="dxa"/>
            <w:tcBorders>
              <w:top w:val="nil"/>
              <w:left w:val="nil"/>
              <w:bottom w:val="single" w:color="auto" w:sz="4" w:space="0"/>
              <w:right w:val="single" w:color="auto" w:sz="4" w:space="0"/>
            </w:tcBorders>
            <w:shd w:val="clear" w:color="auto" w:fill="FFFFFF" w:themeFill="background1"/>
            <w:vAlign w:val="center"/>
          </w:tcPr>
          <w:p w14:paraId="572CAE23">
            <w:pPr>
              <w:bidi w:val="0"/>
              <w:rPr>
                <w:color w:val="auto"/>
              </w:rPr>
            </w:pPr>
            <w:r>
              <w:rPr>
                <w:rFonts w:hint="eastAsia"/>
                <w:color w:val="auto"/>
              </w:rPr>
              <w:t>　</w:t>
            </w:r>
          </w:p>
        </w:tc>
        <w:tc>
          <w:tcPr>
            <w:tcW w:w="2597"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55D28A5">
            <w:pPr>
              <w:bidi w:val="0"/>
              <w:rPr>
                <w:color w:val="auto"/>
              </w:rPr>
            </w:pPr>
            <w:r>
              <w:rPr>
                <w:rFonts w:hint="eastAsia"/>
                <w:color w:val="auto"/>
              </w:rPr>
              <w:t>串接N8-X108板卡14号接线端子</w:t>
            </w:r>
          </w:p>
        </w:tc>
        <w:tc>
          <w:tcPr>
            <w:tcW w:w="1470" w:type="dxa"/>
            <w:vMerge w:val="restart"/>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2FDC5857">
            <w:pPr>
              <w:bidi w:val="0"/>
              <w:rPr>
                <w:color w:val="auto"/>
              </w:rPr>
            </w:pPr>
            <w:r>
              <w:rPr>
                <w:rFonts w:hint="eastAsia"/>
                <w:color w:val="auto"/>
              </w:rPr>
              <w:t>透明纸偏移检测传感器</w:t>
            </w:r>
          </w:p>
        </w:tc>
        <w:tc>
          <w:tcPr>
            <w:tcW w:w="1419" w:type="dxa"/>
            <w:tcBorders>
              <w:top w:val="nil"/>
              <w:left w:val="nil"/>
              <w:bottom w:val="single" w:color="auto" w:sz="4" w:space="0"/>
              <w:right w:val="single" w:color="auto" w:sz="4" w:space="0"/>
            </w:tcBorders>
            <w:shd w:val="clear" w:color="auto" w:fill="FFFFFF" w:themeFill="background1"/>
            <w:vAlign w:val="center"/>
          </w:tcPr>
          <w:p w14:paraId="7E6DDF25">
            <w:pPr>
              <w:bidi w:val="0"/>
              <w:rPr>
                <w:color w:val="auto"/>
              </w:rPr>
            </w:pPr>
            <w:r>
              <w:rPr>
                <w:rFonts w:hint="eastAsia"/>
                <w:color w:val="auto"/>
              </w:rPr>
              <w:t>3303-X4-D3</w:t>
            </w:r>
          </w:p>
        </w:tc>
      </w:tr>
      <w:tr w14:paraId="6C0ABB1C">
        <w:tblPrEx>
          <w:tblCellMar>
            <w:top w:w="0" w:type="dxa"/>
            <w:left w:w="108" w:type="dxa"/>
            <w:bottom w:w="0" w:type="dxa"/>
            <w:right w:w="108" w:type="dxa"/>
          </w:tblCellMar>
        </w:tblPrEx>
        <w:trPr>
          <w:trHeight w:val="300" w:hRule="atLeast"/>
        </w:trPr>
        <w:tc>
          <w:tcPr>
            <w:tcW w:w="1854"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48770221">
            <w:pPr>
              <w:bidi w:val="0"/>
              <w:rPr>
                <w:color w:val="auto"/>
              </w:rPr>
            </w:pP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ACEE117">
            <w:pPr>
              <w:bidi w:val="0"/>
              <w:rPr>
                <w:color w:val="auto"/>
              </w:rPr>
            </w:pPr>
            <w:r>
              <w:rPr>
                <w:rFonts w:hint="eastAsia"/>
                <w:color w:val="auto"/>
              </w:rPr>
              <w:t>304-X1-D4</w:t>
            </w:r>
          </w:p>
        </w:tc>
        <w:tc>
          <w:tcPr>
            <w:tcW w:w="812" w:type="dxa"/>
            <w:tcBorders>
              <w:top w:val="nil"/>
              <w:left w:val="nil"/>
              <w:bottom w:val="single" w:color="auto" w:sz="4" w:space="0"/>
              <w:right w:val="single" w:color="auto" w:sz="4" w:space="0"/>
            </w:tcBorders>
            <w:shd w:val="clear" w:color="auto" w:fill="FFFFFF" w:themeFill="background1"/>
            <w:vAlign w:val="center"/>
          </w:tcPr>
          <w:p w14:paraId="214B6907">
            <w:pPr>
              <w:bidi w:val="0"/>
              <w:rPr>
                <w:color w:val="auto"/>
              </w:rPr>
            </w:pPr>
            <w:r>
              <w:rPr>
                <w:rFonts w:hint="eastAsia"/>
                <w:color w:val="auto"/>
              </w:rPr>
              <w:t>　</w:t>
            </w:r>
          </w:p>
        </w:tc>
        <w:tc>
          <w:tcPr>
            <w:tcW w:w="2597"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C434AFE">
            <w:pPr>
              <w:bidi w:val="0"/>
              <w:rPr>
                <w:color w:val="auto"/>
              </w:rPr>
            </w:pPr>
          </w:p>
        </w:tc>
        <w:tc>
          <w:tcPr>
            <w:tcW w:w="1470" w:type="dxa"/>
            <w:vMerge w:val="continue"/>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624373A0">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5A2A5EC8">
            <w:pPr>
              <w:bidi w:val="0"/>
              <w:rPr>
                <w:color w:val="auto"/>
              </w:rPr>
            </w:pPr>
            <w:r>
              <w:rPr>
                <w:rFonts w:hint="eastAsia"/>
                <w:color w:val="auto"/>
              </w:rPr>
              <w:t>3304-X4-D4</w:t>
            </w:r>
          </w:p>
        </w:tc>
      </w:tr>
      <w:tr w14:paraId="5D57D029">
        <w:tblPrEx>
          <w:tblCellMar>
            <w:top w:w="0" w:type="dxa"/>
            <w:left w:w="108" w:type="dxa"/>
            <w:bottom w:w="0" w:type="dxa"/>
            <w:right w:w="108" w:type="dxa"/>
          </w:tblCellMar>
        </w:tblPrEx>
        <w:trPr>
          <w:trHeight w:val="300" w:hRule="atLeast"/>
        </w:trPr>
        <w:tc>
          <w:tcPr>
            <w:tcW w:w="1854" w:type="dxa"/>
            <w:vMerge w:val="restart"/>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2B225435">
            <w:pPr>
              <w:bidi w:val="0"/>
              <w:rPr>
                <w:color w:val="auto"/>
              </w:rPr>
            </w:pPr>
            <w:r>
              <w:rPr>
                <w:rFonts w:hint="eastAsia"/>
                <w:color w:val="auto"/>
              </w:rPr>
              <w:t>%Q12.0中转继电器</w:t>
            </w:r>
          </w:p>
        </w:tc>
        <w:tc>
          <w:tcPr>
            <w:tcW w:w="1468" w:type="dxa"/>
            <w:tcBorders>
              <w:top w:val="nil"/>
              <w:left w:val="nil"/>
              <w:bottom w:val="single" w:color="auto" w:sz="4" w:space="0"/>
              <w:right w:val="single" w:color="auto" w:sz="4" w:space="0"/>
            </w:tcBorders>
            <w:shd w:val="clear" w:color="auto" w:fill="FFFFFF" w:themeFill="background1"/>
            <w:vAlign w:val="center"/>
          </w:tcPr>
          <w:p w14:paraId="2DB369B6">
            <w:pPr>
              <w:bidi w:val="0"/>
              <w:rPr>
                <w:color w:val="auto"/>
              </w:rPr>
            </w:pPr>
            <w:r>
              <w:rPr>
                <w:rFonts w:hint="eastAsia"/>
                <w:color w:val="auto"/>
              </w:rPr>
              <w:t>301-X1-D1</w:t>
            </w:r>
          </w:p>
        </w:tc>
        <w:tc>
          <w:tcPr>
            <w:tcW w:w="812" w:type="dxa"/>
            <w:tcBorders>
              <w:top w:val="nil"/>
              <w:left w:val="nil"/>
              <w:bottom w:val="single" w:color="auto" w:sz="4" w:space="0"/>
              <w:right w:val="single" w:color="auto" w:sz="4" w:space="0"/>
            </w:tcBorders>
            <w:shd w:val="clear" w:color="auto" w:fill="FFFFFF" w:themeFill="background1"/>
            <w:vAlign w:val="center"/>
          </w:tcPr>
          <w:p w14:paraId="7E7798C8">
            <w:pPr>
              <w:bidi w:val="0"/>
              <w:rPr>
                <w:color w:val="auto"/>
              </w:rPr>
            </w:pPr>
            <w:r>
              <w:rPr>
                <w:rFonts w:hint="eastAsia"/>
                <w:color w:val="auto"/>
              </w:rPr>
              <w:t>　</w:t>
            </w:r>
          </w:p>
        </w:tc>
        <w:tc>
          <w:tcPr>
            <w:tcW w:w="2597"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3762443">
            <w:pPr>
              <w:bidi w:val="0"/>
              <w:rPr>
                <w:color w:val="auto"/>
              </w:rPr>
            </w:pPr>
            <w:r>
              <w:rPr>
                <w:rFonts w:hint="eastAsia"/>
                <w:color w:val="auto"/>
              </w:rPr>
              <w:t>串接N9-X109板卡19号接线端子</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0E6B1E50">
            <w:pPr>
              <w:bidi w:val="0"/>
              <w:rPr>
                <w:color w:val="auto"/>
              </w:rPr>
            </w:pPr>
            <w:r>
              <w:rPr>
                <w:rFonts w:hint="eastAsia"/>
                <w:color w:val="auto"/>
              </w:rPr>
              <w:t>CT条盒缺包检测传感器</w:t>
            </w:r>
          </w:p>
        </w:tc>
        <w:tc>
          <w:tcPr>
            <w:tcW w:w="1419" w:type="dxa"/>
            <w:tcBorders>
              <w:top w:val="nil"/>
              <w:left w:val="nil"/>
              <w:bottom w:val="single" w:color="auto" w:sz="4" w:space="0"/>
              <w:right w:val="single" w:color="auto" w:sz="4" w:space="0"/>
            </w:tcBorders>
            <w:shd w:val="clear" w:color="auto" w:fill="FFFFFF" w:themeFill="background1"/>
            <w:vAlign w:val="center"/>
          </w:tcPr>
          <w:p w14:paraId="0F776FD9">
            <w:pPr>
              <w:bidi w:val="0"/>
              <w:rPr>
                <w:color w:val="auto"/>
              </w:rPr>
            </w:pPr>
            <w:r>
              <w:rPr>
                <w:rFonts w:hint="eastAsia"/>
                <w:color w:val="auto"/>
              </w:rPr>
              <w:t>3301-X4-D1</w:t>
            </w:r>
          </w:p>
        </w:tc>
      </w:tr>
      <w:tr w14:paraId="3D9C710C">
        <w:tblPrEx>
          <w:shd w:val="clear" w:color="auto" w:fill="FFFFFF" w:themeFill="background1"/>
          <w:tblCellMar>
            <w:top w:w="0" w:type="dxa"/>
            <w:left w:w="108" w:type="dxa"/>
            <w:bottom w:w="0" w:type="dxa"/>
            <w:right w:w="108" w:type="dxa"/>
          </w:tblCellMar>
        </w:tblPrEx>
        <w:trPr>
          <w:trHeight w:val="300" w:hRule="atLeast"/>
        </w:trPr>
        <w:tc>
          <w:tcPr>
            <w:tcW w:w="1854" w:type="dxa"/>
            <w:vMerge w:val="continue"/>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980CFDA">
            <w:pPr>
              <w:bidi w:val="0"/>
              <w:rPr>
                <w:color w:val="auto"/>
              </w:rPr>
            </w:pPr>
          </w:p>
        </w:tc>
        <w:tc>
          <w:tcPr>
            <w:tcW w:w="1468" w:type="dxa"/>
            <w:tcBorders>
              <w:top w:val="nil"/>
              <w:left w:val="nil"/>
              <w:bottom w:val="single" w:color="auto" w:sz="4" w:space="0"/>
              <w:right w:val="single" w:color="auto" w:sz="4" w:space="0"/>
            </w:tcBorders>
            <w:shd w:val="clear" w:color="auto" w:fill="FFFFFF" w:themeFill="background1"/>
            <w:vAlign w:val="center"/>
          </w:tcPr>
          <w:p w14:paraId="59AE27FF">
            <w:pPr>
              <w:bidi w:val="0"/>
              <w:rPr>
                <w:color w:val="auto"/>
              </w:rPr>
            </w:pPr>
            <w:r>
              <w:rPr>
                <w:rFonts w:hint="eastAsia"/>
                <w:color w:val="auto"/>
              </w:rPr>
              <w:t>302-X1-D2</w:t>
            </w:r>
          </w:p>
        </w:tc>
        <w:tc>
          <w:tcPr>
            <w:tcW w:w="812" w:type="dxa"/>
            <w:tcBorders>
              <w:top w:val="nil"/>
              <w:left w:val="nil"/>
              <w:bottom w:val="single" w:color="auto" w:sz="4" w:space="0"/>
              <w:right w:val="single" w:color="auto" w:sz="4" w:space="0"/>
            </w:tcBorders>
            <w:shd w:val="clear" w:color="auto" w:fill="FFFFFF" w:themeFill="background1"/>
            <w:vAlign w:val="center"/>
          </w:tcPr>
          <w:p w14:paraId="175B0959">
            <w:pPr>
              <w:bidi w:val="0"/>
              <w:rPr>
                <w:color w:val="auto"/>
              </w:rPr>
            </w:pPr>
            <w:r>
              <w:rPr>
                <w:rFonts w:hint="eastAsia"/>
                <w:color w:val="auto"/>
              </w:rPr>
              <w:t>　</w:t>
            </w:r>
          </w:p>
        </w:tc>
        <w:tc>
          <w:tcPr>
            <w:tcW w:w="2597"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803CAF9">
            <w:pPr>
              <w:bidi w:val="0"/>
              <w:rPr>
                <w:color w:val="auto"/>
              </w:rPr>
            </w:pP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23995BA">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28F821F3">
            <w:pPr>
              <w:bidi w:val="0"/>
              <w:rPr>
                <w:color w:val="auto"/>
              </w:rPr>
            </w:pPr>
            <w:r>
              <w:rPr>
                <w:rFonts w:hint="eastAsia"/>
                <w:color w:val="auto"/>
              </w:rPr>
              <w:t>3302-X4-D2</w:t>
            </w:r>
          </w:p>
        </w:tc>
      </w:tr>
      <w:tr w14:paraId="0204D687">
        <w:tblPrEx>
          <w:shd w:val="clear" w:color="auto" w:fill="FFFFFF" w:themeFill="background1"/>
          <w:tblCellMar>
            <w:top w:w="0" w:type="dxa"/>
            <w:left w:w="108" w:type="dxa"/>
            <w:bottom w:w="0" w:type="dxa"/>
            <w:right w:w="108" w:type="dxa"/>
          </w:tblCellMar>
        </w:tblPrEx>
        <w:trPr>
          <w:trHeight w:val="300" w:hRule="atLeast"/>
        </w:trPr>
        <w:tc>
          <w:tcPr>
            <w:tcW w:w="1854"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5712A42D">
            <w:pPr>
              <w:bidi w:val="0"/>
              <w:rPr>
                <w:color w:val="auto"/>
              </w:rPr>
            </w:pPr>
            <w:r>
              <w:rPr>
                <w:rFonts w:hint="eastAsia"/>
                <w:color w:val="auto"/>
              </w:rPr>
              <w:t>%Q12.4中转继电器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E93D1F9">
            <w:pPr>
              <w:bidi w:val="0"/>
              <w:rPr>
                <w:color w:val="auto"/>
              </w:rPr>
            </w:pPr>
            <w:r>
              <w:rPr>
                <w:rFonts w:hint="eastAsia"/>
                <w:color w:val="auto"/>
              </w:rPr>
              <w:t>305-X1-D5</w:t>
            </w:r>
          </w:p>
        </w:tc>
        <w:tc>
          <w:tcPr>
            <w:tcW w:w="812" w:type="dxa"/>
            <w:tcBorders>
              <w:top w:val="nil"/>
              <w:left w:val="nil"/>
              <w:bottom w:val="single" w:color="auto" w:sz="4" w:space="0"/>
              <w:right w:val="single" w:color="auto" w:sz="4" w:space="0"/>
            </w:tcBorders>
            <w:shd w:val="clear" w:color="auto" w:fill="FFFFFF" w:themeFill="background1"/>
            <w:vAlign w:val="center"/>
          </w:tcPr>
          <w:p w14:paraId="0FD1F953">
            <w:pPr>
              <w:bidi w:val="0"/>
              <w:rPr>
                <w:color w:val="auto"/>
              </w:rPr>
            </w:pPr>
            <w:r>
              <w:rPr>
                <w:rFonts w:hint="eastAsia"/>
                <w:color w:val="auto"/>
              </w:rPr>
              <w:t>　</w:t>
            </w:r>
          </w:p>
        </w:tc>
        <w:tc>
          <w:tcPr>
            <w:tcW w:w="2597"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A3A79F2">
            <w:pPr>
              <w:bidi w:val="0"/>
              <w:rPr>
                <w:color w:val="auto"/>
              </w:rPr>
            </w:pPr>
            <w:r>
              <w:rPr>
                <w:rFonts w:hint="eastAsia"/>
                <w:color w:val="auto"/>
              </w:rPr>
              <w:t>串接N9-X109板卡17号接线端子</w:t>
            </w:r>
          </w:p>
        </w:tc>
        <w:tc>
          <w:tcPr>
            <w:tcW w:w="1470"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7FD03493">
            <w:pPr>
              <w:bidi w:val="0"/>
              <w:rPr>
                <w:color w:val="auto"/>
              </w:rPr>
            </w:pPr>
            <w:r>
              <w:rPr>
                <w:rFonts w:hint="eastAsia"/>
                <w:color w:val="auto"/>
              </w:rPr>
              <w:t>下游机停机-各厂可由厂里定义给出点位，各厂统一点位</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59F9D2BB">
            <w:pPr>
              <w:bidi w:val="0"/>
              <w:rPr>
                <w:color w:val="auto"/>
              </w:rPr>
            </w:pPr>
            <w:r>
              <w:rPr>
                <w:rFonts w:hint="eastAsia"/>
                <w:color w:val="auto"/>
              </w:rPr>
              <w:t>3305-X4-D5</w:t>
            </w:r>
          </w:p>
        </w:tc>
      </w:tr>
      <w:tr w14:paraId="11E6BB6B">
        <w:tblPrEx>
          <w:shd w:val="clear" w:color="auto" w:fill="FFFFFF" w:themeFill="background1"/>
          <w:tblCellMar>
            <w:top w:w="0" w:type="dxa"/>
            <w:left w:w="108" w:type="dxa"/>
            <w:bottom w:w="0" w:type="dxa"/>
            <w:right w:w="108" w:type="dxa"/>
          </w:tblCellMar>
        </w:tblPrEx>
        <w:trPr>
          <w:trHeight w:val="300" w:hRule="atLeast"/>
        </w:trPr>
        <w:tc>
          <w:tcPr>
            <w:tcW w:w="1854"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06D61F70">
            <w:pPr>
              <w:bidi w:val="0"/>
              <w:rPr>
                <w:color w:val="auto"/>
              </w:rPr>
            </w:pP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9127E36">
            <w:pPr>
              <w:bidi w:val="0"/>
              <w:rPr>
                <w:color w:val="auto"/>
              </w:rPr>
            </w:pPr>
            <w:r>
              <w:rPr>
                <w:rFonts w:hint="eastAsia"/>
                <w:color w:val="auto"/>
              </w:rPr>
              <w:t>306-X1-D6</w:t>
            </w:r>
          </w:p>
        </w:tc>
        <w:tc>
          <w:tcPr>
            <w:tcW w:w="812" w:type="dxa"/>
            <w:tcBorders>
              <w:top w:val="nil"/>
              <w:left w:val="nil"/>
              <w:bottom w:val="single" w:color="auto" w:sz="4" w:space="0"/>
              <w:right w:val="single" w:color="auto" w:sz="4" w:space="0"/>
            </w:tcBorders>
            <w:shd w:val="clear" w:color="auto" w:fill="FFFFFF" w:themeFill="background1"/>
            <w:vAlign w:val="center"/>
          </w:tcPr>
          <w:p w14:paraId="7CE7CF29">
            <w:pPr>
              <w:bidi w:val="0"/>
              <w:rPr>
                <w:color w:val="auto"/>
              </w:rPr>
            </w:pPr>
            <w:r>
              <w:rPr>
                <w:rFonts w:hint="eastAsia"/>
                <w:color w:val="auto"/>
              </w:rPr>
              <w:t>　</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5B3BD9B">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4357E40D">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4C87BF20">
            <w:pPr>
              <w:bidi w:val="0"/>
              <w:rPr>
                <w:color w:val="auto"/>
              </w:rPr>
            </w:pPr>
            <w:r>
              <w:rPr>
                <w:rFonts w:hint="eastAsia"/>
                <w:color w:val="auto"/>
              </w:rPr>
              <w:t>3306-X4-D6</w:t>
            </w:r>
          </w:p>
        </w:tc>
      </w:tr>
      <w:tr w14:paraId="76839143">
        <w:tblPrEx>
          <w:shd w:val="clear" w:color="auto" w:fill="FFFFFF" w:themeFill="background1"/>
          <w:tblCellMar>
            <w:top w:w="0" w:type="dxa"/>
            <w:left w:w="108" w:type="dxa"/>
            <w:bottom w:w="0" w:type="dxa"/>
            <w:right w:w="108" w:type="dxa"/>
          </w:tblCellMar>
        </w:tblPrEx>
        <w:trPr>
          <w:trHeight w:val="300" w:hRule="atLeast"/>
        </w:trPr>
        <w:tc>
          <w:tcPr>
            <w:tcW w:w="9620" w:type="dxa"/>
            <w:gridSpan w:val="6"/>
            <w:tcBorders>
              <w:top w:val="single" w:color="auto" w:sz="4" w:space="0"/>
              <w:left w:val="single" w:color="auto" w:sz="4" w:space="0"/>
              <w:bottom w:val="single" w:color="auto" w:sz="4" w:space="0"/>
              <w:right w:val="single" w:color="000000" w:sz="4" w:space="0"/>
            </w:tcBorders>
            <w:shd w:val="clear" w:color="auto" w:fill="FFFFFF" w:themeFill="background1"/>
            <w:vAlign w:val="center"/>
          </w:tcPr>
          <w:p w14:paraId="32D47F1A">
            <w:pPr>
              <w:bidi w:val="0"/>
              <w:rPr>
                <w:color w:val="auto"/>
              </w:rPr>
            </w:pPr>
            <w:r>
              <w:rPr>
                <w:rFonts w:hint="eastAsia"/>
                <w:color w:val="auto"/>
              </w:rPr>
              <w:t>读码器</w:t>
            </w:r>
          </w:p>
        </w:tc>
      </w:tr>
      <w:tr w14:paraId="660D7108">
        <w:tblPrEx>
          <w:tblCellMar>
            <w:top w:w="0" w:type="dxa"/>
            <w:left w:w="108" w:type="dxa"/>
            <w:bottom w:w="0" w:type="dxa"/>
            <w:right w:w="108" w:type="dxa"/>
          </w:tblCellMar>
        </w:tblPrEx>
        <w:trPr>
          <w:trHeight w:val="9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D480712">
            <w:pPr>
              <w:bidi w:val="0"/>
              <w:rPr>
                <w:color w:val="auto"/>
              </w:rPr>
            </w:pPr>
            <w:r>
              <w:rPr>
                <w:rFonts w:hint="eastAsia"/>
                <w:color w:val="auto"/>
              </w:rPr>
              <w:t>二维码电柜地址</w:t>
            </w:r>
          </w:p>
        </w:tc>
        <w:tc>
          <w:tcPr>
            <w:tcW w:w="1468" w:type="dxa"/>
            <w:tcBorders>
              <w:top w:val="nil"/>
              <w:left w:val="nil"/>
              <w:bottom w:val="single" w:color="auto" w:sz="4" w:space="0"/>
              <w:right w:val="single" w:color="auto" w:sz="4" w:space="0"/>
            </w:tcBorders>
            <w:shd w:val="clear" w:color="auto" w:fill="FFFFFF" w:themeFill="background1"/>
            <w:vAlign w:val="center"/>
          </w:tcPr>
          <w:p w14:paraId="7952E044">
            <w:pPr>
              <w:bidi w:val="0"/>
              <w:rPr>
                <w:color w:val="auto"/>
              </w:rPr>
            </w:pPr>
            <w:r>
              <w:rPr>
                <w:rFonts w:hint="eastAsia"/>
                <w:color w:val="auto"/>
              </w:rPr>
              <w:t>二维码电柜则X2航插接头</w:t>
            </w:r>
          </w:p>
        </w:tc>
        <w:tc>
          <w:tcPr>
            <w:tcW w:w="812" w:type="dxa"/>
            <w:tcBorders>
              <w:top w:val="nil"/>
              <w:left w:val="nil"/>
              <w:bottom w:val="single" w:color="auto" w:sz="4" w:space="0"/>
              <w:right w:val="single" w:color="auto" w:sz="4" w:space="0"/>
            </w:tcBorders>
            <w:shd w:val="clear" w:color="auto" w:fill="FFFFFF" w:themeFill="background1"/>
            <w:vAlign w:val="center"/>
          </w:tcPr>
          <w:p w14:paraId="1EE470EC">
            <w:pPr>
              <w:bidi w:val="0"/>
              <w:rPr>
                <w:color w:val="auto"/>
              </w:rPr>
            </w:pPr>
            <w:r>
              <w:rPr>
                <w:rFonts w:hint="eastAsia"/>
                <w:color w:val="auto"/>
              </w:rPr>
              <w:t>读码器线缆颜色</w:t>
            </w:r>
          </w:p>
        </w:tc>
        <w:tc>
          <w:tcPr>
            <w:tcW w:w="2597" w:type="dxa"/>
            <w:tcBorders>
              <w:top w:val="nil"/>
              <w:left w:val="nil"/>
              <w:bottom w:val="single" w:color="auto" w:sz="4" w:space="0"/>
              <w:right w:val="single" w:color="auto" w:sz="4" w:space="0"/>
            </w:tcBorders>
            <w:shd w:val="clear" w:color="auto" w:fill="FFFFFF" w:themeFill="background1"/>
            <w:vAlign w:val="center"/>
          </w:tcPr>
          <w:p w14:paraId="3B7F1150">
            <w:pPr>
              <w:bidi w:val="0"/>
              <w:rPr>
                <w:color w:val="auto"/>
              </w:rPr>
            </w:pPr>
            <w:r>
              <w:rPr>
                <w:rFonts w:hint="eastAsia"/>
                <w:color w:val="auto"/>
              </w:rPr>
              <w:t>读码器线缆功能说明</w:t>
            </w:r>
          </w:p>
        </w:tc>
        <w:tc>
          <w:tcPr>
            <w:tcW w:w="1470" w:type="dxa"/>
            <w:tcBorders>
              <w:top w:val="nil"/>
              <w:left w:val="nil"/>
              <w:bottom w:val="single" w:color="auto" w:sz="4" w:space="0"/>
              <w:right w:val="single" w:color="auto" w:sz="4" w:space="0"/>
            </w:tcBorders>
            <w:shd w:val="clear" w:color="auto" w:fill="FFFFFF" w:themeFill="background1"/>
            <w:vAlign w:val="center"/>
          </w:tcPr>
          <w:p w14:paraId="590C8B47">
            <w:pPr>
              <w:bidi w:val="0"/>
              <w:rPr>
                <w:color w:val="auto"/>
              </w:rPr>
            </w:pPr>
            <w:r>
              <w:rPr>
                <w:rFonts w:hint="eastAsia"/>
                <w:color w:val="auto"/>
              </w:rPr>
              <w:t>读码器网线IP</w:t>
            </w:r>
          </w:p>
        </w:tc>
        <w:tc>
          <w:tcPr>
            <w:tcW w:w="1419" w:type="dxa"/>
            <w:tcBorders>
              <w:top w:val="nil"/>
              <w:left w:val="nil"/>
              <w:bottom w:val="single" w:color="auto" w:sz="4" w:space="0"/>
              <w:right w:val="single" w:color="auto" w:sz="4" w:space="0"/>
            </w:tcBorders>
            <w:shd w:val="clear" w:color="auto" w:fill="FFFFFF" w:themeFill="background1"/>
            <w:vAlign w:val="center"/>
          </w:tcPr>
          <w:p w14:paraId="6F28F693">
            <w:pPr>
              <w:bidi w:val="0"/>
              <w:rPr>
                <w:color w:val="auto"/>
              </w:rPr>
            </w:pPr>
            <w:r>
              <w:rPr>
                <w:rFonts w:hint="eastAsia"/>
                <w:color w:val="auto"/>
              </w:rPr>
              <w:t>读码器</w:t>
            </w:r>
            <w:r>
              <w:rPr>
                <w:rFonts w:hint="eastAsia"/>
                <w:color w:val="auto"/>
              </w:rPr>
              <w:br w:type="textWrapping"/>
            </w:r>
            <w:r>
              <w:rPr>
                <w:rFonts w:hint="eastAsia"/>
                <w:color w:val="auto"/>
              </w:rPr>
              <w:t>功能及代号</w:t>
            </w:r>
          </w:p>
        </w:tc>
      </w:tr>
      <w:tr w14:paraId="2B05F525">
        <w:tblPrEx>
          <w:tblCellMar>
            <w:top w:w="0" w:type="dxa"/>
            <w:left w:w="108" w:type="dxa"/>
            <w:bottom w:w="0" w:type="dxa"/>
            <w:right w:w="108" w:type="dxa"/>
          </w:tblCellMar>
        </w:tblPrEx>
        <w:trPr>
          <w:trHeight w:val="300" w:hRule="atLeast"/>
        </w:trPr>
        <w:tc>
          <w:tcPr>
            <w:tcW w:w="1854"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47DD6EDE">
            <w:pPr>
              <w:bidi w:val="0"/>
              <w:rPr>
                <w:color w:val="auto"/>
              </w:rPr>
            </w:pPr>
            <w:r>
              <w:rPr>
                <w:rFonts w:hint="eastAsia"/>
                <w:color w:val="auto"/>
              </w:rPr>
              <w:t>　</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0C831266">
            <w:pPr>
              <w:bidi w:val="0"/>
              <w:rPr>
                <w:color w:val="auto"/>
              </w:rPr>
            </w:pPr>
            <w:r>
              <w:rPr>
                <w:rFonts w:hint="eastAsia"/>
                <w:color w:val="auto"/>
              </w:rPr>
              <w:t>P24A1-X2-A1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C99B521">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32C9500C">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66FA6865">
            <w:pPr>
              <w:bidi w:val="0"/>
              <w:rPr>
                <w:color w:val="auto"/>
              </w:rPr>
            </w:pPr>
            <w:r>
              <w:rPr>
                <w:rFonts w:hint="eastAsia"/>
                <w:color w:val="auto"/>
              </w:rPr>
              <w:t>192.168.0.10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10583819">
            <w:pPr>
              <w:bidi w:val="0"/>
              <w:rPr>
                <w:color w:val="auto"/>
              </w:rPr>
            </w:pPr>
            <w:r>
              <w:rPr>
                <w:rFonts w:hint="eastAsia"/>
                <w:color w:val="auto"/>
              </w:rPr>
              <w:t>B1品检工位  DM1</w:t>
            </w:r>
          </w:p>
        </w:tc>
      </w:tr>
      <w:tr w14:paraId="00760ACF">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DD98FA1">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74414AC">
            <w:pPr>
              <w:bidi w:val="0"/>
              <w:rPr>
                <w:color w:val="auto"/>
              </w:rPr>
            </w:pPr>
            <w:r>
              <w:rPr>
                <w:rFonts w:hint="eastAsia"/>
                <w:color w:val="auto"/>
              </w:rPr>
              <w:t>N24A1-X2-A2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150BF87">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38AA7AF3">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EE7518B">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C67EE40">
            <w:pPr>
              <w:bidi w:val="0"/>
              <w:rPr>
                <w:color w:val="auto"/>
              </w:rPr>
            </w:pPr>
          </w:p>
        </w:tc>
      </w:tr>
      <w:tr w14:paraId="326CD78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7BBE12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1D56513">
            <w:pPr>
              <w:bidi w:val="0"/>
              <w:rPr>
                <w:color w:val="auto"/>
              </w:rPr>
            </w:pPr>
            <w:r>
              <w:rPr>
                <w:rFonts w:hint="eastAsia"/>
                <w:color w:val="auto"/>
              </w:rPr>
              <w:t>N24A1-X2-A3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4ADF069">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60AE3A0C">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9197D5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7BCB8F0">
            <w:pPr>
              <w:bidi w:val="0"/>
              <w:rPr>
                <w:color w:val="auto"/>
              </w:rPr>
            </w:pPr>
          </w:p>
        </w:tc>
      </w:tr>
      <w:tr w14:paraId="527B1246">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DFAED4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C043FE9">
            <w:pPr>
              <w:bidi w:val="0"/>
              <w:rPr>
                <w:color w:val="auto"/>
              </w:rPr>
            </w:pPr>
            <w:r>
              <w:rPr>
                <w:rFonts w:hint="eastAsia"/>
                <w:color w:val="auto"/>
              </w:rPr>
              <w:t>450-X2-A4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C06FA1E">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3139C571">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AA42ED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72BD38F">
            <w:pPr>
              <w:bidi w:val="0"/>
              <w:rPr>
                <w:color w:val="auto"/>
              </w:rPr>
            </w:pPr>
          </w:p>
        </w:tc>
      </w:tr>
      <w:tr w14:paraId="431200E8">
        <w:tblPrEx>
          <w:tblCellMar>
            <w:top w:w="0" w:type="dxa"/>
            <w:left w:w="108" w:type="dxa"/>
            <w:bottom w:w="0" w:type="dxa"/>
            <w:right w:w="108" w:type="dxa"/>
          </w:tblCellMar>
        </w:tblPrEx>
        <w:trPr>
          <w:trHeight w:val="300" w:hRule="atLeast"/>
        </w:trPr>
        <w:tc>
          <w:tcPr>
            <w:tcW w:w="1854"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2C117B96">
            <w:pPr>
              <w:bidi w:val="0"/>
              <w:rPr>
                <w:color w:val="auto"/>
              </w:rPr>
            </w:pPr>
            <w:r>
              <w:rPr>
                <w:rFonts w:hint="eastAsia"/>
                <w:color w:val="auto"/>
              </w:rPr>
              <w:t>%Q1.6</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7360D02">
            <w:pPr>
              <w:bidi w:val="0"/>
              <w:rPr>
                <w:color w:val="auto"/>
              </w:rPr>
            </w:pPr>
            <w:r>
              <w:rPr>
                <w:rFonts w:hint="eastAsia"/>
                <w:color w:val="auto"/>
              </w:rPr>
              <w:t>236B-X2-A5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D270F17">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6720F113">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1F982E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A4B0BC1">
            <w:pPr>
              <w:bidi w:val="0"/>
              <w:rPr>
                <w:color w:val="auto"/>
              </w:rPr>
            </w:pPr>
          </w:p>
        </w:tc>
      </w:tr>
      <w:tr w14:paraId="26BF9235">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914E4EF">
            <w:pPr>
              <w:bidi w:val="0"/>
              <w:rPr>
                <w:color w:val="auto"/>
              </w:rPr>
            </w:pPr>
            <w:r>
              <w:rPr>
                <w:rFonts w:hint="eastAsia"/>
                <w:color w:val="auto"/>
              </w:rPr>
              <w:t>%I2.6</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9498A55">
            <w:pPr>
              <w:bidi w:val="0"/>
              <w:rPr>
                <w:color w:val="auto"/>
              </w:rPr>
            </w:pPr>
            <w:r>
              <w:rPr>
                <w:rFonts w:hint="eastAsia"/>
                <w:color w:val="auto"/>
              </w:rPr>
              <w:t>246-X2-A6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463E6CC">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5B2C7726">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45DB860">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1B1F55F">
            <w:pPr>
              <w:bidi w:val="0"/>
              <w:rPr>
                <w:color w:val="auto"/>
              </w:rPr>
            </w:pPr>
          </w:p>
        </w:tc>
      </w:tr>
      <w:tr w14:paraId="644D12B9">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A1134C4">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DDFEAB4">
            <w:pPr>
              <w:bidi w:val="0"/>
              <w:rPr>
                <w:color w:val="auto"/>
              </w:rPr>
            </w:pPr>
            <w:r>
              <w:rPr>
                <w:rFonts w:hint="eastAsia"/>
                <w:color w:val="auto"/>
              </w:rPr>
              <w:t>P24A1-X2-B1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D638AAB">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5CA73244">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35C4CB8F">
            <w:pPr>
              <w:bidi w:val="0"/>
              <w:rPr>
                <w:color w:val="auto"/>
              </w:rPr>
            </w:pPr>
            <w:r>
              <w:rPr>
                <w:rFonts w:hint="eastAsia"/>
                <w:color w:val="auto"/>
              </w:rPr>
              <w:t>192.168.0.20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E3AAE02">
            <w:pPr>
              <w:bidi w:val="0"/>
              <w:rPr>
                <w:color w:val="auto"/>
              </w:rPr>
            </w:pPr>
            <w:r>
              <w:rPr>
                <w:rFonts w:hint="eastAsia"/>
                <w:color w:val="auto"/>
              </w:rPr>
              <w:t>B1双盒采码 DM2</w:t>
            </w:r>
          </w:p>
        </w:tc>
      </w:tr>
      <w:tr w14:paraId="33F9E8BF">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4C90BC9">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A311FD5">
            <w:pPr>
              <w:bidi w:val="0"/>
              <w:rPr>
                <w:color w:val="auto"/>
              </w:rPr>
            </w:pPr>
            <w:r>
              <w:rPr>
                <w:rFonts w:hint="eastAsia"/>
                <w:color w:val="auto"/>
              </w:rPr>
              <w:t>N24A1-X2-B2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C2D6B76">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4B77BE62">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1EF836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261A37C">
            <w:pPr>
              <w:bidi w:val="0"/>
              <w:rPr>
                <w:color w:val="auto"/>
              </w:rPr>
            </w:pPr>
          </w:p>
        </w:tc>
      </w:tr>
      <w:tr w14:paraId="4D480B63">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277CFC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6AC29FB">
            <w:pPr>
              <w:bidi w:val="0"/>
              <w:rPr>
                <w:color w:val="auto"/>
              </w:rPr>
            </w:pPr>
            <w:r>
              <w:rPr>
                <w:rFonts w:hint="eastAsia"/>
                <w:color w:val="auto"/>
              </w:rPr>
              <w:t>N24A1-X2-B3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729ED28">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54D59D87">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45426C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C6AF363">
            <w:pPr>
              <w:bidi w:val="0"/>
              <w:rPr>
                <w:color w:val="auto"/>
              </w:rPr>
            </w:pPr>
          </w:p>
        </w:tc>
      </w:tr>
      <w:tr w14:paraId="36AE7B81">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943141B">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F541295">
            <w:pPr>
              <w:bidi w:val="0"/>
              <w:rPr>
                <w:color w:val="auto"/>
              </w:rPr>
            </w:pPr>
            <w:r>
              <w:rPr>
                <w:rFonts w:hint="eastAsia"/>
                <w:color w:val="auto"/>
              </w:rPr>
              <w:t>450-X2-B4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E838D90">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1E6F085B">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A956C97">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E277803">
            <w:pPr>
              <w:bidi w:val="0"/>
              <w:rPr>
                <w:color w:val="auto"/>
              </w:rPr>
            </w:pPr>
          </w:p>
        </w:tc>
      </w:tr>
      <w:tr w14:paraId="14ABCDD8">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0542CAF">
            <w:pPr>
              <w:bidi w:val="0"/>
              <w:rPr>
                <w:color w:val="auto"/>
              </w:rPr>
            </w:pPr>
            <w:r>
              <w:rPr>
                <w:rFonts w:hint="eastAsia"/>
                <w:color w:val="auto"/>
              </w:rPr>
              <w:t>%Q1.4</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EF0A57D">
            <w:pPr>
              <w:bidi w:val="0"/>
              <w:rPr>
                <w:color w:val="auto"/>
              </w:rPr>
            </w:pPr>
            <w:r>
              <w:rPr>
                <w:rFonts w:hint="eastAsia"/>
                <w:color w:val="auto"/>
              </w:rPr>
              <w:t>234B-X2-B5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76DF640">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1DB9B397">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D4CE02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B8C4AEE">
            <w:pPr>
              <w:bidi w:val="0"/>
              <w:rPr>
                <w:color w:val="auto"/>
              </w:rPr>
            </w:pPr>
          </w:p>
        </w:tc>
      </w:tr>
      <w:tr w14:paraId="67AE21D3">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6157DB9">
            <w:pPr>
              <w:bidi w:val="0"/>
              <w:rPr>
                <w:color w:val="auto"/>
              </w:rPr>
            </w:pPr>
            <w:r>
              <w:rPr>
                <w:rFonts w:hint="eastAsia"/>
                <w:color w:val="auto"/>
              </w:rPr>
              <w:t>%I2.7</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A60A67E">
            <w:pPr>
              <w:bidi w:val="0"/>
              <w:rPr>
                <w:color w:val="auto"/>
              </w:rPr>
            </w:pPr>
            <w:r>
              <w:rPr>
                <w:rFonts w:hint="eastAsia"/>
                <w:color w:val="auto"/>
              </w:rPr>
              <w:t>247-X2-B6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56FE0DC">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41E81D87">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546CBD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CB666A1">
            <w:pPr>
              <w:bidi w:val="0"/>
              <w:rPr>
                <w:color w:val="auto"/>
              </w:rPr>
            </w:pPr>
          </w:p>
        </w:tc>
      </w:tr>
      <w:tr w14:paraId="7A4E11B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23FD3E1">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A48AAB8">
            <w:pPr>
              <w:bidi w:val="0"/>
              <w:rPr>
                <w:color w:val="auto"/>
              </w:rPr>
            </w:pPr>
            <w:r>
              <w:rPr>
                <w:rFonts w:hint="eastAsia"/>
                <w:color w:val="auto"/>
              </w:rPr>
              <w:t>P24A1-X2-C1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90C9DA3">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2318CCF4">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E2FADDA">
            <w:pPr>
              <w:bidi w:val="0"/>
              <w:rPr>
                <w:color w:val="auto"/>
              </w:rPr>
            </w:pPr>
            <w:r>
              <w:rPr>
                <w:rFonts w:hint="eastAsia"/>
                <w:color w:val="auto"/>
              </w:rPr>
              <w:t>192.168.0.30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63B898F0">
            <w:pPr>
              <w:bidi w:val="0"/>
              <w:rPr>
                <w:color w:val="auto"/>
              </w:rPr>
            </w:pPr>
            <w:r>
              <w:rPr>
                <w:rFonts w:hint="eastAsia"/>
                <w:color w:val="auto"/>
              </w:rPr>
              <w:t>C2条盒采码 DM3</w:t>
            </w:r>
          </w:p>
        </w:tc>
      </w:tr>
      <w:tr w14:paraId="1205A3B1">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E99AC8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AEAC678">
            <w:pPr>
              <w:bidi w:val="0"/>
              <w:rPr>
                <w:color w:val="auto"/>
              </w:rPr>
            </w:pPr>
            <w:r>
              <w:rPr>
                <w:rFonts w:hint="eastAsia"/>
                <w:color w:val="auto"/>
              </w:rPr>
              <w:t>N24A1-X2-C2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C509EDB">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1AC37CD9">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7F1CA88">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18FEFA0">
            <w:pPr>
              <w:bidi w:val="0"/>
              <w:rPr>
                <w:color w:val="auto"/>
              </w:rPr>
            </w:pPr>
          </w:p>
        </w:tc>
      </w:tr>
      <w:tr w14:paraId="44DA5875">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0683A14">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28960B0">
            <w:pPr>
              <w:bidi w:val="0"/>
              <w:rPr>
                <w:color w:val="auto"/>
              </w:rPr>
            </w:pPr>
            <w:r>
              <w:rPr>
                <w:rFonts w:hint="eastAsia"/>
                <w:color w:val="auto"/>
              </w:rPr>
              <w:t>N24A1-X2-C3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97899F4">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1A92742F">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968EB68">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57731EC">
            <w:pPr>
              <w:bidi w:val="0"/>
              <w:rPr>
                <w:color w:val="auto"/>
              </w:rPr>
            </w:pPr>
          </w:p>
        </w:tc>
      </w:tr>
      <w:tr w14:paraId="6BC5FD8B">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FA134E2">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EEBC79F">
            <w:pPr>
              <w:bidi w:val="0"/>
              <w:rPr>
                <w:color w:val="auto"/>
              </w:rPr>
            </w:pPr>
            <w:r>
              <w:rPr>
                <w:rFonts w:hint="eastAsia"/>
                <w:color w:val="auto"/>
              </w:rPr>
              <w:t>450-X2-C4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3A8BC77">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57AD98DA">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9569FA8">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F9C26E7">
            <w:pPr>
              <w:bidi w:val="0"/>
              <w:rPr>
                <w:color w:val="auto"/>
              </w:rPr>
            </w:pPr>
          </w:p>
        </w:tc>
      </w:tr>
      <w:tr w14:paraId="10FA6C1C">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48A4D16">
            <w:pPr>
              <w:bidi w:val="0"/>
              <w:rPr>
                <w:color w:val="auto"/>
              </w:rPr>
            </w:pPr>
            <w:r>
              <w:rPr>
                <w:rFonts w:hint="eastAsia"/>
                <w:color w:val="auto"/>
              </w:rPr>
              <w:t>%Q1.0</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1382F94">
            <w:pPr>
              <w:bidi w:val="0"/>
              <w:rPr>
                <w:color w:val="auto"/>
              </w:rPr>
            </w:pPr>
            <w:r>
              <w:rPr>
                <w:rFonts w:hint="eastAsia"/>
                <w:color w:val="auto"/>
              </w:rPr>
              <w:t>230B-X2-C5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FF96059">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612E2B17">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42F67D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69483DC">
            <w:pPr>
              <w:bidi w:val="0"/>
              <w:rPr>
                <w:color w:val="auto"/>
              </w:rPr>
            </w:pPr>
          </w:p>
        </w:tc>
      </w:tr>
      <w:tr w14:paraId="0BBD19DF">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B586CD8">
            <w:pPr>
              <w:bidi w:val="0"/>
              <w:rPr>
                <w:color w:val="auto"/>
              </w:rPr>
            </w:pPr>
            <w:r>
              <w:rPr>
                <w:rFonts w:hint="eastAsia"/>
                <w:color w:val="auto"/>
              </w:rPr>
              <w:t>%I2.3</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7A9B2C2">
            <w:pPr>
              <w:bidi w:val="0"/>
              <w:rPr>
                <w:color w:val="auto"/>
              </w:rPr>
            </w:pPr>
            <w:r>
              <w:rPr>
                <w:rFonts w:hint="eastAsia"/>
                <w:color w:val="auto"/>
              </w:rPr>
              <w:t>244-X2-C6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C5123CC">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2D365BDC">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A8B6836">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C9D5635">
            <w:pPr>
              <w:bidi w:val="0"/>
              <w:rPr>
                <w:color w:val="auto"/>
              </w:rPr>
            </w:pPr>
          </w:p>
        </w:tc>
      </w:tr>
      <w:tr w14:paraId="70BFBD3F">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2ED30F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6A5ABE7">
            <w:pPr>
              <w:bidi w:val="0"/>
              <w:rPr>
                <w:color w:val="auto"/>
              </w:rPr>
            </w:pPr>
            <w:r>
              <w:rPr>
                <w:rFonts w:hint="eastAsia"/>
                <w:color w:val="auto"/>
              </w:rPr>
              <w:t>P24A1-X2-D1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7129E8D">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019D0976">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8406E93">
            <w:pPr>
              <w:bidi w:val="0"/>
              <w:rPr>
                <w:color w:val="auto"/>
              </w:rPr>
            </w:pPr>
            <w:r>
              <w:rPr>
                <w:rFonts w:hint="eastAsia"/>
                <w:color w:val="auto"/>
              </w:rPr>
              <w:t>192.168.0.40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954CD50">
            <w:pPr>
              <w:bidi w:val="0"/>
              <w:rPr>
                <w:color w:val="auto"/>
              </w:rPr>
            </w:pPr>
            <w:r>
              <w:rPr>
                <w:rFonts w:hint="eastAsia"/>
                <w:color w:val="auto"/>
              </w:rPr>
              <w:t>B1关联校验 DM4</w:t>
            </w:r>
          </w:p>
        </w:tc>
      </w:tr>
      <w:tr w14:paraId="7E45207D">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D53E4E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3236530">
            <w:pPr>
              <w:bidi w:val="0"/>
              <w:rPr>
                <w:color w:val="auto"/>
              </w:rPr>
            </w:pPr>
            <w:r>
              <w:rPr>
                <w:rFonts w:hint="eastAsia"/>
                <w:color w:val="auto"/>
              </w:rPr>
              <w:t>N24A1-X2-D2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34AE488">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7C37E9A4">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05CE76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CA4EFDA">
            <w:pPr>
              <w:bidi w:val="0"/>
              <w:rPr>
                <w:color w:val="auto"/>
              </w:rPr>
            </w:pPr>
          </w:p>
        </w:tc>
      </w:tr>
      <w:tr w14:paraId="3BE1D07E">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0DF23B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FC528E9">
            <w:pPr>
              <w:bidi w:val="0"/>
              <w:rPr>
                <w:color w:val="auto"/>
              </w:rPr>
            </w:pPr>
            <w:r>
              <w:rPr>
                <w:rFonts w:hint="eastAsia"/>
                <w:color w:val="auto"/>
              </w:rPr>
              <w:t>N24A1-X2-D3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BEC4BC2">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1C8D858F">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FFDD2B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BA3E46C">
            <w:pPr>
              <w:bidi w:val="0"/>
              <w:rPr>
                <w:color w:val="auto"/>
              </w:rPr>
            </w:pPr>
          </w:p>
        </w:tc>
      </w:tr>
      <w:tr w14:paraId="75441C16">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C5C67E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35FDD14">
            <w:pPr>
              <w:bidi w:val="0"/>
              <w:rPr>
                <w:color w:val="auto"/>
              </w:rPr>
            </w:pPr>
            <w:r>
              <w:rPr>
                <w:rFonts w:hint="eastAsia"/>
                <w:color w:val="auto"/>
              </w:rPr>
              <w:t>N24A1-X2-D4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37C1D75">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1801B47C">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C1609E7">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2DF4665">
            <w:pPr>
              <w:bidi w:val="0"/>
              <w:rPr>
                <w:color w:val="auto"/>
              </w:rPr>
            </w:pPr>
          </w:p>
        </w:tc>
      </w:tr>
      <w:tr w14:paraId="5ED02C5B">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4A9ADF9">
            <w:pPr>
              <w:bidi w:val="0"/>
              <w:rPr>
                <w:color w:val="auto"/>
              </w:rPr>
            </w:pPr>
            <w:r>
              <w:rPr>
                <w:rFonts w:hint="eastAsia"/>
                <w:color w:val="auto"/>
              </w:rPr>
              <w:t>%Q0.7</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D83CD89">
            <w:pPr>
              <w:bidi w:val="0"/>
              <w:rPr>
                <w:color w:val="auto"/>
              </w:rPr>
            </w:pPr>
            <w:r>
              <w:rPr>
                <w:rFonts w:hint="eastAsia"/>
                <w:color w:val="auto"/>
              </w:rPr>
              <w:t>217B-X2-D5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9770C0B">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5F3C8938">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320208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F4172BD">
            <w:pPr>
              <w:bidi w:val="0"/>
              <w:rPr>
                <w:color w:val="auto"/>
              </w:rPr>
            </w:pPr>
          </w:p>
        </w:tc>
      </w:tr>
      <w:tr w14:paraId="5A0A439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12C50A7">
            <w:pPr>
              <w:bidi w:val="0"/>
              <w:rPr>
                <w:color w:val="auto"/>
              </w:rPr>
            </w:pPr>
            <w:r>
              <w:rPr>
                <w:rFonts w:hint="eastAsia"/>
                <w:color w:val="auto"/>
              </w:rPr>
              <w:t>%I2.3</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181CDBB">
            <w:pPr>
              <w:bidi w:val="0"/>
              <w:rPr>
                <w:color w:val="auto"/>
              </w:rPr>
            </w:pPr>
            <w:r>
              <w:rPr>
                <w:rFonts w:hint="eastAsia"/>
                <w:color w:val="auto"/>
              </w:rPr>
              <w:t>　</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615862D">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671C16D4">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CED1304">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1B3F867">
            <w:pPr>
              <w:bidi w:val="0"/>
              <w:rPr>
                <w:color w:val="auto"/>
              </w:rPr>
            </w:pPr>
          </w:p>
        </w:tc>
      </w:tr>
      <w:tr w14:paraId="0D0B55A0">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6FEC50A">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E7B2B30">
            <w:pPr>
              <w:bidi w:val="0"/>
              <w:rPr>
                <w:color w:val="auto"/>
              </w:rPr>
            </w:pPr>
            <w:r>
              <w:rPr>
                <w:rFonts w:hint="eastAsia"/>
                <w:color w:val="auto"/>
              </w:rPr>
              <w:t>P24A1-X3-C7</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F93BF91">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3A7E8EEF">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1505CC88">
            <w:pPr>
              <w:bidi w:val="0"/>
              <w:rPr>
                <w:color w:val="auto"/>
              </w:rPr>
            </w:pPr>
            <w:r>
              <w:rPr>
                <w:rFonts w:hint="eastAsia"/>
                <w:color w:val="auto"/>
              </w:rPr>
              <w:t>192.168.0.50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3EE1CC2F">
            <w:pPr>
              <w:bidi w:val="0"/>
              <w:rPr>
                <w:color w:val="auto"/>
              </w:rPr>
            </w:pPr>
            <w:r>
              <w:rPr>
                <w:rFonts w:hint="eastAsia"/>
                <w:color w:val="auto"/>
              </w:rPr>
              <w:t>B1补烟读码 DM5</w:t>
            </w:r>
          </w:p>
        </w:tc>
      </w:tr>
      <w:tr w14:paraId="58FC66CA">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5D94A8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033F3B0">
            <w:pPr>
              <w:bidi w:val="0"/>
              <w:rPr>
                <w:color w:val="auto"/>
              </w:rPr>
            </w:pPr>
            <w:r>
              <w:rPr>
                <w:rFonts w:hint="eastAsia"/>
                <w:color w:val="auto"/>
              </w:rPr>
              <w:t>N24A1-X3-C8</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852CC28">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12841E1B">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837725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957672D">
            <w:pPr>
              <w:bidi w:val="0"/>
              <w:rPr>
                <w:color w:val="auto"/>
              </w:rPr>
            </w:pPr>
          </w:p>
        </w:tc>
      </w:tr>
      <w:tr w14:paraId="6AEA2E68">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238EE8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BF2C4FC">
            <w:pPr>
              <w:bidi w:val="0"/>
              <w:rPr>
                <w:color w:val="auto"/>
              </w:rPr>
            </w:pPr>
            <w:r>
              <w:rPr>
                <w:rFonts w:hint="eastAsia"/>
                <w:color w:val="auto"/>
              </w:rPr>
              <w:t>N24A1-X3-C9</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70AE237">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127288E4">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FAEE42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EB66932">
            <w:pPr>
              <w:bidi w:val="0"/>
              <w:rPr>
                <w:color w:val="auto"/>
              </w:rPr>
            </w:pPr>
          </w:p>
        </w:tc>
      </w:tr>
      <w:tr w14:paraId="42426E9A">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2F9DD0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50D7A99">
            <w:pPr>
              <w:bidi w:val="0"/>
              <w:rPr>
                <w:color w:val="auto"/>
              </w:rPr>
            </w:pPr>
            <w:r>
              <w:rPr>
                <w:rFonts w:hint="eastAsia"/>
                <w:color w:val="auto"/>
              </w:rPr>
              <w:t>450-X3-D7</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47C9F4B">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588FABEE">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33369E4">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A08B79B">
            <w:pPr>
              <w:bidi w:val="0"/>
              <w:rPr>
                <w:color w:val="auto"/>
              </w:rPr>
            </w:pPr>
          </w:p>
        </w:tc>
      </w:tr>
      <w:tr w14:paraId="10126F2D">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6922641">
            <w:pPr>
              <w:bidi w:val="0"/>
              <w:rPr>
                <w:color w:val="auto"/>
              </w:rPr>
            </w:pPr>
            <w:r>
              <w:rPr>
                <w:rFonts w:hint="eastAsia"/>
                <w:color w:val="auto"/>
              </w:rPr>
              <w:t>%Q1.2</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3EA433A">
            <w:pPr>
              <w:bidi w:val="0"/>
              <w:rPr>
                <w:color w:val="auto"/>
              </w:rPr>
            </w:pPr>
            <w:r>
              <w:rPr>
                <w:rFonts w:hint="eastAsia"/>
                <w:color w:val="auto"/>
              </w:rPr>
              <w:t>232B-X3-D8</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3424840">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311B7A7C">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215182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CB07D45">
            <w:pPr>
              <w:bidi w:val="0"/>
              <w:rPr>
                <w:color w:val="auto"/>
              </w:rPr>
            </w:pPr>
          </w:p>
        </w:tc>
      </w:tr>
      <w:tr w14:paraId="4EFD159B">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095D65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2807540">
            <w:pPr>
              <w:bidi w:val="0"/>
              <w:rPr>
                <w:color w:val="auto"/>
              </w:rPr>
            </w:pPr>
            <w:r>
              <w:rPr>
                <w:rFonts w:hint="eastAsia"/>
                <w:color w:val="auto"/>
              </w:rPr>
              <w:t>　</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2B77083">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7AB6C7A1">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75BE69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E6C368B">
            <w:pPr>
              <w:bidi w:val="0"/>
              <w:rPr>
                <w:color w:val="auto"/>
              </w:rPr>
            </w:pPr>
          </w:p>
        </w:tc>
      </w:tr>
      <w:tr w14:paraId="0C53D017">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872A6AC">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BAF4CB4">
            <w:pPr>
              <w:bidi w:val="0"/>
              <w:rPr>
                <w:color w:val="auto"/>
              </w:rPr>
            </w:pPr>
            <w:r>
              <w:rPr>
                <w:rFonts w:hint="eastAsia"/>
                <w:color w:val="auto"/>
              </w:rPr>
              <w:t>P24A1-X3-A1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A3FCDAF">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355FA9A7">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28F5740">
            <w:pPr>
              <w:bidi w:val="0"/>
              <w:rPr>
                <w:color w:val="auto"/>
              </w:rPr>
            </w:pPr>
            <w:r>
              <w:rPr>
                <w:rFonts w:hint="eastAsia"/>
                <w:color w:val="auto"/>
              </w:rPr>
              <w:t>192.168.0.60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BEDAF40">
            <w:pPr>
              <w:bidi w:val="0"/>
              <w:rPr>
                <w:color w:val="auto"/>
              </w:rPr>
            </w:pPr>
            <w:r>
              <w:rPr>
                <w:rFonts w:hint="eastAsia"/>
                <w:color w:val="auto"/>
              </w:rPr>
              <w:t>B2品检工位  DM6</w:t>
            </w:r>
          </w:p>
        </w:tc>
      </w:tr>
      <w:tr w14:paraId="21F2A47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1D601E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CD4AFBA">
            <w:pPr>
              <w:bidi w:val="0"/>
              <w:rPr>
                <w:color w:val="auto"/>
              </w:rPr>
            </w:pPr>
            <w:r>
              <w:rPr>
                <w:rFonts w:hint="eastAsia"/>
                <w:color w:val="auto"/>
              </w:rPr>
              <w:t>N24A1-X3-A2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7CBEF7B">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070D4562">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9C7920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76EECE2">
            <w:pPr>
              <w:bidi w:val="0"/>
              <w:rPr>
                <w:color w:val="auto"/>
              </w:rPr>
            </w:pPr>
          </w:p>
        </w:tc>
      </w:tr>
      <w:tr w14:paraId="22BDD29A">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D8C8B5B">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A439C63">
            <w:pPr>
              <w:bidi w:val="0"/>
              <w:rPr>
                <w:color w:val="auto"/>
              </w:rPr>
            </w:pPr>
            <w:r>
              <w:rPr>
                <w:rFonts w:hint="eastAsia"/>
                <w:color w:val="auto"/>
              </w:rPr>
              <w:t>N24A1-X3-A3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D886244">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3539CC14">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FCEC67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AAF7872">
            <w:pPr>
              <w:bidi w:val="0"/>
              <w:rPr>
                <w:color w:val="auto"/>
              </w:rPr>
            </w:pPr>
          </w:p>
        </w:tc>
      </w:tr>
      <w:tr w14:paraId="376B1F76">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2BF351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8686B98">
            <w:pPr>
              <w:bidi w:val="0"/>
              <w:rPr>
                <w:color w:val="auto"/>
              </w:rPr>
            </w:pPr>
            <w:r>
              <w:rPr>
                <w:rFonts w:hint="eastAsia"/>
                <w:color w:val="auto"/>
              </w:rPr>
              <w:t>450-X3-A4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09D7AE4">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0A177423">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A12DD4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63EABAA">
            <w:pPr>
              <w:bidi w:val="0"/>
              <w:rPr>
                <w:color w:val="auto"/>
              </w:rPr>
            </w:pPr>
          </w:p>
        </w:tc>
      </w:tr>
      <w:tr w14:paraId="09882052">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E4BC73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6065A7D">
            <w:pPr>
              <w:bidi w:val="0"/>
              <w:rPr>
                <w:color w:val="auto"/>
              </w:rPr>
            </w:pPr>
            <w:r>
              <w:rPr>
                <w:rFonts w:hint="eastAsia"/>
                <w:color w:val="auto"/>
              </w:rPr>
              <w:t>236B-X3-A5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2EB0571">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57D8E219">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00791E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B51844E">
            <w:pPr>
              <w:bidi w:val="0"/>
              <w:rPr>
                <w:color w:val="auto"/>
              </w:rPr>
            </w:pPr>
          </w:p>
        </w:tc>
      </w:tr>
      <w:tr w14:paraId="3838D7C8">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0AB5CFB">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CDCBA32">
            <w:pPr>
              <w:bidi w:val="0"/>
              <w:rPr>
                <w:color w:val="auto"/>
              </w:rPr>
            </w:pPr>
            <w:r>
              <w:rPr>
                <w:rFonts w:hint="eastAsia"/>
                <w:color w:val="auto"/>
              </w:rPr>
              <w:t>246-X3-A6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158EFE7">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20615A12">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258F4A4">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A56788F">
            <w:pPr>
              <w:bidi w:val="0"/>
              <w:rPr>
                <w:color w:val="auto"/>
              </w:rPr>
            </w:pPr>
          </w:p>
        </w:tc>
      </w:tr>
      <w:tr w14:paraId="69EDEBA7">
        <w:tblPrEx>
          <w:shd w:val="clear" w:color="auto" w:fill="FFFFFF" w:themeFill="background1"/>
          <w:tblCellMar>
            <w:top w:w="0" w:type="dxa"/>
            <w:left w:w="108" w:type="dxa"/>
            <w:bottom w:w="0" w:type="dxa"/>
            <w:right w:w="108" w:type="dxa"/>
          </w:tblCellMar>
        </w:tblPrEx>
        <w:trPr>
          <w:trHeight w:val="313"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D95752B">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DF11E3E">
            <w:pPr>
              <w:bidi w:val="0"/>
              <w:rPr>
                <w:color w:val="auto"/>
              </w:rPr>
            </w:pPr>
            <w:r>
              <w:rPr>
                <w:rFonts w:hint="eastAsia"/>
                <w:color w:val="auto"/>
              </w:rPr>
              <w:t>P24A1-X3-B1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FF09114">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2BA91BB7">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E6DC7D4">
            <w:pPr>
              <w:bidi w:val="0"/>
              <w:rPr>
                <w:color w:val="auto"/>
              </w:rPr>
            </w:pPr>
            <w:r>
              <w:rPr>
                <w:rFonts w:hint="eastAsia"/>
                <w:color w:val="auto"/>
              </w:rPr>
              <w:t>192.168.0.70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3E3ACA43">
            <w:pPr>
              <w:bidi w:val="0"/>
              <w:rPr>
                <w:color w:val="auto"/>
              </w:rPr>
            </w:pPr>
            <w:r>
              <w:rPr>
                <w:rFonts w:hint="eastAsia"/>
                <w:color w:val="auto"/>
              </w:rPr>
              <w:t>B2小盒采码 DM7</w:t>
            </w:r>
          </w:p>
        </w:tc>
      </w:tr>
      <w:tr w14:paraId="0C87437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EA9710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860B980">
            <w:pPr>
              <w:bidi w:val="0"/>
              <w:rPr>
                <w:color w:val="auto"/>
              </w:rPr>
            </w:pPr>
            <w:r>
              <w:rPr>
                <w:rFonts w:hint="eastAsia"/>
                <w:color w:val="auto"/>
              </w:rPr>
              <w:t>N24A1-X3-B2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E449A00">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72725546">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9FE889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37AE34C">
            <w:pPr>
              <w:bidi w:val="0"/>
              <w:rPr>
                <w:color w:val="auto"/>
              </w:rPr>
            </w:pPr>
          </w:p>
        </w:tc>
      </w:tr>
      <w:tr w14:paraId="719C1E5E">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D050BF7">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BC907A0">
            <w:pPr>
              <w:bidi w:val="0"/>
              <w:rPr>
                <w:color w:val="auto"/>
              </w:rPr>
            </w:pPr>
            <w:r>
              <w:rPr>
                <w:rFonts w:hint="eastAsia"/>
                <w:color w:val="auto"/>
              </w:rPr>
              <w:t>N24A1-X3-B3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B145DAD">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068AE4EF">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2A7753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AC68F3B">
            <w:pPr>
              <w:bidi w:val="0"/>
              <w:rPr>
                <w:color w:val="auto"/>
              </w:rPr>
            </w:pPr>
          </w:p>
        </w:tc>
      </w:tr>
      <w:tr w14:paraId="552F6432">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50C127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BE023CD">
            <w:pPr>
              <w:bidi w:val="0"/>
              <w:rPr>
                <w:color w:val="auto"/>
              </w:rPr>
            </w:pPr>
            <w:r>
              <w:rPr>
                <w:rFonts w:hint="eastAsia"/>
                <w:color w:val="auto"/>
              </w:rPr>
              <w:t>450-X3-B4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533A292">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5726C643">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C94AD3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288A75B">
            <w:pPr>
              <w:bidi w:val="0"/>
              <w:rPr>
                <w:color w:val="auto"/>
              </w:rPr>
            </w:pPr>
          </w:p>
        </w:tc>
      </w:tr>
      <w:tr w14:paraId="1AA28B89">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A03646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4FA5A37">
            <w:pPr>
              <w:bidi w:val="0"/>
              <w:rPr>
                <w:color w:val="auto"/>
              </w:rPr>
            </w:pPr>
            <w:r>
              <w:rPr>
                <w:rFonts w:hint="eastAsia"/>
                <w:color w:val="auto"/>
              </w:rPr>
              <w:t>234B-X3-B5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A8EF766">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42755AFF">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5A66D5B">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33A2CA7">
            <w:pPr>
              <w:bidi w:val="0"/>
              <w:rPr>
                <w:color w:val="auto"/>
              </w:rPr>
            </w:pPr>
          </w:p>
        </w:tc>
      </w:tr>
      <w:tr w14:paraId="26C1B0DB">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730041B">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00F34CB">
            <w:pPr>
              <w:bidi w:val="0"/>
              <w:rPr>
                <w:color w:val="auto"/>
              </w:rPr>
            </w:pPr>
            <w:r>
              <w:rPr>
                <w:rFonts w:hint="eastAsia"/>
                <w:color w:val="auto"/>
              </w:rPr>
              <w:t>247-X3-B6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FE8B7F0">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71481281">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2B170F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E5EC611">
            <w:pPr>
              <w:bidi w:val="0"/>
              <w:rPr>
                <w:color w:val="auto"/>
              </w:rPr>
            </w:pPr>
          </w:p>
        </w:tc>
      </w:tr>
      <w:tr w14:paraId="7CE3F755">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102A81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A18E062">
            <w:pPr>
              <w:bidi w:val="0"/>
              <w:rPr>
                <w:color w:val="auto"/>
              </w:rPr>
            </w:pPr>
            <w:r>
              <w:rPr>
                <w:rFonts w:hint="eastAsia"/>
                <w:color w:val="auto"/>
              </w:rPr>
              <w:t>P24A1-X3-C1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8C3CAEE">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7E28D50B">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EEF2914">
            <w:pPr>
              <w:bidi w:val="0"/>
              <w:rPr>
                <w:color w:val="auto"/>
              </w:rPr>
            </w:pPr>
            <w:r>
              <w:rPr>
                <w:rFonts w:hint="eastAsia"/>
                <w:color w:val="auto"/>
              </w:rPr>
              <w:t>192.168.0.80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E0342E3">
            <w:pPr>
              <w:bidi w:val="0"/>
              <w:rPr>
                <w:color w:val="auto"/>
              </w:rPr>
            </w:pPr>
            <w:r>
              <w:rPr>
                <w:rFonts w:hint="eastAsia"/>
                <w:color w:val="auto"/>
              </w:rPr>
              <w:t>C1条盒采码 DM8</w:t>
            </w:r>
          </w:p>
        </w:tc>
      </w:tr>
      <w:tr w14:paraId="6737C459">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F0998F2">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C43B446">
            <w:pPr>
              <w:bidi w:val="0"/>
              <w:rPr>
                <w:color w:val="auto"/>
              </w:rPr>
            </w:pPr>
            <w:r>
              <w:rPr>
                <w:rFonts w:hint="eastAsia"/>
                <w:color w:val="auto"/>
              </w:rPr>
              <w:t>N24A1-X3-C2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D1D7900">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0253AC15">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8E0756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99FE20F">
            <w:pPr>
              <w:bidi w:val="0"/>
              <w:rPr>
                <w:color w:val="auto"/>
              </w:rPr>
            </w:pPr>
          </w:p>
        </w:tc>
      </w:tr>
      <w:tr w14:paraId="1DAE90DD">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37EA0F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9D6E694">
            <w:pPr>
              <w:bidi w:val="0"/>
              <w:rPr>
                <w:color w:val="auto"/>
              </w:rPr>
            </w:pPr>
            <w:r>
              <w:rPr>
                <w:rFonts w:hint="eastAsia"/>
                <w:color w:val="auto"/>
              </w:rPr>
              <w:t>N24A1-X3-C3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1F410CE">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3CD98C9B">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EEDC77F">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7CF69FA">
            <w:pPr>
              <w:bidi w:val="0"/>
              <w:rPr>
                <w:color w:val="auto"/>
              </w:rPr>
            </w:pPr>
          </w:p>
        </w:tc>
      </w:tr>
      <w:tr w14:paraId="74A0F1B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2D27E79">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DBA24D0">
            <w:pPr>
              <w:bidi w:val="0"/>
              <w:rPr>
                <w:color w:val="auto"/>
              </w:rPr>
            </w:pPr>
            <w:r>
              <w:rPr>
                <w:rFonts w:hint="eastAsia"/>
                <w:color w:val="auto"/>
              </w:rPr>
              <w:t>450-X3-C4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0AD44F1">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22AAF426">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90137A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20F7E55">
            <w:pPr>
              <w:bidi w:val="0"/>
              <w:rPr>
                <w:color w:val="auto"/>
              </w:rPr>
            </w:pPr>
          </w:p>
        </w:tc>
      </w:tr>
      <w:tr w14:paraId="7430AC62">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A95DBE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06305A6">
            <w:pPr>
              <w:bidi w:val="0"/>
              <w:rPr>
                <w:color w:val="auto"/>
              </w:rPr>
            </w:pPr>
            <w:r>
              <w:rPr>
                <w:rFonts w:hint="eastAsia"/>
                <w:color w:val="auto"/>
              </w:rPr>
              <w:t>230B-X3-C5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4E85D4F">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7D0F8B04">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A846786">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D57DE2F">
            <w:pPr>
              <w:bidi w:val="0"/>
              <w:rPr>
                <w:color w:val="auto"/>
              </w:rPr>
            </w:pPr>
          </w:p>
        </w:tc>
      </w:tr>
      <w:tr w14:paraId="6045063F">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3445684">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F885B2F">
            <w:pPr>
              <w:bidi w:val="0"/>
              <w:rPr>
                <w:color w:val="auto"/>
              </w:rPr>
            </w:pPr>
            <w:r>
              <w:rPr>
                <w:rFonts w:hint="eastAsia"/>
                <w:color w:val="auto"/>
              </w:rPr>
              <w:t>244-X3-C6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60723EA">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332DDE85">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816AB70">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69893B0">
            <w:pPr>
              <w:bidi w:val="0"/>
              <w:rPr>
                <w:color w:val="auto"/>
              </w:rPr>
            </w:pPr>
          </w:p>
        </w:tc>
      </w:tr>
      <w:tr w14:paraId="5DD16244">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DB93E9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9C84217">
            <w:pPr>
              <w:bidi w:val="0"/>
              <w:rPr>
                <w:color w:val="auto"/>
              </w:rPr>
            </w:pPr>
            <w:r>
              <w:rPr>
                <w:rFonts w:hint="eastAsia"/>
                <w:color w:val="auto"/>
              </w:rPr>
              <w:t>P24A1-X3-D1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97E234D">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5511EAFF">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046DA321">
            <w:pPr>
              <w:bidi w:val="0"/>
              <w:rPr>
                <w:color w:val="auto"/>
              </w:rPr>
            </w:pPr>
            <w:r>
              <w:rPr>
                <w:rFonts w:hint="eastAsia"/>
                <w:color w:val="auto"/>
              </w:rPr>
              <w:t>192.168.0.90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01AF7776">
            <w:pPr>
              <w:bidi w:val="0"/>
              <w:rPr>
                <w:color w:val="auto"/>
              </w:rPr>
            </w:pPr>
            <w:r>
              <w:rPr>
                <w:rFonts w:hint="eastAsia"/>
                <w:color w:val="auto"/>
              </w:rPr>
              <w:t>B2关联校验 DM9</w:t>
            </w:r>
          </w:p>
        </w:tc>
      </w:tr>
      <w:tr w14:paraId="7B9E2138">
        <w:tblPrEx>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1D7964F8">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70FBB91">
            <w:pPr>
              <w:bidi w:val="0"/>
              <w:rPr>
                <w:color w:val="auto"/>
              </w:rPr>
            </w:pPr>
            <w:r>
              <w:rPr>
                <w:rFonts w:hint="eastAsia"/>
                <w:color w:val="auto"/>
              </w:rPr>
              <w:t>N24A1-X3-D2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2FEE19A">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2C5052AF">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6A426E5">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1D423D9">
            <w:pPr>
              <w:bidi w:val="0"/>
              <w:rPr>
                <w:color w:val="auto"/>
              </w:rPr>
            </w:pPr>
          </w:p>
        </w:tc>
      </w:tr>
      <w:tr w14:paraId="620CA7CB">
        <w:tblPrEx>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139E90C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4B9E4C6">
            <w:pPr>
              <w:bidi w:val="0"/>
              <w:rPr>
                <w:color w:val="auto"/>
              </w:rPr>
            </w:pPr>
            <w:r>
              <w:rPr>
                <w:rFonts w:hint="eastAsia"/>
                <w:color w:val="auto"/>
              </w:rPr>
              <w:t>N24A1-X3-D3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2899538">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480577CD">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C73321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A21BFAC">
            <w:pPr>
              <w:bidi w:val="0"/>
              <w:rPr>
                <w:color w:val="auto"/>
              </w:rPr>
            </w:pPr>
          </w:p>
        </w:tc>
      </w:tr>
      <w:tr w14:paraId="120C36CB">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31B5B07A">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9DABDB1">
            <w:pPr>
              <w:bidi w:val="0"/>
              <w:rPr>
                <w:color w:val="auto"/>
              </w:rPr>
            </w:pPr>
            <w:r>
              <w:rPr>
                <w:rFonts w:hint="eastAsia"/>
                <w:color w:val="auto"/>
              </w:rPr>
              <w:t>N24A1-X3-D4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625B897">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647218A9">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5F99B02">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07A49CD">
            <w:pPr>
              <w:bidi w:val="0"/>
              <w:rPr>
                <w:color w:val="auto"/>
              </w:rPr>
            </w:pPr>
          </w:p>
        </w:tc>
      </w:tr>
      <w:tr w14:paraId="0770C632">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3A1801F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A11A5C4">
            <w:pPr>
              <w:bidi w:val="0"/>
              <w:rPr>
                <w:color w:val="auto"/>
              </w:rPr>
            </w:pPr>
            <w:r>
              <w:rPr>
                <w:rFonts w:hint="eastAsia"/>
                <w:color w:val="auto"/>
              </w:rPr>
              <w:t>217B-X3-D5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0C2B915">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3871526F">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2D7336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9E0632C">
            <w:pPr>
              <w:bidi w:val="0"/>
              <w:rPr>
                <w:color w:val="auto"/>
              </w:rPr>
            </w:pPr>
          </w:p>
        </w:tc>
      </w:tr>
      <w:tr w14:paraId="0F9590C1">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753E263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3F8AB55">
            <w:pPr>
              <w:bidi w:val="0"/>
              <w:rPr>
                <w:color w:val="auto"/>
              </w:rPr>
            </w:pPr>
            <w:r>
              <w:rPr>
                <w:rFonts w:hint="eastAsia"/>
                <w:color w:val="auto"/>
              </w:rPr>
              <w:t>120-X3-D6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925300C">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2616F5F1">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E6C866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1F5F6A8">
            <w:pPr>
              <w:bidi w:val="0"/>
              <w:rPr>
                <w:color w:val="auto"/>
              </w:rPr>
            </w:pPr>
          </w:p>
        </w:tc>
      </w:tr>
    </w:tbl>
    <w:p w14:paraId="0BC851DF">
      <w:pPr>
        <w:pStyle w:val="13"/>
        <w:bidi w:val="0"/>
      </w:pPr>
      <w:r>
        <w:rPr>
          <w:rFonts w:hint="eastAsia"/>
        </w:rPr>
        <w:t>剔除与停机告警信息</w:t>
      </w:r>
    </w:p>
    <w:tbl>
      <w:tblPr>
        <w:tblStyle w:val="43"/>
        <w:tblW w:w="5189" w:type="pct"/>
        <w:tblInd w:w="0" w:type="dxa"/>
        <w:tblLayout w:type="autofit"/>
        <w:tblCellMar>
          <w:top w:w="0" w:type="dxa"/>
          <w:left w:w="108" w:type="dxa"/>
          <w:bottom w:w="0" w:type="dxa"/>
          <w:right w:w="108" w:type="dxa"/>
        </w:tblCellMar>
      </w:tblPr>
      <w:tblGrid>
        <w:gridCol w:w="1588"/>
        <w:gridCol w:w="3847"/>
        <w:gridCol w:w="4202"/>
      </w:tblGrid>
      <w:tr w14:paraId="55C3A4AC">
        <w:tblPrEx>
          <w:tblCellMar>
            <w:top w:w="0" w:type="dxa"/>
            <w:left w:w="108" w:type="dxa"/>
            <w:bottom w:w="0" w:type="dxa"/>
            <w:right w:w="108" w:type="dxa"/>
          </w:tblCellMar>
        </w:tblPrEx>
        <w:trPr>
          <w:trHeight w:val="288" w:hRule="atLeast"/>
        </w:trPr>
        <w:tc>
          <w:tcPr>
            <w:tcW w:w="824" w:type="pct"/>
            <w:tcBorders>
              <w:top w:val="single" w:color="auto" w:sz="8" w:space="0"/>
              <w:left w:val="single" w:color="auto" w:sz="8" w:space="0"/>
              <w:bottom w:val="single" w:color="auto" w:sz="8" w:space="0"/>
              <w:right w:val="nil"/>
            </w:tcBorders>
            <w:shd w:val="clear" w:color="auto" w:fill="auto"/>
            <w:noWrap/>
            <w:vAlign w:val="bottom"/>
          </w:tcPr>
          <w:p w14:paraId="68E9B998">
            <w:pPr>
              <w:bidi w:val="0"/>
            </w:pPr>
            <w:r>
              <w:rPr>
                <w:rFonts w:hint="eastAsia"/>
              </w:rPr>
              <w:t>序号</w:t>
            </w:r>
          </w:p>
        </w:tc>
        <w:tc>
          <w:tcPr>
            <w:tcW w:w="1995" w:type="pct"/>
            <w:tcBorders>
              <w:top w:val="single" w:color="auto" w:sz="8" w:space="0"/>
              <w:left w:val="single" w:color="000000" w:sz="8" w:space="0"/>
              <w:bottom w:val="single" w:color="auto" w:sz="8" w:space="0"/>
              <w:right w:val="single" w:color="000000" w:sz="8" w:space="0"/>
            </w:tcBorders>
            <w:shd w:val="clear" w:color="auto" w:fill="auto"/>
            <w:noWrap/>
            <w:vAlign w:val="bottom"/>
          </w:tcPr>
          <w:p w14:paraId="14CDE02C">
            <w:pPr>
              <w:bidi w:val="0"/>
            </w:pPr>
            <w:r>
              <w:rPr>
                <w:rFonts w:hint="eastAsia"/>
              </w:rPr>
              <w:t>功能</w:t>
            </w:r>
          </w:p>
        </w:tc>
        <w:tc>
          <w:tcPr>
            <w:tcW w:w="2179" w:type="pct"/>
            <w:tcBorders>
              <w:top w:val="single" w:color="auto" w:sz="8" w:space="0"/>
              <w:left w:val="nil"/>
              <w:bottom w:val="single" w:color="auto" w:sz="8" w:space="0"/>
              <w:right w:val="single" w:color="auto" w:sz="8" w:space="0"/>
            </w:tcBorders>
            <w:shd w:val="clear" w:color="auto" w:fill="auto"/>
            <w:noWrap/>
            <w:vAlign w:val="bottom"/>
          </w:tcPr>
          <w:p w14:paraId="398601C7">
            <w:pPr>
              <w:bidi w:val="0"/>
            </w:pPr>
            <w:r>
              <w:rPr>
                <w:rFonts w:hint="eastAsia"/>
              </w:rPr>
              <w:t>告警信息</w:t>
            </w:r>
          </w:p>
        </w:tc>
      </w:tr>
      <w:tr w14:paraId="0B549328">
        <w:tblPrEx>
          <w:tblCellMar>
            <w:top w:w="0" w:type="dxa"/>
            <w:left w:w="108" w:type="dxa"/>
            <w:bottom w:w="0" w:type="dxa"/>
            <w:right w:w="108" w:type="dxa"/>
          </w:tblCellMar>
        </w:tblPrEx>
        <w:trPr>
          <w:trHeight w:val="288" w:hRule="atLeast"/>
        </w:trPr>
        <w:tc>
          <w:tcPr>
            <w:tcW w:w="824" w:type="pct"/>
            <w:tcBorders>
              <w:top w:val="nil"/>
              <w:left w:val="single" w:color="000000" w:sz="8" w:space="0"/>
              <w:bottom w:val="single" w:color="000000" w:sz="8" w:space="0"/>
              <w:right w:val="single" w:color="000000" w:sz="8" w:space="0"/>
            </w:tcBorders>
            <w:shd w:val="clear" w:color="auto" w:fill="auto"/>
            <w:noWrap/>
            <w:vAlign w:val="bottom"/>
          </w:tcPr>
          <w:p w14:paraId="030E9B11">
            <w:pPr>
              <w:bidi w:val="0"/>
            </w:pPr>
            <w:r>
              <w:rPr>
                <w:rFonts w:hint="eastAsia"/>
              </w:rPr>
              <w:t>1</w:t>
            </w:r>
          </w:p>
        </w:tc>
        <w:tc>
          <w:tcPr>
            <w:tcW w:w="1995" w:type="pct"/>
            <w:tcBorders>
              <w:top w:val="nil"/>
              <w:left w:val="nil"/>
              <w:bottom w:val="single" w:color="000000" w:sz="8" w:space="0"/>
              <w:right w:val="single" w:color="000000" w:sz="8" w:space="0"/>
            </w:tcBorders>
            <w:shd w:val="clear" w:color="auto" w:fill="auto"/>
            <w:noWrap/>
            <w:vAlign w:val="bottom"/>
          </w:tcPr>
          <w:p w14:paraId="24667046">
            <w:pPr>
              <w:bidi w:val="0"/>
            </w:pPr>
            <w:r>
              <w:rPr>
                <w:rFonts w:hint="eastAsia"/>
              </w:rPr>
              <w:t>CH小包剔除</w:t>
            </w:r>
          </w:p>
        </w:tc>
        <w:tc>
          <w:tcPr>
            <w:tcW w:w="2179" w:type="pct"/>
            <w:tcBorders>
              <w:top w:val="nil"/>
              <w:left w:val="nil"/>
              <w:bottom w:val="single" w:color="000000" w:sz="8" w:space="0"/>
              <w:right w:val="single" w:color="000000" w:sz="8" w:space="0"/>
            </w:tcBorders>
            <w:shd w:val="clear" w:color="auto" w:fill="auto"/>
            <w:noWrap/>
            <w:vAlign w:val="bottom"/>
          </w:tcPr>
          <w:p w14:paraId="1D41796A">
            <w:pPr>
              <w:bidi w:val="0"/>
            </w:pPr>
            <w:r>
              <w:rPr>
                <w:rFonts w:hint="eastAsia"/>
              </w:rPr>
              <w:t>CH烟包手动剔除按钮</w:t>
            </w:r>
          </w:p>
        </w:tc>
      </w:tr>
      <w:tr w14:paraId="0D0D6247">
        <w:tblPrEx>
          <w:tblCellMar>
            <w:top w:w="0" w:type="dxa"/>
            <w:left w:w="108" w:type="dxa"/>
            <w:bottom w:w="0" w:type="dxa"/>
            <w:right w:w="108" w:type="dxa"/>
          </w:tblCellMar>
        </w:tblPrEx>
        <w:trPr>
          <w:trHeight w:val="288" w:hRule="atLeast"/>
        </w:trPr>
        <w:tc>
          <w:tcPr>
            <w:tcW w:w="824" w:type="pct"/>
            <w:tcBorders>
              <w:top w:val="nil"/>
              <w:left w:val="single" w:color="000000" w:sz="8" w:space="0"/>
              <w:bottom w:val="single" w:color="000000" w:sz="8" w:space="0"/>
              <w:right w:val="single" w:color="000000" w:sz="8" w:space="0"/>
            </w:tcBorders>
            <w:shd w:val="clear" w:color="auto" w:fill="auto"/>
            <w:noWrap/>
            <w:vAlign w:val="bottom"/>
          </w:tcPr>
          <w:p w14:paraId="17871CE7">
            <w:pPr>
              <w:bidi w:val="0"/>
            </w:pPr>
            <w:r>
              <w:rPr>
                <w:rFonts w:hint="eastAsia"/>
              </w:rPr>
              <w:t>2</w:t>
            </w:r>
          </w:p>
        </w:tc>
        <w:tc>
          <w:tcPr>
            <w:tcW w:w="1995" w:type="pct"/>
            <w:tcBorders>
              <w:top w:val="nil"/>
              <w:left w:val="nil"/>
              <w:bottom w:val="single" w:color="000000" w:sz="8" w:space="0"/>
              <w:right w:val="single" w:color="000000" w:sz="8" w:space="0"/>
            </w:tcBorders>
            <w:shd w:val="clear" w:color="auto" w:fill="auto"/>
            <w:noWrap/>
            <w:vAlign w:val="bottom"/>
          </w:tcPr>
          <w:p w14:paraId="75E5DC2C">
            <w:pPr>
              <w:bidi w:val="0"/>
            </w:pPr>
            <w:r>
              <w:rPr>
                <w:rFonts w:hint="eastAsia"/>
              </w:rPr>
              <w:t>条包剔除</w:t>
            </w:r>
          </w:p>
        </w:tc>
        <w:tc>
          <w:tcPr>
            <w:tcW w:w="2179" w:type="pct"/>
            <w:tcBorders>
              <w:top w:val="nil"/>
              <w:left w:val="nil"/>
              <w:bottom w:val="single" w:color="000000" w:sz="8" w:space="0"/>
              <w:right w:val="single" w:color="000000" w:sz="8" w:space="0"/>
            </w:tcBorders>
            <w:shd w:val="clear" w:color="auto" w:fill="auto"/>
            <w:noWrap/>
            <w:vAlign w:val="bottom"/>
          </w:tcPr>
          <w:p w14:paraId="427DE8CE">
            <w:pPr>
              <w:bidi w:val="0"/>
            </w:pPr>
            <w:r>
              <w:rPr>
                <w:rFonts w:hint="eastAsia"/>
              </w:rPr>
              <w:t>条盒纸异常</w:t>
            </w:r>
          </w:p>
        </w:tc>
      </w:tr>
      <w:tr w14:paraId="4010F7B8">
        <w:tblPrEx>
          <w:tblCellMar>
            <w:top w:w="0" w:type="dxa"/>
            <w:left w:w="108" w:type="dxa"/>
            <w:bottom w:w="0" w:type="dxa"/>
            <w:right w:w="108" w:type="dxa"/>
          </w:tblCellMar>
        </w:tblPrEx>
        <w:trPr>
          <w:trHeight w:val="288" w:hRule="atLeast"/>
        </w:trPr>
        <w:tc>
          <w:tcPr>
            <w:tcW w:w="824" w:type="pct"/>
            <w:tcBorders>
              <w:top w:val="nil"/>
              <w:left w:val="single" w:color="000000" w:sz="8" w:space="0"/>
              <w:bottom w:val="single" w:color="000000" w:sz="8" w:space="0"/>
              <w:right w:val="single" w:color="000000" w:sz="8" w:space="0"/>
            </w:tcBorders>
            <w:shd w:val="clear" w:color="auto" w:fill="auto"/>
            <w:noWrap/>
            <w:vAlign w:val="bottom"/>
          </w:tcPr>
          <w:p w14:paraId="7D4269D6">
            <w:pPr>
              <w:bidi w:val="0"/>
            </w:pPr>
            <w:r>
              <w:rPr>
                <w:rFonts w:hint="eastAsia"/>
              </w:rPr>
              <w:t>3</w:t>
            </w:r>
          </w:p>
        </w:tc>
        <w:tc>
          <w:tcPr>
            <w:tcW w:w="1995" w:type="pct"/>
            <w:tcBorders>
              <w:top w:val="nil"/>
              <w:left w:val="nil"/>
              <w:bottom w:val="single" w:color="000000" w:sz="8" w:space="0"/>
              <w:right w:val="single" w:color="000000" w:sz="8" w:space="0"/>
            </w:tcBorders>
            <w:shd w:val="clear" w:color="auto" w:fill="auto"/>
            <w:noWrap/>
            <w:vAlign w:val="bottom"/>
          </w:tcPr>
          <w:p w14:paraId="605F8ED3">
            <w:pPr>
              <w:bidi w:val="0"/>
            </w:pPr>
            <w:r>
              <w:rPr>
                <w:rFonts w:hint="eastAsia"/>
              </w:rPr>
              <w:t>二维码停机</w:t>
            </w:r>
          </w:p>
        </w:tc>
        <w:tc>
          <w:tcPr>
            <w:tcW w:w="2179" w:type="pct"/>
            <w:tcBorders>
              <w:top w:val="nil"/>
              <w:left w:val="nil"/>
              <w:bottom w:val="single" w:color="000000" w:sz="8" w:space="0"/>
              <w:right w:val="single" w:color="000000" w:sz="8" w:space="0"/>
            </w:tcBorders>
            <w:shd w:val="clear" w:color="auto" w:fill="auto"/>
            <w:noWrap/>
            <w:vAlign w:val="bottom"/>
          </w:tcPr>
          <w:p w14:paraId="08B7D297">
            <w:pPr>
              <w:bidi w:val="0"/>
            </w:pPr>
            <w:r>
              <w:rPr>
                <w:rFonts w:hint="eastAsia"/>
              </w:rPr>
              <w:t>下游机停机</w:t>
            </w:r>
          </w:p>
        </w:tc>
      </w:tr>
    </w:tbl>
    <w:p w14:paraId="7DA813CF">
      <w:pPr>
        <w:bidi w:val="0"/>
        <w:rPr>
          <w:rFonts w:hint="default"/>
          <w:lang w:val="en-US" w:eastAsia="zh-CN"/>
        </w:rPr>
      </w:pPr>
    </w:p>
    <w:p w14:paraId="1704D847">
      <w:pPr>
        <w:rPr>
          <w:rFonts w:hint="default"/>
          <w:lang w:val="en-US" w:eastAsia="zh-CN"/>
        </w:rPr>
      </w:pPr>
      <w:r>
        <w:rPr>
          <w:rFonts w:hint="default"/>
          <w:lang w:val="en-US" w:eastAsia="zh-CN"/>
        </w:rPr>
        <w:br w:type="page"/>
      </w:r>
    </w:p>
    <w:p w14:paraId="116CB0A9">
      <w:pPr>
        <w:pStyle w:val="5"/>
        <w:rPr>
          <w:rFonts w:hint="default"/>
          <w:lang w:val="en-US" w:eastAsia="zh-CN"/>
        </w:rPr>
      </w:pPr>
    </w:p>
    <w:p w14:paraId="14F0F4AC">
      <w:pPr>
        <w:pStyle w:val="10"/>
        <w:tabs>
          <w:tab w:val="left" w:pos="864"/>
        </w:tabs>
      </w:pPr>
      <w:bookmarkStart w:id="167" w:name="_Toc454094902"/>
      <w:bookmarkStart w:id="168" w:name="_Toc70095268"/>
      <w:r>
        <w:rPr>
          <w:rFonts w:hint="eastAsia"/>
          <w:lang w:eastAsia="zh-CN"/>
        </w:rPr>
        <w:t>读码器安装与配置</w:t>
      </w:r>
      <w:bookmarkEnd w:id="167"/>
      <w:bookmarkEnd w:id="168"/>
    </w:p>
    <w:p w14:paraId="39FE20DA">
      <w:pPr>
        <w:pStyle w:val="17"/>
        <w:spacing w:line="360" w:lineRule="auto"/>
        <w:rPr>
          <w:rFonts w:hint="eastAsia" w:ascii="宋体" w:hAnsi="宋体" w:eastAsia="宋体" w:cs="宋体"/>
        </w:rPr>
      </w:pPr>
      <w:r>
        <w:rPr>
          <w:rFonts w:hint="eastAsia" w:ascii="宋体" w:hAnsi="宋体" w:eastAsia="宋体" w:cs="宋体"/>
        </w:rPr>
        <w:t>读码器设备是各卷烟厂二维码统一应用系统的核心部件，必须保证稳定、安全、高效运行。</w:t>
      </w:r>
      <w:r>
        <w:rPr>
          <w:rFonts w:hint="eastAsia" w:ascii="宋体" w:hAnsi="宋体" w:eastAsia="宋体" w:cs="宋体"/>
          <w:lang w:eastAsia="zh-CN"/>
        </w:rPr>
        <w:t>本章详细描述了在实施过程中，各个二维码工位的</w:t>
      </w:r>
      <w:r>
        <w:rPr>
          <w:rFonts w:hint="eastAsia" w:ascii="宋体" w:hAnsi="宋体" w:eastAsia="宋体" w:cs="宋体"/>
        </w:rPr>
        <w:t>读码器的安装、调试、点检等操作。</w:t>
      </w:r>
    </w:p>
    <w:p w14:paraId="6A4FACAA">
      <w:pPr>
        <w:pStyle w:val="12"/>
        <w:bidi w:val="0"/>
        <w:spacing w:line="360" w:lineRule="auto"/>
        <w:rPr>
          <w:rFonts w:hint="eastAsia" w:ascii="宋体" w:hAnsi="宋体" w:eastAsia="宋体" w:cs="宋体"/>
        </w:rPr>
      </w:pPr>
      <w:bookmarkStart w:id="169" w:name="_Toc157765676"/>
      <w:bookmarkStart w:id="170" w:name="_Toc5474183"/>
      <w:r>
        <w:rPr>
          <w:rFonts w:hint="eastAsia" w:ascii="宋体" w:hAnsi="宋体" w:eastAsia="宋体" w:cs="宋体"/>
        </w:rPr>
        <w:t>读码器结构</w:t>
      </w:r>
      <w:bookmarkEnd w:id="169"/>
      <w:bookmarkEnd w:id="170"/>
    </w:p>
    <w:p w14:paraId="353D6DA7">
      <w:pPr>
        <w:pStyle w:val="17"/>
        <w:spacing w:line="360" w:lineRule="auto"/>
        <w:rPr>
          <w:rFonts w:hint="eastAsia" w:ascii="宋体" w:hAnsi="宋体" w:eastAsia="宋体" w:cs="宋体"/>
        </w:rPr>
      </w:pPr>
      <w:r>
        <w:rPr>
          <w:rFonts w:hint="eastAsia" w:ascii="宋体" w:hAnsi="宋体" w:eastAsia="宋体" w:cs="宋体"/>
        </w:rPr>
        <w:drawing>
          <wp:inline distT="0" distB="0" distL="0" distR="0">
            <wp:extent cx="5278755" cy="2168525"/>
            <wp:effectExtent l="9525" t="9525" r="26670" b="12700"/>
            <wp:docPr id="1437513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13162" name="图片 1"/>
                    <pic:cNvPicPr>
                      <a:picLocks noChangeAspect="1"/>
                    </pic:cNvPicPr>
                  </pic:nvPicPr>
                  <pic:blipFill>
                    <a:blip r:embed="rId62"/>
                    <a:stretch>
                      <a:fillRect/>
                    </a:stretch>
                  </pic:blipFill>
                  <pic:spPr>
                    <a:xfrm>
                      <a:off x="0" y="0"/>
                      <a:ext cx="5278755" cy="2168525"/>
                    </a:xfrm>
                    <a:prstGeom prst="rect">
                      <a:avLst/>
                    </a:prstGeom>
                    <a:ln>
                      <a:solidFill>
                        <a:schemeClr val="bg1">
                          <a:lumMod val="85000"/>
                        </a:schemeClr>
                      </a:solidFill>
                    </a:ln>
                  </pic:spPr>
                </pic:pic>
              </a:graphicData>
            </a:graphic>
          </wp:inline>
        </w:drawing>
      </w:r>
    </w:p>
    <w:p w14:paraId="327B41CD">
      <w:pPr>
        <w:pStyle w:val="17"/>
        <w:spacing w:line="360" w:lineRule="auto"/>
        <w:rPr>
          <w:rFonts w:hint="eastAsia" w:ascii="宋体" w:hAnsi="宋体" w:eastAsia="宋体" w:cs="宋体"/>
          <w:b/>
          <w:bCs/>
        </w:rPr>
      </w:pPr>
      <w:r>
        <w:rPr>
          <w:rFonts w:hint="eastAsia" w:ascii="宋体" w:hAnsi="宋体" w:eastAsia="宋体" w:cs="宋体"/>
        </w:rPr>
        <w:drawing>
          <wp:inline distT="0" distB="0" distL="0" distR="0">
            <wp:extent cx="5278755" cy="4547870"/>
            <wp:effectExtent l="0" t="0" r="17145" b="5080"/>
            <wp:docPr id="1478652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52991" name="图片 1"/>
                    <pic:cNvPicPr>
                      <a:picLocks noChangeAspect="1"/>
                    </pic:cNvPicPr>
                  </pic:nvPicPr>
                  <pic:blipFill>
                    <a:blip r:embed="rId63"/>
                    <a:stretch>
                      <a:fillRect/>
                    </a:stretch>
                  </pic:blipFill>
                  <pic:spPr>
                    <a:xfrm>
                      <a:off x="0" y="0"/>
                      <a:ext cx="5278755" cy="4547870"/>
                    </a:xfrm>
                    <a:prstGeom prst="rect">
                      <a:avLst/>
                    </a:prstGeom>
                  </pic:spPr>
                </pic:pic>
              </a:graphicData>
            </a:graphic>
          </wp:inline>
        </w:drawing>
      </w:r>
    </w:p>
    <w:p w14:paraId="514533C6">
      <w:pPr>
        <w:pStyle w:val="17"/>
        <w:spacing w:line="360" w:lineRule="auto"/>
        <w:rPr>
          <w:rFonts w:hint="eastAsia" w:ascii="宋体" w:hAnsi="宋体" w:eastAsia="宋体" w:cs="宋体"/>
        </w:rPr>
      </w:pPr>
      <w:r>
        <w:rPr>
          <w:rFonts w:hint="eastAsia" w:ascii="宋体" w:hAnsi="宋体" w:eastAsia="宋体" w:cs="宋体"/>
        </w:rPr>
        <w:t xml:space="preserve">如上图所示展示了读码器的各个部分，与其作用。 </w:t>
      </w:r>
    </w:p>
    <w:p w14:paraId="1EEC5C6F">
      <w:pPr>
        <w:pStyle w:val="17"/>
        <w:spacing w:line="360" w:lineRule="auto"/>
        <w:rPr>
          <w:rFonts w:hint="eastAsia" w:ascii="宋体" w:hAnsi="宋体" w:eastAsia="宋体" w:cs="宋体"/>
        </w:rPr>
      </w:pPr>
      <w:r>
        <w:rPr>
          <w:rFonts w:hint="eastAsia" w:ascii="宋体" w:hAnsi="宋体" w:eastAsia="宋体" w:cs="宋体"/>
        </w:rPr>
        <w:t xml:space="preserve">机身上的 LED 指示灯，从离“TRI”按钮近的一侧开始。其功能分别是： </w:t>
      </w:r>
    </w:p>
    <w:p w14:paraId="15A1F9CA">
      <w:pPr>
        <w:pStyle w:val="17"/>
        <w:spacing w:line="360" w:lineRule="auto"/>
        <w:rPr>
          <w:rFonts w:hint="eastAsia" w:ascii="宋体" w:hAnsi="宋体" w:eastAsia="宋体" w:cs="宋体"/>
        </w:rPr>
      </w:pPr>
      <w:r>
        <w:rPr>
          <w:rFonts w:hint="eastAsia" w:ascii="宋体" w:hAnsi="宋体" w:eastAsia="宋体" w:cs="宋体"/>
        </w:rPr>
        <w:t xml:space="preserve">1. 电源指示灯。 </w:t>
      </w:r>
    </w:p>
    <w:p w14:paraId="5E8948E0">
      <w:pPr>
        <w:pStyle w:val="17"/>
        <w:spacing w:line="360" w:lineRule="auto"/>
        <w:rPr>
          <w:rFonts w:hint="eastAsia" w:ascii="宋体" w:hAnsi="宋体" w:eastAsia="宋体" w:cs="宋体"/>
        </w:rPr>
      </w:pPr>
      <w:r>
        <w:rPr>
          <w:rFonts w:hint="eastAsia" w:ascii="宋体" w:hAnsi="宋体" w:eastAsia="宋体" w:cs="宋体"/>
        </w:rPr>
        <w:t xml:space="preserve">2. 训练代码\未训练代码指示灯。 </w:t>
      </w:r>
    </w:p>
    <w:p w14:paraId="31AC5BD9">
      <w:pPr>
        <w:pStyle w:val="17"/>
        <w:spacing w:line="360" w:lineRule="auto"/>
        <w:rPr>
          <w:rFonts w:hint="eastAsia" w:ascii="宋体" w:hAnsi="宋体" w:eastAsia="宋体" w:cs="宋体"/>
        </w:rPr>
      </w:pPr>
      <w:r>
        <w:rPr>
          <w:rFonts w:hint="eastAsia" w:ascii="宋体" w:hAnsi="宋体" w:eastAsia="宋体" w:cs="宋体"/>
        </w:rPr>
        <w:t xml:space="preserve">3. 读取、未读取到指示灯 </w:t>
      </w:r>
    </w:p>
    <w:p w14:paraId="593357B3">
      <w:pPr>
        <w:pStyle w:val="17"/>
        <w:spacing w:line="360" w:lineRule="auto"/>
        <w:rPr>
          <w:rFonts w:hint="eastAsia" w:ascii="宋体" w:hAnsi="宋体" w:eastAsia="宋体" w:cs="宋体"/>
        </w:rPr>
      </w:pPr>
      <w:r>
        <w:rPr>
          <w:rFonts w:hint="eastAsia" w:ascii="宋体" w:hAnsi="宋体" w:eastAsia="宋体" w:cs="宋体"/>
        </w:rPr>
        <w:t xml:space="preserve">4. 网络状态指示灯 </w:t>
      </w:r>
    </w:p>
    <w:p w14:paraId="31481E5F">
      <w:pPr>
        <w:pStyle w:val="17"/>
        <w:spacing w:line="360" w:lineRule="auto"/>
        <w:rPr>
          <w:rFonts w:hint="eastAsia" w:ascii="宋体" w:hAnsi="宋体" w:eastAsia="宋体" w:cs="宋体"/>
        </w:rPr>
      </w:pPr>
      <w:r>
        <w:rPr>
          <w:rFonts w:hint="eastAsia" w:ascii="宋体" w:hAnsi="宋体" w:eastAsia="宋体" w:cs="宋体"/>
        </w:rPr>
        <w:t xml:space="preserve">5. 系统报警指示灯 </w:t>
      </w:r>
    </w:p>
    <w:p w14:paraId="2840C362">
      <w:pPr>
        <w:pStyle w:val="17"/>
        <w:spacing w:line="360" w:lineRule="auto"/>
        <w:rPr>
          <w:rFonts w:hint="eastAsia" w:ascii="宋体" w:hAnsi="宋体" w:eastAsia="宋体" w:cs="宋体"/>
        </w:rPr>
      </w:pPr>
      <w:r>
        <w:rPr>
          <w:rFonts w:hint="eastAsia" w:ascii="宋体" w:hAnsi="宋体" w:eastAsia="宋体" w:cs="宋体"/>
        </w:rPr>
        <w:t>当我们给读码器上电后，首先亮起的，是“电源指示灯”，它应该是绿色的。</w:t>
      </w:r>
    </w:p>
    <w:p w14:paraId="3BF84DB1">
      <w:pPr>
        <w:pStyle w:val="17"/>
        <w:spacing w:line="360" w:lineRule="auto"/>
        <w:rPr>
          <w:rFonts w:hint="eastAsia" w:ascii="宋体" w:hAnsi="宋体" w:eastAsia="宋体" w:cs="宋体"/>
        </w:rPr>
      </w:pPr>
      <w:r>
        <w:rPr>
          <w:rFonts w:hint="eastAsia" w:ascii="宋体" w:hAnsi="宋体" w:eastAsia="宋体" w:cs="宋体"/>
        </w:rPr>
        <w:t xml:space="preserve">稍等片刻后，我们应该看到它旁边的“训练状态指示灯”亮起。这代表着设备已经开机成功了！当然训练状态下该灯亮绿色，未训练的时候是黄色。该灯颜色并非区别好坏用途，是否需要训练不以灯的颜色做判断，而以实际需要去判断。 </w:t>
      </w:r>
    </w:p>
    <w:p w14:paraId="56556178">
      <w:pPr>
        <w:pStyle w:val="17"/>
        <w:spacing w:line="360" w:lineRule="auto"/>
        <w:rPr>
          <w:rFonts w:hint="eastAsia" w:ascii="宋体" w:hAnsi="宋体" w:eastAsia="宋体" w:cs="宋体"/>
        </w:rPr>
      </w:pPr>
      <w:r>
        <w:rPr>
          <w:rFonts w:hint="eastAsia" w:ascii="宋体" w:hAnsi="宋体" w:eastAsia="宋体" w:cs="宋体"/>
        </w:rPr>
        <w:t xml:space="preserve">读取/未读取指示灯，只有在触发读码后才会闪烁。当其每次触发，读到码后，闪一下绿色，未读到会闪一下红色。 </w:t>
      </w:r>
    </w:p>
    <w:p w14:paraId="2EDD34DF">
      <w:pPr>
        <w:pStyle w:val="17"/>
        <w:spacing w:line="360" w:lineRule="auto"/>
        <w:rPr>
          <w:rFonts w:hint="eastAsia" w:ascii="宋体" w:hAnsi="宋体" w:eastAsia="宋体" w:cs="宋体"/>
        </w:rPr>
      </w:pPr>
      <w:r>
        <w:rPr>
          <w:rFonts w:hint="eastAsia" w:ascii="宋体" w:hAnsi="宋体" w:eastAsia="宋体" w:cs="宋体"/>
        </w:rPr>
        <w:t xml:space="preserve">通讯状态指示灯，该灯用于指示网络连接的状态，在与通讯设备，例如：上位机，PC,交换机，路由器； </w:t>
      </w:r>
    </w:p>
    <w:p w14:paraId="530E6EAC">
      <w:pPr>
        <w:pStyle w:val="17"/>
        <w:spacing w:line="360" w:lineRule="auto"/>
        <w:rPr>
          <w:rFonts w:hint="eastAsia" w:ascii="宋体" w:hAnsi="宋体" w:eastAsia="宋体" w:cs="宋体"/>
        </w:rPr>
      </w:pPr>
      <w:r>
        <w:rPr>
          <w:rFonts w:hint="eastAsia" w:ascii="宋体" w:hAnsi="宋体" w:eastAsia="宋体" w:cs="宋体"/>
        </w:rPr>
        <w:t>有网络连接且物理连接通路是通的情况下，该灯亮起，为黄色。如果该灯不亮，代表当前网络连接为断开状态。在对读码器没有任何操作，其自然状态下，如果该灯闪烁，代表通讯受到干扰。</w:t>
      </w:r>
    </w:p>
    <w:p w14:paraId="39726FE3">
      <w:pPr>
        <w:pStyle w:val="17"/>
        <w:spacing w:line="360" w:lineRule="auto"/>
        <w:ind w:left="0" w:leftChars="0" w:firstLine="0" w:firstLineChars="0"/>
        <w:rPr>
          <w:rFonts w:hint="eastAsia" w:ascii="宋体" w:hAnsi="宋体" w:eastAsia="宋体" w:cs="宋体"/>
        </w:rPr>
      </w:pPr>
      <w:r>
        <w:rPr>
          <w:rFonts w:hint="eastAsia" w:ascii="宋体" w:hAnsi="宋体" w:eastAsia="宋体" w:cs="宋体"/>
        </w:rPr>
        <w:drawing>
          <wp:inline distT="0" distB="0" distL="0" distR="0">
            <wp:extent cx="5278755" cy="3907155"/>
            <wp:effectExtent l="0" t="0" r="17145" b="17145"/>
            <wp:docPr id="807055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55444" name="图片 1"/>
                    <pic:cNvPicPr>
                      <a:picLocks noChangeAspect="1"/>
                    </pic:cNvPicPr>
                  </pic:nvPicPr>
                  <pic:blipFill>
                    <a:blip r:embed="rId64"/>
                    <a:stretch>
                      <a:fillRect/>
                    </a:stretch>
                  </pic:blipFill>
                  <pic:spPr>
                    <a:xfrm>
                      <a:off x="0" y="0"/>
                      <a:ext cx="5278755" cy="3907155"/>
                    </a:xfrm>
                    <a:prstGeom prst="rect">
                      <a:avLst/>
                    </a:prstGeom>
                  </pic:spPr>
                </pic:pic>
              </a:graphicData>
            </a:graphic>
          </wp:inline>
        </w:drawing>
      </w:r>
    </w:p>
    <w:p w14:paraId="14F0EAE5">
      <w:pPr>
        <w:pStyle w:val="17"/>
        <w:spacing w:line="360" w:lineRule="auto"/>
        <w:rPr>
          <w:rFonts w:hint="eastAsia" w:ascii="宋体" w:hAnsi="宋体" w:eastAsia="宋体" w:cs="宋体"/>
        </w:rPr>
      </w:pPr>
      <w:r>
        <w:rPr>
          <w:rFonts w:hint="eastAsia" w:ascii="宋体" w:hAnsi="宋体" w:eastAsia="宋体" w:cs="宋体"/>
        </w:rPr>
        <w:drawing>
          <wp:inline distT="0" distB="0" distL="0" distR="0">
            <wp:extent cx="3286125" cy="3705225"/>
            <wp:effectExtent l="0" t="0" r="9525" b="9525"/>
            <wp:docPr id="155619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9884" name="图片 1"/>
                    <pic:cNvPicPr>
                      <a:picLocks noChangeAspect="1"/>
                    </pic:cNvPicPr>
                  </pic:nvPicPr>
                  <pic:blipFill>
                    <a:blip r:embed="rId65"/>
                    <a:stretch>
                      <a:fillRect/>
                    </a:stretch>
                  </pic:blipFill>
                  <pic:spPr>
                    <a:xfrm>
                      <a:off x="0" y="0"/>
                      <a:ext cx="3286125" cy="3705225"/>
                    </a:xfrm>
                    <a:prstGeom prst="rect">
                      <a:avLst/>
                    </a:prstGeom>
                  </pic:spPr>
                </pic:pic>
              </a:graphicData>
            </a:graphic>
          </wp:inline>
        </w:drawing>
      </w:r>
    </w:p>
    <w:p w14:paraId="0FFF72A6">
      <w:pPr>
        <w:pStyle w:val="17"/>
        <w:spacing w:line="360" w:lineRule="auto"/>
        <w:rPr>
          <w:rFonts w:hint="eastAsia" w:ascii="宋体" w:hAnsi="宋体" w:eastAsia="宋体" w:cs="宋体"/>
        </w:rPr>
      </w:pPr>
      <w:r>
        <w:rPr>
          <w:rFonts w:hint="eastAsia" w:ascii="宋体" w:hAnsi="宋体" w:eastAsia="宋体" w:cs="宋体"/>
        </w:rPr>
        <w:t xml:space="preserve">当使用 IO 触发时，需要使用 NPN 或 PNP 信号接线接线方式。读码器无法识别无源信号，例如开关量。读码器 IO 接线需要与信号源接线在一个回路内。 </w:t>
      </w:r>
    </w:p>
    <w:p w14:paraId="646EB007">
      <w:pPr>
        <w:pStyle w:val="17"/>
        <w:spacing w:line="360" w:lineRule="auto"/>
        <w:rPr>
          <w:rFonts w:hint="eastAsia" w:ascii="宋体" w:hAnsi="宋体" w:eastAsia="宋体" w:cs="宋体"/>
        </w:rPr>
      </w:pPr>
      <w:r>
        <w:rPr>
          <w:rFonts w:hint="eastAsia" w:ascii="宋体" w:hAnsi="宋体" w:eastAsia="宋体" w:cs="宋体"/>
        </w:rPr>
        <w:t>当使用 PNP 接线时， 24v 接正极，GND 接负极，Common in 端负极，Int0 接信号线。</w:t>
      </w:r>
    </w:p>
    <w:p w14:paraId="434D8FC0">
      <w:pPr>
        <w:pStyle w:val="17"/>
        <w:spacing w:line="360" w:lineRule="auto"/>
        <w:rPr>
          <w:rFonts w:hint="eastAsia" w:ascii="宋体" w:hAnsi="宋体" w:eastAsia="宋体" w:cs="宋体"/>
        </w:rPr>
      </w:pPr>
      <w:r>
        <w:rPr>
          <w:rFonts w:hint="eastAsia" w:ascii="宋体" w:hAnsi="宋体" w:eastAsia="宋体" w:cs="宋体"/>
        </w:rPr>
        <w:t>使用NPN 接线时,Common in 接正极。</w:t>
      </w:r>
    </w:p>
    <w:p w14:paraId="1938CB12">
      <w:pPr>
        <w:pStyle w:val="17"/>
        <w:spacing w:line="360" w:lineRule="auto"/>
        <w:rPr>
          <w:rFonts w:hint="eastAsia" w:ascii="宋体" w:hAnsi="宋体" w:eastAsia="宋体" w:cs="宋体"/>
        </w:rPr>
      </w:pPr>
      <w:r>
        <w:rPr>
          <w:rFonts w:hint="eastAsia" w:ascii="宋体" w:hAnsi="宋体" w:eastAsia="宋体" w:cs="宋体"/>
        </w:rPr>
        <w:t>电源/IO 线。在读码器这端是 M12 接口，如上图可以看到，有防呆设计的缺口，在安装的时候缺口对缺口，进行安装。同时在接线完成了后，还需要，对其他没有用到的 IO 散线，每根散线，单独进行绝缘包扎处理；并且最终将其整体包扎一下。以避免其他来源的信号干扰。</w:t>
      </w:r>
    </w:p>
    <w:p w14:paraId="7D1B54DF">
      <w:pPr>
        <w:pStyle w:val="12"/>
        <w:bidi w:val="0"/>
        <w:spacing w:line="360" w:lineRule="auto"/>
        <w:rPr>
          <w:rFonts w:hint="eastAsia" w:ascii="宋体" w:hAnsi="宋体" w:eastAsia="宋体" w:cs="宋体"/>
        </w:rPr>
      </w:pPr>
      <w:bookmarkStart w:id="171" w:name="_Toc157765679"/>
      <w:bookmarkStart w:id="172" w:name="_Toc559353273"/>
      <w:r>
        <w:rPr>
          <w:rFonts w:hint="eastAsia" w:ascii="宋体" w:hAnsi="宋体" w:eastAsia="宋体" w:cs="宋体"/>
        </w:rPr>
        <w:t>读码器安装</w:t>
      </w:r>
      <w:bookmarkEnd w:id="171"/>
      <w:bookmarkEnd w:id="172"/>
    </w:p>
    <w:p w14:paraId="6866784F">
      <w:pPr>
        <w:pStyle w:val="17"/>
        <w:spacing w:line="360" w:lineRule="auto"/>
        <w:rPr>
          <w:rFonts w:hint="eastAsia" w:ascii="宋体" w:hAnsi="宋体" w:eastAsia="宋体" w:cs="宋体"/>
        </w:rPr>
      </w:pPr>
      <w:r>
        <w:rPr>
          <w:rFonts w:hint="eastAsia" w:ascii="宋体" w:hAnsi="宋体" w:eastAsia="宋体" w:cs="宋体"/>
        </w:rPr>
        <w:t>将读码器安装到支架上时，需要确保视野的长边以及码的运动方向，需要平行于读码器的长边。同时读码器正对码的姿态，最好再水平倾斜 15 度角，以便我们能一次性获得最好的视野范围与画面效果。在调试的时候，可以打开瞄准器对准码。</w:t>
      </w:r>
    </w:p>
    <w:p w14:paraId="1448DE28">
      <w:pPr>
        <w:pStyle w:val="17"/>
        <w:spacing w:line="360" w:lineRule="auto"/>
        <w:rPr>
          <w:rFonts w:hint="eastAsia" w:ascii="宋体" w:hAnsi="宋体" w:eastAsia="宋体" w:cs="宋体"/>
        </w:rPr>
      </w:pPr>
    </w:p>
    <w:p w14:paraId="5F798E35">
      <w:pPr>
        <w:pStyle w:val="17"/>
        <w:spacing w:line="360" w:lineRule="auto"/>
        <w:rPr>
          <w:rFonts w:hint="eastAsia" w:ascii="宋体" w:hAnsi="宋体" w:eastAsia="宋体" w:cs="宋体"/>
        </w:rPr>
      </w:pPr>
      <w:r>
        <w:rPr>
          <w:rFonts w:hint="eastAsia" w:ascii="宋体" w:hAnsi="宋体" w:eastAsia="宋体" w:cs="宋体"/>
        </w:rPr>
        <w:drawing>
          <wp:inline distT="0" distB="0" distL="0" distR="0">
            <wp:extent cx="5278755" cy="2265680"/>
            <wp:effectExtent l="0" t="0" r="17145" b="1270"/>
            <wp:docPr id="1163683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83753" name="图片 1"/>
                    <pic:cNvPicPr>
                      <a:picLocks noChangeAspect="1"/>
                    </pic:cNvPicPr>
                  </pic:nvPicPr>
                  <pic:blipFill>
                    <a:blip r:embed="rId66"/>
                    <a:stretch>
                      <a:fillRect/>
                    </a:stretch>
                  </pic:blipFill>
                  <pic:spPr>
                    <a:xfrm>
                      <a:off x="0" y="0"/>
                      <a:ext cx="5278755" cy="2265680"/>
                    </a:xfrm>
                    <a:prstGeom prst="rect">
                      <a:avLst/>
                    </a:prstGeom>
                  </pic:spPr>
                </pic:pic>
              </a:graphicData>
            </a:graphic>
          </wp:inline>
        </w:drawing>
      </w:r>
    </w:p>
    <w:p w14:paraId="361BBBE9">
      <w:pPr>
        <w:pStyle w:val="17"/>
        <w:spacing w:line="360" w:lineRule="auto"/>
        <w:rPr>
          <w:rFonts w:hint="eastAsia" w:ascii="宋体" w:hAnsi="宋体" w:eastAsia="宋体" w:cs="宋体"/>
        </w:rPr>
      </w:pPr>
      <w:r>
        <w:rPr>
          <w:rFonts w:hint="eastAsia" w:ascii="宋体" w:hAnsi="宋体" w:eastAsia="宋体" w:cs="宋体"/>
        </w:rPr>
        <w:t>如图，这是为了一定程度上与 HPIL 光源的偏振部分配合，以更好的实现画面中反光特征的消除。</w:t>
      </w:r>
    </w:p>
    <w:p w14:paraId="615DD683">
      <w:pPr>
        <w:pStyle w:val="17"/>
        <w:spacing w:line="360" w:lineRule="auto"/>
        <w:rPr>
          <w:rFonts w:hint="eastAsia" w:ascii="宋体" w:hAnsi="宋体" w:eastAsia="宋体" w:cs="宋体"/>
        </w:rPr>
      </w:pPr>
      <w:r>
        <w:rPr>
          <w:rFonts w:hint="eastAsia" w:ascii="宋体" w:hAnsi="宋体" w:eastAsia="宋体" w:cs="宋体"/>
        </w:rPr>
        <w:t>二维码位置调整：二维码最好出现在读码器视野上、下、左、右均居中的位置。</w:t>
      </w:r>
    </w:p>
    <w:p w14:paraId="246898A0">
      <w:pPr>
        <w:pStyle w:val="17"/>
        <w:spacing w:line="360" w:lineRule="auto"/>
        <w:rPr>
          <w:rFonts w:hint="eastAsia" w:ascii="宋体" w:hAnsi="宋体" w:eastAsia="宋体" w:cs="宋体"/>
        </w:rPr>
      </w:pPr>
      <w:r>
        <w:rPr>
          <w:rFonts w:hint="eastAsia" w:ascii="宋体" w:hAnsi="宋体" w:eastAsia="宋体" w:cs="宋体"/>
        </w:rPr>
        <w:drawing>
          <wp:inline distT="0" distB="0" distL="114300" distR="114300">
            <wp:extent cx="4983480" cy="3524885"/>
            <wp:effectExtent l="0" t="0" r="7620" b="18415"/>
            <wp:docPr id="960953278" name="图片 96095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53278" name="图片 960953278"/>
                    <pic:cNvPicPr>
                      <a:picLocks noChangeAspect="1"/>
                    </pic:cNvPicPr>
                  </pic:nvPicPr>
                  <pic:blipFill>
                    <a:blip r:embed="rId67"/>
                    <a:stretch>
                      <a:fillRect/>
                    </a:stretch>
                  </pic:blipFill>
                  <pic:spPr>
                    <a:xfrm>
                      <a:off x="0" y="0"/>
                      <a:ext cx="4983480" cy="3524885"/>
                    </a:xfrm>
                    <a:prstGeom prst="rect">
                      <a:avLst/>
                    </a:prstGeom>
                    <a:noFill/>
                    <a:ln>
                      <a:noFill/>
                    </a:ln>
                  </pic:spPr>
                </pic:pic>
              </a:graphicData>
            </a:graphic>
          </wp:inline>
        </w:drawing>
      </w:r>
    </w:p>
    <w:p w14:paraId="24B09B3A">
      <w:pPr>
        <w:pStyle w:val="17"/>
        <w:spacing w:line="360" w:lineRule="auto"/>
        <w:rPr>
          <w:rFonts w:hint="eastAsia" w:ascii="宋体" w:hAnsi="宋体" w:eastAsia="宋体" w:cs="宋体"/>
        </w:rPr>
      </w:pPr>
      <w:r>
        <w:rPr>
          <w:rFonts w:hint="eastAsia" w:ascii="宋体" w:hAnsi="宋体" w:eastAsia="宋体" w:cs="宋体"/>
        </w:rPr>
        <w:t>电源线和网线安装时注意线缆的防呆涉缺口和读码器上的缺口对准后，慢慢拧紧。</w:t>
      </w:r>
    </w:p>
    <w:p w14:paraId="274FB315">
      <w:pPr>
        <w:pStyle w:val="17"/>
        <w:spacing w:line="360" w:lineRule="auto"/>
        <w:rPr>
          <w:rFonts w:hint="eastAsia" w:ascii="宋体" w:hAnsi="宋体" w:eastAsia="宋体" w:cs="宋体"/>
        </w:rPr>
      </w:pPr>
      <w:r>
        <w:rPr>
          <w:rFonts w:hint="eastAsia" w:ascii="宋体" w:hAnsi="宋体" w:eastAsia="宋体" w:cs="宋体"/>
        </w:rPr>
        <w:t>读码器固定在支架上时需使用两颗M3*10的内六角螺丝加弹片垫片后呈对角线紧固至读码器底座上。</w:t>
      </w:r>
    </w:p>
    <w:p w14:paraId="47E88AD7">
      <w:pPr>
        <w:pStyle w:val="12"/>
        <w:bidi w:val="0"/>
        <w:spacing w:line="360" w:lineRule="auto"/>
        <w:rPr>
          <w:rFonts w:hint="eastAsia" w:ascii="宋体" w:hAnsi="宋体" w:eastAsia="宋体" w:cs="宋体"/>
        </w:rPr>
      </w:pPr>
      <w:bookmarkStart w:id="173" w:name="_Toc157765680"/>
      <w:bookmarkStart w:id="174" w:name="_Toc2043435531"/>
      <w:r>
        <w:rPr>
          <w:rFonts w:hint="eastAsia" w:ascii="宋体" w:hAnsi="宋体" w:eastAsia="宋体" w:cs="宋体"/>
        </w:rPr>
        <w:t>读码器调试</w:t>
      </w:r>
      <w:bookmarkEnd w:id="173"/>
      <w:bookmarkEnd w:id="174"/>
    </w:p>
    <w:p w14:paraId="37E6A455">
      <w:pPr>
        <w:pStyle w:val="13"/>
        <w:bidi w:val="0"/>
        <w:spacing w:line="360" w:lineRule="auto"/>
        <w:rPr>
          <w:rFonts w:hint="eastAsia" w:ascii="宋体" w:hAnsi="宋体" w:eastAsia="宋体" w:cs="宋体"/>
        </w:rPr>
      </w:pPr>
      <w:bookmarkStart w:id="175" w:name="_Toc157765681"/>
      <w:r>
        <w:rPr>
          <w:rFonts w:hint="eastAsia" w:ascii="宋体" w:hAnsi="宋体" w:eastAsia="宋体" w:cs="宋体"/>
        </w:rPr>
        <w:t>调试软件</w:t>
      </w:r>
      <w:bookmarkEnd w:id="175"/>
    </w:p>
    <w:p w14:paraId="60922457">
      <w:pPr>
        <w:pStyle w:val="17"/>
        <w:spacing w:line="360" w:lineRule="auto"/>
        <w:rPr>
          <w:rFonts w:hint="eastAsia" w:ascii="宋体" w:hAnsi="宋体" w:eastAsia="宋体" w:cs="宋体"/>
        </w:rPr>
      </w:pPr>
      <w:r>
        <w:rPr>
          <w:rFonts w:hint="eastAsia" w:ascii="宋体" w:hAnsi="宋体" w:eastAsia="宋体" w:cs="宋体"/>
        </w:rPr>
        <w:t xml:space="preserve"> DataMan Setup Tool 23.2.2 版本软件用于连接读码器进行调试工作。</w:t>
      </w:r>
    </w:p>
    <w:p w14:paraId="55BDD8C3">
      <w:pPr>
        <w:pStyle w:val="17"/>
        <w:spacing w:line="360" w:lineRule="auto"/>
        <w:rPr>
          <w:rFonts w:hint="eastAsia" w:ascii="宋体" w:hAnsi="宋体" w:eastAsia="宋体" w:cs="宋体"/>
        </w:rPr>
      </w:pPr>
      <w:r>
        <w:rPr>
          <w:rFonts w:hint="eastAsia" w:ascii="宋体" w:hAnsi="宋体" w:eastAsia="宋体" w:cs="宋体"/>
        </w:rPr>
        <w:t xml:space="preserve">➢ 电脑硬件最低要求： </w:t>
      </w:r>
    </w:p>
    <w:p w14:paraId="524A7CDC">
      <w:pPr>
        <w:pStyle w:val="17"/>
        <w:spacing w:line="360" w:lineRule="auto"/>
        <w:rPr>
          <w:rFonts w:hint="eastAsia" w:ascii="宋体" w:hAnsi="宋体" w:eastAsia="宋体" w:cs="宋体"/>
        </w:rPr>
      </w:pPr>
      <w:r>
        <w:rPr>
          <w:rFonts w:hint="eastAsia" w:ascii="宋体" w:hAnsi="宋体" w:eastAsia="宋体" w:cs="宋体"/>
        </w:rPr>
        <w:t xml:space="preserve">内存大于：2G ；硬盘可用空间大于 3G ；支持.NET Framework 4.7.2 或者 </w:t>
      </w:r>
    </w:p>
    <w:p w14:paraId="6CE1FD7E">
      <w:pPr>
        <w:pStyle w:val="17"/>
        <w:spacing w:line="360" w:lineRule="auto"/>
        <w:rPr>
          <w:rFonts w:hint="eastAsia" w:ascii="宋体" w:hAnsi="宋体" w:eastAsia="宋体" w:cs="宋体"/>
        </w:rPr>
      </w:pPr>
      <w:r>
        <w:rPr>
          <w:rFonts w:hint="eastAsia" w:ascii="宋体" w:hAnsi="宋体" w:eastAsia="宋体" w:cs="宋体"/>
        </w:rPr>
        <w:t xml:space="preserve">更高版本安装。 </w:t>
      </w:r>
    </w:p>
    <w:p w14:paraId="257980CF">
      <w:pPr>
        <w:pStyle w:val="17"/>
        <w:spacing w:line="360" w:lineRule="auto"/>
        <w:rPr>
          <w:rFonts w:hint="eastAsia" w:ascii="宋体" w:hAnsi="宋体" w:eastAsia="宋体" w:cs="宋体"/>
        </w:rPr>
      </w:pPr>
      <w:r>
        <w:rPr>
          <w:rFonts w:hint="eastAsia" w:ascii="宋体" w:hAnsi="宋体" w:eastAsia="宋体" w:cs="宋体"/>
        </w:rPr>
        <w:t xml:space="preserve">➢ 操作系统要求： </w:t>
      </w:r>
    </w:p>
    <w:p w14:paraId="028A9395">
      <w:pPr>
        <w:pStyle w:val="17"/>
        <w:spacing w:line="360" w:lineRule="auto"/>
        <w:rPr>
          <w:rFonts w:hint="eastAsia" w:ascii="宋体" w:hAnsi="宋体" w:eastAsia="宋体" w:cs="宋体"/>
        </w:rPr>
      </w:pPr>
      <w:r>
        <w:rPr>
          <w:rFonts w:hint="eastAsia" w:ascii="宋体" w:hAnsi="宋体" w:eastAsia="宋体" w:cs="宋体"/>
        </w:rPr>
        <w:t xml:space="preserve">Microsoft Windows 7 Service Pack 1， 32 位和 64 位。 </w:t>
      </w:r>
    </w:p>
    <w:p w14:paraId="054D5CCE">
      <w:pPr>
        <w:pStyle w:val="17"/>
        <w:spacing w:line="360" w:lineRule="auto"/>
        <w:rPr>
          <w:rFonts w:hint="eastAsia" w:ascii="宋体" w:hAnsi="宋体" w:eastAsia="宋体" w:cs="宋体"/>
        </w:rPr>
      </w:pPr>
      <w:r>
        <w:rPr>
          <w:rFonts w:hint="eastAsia" w:ascii="宋体" w:hAnsi="宋体" w:eastAsia="宋体" w:cs="宋体"/>
        </w:rPr>
        <w:t>Microsoft Windows 10，32 位和 64 位。</w:t>
      </w:r>
    </w:p>
    <w:p w14:paraId="1FEB32A7">
      <w:pPr>
        <w:pStyle w:val="17"/>
        <w:spacing w:line="360" w:lineRule="auto"/>
        <w:rPr>
          <w:rFonts w:hint="eastAsia" w:ascii="宋体" w:hAnsi="宋体" w:eastAsia="宋体" w:cs="宋体"/>
        </w:rPr>
      </w:pPr>
      <w:r>
        <w:rPr>
          <w:rFonts w:hint="eastAsia" w:ascii="宋体" w:hAnsi="宋体" w:eastAsia="宋体" w:cs="宋体"/>
        </w:rPr>
        <w:t>安装软件时，请使用软件安装包。不要从已经安装电脑的安装目录下拷贝后直接打开。</w:t>
      </w:r>
    </w:p>
    <w:p w14:paraId="6439DE3F">
      <w:pPr>
        <w:pStyle w:val="13"/>
        <w:bidi w:val="0"/>
        <w:spacing w:line="360" w:lineRule="auto"/>
        <w:rPr>
          <w:rFonts w:hint="eastAsia" w:ascii="宋体" w:hAnsi="宋体" w:eastAsia="宋体" w:cs="宋体"/>
        </w:rPr>
      </w:pPr>
      <w:bookmarkStart w:id="176" w:name="_Toc157765682"/>
      <w:r>
        <w:rPr>
          <w:rFonts w:hint="eastAsia" w:ascii="宋体" w:hAnsi="宋体" w:eastAsia="宋体" w:cs="宋体"/>
        </w:rPr>
        <w:t>固件升级</w:t>
      </w:r>
      <w:bookmarkEnd w:id="176"/>
    </w:p>
    <w:p w14:paraId="0E8748E8">
      <w:pPr>
        <w:pStyle w:val="17"/>
        <w:spacing w:line="360" w:lineRule="auto"/>
        <w:rPr>
          <w:rFonts w:hint="eastAsia" w:ascii="宋体" w:hAnsi="宋体" w:eastAsia="宋体" w:cs="宋体"/>
        </w:rPr>
      </w:pPr>
      <w:r>
        <w:rPr>
          <w:rFonts w:hint="eastAsia" w:ascii="宋体" w:hAnsi="宋体" w:eastAsia="宋体" w:cs="宋体"/>
        </w:rPr>
        <w:t xml:space="preserve">当我们安装好 23.2.2 版本的读码器设置软件自带DM374 最新版本的固件-6.1.14 SR1。步骤如下： </w:t>
      </w:r>
    </w:p>
    <w:p w14:paraId="1AB72D59">
      <w:pPr>
        <w:pStyle w:val="17"/>
        <w:spacing w:line="360" w:lineRule="auto"/>
        <w:ind w:firstLine="0"/>
        <w:rPr>
          <w:rFonts w:hint="eastAsia" w:ascii="宋体" w:hAnsi="宋体" w:eastAsia="宋体" w:cs="宋体"/>
        </w:rPr>
      </w:pPr>
      <w:r>
        <w:rPr>
          <w:rFonts w:hint="eastAsia" w:ascii="宋体" w:hAnsi="宋体" w:eastAsia="宋体" w:cs="宋体"/>
        </w:rPr>
        <w:t xml:space="preserve">1.在主页的右侧边栏中，找到“更新固件”。 </w:t>
      </w:r>
    </w:p>
    <w:p w14:paraId="650405F2">
      <w:pPr>
        <w:pStyle w:val="17"/>
        <w:spacing w:line="360" w:lineRule="auto"/>
        <w:ind w:firstLine="0"/>
        <w:rPr>
          <w:rFonts w:hint="eastAsia" w:ascii="宋体" w:hAnsi="宋体" w:eastAsia="宋体" w:cs="宋体"/>
        </w:rPr>
      </w:pPr>
      <w:r>
        <w:rPr>
          <w:rFonts w:hint="eastAsia" w:ascii="宋体" w:hAnsi="宋体" w:eastAsia="宋体" w:cs="宋体"/>
        </w:rPr>
        <w:t xml:space="preserve">2. 单击右上角的文件选择按钮，在弹出的文件框中选择对应的固件文件。 </w:t>
      </w:r>
    </w:p>
    <w:p w14:paraId="0266DE88">
      <w:pPr>
        <w:pStyle w:val="17"/>
        <w:spacing w:line="360" w:lineRule="auto"/>
        <w:ind w:firstLine="0"/>
        <w:rPr>
          <w:rFonts w:hint="eastAsia" w:ascii="宋体" w:hAnsi="宋体" w:eastAsia="宋体" w:cs="宋体"/>
        </w:rPr>
      </w:pPr>
      <w:r>
        <w:rPr>
          <w:rFonts w:hint="eastAsia" w:ascii="宋体" w:hAnsi="宋体" w:eastAsia="宋体" w:cs="宋体"/>
        </w:rPr>
        <w:t xml:space="preserve">3. 然后在设备列表中，Control+设备。按住 Ctrl 键，然后依次单击选中需要更新的设备。 </w:t>
      </w:r>
    </w:p>
    <w:p w14:paraId="12F03DFD">
      <w:pPr>
        <w:pStyle w:val="17"/>
        <w:spacing w:line="360" w:lineRule="auto"/>
        <w:ind w:firstLine="0"/>
        <w:rPr>
          <w:rFonts w:hint="eastAsia" w:ascii="宋体" w:hAnsi="宋体" w:eastAsia="宋体" w:cs="宋体"/>
        </w:rPr>
      </w:pPr>
      <w:r>
        <w:rPr>
          <w:rFonts w:hint="eastAsia" w:ascii="宋体" w:hAnsi="宋体" w:eastAsia="宋体" w:cs="宋体"/>
        </w:rPr>
        <w:t>4. 最后点击上传固件按钮，在弹出框中点击“是”，待进度条走完，完成固件更新。</w:t>
      </w:r>
    </w:p>
    <w:p w14:paraId="39256EF8">
      <w:pPr>
        <w:pStyle w:val="17"/>
        <w:spacing w:line="360" w:lineRule="auto"/>
        <w:ind w:left="0" w:leftChars="0" w:firstLine="0" w:firstLineChars="0"/>
        <w:rPr>
          <w:rFonts w:hint="eastAsia" w:ascii="宋体" w:hAnsi="宋体" w:eastAsia="宋体" w:cs="宋体"/>
        </w:rPr>
      </w:pPr>
      <w:r>
        <w:rPr>
          <w:rFonts w:hint="eastAsia" w:ascii="宋体" w:hAnsi="宋体" w:eastAsia="宋体" w:cs="宋体"/>
        </w:rPr>
        <w:drawing>
          <wp:inline distT="0" distB="0" distL="0" distR="0">
            <wp:extent cx="5278755" cy="2811145"/>
            <wp:effectExtent l="0" t="0" r="17145" b="8255"/>
            <wp:docPr id="569238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38747" name="图片 1"/>
                    <pic:cNvPicPr>
                      <a:picLocks noChangeAspect="1"/>
                    </pic:cNvPicPr>
                  </pic:nvPicPr>
                  <pic:blipFill>
                    <a:blip r:embed="rId68"/>
                    <a:stretch>
                      <a:fillRect/>
                    </a:stretch>
                  </pic:blipFill>
                  <pic:spPr>
                    <a:xfrm>
                      <a:off x="0" y="0"/>
                      <a:ext cx="5278755" cy="2811145"/>
                    </a:xfrm>
                    <a:prstGeom prst="rect">
                      <a:avLst/>
                    </a:prstGeom>
                  </pic:spPr>
                </pic:pic>
              </a:graphicData>
            </a:graphic>
          </wp:inline>
        </w:drawing>
      </w:r>
    </w:p>
    <w:p w14:paraId="2E8BC177">
      <w:pPr>
        <w:pStyle w:val="17"/>
        <w:spacing w:line="360" w:lineRule="auto"/>
        <w:ind w:left="0" w:leftChars="0" w:firstLine="0" w:firstLineChars="0"/>
        <w:rPr>
          <w:rFonts w:hint="eastAsia" w:ascii="宋体" w:hAnsi="宋体" w:eastAsia="宋体" w:cs="宋体"/>
        </w:rPr>
      </w:pPr>
      <w:r>
        <w:rPr>
          <w:rFonts w:hint="eastAsia" w:ascii="宋体" w:hAnsi="宋体" w:eastAsia="宋体" w:cs="宋体"/>
        </w:rPr>
        <w:drawing>
          <wp:inline distT="0" distB="0" distL="0" distR="0">
            <wp:extent cx="5278755" cy="2249805"/>
            <wp:effectExtent l="0" t="0" r="17145" b="17145"/>
            <wp:docPr id="141994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4996" name="图片 1"/>
                    <pic:cNvPicPr>
                      <a:picLocks noChangeAspect="1"/>
                    </pic:cNvPicPr>
                  </pic:nvPicPr>
                  <pic:blipFill>
                    <a:blip r:embed="rId69"/>
                    <a:stretch>
                      <a:fillRect/>
                    </a:stretch>
                  </pic:blipFill>
                  <pic:spPr>
                    <a:xfrm>
                      <a:off x="0" y="0"/>
                      <a:ext cx="5278755" cy="2249805"/>
                    </a:xfrm>
                    <a:prstGeom prst="rect">
                      <a:avLst/>
                    </a:prstGeom>
                  </pic:spPr>
                </pic:pic>
              </a:graphicData>
            </a:graphic>
          </wp:inline>
        </w:drawing>
      </w:r>
    </w:p>
    <w:p w14:paraId="689C45D3">
      <w:pPr>
        <w:pStyle w:val="13"/>
        <w:bidi w:val="0"/>
        <w:spacing w:line="360" w:lineRule="auto"/>
        <w:rPr>
          <w:rFonts w:hint="eastAsia" w:ascii="宋体" w:hAnsi="宋体" w:eastAsia="宋体" w:cs="宋体"/>
        </w:rPr>
      </w:pPr>
      <w:bookmarkStart w:id="177" w:name="_Toc157765683"/>
      <w:r>
        <w:rPr>
          <w:rFonts w:hint="eastAsia" w:ascii="宋体" w:hAnsi="宋体" w:eastAsia="宋体" w:cs="宋体"/>
        </w:rPr>
        <w:t>读码器命名</w:t>
      </w:r>
      <w:bookmarkEnd w:id="177"/>
    </w:p>
    <w:p w14:paraId="20E7594A">
      <w:pPr>
        <w:pStyle w:val="17"/>
        <w:spacing w:line="360" w:lineRule="auto"/>
        <w:rPr>
          <w:rFonts w:hint="eastAsia" w:ascii="宋体" w:hAnsi="宋体" w:eastAsia="宋体" w:cs="宋体"/>
        </w:rPr>
      </w:pPr>
      <w:r>
        <w:rPr>
          <w:rFonts w:hint="eastAsia" w:ascii="宋体" w:hAnsi="宋体" w:eastAsia="宋体" w:cs="宋体"/>
        </w:rPr>
        <w:t>为了便于读码器调试以及后期运维工作，需对读码器名字和IP地址进行统一规范要求。</w:t>
      </w:r>
    </w:p>
    <w:p w14:paraId="0B6E10B2">
      <w:pPr>
        <w:pStyle w:val="17"/>
        <w:spacing w:line="360" w:lineRule="auto"/>
        <w:rPr>
          <w:rFonts w:hint="eastAsia" w:ascii="宋体" w:hAnsi="宋体" w:eastAsia="宋体" w:cs="宋体"/>
        </w:rPr>
      </w:pPr>
      <w:r>
        <w:rPr>
          <w:rFonts w:hint="eastAsia" w:ascii="宋体" w:hAnsi="宋体" w:eastAsia="宋体" w:cs="宋体"/>
        </w:rPr>
        <w:t>包装机：</w:t>
      </w:r>
    </w:p>
    <w:tbl>
      <w:tblPr>
        <w:tblStyle w:val="43"/>
        <w:tblW w:w="5000" w:type="pct"/>
        <w:tblInd w:w="0" w:type="dxa"/>
        <w:tblLayout w:type="autofit"/>
        <w:tblCellMar>
          <w:top w:w="0" w:type="dxa"/>
          <w:left w:w="108" w:type="dxa"/>
          <w:bottom w:w="0" w:type="dxa"/>
          <w:right w:w="108" w:type="dxa"/>
        </w:tblCellMar>
      </w:tblPr>
      <w:tblGrid>
        <w:gridCol w:w="3918"/>
        <w:gridCol w:w="2492"/>
        <w:gridCol w:w="2876"/>
      </w:tblGrid>
      <w:tr w14:paraId="7E7FF58B">
        <w:tblPrEx>
          <w:tblCellMar>
            <w:top w:w="0" w:type="dxa"/>
            <w:left w:w="108" w:type="dxa"/>
            <w:bottom w:w="0" w:type="dxa"/>
            <w:right w:w="108" w:type="dxa"/>
          </w:tblCellMar>
        </w:tblPrEx>
        <w:trPr>
          <w:trHeight w:val="280" w:hRule="atLeast"/>
        </w:trPr>
        <w:tc>
          <w:tcPr>
            <w:tcW w:w="2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B76A6">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工位名称</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3D820">
            <w:pPr>
              <w:spacing w:line="360" w:lineRule="auto"/>
              <w:jc w:val="center"/>
              <w:rPr>
                <w:rFonts w:hint="eastAsia" w:ascii="宋体" w:hAnsi="宋体" w:eastAsia="宋体" w:cs="宋体"/>
                <w:sz w:val="22"/>
                <w:szCs w:val="22"/>
              </w:rPr>
            </w:pPr>
            <w:r>
              <w:rPr>
                <w:rFonts w:hint="eastAsia" w:ascii="宋体" w:hAnsi="宋体" w:eastAsia="宋体" w:cs="宋体"/>
                <w:sz w:val="22"/>
                <w:szCs w:val="22"/>
              </w:rPr>
              <w:t>读码器名称</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FB707">
            <w:pPr>
              <w:spacing w:line="360" w:lineRule="auto"/>
              <w:jc w:val="center"/>
              <w:rPr>
                <w:rFonts w:hint="eastAsia" w:ascii="宋体" w:hAnsi="宋体" w:eastAsia="宋体" w:cs="宋体"/>
                <w:sz w:val="22"/>
                <w:szCs w:val="22"/>
              </w:rPr>
            </w:pPr>
            <w:r>
              <w:rPr>
                <w:rFonts w:hint="eastAsia" w:ascii="宋体" w:hAnsi="宋体" w:eastAsia="宋体" w:cs="宋体"/>
                <w:sz w:val="22"/>
                <w:szCs w:val="22"/>
              </w:rPr>
              <w:t>IP地址</w:t>
            </w:r>
          </w:p>
        </w:tc>
      </w:tr>
      <w:tr w14:paraId="1C0D6FB2">
        <w:tblPrEx>
          <w:tblCellMar>
            <w:top w:w="0" w:type="dxa"/>
            <w:left w:w="108" w:type="dxa"/>
            <w:bottom w:w="0" w:type="dxa"/>
            <w:right w:w="108" w:type="dxa"/>
          </w:tblCellMar>
        </w:tblPrEx>
        <w:trPr>
          <w:trHeight w:val="280" w:hRule="atLeast"/>
        </w:trPr>
        <w:tc>
          <w:tcPr>
            <w:tcW w:w="2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423BB">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品检工位</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07F0E">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DM1</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6A776">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192.168.0.10</w:t>
            </w:r>
          </w:p>
        </w:tc>
      </w:tr>
      <w:tr w14:paraId="47E1BE2D">
        <w:tblPrEx>
          <w:tblCellMar>
            <w:top w:w="0" w:type="dxa"/>
            <w:left w:w="108" w:type="dxa"/>
            <w:bottom w:w="0" w:type="dxa"/>
            <w:right w:w="108" w:type="dxa"/>
          </w:tblCellMar>
        </w:tblPrEx>
        <w:trPr>
          <w:trHeight w:val="280" w:hRule="atLeast"/>
        </w:trPr>
        <w:tc>
          <w:tcPr>
            <w:tcW w:w="2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3351F">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双包读码工位</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CD328">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DM2</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49FF0">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192.168.0.20</w:t>
            </w:r>
          </w:p>
        </w:tc>
      </w:tr>
      <w:tr w14:paraId="627F53E5">
        <w:tblPrEx>
          <w:tblCellMar>
            <w:top w:w="0" w:type="dxa"/>
            <w:left w:w="108" w:type="dxa"/>
            <w:bottom w:w="0" w:type="dxa"/>
            <w:right w:w="108" w:type="dxa"/>
          </w:tblCellMar>
        </w:tblPrEx>
        <w:trPr>
          <w:trHeight w:val="280" w:hRule="atLeast"/>
        </w:trPr>
        <w:tc>
          <w:tcPr>
            <w:tcW w:w="2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EEAC9">
            <w:pPr>
              <w:spacing w:line="360" w:lineRule="auto"/>
              <w:jc w:val="center"/>
              <w:rPr>
                <w:rFonts w:hint="eastAsia" w:ascii="宋体" w:hAnsi="宋体" w:eastAsia="宋体" w:cs="宋体"/>
                <w:sz w:val="22"/>
                <w:szCs w:val="22"/>
              </w:rPr>
            </w:pPr>
            <w:r>
              <w:rPr>
                <w:rFonts w:hint="eastAsia" w:ascii="宋体" w:hAnsi="宋体" w:eastAsia="宋体" w:cs="宋体"/>
                <w:sz w:val="22"/>
                <w:szCs w:val="22"/>
              </w:rPr>
              <w:t>盒条校验工位</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BC75E">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DM3</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FFF6D">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192.168.0.30</w:t>
            </w:r>
          </w:p>
        </w:tc>
      </w:tr>
      <w:tr w14:paraId="01915D86">
        <w:tblPrEx>
          <w:tblCellMar>
            <w:top w:w="0" w:type="dxa"/>
            <w:left w:w="108" w:type="dxa"/>
            <w:bottom w:w="0" w:type="dxa"/>
            <w:right w:w="108" w:type="dxa"/>
          </w:tblCellMar>
        </w:tblPrEx>
        <w:trPr>
          <w:trHeight w:val="280" w:hRule="atLeast"/>
        </w:trPr>
        <w:tc>
          <w:tcPr>
            <w:tcW w:w="2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91EBA">
            <w:pPr>
              <w:spacing w:line="360" w:lineRule="auto"/>
              <w:jc w:val="center"/>
              <w:rPr>
                <w:rFonts w:hint="eastAsia" w:ascii="宋体" w:hAnsi="宋体" w:eastAsia="宋体" w:cs="宋体"/>
                <w:sz w:val="22"/>
                <w:szCs w:val="22"/>
              </w:rPr>
            </w:pPr>
            <w:r>
              <w:rPr>
                <w:rFonts w:hint="eastAsia" w:ascii="宋体" w:hAnsi="宋体" w:eastAsia="宋体" w:cs="宋体"/>
                <w:sz w:val="22"/>
                <w:szCs w:val="22"/>
              </w:rPr>
              <w:t>C1面条盒读码工位</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12BF8">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DM4</w:t>
            </w:r>
          </w:p>
        </w:tc>
        <w:tc>
          <w:tcPr>
            <w:tcW w:w="1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E1593">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192.168.0.40</w:t>
            </w:r>
          </w:p>
        </w:tc>
      </w:tr>
    </w:tbl>
    <w:p w14:paraId="603CA4EC">
      <w:pPr>
        <w:pStyle w:val="17"/>
        <w:spacing w:line="360" w:lineRule="auto"/>
        <w:rPr>
          <w:rFonts w:hint="eastAsia" w:ascii="宋体" w:hAnsi="宋体" w:eastAsia="宋体" w:cs="宋体"/>
        </w:rPr>
      </w:pPr>
    </w:p>
    <w:p w14:paraId="5AD0102E">
      <w:pPr>
        <w:pStyle w:val="17"/>
        <w:spacing w:line="360" w:lineRule="auto"/>
        <w:rPr>
          <w:rFonts w:hint="eastAsia" w:ascii="宋体" w:hAnsi="宋体" w:eastAsia="宋体" w:cs="宋体"/>
        </w:rPr>
      </w:pPr>
      <w:r>
        <w:rPr>
          <w:rFonts w:hint="eastAsia" w:ascii="宋体" w:hAnsi="宋体" w:eastAsia="宋体" w:cs="宋体"/>
        </w:rPr>
        <w:t>装封箱机：</w:t>
      </w:r>
    </w:p>
    <w:tbl>
      <w:tblPr>
        <w:tblStyle w:val="43"/>
        <w:tblW w:w="5000" w:type="pct"/>
        <w:tblInd w:w="0" w:type="dxa"/>
        <w:tblLayout w:type="autofit"/>
        <w:tblCellMar>
          <w:top w:w="0" w:type="dxa"/>
          <w:left w:w="108" w:type="dxa"/>
          <w:bottom w:w="0" w:type="dxa"/>
          <w:right w:w="108" w:type="dxa"/>
        </w:tblCellMar>
      </w:tblPr>
      <w:tblGrid>
        <w:gridCol w:w="4288"/>
        <w:gridCol w:w="2320"/>
        <w:gridCol w:w="2678"/>
      </w:tblGrid>
      <w:tr w14:paraId="4D14E979">
        <w:tblPrEx>
          <w:tblCellMar>
            <w:top w:w="0" w:type="dxa"/>
            <w:left w:w="108" w:type="dxa"/>
            <w:bottom w:w="0" w:type="dxa"/>
            <w:right w:w="108" w:type="dxa"/>
          </w:tblCellMar>
        </w:tblPrEx>
        <w:trPr>
          <w:trHeight w:val="280" w:hRule="atLeast"/>
        </w:trPr>
        <w:tc>
          <w:tcPr>
            <w:tcW w:w="2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45533">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工位名称</w:t>
            </w:r>
          </w:p>
        </w:tc>
        <w:tc>
          <w:tcPr>
            <w:tcW w:w="1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15189">
            <w:pPr>
              <w:spacing w:line="360" w:lineRule="auto"/>
              <w:jc w:val="center"/>
              <w:rPr>
                <w:rFonts w:hint="eastAsia" w:ascii="宋体" w:hAnsi="宋体" w:eastAsia="宋体" w:cs="宋体"/>
                <w:sz w:val="22"/>
                <w:szCs w:val="22"/>
              </w:rPr>
            </w:pPr>
            <w:r>
              <w:rPr>
                <w:rFonts w:hint="eastAsia" w:ascii="宋体" w:hAnsi="宋体" w:eastAsia="宋体" w:cs="宋体"/>
                <w:sz w:val="22"/>
                <w:szCs w:val="22"/>
              </w:rPr>
              <w:t>读码器名称</w:t>
            </w:r>
          </w:p>
        </w:tc>
        <w:tc>
          <w:tcPr>
            <w:tcW w:w="14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B88EA">
            <w:pPr>
              <w:spacing w:line="360" w:lineRule="auto"/>
              <w:jc w:val="center"/>
              <w:rPr>
                <w:rFonts w:hint="eastAsia" w:ascii="宋体" w:hAnsi="宋体" w:eastAsia="宋体" w:cs="宋体"/>
                <w:sz w:val="22"/>
                <w:szCs w:val="22"/>
              </w:rPr>
            </w:pPr>
            <w:r>
              <w:rPr>
                <w:rFonts w:hint="eastAsia" w:ascii="宋体" w:hAnsi="宋体" w:eastAsia="宋体" w:cs="宋体"/>
                <w:sz w:val="22"/>
                <w:szCs w:val="22"/>
              </w:rPr>
              <w:t>IP地址</w:t>
            </w:r>
          </w:p>
        </w:tc>
      </w:tr>
      <w:tr w14:paraId="5BBA925A">
        <w:tblPrEx>
          <w:tblCellMar>
            <w:top w:w="0" w:type="dxa"/>
            <w:left w:w="108" w:type="dxa"/>
            <w:bottom w:w="0" w:type="dxa"/>
            <w:right w:w="108" w:type="dxa"/>
          </w:tblCellMar>
        </w:tblPrEx>
        <w:trPr>
          <w:trHeight w:val="280" w:hRule="atLeast"/>
        </w:trPr>
        <w:tc>
          <w:tcPr>
            <w:tcW w:w="2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2A486">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品检工位</w:t>
            </w:r>
          </w:p>
        </w:tc>
        <w:tc>
          <w:tcPr>
            <w:tcW w:w="1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BDBF8">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DM1</w:t>
            </w:r>
          </w:p>
        </w:tc>
        <w:tc>
          <w:tcPr>
            <w:tcW w:w="14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708B4">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192.168.0.10</w:t>
            </w:r>
          </w:p>
        </w:tc>
      </w:tr>
      <w:tr w14:paraId="30528EC8">
        <w:tblPrEx>
          <w:tblCellMar>
            <w:top w:w="0" w:type="dxa"/>
            <w:left w:w="108" w:type="dxa"/>
            <w:bottom w:w="0" w:type="dxa"/>
            <w:right w:w="108" w:type="dxa"/>
          </w:tblCellMar>
        </w:tblPrEx>
        <w:trPr>
          <w:trHeight w:val="280" w:hRule="atLeast"/>
        </w:trPr>
        <w:tc>
          <w:tcPr>
            <w:tcW w:w="2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41114">
            <w:pPr>
              <w:spacing w:line="360" w:lineRule="auto"/>
              <w:jc w:val="center"/>
              <w:rPr>
                <w:rFonts w:hint="eastAsia" w:ascii="宋体" w:hAnsi="宋体" w:eastAsia="宋体" w:cs="宋体"/>
                <w:sz w:val="22"/>
                <w:szCs w:val="22"/>
              </w:rPr>
            </w:pPr>
            <w:r>
              <w:rPr>
                <w:rFonts w:hint="eastAsia" w:ascii="宋体" w:hAnsi="宋体" w:eastAsia="宋体" w:cs="宋体"/>
                <w:sz w:val="22"/>
                <w:szCs w:val="22"/>
              </w:rPr>
              <w:t>读码工位</w:t>
            </w:r>
          </w:p>
        </w:tc>
        <w:tc>
          <w:tcPr>
            <w:tcW w:w="1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EBD97">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DM2</w:t>
            </w:r>
          </w:p>
        </w:tc>
        <w:tc>
          <w:tcPr>
            <w:tcW w:w="14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6B04D">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192.168.0.20</w:t>
            </w:r>
          </w:p>
        </w:tc>
      </w:tr>
      <w:tr w14:paraId="5FEC2670">
        <w:tblPrEx>
          <w:tblCellMar>
            <w:top w:w="0" w:type="dxa"/>
            <w:left w:w="108" w:type="dxa"/>
            <w:bottom w:w="0" w:type="dxa"/>
            <w:right w:w="108" w:type="dxa"/>
          </w:tblCellMar>
        </w:tblPrEx>
        <w:trPr>
          <w:trHeight w:val="280" w:hRule="atLeast"/>
        </w:trPr>
        <w:tc>
          <w:tcPr>
            <w:tcW w:w="2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0DED3">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头部校验工位</w:t>
            </w:r>
          </w:p>
        </w:tc>
        <w:tc>
          <w:tcPr>
            <w:tcW w:w="1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137C9">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DM3</w:t>
            </w:r>
          </w:p>
        </w:tc>
        <w:tc>
          <w:tcPr>
            <w:tcW w:w="14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4AB55">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192.168.0.30</w:t>
            </w:r>
          </w:p>
        </w:tc>
      </w:tr>
      <w:tr w14:paraId="29AD646A">
        <w:tblPrEx>
          <w:tblCellMar>
            <w:top w:w="0" w:type="dxa"/>
            <w:left w:w="108" w:type="dxa"/>
            <w:bottom w:w="0" w:type="dxa"/>
            <w:right w:w="108" w:type="dxa"/>
          </w:tblCellMar>
        </w:tblPrEx>
        <w:trPr>
          <w:trHeight w:val="280" w:hRule="atLeast"/>
        </w:trPr>
        <w:tc>
          <w:tcPr>
            <w:tcW w:w="2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CFE00">
            <w:pPr>
              <w:spacing w:line="360" w:lineRule="auto"/>
              <w:jc w:val="center"/>
              <w:rPr>
                <w:rFonts w:hint="eastAsia" w:ascii="宋体" w:hAnsi="宋体" w:eastAsia="宋体" w:cs="宋体"/>
                <w:sz w:val="22"/>
                <w:szCs w:val="22"/>
              </w:rPr>
            </w:pPr>
            <w:r>
              <w:rPr>
                <w:rFonts w:hint="eastAsia" w:ascii="宋体" w:hAnsi="宋体" w:eastAsia="宋体" w:cs="宋体"/>
                <w:sz w:val="22"/>
                <w:szCs w:val="22"/>
              </w:rPr>
              <w:t>尾部校验工位</w:t>
            </w:r>
          </w:p>
        </w:tc>
        <w:tc>
          <w:tcPr>
            <w:tcW w:w="1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53DAD">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DM4</w:t>
            </w:r>
          </w:p>
        </w:tc>
        <w:tc>
          <w:tcPr>
            <w:tcW w:w="14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49FD7">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192.168.0.40</w:t>
            </w:r>
          </w:p>
        </w:tc>
      </w:tr>
      <w:tr w14:paraId="1639430F">
        <w:tblPrEx>
          <w:tblCellMar>
            <w:top w:w="0" w:type="dxa"/>
            <w:left w:w="108" w:type="dxa"/>
            <w:bottom w:w="0" w:type="dxa"/>
            <w:right w:w="108" w:type="dxa"/>
          </w:tblCellMar>
        </w:tblPrEx>
        <w:trPr>
          <w:trHeight w:val="280" w:hRule="atLeast"/>
        </w:trPr>
        <w:tc>
          <w:tcPr>
            <w:tcW w:w="2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88513">
            <w:pPr>
              <w:spacing w:line="360" w:lineRule="auto"/>
              <w:jc w:val="center"/>
              <w:rPr>
                <w:rFonts w:hint="eastAsia" w:ascii="宋体" w:hAnsi="宋体" w:eastAsia="宋体" w:cs="宋体"/>
                <w:sz w:val="22"/>
                <w:szCs w:val="22"/>
              </w:rPr>
            </w:pPr>
            <w:r>
              <w:rPr>
                <w:rFonts w:hint="eastAsia" w:ascii="宋体" w:hAnsi="宋体" w:eastAsia="宋体" w:cs="宋体"/>
                <w:sz w:val="22"/>
                <w:szCs w:val="22"/>
              </w:rPr>
              <w:t>件烟读码工位</w:t>
            </w:r>
          </w:p>
        </w:tc>
        <w:tc>
          <w:tcPr>
            <w:tcW w:w="1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00815">
            <w:pPr>
              <w:spacing w:line="360" w:lineRule="auto"/>
              <w:jc w:val="center"/>
              <w:rPr>
                <w:rFonts w:hint="eastAsia" w:ascii="宋体" w:hAnsi="宋体" w:eastAsia="宋体" w:cs="宋体"/>
                <w:sz w:val="22"/>
                <w:szCs w:val="22"/>
              </w:rPr>
            </w:pPr>
            <w:r>
              <w:rPr>
                <w:rFonts w:hint="eastAsia" w:ascii="宋体" w:hAnsi="宋体" w:eastAsia="宋体" w:cs="宋体"/>
                <w:sz w:val="22"/>
                <w:szCs w:val="22"/>
              </w:rPr>
              <w:t>DM5</w:t>
            </w:r>
          </w:p>
        </w:tc>
        <w:tc>
          <w:tcPr>
            <w:tcW w:w="14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A797">
            <w:pPr>
              <w:spacing w:line="360" w:lineRule="auto"/>
              <w:jc w:val="center"/>
              <w:rPr>
                <w:rFonts w:hint="eastAsia" w:ascii="宋体" w:hAnsi="宋体" w:eastAsia="宋体" w:cs="宋体"/>
                <w:sz w:val="22"/>
                <w:szCs w:val="22"/>
              </w:rPr>
            </w:pPr>
            <w:r>
              <w:rPr>
                <w:rFonts w:hint="eastAsia" w:ascii="宋体" w:hAnsi="宋体" w:eastAsia="宋体" w:cs="宋体"/>
                <w:sz w:val="22"/>
                <w:szCs w:val="22"/>
              </w:rPr>
              <w:t>192.168.0.50</w:t>
            </w:r>
          </w:p>
        </w:tc>
      </w:tr>
    </w:tbl>
    <w:p w14:paraId="7AC2ABEB">
      <w:pPr>
        <w:pStyle w:val="17"/>
        <w:spacing w:line="360" w:lineRule="auto"/>
        <w:rPr>
          <w:rFonts w:hint="eastAsia" w:ascii="宋体" w:hAnsi="宋体" w:eastAsia="宋体" w:cs="宋体"/>
        </w:rPr>
      </w:pPr>
    </w:p>
    <w:p w14:paraId="42EABBA5">
      <w:pPr>
        <w:pStyle w:val="12"/>
        <w:bidi w:val="0"/>
        <w:spacing w:line="360" w:lineRule="auto"/>
        <w:rPr>
          <w:rFonts w:hint="eastAsia" w:ascii="宋体" w:hAnsi="宋体" w:eastAsia="宋体" w:cs="宋体"/>
        </w:rPr>
      </w:pPr>
      <w:bookmarkStart w:id="178" w:name="_Toc97584636"/>
      <w:bookmarkStart w:id="179" w:name="_Toc157765685"/>
      <w:r>
        <w:rPr>
          <w:rFonts w:hint="eastAsia" w:ascii="宋体" w:hAnsi="宋体" w:eastAsia="宋体" w:cs="宋体"/>
        </w:rPr>
        <w:t>读码要求</w:t>
      </w:r>
      <w:bookmarkEnd w:id="178"/>
      <w:bookmarkEnd w:id="179"/>
    </w:p>
    <w:p w14:paraId="55D926D6">
      <w:pPr>
        <w:pStyle w:val="13"/>
        <w:bidi w:val="0"/>
        <w:spacing w:line="360" w:lineRule="auto"/>
        <w:rPr>
          <w:rFonts w:hint="eastAsia" w:ascii="宋体" w:hAnsi="宋体" w:eastAsia="宋体" w:cs="宋体"/>
        </w:rPr>
      </w:pPr>
      <w:r>
        <w:rPr>
          <w:rFonts w:hint="eastAsia" w:ascii="宋体" w:hAnsi="宋体" w:eastAsia="宋体" w:cs="宋体"/>
        </w:rPr>
        <w:t>二维码位置居中</w:t>
      </w:r>
    </w:p>
    <w:p w14:paraId="1A8C9748">
      <w:pPr>
        <w:pStyle w:val="17"/>
        <w:spacing w:line="360" w:lineRule="auto"/>
        <w:rPr>
          <w:rFonts w:hint="eastAsia" w:ascii="宋体" w:hAnsi="宋体" w:eastAsia="宋体" w:cs="宋体"/>
        </w:rPr>
      </w:pPr>
      <w:r>
        <w:rPr>
          <w:rFonts w:hint="eastAsia" w:ascii="宋体" w:hAnsi="宋体" w:eastAsia="宋体" w:cs="宋体"/>
        </w:rPr>
        <w:t>无论读取单码还是双码，都需要使二维码在视野里居中，与视野边缘（上下左右）保留安全距离（10mm以上）。</w:t>
      </w:r>
    </w:p>
    <w:p w14:paraId="110F3F74">
      <w:pPr>
        <w:spacing w:line="360" w:lineRule="auto"/>
        <w:rPr>
          <w:rFonts w:hint="eastAsia" w:ascii="宋体" w:hAnsi="宋体" w:eastAsia="宋体" w:cs="宋体"/>
        </w:rPr>
      </w:pPr>
      <w:r>
        <w:rPr>
          <w:rFonts w:hint="eastAsia" w:ascii="宋体" w:hAnsi="宋体" w:eastAsia="宋体" w:cs="宋体"/>
        </w:rPr>
        <w:drawing>
          <wp:inline distT="0" distB="0" distL="0" distR="0">
            <wp:extent cx="5194935" cy="3304540"/>
            <wp:effectExtent l="0" t="0" r="5715" b="10160"/>
            <wp:docPr id="89691118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11182" name="图片 5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194935" cy="3304540"/>
                    </a:xfrm>
                    <a:prstGeom prst="rect">
                      <a:avLst/>
                    </a:prstGeom>
                    <a:noFill/>
                    <a:ln>
                      <a:noFill/>
                    </a:ln>
                  </pic:spPr>
                </pic:pic>
              </a:graphicData>
            </a:graphic>
          </wp:inline>
        </w:drawing>
      </w:r>
      <w:r>
        <w:rPr>
          <w:rFonts w:hint="eastAsia" w:ascii="宋体" w:hAnsi="宋体" w:eastAsia="宋体" w:cs="宋体"/>
        </w:rPr>
        <w:t xml:space="preserve"> </w:t>
      </w:r>
    </w:p>
    <w:p w14:paraId="68D63276">
      <w:pPr>
        <w:spacing w:line="360" w:lineRule="auto"/>
        <w:rPr>
          <w:rFonts w:hint="eastAsia" w:ascii="宋体" w:hAnsi="宋体" w:eastAsia="宋体" w:cs="宋体"/>
        </w:rPr>
      </w:pPr>
      <w:r>
        <w:rPr>
          <w:rFonts w:hint="eastAsia" w:ascii="宋体" w:hAnsi="宋体" w:eastAsia="宋体" w:cs="宋体"/>
        </w:rPr>
        <w:t xml:space="preserve"> </w:t>
      </w:r>
    </w:p>
    <w:p w14:paraId="107CF02E">
      <w:pPr>
        <w:spacing w:line="360" w:lineRule="auto"/>
        <w:rPr>
          <w:rFonts w:hint="eastAsia" w:ascii="宋体" w:hAnsi="宋体" w:eastAsia="宋体" w:cs="宋体"/>
        </w:rPr>
      </w:pPr>
      <w:r>
        <w:rPr>
          <w:rFonts w:hint="eastAsia" w:ascii="宋体" w:hAnsi="宋体" w:eastAsia="宋体" w:cs="宋体"/>
        </w:rPr>
        <w:drawing>
          <wp:inline distT="0" distB="0" distL="0" distR="0">
            <wp:extent cx="5210810" cy="2874010"/>
            <wp:effectExtent l="0" t="0" r="8890" b="2540"/>
            <wp:docPr id="24023977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39771" name="图片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10810" cy="2874010"/>
                    </a:xfrm>
                    <a:prstGeom prst="rect">
                      <a:avLst/>
                    </a:prstGeom>
                    <a:noFill/>
                    <a:ln>
                      <a:noFill/>
                    </a:ln>
                  </pic:spPr>
                </pic:pic>
              </a:graphicData>
            </a:graphic>
          </wp:inline>
        </w:drawing>
      </w:r>
      <w:r>
        <w:rPr>
          <w:rFonts w:hint="eastAsia" w:ascii="宋体" w:hAnsi="宋体" w:eastAsia="宋体" w:cs="宋体"/>
        </w:rPr>
        <w:t xml:space="preserve"> </w:t>
      </w:r>
    </w:p>
    <w:p w14:paraId="003F1A46">
      <w:pPr>
        <w:spacing w:line="360" w:lineRule="auto"/>
        <w:rPr>
          <w:rFonts w:hint="eastAsia" w:ascii="宋体" w:hAnsi="宋体" w:eastAsia="宋体" w:cs="宋体"/>
        </w:rPr>
      </w:pPr>
      <w:r>
        <w:rPr>
          <w:rFonts w:hint="eastAsia" w:ascii="宋体" w:hAnsi="宋体" w:eastAsia="宋体" w:cs="宋体"/>
        </w:rPr>
        <w:t xml:space="preserve"> </w:t>
      </w:r>
    </w:p>
    <w:p w14:paraId="03D0A793">
      <w:pPr>
        <w:pStyle w:val="13"/>
        <w:bidi w:val="0"/>
        <w:spacing w:line="360" w:lineRule="auto"/>
        <w:rPr>
          <w:rFonts w:hint="eastAsia" w:ascii="宋体" w:hAnsi="宋体" w:eastAsia="宋体" w:cs="宋体"/>
        </w:rPr>
      </w:pPr>
      <w:r>
        <w:rPr>
          <w:rFonts w:hint="eastAsia" w:ascii="宋体" w:hAnsi="宋体" w:eastAsia="宋体" w:cs="宋体"/>
        </w:rPr>
        <w:t>读码无反光</w:t>
      </w:r>
    </w:p>
    <w:p w14:paraId="57541257">
      <w:pPr>
        <w:pStyle w:val="17"/>
        <w:spacing w:line="360" w:lineRule="auto"/>
        <w:rPr>
          <w:rFonts w:hint="eastAsia" w:ascii="宋体" w:hAnsi="宋体" w:eastAsia="宋体" w:cs="宋体"/>
        </w:rPr>
      </w:pPr>
      <w:r>
        <w:rPr>
          <w:rFonts w:hint="eastAsia" w:ascii="宋体" w:hAnsi="宋体" w:eastAsia="宋体" w:cs="宋体"/>
        </w:rPr>
        <w:t>二维码以及二维码四周（至少5mm以上）要保证没有反光、没有光斑。（反光、以及光斑都会导致读码器读码失败）</w:t>
      </w:r>
    </w:p>
    <w:p w14:paraId="1734E873">
      <w:pPr>
        <w:pStyle w:val="17"/>
        <w:spacing w:line="360" w:lineRule="auto"/>
        <w:rPr>
          <w:rFonts w:hint="eastAsia" w:ascii="宋体" w:hAnsi="宋体" w:eastAsia="宋体" w:cs="宋体"/>
        </w:rPr>
      </w:pPr>
      <w:r>
        <w:rPr>
          <w:rFonts w:hint="eastAsia" w:ascii="宋体" w:hAnsi="宋体" w:eastAsia="宋体" w:cs="宋体"/>
        </w:rPr>
        <w:t>当读码器与二维码呈15度夹角时，可以有效避免出现反光的问题。</w:t>
      </w:r>
    </w:p>
    <w:p w14:paraId="73A12E57">
      <w:pPr>
        <w:spacing w:line="360" w:lineRule="auto"/>
        <w:rPr>
          <w:rFonts w:hint="eastAsia" w:ascii="宋体" w:hAnsi="宋体" w:eastAsia="宋体" w:cs="宋体"/>
          <w:sz w:val="21"/>
          <w:szCs w:val="21"/>
        </w:rPr>
      </w:pPr>
      <w:r>
        <w:rPr>
          <w:rFonts w:hint="eastAsia" w:ascii="宋体" w:hAnsi="宋体" w:eastAsia="宋体" w:cs="宋体"/>
        </w:rPr>
        <w:drawing>
          <wp:inline distT="0" distB="0" distL="0" distR="0">
            <wp:extent cx="5131435" cy="2785110"/>
            <wp:effectExtent l="0" t="0" r="12065" b="15240"/>
            <wp:docPr id="18680106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10644" name="图片 4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131435" cy="2785110"/>
                    </a:xfrm>
                    <a:prstGeom prst="rect">
                      <a:avLst/>
                    </a:prstGeom>
                    <a:noFill/>
                    <a:ln>
                      <a:noFill/>
                    </a:ln>
                  </pic:spPr>
                </pic:pic>
              </a:graphicData>
            </a:graphic>
          </wp:inline>
        </w:drawing>
      </w:r>
      <w:r>
        <w:rPr>
          <w:rFonts w:hint="eastAsia" w:ascii="宋体" w:hAnsi="宋体" w:eastAsia="宋体" w:cs="宋体"/>
        </w:rPr>
        <w:t xml:space="preserve"> </w:t>
      </w:r>
    </w:p>
    <w:p w14:paraId="326D8D36">
      <w:pPr>
        <w:spacing w:line="360" w:lineRule="auto"/>
        <w:rPr>
          <w:rFonts w:hint="eastAsia" w:ascii="宋体" w:hAnsi="宋体" w:eastAsia="宋体" w:cs="宋体"/>
        </w:rPr>
      </w:pPr>
      <w:r>
        <w:rPr>
          <w:rFonts w:hint="eastAsia" w:ascii="宋体" w:hAnsi="宋体" w:eastAsia="宋体" w:cs="宋体"/>
        </w:rPr>
        <w:t>错误示例：</w:t>
      </w:r>
    </w:p>
    <w:p w14:paraId="67B31295">
      <w:pPr>
        <w:spacing w:line="360" w:lineRule="auto"/>
        <w:rPr>
          <w:rFonts w:hint="eastAsia" w:ascii="宋体" w:hAnsi="宋体" w:eastAsia="宋体" w:cs="宋体"/>
        </w:rPr>
      </w:pPr>
      <w:r>
        <w:rPr>
          <w:rFonts w:hint="eastAsia" w:ascii="宋体" w:hAnsi="宋体" w:eastAsia="宋体" w:cs="宋体"/>
        </w:rPr>
        <w:drawing>
          <wp:inline distT="0" distB="0" distL="0" distR="0">
            <wp:extent cx="5123180" cy="4010660"/>
            <wp:effectExtent l="0" t="0" r="1270" b="8890"/>
            <wp:docPr id="119326049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260499" name="图片 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123180" cy="4010660"/>
                    </a:xfrm>
                    <a:prstGeom prst="rect">
                      <a:avLst/>
                    </a:prstGeom>
                    <a:noFill/>
                    <a:ln>
                      <a:noFill/>
                    </a:ln>
                  </pic:spPr>
                </pic:pic>
              </a:graphicData>
            </a:graphic>
          </wp:inline>
        </w:drawing>
      </w:r>
      <w:r>
        <w:rPr>
          <w:rFonts w:hint="eastAsia" w:ascii="宋体" w:hAnsi="宋体" w:eastAsia="宋体" w:cs="宋体"/>
        </w:rPr>
        <w:t xml:space="preserve"> </w:t>
      </w:r>
    </w:p>
    <w:p w14:paraId="3A6544C3">
      <w:pPr>
        <w:spacing w:line="360" w:lineRule="auto"/>
        <w:rPr>
          <w:rFonts w:hint="eastAsia" w:ascii="宋体" w:hAnsi="宋体" w:eastAsia="宋体" w:cs="宋体"/>
        </w:rPr>
      </w:pPr>
      <w:r>
        <w:rPr>
          <w:rFonts w:hint="eastAsia" w:ascii="宋体" w:hAnsi="宋体" w:eastAsia="宋体" w:cs="宋体"/>
        </w:rPr>
        <w:t xml:space="preserve"> </w:t>
      </w:r>
    </w:p>
    <w:p w14:paraId="4950F2C0">
      <w:pPr>
        <w:pStyle w:val="13"/>
        <w:bidi w:val="0"/>
        <w:spacing w:line="360" w:lineRule="auto"/>
        <w:rPr>
          <w:rFonts w:hint="eastAsia" w:ascii="宋体" w:hAnsi="宋体" w:eastAsia="宋体" w:cs="宋体"/>
        </w:rPr>
      </w:pPr>
      <w:r>
        <w:rPr>
          <w:rFonts w:hint="eastAsia" w:ascii="宋体" w:hAnsi="宋体" w:eastAsia="宋体" w:cs="宋体"/>
        </w:rPr>
        <w:t>读码区域</w:t>
      </w:r>
    </w:p>
    <w:p w14:paraId="5F230CF5">
      <w:pPr>
        <w:pStyle w:val="17"/>
        <w:spacing w:line="360" w:lineRule="auto"/>
        <w:rPr>
          <w:rFonts w:hint="eastAsia" w:ascii="宋体" w:hAnsi="宋体" w:eastAsia="宋体" w:cs="宋体"/>
        </w:rPr>
      </w:pPr>
      <w:r>
        <w:rPr>
          <w:rFonts w:hint="eastAsia" w:ascii="宋体" w:hAnsi="宋体" w:eastAsia="宋体" w:cs="宋体"/>
        </w:rPr>
        <w:t>读码器视野中存在可自定义拖动大小的蓝框，读码器只会针对蓝框区域中的二维码进行解码，蓝框区域不宜过大，对于针对移动中的二维码读取可适当加大蓝框区域。</w:t>
      </w:r>
    </w:p>
    <w:p w14:paraId="30D92A5C">
      <w:pPr>
        <w:spacing w:line="360" w:lineRule="auto"/>
        <w:rPr>
          <w:rFonts w:hint="eastAsia" w:ascii="宋体" w:hAnsi="宋体" w:eastAsia="宋体" w:cs="宋体"/>
        </w:rPr>
      </w:pPr>
      <w:r>
        <w:rPr>
          <w:rFonts w:hint="eastAsia" w:ascii="宋体" w:hAnsi="宋体" w:eastAsia="宋体" w:cs="宋体"/>
        </w:rPr>
        <w:drawing>
          <wp:inline distT="0" distB="0" distL="0" distR="0">
            <wp:extent cx="5129530" cy="3629025"/>
            <wp:effectExtent l="0" t="0" r="13970" b="9525"/>
            <wp:docPr id="149496019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60199" name="图片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129530" cy="3629025"/>
                    </a:xfrm>
                    <a:prstGeom prst="rect">
                      <a:avLst/>
                    </a:prstGeom>
                    <a:noFill/>
                    <a:ln>
                      <a:noFill/>
                    </a:ln>
                  </pic:spPr>
                </pic:pic>
              </a:graphicData>
            </a:graphic>
          </wp:inline>
        </w:drawing>
      </w:r>
      <w:r>
        <w:rPr>
          <w:rFonts w:hint="eastAsia" w:ascii="宋体" w:hAnsi="宋体" w:eastAsia="宋体" w:cs="宋体"/>
        </w:rPr>
        <w:t xml:space="preserve"> </w:t>
      </w:r>
    </w:p>
    <w:p w14:paraId="4A3C5D81">
      <w:pPr>
        <w:spacing w:line="360" w:lineRule="auto"/>
        <w:rPr>
          <w:rFonts w:hint="eastAsia" w:ascii="宋体" w:hAnsi="宋体" w:eastAsia="宋体" w:cs="宋体"/>
        </w:rPr>
      </w:pPr>
      <w:r>
        <w:rPr>
          <w:rFonts w:hint="eastAsia" w:ascii="宋体" w:hAnsi="宋体" w:eastAsia="宋体" w:cs="宋体"/>
        </w:rPr>
        <w:t xml:space="preserve"> </w:t>
      </w:r>
    </w:p>
    <w:p w14:paraId="554E023C">
      <w:pPr>
        <w:spacing w:line="360" w:lineRule="auto"/>
        <w:rPr>
          <w:rFonts w:hint="eastAsia" w:ascii="宋体" w:hAnsi="宋体" w:eastAsia="宋体" w:cs="宋体"/>
        </w:rPr>
      </w:pPr>
      <w:r>
        <w:rPr>
          <w:rFonts w:hint="eastAsia" w:ascii="宋体" w:hAnsi="宋体" w:eastAsia="宋体" w:cs="宋体"/>
        </w:rPr>
        <w:t xml:space="preserve"> </w:t>
      </w:r>
    </w:p>
    <w:p w14:paraId="48E577A1">
      <w:pPr>
        <w:spacing w:line="360" w:lineRule="auto"/>
        <w:rPr>
          <w:rFonts w:hint="eastAsia" w:ascii="宋体" w:hAnsi="宋体" w:eastAsia="宋体" w:cs="宋体"/>
        </w:rPr>
      </w:pPr>
      <w:r>
        <w:rPr>
          <w:rFonts w:hint="eastAsia" w:ascii="宋体" w:hAnsi="宋体" w:eastAsia="宋体" w:cs="宋体"/>
        </w:rPr>
        <w:drawing>
          <wp:inline distT="0" distB="0" distL="0" distR="0">
            <wp:extent cx="5183505" cy="1816100"/>
            <wp:effectExtent l="0" t="0" r="17145" b="12700"/>
            <wp:docPr id="4784827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8279" name="图片 4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183505" cy="1816100"/>
                    </a:xfrm>
                    <a:prstGeom prst="rect">
                      <a:avLst/>
                    </a:prstGeom>
                    <a:noFill/>
                    <a:ln>
                      <a:noFill/>
                    </a:ln>
                  </pic:spPr>
                </pic:pic>
              </a:graphicData>
            </a:graphic>
          </wp:inline>
        </w:drawing>
      </w:r>
      <w:r>
        <w:rPr>
          <w:rFonts w:hint="eastAsia" w:ascii="宋体" w:hAnsi="宋体" w:eastAsia="宋体" w:cs="宋体"/>
        </w:rPr>
        <w:t xml:space="preserve"> </w:t>
      </w:r>
    </w:p>
    <w:p w14:paraId="10F0CA40">
      <w:pPr>
        <w:spacing w:line="360" w:lineRule="auto"/>
        <w:rPr>
          <w:rFonts w:hint="eastAsia" w:ascii="宋体" w:hAnsi="宋体" w:eastAsia="宋体" w:cs="宋体"/>
        </w:rPr>
      </w:pPr>
      <w:r>
        <w:rPr>
          <w:rFonts w:hint="eastAsia" w:ascii="宋体" w:hAnsi="宋体" w:eastAsia="宋体" w:cs="宋体"/>
        </w:rPr>
        <w:t xml:space="preserve"> </w:t>
      </w:r>
    </w:p>
    <w:p w14:paraId="6D4EF32F">
      <w:pPr>
        <w:spacing w:line="360" w:lineRule="auto"/>
        <w:rPr>
          <w:rFonts w:hint="eastAsia" w:ascii="宋体" w:hAnsi="宋体" w:eastAsia="宋体" w:cs="宋体"/>
        </w:rPr>
      </w:pPr>
      <w:r>
        <w:rPr>
          <w:rFonts w:hint="eastAsia" w:ascii="宋体" w:hAnsi="宋体" w:eastAsia="宋体" w:cs="宋体"/>
        </w:rPr>
        <w:t>错误示例：</w:t>
      </w:r>
    </w:p>
    <w:p w14:paraId="39425B84">
      <w:pPr>
        <w:spacing w:line="360" w:lineRule="auto"/>
        <w:rPr>
          <w:rFonts w:hint="eastAsia" w:ascii="宋体" w:hAnsi="宋体" w:eastAsia="宋体" w:cs="宋体"/>
        </w:rPr>
      </w:pPr>
      <w:r>
        <w:rPr>
          <w:rFonts w:hint="eastAsia" w:ascii="宋体" w:hAnsi="宋体" w:eastAsia="宋体" w:cs="宋体"/>
        </w:rPr>
        <w:drawing>
          <wp:inline distT="0" distB="0" distL="0" distR="0">
            <wp:extent cx="5245735" cy="3562985"/>
            <wp:effectExtent l="0" t="0" r="12065" b="18415"/>
            <wp:docPr id="7632299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29941" name="图片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245735" cy="3562985"/>
                    </a:xfrm>
                    <a:prstGeom prst="rect">
                      <a:avLst/>
                    </a:prstGeom>
                    <a:noFill/>
                    <a:ln>
                      <a:noFill/>
                    </a:ln>
                  </pic:spPr>
                </pic:pic>
              </a:graphicData>
            </a:graphic>
          </wp:inline>
        </w:drawing>
      </w:r>
      <w:r>
        <w:rPr>
          <w:rFonts w:hint="eastAsia" w:ascii="宋体" w:hAnsi="宋体" w:eastAsia="宋体" w:cs="宋体"/>
        </w:rPr>
        <w:t xml:space="preserve"> </w:t>
      </w:r>
    </w:p>
    <w:p w14:paraId="34BAB258">
      <w:pPr>
        <w:spacing w:line="360" w:lineRule="auto"/>
        <w:rPr>
          <w:rFonts w:hint="eastAsia" w:ascii="宋体" w:hAnsi="宋体" w:eastAsia="宋体" w:cs="宋体"/>
        </w:rPr>
      </w:pPr>
      <w:r>
        <w:rPr>
          <w:rFonts w:hint="eastAsia" w:ascii="宋体" w:hAnsi="宋体" w:eastAsia="宋体" w:cs="宋体"/>
        </w:rPr>
        <w:t xml:space="preserve"> </w:t>
      </w:r>
    </w:p>
    <w:p w14:paraId="1E1B8975">
      <w:pPr>
        <w:pStyle w:val="13"/>
        <w:bidi w:val="0"/>
        <w:spacing w:line="360" w:lineRule="auto"/>
        <w:rPr>
          <w:rFonts w:hint="eastAsia" w:ascii="宋体" w:hAnsi="宋体" w:eastAsia="宋体" w:cs="宋体"/>
        </w:rPr>
      </w:pPr>
      <w:r>
        <w:rPr>
          <w:rFonts w:hint="eastAsia" w:ascii="宋体" w:hAnsi="宋体" w:eastAsia="宋体" w:cs="宋体"/>
        </w:rPr>
        <w:t>读码质量</w:t>
      </w:r>
    </w:p>
    <w:p w14:paraId="4F71DEDD">
      <w:pPr>
        <w:pStyle w:val="17"/>
        <w:spacing w:line="360" w:lineRule="auto"/>
        <w:rPr>
          <w:rFonts w:hint="eastAsia" w:ascii="宋体" w:hAnsi="宋体" w:eastAsia="宋体" w:cs="宋体"/>
        </w:rPr>
      </w:pPr>
      <w:r>
        <w:rPr>
          <w:rFonts w:hint="eastAsia" w:ascii="宋体" w:hAnsi="宋体" w:eastAsia="宋体" w:cs="宋体"/>
        </w:rPr>
        <w:t>二维码读取需要保证二维码方正，无畸变（形变），图像清晰（焦点合适）。</w:t>
      </w:r>
    </w:p>
    <w:p w14:paraId="5CE43171">
      <w:pPr>
        <w:spacing w:line="360" w:lineRule="auto"/>
        <w:rPr>
          <w:rFonts w:hint="eastAsia" w:ascii="宋体" w:hAnsi="宋体" w:eastAsia="宋体" w:cs="宋体"/>
        </w:rPr>
      </w:pPr>
      <w:r>
        <w:rPr>
          <w:rFonts w:hint="eastAsia" w:ascii="宋体" w:hAnsi="宋体" w:eastAsia="宋体" w:cs="宋体"/>
        </w:rPr>
        <w:drawing>
          <wp:inline distT="0" distB="0" distL="0" distR="0">
            <wp:extent cx="5248910" cy="4257040"/>
            <wp:effectExtent l="0" t="0" r="8890" b="10160"/>
            <wp:docPr id="34929698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96988" name="图片 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248910" cy="4257040"/>
                    </a:xfrm>
                    <a:prstGeom prst="rect">
                      <a:avLst/>
                    </a:prstGeom>
                    <a:noFill/>
                    <a:ln>
                      <a:noFill/>
                    </a:ln>
                  </pic:spPr>
                </pic:pic>
              </a:graphicData>
            </a:graphic>
          </wp:inline>
        </w:drawing>
      </w:r>
      <w:r>
        <w:rPr>
          <w:rFonts w:hint="eastAsia" w:ascii="宋体" w:hAnsi="宋体" w:eastAsia="宋体" w:cs="宋体"/>
        </w:rPr>
        <w:t xml:space="preserve"> </w:t>
      </w:r>
    </w:p>
    <w:p w14:paraId="628FDF7F">
      <w:pPr>
        <w:spacing w:line="360" w:lineRule="auto"/>
        <w:rPr>
          <w:rFonts w:hint="eastAsia" w:ascii="宋体" w:hAnsi="宋体" w:eastAsia="宋体" w:cs="宋体"/>
        </w:rPr>
      </w:pPr>
      <w:r>
        <w:rPr>
          <w:rFonts w:hint="eastAsia" w:ascii="宋体" w:hAnsi="宋体" w:eastAsia="宋体" w:cs="宋体"/>
        </w:rPr>
        <w:t xml:space="preserve"> </w:t>
      </w:r>
    </w:p>
    <w:p w14:paraId="011DCF00">
      <w:pPr>
        <w:spacing w:line="360" w:lineRule="auto"/>
        <w:rPr>
          <w:rFonts w:hint="eastAsia" w:ascii="宋体" w:hAnsi="宋体" w:eastAsia="宋体" w:cs="宋体"/>
        </w:rPr>
      </w:pPr>
      <w:r>
        <w:rPr>
          <w:rFonts w:hint="eastAsia" w:ascii="宋体" w:hAnsi="宋体" w:eastAsia="宋体" w:cs="宋体"/>
        </w:rPr>
        <w:t>错误示例：</w:t>
      </w:r>
    </w:p>
    <w:p w14:paraId="1AE70F9E">
      <w:pPr>
        <w:spacing w:line="360" w:lineRule="auto"/>
        <w:rPr>
          <w:rFonts w:hint="eastAsia" w:ascii="宋体" w:hAnsi="宋体" w:eastAsia="宋体" w:cs="宋体"/>
        </w:rPr>
      </w:pPr>
      <w:r>
        <w:rPr>
          <w:rFonts w:hint="eastAsia" w:ascii="宋体" w:hAnsi="宋体" w:eastAsia="宋体" w:cs="宋体"/>
        </w:rPr>
        <w:drawing>
          <wp:inline distT="0" distB="0" distL="0" distR="0">
            <wp:extent cx="4505960" cy="3416300"/>
            <wp:effectExtent l="0" t="0" r="8890" b="12700"/>
            <wp:docPr id="126716964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69645" name="图片 4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4505960" cy="3416300"/>
                    </a:xfrm>
                    <a:prstGeom prst="rect">
                      <a:avLst/>
                    </a:prstGeom>
                    <a:noFill/>
                    <a:ln>
                      <a:noFill/>
                    </a:ln>
                  </pic:spPr>
                </pic:pic>
              </a:graphicData>
            </a:graphic>
          </wp:inline>
        </w:drawing>
      </w:r>
      <w:r>
        <w:rPr>
          <w:rFonts w:hint="eastAsia" w:ascii="宋体" w:hAnsi="宋体" w:eastAsia="宋体" w:cs="宋体"/>
        </w:rPr>
        <w:t xml:space="preserve"> </w:t>
      </w:r>
    </w:p>
    <w:p w14:paraId="745FE175">
      <w:pPr>
        <w:pStyle w:val="13"/>
        <w:bidi w:val="0"/>
        <w:spacing w:line="360" w:lineRule="auto"/>
        <w:rPr>
          <w:rFonts w:hint="eastAsia" w:ascii="宋体" w:hAnsi="宋体" w:eastAsia="宋体" w:cs="宋体"/>
        </w:rPr>
      </w:pPr>
      <w:r>
        <w:rPr>
          <w:rFonts w:hint="eastAsia" w:ascii="宋体" w:hAnsi="宋体" w:eastAsia="宋体" w:cs="宋体"/>
        </w:rPr>
        <w:t>读码稳定性</w:t>
      </w:r>
    </w:p>
    <w:p w14:paraId="1DFDC7D6">
      <w:pPr>
        <w:pStyle w:val="17"/>
        <w:spacing w:line="360" w:lineRule="auto"/>
        <w:rPr>
          <w:rFonts w:hint="eastAsia" w:ascii="宋体" w:hAnsi="宋体" w:eastAsia="宋体" w:cs="宋体"/>
        </w:rPr>
      </w:pPr>
      <w:r>
        <w:rPr>
          <w:rFonts w:hint="eastAsia" w:ascii="宋体" w:hAnsi="宋体" w:eastAsia="宋体" w:cs="宋体"/>
        </w:rPr>
        <w:t xml:space="preserve">二维码读取需调试到非常稳定，不稳定将导致生产效率严重下降，甚至出现生产事故。 </w:t>
      </w:r>
    </w:p>
    <w:p w14:paraId="5E06FB40">
      <w:pPr>
        <w:spacing w:line="360" w:lineRule="auto"/>
        <w:rPr>
          <w:rFonts w:hint="eastAsia" w:ascii="宋体" w:hAnsi="宋体" w:eastAsia="宋体" w:cs="宋体"/>
          <w:b/>
          <w:bCs/>
        </w:rPr>
      </w:pPr>
      <w:r>
        <w:rPr>
          <w:rFonts w:hint="eastAsia" w:ascii="宋体" w:hAnsi="宋体" w:eastAsia="宋体" w:cs="宋体"/>
          <w:b/>
          <w:bCs/>
        </w:rPr>
        <w:t>读码稳定性要求：</w:t>
      </w:r>
    </w:p>
    <w:p w14:paraId="3B40A6BC">
      <w:pPr>
        <w:widowControl w:val="0"/>
        <w:numPr>
          <w:ilvl w:val="0"/>
          <w:numId w:val="18"/>
        </w:numPr>
        <w:spacing w:line="360" w:lineRule="auto"/>
        <w:jc w:val="both"/>
        <w:rPr>
          <w:rFonts w:hint="eastAsia" w:ascii="宋体" w:hAnsi="宋体" w:eastAsia="宋体" w:cs="宋体"/>
          <w:b/>
          <w:bCs/>
        </w:rPr>
      </w:pPr>
      <w:r>
        <w:rPr>
          <w:rFonts w:hint="eastAsia" w:ascii="宋体" w:hAnsi="宋体" w:eastAsia="宋体" w:cs="宋体"/>
          <w:b/>
          <w:bCs/>
        </w:rPr>
        <w:t>连续读码1分钟或100次以上无读码失败情况（读码成功率100%）。</w:t>
      </w:r>
    </w:p>
    <w:p w14:paraId="5CE9AC1C">
      <w:pPr>
        <w:widowControl w:val="0"/>
        <w:numPr>
          <w:ilvl w:val="0"/>
          <w:numId w:val="18"/>
        </w:numPr>
        <w:spacing w:line="360" w:lineRule="auto"/>
        <w:jc w:val="both"/>
        <w:rPr>
          <w:rFonts w:hint="eastAsia" w:ascii="宋体" w:hAnsi="宋体" w:eastAsia="宋体" w:cs="宋体"/>
          <w:b/>
          <w:bCs/>
        </w:rPr>
      </w:pPr>
      <w:r>
        <w:rPr>
          <w:rFonts w:hint="eastAsia" w:ascii="宋体" w:hAnsi="宋体" w:eastAsia="宋体" w:cs="宋体"/>
          <w:b/>
          <w:bCs/>
        </w:rPr>
        <w:t>最长解码时间不能大于最小解码时间20毫秒（ms）以上。</w:t>
      </w:r>
    </w:p>
    <w:p w14:paraId="07B96B53">
      <w:pPr>
        <w:widowControl w:val="0"/>
        <w:numPr>
          <w:ilvl w:val="0"/>
          <w:numId w:val="18"/>
        </w:numPr>
        <w:spacing w:line="360" w:lineRule="auto"/>
        <w:jc w:val="both"/>
        <w:rPr>
          <w:rFonts w:hint="eastAsia" w:ascii="宋体" w:hAnsi="宋体" w:eastAsia="宋体" w:cs="宋体"/>
          <w:b/>
          <w:bCs/>
        </w:rPr>
      </w:pPr>
      <w:r>
        <w:rPr>
          <w:rFonts w:hint="eastAsia" w:ascii="宋体" w:hAnsi="宋体" w:eastAsia="宋体" w:cs="宋体"/>
          <w:b/>
          <w:bCs/>
        </w:rPr>
        <w:t>单次解码时间≤30毫秒（ms）。</w:t>
      </w:r>
    </w:p>
    <w:p w14:paraId="55F06E0D">
      <w:pPr>
        <w:spacing w:line="360" w:lineRule="auto"/>
        <w:rPr>
          <w:rFonts w:hint="eastAsia" w:ascii="宋体" w:hAnsi="宋体" w:eastAsia="宋体" w:cs="宋体"/>
        </w:rPr>
      </w:pPr>
      <w:r>
        <w:rPr>
          <w:rFonts w:hint="eastAsia" w:ascii="宋体" w:hAnsi="宋体" w:eastAsia="宋体" w:cs="宋体"/>
        </w:rPr>
        <w:drawing>
          <wp:inline distT="0" distB="0" distL="0" distR="0">
            <wp:extent cx="5266690" cy="2783840"/>
            <wp:effectExtent l="0" t="0" r="10160" b="16510"/>
            <wp:docPr id="109476295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62955" name="图片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66690" cy="2783840"/>
                    </a:xfrm>
                    <a:prstGeom prst="rect">
                      <a:avLst/>
                    </a:prstGeom>
                    <a:noFill/>
                    <a:ln>
                      <a:noFill/>
                    </a:ln>
                  </pic:spPr>
                </pic:pic>
              </a:graphicData>
            </a:graphic>
          </wp:inline>
        </w:drawing>
      </w:r>
      <w:r>
        <w:rPr>
          <w:rFonts w:hint="eastAsia" w:ascii="宋体" w:hAnsi="宋体" w:eastAsia="宋体" w:cs="宋体"/>
        </w:rPr>
        <w:t xml:space="preserve"> </w:t>
      </w:r>
    </w:p>
    <w:p w14:paraId="107797F8">
      <w:pPr>
        <w:spacing w:line="360" w:lineRule="auto"/>
        <w:rPr>
          <w:rFonts w:hint="eastAsia" w:ascii="宋体" w:hAnsi="宋体" w:eastAsia="宋体" w:cs="宋体"/>
        </w:rPr>
      </w:pPr>
      <w:r>
        <w:rPr>
          <w:rFonts w:hint="eastAsia" w:ascii="宋体" w:hAnsi="宋体" w:eastAsia="宋体" w:cs="宋体"/>
        </w:rPr>
        <w:t xml:space="preserve"> </w:t>
      </w:r>
    </w:p>
    <w:p w14:paraId="3A8BA573">
      <w:pPr>
        <w:spacing w:line="360" w:lineRule="auto"/>
        <w:rPr>
          <w:rFonts w:hint="eastAsia" w:ascii="宋体" w:hAnsi="宋体" w:eastAsia="宋体" w:cs="宋体"/>
        </w:rPr>
      </w:pPr>
      <w:r>
        <w:rPr>
          <w:rFonts w:hint="eastAsia" w:ascii="宋体" w:hAnsi="宋体" w:eastAsia="宋体" w:cs="宋体"/>
        </w:rPr>
        <w:t>错误示例：</w:t>
      </w:r>
    </w:p>
    <w:p w14:paraId="6FA504D3">
      <w:pPr>
        <w:spacing w:line="360" w:lineRule="auto"/>
        <w:rPr>
          <w:rFonts w:hint="eastAsia" w:ascii="宋体" w:hAnsi="宋体" w:eastAsia="宋体" w:cs="宋体"/>
        </w:rPr>
      </w:pPr>
      <w:r>
        <w:rPr>
          <w:rFonts w:hint="eastAsia" w:ascii="宋体" w:hAnsi="宋体" w:eastAsia="宋体" w:cs="宋体"/>
        </w:rPr>
        <w:drawing>
          <wp:inline distT="0" distB="0" distL="0" distR="0">
            <wp:extent cx="5260975" cy="3061335"/>
            <wp:effectExtent l="0" t="0" r="15875" b="5715"/>
            <wp:docPr id="13450558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55897" name="图片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260975" cy="3061335"/>
                    </a:xfrm>
                    <a:prstGeom prst="rect">
                      <a:avLst/>
                    </a:prstGeom>
                    <a:noFill/>
                    <a:ln>
                      <a:noFill/>
                    </a:ln>
                  </pic:spPr>
                </pic:pic>
              </a:graphicData>
            </a:graphic>
          </wp:inline>
        </w:drawing>
      </w:r>
      <w:r>
        <w:rPr>
          <w:rFonts w:hint="eastAsia" w:ascii="宋体" w:hAnsi="宋体" w:eastAsia="宋体" w:cs="宋体"/>
        </w:rPr>
        <w:t xml:space="preserve"> </w:t>
      </w:r>
    </w:p>
    <w:p w14:paraId="55C3A7DB">
      <w:pPr>
        <w:spacing w:line="360" w:lineRule="auto"/>
        <w:rPr>
          <w:rFonts w:hint="eastAsia" w:ascii="宋体" w:hAnsi="宋体" w:eastAsia="宋体" w:cs="宋体"/>
        </w:rPr>
      </w:pPr>
      <w:r>
        <w:rPr>
          <w:rFonts w:hint="eastAsia" w:ascii="宋体" w:hAnsi="宋体" w:eastAsia="宋体" w:cs="宋体"/>
        </w:rPr>
        <w:t xml:space="preserve"> </w:t>
      </w:r>
    </w:p>
    <w:p w14:paraId="5F454B9C">
      <w:pPr>
        <w:pStyle w:val="12"/>
        <w:bidi w:val="0"/>
        <w:spacing w:line="360" w:lineRule="auto"/>
        <w:rPr>
          <w:rFonts w:hint="eastAsia" w:ascii="宋体" w:hAnsi="宋体" w:eastAsia="宋体" w:cs="宋体"/>
        </w:rPr>
      </w:pPr>
      <w:bookmarkStart w:id="180" w:name="_Toc157765686"/>
      <w:bookmarkStart w:id="181" w:name="_Toc1526821262"/>
      <w:r>
        <w:rPr>
          <w:rFonts w:hint="eastAsia" w:ascii="宋体" w:hAnsi="宋体" w:eastAsia="宋体" w:cs="宋体"/>
        </w:rPr>
        <w:t>包装机-小盒品检工位</w:t>
      </w:r>
      <w:bookmarkEnd w:id="180"/>
      <w:bookmarkEnd w:id="181"/>
    </w:p>
    <w:p w14:paraId="43F7B94E">
      <w:pPr>
        <w:pStyle w:val="13"/>
        <w:bidi w:val="0"/>
        <w:spacing w:line="360" w:lineRule="auto"/>
        <w:rPr>
          <w:rFonts w:hint="eastAsia" w:ascii="宋体" w:hAnsi="宋体" w:eastAsia="宋体" w:cs="宋体"/>
        </w:rPr>
      </w:pPr>
      <w:r>
        <w:rPr>
          <w:rFonts w:hint="eastAsia" w:ascii="宋体" w:hAnsi="宋体" w:eastAsia="宋体" w:cs="宋体"/>
        </w:rPr>
        <w:t>代码细节</w:t>
      </w:r>
    </w:p>
    <w:p w14:paraId="7D3FE0AB">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盒码类型只勾选 QRCode</w:t>
      </w:r>
    </w:p>
    <w:p w14:paraId="6D31247E">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代码数量设置为 1</w:t>
      </w:r>
    </w:p>
    <w:p w14:paraId="1977C661">
      <w:pPr>
        <w:spacing w:line="360" w:lineRule="auto"/>
        <w:rPr>
          <w:rFonts w:hint="eastAsia" w:ascii="宋体" w:hAnsi="宋体" w:eastAsia="宋体" w:cs="宋体"/>
          <w:b/>
          <w:bCs/>
        </w:rPr>
      </w:pPr>
      <w:r>
        <w:rPr>
          <w:rFonts w:hint="eastAsia" w:ascii="宋体" w:hAnsi="宋体" w:eastAsia="宋体" w:cs="宋体"/>
          <w:b/>
          <w:bCs/>
        </w:rPr>
        <w:t xml:space="preserve"> </w:t>
      </w:r>
    </w:p>
    <w:p w14:paraId="17CFC578">
      <w:pPr>
        <w:spacing w:line="360" w:lineRule="auto"/>
        <w:rPr>
          <w:rFonts w:hint="eastAsia" w:ascii="宋体" w:hAnsi="宋体" w:eastAsia="宋体" w:cs="宋体"/>
        </w:rPr>
      </w:pPr>
      <w:r>
        <w:rPr>
          <w:rFonts w:hint="eastAsia" w:ascii="宋体" w:hAnsi="宋体" w:eastAsia="宋体" w:cs="宋体"/>
        </w:rPr>
        <w:drawing>
          <wp:inline distT="0" distB="0" distL="0" distR="0">
            <wp:extent cx="3578225" cy="3879215"/>
            <wp:effectExtent l="0" t="0" r="3175" b="6985"/>
            <wp:docPr id="784366533" name="图片 78436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66533" name="图片 7843665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581897" cy="3883384"/>
                    </a:xfrm>
                    <a:prstGeom prst="rect">
                      <a:avLst/>
                    </a:prstGeom>
                    <a:noFill/>
                    <a:ln>
                      <a:noFill/>
                    </a:ln>
                  </pic:spPr>
                </pic:pic>
              </a:graphicData>
            </a:graphic>
          </wp:inline>
        </w:drawing>
      </w:r>
      <w:r>
        <w:rPr>
          <w:rFonts w:hint="eastAsia" w:ascii="宋体" w:hAnsi="宋体" w:eastAsia="宋体" w:cs="宋体"/>
        </w:rPr>
        <w:t xml:space="preserve"> </w:t>
      </w:r>
    </w:p>
    <w:p w14:paraId="19639CCF">
      <w:pPr>
        <w:pStyle w:val="13"/>
        <w:bidi w:val="0"/>
        <w:spacing w:line="360" w:lineRule="auto"/>
        <w:rPr>
          <w:rFonts w:hint="eastAsia" w:ascii="宋体" w:hAnsi="宋体" w:eastAsia="宋体" w:cs="宋体"/>
        </w:rPr>
      </w:pPr>
      <w:r>
        <w:rPr>
          <w:rFonts w:hint="eastAsia" w:ascii="宋体" w:hAnsi="宋体" w:eastAsia="宋体" w:cs="宋体"/>
        </w:rPr>
        <w:t>应用明细</w:t>
      </w:r>
    </w:p>
    <w:p w14:paraId="5AAB8A18">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触发类型：</w:t>
      </w:r>
      <w:r>
        <w:rPr>
          <w:rFonts w:hint="eastAsia" w:ascii="宋体" w:hAnsi="宋体" w:eastAsia="宋体" w:cs="宋体"/>
          <w:b/>
          <w:bCs/>
        </w:rPr>
        <w:tab/>
      </w:r>
      <w:r>
        <w:rPr>
          <w:rFonts w:hint="eastAsia" w:ascii="宋体" w:hAnsi="宋体" w:eastAsia="宋体" w:cs="宋体"/>
          <w:b/>
          <w:bCs/>
        </w:rPr>
        <w:t>单个（外部）</w:t>
      </w:r>
    </w:p>
    <w:p w14:paraId="16535326">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超时[MS]:</w:t>
      </w:r>
      <w:r>
        <w:rPr>
          <w:rFonts w:hint="eastAsia" w:ascii="宋体" w:hAnsi="宋体" w:eastAsia="宋体" w:cs="宋体"/>
          <w:b/>
          <w:bCs/>
        </w:rPr>
        <w:tab/>
      </w:r>
      <w:r>
        <w:rPr>
          <w:rFonts w:hint="eastAsia" w:ascii="宋体" w:hAnsi="宋体" w:eastAsia="宋体" w:cs="宋体"/>
          <w:b/>
          <w:bCs/>
        </w:rPr>
        <w:t>80毫秒</w:t>
      </w:r>
    </w:p>
    <w:p w14:paraId="1C94477F">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曝光：</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手动曝光</w:t>
      </w:r>
    </w:p>
    <w:p w14:paraId="5A82DBEE">
      <w:pPr>
        <w:spacing w:line="360" w:lineRule="auto"/>
        <w:rPr>
          <w:rFonts w:hint="eastAsia" w:ascii="宋体" w:hAnsi="宋体" w:eastAsia="宋体" w:cs="宋体"/>
        </w:rPr>
      </w:pPr>
      <w:r>
        <w:rPr>
          <w:rFonts w:hint="eastAsia" w:ascii="宋体" w:hAnsi="宋体" w:eastAsia="宋体" w:cs="宋体"/>
        </w:rPr>
        <w:drawing>
          <wp:inline distT="0" distB="0" distL="0" distR="0">
            <wp:extent cx="3610610" cy="3213100"/>
            <wp:effectExtent l="0" t="0" r="8890" b="6350"/>
            <wp:docPr id="163272543" name="图片 16327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2543" name="图片 1632725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3619029" cy="3221084"/>
                    </a:xfrm>
                    <a:prstGeom prst="rect">
                      <a:avLst/>
                    </a:prstGeom>
                    <a:noFill/>
                    <a:ln>
                      <a:noFill/>
                    </a:ln>
                  </pic:spPr>
                </pic:pic>
              </a:graphicData>
            </a:graphic>
          </wp:inline>
        </w:drawing>
      </w:r>
      <w:r>
        <w:rPr>
          <w:rFonts w:hint="eastAsia" w:ascii="宋体" w:hAnsi="宋体" w:eastAsia="宋体" w:cs="宋体"/>
        </w:rPr>
        <w:t xml:space="preserve"> </w:t>
      </w:r>
    </w:p>
    <w:p w14:paraId="44EE645B">
      <w:pPr>
        <w:spacing w:line="360" w:lineRule="auto"/>
        <w:rPr>
          <w:rFonts w:hint="eastAsia" w:ascii="宋体" w:hAnsi="宋体" w:eastAsia="宋体" w:cs="宋体"/>
        </w:rPr>
      </w:pPr>
      <w:r>
        <w:rPr>
          <w:rFonts w:hint="eastAsia" w:ascii="宋体" w:hAnsi="宋体" w:eastAsia="宋体" w:cs="宋体"/>
        </w:rPr>
        <w:t xml:space="preserve"> </w:t>
      </w:r>
    </w:p>
    <w:p w14:paraId="5BD6CD52">
      <w:pPr>
        <w:pStyle w:val="13"/>
        <w:bidi w:val="0"/>
        <w:spacing w:line="360" w:lineRule="auto"/>
        <w:rPr>
          <w:rFonts w:hint="eastAsia" w:ascii="宋体" w:hAnsi="宋体" w:eastAsia="宋体" w:cs="宋体"/>
        </w:rPr>
      </w:pPr>
      <w:r>
        <w:rPr>
          <w:rFonts w:hint="eastAsia" w:ascii="宋体" w:hAnsi="宋体" w:eastAsia="宋体" w:cs="宋体"/>
        </w:rPr>
        <w:t>格式化数据</w:t>
      </w:r>
    </w:p>
    <w:p w14:paraId="1669ECA8">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勾选脚本格式化</w:t>
      </w:r>
    </w:p>
    <w:p w14:paraId="08D29407">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输入自定义脚本</w:t>
      </w:r>
    </w:p>
    <w:p w14:paraId="618B5DC9">
      <w:pPr>
        <w:spacing w:line="360" w:lineRule="auto"/>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drawing>
          <wp:inline distT="0" distB="0" distL="0" distR="0">
            <wp:extent cx="3599815" cy="4460875"/>
            <wp:effectExtent l="0" t="0" r="635" b="15875"/>
            <wp:docPr id="286205821" name="图片 28620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05821" name="图片 2862058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613586" cy="4477420"/>
                    </a:xfrm>
                    <a:prstGeom prst="rect">
                      <a:avLst/>
                    </a:prstGeom>
                    <a:noFill/>
                    <a:ln>
                      <a:noFill/>
                    </a:ln>
                  </pic:spPr>
                </pic:pic>
              </a:graphicData>
            </a:graphic>
          </wp:inline>
        </w:drawing>
      </w:r>
      <w:r>
        <w:rPr>
          <w:rFonts w:hint="eastAsia" w:ascii="宋体" w:hAnsi="宋体" w:eastAsia="宋体" w:cs="宋体"/>
        </w:rPr>
        <w:t xml:space="preserve"> </w:t>
      </w:r>
    </w:p>
    <w:p w14:paraId="6F5332EC">
      <w:pPr>
        <w:spacing w:line="360" w:lineRule="auto"/>
        <w:rPr>
          <w:rFonts w:hint="eastAsia" w:ascii="宋体" w:hAnsi="宋体" w:eastAsia="宋体" w:cs="宋体"/>
        </w:rPr>
      </w:pPr>
      <w:r>
        <w:rPr>
          <w:rFonts w:hint="eastAsia" w:ascii="宋体" w:hAnsi="宋体" w:eastAsia="宋体" w:cs="宋体"/>
        </w:rPr>
        <w:t>定制脚本：</w:t>
      </w:r>
    </w:p>
    <w:p w14:paraId="7A7EE332">
      <w:pPr>
        <w:spacing w:line="360" w:lineRule="auto"/>
        <w:rPr>
          <w:rFonts w:hint="eastAsia" w:ascii="宋体" w:hAnsi="宋体" w:eastAsia="宋体" w:cs="宋体"/>
        </w:rPr>
      </w:pPr>
      <w:r>
        <w:rPr>
          <w:rFonts w:hint="eastAsia" w:ascii="宋体" w:hAnsi="宋体" w:eastAsia="宋体" w:cs="宋体"/>
        </w:rPr>
        <w:t>// Default script for data formatting</w:t>
      </w:r>
    </w:p>
    <w:p w14:paraId="4DF81197">
      <w:pPr>
        <w:spacing w:line="360" w:lineRule="auto"/>
        <w:rPr>
          <w:rFonts w:hint="eastAsia" w:ascii="宋体" w:hAnsi="宋体" w:eastAsia="宋体" w:cs="宋体"/>
        </w:rPr>
      </w:pPr>
      <w:r>
        <w:rPr>
          <w:rFonts w:hint="eastAsia" w:ascii="宋体" w:hAnsi="宋体" w:eastAsia="宋体" w:cs="宋体"/>
        </w:rPr>
        <w:t>function onResult (decodeResults, readerProperties, output)</w:t>
      </w:r>
    </w:p>
    <w:p w14:paraId="5498C021">
      <w:pPr>
        <w:spacing w:line="360" w:lineRule="auto"/>
        <w:rPr>
          <w:rFonts w:hint="eastAsia" w:ascii="宋体" w:hAnsi="宋体" w:eastAsia="宋体" w:cs="宋体"/>
        </w:rPr>
      </w:pPr>
      <w:r>
        <w:rPr>
          <w:rFonts w:hint="eastAsia" w:ascii="宋体" w:hAnsi="宋体" w:eastAsia="宋体" w:cs="宋体"/>
        </w:rPr>
        <w:t>{</w:t>
      </w:r>
    </w:p>
    <w:p w14:paraId="2E7BA815">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var ret = "NG";</w:t>
      </w:r>
    </w:p>
    <w:p w14:paraId="1D6179B8">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if (decodeResults[0].decoded)</w:t>
      </w:r>
    </w:p>
    <w:p w14:paraId="6AE96D36">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w:t>
      </w:r>
    </w:p>
    <w:p w14:paraId="6E73E282">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ret = decodeResults[0].content;</w:t>
      </w:r>
    </w:p>
    <w:p w14:paraId="49FD27A0">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w:t>
      </w:r>
    </w:p>
    <w:p w14:paraId="77C11BCC">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output.content = ret+"\r\n";</w:t>
      </w:r>
    </w:p>
    <w:p w14:paraId="27077E19">
      <w:pPr>
        <w:spacing w:line="360" w:lineRule="auto"/>
        <w:rPr>
          <w:rFonts w:hint="eastAsia" w:ascii="宋体" w:hAnsi="宋体" w:eastAsia="宋体" w:cs="宋体"/>
        </w:rPr>
      </w:pPr>
      <w:r>
        <w:rPr>
          <w:rFonts w:hint="eastAsia" w:ascii="宋体" w:hAnsi="宋体" w:eastAsia="宋体" w:cs="宋体"/>
        </w:rPr>
        <w:t>}</w:t>
      </w:r>
    </w:p>
    <w:p w14:paraId="4BF208FE">
      <w:pPr>
        <w:pStyle w:val="13"/>
        <w:bidi w:val="0"/>
        <w:spacing w:line="360" w:lineRule="auto"/>
        <w:rPr>
          <w:rFonts w:hint="eastAsia" w:ascii="宋体" w:hAnsi="宋体" w:eastAsia="宋体" w:cs="宋体"/>
        </w:rPr>
      </w:pPr>
      <w:r>
        <w:rPr>
          <w:rFonts w:hint="eastAsia" w:ascii="宋体" w:hAnsi="宋体" w:eastAsia="宋体" w:cs="宋体"/>
        </w:rPr>
        <w:t>通信</w:t>
      </w:r>
    </w:p>
    <w:p w14:paraId="475B0369">
      <w:pPr>
        <w:spacing w:line="360" w:lineRule="auto"/>
        <w:rPr>
          <w:rFonts w:hint="eastAsia" w:ascii="宋体" w:hAnsi="宋体" w:eastAsia="宋体" w:cs="宋体"/>
        </w:rPr>
      </w:pPr>
      <w:r>
        <w:rPr>
          <w:rFonts w:hint="eastAsia" w:ascii="宋体" w:hAnsi="宋体" w:eastAsia="宋体" w:cs="宋体"/>
        </w:rPr>
        <w:t>通信图片中的IP只做参考，实际配置请参考“4.3读码器命名与IP地址”章节。</w:t>
      </w:r>
    </w:p>
    <w:p w14:paraId="74C8E682">
      <w:pPr>
        <w:spacing w:line="360" w:lineRule="auto"/>
        <w:rPr>
          <w:rFonts w:hint="eastAsia" w:ascii="宋体" w:hAnsi="宋体" w:eastAsia="宋体" w:cs="宋体"/>
        </w:rPr>
      </w:pPr>
      <w:r>
        <w:rPr>
          <w:rFonts w:hint="eastAsia" w:ascii="宋体" w:hAnsi="宋体" w:eastAsia="宋体" w:cs="宋体"/>
        </w:rPr>
        <w:drawing>
          <wp:inline distT="0" distB="0" distL="0" distR="0">
            <wp:extent cx="4500245" cy="4825365"/>
            <wp:effectExtent l="0" t="0" r="14605" b="13335"/>
            <wp:docPr id="761268447" name="图片 76126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68447" name="图片 7612684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503937" cy="4829594"/>
                    </a:xfrm>
                    <a:prstGeom prst="rect">
                      <a:avLst/>
                    </a:prstGeom>
                    <a:noFill/>
                    <a:ln>
                      <a:noFill/>
                    </a:ln>
                  </pic:spPr>
                </pic:pic>
              </a:graphicData>
            </a:graphic>
          </wp:inline>
        </w:drawing>
      </w:r>
      <w:r>
        <w:rPr>
          <w:rFonts w:hint="eastAsia" w:ascii="宋体" w:hAnsi="宋体" w:eastAsia="宋体" w:cs="宋体"/>
        </w:rPr>
        <w:t xml:space="preserve"> </w:t>
      </w:r>
    </w:p>
    <w:p w14:paraId="792379FA">
      <w:pPr>
        <w:spacing w:line="360" w:lineRule="auto"/>
        <w:rPr>
          <w:rFonts w:hint="eastAsia" w:ascii="宋体" w:hAnsi="宋体" w:eastAsia="宋体" w:cs="宋体"/>
        </w:rPr>
      </w:pPr>
      <w:r>
        <w:rPr>
          <w:rFonts w:hint="eastAsia" w:ascii="宋体" w:hAnsi="宋体" w:eastAsia="宋体" w:cs="宋体"/>
        </w:rPr>
        <w:t xml:space="preserve"> </w:t>
      </w:r>
    </w:p>
    <w:p w14:paraId="6BD5B34D">
      <w:pPr>
        <w:pStyle w:val="13"/>
        <w:bidi w:val="0"/>
        <w:spacing w:line="360" w:lineRule="auto"/>
        <w:rPr>
          <w:rFonts w:hint="eastAsia" w:ascii="宋体" w:hAnsi="宋体" w:eastAsia="宋体" w:cs="宋体"/>
        </w:rPr>
      </w:pPr>
      <w:r>
        <w:rPr>
          <w:rFonts w:hint="eastAsia" w:ascii="宋体" w:hAnsi="宋体" w:eastAsia="宋体" w:cs="宋体"/>
        </w:rPr>
        <w:t>优化图像</w:t>
      </w:r>
    </w:p>
    <w:p w14:paraId="321A4038">
      <w:pPr>
        <w:spacing w:line="360" w:lineRule="auto"/>
        <w:rPr>
          <w:rFonts w:hint="eastAsia" w:ascii="宋体" w:hAnsi="宋体" w:eastAsia="宋体" w:cs="宋体"/>
        </w:rPr>
      </w:pPr>
      <w:r>
        <w:rPr>
          <w:rFonts w:hint="eastAsia" w:ascii="宋体" w:hAnsi="宋体" w:eastAsia="宋体" w:cs="宋体"/>
        </w:rPr>
        <w:drawing>
          <wp:inline distT="0" distB="0" distL="0" distR="0">
            <wp:extent cx="5266690" cy="2962910"/>
            <wp:effectExtent l="0" t="0" r="10160" b="8890"/>
            <wp:docPr id="1260067586" name="图片 126006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67586" name="图片 12600675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66690" cy="2962910"/>
                    </a:xfrm>
                    <a:prstGeom prst="rect">
                      <a:avLst/>
                    </a:prstGeom>
                    <a:noFill/>
                    <a:ln>
                      <a:noFill/>
                    </a:ln>
                  </pic:spPr>
                </pic:pic>
              </a:graphicData>
            </a:graphic>
          </wp:inline>
        </w:drawing>
      </w:r>
      <w:r>
        <w:rPr>
          <w:rFonts w:hint="eastAsia" w:ascii="宋体" w:hAnsi="宋体" w:eastAsia="宋体" w:cs="宋体"/>
        </w:rPr>
        <w:t xml:space="preserve"> </w:t>
      </w:r>
    </w:p>
    <w:p w14:paraId="7D0A01DB">
      <w:pPr>
        <w:pStyle w:val="12"/>
        <w:bidi w:val="0"/>
        <w:spacing w:line="360" w:lineRule="auto"/>
        <w:rPr>
          <w:rFonts w:hint="eastAsia" w:ascii="宋体" w:hAnsi="宋体" w:eastAsia="宋体" w:cs="宋体"/>
        </w:rPr>
      </w:pPr>
      <w:bookmarkStart w:id="182" w:name="_Toc157765687"/>
      <w:bookmarkStart w:id="183" w:name="_Toc2146334505"/>
      <w:r>
        <w:rPr>
          <w:rFonts w:hint="eastAsia" w:ascii="宋体" w:hAnsi="宋体" w:eastAsia="宋体" w:cs="宋体"/>
        </w:rPr>
        <w:t>包装机-小盒读码工位（读双码）</w:t>
      </w:r>
      <w:bookmarkEnd w:id="182"/>
      <w:bookmarkEnd w:id="183"/>
    </w:p>
    <w:p w14:paraId="2EE6BB2B">
      <w:pPr>
        <w:pStyle w:val="13"/>
        <w:bidi w:val="0"/>
        <w:spacing w:line="360" w:lineRule="auto"/>
        <w:rPr>
          <w:rFonts w:hint="eastAsia" w:ascii="宋体" w:hAnsi="宋体" w:eastAsia="宋体" w:cs="宋体"/>
        </w:rPr>
      </w:pPr>
      <w:r>
        <w:rPr>
          <w:rFonts w:hint="eastAsia" w:ascii="宋体" w:hAnsi="宋体" w:eastAsia="宋体" w:cs="宋体"/>
        </w:rPr>
        <w:t>代码细节</w:t>
      </w:r>
    </w:p>
    <w:p w14:paraId="1D13553C">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盒码类型只勾选：</w:t>
      </w:r>
      <w:r>
        <w:rPr>
          <w:rFonts w:hint="eastAsia" w:ascii="宋体" w:hAnsi="宋体" w:eastAsia="宋体" w:cs="宋体"/>
          <w:b/>
          <w:bCs/>
        </w:rPr>
        <w:tab/>
      </w:r>
      <w:r>
        <w:rPr>
          <w:rFonts w:hint="eastAsia" w:ascii="宋体" w:hAnsi="宋体" w:eastAsia="宋体" w:cs="宋体"/>
          <w:b/>
          <w:bCs/>
        </w:rPr>
        <w:t xml:space="preserve"> QRCode</w:t>
      </w:r>
    </w:p>
    <w:p w14:paraId="189456B7">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代码数量设置为：</w:t>
      </w:r>
      <w:r>
        <w:rPr>
          <w:rFonts w:hint="eastAsia" w:ascii="宋体" w:hAnsi="宋体" w:eastAsia="宋体" w:cs="宋体"/>
          <w:b/>
          <w:bCs/>
        </w:rPr>
        <w:tab/>
      </w:r>
      <w:r>
        <w:rPr>
          <w:rFonts w:hint="eastAsia" w:ascii="宋体" w:hAnsi="宋体" w:eastAsia="宋体" w:cs="宋体"/>
          <w:b/>
          <w:bCs/>
        </w:rPr>
        <w:t xml:space="preserve"> 2</w:t>
      </w:r>
    </w:p>
    <w:p w14:paraId="568174B5">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部分结果为有效读码：否</w:t>
      </w:r>
    </w:p>
    <w:p w14:paraId="3ED36E2B">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QR/Maxi/Aztec:</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 xml:space="preserve"> 2</w:t>
      </w:r>
    </w:p>
    <w:p w14:paraId="115403B0">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代码排序：</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ab/>
      </w:r>
    </w:p>
    <w:p w14:paraId="293FDA5A">
      <w:pPr>
        <w:widowControl w:val="0"/>
        <w:numPr>
          <w:ilvl w:val="1"/>
          <w:numId w:val="19"/>
        </w:numPr>
        <w:spacing w:line="360" w:lineRule="auto"/>
        <w:jc w:val="both"/>
        <w:rPr>
          <w:rFonts w:hint="eastAsia" w:ascii="宋体" w:hAnsi="宋体" w:eastAsia="宋体" w:cs="宋体"/>
          <w:b/>
          <w:bCs/>
        </w:rPr>
      </w:pPr>
      <w:r>
        <w:rPr>
          <w:rFonts w:hint="eastAsia" w:ascii="宋体" w:hAnsi="宋体" w:eastAsia="宋体" w:cs="宋体"/>
          <w:b/>
          <w:bCs/>
        </w:rPr>
        <w:t xml:space="preserve">外侧选（从左到右）/ 内侧选（从右到左）  </w:t>
      </w:r>
    </w:p>
    <w:p w14:paraId="39B48DFA">
      <w:pPr>
        <w:widowControl w:val="0"/>
        <w:numPr>
          <w:ilvl w:val="1"/>
          <w:numId w:val="19"/>
        </w:numPr>
        <w:spacing w:line="360" w:lineRule="auto"/>
        <w:jc w:val="both"/>
        <w:rPr>
          <w:rFonts w:hint="eastAsia" w:ascii="宋体" w:hAnsi="宋体" w:eastAsia="宋体" w:cs="宋体"/>
          <w:b/>
          <w:bCs/>
        </w:rPr>
      </w:pPr>
      <w:r>
        <w:rPr>
          <w:rFonts w:hint="eastAsia" w:ascii="宋体" w:hAnsi="宋体" w:eastAsia="宋体" w:cs="宋体"/>
          <w:b/>
          <w:bCs/>
        </w:rPr>
        <w:t>需通过【向上】按钮排至第一个，【反向】按钮可实现（从左到右）（从右到左）切换</w:t>
      </w:r>
    </w:p>
    <w:p w14:paraId="2D418710">
      <w:pPr>
        <w:spacing w:line="360" w:lineRule="auto"/>
        <w:rPr>
          <w:rFonts w:hint="eastAsia" w:ascii="宋体" w:hAnsi="宋体" w:eastAsia="宋体" w:cs="宋体"/>
          <w:b/>
          <w:bCs/>
        </w:rPr>
      </w:pPr>
      <w:r>
        <w:rPr>
          <w:rFonts w:hint="eastAsia" w:ascii="宋体" w:hAnsi="宋体" w:eastAsia="宋体" w:cs="宋体"/>
          <w:b/>
          <w:bCs/>
        </w:rPr>
        <w:t xml:space="preserve"> </w:t>
      </w:r>
    </w:p>
    <w:p w14:paraId="09CBA051">
      <w:pPr>
        <w:spacing w:line="360" w:lineRule="auto"/>
        <w:rPr>
          <w:rFonts w:hint="eastAsia" w:ascii="宋体" w:hAnsi="宋体" w:eastAsia="宋体" w:cs="宋体"/>
          <w:b/>
          <w:bCs/>
        </w:rPr>
      </w:pPr>
      <w:r>
        <w:rPr>
          <w:rFonts w:hint="eastAsia" w:ascii="宋体" w:hAnsi="宋体" w:eastAsia="宋体" w:cs="宋体"/>
          <w:b/>
          <w:bCs/>
        </w:rPr>
        <w:t xml:space="preserve"> </w:t>
      </w:r>
    </w:p>
    <w:p w14:paraId="103DBA91">
      <w:pPr>
        <w:spacing w:line="360" w:lineRule="auto"/>
        <w:rPr>
          <w:rFonts w:hint="eastAsia" w:ascii="宋体" w:hAnsi="宋体" w:eastAsia="宋体" w:cs="宋体"/>
        </w:rPr>
      </w:pPr>
      <w:r>
        <w:rPr>
          <w:rFonts w:hint="eastAsia" w:ascii="宋体" w:hAnsi="宋体" w:eastAsia="宋体" w:cs="宋体"/>
        </w:rPr>
        <w:drawing>
          <wp:inline distT="0" distB="0" distL="0" distR="0">
            <wp:extent cx="5266690" cy="7049135"/>
            <wp:effectExtent l="0" t="0" r="10160" b="18415"/>
            <wp:docPr id="1995005606" name="图片 199500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05606" name="图片 199500560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66690" cy="7049135"/>
                    </a:xfrm>
                    <a:prstGeom prst="rect">
                      <a:avLst/>
                    </a:prstGeom>
                    <a:noFill/>
                    <a:ln>
                      <a:noFill/>
                    </a:ln>
                  </pic:spPr>
                </pic:pic>
              </a:graphicData>
            </a:graphic>
          </wp:inline>
        </w:drawing>
      </w:r>
      <w:r>
        <w:rPr>
          <w:rFonts w:hint="eastAsia" w:ascii="宋体" w:hAnsi="宋体" w:eastAsia="宋体" w:cs="宋体"/>
        </w:rPr>
        <w:t xml:space="preserve"> </w:t>
      </w:r>
    </w:p>
    <w:p w14:paraId="04D86F8D">
      <w:pPr>
        <w:pStyle w:val="13"/>
        <w:bidi w:val="0"/>
        <w:spacing w:line="360" w:lineRule="auto"/>
        <w:rPr>
          <w:rFonts w:hint="eastAsia" w:ascii="宋体" w:hAnsi="宋体" w:eastAsia="宋体" w:cs="宋体"/>
        </w:rPr>
      </w:pPr>
      <w:r>
        <w:rPr>
          <w:rFonts w:hint="eastAsia" w:ascii="宋体" w:hAnsi="宋体" w:eastAsia="宋体" w:cs="宋体"/>
        </w:rPr>
        <w:br w:type="page"/>
      </w:r>
      <w:r>
        <w:rPr>
          <w:rFonts w:hint="eastAsia" w:ascii="宋体" w:hAnsi="宋体" w:eastAsia="宋体" w:cs="宋体"/>
        </w:rPr>
        <w:t>应用明细</w:t>
      </w:r>
    </w:p>
    <w:p w14:paraId="677DAC34">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触发类型：</w:t>
      </w:r>
      <w:r>
        <w:rPr>
          <w:rFonts w:hint="eastAsia" w:ascii="宋体" w:hAnsi="宋体" w:eastAsia="宋体" w:cs="宋体"/>
          <w:b/>
          <w:bCs/>
        </w:rPr>
        <w:tab/>
      </w:r>
      <w:r>
        <w:rPr>
          <w:rFonts w:hint="eastAsia" w:ascii="宋体" w:hAnsi="宋体" w:eastAsia="宋体" w:cs="宋体"/>
          <w:b/>
          <w:bCs/>
        </w:rPr>
        <w:t>单个（外部）</w:t>
      </w:r>
    </w:p>
    <w:p w14:paraId="76A3B18F">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超时[MS]:</w:t>
      </w:r>
      <w:r>
        <w:rPr>
          <w:rFonts w:hint="eastAsia" w:ascii="宋体" w:hAnsi="宋体" w:eastAsia="宋体" w:cs="宋体"/>
          <w:b/>
          <w:bCs/>
        </w:rPr>
        <w:tab/>
      </w:r>
      <w:r>
        <w:rPr>
          <w:rFonts w:hint="eastAsia" w:ascii="宋体" w:hAnsi="宋体" w:eastAsia="宋体" w:cs="宋体"/>
          <w:b/>
          <w:bCs/>
        </w:rPr>
        <w:t>120毫秒</w:t>
      </w:r>
    </w:p>
    <w:p w14:paraId="1793362E">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曝光：</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手动曝光</w:t>
      </w:r>
    </w:p>
    <w:p w14:paraId="3BA90698">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4618355"/>
            <wp:effectExtent l="0" t="0" r="17780" b="10795"/>
            <wp:docPr id="2016058115" name="图片 201605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58115" name="图片 20160581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8120" cy="4618355"/>
                    </a:xfrm>
                    <a:prstGeom prst="rect">
                      <a:avLst/>
                    </a:prstGeom>
                    <a:noFill/>
                    <a:ln>
                      <a:noFill/>
                    </a:ln>
                  </pic:spPr>
                </pic:pic>
              </a:graphicData>
            </a:graphic>
          </wp:inline>
        </w:drawing>
      </w:r>
      <w:r>
        <w:rPr>
          <w:rFonts w:hint="eastAsia" w:ascii="宋体" w:hAnsi="宋体" w:eastAsia="宋体" w:cs="宋体"/>
        </w:rPr>
        <w:t xml:space="preserve"> </w:t>
      </w:r>
    </w:p>
    <w:p w14:paraId="4DF9252E">
      <w:pPr>
        <w:spacing w:line="360" w:lineRule="auto"/>
        <w:rPr>
          <w:rFonts w:hint="eastAsia" w:ascii="宋体" w:hAnsi="宋体" w:eastAsia="宋体" w:cs="宋体"/>
        </w:rPr>
      </w:pPr>
      <w:r>
        <w:rPr>
          <w:rFonts w:hint="eastAsia" w:ascii="宋体" w:hAnsi="宋体" w:eastAsia="宋体" w:cs="宋体"/>
        </w:rPr>
        <w:t xml:space="preserve"> </w:t>
      </w:r>
    </w:p>
    <w:p w14:paraId="13F0BA3E">
      <w:pPr>
        <w:pStyle w:val="13"/>
        <w:bidi w:val="0"/>
        <w:spacing w:line="360" w:lineRule="auto"/>
        <w:rPr>
          <w:rFonts w:hint="eastAsia" w:ascii="宋体" w:hAnsi="宋体" w:eastAsia="宋体" w:cs="宋体"/>
        </w:rPr>
      </w:pPr>
      <w:r>
        <w:rPr>
          <w:rFonts w:hint="eastAsia" w:ascii="宋体" w:hAnsi="宋体" w:eastAsia="宋体" w:cs="宋体"/>
        </w:rPr>
        <w:br w:type="page"/>
      </w:r>
      <w:r>
        <w:rPr>
          <w:rFonts w:hint="eastAsia" w:ascii="宋体" w:hAnsi="宋体" w:eastAsia="宋体" w:cs="宋体"/>
        </w:rPr>
        <w:t>格式化数据</w:t>
      </w:r>
    </w:p>
    <w:p w14:paraId="5AD4ED48">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勾选脚本格式化</w:t>
      </w:r>
    </w:p>
    <w:p w14:paraId="76A8C13E">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输入自定义脚本</w:t>
      </w:r>
    </w:p>
    <w:p w14:paraId="5DC95359">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3715385"/>
            <wp:effectExtent l="0" t="0" r="17780" b="18415"/>
            <wp:docPr id="1743216593" name="图片 17432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6593" name="图片 174321659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278120" cy="3715385"/>
                    </a:xfrm>
                    <a:prstGeom prst="rect">
                      <a:avLst/>
                    </a:prstGeom>
                    <a:noFill/>
                    <a:ln>
                      <a:noFill/>
                    </a:ln>
                  </pic:spPr>
                </pic:pic>
              </a:graphicData>
            </a:graphic>
          </wp:inline>
        </w:drawing>
      </w:r>
      <w:r>
        <w:rPr>
          <w:rFonts w:hint="eastAsia" w:ascii="宋体" w:hAnsi="宋体" w:eastAsia="宋体" w:cs="宋体"/>
        </w:rPr>
        <w:t xml:space="preserve"> </w:t>
      </w:r>
    </w:p>
    <w:p w14:paraId="706DE38B">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6701790"/>
            <wp:effectExtent l="0" t="0" r="17780" b="3810"/>
            <wp:docPr id="546359671" name="图片 54635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59671" name="图片 5463596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78120" cy="6701790"/>
                    </a:xfrm>
                    <a:prstGeom prst="rect">
                      <a:avLst/>
                    </a:prstGeom>
                    <a:noFill/>
                    <a:ln>
                      <a:noFill/>
                    </a:ln>
                  </pic:spPr>
                </pic:pic>
              </a:graphicData>
            </a:graphic>
          </wp:inline>
        </w:drawing>
      </w:r>
      <w:r>
        <w:rPr>
          <w:rFonts w:hint="eastAsia" w:ascii="宋体" w:hAnsi="宋体" w:eastAsia="宋体" w:cs="宋体"/>
        </w:rPr>
        <w:t xml:space="preserve"> </w:t>
      </w:r>
    </w:p>
    <w:p w14:paraId="58EB018C">
      <w:pPr>
        <w:spacing w:line="360" w:lineRule="auto"/>
        <w:rPr>
          <w:rFonts w:hint="eastAsia" w:ascii="宋体" w:hAnsi="宋体" w:eastAsia="宋体" w:cs="宋体"/>
        </w:rPr>
      </w:pPr>
      <w:r>
        <w:rPr>
          <w:rFonts w:hint="eastAsia" w:ascii="宋体" w:hAnsi="宋体" w:eastAsia="宋体" w:cs="宋体"/>
        </w:rPr>
        <w:t>定制脚本：</w:t>
      </w:r>
    </w:p>
    <w:p w14:paraId="66D9CA62">
      <w:pPr>
        <w:spacing w:line="360" w:lineRule="auto"/>
        <w:rPr>
          <w:rFonts w:hint="eastAsia" w:ascii="宋体" w:hAnsi="宋体" w:eastAsia="宋体" w:cs="宋体"/>
        </w:rPr>
      </w:pPr>
      <w:r>
        <w:rPr>
          <w:rFonts w:hint="eastAsia" w:ascii="宋体" w:hAnsi="宋体" w:eastAsia="宋体" w:cs="宋体"/>
        </w:rPr>
        <w:t>// Default script for data formatting</w:t>
      </w:r>
    </w:p>
    <w:p w14:paraId="7238F05E">
      <w:pPr>
        <w:spacing w:line="360" w:lineRule="auto"/>
        <w:rPr>
          <w:rFonts w:hint="eastAsia" w:ascii="宋体" w:hAnsi="宋体" w:eastAsia="宋体" w:cs="宋体"/>
        </w:rPr>
      </w:pPr>
      <w:r>
        <w:rPr>
          <w:rFonts w:hint="eastAsia" w:ascii="宋体" w:hAnsi="宋体" w:eastAsia="宋体" w:cs="宋体"/>
        </w:rPr>
        <w:t>function onResult (decodeResults, readerProperties, output)</w:t>
      </w:r>
    </w:p>
    <w:p w14:paraId="3650CE25">
      <w:pPr>
        <w:spacing w:line="360" w:lineRule="auto"/>
        <w:rPr>
          <w:rFonts w:hint="eastAsia" w:ascii="宋体" w:hAnsi="宋体" w:eastAsia="宋体" w:cs="宋体"/>
        </w:rPr>
      </w:pPr>
      <w:r>
        <w:rPr>
          <w:rFonts w:hint="eastAsia" w:ascii="宋体" w:hAnsi="宋体" w:eastAsia="宋体" w:cs="宋体"/>
        </w:rPr>
        <w:t>{</w:t>
      </w:r>
    </w:p>
    <w:p w14:paraId="03CD9585">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var ret=[],retLen=2;</w:t>
      </w:r>
    </w:p>
    <w:p w14:paraId="0CEA3953">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for(var k=0;k&lt;decodeResults.length;k++){</w:t>
      </w:r>
    </w:p>
    <w:p w14:paraId="35ADDDFB">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if (decodeResults[k].decoded)</w:t>
      </w:r>
    </w:p>
    <w:p w14:paraId="3E35DD20">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70FDA671">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ret.push(decodeResults[k].content);</w:t>
      </w:r>
    </w:p>
    <w:p w14:paraId="1F833724">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76E5A359">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3BF6A1D4">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if(ret.length&lt;retLen){</w:t>
      </w:r>
    </w:p>
    <w:p w14:paraId="75F4C087">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var ngNUm=retLen-ret.length;</w:t>
      </w:r>
    </w:p>
    <w:p w14:paraId="34032FF8">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for(var k=0;k&lt;ngNUm;k++){</w:t>
      </w:r>
    </w:p>
    <w:p w14:paraId="42F78704">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ret.push("NG");</w:t>
      </w:r>
    </w:p>
    <w:p w14:paraId="44A03E81">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2EA51150">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w:t>
      </w:r>
    </w:p>
    <w:p w14:paraId="506005FE">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output.content=ret.join(";")+"\r\n"</w:t>
      </w:r>
    </w:p>
    <w:p w14:paraId="316C8179">
      <w:pPr>
        <w:spacing w:line="360" w:lineRule="auto"/>
        <w:rPr>
          <w:rFonts w:hint="eastAsia" w:ascii="宋体" w:hAnsi="宋体" w:eastAsia="宋体" w:cs="宋体"/>
        </w:rPr>
      </w:pPr>
      <w:r>
        <w:rPr>
          <w:rFonts w:hint="eastAsia" w:ascii="宋体" w:hAnsi="宋体" w:eastAsia="宋体" w:cs="宋体"/>
        </w:rPr>
        <w:t>}</w:t>
      </w:r>
    </w:p>
    <w:p w14:paraId="14F8750F">
      <w:pPr>
        <w:spacing w:line="360" w:lineRule="auto"/>
        <w:rPr>
          <w:rFonts w:hint="eastAsia" w:ascii="宋体" w:hAnsi="宋体" w:eastAsia="宋体" w:cs="宋体"/>
        </w:rPr>
      </w:pPr>
      <w:r>
        <w:rPr>
          <w:rFonts w:hint="eastAsia" w:ascii="宋体" w:hAnsi="宋体" w:eastAsia="宋体" w:cs="宋体"/>
        </w:rPr>
        <w:t xml:space="preserve"> </w:t>
      </w:r>
    </w:p>
    <w:p w14:paraId="72AB61BD">
      <w:pPr>
        <w:pStyle w:val="13"/>
        <w:bidi w:val="0"/>
        <w:spacing w:line="360" w:lineRule="auto"/>
        <w:rPr>
          <w:rFonts w:hint="eastAsia" w:ascii="宋体" w:hAnsi="宋体" w:eastAsia="宋体" w:cs="宋体"/>
          <w:lang w:val="en-US" w:eastAsia="zh-Hans"/>
        </w:rPr>
      </w:pPr>
      <w:r>
        <w:rPr>
          <w:rFonts w:hint="eastAsia" w:ascii="宋体" w:hAnsi="宋体" w:eastAsia="宋体" w:cs="宋体"/>
          <w:lang w:val="en-US" w:eastAsia="zh-Hans"/>
        </w:rPr>
        <w:t>通信</w:t>
      </w:r>
    </w:p>
    <w:p w14:paraId="1448A2F2">
      <w:pPr>
        <w:spacing w:line="360" w:lineRule="auto"/>
        <w:rPr>
          <w:rFonts w:hint="eastAsia" w:ascii="宋体" w:hAnsi="宋体" w:eastAsia="宋体" w:cs="宋体"/>
        </w:rPr>
      </w:pPr>
      <w:r>
        <w:rPr>
          <w:rFonts w:hint="eastAsia" w:ascii="宋体" w:hAnsi="宋体" w:eastAsia="宋体" w:cs="宋体"/>
        </w:rPr>
        <w:t>通信图片中的IP只做参考，实际配置请参考“4.3读码器命名与IP地址”章节。</w:t>
      </w:r>
    </w:p>
    <w:p w14:paraId="525813CE">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5659755"/>
            <wp:effectExtent l="0" t="0" r="17780" b="17145"/>
            <wp:docPr id="1607904840" name="图片 160790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04840" name="图片 16079048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278120" cy="5659755"/>
                    </a:xfrm>
                    <a:prstGeom prst="rect">
                      <a:avLst/>
                    </a:prstGeom>
                    <a:noFill/>
                    <a:ln>
                      <a:noFill/>
                    </a:ln>
                  </pic:spPr>
                </pic:pic>
              </a:graphicData>
            </a:graphic>
          </wp:inline>
        </w:drawing>
      </w:r>
      <w:r>
        <w:rPr>
          <w:rFonts w:hint="eastAsia" w:ascii="宋体" w:hAnsi="宋体" w:eastAsia="宋体" w:cs="宋体"/>
        </w:rPr>
        <w:t xml:space="preserve"> </w:t>
      </w:r>
    </w:p>
    <w:p w14:paraId="68792648">
      <w:pPr>
        <w:spacing w:line="360" w:lineRule="auto"/>
        <w:rPr>
          <w:rFonts w:hint="eastAsia" w:ascii="宋体" w:hAnsi="宋体" w:eastAsia="宋体" w:cs="宋体"/>
        </w:rPr>
      </w:pPr>
      <w:r>
        <w:rPr>
          <w:rFonts w:hint="eastAsia" w:ascii="宋体" w:hAnsi="宋体" w:eastAsia="宋体" w:cs="宋体"/>
        </w:rPr>
        <w:t xml:space="preserve"> </w:t>
      </w:r>
    </w:p>
    <w:p w14:paraId="6ECD2A9C">
      <w:pPr>
        <w:pStyle w:val="12"/>
        <w:bidi w:val="0"/>
        <w:spacing w:line="360" w:lineRule="auto"/>
        <w:rPr>
          <w:rFonts w:hint="eastAsia" w:ascii="宋体" w:hAnsi="宋体" w:eastAsia="宋体" w:cs="宋体"/>
        </w:rPr>
      </w:pPr>
      <w:bookmarkStart w:id="184" w:name="_Toc204277122"/>
      <w:bookmarkStart w:id="185" w:name="_Toc157765688"/>
      <w:r>
        <w:rPr>
          <w:rFonts w:hint="eastAsia" w:ascii="宋体" w:hAnsi="宋体" w:eastAsia="宋体" w:cs="宋体"/>
        </w:rPr>
        <w:t>包装机-关联校验（读双码）</w:t>
      </w:r>
      <w:bookmarkEnd w:id="184"/>
      <w:bookmarkEnd w:id="185"/>
    </w:p>
    <w:p w14:paraId="4D5123BD">
      <w:pPr>
        <w:pStyle w:val="13"/>
        <w:bidi w:val="0"/>
        <w:spacing w:line="360" w:lineRule="auto"/>
        <w:rPr>
          <w:rFonts w:hint="eastAsia" w:ascii="宋体" w:hAnsi="宋体" w:eastAsia="宋体" w:cs="宋体"/>
        </w:rPr>
      </w:pPr>
      <w:r>
        <w:rPr>
          <w:rFonts w:hint="eastAsia" w:ascii="宋体" w:hAnsi="宋体" w:eastAsia="宋体" w:cs="宋体"/>
        </w:rPr>
        <w:t>代码细节</w:t>
      </w:r>
    </w:p>
    <w:p w14:paraId="1989A083">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盒码类型只勾选：</w:t>
      </w:r>
      <w:r>
        <w:rPr>
          <w:rFonts w:hint="eastAsia" w:ascii="宋体" w:hAnsi="宋体" w:eastAsia="宋体" w:cs="宋体"/>
          <w:b/>
          <w:bCs/>
        </w:rPr>
        <w:tab/>
      </w:r>
      <w:r>
        <w:rPr>
          <w:rFonts w:hint="eastAsia" w:ascii="宋体" w:hAnsi="宋体" w:eastAsia="宋体" w:cs="宋体"/>
          <w:b/>
          <w:bCs/>
        </w:rPr>
        <w:t xml:space="preserve"> QRCode</w:t>
      </w:r>
    </w:p>
    <w:p w14:paraId="0A4DDB55">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代码数量设置为：</w:t>
      </w:r>
      <w:r>
        <w:rPr>
          <w:rFonts w:hint="eastAsia" w:ascii="宋体" w:hAnsi="宋体" w:eastAsia="宋体" w:cs="宋体"/>
          <w:b/>
          <w:bCs/>
        </w:rPr>
        <w:tab/>
      </w:r>
      <w:r>
        <w:rPr>
          <w:rFonts w:hint="eastAsia" w:ascii="宋体" w:hAnsi="宋体" w:eastAsia="宋体" w:cs="宋体"/>
          <w:b/>
          <w:bCs/>
        </w:rPr>
        <w:t xml:space="preserve"> 2</w:t>
      </w:r>
    </w:p>
    <w:p w14:paraId="2813DC4A">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部分结果为有效读码：否</w:t>
      </w:r>
    </w:p>
    <w:p w14:paraId="2435D260">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QR/Maxi/Aztec:</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 xml:space="preserve"> 2</w:t>
      </w:r>
    </w:p>
    <w:p w14:paraId="33C7AA88">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代码排序：</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ab/>
      </w:r>
    </w:p>
    <w:p w14:paraId="31674F74">
      <w:pPr>
        <w:widowControl w:val="0"/>
        <w:numPr>
          <w:ilvl w:val="1"/>
          <w:numId w:val="19"/>
        </w:numPr>
        <w:spacing w:line="360" w:lineRule="auto"/>
        <w:jc w:val="both"/>
        <w:rPr>
          <w:rFonts w:hint="eastAsia" w:ascii="宋体" w:hAnsi="宋体" w:eastAsia="宋体" w:cs="宋体"/>
          <w:b/>
          <w:bCs/>
        </w:rPr>
      </w:pPr>
      <w:r>
        <w:rPr>
          <w:rFonts w:hint="eastAsia" w:ascii="宋体" w:hAnsi="宋体" w:eastAsia="宋体" w:cs="宋体"/>
          <w:b/>
          <w:bCs/>
        </w:rPr>
        <w:t xml:space="preserve">外侧选（从左到右）/ 内侧选（从右到左）  </w:t>
      </w:r>
    </w:p>
    <w:p w14:paraId="1CF8C082">
      <w:pPr>
        <w:widowControl w:val="0"/>
        <w:numPr>
          <w:ilvl w:val="1"/>
          <w:numId w:val="19"/>
        </w:numPr>
        <w:spacing w:line="360" w:lineRule="auto"/>
        <w:jc w:val="both"/>
        <w:rPr>
          <w:rFonts w:hint="eastAsia" w:ascii="宋体" w:hAnsi="宋体" w:eastAsia="宋体" w:cs="宋体"/>
          <w:b/>
          <w:bCs/>
        </w:rPr>
      </w:pPr>
      <w:r>
        <w:rPr>
          <w:rFonts w:hint="eastAsia" w:ascii="宋体" w:hAnsi="宋体" w:eastAsia="宋体" w:cs="宋体"/>
          <w:b/>
          <w:bCs/>
        </w:rPr>
        <w:t>需通过【向上】按钮排至第一个，【反向】按钮可实现（从左到右）（从右到左）切换</w:t>
      </w:r>
    </w:p>
    <w:p w14:paraId="5DDA5BF1">
      <w:pPr>
        <w:spacing w:line="360" w:lineRule="auto"/>
        <w:rPr>
          <w:rFonts w:hint="eastAsia" w:ascii="宋体" w:hAnsi="宋体" w:eastAsia="宋体" w:cs="宋体"/>
          <w:b/>
          <w:bCs/>
        </w:rPr>
      </w:pPr>
      <w:r>
        <w:rPr>
          <w:rFonts w:hint="eastAsia" w:ascii="宋体" w:hAnsi="宋体" w:eastAsia="宋体" w:cs="宋体"/>
          <w:b/>
          <w:bCs/>
        </w:rPr>
        <w:t xml:space="preserve"> </w:t>
      </w:r>
    </w:p>
    <w:p w14:paraId="79642F37">
      <w:pPr>
        <w:spacing w:line="360" w:lineRule="auto"/>
        <w:rPr>
          <w:rFonts w:hint="eastAsia" w:ascii="宋体" w:hAnsi="宋体" w:eastAsia="宋体" w:cs="宋体"/>
          <w:b/>
          <w:bCs/>
        </w:rPr>
      </w:pPr>
      <w:r>
        <w:rPr>
          <w:rFonts w:hint="eastAsia" w:ascii="宋体" w:hAnsi="宋体" w:eastAsia="宋体" w:cs="宋体"/>
          <w:b/>
          <w:bCs/>
        </w:rPr>
        <w:t xml:space="preserve"> </w:t>
      </w:r>
    </w:p>
    <w:p w14:paraId="6B6EE08B">
      <w:pPr>
        <w:spacing w:line="360" w:lineRule="auto"/>
        <w:rPr>
          <w:rFonts w:hint="eastAsia" w:ascii="宋体" w:hAnsi="宋体" w:eastAsia="宋体" w:cs="宋体"/>
        </w:rPr>
      </w:pPr>
      <w:r>
        <w:rPr>
          <w:rFonts w:hint="eastAsia" w:ascii="宋体" w:hAnsi="宋体" w:eastAsia="宋体" w:cs="宋体"/>
        </w:rPr>
        <w:drawing>
          <wp:inline distT="0" distB="0" distL="0" distR="0">
            <wp:extent cx="5266690" cy="7049135"/>
            <wp:effectExtent l="0" t="0" r="10160" b="18415"/>
            <wp:docPr id="908229437" name="图片 908229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29437" name="图片 9082294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66690" cy="7049135"/>
                    </a:xfrm>
                    <a:prstGeom prst="rect">
                      <a:avLst/>
                    </a:prstGeom>
                    <a:noFill/>
                    <a:ln>
                      <a:noFill/>
                    </a:ln>
                  </pic:spPr>
                </pic:pic>
              </a:graphicData>
            </a:graphic>
          </wp:inline>
        </w:drawing>
      </w:r>
      <w:r>
        <w:rPr>
          <w:rFonts w:hint="eastAsia" w:ascii="宋体" w:hAnsi="宋体" w:eastAsia="宋体" w:cs="宋体"/>
        </w:rPr>
        <w:t xml:space="preserve"> </w:t>
      </w:r>
    </w:p>
    <w:p w14:paraId="2BBB439B">
      <w:pPr>
        <w:pStyle w:val="13"/>
        <w:bidi w:val="0"/>
        <w:spacing w:line="360" w:lineRule="auto"/>
        <w:rPr>
          <w:rFonts w:hint="eastAsia" w:ascii="宋体" w:hAnsi="宋体" w:eastAsia="宋体" w:cs="宋体"/>
        </w:rPr>
      </w:pPr>
      <w:r>
        <w:rPr>
          <w:rFonts w:hint="eastAsia" w:ascii="宋体" w:hAnsi="宋体" w:eastAsia="宋体" w:cs="宋体"/>
        </w:rPr>
        <w:br w:type="page"/>
      </w:r>
      <w:r>
        <w:rPr>
          <w:rFonts w:hint="eastAsia" w:ascii="宋体" w:hAnsi="宋体" w:eastAsia="宋体" w:cs="宋体"/>
        </w:rPr>
        <w:t>应用明细</w:t>
      </w:r>
    </w:p>
    <w:p w14:paraId="62924C5F">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触发类型：</w:t>
      </w:r>
      <w:r>
        <w:rPr>
          <w:rFonts w:hint="eastAsia" w:ascii="宋体" w:hAnsi="宋体" w:eastAsia="宋体" w:cs="宋体"/>
          <w:b/>
          <w:bCs/>
        </w:rPr>
        <w:tab/>
      </w:r>
      <w:r>
        <w:rPr>
          <w:rFonts w:hint="eastAsia" w:ascii="宋体" w:hAnsi="宋体" w:eastAsia="宋体" w:cs="宋体"/>
          <w:b/>
          <w:bCs/>
        </w:rPr>
        <w:t>单个（外部）</w:t>
      </w:r>
    </w:p>
    <w:p w14:paraId="227BDF9F">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超时[MS]:</w:t>
      </w:r>
      <w:r>
        <w:rPr>
          <w:rFonts w:hint="eastAsia" w:ascii="宋体" w:hAnsi="宋体" w:eastAsia="宋体" w:cs="宋体"/>
          <w:b/>
          <w:bCs/>
        </w:rPr>
        <w:tab/>
      </w:r>
      <w:r>
        <w:rPr>
          <w:rFonts w:hint="eastAsia" w:ascii="宋体" w:hAnsi="宋体" w:eastAsia="宋体" w:cs="宋体"/>
          <w:b/>
          <w:bCs/>
        </w:rPr>
        <w:t>120毫秒</w:t>
      </w:r>
    </w:p>
    <w:p w14:paraId="46DB8A41">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曝光：</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手动曝光</w:t>
      </w:r>
    </w:p>
    <w:p w14:paraId="10646828">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4618355"/>
            <wp:effectExtent l="0" t="0" r="17780" b="10795"/>
            <wp:docPr id="20065672" name="图片 2006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672" name="图片 200656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8120" cy="4618355"/>
                    </a:xfrm>
                    <a:prstGeom prst="rect">
                      <a:avLst/>
                    </a:prstGeom>
                    <a:noFill/>
                    <a:ln>
                      <a:noFill/>
                    </a:ln>
                  </pic:spPr>
                </pic:pic>
              </a:graphicData>
            </a:graphic>
          </wp:inline>
        </w:drawing>
      </w:r>
      <w:r>
        <w:rPr>
          <w:rFonts w:hint="eastAsia" w:ascii="宋体" w:hAnsi="宋体" w:eastAsia="宋体" w:cs="宋体"/>
        </w:rPr>
        <w:t xml:space="preserve"> </w:t>
      </w:r>
    </w:p>
    <w:p w14:paraId="2B2CC451">
      <w:pPr>
        <w:spacing w:line="360" w:lineRule="auto"/>
        <w:rPr>
          <w:rFonts w:hint="eastAsia" w:ascii="宋体" w:hAnsi="宋体" w:eastAsia="宋体" w:cs="宋体"/>
        </w:rPr>
      </w:pPr>
      <w:r>
        <w:rPr>
          <w:rFonts w:hint="eastAsia" w:ascii="宋体" w:hAnsi="宋体" w:eastAsia="宋体" w:cs="宋体"/>
        </w:rPr>
        <w:t xml:space="preserve"> </w:t>
      </w:r>
    </w:p>
    <w:p w14:paraId="617FBFBA">
      <w:pPr>
        <w:pStyle w:val="13"/>
        <w:bidi w:val="0"/>
        <w:spacing w:line="360" w:lineRule="auto"/>
        <w:rPr>
          <w:rFonts w:hint="eastAsia" w:ascii="宋体" w:hAnsi="宋体" w:eastAsia="宋体" w:cs="宋体"/>
        </w:rPr>
      </w:pPr>
      <w:r>
        <w:rPr>
          <w:rFonts w:hint="eastAsia" w:ascii="宋体" w:hAnsi="宋体" w:eastAsia="宋体" w:cs="宋体"/>
        </w:rPr>
        <w:br w:type="page"/>
      </w:r>
      <w:r>
        <w:rPr>
          <w:rFonts w:hint="eastAsia" w:ascii="宋体" w:hAnsi="宋体" w:eastAsia="宋体" w:cs="宋体"/>
        </w:rPr>
        <w:t>格式化数据</w:t>
      </w:r>
    </w:p>
    <w:p w14:paraId="34126132">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勾选脚本格式化</w:t>
      </w:r>
    </w:p>
    <w:p w14:paraId="1D750884">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输入自定义脚本</w:t>
      </w:r>
    </w:p>
    <w:p w14:paraId="663754ED">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3715385"/>
            <wp:effectExtent l="0" t="0" r="17780" b="18415"/>
            <wp:docPr id="317840284" name="图片 31784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40284" name="图片 3178402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278120" cy="3715385"/>
                    </a:xfrm>
                    <a:prstGeom prst="rect">
                      <a:avLst/>
                    </a:prstGeom>
                    <a:noFill/>
                    <a:ln>
                      <a:noFill/>
                    </a:ln>
                  </pic:spPr>
                </pic:pic>
              </a:graphicData>
            </a:graphic>
          </wp:inline>
        </w:drawing>
      </w:r>
      <w:r>
        <w:rPr>
          <w:rFonts w:hint="eastAsia" w:ascii="宋体" w:hAnsi="宋体" w:eastAsia="宋体" w:cs="宋体"/>
        </w:rPr>
        <w:t xml:space="preserve"> </w:t>
      </w:r>
    </w:p>
    <w:p w14:paraId="6C863EE5">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6701790"/>
            <wp:effectExtent l="0" t="0" r="17780" b="3810"/>
            <wp:docPr id="755443637" name="图片 75544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43637" name="图片 7554436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78120" cy="6701790"/>
                    </a:xfrm>
                    <a:prstGeom prst="rect">
                      <a:avLst/>
                    </a:prstGeom>
                    <a:noFill/>
                    <a:ln>
                      <a:noFill/>
                    </a:ln>
                  </pic:spPr>
                </pic:pic>
              </a:graphicData>
            </a:graphic>
          </wp:inline>
        </w:drawing>
      </w:r>
      <w:r>
        <w:rPr>
          <w:rFonts w:hint="eastAsia" w:ascii="宋体" w:hAnsi="宋体" w:eastAsia="宋体" w:cs="宋体"/>
        </w:rPr>
        <w:t xml:space="preserve"> </w:t>
      </w:r>
    </w:p>
    <w:p w14:paraId="14E8E8A0">
      <w:pPr>
        <w:spacing w:line="360" w:lineRule="auto"/>
        <w:rPr>
          <w:rFonts w:hint="eastAsia" w:ascii="宋体" w:hAnsi="宋体" w:eastAsia="宋体" w:cs="宋体"/>
        </w:rPr>
      </w:pPr>
      <w:r>
        <w:rPr>
          <w:rFonts w:hint="eastAsia" w:ascii="宋体" w:hAnsi="宋体" w:eastAsia="宋体" w:cs="宋体"/>
        </w:rPr>
        <w:t>定制脚本：</w:t>
      </w:r>
    </w:p>
    <w:p w14:paraId="71498189">
      <w:pPr>
        <w:spacing w:line="360" w:lineRule="auto"/>
        <w:rPr>
          <w:rFonts w:hint="eastAsia" w:ascii="宋体" w:hAnsi="宋体" w:eastAsia="宋体" w:cs="宋体"/>
        </w:rPr>
      </w:pPr>
      <w:r>
        <w:rPr>
          <w:rFonts w:hint="eastAsia" w:ascii="宋体" w:hAnsi="宋体" w:eastAsia="宋体" w:cs="宋体"/>
        </w:rPr>
        <w:t>// Default script for data formatting</w:t>
      </w:r>
    </w:p>
    <w:p w14:paraId="71F28205">
      <w:pPr>
        <w:spacing w:line="360" w:lineRule="auto"/>
        <w:rPr>
          <w:rFonts w:hint="eastAsia" w:ascii="宋体" w:hAnsi="宋体" w:eastAsia="宋体" w:cs="宋体"/>
        </w:rPr>
      </w:pPr>
      <w:r>
        <w:rPr>
          <w:rFonts w:hint="eastAsia" w:ascii="宋体" w:hAnsi="宋体" w:eastAsia="宋体" w:cs="宋体"/>
        </w:rPr>
        <w:t>function onResult (decodeResults, readerProperties, output)</w:t>
      </w:r>
    </w:p>
    <w:p w14:paraId="2F2226FB">
      <w:pPr>
        <w:spacing w:line="360" w:lineRule="auto"/>
        <w:rPr>
          <w:rFonts w:hint="eastAsia" w:ascii="宋体" w:hAnsi="宋体" w:eastAsia="宋体" w:cs="宋体"/>
        </w:rPr>
      </w:pPr>
      <w:r>
        <w:rPr>
          <w:rFonts w:hint="eastAsia" w:ascii="宋体" w:hAnsi="宋体" w:eastAsia="宋体" w:cs="宋体"/>
        </w:rPr>
        <w:t>{</w:t>
      </w:r>
    </w:p>
    <w:p w14:paraId="119C62B0">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var ret=[],retLen=2;</w:t>
      </w:r>
    </w:p>
    <w:p w14:paraId="70EF5FE2">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for(var k=0;k&lt;decodeResults.length;k++){</w:t>
      </w:r>
    </w:p>
    <w:p w14:paraId="072ED60A">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if (decodeResults[k].decoded)</w:t>
      </w:r>
    </w:p>
    <w:p w14:paraId="009FDB2E">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33F8F7FF">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ret.push(decodeResults[k].content);</w:t>
      </w:r>
    </w:p>
    <w:p w14:paraId="7E4DF901">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407B5817">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5A2C764E">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if(ret.length&lt;retLen){</w:t>
      </w:r>
    </w:p>
    <w:p w14:paraId="54CCAE24">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var ngNUm=retLen-ret.length;</w:t>
      </w:r>
    </w:p>
    <w:p w14:paraId="6F5B25F9">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for(var k=0;k&lt;ngNUm;k++){</w:t>
      </w:r>
    </w:p>
    <w:p w14:paraId="3C6B0EA1">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ret.push("NG");</w:t>
      </w:r>
    </w:p>
    <w:p w14:paraId="2E8C0AB4">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w:t>
      </w:r>
    </w:p>
    <w:p w14:paraId="3846A6CF">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w:t>
      </w:r>
    </w:p>
    <w:p w14:paraId="6BBAFD0D">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output.content=ret.join(";")+"\r\n"</w:t>
      </w:r>
    </w:p>
    <w:p w14:paraId="16FC404F">
      <w:pPr>
        <w:spacing w:line="360" w:lineRule="auto"/>
        <w:rPr>
          <w:rFonts w:hint="eastAsia" w:ascii="宋体" w:hAnsi="宋体" w:eastAsia="宋体" w:cs="宋体"/>
        </w:rPr>
      </w:pPr>
      <w:r>
        <w:rPr>
          <w:rFonts w:hint="eastAsia" w:ascii="宋体" w:hAnsi="宋体" w:eastAsia="宋体" w:cs="宋体"/>
        </w:rPr>
        <w:t>}</w:t>
      </w:r>
    </w:p>
    <w:p w14:paraId="44B195B1">
      <w:pPr>
        <w:spacing w:line="360" w:lineRule="auto"/>
        <w:rPr>
          <w:rFonts w:hint="eastAsia" w:ascii="宋体" w:hAnsi="宋体" w:eastAsia="宋体" w:cs="宋体"/>
        </w:rPr>
      </w:pPr>
      <w:r>
        <w:rPr>
          <w:rFonts w:hint="eastAsia" w:ascii="宋体" w:hAnsi="宋体" w:eastAsia="宋体" w:cs="宋体"/>
        </w:rPr>
        <w:t xml:space="preserve"> </w:t>
      </w:r>
    </w:p>
    <w:p w14:paraId="231CD5DA">
      <w:pPr>
        <w:pStyle w:val="13"/>
        <w:bidi w:val="0"/>
        <w:spacing w:line="360" w:lineRule="auto"/>
        <w:rPr>
          <w:rFonts w:hint="eastAsia" w:ascii="宋体" w:hAnsi="宋体" w:eastAsia="宋体" w:cs="宋体"/>
        </w:rPr>
      </w:pPr>
      <w:r>
        <w:rPr>
          <w:rFonts w:hint="eastAsia" w:ascii="宋体" w:hAnsi="宋体" w:eastAsia="宋体" w:cs="宋体"/>
        </w:rPr>
        <w:t>通信</w:t>
      </w:r>
    </w:p>
    <w:p w14:paraId="71B65A8C">
      <w:pPr>
        <w:spacing w:line="360" w:lineRule="auto"/>
        <w:rPr>
          <w:rFonts w:hint="eastAsia" w:ascii="宋体" w:hAnsi="宋体" w:eastAsia="宋体" w:cs="宋体"/>
        </w:rPr>
      </w:pPr>
      <w:r>
        <w:rPr>
          <w:rFonts w:hint="eastAsia" w:ascii="宋体" w:hAnsi="宋体" w:eastAsia="宋体" w:cs="宋体"/>
        </w:rPr>
        <w:t>通信图片中的IP只做参考，实际配置请参考“4.3读码器命名与IP地址”章节。</w:t>
      </w:r>
    </w:p>
    <w:p w14:paraId="22ABA39C">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5781675"/>
            <wp:effectExtent l="0" t="0" r="17780" b="9525"/>
            <wp:docPr id="787874727" name="图片 78787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74727" name="图片 7878747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78120" cy="5781675"/>
                    </a:xfrm>
                    <a:prstGeom prst="rect">
                      <a:avLst/>
                    </a:prstGeom>
                    <a:noFill/>
                    <a:ln>
                      <a:noFill/>
                    </a:ln>
                  </pic:spPr>
                </pic:pic>
              </a:graphicData>
            </a:graphic>
          </wp:inline>
        </w:drawing>
      </w:r>
      <w:r>
        <w:rPr>
          <w:rFonts w:hint="eastAsia" w:ascii="宋体" w:hAnsi="宋体" w:eastAsia="宋体" w:cs="宋体"/>
        </w:rPr>
        <w:t xml:space="preserve"> </w:t>
      </w:r>
    </w:p>
    <w:p w14:paraId="7DDFE853">
      <w:pPr>
        <w:pStyle w:val="12"/>
        <w:bidi w:val="0"/>
        <w:spacing w:line="360" w:lineRule="auto"/>
        <w:rPr>
          <w:rFonts w:hint="eastAsia" w:ascii="宋体" w:hAnsi="宋体" w:eastAsia="宋体" w:cs="宋体"/>
        </w:rPr>
      </w:pPr>
      <w:bookmarkStart w:id="186" w:name="_Toc1056519319"/>
      <w:bookmarkStart w:id="187" w:name="_Toc157765689"/>
      <w:r>
        <w:rPr>
          <w:rFonts w:hint="eastAsia" w:ascii="宋体" w:hAnsi="宋体" w:eastAsia="宋体" w:cs="宋体"/>
        </w:rPr>
        <w:t>包装机-条盒读码工位</w:t>
      </w:r>
      <w:bookmarkEnd w:id="186"/>
      <w:bookmarkEnd w:id="187"/>
    </w:p>
    <w:p w14:paraId="4632265C">
      <w:pPr>
        <w:pStyle w:val="13"/>
        <w:bidi w:val="0"/>
        <w:spacing w:line="360" w:lineRule="auto"/>
        <w:rPr>
          <w:rFonts w:hint="eastAsia" w:ascii="宋体" w:hAnsi="宋体" w:eastAsia="宋体" w:cs="宋体"/>
        </w:rPr>
      </w:pPr>
      <w:r>
        <w:rPr>
          <w:rFonts w:hint="eastAsia" w:ascii="宋体" w:hAnsi="宋体" w:eastAsia="宋体" w:cs="宋体"/>
        </w:rPr>
        <w:t>格式化数据</w:t>
      </w:r>
    </w:p>
    <w:p w14:paraId="4F86F2AE">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勾选脚本格式化</w:t>
      </w:r>
    </w:p>
    <w:p w14:paraId="5BEA9FB0">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输入自定义脚本</w:t>
      </w:r>
    </w:p>
    <w:p w14:paraId="42932946">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3715385"/>
            <wp:effectExtent l="0" t="0" r="17780" b="18415"/>
            <wp:docPr id="1850875352" name="图片 185087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75352" name="图片 18508753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278120" cy="3715385"/>
                    </a:xfrm>
                    <a:prstGeom prst="rect">
                      <a:avLst/>
                    </a:prstGeom>
                    <a:noFill/>
                    <a:ln>
                      <a:noFill/>
                    </a:ln>
                  </pic:spPr>
                </pic:pic>
              </a:graphicData>
            </a:graphic>
          </wp:inline>
        </w:drawing>
      </w:r>
      <w:r>
        <w:rPr>
          <w:rFonts w:hint="eastAsia" w:ascii="宋体" w:hAnsi="宋体" w:eastAsia="宋体" w:cs="宋体"/>
        </w:rPr>
        <w:t xml:space="preserve"> </w:t>
      </w:r>
    </w:p>
    <w:p w14:paraId="50BBBBE8">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6539865"/>
            <wp:effectExtent l="0" t="0" r="17780" b="13335"/>
            <wp:docPr id="1513850401" name="图片 151385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50401" name="图片 15138504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278120" cy="6539865"/>
                    </a:xfrm>
                    <a:prstGeom prst="rect">
                      <a:avLst/>
                    </a:prstGeom>
                    <a:noFill/>
                    <a:ln>
                      <a:noFill/>
                    </a:ln>
                  </pic:spPr>
                </pic:pic>
              </a:graphicData>
            </a:graphic>
          </wp:inline>
        </w:drawing>
      </w:r>
      <w:r>
        <w:rPr>
          <w:rFonts w:hint="eastAsia" w:ascii="宋体" w:hAnsi="宋体" w:eastAsia="宋体" w:cs="宋体"/>
        </w:rPr>
        <w:t xml:space="preserve"> </w:t>
      </w:r>
    </w:p>
    <w:p w14:paraId="62B04F11">
      <w:pPr>
        <w:spacing w:line="360" w:lineRule="auto"/>
        <w:rPr>
          <w:rFonts w:hint="eastAsia" w:ascii="宋体" w:hAnsi="宋体" w:eastAsia="宋体" w:cs="宋体"/>
        </w:rPr>
      </w:pPr>
      <w:r>
        <w:rPr>
          <w:rFonts w:hint="eastAsia" w:ascii="宋体" w:hAnsi="宋体" w:eastAsia="宋体" w:cs="宋体"/>
        </w:rPr>
        <w:t>定制脚本：</w:t>
      </w:r>
    </w:p>
    <w:p w14:paraId="683ADCE3">
      <w:pPr>
        <w:spacing w:line="360" w:lineRule="auto"/>
        <w:rPr>
          <w:rFonts w:hint="eastAsia" w:ascii="宋体" w:hAnsi="宋体" w:eastAsia="宋体" w:cs="宋体"/>
        </w:rPr>
      </w:pPr>
      <w:r>
        <w:rPr>
          <w:rFonts w:hint="eastAsia" w:ascii="宋体" w:hAnsi="宋体" w:eastAsia="宋体" w:cs="宋体"/>
        </w:rPr>
        <w:t>// Default script for data formatting</w:t>
      </w:r>
    </w:p>
    <w:p w14:paraId="5E527C29">
      <w:pPr>
        <w:spacing w:line="360" w:lineRule="auto"/>
        <w:rPr>
          <w:rFonts w:hint="eastAsia" w:ascii="宋体" w:hAnsi="宋体" w:eastAsia="宋体" w:cs="宋体"/>
        </w:rPr>
      </w:pPr>
      <w:r>
        <w:rPr>
          <w:rFonts w:hint="eastAsia" w:ascii="宋体" w:hAnsi="宋体" w:eastAsia="宋体" w:cs="宋体"/>
        </w:rPr>
        <w:t>function onResult (decodeResults, readerProperties, output)</w:t>
      </w:r>
    </w:p>
    <w:p w14:paraId="6CE8895B">
      <w:pPr>
        <w:spacing w:line="360" w:lineRule="auto"/>
        <w:rPr>
          <w:rFonts w:hint="eastAsia" w:ascii="宋体" w:hAnsi="宋体" w:eastAsia="宋体" w:cs="宋体"/>
        </w:rPr>
      </w:pPr>
      <w:r>
        <w:rPr>
          <w:rFonts w:hint="eastAsia" w:ascii="宋体" w:hAnsi="宋体" w:eastAsia="宋体" w:cs="宋体"/>
        </w:rPr>
        <w:t>{</w:t>
      </w:r>
    </w:p>
    <w:p w14:paraId="27C4B234">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var ret = "NG";</w:t>
      </w:r>
    </w:p>
    <w:p w14:paraId="36D88633">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if (decodeResults[0].decoded)</w:t>
      </w:r>
    </w:p>
    <w:p w14:paraId="29A76012">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w:t>
      </w:r>
    </w:p>
    <w:p w14:paraId="4562DF39">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ab/>
      </w:r>
      <w:r>
        <w:rPr>
          <w:rFonts w:hint="eastAsia" w:ascii="宋体" w:hAnsi="宋体" w:eastAsia="宋体" w:cs="宋体"/>
        </w:rPr>
        <w:t>ret = decodeResults[0].content;</w:t>
      </w:r>
    </w:p>
    <w:p w14:paraId="08A30C9E">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w:t>
      </w:r>
    </w:p>
    <w:p w14:paraId="3C20AF3E">
      <w:pPr>
        <w:spacing w:line="360" w:lineRule="auto"/>
        <w:rPr>
          <w:rFonts w:hint="eastAsia" w:ascii="宋体" w:hAnsi="宋体" w:eastAsia="宋体" w:cs="宋体"/>
        </w:rPr>
      </w:pPr>
      <w:r>
        <w:rPr>
          <w:rFonts w:hint="eastAsia" w:ascii="宋体" w:hAnsi="宋体" w:eastAsia="宋体" w:cs="宋体"/>
        </w:rPr>
        <w:tab/>
      </w:r>
      <w:r>
        <w:rPr>
          <w:rFonts w:hint="eastAsia" w:ascii="宋体" w:hAnsi="宋体" w:eastAsia="宋体" w:cs="宋体"/>
        </w:rPr>
        <w:t>output.content = ret+"\r\n";</w:t>
      </w:r>
    </w:p>
    <w:p w14:paraId="1BB88123">
      <w:pPr>
        <w:spacing w:line="360" w:lineRule="auto"/>
        <w:rPr>
          <w:rFonts w:hint="eastAsia" w:ascii="宋体" w:hAnsi="宋体" w:eastAsia="宋体" w:cs="宋体"/>
        </w:rPr>
      </w:pPr>
      <w:r>
        <w:rPr>
          <w:rFonts w:hint="eastAsia" w:ascii="宋体" w:hAnsi="宋体" w:eastAsia="宋体" w:cs="宋体"/>
        </w:rPr>
        <w:t>}</w:t>
      </w:r>
    </w:p>
    <w:p w14:paraId="09527AC2">
      <w:pPr>
        <w:pStyle w:val="13"/>
        <w:bidi w:val="0"/>
        <w:spacing w:line="360" w:lineRule="auto"/>
        <w:rPr>
          <w:rFonts w:hint="eastAsia" w:ascii="宋体" w:hAnsi="宋体" w:eastAsia="宋体" w:cs="宋体"/>
        </w:rPr>
      </w:pPr>
      <w:r>
        <w:rPr>
          <w:rFonts w:hint="eastAsia" w:ascii="宋体" w:hAnsi="宋体" w:eastAsia="宋体" w:cs="宋体"/>
        </w:rPr>
        <w:t>代码细节</w:t>
      </w:r>
    </w:p>
    <w:p w14:paraId="0B183051">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条码类型只勾选 QRCode</w:t>
      </w:r>
    </w:p>
    <w:p w14:paraId="27A6E9B3">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代码数量设置为 1</w:t>
      </w:r>
    </w:p>
    <w:p w14:paraId="3C2C6A84">
      <w:pPr>
        <w:spacing w:line="360" w:lineRule="auto"/>
        <w:rPr>
          <w:rFonts w:hint="eastAsia" w:ascii="宋体" w:hAnsi="宋体" w:eastAsia="宋体" w:cs="宋体"/>
          <w:b/>
          <w:bCs/>
        </w:rPr>
      </w:pPr>
      <w:r>
        <w:rPr>
          <w:rFonts w:hint="eastAsia" w:ascii="宋体" w:hAnsi="宋体" w:eastAsia="宋体" w:cs="宋体"/>
          <w:b/>
          <w:bCs/>
        </w:rPr>
        <w:t xml:space="preserve"> </w:t>
      </w:r>
    </w:p>
    <w:p w14:paraId="4D2BC854">
      <w:pPr>
        <w:spacing w:line="360" w:lineRule="auto"/>
        <w:rPr>
          <w:rFonts w:hint="eastAsia" w:ascii="宋体" w:hAnsi="宋体" w:eastAsia="宋体" w:cs="宋体"/>
        </w:rPr>
      </w:pPr>
      <w:r>
        <w:rPr>
          <w:rFonts w:hint="eastAsia" w:ascii="宋体" w:hAnsi="宋体" w:eastAsia="宋体" w:cs="宋体"/>
        </w:rPr>
        <w:drawing>
          <wp:inline distT="0" distB="0" distL="0" distR="0">
            <wp:extent cx="4745355" cy="5144770"/>
            <wp:effectExtent l="0" t="0" r="17145" b="17780"/>
            <wp:docPr id="1351519266" name="图片 135151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19266" name="图片 13515192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745355" cy="5144770"/>
                    </a:xfrm>
                    <a:prstGeom prst="rect">
                      <a:avLst/>
                    </a:prstGeom>
                    <a:noFill/>
                    <a:ln>
                      <a:noFill/>
                    </a:ln>
                  </pic:spPr>
                </pic:pic>
              </a:graphicData>
            </a:graphic>
          </wp:inline>
        </w:drawing>
      </w:r>
      <w:r>
        <w:rPr>
          <w:rFonts w:hint="eastAsia" w:ascii="宋体" w:hAnsi="宋体" w:eastAsia="宋体" w:cs="宋体"/>
        </w:rPr>
        <w:t xml:space="preserve"> </w:t>
      </w:r>
    </w:p>
    <w:p w14:paraId="300D1333">
      <w:pPr>
        <w:pStyle w:val="13"/>
        <w:bidi w:val="0"/>
        <w:spacing w:line="360" w:lineRule="auto"/>
        <w:rPr>
          <w:rFonts w:hint="eastAsia" w:ascii="宋体" w:hAnsi="宋体" w:eastAsia="宋体" w:cs="宋体"/>
        </w:rPr>
      </w:pPr>
      <w:r>
        <w:rPr>
          <w:rFonts w:hint="eastAsia" w:ascii="宋体" w:hAnsi="宋体" w:eastAsia="宋体" w:cs="宋体"/>
        </w:rPr>
        <w:br w:type="page"/>
      </w:r>
      <w:r>
        <w:rPr>
          <w:rFonts w:hint="eastAsia" w:ascii="宋体" w:hAnsi="宋体" w:eastAsia="宋体" w:cs="宋体"/>
        </w:rPr>
        <w:t>应用明细</w:t>
      </w:r>
    </w:p>
    <w:p w14:paraId="060FDF23">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触发类型：</w:t>
      </w:r>
      <w:r>
        <w:rPr>
          <w:rFonts w:hint="eastAsia" w:ascii="宋体" w:hAnsi="宋体" w:eastAsia="宋体" w:cs="宋体"/>
          <w:b/>
          <w:bCs/>
        </w:rPr>
        <w:tab/>
      </w:r>
      <w:r>
        <w:rPr>
          <w:rFonts w:hint="eastAsia" w:ascii="宋体" w:hAnsi="宋体" w:eastAsia="宋体" w:cs="宋体"/>
          <w:b/>
          <w:bCs/>
        </w:rPr>
        <w:t>单个（外部）</w:t>
      </w:r>
    </w:p>
    <w:p w14:paraId="09016029">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超时[MS]:</w:t>
      </w:r>
      <w:r>
        <w:rPr>
          <w:rFonts w:hint="eastAsia" w:ascii="宋体" w:hAnsi="宋体" w:eastAsia="宋体" w:cs="宋体"/>
          <w:b/>
          <w:bCs/>
        </w:rPr>
        <w:tab/>
      </w:r>
      <w:r>
        <w:rPr>
          <w:rFonts w:hint="eastAsia" w:ascii="宋体" w:hAnsi="宋体" w:eastAsia="宋体" w:cs="宋体"/>
          <w:b/>
          <w:bCs/>
        </w:rPr>
        <w:t>120毫秒</w:t>
      </w:r>
    </w:p>
    <w:p w14:paraId="13F1C609">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曝光：</w:t>
      </w:r>
      <w:r>
        <w:rPr>
          <w:rFonts w:hint="eastAsia" w:ascii="宋体" w:hAnsi="宋体" w:eastAsia="宋体" w:cs="宋体"/>
          <w:b/>
          <w:bCs/>
        </w:rPr>
        <w:tab/>
      </w:r>
      <w:r>
        <w:rPr>
          <w:rFonts w:hint="eastAsia" w:ascii="宋体" w:hAnsi="宋体" w:eastAsia="宋体" w:cs="宋体"/>
          <w:b/>
          <w:bCs/>
        </w:rPr>
        <w:tab/>
      </w:r>
      <w:r>
        <w:rPr>
          <w:rFonts w:hint="eastAsia" w:ascii="宋体" w:hAnsi="宋体" w:eastAsia="宋体" w:cs="宋体"/>
          <w:b/>
          <w:bCs/>
        </w:rPr>
        <w:t>手动曝光</w:t>
      </w:r>
    </w:p>
    <w:p w14:paraId="705A9E6D">
      <w:pPr>
        <w:spacing w:line="360" w:lineRule="auto"/>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drawing>
          <wp:inline distT="0" distB="0" distL="0" distR="0">
            <wp:extent cx="4438015" cy="3883025"/>
            <wp:effectExtent l="0" t="0" r="635" b="3175"/>
            <wp:docPr id="265983423" name="图片 26598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83423" name="图片 2659834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451463" cy="3895030"/>
                    </a:xfrm>
                    <a:prstGeom prst="rect">
                      <a:avLst/>
                    </a:prstGeom>
                    <a:noFill/>
                    <a:ln>
                      <a:noFill/>
                    </a:ln>
                  </pic:spPr>
                </pic:pic>
              </a:graphicData>
            </a:graphic>
          </wp:inline>
        </w:drawing>
      </w:r>
    </w:p>
    <w:p w14:paraId="5F3AEED6">
      <w:pPr>
        <w:pStyle w:val="13"/>
        <w:bidi w:val="0"/>
        <w:spacing w:line="360" w:lineRule="auto"/>
        <w:rPr>
          <w:rFonts w:hint="eastAsia" w:ascii="宋体" w:hAnsi="宋体" w:eastAsia="宋体" w:cs="宋体"/>
        </w:rPr>
      </w:pPr>
      <w:r>
        <w:rPr>
          <w:rFonts w:hint="eastAsia" w:ascii="宋体" w:hAnsi="宋体" w:eastAsia="宋体" w:cs="宋体"/>
        </w:rPr>
        <w:t>通信</w:t>
      </w:r>
    </w:p>
    <w:p w14:paraId="66F385DF">
      <w:pPr>
        <w:spacing w:line="360" w:lineRule="auto"/>
        <w:rPr>
          <w:rFonts w:hint="eastAsia" w:ascii="宋体" w:hAnsi="宋体" w:eastAsia="宋体" w:cs="宋体"/>
        </w:rPr>
      </w:pPr>
      <w:r>
        <w:rPr>
          <w:rFonts w:hint="eastAsia" w:ascii="宋体" w:hAnsi="宋体" w:eastAsia="宋体" w:cs="宋体"/>
        </w:rPr>
        <w:t>通信图片中的IP只做参考，实际配置请参考“4.3读码器命名与IP地址”章节。</w:t>
      </w:r>
    </w:p>
    <w:p w14:paraId="3EDEA5CB">
      <w:pPr>
        <w:spacing w:line="360" w:lineRule="auto"/>
        <w:rPr>
          <w:rFonts w:hint="eastAsia" w:ascii="宋体" w:hAnsi="宋体" w:eastAsia="宋体" w:cs="宋体"/>
        </w:rPr>
      </w:pPr>
      <w:r>
        <w:rPr>
          <w:rFonts w:hint="eastAsia" w:ascii="宋体" w:hAnsi="宋体" w:eastAsia="宋体" w:cs="宋体"/>
        </w:rPr>
        <w:drawing>
          <wp:inline distT="0" distB="0" distL="0" distR="0">
            <wp:extent cx="3880485" cy="4160520"/>
            <wp:effectExtent l="0" t="0" r="5715" b="11430"/>
            <wp:docPr id="2100280483" name="图片 210028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80483" name="图片 210028048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894486" cy="4176077"/>
                    </a:xfrm>
                    <a:prstGeom prst="rect">
                      <a:avLst/>
                    </a:prstGeom>
                    <a:noFill/>
                    <a:ln>
                      <a:noFill/>
                    </a:ln>
                  </pic:spPr>
                </pic:pic>
              </a:graphicData>
            </a:graphic>
          </wp:inline>
        </w:drawing>
      </w:r>
      <w:r>
        <w:rPr>
          <w:rFonts w:hint="eastAsia" w:ascii="宋体" w:hAnsi="宋体" w:eastAsia="宋体" w:cs="宋体"/>
        </w:rPr>
        <w:t xml:space="preserve"> </w:t>
      </w:r>
    </w:p>
    <w:p w14:paraId="7A81F725">
      <w:pPr>
        <w:spacing w:line="360" w:lineRule="auto"/>
        <w:rPr>
          <w:rFonts w:hint="eastAsia" w:ascii="宋体" w:hAnsi="宋体" w:eastAsia="宋体" w:cs="宋体"/>
        </w:rPr>
      </w:pPr>
      <w:r>
        <w:rPr>
          <w:rFonts w:hint="eastAsia" w:ascii="宋体" w:hAnsi="宋体" w:eastAsia="宋体" w:cs="宋体"/>
        </w:rPr>
        <w:t xml:space="preserve"> </w:t>
      </w:r>
    </w:p>
    <w:p w14:paraId="52EFDC3B">
      <w:pPr>
        <w:pStyle w:val="13"/>
        <w:bidi w:val="0"/>
        <w:spacing w:line="360" w:lineRule="auto"/>
        <w:rPr>
          <w:rFonts w:hint="eastAsia" w:ascii="宋体" w:hAnsi="宋体" w:eastAsia="宋体" w:cs="宋体"/>
        </w:rPr>
      </w:pPr>
      <w:r>
        <w:rPr>
          <w:rFonts w:hint="eastAsia" w:ascii="宋体" w:hAnsi="宋体" w:eastAsia="宋体" w:cs="宋体"/>
        </w:rPr>
        <w:t>优化图像</w:t>
      </w:r>
    </w:p>
    <w:p w14:paraId="4BC82DFC">
      <w:pPr>
        <w:spacing w:line="360" w:lineRule="auto"/>
        <w:rPr>
          <w:rFonts w:hint="eastAsia" w:ascii="宋体" w:hAnsi="宋体" w:eastAsia="宋体" w:cs="宋体"/>
        </w:rPr>
      </w:pPr>
      <w:r>
        <w:rPr>
          <w:rFonts w:hint="eastAsia" w:ascii="宋体" w:hAnsi="宋体" w:eastAsia="宋体" w:cs="宋体"/>
        </w:rPr>
        <w:drawing>
          <wp:inline distT="0" distB="0" distL="0" distR="0">
            <wp:extent cx="4309745" cy="2424430"/>
            <wp:effectExtent l="0" t="0" r="14605" b="13970"/>
            <wp:docPr id="1983209223" name="图片 198320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09223" name="图片 19832092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318653" cy="2429568"/>
                    </a:xfrm>
                    <a:prstGeom prst="rect">
                      <a:avLst/>
                    </a:prstGeom>
                    <a:noFill/>
                    <a:ln>
                      <a:noFill/>
                    </a:ln>
                  </pic:spPr>
                </pic:pic>
              </a:graphicData>
            </a:graphic>
          </wp:inline>
        </w:drawing>
      </w:r>
      <w:r>
        <w:rPr>
          <w:rFonts w:hint="eastAsia" w:ascii="宋体" w:hAnsi="宋体" w:eastAsia="宋体" w:cs="宋体"/>
        </w:rPr>
        <w:t xml:space="preserve"> </w:t>
      </w:r>
    </w:p>
    <w:p w14:paraId="57AEC33F">
      <w:pPr>
        <w:spacing w:line="360" w:lineRule="auto"/>
        <w:rPr>
          <w:rFonts w:hint="eastAsia" w:ascii="宋体" w:hAnsi="宋体" w:eastAsia="宋体" w:cs="宋体"/>
        </w:rPr>
      </w:pPr>
      <w:r>
        <w:rPr>
          <w:rFonts w:hint="eastAsia" w:ascii="宋体" w:hAnsi="宋体" w:eastAsia="宋体" w:cs="宋体"/>
        </w:rPr>
        <w:t xml:space="preserve"> </w:t>
      </w:r>
    </w:p>
    <w:p w14:paraId="510E3BE5">
      <w:pPr>
        <w:spacing w:line="360" w:lineRule="auto"/>
        <w:rPr>
          <w:rFonts w:hint="eastAsia" w:ascii="宋体" w:hAnsi="宋体" w:eastAsia="宋体" w:cs="宋体"/>
        </w:rPr>
      </w:pPr>
      <w:r>
        <w:rPr>
          <w:rFonts w:hint="eastAsia" w:ascii="宋体" w:hAnsi="宋体" w:eastAsia="宋体" w:cs="宋体"/>
        </w:rPr>
        <w:t xml:space="preserve"> </w:t>
      </w:r>
    </w:p>
    <w:p w14:paraId="67D9102B">
      <w:pPr>
        <w:pStyle w:val="12"/>
        <w:bidi w:val="0"/>
        <w:spacing w:line="360" w:lineRule="auto"/>
        <w:rPr>
          <w:rFonts w:hint="eastAsia" w:ascii="宋体" w:hAnsi="宋体" w:eastAsia="宋体" w:cs="宋体"/>
        </w:rPr>
      </w:pPr>
      <w:bookmarkStart w:id="188" w:name="_Toc157765695"/>
      <w:bookmarkStart w:id="189" w:name="_Toc353717837"/>
      <w:r>
        <w:rPr>
          <w:rFonts w:hint="eastAsia" w:ascii="宋体" w:hAnsi="宋体" w:eastAsia="宋体" w:cs="宋体"/>
        </w:rPr>
        <w:t>读码器</w:t>
      </w:r>
      <w:bookmarkEnd w:id="188"/>
      <w:r>
        <w:rPr>
          <w:rFonts w:hint="eastAsia" w:ascii="宋体" w:hAnsi="宋体" w:eastAsia="宋体" w:cs="宋体"/>
          <w:lang w:eastAsia="zh-CN"/>
        </w:rPr>
        <w:t>调优</w:t>
      </w:r>
      <w:bookmarkEnd w:id="189"/>
    </w:p>
    <w:p w14:paraId="5840A8A4">
      <w:pPr>
        <w:pStyle w:val="13"/>
        <w:bidi w:val="0"/>
        <w:spacing w:line="360" w:lineRule="auto"/>
        <w:rPr>
          <w:rFonts w:hint="eastAsia" w:ascii="宋体" w:hAnsi="宋体" w:eastAsia="宋体" w:cs="宋体"/>
        </w:rPr>
      </w:pPr>
      <w:bookmarkStart w:id="190" w:name="_Toc157765696"/>
      <w:r>
        <w:rPr>
          <w:rFonts w:hint="eastAsia" w:ascii="宋体" w:hAnsi="宋体" w:eastAsia="宋体" w:cs="宋体"/>
        </w:rPr>
        <w:t>二维码不清晰</w:t>
      </w:r>
      <w:bookmarkEnd w:id="190"/>
    </w:p>
    <w:p w14:paraId="3A855E59">
      <w:pPr>
        <w:spacing w:line="360" w:lineRule="auto"/>
        <w:rPr>
          <w:rFonts w:hint="eastAsia" w:ascii="宋体" w:hAnsi="宋体" w:eastAsia="宋体" w:cs="宋体"/>
        </w:rPr>
      </w:pPr>
      <w:r>
        <w:rPr>
          <w:rFonts w:hint="eastAsia" w:ascii="宋体" w:hAnsi="宋体" w:eastAsia="宋体" w:cs="宋体"/>
        </w:rPr>
        <w:t>待条烟放置平稳后，点击自动对焦</w:t>
      </w:r>
    </w:p>
    <w:p w14:paraId="70505DEC">
      <w:pPr>
        <w:spacing w:line="360" w:lineRule="auto"/>
        <w:rPr>
          <w:rFonts w:hint="eastAsia" w:ascii="宋体" w:hAnsi="宋体" w:eastAsia="宋体" w:cs="宋体"/>
        </w:rPr>
      </w:pPr>
      <w:r>
        <w:rPr>
          <w:rFonts w:hint="eastAsia" w:ascii="宋体" w:hAnsi="宋体" w:eastAsia="宋体" w:cs="宋体"/>
        </w:rPr>
        <w:drawing>
          <wp:inline distT="0" distB="0" distL="0" distR="0">
            <wp:extent cx="5266690" cy="2800985"/>
            <wp:effectExtent l="0" t="0" r="10160" b="18415"/>
            <wp:docPr id="11158995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99500" name="图片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266690" cy="2800985"/>
                    </a:xfrm>
                    <a:prstGeom prst="rect">
                      <a:avLst/>
                    </a:prstGeom>
                    <a:noFill/>
                    <a:ln>
                      <a:noFill/>
                    </a:ln>
                  </pic:spPr>
                </pic:pic>
              </a:graphicData>
            </a:graphic>
          </wp:inline>
        </w:drawing>
      </w:r>
      <w:r>
        <w:rPr>
          <w:rFonts w:hint="eastAsia" w:ascii="宋体" w:hAnsi="宋体" w:eastAsia="宋体" w:cs="宋体"/>
        </w:rPr>
        <w:t xml:space="preserve"> </w:t>
      </w:r>
    </w:p>
    <w:p w14:paraId="4C44989E">
      <w:pPr>
        <w:spacing w:line="360" w:lineRule="auto"/>
        <w:rPr>
          <w:rFonts w:hint="eastAsia" w:ascii="宋体" w:hAnsi="宋体" w:eastAsia="宋体" w:cs="宋体"/>
        </w:rPr>
      </w:pPr>
      <w:r>
        <w:rPr>
          <w:rFonts w:hint="eastAsia" w:ascii="宋体" w:hAnsi="宋体" w:eastAsia="宋体" w:cs="宋体"/>
        </w:rPr>
        <w:t xml:space="preserve"> </w:t>
      </w:r>
    </w:p>
    <w:p w14:paraId="3A58628B">
      <w:pPr>
        <w:pStyle w:val="13"/>
        <w:bidi w:val="0"/>
        <w:spacing w:line="360" w:lineRule="auto"/>
        <w:rPr>
          <w:rFonts w:hint="eastAsia" w:ascii="宋体" w:hAnsi="宋体" w:eastAsia="宋体" w:cs="宋体"/>
        </w:rPr>
      </w:pPr>
      <w:bookmarkStart w:id="191" w:name="_Toc157765697"/>
      <w:r>
        <w:rPr>
          <w:rFonts w:hint="eastAsia" w:ascii="宋体" w:hAnsi="宋体" w:eastAsia="宋体" w:cs="宋体"/>
        </w:rPr>
        <w:t>二维码反光</w:t>
      </w:r>
      <w:bookmarkEnd w:id="191"/>
    </w:p>
    <w:p w14:paraId="67E04258">
      <w:pPr>
        <w:spacing w:line="360" w:lineRule="auto"/>
        <w:rPr>
          <w:rFonts w:hint="eastAsia" w:ascii="宋体" w:hAnsi="宋体" w:eastAsia="宋体" w:cs="宋体"/>
        </w:rPr>
      </w:pPr>
      <w:r>
        <w:rPr>
          <w:rFonts w:hint="eastAsia" w:ascii="宋体" w:hAnsi="宋体" w:eastAsia="宋体" w:cs="宋体"/>
        </w:rPr>
        <w:t>每一个灯珠都可能是反光的罪魁祸首，找到并关掉它。（读码器与二维码呈15度夹角时也可避免出现反光）</w:t>
      </w:r>
    </w:p>
    <w:p w14:paraId="5F21EF8E">
      <w:pPr>
        <w:spacing w:line="360" w:lineRule="auto"/>
        <w:rPr>
          <w:rFonts w:hint="eastAsia" w:ascii="宋体" w:hAnsi="宋体" w:eastAsia="宋体" w:cs="宋体"/>
        </w:rPr>
      </w:pPr>
      <w:r>
        <w:rPr>
          <w:rFonts w:hint="eastAsia" w:ascii="宋体" w:hAnsi="宋体" w:eastAsia="宋体" w:cs="宋体"/>
        </w:rPr>
        <w:drawing>
          <wp:inline distT="0" distB="0" distL="0" distR="0">
            <wp:extent cx="5260975" cy="2800985"/>
            <wp:effectExtent l="0" t="0" r="15875" b="18415"/>
            <wp:docPr id="5682409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40937" name="图片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60975" cy="2800985"/>
                    </a:xfrm>
                    <a:prstGeom prst="rect">
                      <a:avLst/>
                    </a:prstGeom>
                    <a:noFill/>
                    <a:ln>
                      <a:noFill/>
                    </a:ln>
                  </pic:spPr>
                </pic:pic>
              </a:graphicData>
            </a:graphic>
          </wp:inline>
        </w:drawing>
      </w:r>
      <w:r>
        <w:rPr>
          <w:rFonts w:hint="eastAsia" w:ascii="宋体" w:hAnsi="宋体" w:eastAsia="宋体" w:cs="宋体"/>
        </w:rPr>
        <w:t xml:space="preserve"> </w:t>
      </w:r>
    </w:p>
    <w:p w14:paraId="7D8191F2">
      <w:pPr>
        <w:pStyle w:val="13"/>
        <w:bidi w:val="0"/>
        <w:spacing w:line="360" w:lineRule="auto"/>
        <w:rPr>
          <w:rFonts w:hint="eastAsia" w:ascii="宋体" w:hAnsi="宋体" w:eastAsia="宋体" w:cs="宋体"/>
        </w:rPr>
      </w:pPr>
      <w:bookmarkStart w:id="192" w:name="_Toc157765698"/>
      <w:r>
        <w:rPr>
          <w:rFonts w:hint="eastAsia" w:ascii="宋体" w:hAnsi="宋体" w:eastAsia="宋体" w:cs="宋体"/>
        </w:rPr>
        <w:t>视野光线过黑</w:t>
      </w:r>
      <w:bookmarkEnd w:id="192"/>
    </w:p>
    <w:p w14:paraId="1C2B7B97">
      <w:pPr>
        <w:spacing w:line="360" w:lineRule="auto"/>
        <w:rPr>
          <w:rFonts w:hint="eastAsia" w:ascii="宋体" w:hAnsi="宋体" w:eastAsia="宋体" w:cs="宋体"/>
        </w:rPr>
      </w:pPr>
      <w:r>
        <w:rPr>
          <w:rFonts w:hint="eastAsia" w:ascii="宋体" w:hAnsi="宋体" w:eastAsia="宋体" w:cs="宋体"/>
        </w:rPr>
        <w:t>当关闭灯珠导致视野光线过黑，影响读码时，可以通过以下手段进行调节：</w:t>
      </w:r>
    </w:p>
    <w:p w14:paraId="5657AE72">
      <w:pPr>
        <w:widowControl w:val="0"/>
        <w:numPr>
          <w:ilvl w:val="0"/>
          <w:numId w:val="19"/>
        </w:numPr>
        <w:spacing w:line="360" w:lineRule="auto"/>
        <w:jc w:val="both"/>
        <w:rPr>
          <w:rFonts w:hint="eastAsia" w:ascii="宋体" w:hAnsi="宋体" w:eastAsia="宋体" w:cs="宋体"/>
          <w:b/>
          <w:bCs/>
        </w:rPr>
      </w:pPr>
      <w:r>
        <w:rPr>
          <w:rFonts w:hint="eastAsia" w:ascii="宋体" w:hAnsi="宋体" w:eastAsia="宋体" w:cs="宋体"/>
          <w:b/>
          <w:bCs/>
        </w:rPr>
        <w:t>打开HDR</w:t>
      </w:r>
    </w:p>
    <w:p w14:paraId="728B05BC">
      <w:pPr>
        <w:widowControl w:val="0"/>
        <w:numPr>
          <w:ilvl w:val="0"/>
          <w:numId w:val="19"/>
        </w:numPr>
        <w:spacing w:line="360" w:lineRule="auto"/>
        <w:rPr>
          <w:rFonts w:hint="eastAsia" w:ascii="宋体" w:hAnsi="宋体" w:eastAsia="宋体" w:cs="宋体"/>
          <w:b/>
          <w:bCs/>
        </w:rPr>
      </w:pPr>
      <w:r>
        <w:rPr>
          <w:rFonts w:hint="eastAsia" w:ascii="宋体" w:hAnsi="宋体" w:eastAsia="宋体" w:cs="宋体"/>
          <w:b/>
          <w:bCs/>
        </w:rPr>
        <w:t>加大曝光:           参考值：100us上下</w:t>
      </w:r>
    </w:p>
    <w:p w14:paraId="43800347">
      <w:pPr>
        <w:widowControl w:val="0"/>
        <w:numPr>
          <w:ilvl w:val="0"/>
          <w:numId w:val="19"/>
        </w:numPr>
        <w:spacing w:line="360" w:lineRule="auto"/>
        <w:rPr>
          <w:rFonts w:hint="eastAsia" w:ascii="宋体" w:hAnsi="宋体" w:eastAsia="宋体" w:cs="宋体"/>
          <w:b/>
          <w:bCs/>
        </w:rPr>
      </w:pPr>
      <w:r>
        <w:rPr>
          <w:rFonts w:hint="eastAsia" w:ascii="宋体" w:hAnsi="宋体" w:eastAsia="宋体" w:cs="宋体"/>
          <w:b/>
          <w:bCs/>
        </w:rPr>
        <w:t>加大增益系数：</w:t>
      </w:r>
      <w:r>
        <w:rPr>
          <w:rFonts w:hint="eastAsia" w:ascii="宋体" w:hAnsi="宋体" w:eastAsia="宋体" w:cs="宋体"/>
          <w:b/>
          <w:bCs/>
        </w:rPr>
        <w:tab/>
      </w:r>
      <w:r>
        <w:rPr>
          <w:rFonts w:hint="eastAsia" w:ascii="宋体" w:hAnsi="宋体" w:eastAsia="宋体" w:cs="宋体"/>
          <w:b/>
          <w:bCs/>
        </w:rPr>
        <w:t>参考值：10 上下</w:t>
      </w:r>
    </w:p>
    <w:p w14:paraId="2FCF5290">
      <w:pPr>
        <w:spacing w:line="360" w:lineRule="auto"/>
        <w:rPr>
          <w:rFonts w:hint="eastAsia" w:ascii="宋体" w:hAnsi="宋体" w:eastAsia="宋体" w:cs="宋体"/>
        </w:rPr>
      </w:pPr>
      <w:r>
        <w:rPr>
          <w:rFonts w:hint="eastAsia" w:ascii="宋体" w:hAnsi="宋体" w:eastAsia="宋体" w:cs="宋体"/>
        </w:rPr>
        <w:drawing>
          <wp:inline distT="0" distB="0" distL="0" distR="0">
            <wp:extent cx="5260975" cy="2800985"/>
            <wp:effectExtent l="0" t="0" r="15875" b="18415"/>
            <wp:docPr id="1407129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29167" name="图片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260975" cy="2800985"/>
                    </a:xfrm>
                    <a:prstGeom prst="rect">
                      <a:avLst/>
                    </a:prstGeom>
                    <a:noFill/>
                    <a:ln>
                      <a:noFill/>
                    </a:ln>
                  </pic:spPr>
                </pic:pic>
              </a:graphicData>
            </a:graphic>
          </wp:inline>
        </w:drawing>
      </w:r>
      <w:r>
        <w:rPr>
          <w:rFonts w:hint="eastAsia" w:ascii="宋体" w:hAnsi="宋体" w:eastAsia="宋体" w:cs="宋体"/>
        </w:rPr>
        <w:t xml:space="preserve"> </w:t>
      </w:r>
    </w:p>
    <w:p w14:paraId="17595FDB">
      <w:pPr>
        <w:spacing w:line="360" w:lineRule="auto"/>
        <w:rPr>
          <w:rFonts w:hint="eastAsia" w:ascii="宋体" w:hAnsi="宋体" w:eastAsia="宋体" w:cs="宋体"/>
        </w:rPr>
      </w:pPr>
      <w:r>
        <w:rPr>
          <w:rFonts w:hint="eastAsia" w:ascii="宋体" w:hAnsi="宋体" w:eastAsia="宋体" w:cs="宋体"/>
        </w:rPr>
        <w:t xml:space="preserve"> </w:t>
      </w:r>
    </w:p>
    <w:p w14:paraId="629A41A4">
      <w:pPr>
        <w:pStyle w:val="13"/>
        <w:bidi w:val="0"/>
        <w:spacing w:line="360" w:lineRule="auto"/>
        <w:rPr>
          <w:rFonts w:hint="eastAsia" w:ascii="宋体" w:hAnsi="宋体" w:eastAsia="宋体" w:cs="宋体"/>
        </w:rPr>
      </w:pPr>
      <w:bookmarkStart w:id="193" w:name="_Toc157765699"/>
      <w:r>
        <w:rPr>
          <w:rFonts w:hint="eastAsia" w:ascii="宋体" w:hAnsi="宋体" w:eastAsia="宋体" w:cs="宋体"/>
        </w:rPr>
        <w:t>读码时机过早</w:t>
      </w:r>
      <w:bookmarkEnd w:id="193"/>
    </w:p>
    <w:p w14:paraId="219FEF81">
      <w:pPr>
        <w:spacing w:line="360" w:lineRule="auto"/>
        <w:rPr>
          <w:rFonts w:hint="eastAsia" w:ascii="宋体" w:hAnsi="宋体" w:eastAsia="宋体" w:cs="宋体"/>
        </w:rPr>
      </w:pPr>
      <w:r>
        <w:rPr>
          <w:rFonts w:hint="eastAsia" w:ascii="宋体" w:hAnsi="宋体" w:eastAsia="宋体" w:cs="宋体"/>
        </w:rPr>
        <w:t>可以在【应用细节】中，选择延迟类型为【时间】，然后输入【开始延迟时间（毫秒）】</w:t>
      </w:r>
    </w:p>
    <w:p w14:paraId="7795D5FF">
      <w:pPr>
        <w:spacing w:line="360" w:lineRule="auto"/>
        <w:rPr>
          <w:rFonts w:hint="eastAsia" w:ascii="宋体" w:hAnsi="宋体" w:eastAsia="宋体" w:cs="宋体"/>
        </w:rPr>
      </w:pPr>
      <w:r>
        <w:rPr>
          <w:rFonts w:hint="eastAsia" w:ascii="宋体" w:hAnsi="宋体" w:eastAsia="宋体" w:cs="宋体"/>
        </w:rPr>
        <w:t>延迟时间从小往大输入，直到二维码出现在视野中间区域。</w:t>
      </w:r>
    </w:p>
    <w:p w14:paraId="27605DEC">
      <w:pPr>
        <w:spacing w:line="360" w:lineRule="auto"/>
        <w:rPr>
          <w:rFonts w:hint="eastAsia" w:ascii="宋体" w:hAnsi="宋体" w:eastAsia="宋体" w:cs="宋体"/>
        </w:rPr>
      </w:pPr>
      <w:r>
        <w:rPr>
          <w:rFonts w:hint="eastAsia" w:ascii="宋体" w:hAnsi="宋体" w:eastAsia="宋体" w:cs="宋体"/>
        </w:rPr>
        <w:t>（本方法只适用于读码时机过早场景）</w:t>
      </w:r>
    </w:p>
    <w:p w14:paraId="5B65F91D">
      <w:pPr>
        <w:spacing w:line="360" w:lineRule="auto"/>
        <w:rPr>
          <w:rFonts w:hint="eastAsia" w:ascii="宋体" w:hAnsi="宋体" w:eastAsia="宋体" w:cs="宋体"/>
        </w:rPr>
      </w:pPr>
      <w:r>
        <w:rPr>
          <w:rFonts w:hint="eastAsia" w:ascii="宋体" w:hAnsi="宋体" w:eastAsia="宋体" w:cs="宋体"/>
        </w:rPr>
        <w:drawing>
          <wp:inline distT="0" distB="0" distL="0" distR="0">
            <wp:extent cx="5278120" cy="2627630"/>
            <wp:effectExtent l="0" t="0" r="17780" b="1270"/>
            <wp:docPr id="1702179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79448" name="图片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278120" cy="2627630"/>
                    </a:xfrm>
                    <a:prstGeom prst="rect">
                      <a:avLst/>
                    </a:prstGeom>
                    <a:noFill/>
                    <a:ln>
                      <a:noFill/>
                    </a:ln>
                  </pic:spPr>
                </pic:pic>
              </a:graphicData>
            </a:graphic>
          </wp:inline>
        </w:drawing>
      </w:r>
      <w:r>
        <w:rPr>
          <w:rFonts w:hint="eastAsia" w:ascii="宋体" w:hAnsi="宋体" w:eastAsia="宋体" w:cs="宋体"/>
        </w:rPr>
        <w:t xml:space="preserve"> </w:t>
      </w:r>
    </w:p>
    <w:p w14:paraId="20CDA4B0">
      <w:pPr>
        <w:pStyle w:val="13"/>
        <w:bidi w:val="0"/>
        <w:spacing w:line="360" w:lineRule="auto"/>
        <w:rPr>
          <w:rFonts w:hint="eastAsia" w:ascii="宋体" w:hAnsi="宋体" w:eastAsia="宋体" w:cs="宋体"/>
        </w:rPr>
      </w:pPr>
      <w:r>
        <w:rPr>
          <w:rFonts w:hint="eastAsia" w:ascii="宋体" w:hAnsi="宋体" w:eastAsia="宋体" w:cs="宋体"/>
        </w:rPr>
        <w:t xml:space="preserve"> </w:t>
      </w:r>
      <w:bookmarkStart w:id="194" w:name="_Toc157765700"/>
      <w:r>
        <w:rPr>
          <w:rFonts w:hint="eastAsia" w:ascii="宋体" w:hAnsi="宋体" w:eastAsia="宋体" w:cs="宋体"/>
        </w:rPr>
        <w:t>其他</w:t>
      </w:r>
      <w:bookmarkEnd w:id="194"/>
    </w:p>
    <w:p w14:paraId="5E6D1CB4">
      <w:pPr>
        <w:pStyle w:val="17"/>
        <w:spacing w:line="360" w:lineRule="auto"/>
        <w:rPr>
          <w:rFonts w:hint="eastAsia" w:ascii="宋体" w:hAnsi="宋体" w:eastAsia="宋体" w:cs="宋体"/>
        </w:rPr>
      </w:pPr>
      <w:r>
        <w:rPr>
          <w:rFonts w:hint="eastAsia" w:ascii="宋体" w:hAnsi="宋体" w:eastAsia="宋体" w:cs="宋体"/>
        </w:rPr>
        <w:t>1、读码器曝光调整：读码器曝光时间最好不要超过150us，高速运动的工位曝光时间不要超过100us，如果读码效果偏暗，可以通过增加增益和调整HDR来补充。越短的曝光时间，约不容易造成读码器成像模糊，有利于解码。</w:t>
      </w:r>
    </w:p>
    <w:p w14:paraId="1867DC5D">
      <w:pPr>
        <w:pStyle w:val="17"/>
        <w:spacing w:line="360" w:lineRule="auto"/>
        <w:rPr>
          <w:rFonts w:hint="eastAsia" w:ascii="宋体" w:hAnsi="宋体" w:eastAsia="宋体" w:cs="宋体"/>
        </w:rPr>
      </w:pPr>
      <w:r>
        <w:rPr>
          <w:rFonts w:hint="eastAsia" w:ascii="宋体" w:hAnsi="宋体" w:eastAsia="宋体" w:cs="宋体"/>
        </w:rPr>
        <w:t>2、读码器增益调整：读码器增益尽量控制在7以内，过高增益会导致图像不清晰。</w:t>
      </w:r>
    </w:p>
    <w:p w14:paraId="5B107CE3">
      <w:pPr>
        <w:pStyle w:val="17"/>
        <w:spacing w:line="360" w:lineRule="auto"/>
        <w:rPr>
          <w:rFonts w:hint="eastAsia" w:ascii="宋体" w:hAnsi="宋体" w:eastAsia="宋体" w:cs="宋体"/>
        </w:rPr>
      </w:pPr>
      <w:r>
        <w:rPr>
          <w:rFonts w:hint="eastAsia" w:ascii="宋体" w:hAnsi="宋体" w:eastAsia="宋体" w:cs="宋体"/>
        </w:rPr>
        <w:t>3、HDR调整：建议打开读码器HDR，有助于减少反光光斑和增强曝光效果。</w:t>
      </w:r>
    </w:p>
    <w:p w14:paraId="6177B876">
      <w:pPr>
        <w:pStyle w:val="17"/>
        <w:spacing w:line="360" w:lineRule="auto"/>
        <w:rPr>
          <w:rFonts w:hint="eastAsia" w:ascii="宋体" w:hAnsi="宋体" w:eastAsia="宋体" w:cs="宋体"/>
        </w:rPr>
      </w:pPr>
      <w:r>
        <w:rPr>
          <w:rFonts w:hint="eastAsia" w:ascii="宋体" w:hAnsi="宋体" w:eastAsia="宋体" w:cs="宋体"/>
        </w:rPr>
        <w:t>4、焦距调整：采用自动对焦的方式来实现焦距的调整，注意不要采用自动调谐的方式来进行对焦。</w:t>
      </w:r>
    </w:p>
    <w:p w14:paraId="548263A1">
      <w:pPr>
        <w:pStyle w:val="17"/>
        <w:spacing w:line="360" w:lineRule="auto"/>
        <w:rPr>
          <w:rFonts w:hint="eastAsia" w:ascii="宋体" w:hAnsi="宋体" w:eastAsia="宋体" w:cs="宋体"/>
        </w:rPr>
      </w:pPr>
      <w:r>
        <w:rPr>
          <w:rFonts w:hint="eastAsia" w:ascii="宋体" w:hAnsi="宋体" w:eastAsia="宋体" w:cs="宋体"/>
        </w:rPr>
        <w:t>5、设置读码超时时间：根据不同工位对解码时间的要求，进行设置，读码1#、读码2#工位不超过80ms，关联校验、追溯工位最高超时时间不超过120ms，件烟读码时间间隔默认为200000us。</w:t>
      </w:r>
    </w:p>
    <w:p w14:paraId="713CEE85">
      <w:pPr>
        <w:pStyle w:val="17"/>
        <w:spacing w:line="360" w:lineRule="auto"/>
        <w:rPr>
          <w:rFonts w:hint="eastAsia" w:ascii="宋体" w:hAnsi="宋体" w:eastAsia="宋体" w:cs="宋体"/>
        </w:rPr>
      </w:pPr>
      <w:r>
        <w:rPr>
          <w:rFonts w:hint="eastAsia" w:ascii="宋体" w:hAnsi="宋体" w:eastAsia="宋体" w:cs="宋体"/>
        </w:rPr>
        <w:t>6、读码个数配置：按照具体工位读码情况配置读码器的读码个数。</w:t>
      </w:r>
    </w:p>
    <w:p w14:paraId="77F05272">
      <w:pPr>
        <w:pStyle w:val="17"/>
        <w:spacing w:line="360" w:lineRule="auto"/>
        <w:rPr>
          <w:rFonts w:hint="eastAsia" w:ascii="宋体" w:hAnsi="宋体" w:eastAsia="宋体" w:cs="宋体"/>
        </w:rPr>
      </w:pPr>
      <w:r>
        <w:rPr>
          <w:rFonts w:hint="eastAsia" w:ascii="宋体" w:hAnsi="宋体" w:eastAsia="宋体" w:cs="宋体"/>
          <w:lang w:val="en-US" w:eastAsia="zh-CN"/>
        </w:rPr>
        <w:t>7</w:t>
      </w:r>
      <w:r>
        <w:rPr>
          <w:rFonts w:hint="eastAsia" w:ascii="宋体" w:hAnsi="宋体" w:eastAsia="宋体" w:cs="宋体"/>
        </w:rPr>
        <w:t>、训练模式开启：待以上所有操作均完成后，开启读码器训练模式。训练模式的开启有利于增强读码器解码的稳定性。</w:t>
      </w:r>
    </w:p>
    <w:p w14:paraId="447B3503">
      <w:pPr>
        <w:pStyle w:val="17"/>
        <w:spacing w:line="360" w:lineRule="auto"/>
        <w:rPr>
          <w:rFonts w:hint="eastAsia" w:ascii="宋体" w:hAnsi="宋体" w:eastAsia="宋体" w:cs="宋体"/>
        </w:rPr>
      </w:pPr>
      <w:r>
        <w:rPr>
          <w:rFonts w:hint="eastAsia" w:ascii="宋体" w:hAnsi="宋体" w:eastAsia="宋体" w:cs="宋体"/>
          <w:lang w:val="en-US" w:eastAsia="zh-CN"/>
        </w:rPr>
        <w:t>8、配置输入、输出，在调试阶段，建议先将所有读码器的输出页签内已读取、未读取均【取消打钩】，保证无论读码器是否读到码均不会产生剔除。待后续测试剔除工位时，将剔除工位读码器的未读取输出进行【勾选】。</w:t>
      </w:r>
    </w:p>
    <w:p w14:paraId="311C941D">
      <w:pPr>
        <w:pStyle w:val="9"/>
        <w:pageBreakBefore w:val="0"/>
        <w:numPr>
          <w:ilvl w:val="2"/>
          <w:numId w:val="12"/>
        </w:numPr>
        <w:tabs>
          <w:tab w:val="left" w:pos="0"/>
        </w:tabs>
        <w:kinsoku/>
        <w:wordWrap/>
        <w:overflowPunct/>
        <w:topLinePunct w:val="0"/>
        <w:autoSpaceDE/>
        <w:autoSpaceDN/>
        <w:bidi w:val="0"/>
        <w:spacing w:line="360" w:lineRule="auto"/>
        <w:textAlignment w:val="auto"/>
      </w:pPr>
      <w:r>
        <w:rPr>
          <w:rFonts w:hint="default"/>
          <w:lang w:val="en-US" w:eastAsia="zh-CN"/>
        </w:rPr>
        <w:br w:type="page"/>
      </w:r>
      <w:bookmarkStart w:id="195" w:name="_Toc743069783"/>
      <w:bookmarkStart w:id="196" w:name="_Toc589832740"/>
      <w:bookmarkStart w:id="197" w:name="_Toc876903113"/>
      <w:r>
        <w:rPr>
          <w:rFonts w:hint="eastAsia"/>
          <w:lang w:val="en-US" w:eastAsia="zh-CN"/>
        </w:rPr>
        <w:t>“盒条”关联现场系统功能</w:t>
      </w:r>
      <w:bookmarkEnd w:id="195"/>
      <w:bookmarkEnd w:id="196"/>
      <w:bookmarkEnd w:id="197"/>
    </w:p>
    <w:p w14:paraId="5BB8F047">
      <w:pPr>
        <w:bidi w:val="0"/>
        <w:spacing w:line="360" w:lineRule="auto"/>
        <w:ind w:firstLine="420" w:firstLineChars="0"/>
      </w:pPr>
      <w:r>
        <w:rPr>
          <w:rFonts w:hint="eastAsia"/>
          <w:lang w:eastAsia="zh-CN"/>
        </w:rPr>
        <w:t>本章详细说明本项目实施</w:t>
      </w:r>
      <w:r>
        <w:rPr>
          <w:rFonts w:hint="eastAsia"/>
        </w:rPr>
        <w:t>“盒条”关联现场管理子系统的</w:t>
      </w:r>
      <w:r>
        <w:rPr>
          <w:rFonts w:hint="eastAsia"/>
          <w:lang w:eastAsia="zh-CN"/>
        </w:rPr>
        <w:t>具体功能，主要包括以下方面：</w:t>
      </w:r>
    </w:p>
    <w:p w14:paraId="33F33248">
      <w:pPr>
        <w:numPr>
          <w:ilvl w:val="0"/>
          <w:numId w:val="20"/>
        </w:numPr>
        <w:bidi w:val="0"/>
        <w:spacing w:line="360" w:lineRule="auto"/>
        <w:ind w:left="420" w:leftChars="0" w:hanging="420" w:firstLineChars="0"/>
      </w:pPr>
      <w:r>
        <w:rPr>
          <w:rFonts w:hint="eastAsia"/>
        </w:rPr>
        <w:t>排程确认：操作人员登录系统，需要确认排程计划，也可手动添加排程</w:t>
      </w:r>
    </w:p>
    <w:p w14:paraId="6EFAE08F">
      <w:pPr>
        <w:numPr>
          <w:ilvl w:val="0"/>
          <w:numId w:val="20"/>
        </w:numPr>
        <w:bidi w:val="0"/>
        <w:spacing w:line="360" w:lineRule="auto"/>
        <w:ind w:left="420" w:leftChars="0" w:hanging="420" w:firstLineChars="0"/>
      </w:pPr>
      <w:r>
        <w:rPr>
          <w:rFonts w:hint="eastAsia"/>
        </w:rPr>
        <w:t>关联作业：操作人员可清晰的监控到生产量的情况及烟码扫描情况。</w:t>
      </w:r>
    </w:p>
    <w:p w14:paraId="4C85C5FC">
      <w:pPr>
        <w:numPr>
          <w:ilvl w:val="0"/>
          <w:numId w:val="20"/>
        </w:numPr>
        <w:bidi w:val="0"/>
        <w:spacing w:line="360" w:lineRule="auto"/>
        <w:ind w:left="420" w:leftChars="0" w:hanging="420" w:firstLineChars="0"/>
      </w:pPr>
      <w:r>
        <w:rPr>
          <w:rFonts w:hint="eastAsia"/>
        </w:rPr>
        <w:t>基础设置：对系统全局有影响的参数、功能定义及基础功能进行管理，包括：告警信息、时钟同步、字典配置、告警配置、用户信息、卷烟信息、排程计划、硬件集成方案、传输任务配置、MQTT配置、链接设置等。</w:t>
      </w:r>
    </w:p>
    <w:p w14:paraId="0180644D">
      <w:pPr>
        <w:numPr>
          <w:ilvl w:val="0"/>
          <w:numId w:val="20"/>
        </w:numPr>
        <w:bidi w:val="0"/>
        <w:spacing w:line="360" w:lineRule="auto"/>
        <w:ind w:left="420" w:leftChars="0" w:hanging="420" w:firstLineChars="0"/>
      </w:pPr>
      <w:r>
        <w:rPr>
          <w:rFonts w:hint="eastAsia"/>
        </w:rPr>
        <w:t>数据上传：能让操作人员清晰的查看批次的批次号、内容条数、首次上报时间、上报完成时间和状态等。</w:t>
      </w:r>
    </w:p>
    <w:p w14:paraId="045E177F">
      <w:pPr>
        <w:numPr>
          <w:ilvl w:val="0"/>
          <w:numId w:val="20"/>
        </w:numPr>
        <w:bidi w:val="0"/>
        <w:spacing w:line="360" w:lineRule="auto"/>
        <w:ind w:left="420" w:leftChars="0" w:hanging="420" w:firstLineChars="0"/>
      </w:pPr>
      <w:r>
        <w:rPr>
          <w:rFonts w:hint="eastAsia"/>
        </w:rPr>
        <w:t>关联校验：能让操作人员对烟码关联关系进行校验、关联、解绑和报废等操作。</w:t>
      </w:r>
    </w:p>
    <w:p w14:paraId="64663B9F">
      <w:pPr>
        <w:numPr>
          <w:ilvl w:val="0"/>
          <w:numId w:val="20"/>
        </w:numPr>
        <w:bidi w:val="0"/>
        <w:spacing w:line="360" w:lineRule="auto"/>
        <w:ind w:left="420" w:leftChars="0" w:hanging="420" w:firstLineChars="0"/>
      </w:pPr>
      <w:r>
        <w:rPr>
          <w:rFonts w:hint="eastAsia"/>
        </w:rPr>
        <w:t>设备管理：能让操作人员清晰的查看到电子设备信息、工控机信息等。</w:t>
      </w:r>
    </w:p>
    <w:p w14:paraId="09A9960D">
      <w:pPr>
        <w:numPr>
          <w:ilvl w:val="0"/>
          <w:numId w:val="20"/>
        </w:numPr>
        <w:bidi w:val="0"/>
        <w:spacing w:line="360" w:lineRule="auto"/>
        <w:ind w:left="420" w:leftChars="0" w:hanging="420" w:firstLineChars="0"/>
      </w:pPr>
      <w:r>
        <w:rPr>
          <w:rFonts w:hint="eastAsia"/>
        </w:rPr>
        <w:t>作业监控：能让操作人员清晰的查看系统的运行日志、告警信息、扫码枪操作记录及关联烟码数据。</w:t>
      </w:r>
    </w:p>
    <w:p w14:paraId="3F89C267">
      <w:pPr>
        <w:numPr>
          <w:ilvl w:val="0"/>
          <w:numId w:val="20"/>
        </w:numPr>
        <w:bidi w:val="0"/>
        <w:spacing w:line="360" w:lineRule="auto"/>
        <w:ind w:left="420" w:leftChars="0" w:hanging="420" w:firstLineChars="0"/>
      </w:pPr>
      <w:r>
        <w:rPr>
          <w:rFonts w:hint="eastAsia"/>
        </w:rPr>
        <w:t>关于系统：能让操作人员清晰的查看系统信息、版本信息及系统帮助。</w:t>
      </w:r>
    </w:p>
    <w:p w14:paraId="0E2CEDD6">
      <w:pPr>
        <w:bidi w:val="0"/>
        <w:spacing w:line="360" w:lineRule="auto"/>
      </w:pPr>
    </w:p>
    <w:p w14:paraId="51BFB72B">
      <w:pPr>
        <w:bidi w:val="0"/>
        <w:spacing w:line="360" w:lineRule="auto"/>
      </w:pPr>
      <w:r>
        <w:rPr>
          <w:rFonts w:hint="eastAsia"/>
        </w:rPr>
        <w:t>系统初始化</w:t>
      </w:r>
    </w:p>
    <w:p w14:paraId="06AC3C0F">
      <w:pPr>
        <w:bidi w:val="0"/>
        <w:spacing w:line="360" w:lineRule="auto"/>
        <w:ind w:firstLine="420" w:firstLineChars="0"/>
      </w:pPr>
      <w:r>
        <w:rPr>
          <w:rFonts w:hint="eastAsia"/>
        </w:rPr>
        <w:t xml:space="preserve">工控机开机后用root用户密码登录，进入系统之后右键点击桌面，打开终端，输入命令 </w:t>
      </w:r>
      <w:r>
        <w:t xml:space="preserve">/root/1.AppImage --no-sandbox </w:t>
      </w:r>
      <w:r>
        <w:rPr>
          <w:rFonts w:hint="eastAsia"/>
        </w:rPr>
        <w:t>，静候即可启动端侧</w:t>
      </w:r>
    </w:p>
    <w:p w14:paraId="173390F3">
      <w:pPr>
        <w:bidi w:val="0"/>
        <w:spacing w:line="360" w:lineRule="auto"/>
      </w:pPr>
      <w:r>
        <w:rPr>
          <w:rFonts w:hint="eastAsia"/>
        </w:rPr>
        <w:drawing>
          <wp:inline distT="0" distB="0" distL="0" distR="0">
            <wp:extent cx="5638800" cy="3221990"/>
            <wp:effectExtent l="90805" t="73025" r="99695" b="114935"/>
            <wp:docPr id="237855888" name="图片 1"/>
            <wp:cNvGraphicFramePr/>
            <a:graphic xmlns:a="http://schemas.openxmlformats.org/drawingml/2006/main">
              <a:graphicData uri="http://schemas.openxmlformats.org/drawingml/2006/picture">
                <pic:pic xmlns:pic="http://schemas.openxmlformats.org/drawingml/2006/picture">
                  <pic:nvPicPr>
                    <pic:cNvPr id="237855888" name="图片 1"/>
                    <pic:cNvPicPr/>
                  </pic:nvPicPr>
                  <pic:blipFill>
                    <a:blip r:embed="rId95">
                      <a:extLst>
                        <a:ext uri="{28A0092B-C50C-407E-A947-70E740481C1C}">
                          <a14:useLocalDpi xmlns:a14="http://schemas.microsoft.com/office/drawing/2010/main" val="0"/>
                        </a:ext>
                      </a:extLst>
                    </a:blip>
                    <a:stretch>
                      <a:fillRect/>
                    </a:stretch>
                  </pic:blipFill>
                  <pic:spPr>
                    <a:xfrm>
                      <a:off x="0" y="0"/>
                      <a:ext cx="5638800" cy="32219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4F2D88">
      <w:pPr>
        <w:bidi w:val="0"/>
        <w:spacing w:line="360" w:lineRule="auto"/>
      </w:pPr>
      <w:r>
        <w:rPr>
          <w:rFonts w:hint="eastAsia"/>
        </w:rPr>
        <w:t>进入欢迎界面，输入系统管理员账号、密码，点击【登录】;</w:t>
      </w:r>
    </w:p>
    <w:p w14:paraId="2FC9860C">
      <w:pPr>
        <w:bidi w:val="0"/>
        <w:spacing w:line="360" w:lineRule="auto"/>
      </w:pPr>
      <w:r>
        <w:rPr>
          <w:rFonts w:hint="eastAsia"/>
        </w:rPr>
        <w:drawing>
          <wp:inline distT="0" distB="0" distL="114300" distR="114300">
            <wp:extent cx="5739765" cy="3279775"/>
            <wp:effectExtent l="90805" t="73025" r="93980" b="11430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96"/>
                    <a:stretch>
                      <a:fillRect/>
                    </a:stretch>
                  </pic:blipFill>
                  <pic:spPr>
                    <a:xfrm>
                      <a:off x="0" y="0"/>
                      <a:ext cx="5739765" cy="32797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BC19D6">
      <w:pPr>
        <w:bidi w:val="0"/>
        <w:spacing w:line="360" w:lineRule="auto"/>
      </w:pPr>
      <w:r>
        <w:rPr>
          <w:rFonts w:hint="eastAsia"/>
        </w:rPr>
        <w:t>进入欢迎界面，点击【开始安装】，对系统经行注册；</w:t>
      </w:r>
    </w:p>
    <w:p w14:paraId="3A76A68D">
      <w:pPr>
        <w:bidi w:val="0"/>
        <w:spacing w:line="360" w:lineRule="auto"/>
      </w:pPr>
      <w:r>
        <w:drawing>
          <wp:inline distT="0" distB="0" distL="0" distR="0">
            <wp:extent cx="5705475" cy="3260090"/>
            <wp:effectExtent l="90805" t="73025" r="109220" b="114935"/>
            <wp:docPr id="1218190654" name="图片 1"/>
            <wp:cNvGraphicFramePr/>
            <a:graphic xmlns:a="http://schemas.openxmlformats.org/drawingml/2006/main">
              <a:graphicData uri="http://schemas.openxmlformats.org/drawingml/2006/picture">
                <pic:pic xmlns:pic="http://schemas.openxmlformats.org/drawingml/2006/picture">
                  <pic:nvPicPr>
                    <pic:cNvPr id="1218190654" name="图片 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05475" cy="32600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CE7B91">
      <w:pPr>
        <w:bidi w:val="0"/>
        <w:spacing w:line="360" w:lineRule="auto"/>
        <w:ind w:firstLine="420" w:firstLineChars="0"/>
      </w:pPr>
      <w:r>
        <w:rPr>
          <w:rFonts w:hint="eastAsia"/>
        </w:rPr>
        <w:t>进入系统注册界面，确认系统类型、选择模式，填写边侧地址、子系统编码、生产设备回显后，点击“下一步”</w:t>
      </w:r>
    </w:p>
    <w:p w14:paraId="2A188943">
      <w:pPr>
        <w:bidi w:val="0"/>
        <w:spacing w:line="360" w:lineRule="auto"/>
      </w:pPr>
      <w:r>
        <w:drawing>
          <wp:inline distT="0" distB="0" distL="0" distR="0">
            <wp:extent cx="5688965" cy="3250565"/>
            <wp:effectExtent l="90805" t="73025" r="106680" b="124460"/>
            <wp:docPr id="139731884" name="图片 2"/>
            <wp:cNvGraphicFramePr/>
            <a:graphic xmlns:a="http://schemas.openxmlformats.org/drawingml/2006/main">
              <a:graphicData uri="http://schemas.openxmlformats.org/drawingml/2006/picture">
                <pic:pic xmlns:pic="http://schemas.openxmlformats.org/drawingml/2006/picture">
                  <pic:nvPicPr>
                    <pic:cNvPr id="139731884" name="图片 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688965" cy="325056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69C408">
      <w:pPr>
        <w:bidi w:val="0"/>
        <w:spacing w:line="360" w:lineRule="auto"/>
      </w:pPr>
      <w:r>
        <w:rPr>
          <w:rFonts w:hint="eastAsia"/>
        </w:rPr>
        <w:drawing>
          <wp:inline distT="0" distB="0" distL="0" distR="0">
            <wp:extent cx="5638800" cy="3221990"/>
            <wp:effectExtent l="90805" t="73025" r="99695" b="114935"/>
            <wp:docPr id="10554535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53522" name="图片 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38800" cy="32219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999B1C">
      <w:pPr>
        <w:bidi w:val="0"/>
        <w:spacing w:line="360" w:lineRule="auto"/>
      </w:pPr>
      <w:r>
        <w:rPr>
          <w:rFonts w:hint="eastAsia"/>
        </w:rPr>
        <w:t>进入数据初始化界面，数据初始化结束后，点击“下一步”</w:t>
      </w:r>
    </w:p>
    <w:p w14:paraId="2A50D18D">
      <w:pPr>
        <w:bidi w:val="0"/>
        <w:spacing w:line="360" w:lineRule="auto"/>
      </w:pPr>
      <w:r>
        <w:drawing>
          <wp:inline distT="0" distB="0" distL="0" distR="0">
            <wp:extent cx="5705475" cy="3260090"/>
            <wp:effectExtent l="90805" t="73025" r="109220" b="114935"/>
            <wp:docPr id="1498857745" name="图片 3"/>
            <wp:cNvGraphicFramePr/>
            <a:graphic xmlns:a="http://schemas.openxmlformats.org/drawingml/2006/main">
              <a:graphicData uri="http://schemas.openxmlformats.org/drawingml/2006/picture">
                <pic:pic xmlns:pic="http://schemas.openxmlformats.org/drawingml/2006/picture">
                  <pic:nvPicPr>
                    <pic:cNvPr id="1498857745" name="图片 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05475" cy="32600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65D027">
      <w:pPr>
        <w:bidi w:val="0"/>
        <w:spacing w:line="360" w:lineRule="auto"/>
      </w:pPr>
      <w:r>
        <w:drawing>
          <wp:inline distT="0" distB="0" distL="0" distR="0">
            <wp:extent cx="5656580" cy="3232150"/>
            <wp:effectExtent l="90805" t="73025" r="100965" b="123825"/>
            <wp:docPr id="933883077" name="图片 5"/>
            <wp:cNvGraphicFramePr/>
            <a:graphic xmlns:a="http://schemas.openxmlformats.org/drawingml/2006/main">
              <a:graphicData uri="http://schemas.openxmlformats.org/drawingml/2006/picture">
                <pic:pic xmlns:pic="http://schemas.openxmlformats.org/drawingml/2006/picture">
                  <pic:nvPicPr>
                    <pic:cNvPr id="933883077" name="图片 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56580" cy="32321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B16D4C">
      <w:pPr>
        <w:bidi w:val="0"/>
        <w:spacing w:line="360" w:lineRule="auto"/>
        <w:ind w:firstLine="420" w:firstLineChars="0"/>
      </w:pPr>
      <w:r>
        <w:rPr>
          <w:rFonts w:hint="eastAsia"/>
        </w:rPr>
        <w:t>进入配置方案界面，选择配置方案和填写SN码、设备地址后，点击“开始使用”</w:t>
      </w:r>
    </w:p>
    <w:p w14:paraId="0B3F87E2">
      <w:pPr>
        <w:bidi w:val="0"/>
        <w:spacing w:line="360" w:lineRule="auto"/>
      </w:pPr>
      <w:r>
        <w:drawing>
          <wp:inline distT="0" distB="0" distL="114300" distR="114300">
            <wp:extent cx="5758815" cy="3287395"/>
            <wp:effectExtent l="90805" t="73025" r="93980" b="12573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02"/>
                    <a:stretch>
                      <a:fillRect/>
                    </a:stretch>
                  </pic:blipFill>
                  <pic:spPr>
                    <a:xfrm>
                      <a:off x="0" y="0"/>
                      <a:ext cx="5758815" cy="328739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62CBBC">
      <w:pPr>
        <w:bidi w:val="0"/>
        <w:spacing w:line="360" w:lineRule="auto"/>
      </w:pPr>
      <w:r>
        <w:drawing>
          <wp:inline distT="0" distB="0" distL="0" distR="0">
            <wp:extent cx="5756275" cy="3289300"/>
            <wp:effectExtent l="90805" t="73025" r="96520" b="123825"/>
            <wp:docPr id="1230683849" name="图片 6"/>
            <wp:cNvGraphicFramePr/>
            <a:graphic xmlns:a="http://schemas.openxmlformats.org/drawingml/2006/main">
              <a:graphicData uri="http://schemas.openxmlformats.org/drawingml/2006/picture">
                <pic:pic xmlns:pic="http://schemas.openxmlformats.org/drawingml/2006/picture">
                  <pic:nvPicPr>
                    <pic:cNvPr id="1230683849" name="图片 6"/>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6275" cy="3289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6C5D75">
      <w:pPr>
        <w:bidi w:val="0"/>
        <w:spacing w:line="360" w:lineRule="auto"/>
      </w:pPr>
    </w:p>
    <w:p w14:paraId="660ABD29">
      <w:pPr>
        <w:bidi w:val="0"/>
        <w:spacing w:line="360" w:lineRule="auto"/>
      </w:pPr>
      <w:bookmarkStart w:id="198" w:name="_Toc146009853"/>
      <w:bookmarkStart w:id="199" w:name="_Toc31187"/>
      <w:r>
        <w:rPr>
          <w:rFonts w:hint="eastAsia"/>
        </w:rPr>
        <w:t>登录</w:t>
      </w:r>
      <w:bookmarkEnd w:id="198"/>
      <w:bookmarkEnd w:id="199"/>
    </w:p>
    <w:p w14:paraId="09625B4C">
      <w:pPr>
        <w:bidi w:val="0"/>
        <w:spacing w:line="360" w:lineRule="auto"/>
        <w:ind w:firstLine="420" w:firstLineChars="0"/>
      </w:pPr>
      <w:r>
        <w:rPr>
          <w:rFonts w:hint="eastAsia"/>
        </w:rPr>
        <w:t>系统初始化完成后，进入“盒条”关联现场管理子系统，输入用户名、密码，点击【登录】，登录系统。</w:t>
      </w:r>
    </w:p>
    <w:p w14:paraId="541F358B">
      <w:pPr>
        <w:bidi w:val="0"/>
        <w:spacing w:line="360" w:lineRule="auto"/>
      </w:pPr>
      <w:r>
        <w:drawing>
          <wp:inline distT="0" distB="0" distL="114300" distR="114300">
            <wp:extent cx="5764530" cy="3705860"/>
            <wp:effectExtent l="90805" t="73025" r="107315" b="12636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04"/>
                    <a:stretch>
                      <a:fillRect/>
                    </a:stretch>
                  </pic:blipFill>
                  <pic:spPr>
                    <a:xfrm>
                      <a:off x="0" y="0"/>
                      <a:ext cx="5764530" cy="370586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003EB7">
      <w:pPr>
        <w:bidi w:val="0"/>
        <w:spacing w:line="360" w:lineRule="auto"/>
      </w:pPr>
      <w:bookmarkStart w:id="200" w:name="_Toc146009854"/>
      <w:bookmarkStart w:id="201" w:name="_Toc13924"/>
      <w:r>
        <w:rPr>
          <w:rFonts w:hint="eastAsia"/>
        </w:rPr>
        <w:t>排程确认</w:t>
      </w:r>
      <w:bookmarkEnd w:id="200"/>
      <w:bookmarkEnd w:id="201"/>
    </w:p>
    <w:p w14:paraId="03473AC2">
      <w:pPr>
        <w:bidi w:val="0"/>
        <w:spacing w:line="360" w:lineRule="auto"/>
        <w:ind w:firstLine="420" w:firstLineChars="0"/>
      </w:pPr>
      <w:r>
        <w:rPr>
          <w:rFonts w:hint="eastAsia"/>
        </w:rPr>
        <w:t>登录后，进入排程确认界面。</w:t>
      </w:r>
    </w:p>
    <w:p w14:paraId="4153FFE5">
      <w:pPr>
        <w:bidi w:val="0"/>
        <w:spacing w:line="360" w:lineRule="auto"/>
        <w:ind w:firstLine="420" w:firstLineChars="0"/>
      </w:pPr>
      <w:r>
        <w:rPr>
          <w:rFonts w:hint="eastAsia"/>
        </w:rPr>
        <w:t>如果当前有排程计划，弹窗会回显排程信息，没有排程计划，可以手动填写，选择班次、卷烟名称、班组、点击【执行任务】</w:t>
      </w:r>
    </w:p>
    <w:p w14:paraId="1435E067">
      <w:pPr>
        <w:bidi w:val="0"/>
        <w:spacing w:line="360" w:lineRule="auto"/>
      </w:pPr>
      <w:r>
        <w:drawing>
          <wp:inline distT="0" distB="0" distL="0" distR="0">
            <wp:extent cx="5720080" cy="3677285"/>
            <wp:effectExtent l="90805" t="73025" r="94615" b="116840"/>
            <wp:docPr id="1717688897" name="图片 7"/>
            <wp:cNvGraphicFramePr/>
            <a:graphic xmlns:a="http://schemas.openxmlformats.org/drawingml/2006/main">
              <a:graphicData uri="http://schemas.openxmlformats.org/drawingml/2006/picture">
                <pic:pic xmlns:pic="http://schemas.openxmlformats.org/drawingml/2006/picture">
                  <pic:nvPicPr>
                    <pic:cNvPr id="1717688897" name="图片 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20080" cy="367728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AA0266">
      <w:pPr>
        <w:bidi w:val="0"/>
        <w:spacing w:line="360" w:lineRule="auto"/>
      </w:pPr>
    </w:p>
    <w:p w14:paraId="67DEDB1B">
      <w:pPr>
        <w:bidi w:val="0"/>
        <w:spacing w:line="360" w:lineRule="auto"/>
      </w:pPr>
    </w:p>
    <w:p w14:paraId="7EEB3A40">
      <w:pPr>
        <w:bidi w:val="0"/>
        <w:spacing w:line="360" w:lineRule="auto"/>
      </w:pPr>
    </w:p>
    <w:p w14:paraId="70020F3E">
      <w:pPr>
        <w:bidi w:val="0"/>
        <w:spacing w:line="360" w:lineRule="auto"/>
      </w:pPr>
    </w:p>
    <w:p w14:paraId="5B66D1A5">
      <w:pPr>
        <w:bidi w:val="0"/>
        <w:spacing w:line="360" w:lineRule="auto"/>
      </w:pPr>
      <w:bookmarkStart w:id="202" w:name="_Toc146009855"/>
      <w:bookmarkStart w:id="203" w:name="_Toc11213"/>
      <w:bookmarkStart w:id="204" w:name="_Toc6703"/>
      <w:r>
        <w:rPr>
          <w:rFonts w:hint="eastAsia"/>
        </w:rPr>
        <w:t>首页</w:t>
      </w:r>
      <w:bookmarkEnd w:id="202"/>
      <w:bookmarkEnd w:id="203"/>
      <w:bookmarkEnd w:id="204"/>
    </w:p>
    <w:p w14:paraId="71DDF334">
      <w:pPr>
        <w:bidi w:val="0"/>
        <w:spacing w:line="360" w:lineRule="auto"/>
        <w:ind w:firstLine="420" w:firstLineChars="0"/>
      </w:pPr>
      <w:r>
        <w:rPr>
          <w:rFonts w:hint="eastAsia"/>
        </w:rPr>
        <w:t>首页整体分布分为以下几个方面：系统名称、当前时间、菜单信息、当前登录用户、排程信息。</w:t>
      </w:r>
    </w:p>
    <w:p w14:paraId="6637FCCB">
      <w:pPr>
        <w:bidi w:val="0"/>
        <w:spacing w:line="360" w:lineRule="auto"/>
      </w:pPr>
      <w:r>
        <w:drawing>
          <wp:inline distT="0" distB="0" distL="0" distR="0">
            <wp:extent cx="5631180" cy="3620135"/>
            <wp:effectExtent l="90805" t="73025" r="107315" b="116840"/>
            <wp:docPr id="108388423" name="图片 5"/>
            <wp:cNvGraphicFramePr/>
            <a:graphic xmlns:a="http://schemas.openxmlformats.org/drawingml/2006/main">
              <a:graphicData uri="http://schemas.openxmlformats.org/drawingml/2006/picture">
                <pic:pic xmlns:pic="http://schemas.openxmlformats.org/drawingml/2006/picture">
                  <pic:nvPicPr>
                    <pic:cNvPr id="108388423" name="图片 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31180" cy="362013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F5FAF0">
      <w:pPr>
        <w:bidi w:val="0"/>
        <w:spacing w:line="360" w:lineRule="auto"/>
      </w:pPr>
      <w:bookmarkStart w:id="205" w:name="_Toc9414"/>
      <w:bookmarkStart w:id="206" w:name="_Toc146009856"/>
      <w:r>
        <w:rPr>
          <w:rFonts w:hint="eastAsia"/>
        </w:rPr>
        <w:t>关联作业</w:t>
      </w:r>
      <w:bookmarkEnd w:id="205"/>
      <w:bookmarkEnd w:id="206"/>
    </w:p>
    <w:p w14:paraId="575D5138">
      <w:pPr>
        <w:bidi w:val="0"/>
        <w:spacing w:line="360" w:lineRule="auto"/>
        <w:ind w:firstLine="420" w:firstLineChars="0"/>
      </w:pPr>
      <w:r>
        <w:rPr>
          <w:rFonts w:hint="eastAsia"/>
        </w:rPr>
        <w:t>关联作业界面，对生产进行监控，显示当班生产清况，系统运行状态，用户操作，登录人员信息，告警日志等，可进行离线/在线切换、换牌、换班、下班、关联校验、告警日志查看，登录用户信息查看等操作。点击【返回导航】可以回到主页面。</w:t>
      </w:r>
    </w:p>
    <w:p w14:paraId="68F81165">
      <w:pPr>
        <w:bidi w:val="0"/>
        <w:spacing w:line="360" w:lineRule="auto"/>
      </w:pPr>
      <w:r>
        <w:drawing>
          <wp:inline distT="0" distB="0" distL="0" distR="0">
            <wp:extent cx="5795645" cy="3725545"/>
            <wp:effectExtent l="90805" t="73025" r="95250" b="125730"/>
            <wp:docPr id="1859365050" name="图片 8"/>
            <wp:cNvGraphicFramePr/>
            <a:graphic xmlns:a="http://schemas.openxmlformats.org/drawingml/2006/main">
              <a:graphicData uri="http://schemas.openxmlformats.org/drawingml/2006/picture">
                <pic:pic xmlns:pic="http://schemas.openxmlformats.org/drawingml/2006/picture">
                  <pic:nvPicPr>
                    <pic:cNvPr id="1859365050" name="图片 8"/>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95645" cy="372554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A1429C">
      <w:pPr>
        <w:bidi w:val="0"/>
        <w:spacing w:line="360" w:lineRule="auto"/>
      </w:pPr>
      <w:r>
        <w:rPr>
          <w:rFonts w:hint="eastAsia"/>
        </w:rPr>
        <w:t>用户操作区域，进行操作需要进行用户验证，下图为用户验证页面；</w:t>
      </w:r>
    </w:p>
    <w:p w14:paraId="009814BC">
      <w:pPr>
        <w:bidi w:val="0"/>
        <w:spacing w:line="360" w:lineRule="auto"/>
      </w:pPr>
      <w:r>
        <w:drawing>
          <wp:inline distT="0" distB="0" distL="114300" distR="114300">
            <wp:extent cx="5720080" cy="3677285"/>
            <wp:effectExtent l="90805" t="73025" r="94615" b="11684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108"/>
                    <a:stretch>
                      <a:fillRect/>
                    </a:stretch>
                  </pic:blipFill>
                  <pic:spPr>
                    <a:xfrm>
                      <a:off x="0" y="0"/>
                      <a:ext cx="5720080" cy="367728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E1C9BD">
      <w:pPr>
        <w:bidi w:val="0"/>
        <w:spacing w:line="360" w:lineRule="auto"/>
        <w:ind w:firstLine="420" w:firstLineChars="0"/>
      </w:pPr>
      <w:r>
        <w:rPr>
          <w:rFonts w:hint="eastAsia"/>
        </w:rPr>
        <w:t>点击【切换至离线】，弹窗进行用户验证，输入账号密码，点击确认，离线切换成功，可进行脱机生产，系统不进行数据采集。下图为离线生产页面，可点击切换在线进行在线生产。</w:t>
      </w:r>
    </w:p>
    <w:p w14:paraId="000A7478">
      <w:pPr>
        <w:bidi w:val="0"/>
        <w:spacing w:line="360" w:lineRule="auto"/>
      </w:pPr>
      <w:r>
        <w:drawing>
          <wp:inline distT="0" distB="0" distL="114300" distR="114300">
            <wp:extent cx="5735320" cy="3181985"/>
            <wp:effectExtent l="90805" t="73025" r="98425" b="116840"/>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109"/>
                    <a:stretch>
                      <a:fillRect/>
                    </a:stretch>
                  </pic:blipFill>
                  <pic:spPr>
                    <a:xfrm>
                      <a:off x="0" y="0"/>
                      <a:ext cx="5735320" cy="318198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0E03AD">
      <w:pPr>
        <w:bidi w:val="0"/>
        <w:spacing w:line="360" w:lineRule="auto"/>
        <w:ind w:firstLine="420" w:firstLineChars="0"/>
      </w:pPr>
      <w:r>
        <w:rPr>
          <w:rFonts w:hint="eastAsia"/>
        </w:rPr>
        <w:t>点击【换牌】，弹窗进行用户验证，输入账号密码，点击确认，进行卷烟品规切换，点击确认换牌完成。下图为换牌操作页面，选择需要切换的卷烟，点击确定换牌</w:t>
      </w:r>
    </w:p>
    <w:p w14:paraId="70784610">
      <w:pPr>
        <w:bidi w:val="0"/>
        <w:spacing w:line="360" w:lineRule="auto"/>
      </w:pPr>
      <w:r>
        <w:rPr>
          <w:rFonts w:hint="eastAsia"/>
        </w:rPr>
        <w:drawing>
          <wp:inline distT="0" distB="0" distL="0" distR="0">
            <wp:extent cx="5656580" cy="3232150"/>
            <wp:effectExtent l="90805" t="73025" r="100965" b="123825"/>
            <wp:docPr id="1476681107" name="图片 9"/>
            <wp:cNvGraphicFramePr/>
            <a:graphic xmlns:a="http://schemas.openxmlformats.org/drawingml/2006/main">
              <a:graphicData uri="http://schemas.openxmlformats.org/drawingml/2006/picture">
                <pic:pic xmlns:pic="http://schemas.openxmlformats.org/drawingml/2006/picture">
                  <pic:nvPicPr>
                    <pic:cNvPr id="1476681107" name="图片 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56580" cy="32321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9D9C0A">
      <w:pPr>
        <w:bidi w:val="0"/>
        <w:spacing w:line="360" w:lineRule="auto"/>
        <w:ind w:firstLine="420" w:firstLineChars="0"/>
      </w:pPr>
      <w:r>
        <w:rPr>
          <w:rFonts w:hint="eastAsia"/>
        </w:rPr>
        <w:t>点击【换班】，弹窗进行用户验证，输入账号密码，点击确认，当前班次结束，页面跳转主页排程确认页面，进行下个班次排程确认</w:t>
      </w:r>
    </w:p>
    <w:p w14:paraId="2170C329">
      <w:pPr>
        <w:bidi w:val="0"/>
        <w:spacing w:line="360" w:lineRule="auto"/>
      </w:pPr>
      <w:r>
        <w:drawing>
          <wp:inline distT="0" distB="0" distL="0" distR="0">
            <wp:extent cx="5639435" cy="3625215"/>
            <wp:effectExtent l="90805" t="73025" r="99060" b="111760"/>
            <wp:docPr id="741531848" name="图片 10"/>
            <wp:cNvGraphicFramePr/>
            <a:graphic xmlns:a="http://schemas.openxmlformats.org/drawingml/2006/main">
              <a:graphicData uri="http://schemas.openxmlformats.org/drawingml/2006/picture">
                <pic:pic xmlns:pic="http://schemas.openxmlformats.org/drawingml/2006/picture">
                  <pic:nvPicPr>
                    <pic:cNvPr id="741531848" name="图片 1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639435" cy="36252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416595">
      <w:pPr>
        <w:bidi w:val="0"/>
        <w:spacing w:line="360" w:lineRule="auto"/>
        <w:ind w:firstLine="420" w:firstLineChars="0"/>
      </w:pPr>
      <w:r>
        <w:rPr>
          <w:rFonts w:hint="eastAsia"/>
        </w:rPr>
        <w:t>点击【关联校验】，页面跳转关联校验页面，可用扫码枪进行扫描二维码进行关联关系校验。下图为关联校验页面；</w:t>
      </w:r>
    </w:p>
    <w:p w14:paraId="135B5D01">
      <w:pPr>
        <w:bidi w:val="0"/>
        <w:spacing w:line="360" w:lineRule="auto"/>
      </w:pPr>
      <w:r>
        <w:drawing>
          <wp:inline distT="0" distB="0" distL="0" distR="0">
            <wp:extent cx="5696585" cy="3662045"/>
            <wp:effectExtent l="90805" t="73025" r="99060" b="113030"/>
            <wp:docPr id="2036085789" name="图片 11"/>
            <wp:cNvGraphicFramePr/>
            <a:graphic xmlns:a="http://schemas.openxmlformats.org/drawingml/2006/main">
              <a:graphicData uri="http://schemas.openxmlformats.org/drawingml/2006/picture">
                <pic:pic xmlns:pic="http://schemas.openxmlformats.org/drawingml/2006/picture">
                  <pic:nvPicPr>
                    <pic:cNvPr id="2036085789" name="图片 1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96585" cy="366204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52C88A">
      <w:pPr>
        <w:bidi w:val="0"/>
        <w:spacing w:line="360" w:lineRule="auto"/>
        <w:ind w:firstLine="420" w:firstLineChars="0"/>
      </w:pPr>
      <w:bookmarkStart w:id="207" w:name="_Hlk145426536"/>
      <w:r>
        <w:rPr>
          <w:rFonts w:hint="eastAsia"/>
        </w:rPr>
        <w:t>点击【下班】，退出当前账号，当前班次排程结束，页面到登录页面。下班确认页面如下图；</w:t>
      </w:r>
    </w:p>
    <w:p w14:paraId="00C74EF6">
      <w:pPr>
        <w:bidi w:val="0"/>
        <w:spacing w:line="360" w:lineRule="auto"/>
      </w:pPr>
      <w:r>
        <w:drawing>
          <wp:inline distT="0" distB="0" distL="0" distR="0">
            <wp:extent cx="5721985" cy="3269615"/>
            <wp:effectExtent l="90805" t="73025" r="92710" b="124460"/>
            <wp:docPr id="433120016" name="图片 35"/>
            <wp:cNvGraphicFramePr/>
            <a:graphic xmlns:a="http://schemas.openxmlformats.org/drawingml/2006/main">
              <a:graphicData uri="http://schemas.openxmlformats.org/drawingml/2006/picture">
                <pic:pic xmlns:pic="http://schemas.openxmlformats.org/drawingml/2006/picture">
                  <pic:nvPicPr>
                    <pic:cNvPr id="433120016" name="图片 3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21985" cy="32696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207"/>
    </w:p>
    <w:p w14:paraId="184CCDC0">
      <w:pPr>
        <w:bidi w:val="0"/>
        <w:spacing w:line="360" w:lineRule="auto"/>
      </w:pPr>
    </w:p>
    <w:p w14:paraId="363225F6">
      <w:pPr>
        <w:bidi w:val="0"/>
        <w:spacing w:line="360" w:lineRule="auto"/>
      </w:pPr>
      <w:bookmarkStart w:id="208" w:name="_Toc146009857"/>
      <w:bookmarkStart w:id="209" w:name="_Toc7117"/>
      <w:r>
        <w:rPr>
          <w:rFonts w:hint="eastAsia"/>
        </w:rPr>
        <w:t>基础设置</w:t>
      </w:r>
      <w:bookmarkEnd w:id="208"/>
      <w:bookmarkEnd w:id="209"/>
    </w:p>
    <w:p w14:paraId="463BE931">
      <w:pPr>
        <w:bidi w:val="0"/>
        <w:spacing w:line="360" w:lineRule="auto"/>
      </w:pPr>
      <w:bookmarkStart w:id="210" w:name="_Toc146009858"/>
      <w:bookmarkStart w:id="211" w:name="_Toc2115"/>
      <w:r>
        <w:rPr>
          <w:rFonts w:hint="eastAsia"/>
        </w:rPr>
        <w:t>告警信息</w:t>
      </w:r>
      <w:bookmarkEnd w:id="210"/>
      <w:bookmarkEnd w:id="211"/>
    </w:p>
    <w:p w14:paraId="1645CB93">
      <w:pPr>
        <w:bidi w:val="0"/>
        <w:spacing w:line="360" w:lineRule="auto"/>
        <w:ind w:firstLine="420" w:firstLineChars="0"/>
      </w:pPr>
      <w:r>
        <w:rPr>
          <w:rFonts w:hint="eastAsia"/>
        </w:rPr>
        <w:t>功能概述 ：维护同步厂级系统的告警配置信息，可条件查询，详情信息查看；</w:t>
      </w:r>
    </w:p>
    <w:p w14:paraId="115DF2DD">
      <w:pPr>
        <w:bidi w:val="0"/>
        <w:spacing w:line="360" w:lineRule="auto"/>
      </w:pPr>
      <w:r>
        <w:drawing>
          <wp:inline distT="0" distB="0" distL="0" distR="0">
            <wp:extent cx="5675630" cy="3648710"/>
            <wp:effectExtent l="90805" t="73025" r="100965" b="126365"/>
            <wp:docPr id="2093689901" name="图片 12"/>
            <wp:cNvGraphicFramePr/>
            <a:graphic xmlns:a="http://schemas.openxmlformats.org/drawingml/2006/main">
              <a:graphicData uri="http://schemas.openxmlformats.org/drawingml/2006/picture">
                <pic:pic xmlns:pic="http://schemas.openxmlformats.org/drawingml/2006/picture">
                  <pic:nvPicPr>
                    <pic:cNvPr id="2093689901" name="图片 1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675630" cy="364871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3F69EF">
      <w:pPr>
        <w:bidi w:val="0"/>
        <w:spacing w:line="360" w:lineRule="auto"/>
      </w:pPr>
      <w:bookmarkStart w:id="212" w:name="_Toc19570"/>
      <w:bookmarkStart w:id="213" w:name="_Toc146009859"/>
      <w:r>
        <w:rPr>
          <w:rFonts w:hint="eastAsia"/>
        </w:rPr>
        <w:t>时钟同步</w:t>
      </w:r>
      <w:bookmarkEnd w:id="212"/>
      <w:bookmarkEnd w:id="213"/>
    </w:p>
    <w:p w14:paraId="40083167">
      <w:pPr>
        <w:bidi w:val="0"/>
        <w:spacing w:line="360" w:lineRule="auto"/>
        <w:ind w:firstLine="420" w:firstLineChars="0"/>
      </w:pPr>
      <w:r>
        <w:rPr>
          <w:rFonts w:hint="eastAsia"/>
        </w:rPr>
        <w:t>功能概述 ：现场子系统需要与厂级系统时间保持一致</w:t>
      </w:r>
    </w:p>
    <w:p w14:paraId="43BBF562">
      <w:pPr>
        <w:bidi w:val="0"/>
        <w:spacing w:line="360" w:lineRule="auto"/>
        <w:ind w:firstLine="420" w:firstLineChars="0"/>
      </w:pPr>
      <w:r>
        <w:rPr>
          <w:rFonts w:hint="eastAsia"/>
        </w:rPr>
        <w:t>维护厂级系统IP地址、系统时间及人工作业单元系统IP地址、系统时间。时间相差两秒状态就会改变。</w:t>
      </w:r>
    </w:p>
    <w:p w14:paraId="1EFF2AC4">
      <w:pPr>
        <w:bidi w:val="0"/>
        <w:spacing w:line="360" w:lineRule="auto"/>
      </w:pPr>
      <w:r>
        <w:drawing>
          <wp:inline distT="0" distB="0" distL="0" distR="0">
            <wp:extent cx="5780405" cy="3716020"/>
            <wp:effectExtent l="90805" t="73025" r="91440" b="116205"/>
            <wp:docPr id="800167409" name="图片 13"/>
            <wp:cNvGraphicFramePr/>
            <a:graphic xmlns:a="http://schemas.openxmlformats.org/drawingml/2006/main">
              <a:graphicData uri="http://schemas.openxmlformats.org/drawingml/2006/picture">
                <pic:pic xmlns:pic="http://schemas.openxmlformats.org/drawingml/2006/picture">
                  <pic:nvPicPr>
                    <pic:cNvPr id="800167409" name="图片 13"/>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80405" cy="371602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681340">
      <w:pPr>
        <w:bidi w:val="0"/>
        <w:spacing w:line="360" w:lineRule="auto"/>
      </w:pPr>
      <w:bookmarkStart w:id="214" w:name="_Toc10398"/>
      <w:bookmarkStart w:id="215" w:name="_Toc146009860"/>
      <w:r>
        <w:rPr>
          <w:rFonts w:hint="eastAsia"/>
        </w:rPr>
        <w:t>字典配置</w:t>
      </w:r>
      <w:bookmarkEnd w:id="214"/>
      <w:bookmarkEnd w:id="215"/>
    </w:p>
    <w:p w14:paraId="157CE529">
      <w:pPr>
        <w:bidi w:val="0"/>
        <w:spacing w:line="360" w:lineRule="auto"/>
        <w:ind w:firstLine="420" w:firstLineChars="0"/>
      </w:pPr>
      <w:r>
        <w:rPr>
          <w:rFonts w:hint="eastAsia"/>
        </w:rPr>
        <w:t>功能概述 ：维护厂级同步的字典信息，可按条件搜索，字典详情查看</w:t>
      </w:r>
    </w:p>
    <w:p w14:paraId="34A465A0">
      <w:pPr>
        <w:bidi w:val="0"/>
        <w:spacing w:line="360" w:lineRule="auto"/>
      </w:pPr>
      <w:r>
        <w:rPr>
          <w:rFonts w:hint="eastAsia"/>
        </w:rPr>
        <w:drawing>
          <wp:inline distT="0" distB="0" distL="0" distR="0">
            <wp:extent cx="5698490" cy="3207385"/>
            <wp:effectExtent l="90805" t="73025" r="97155" b="110490"/>
            <wp:docPr id="20705171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17175" name="图片 1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98490" cy="320738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B8C0C6">
      <w:pPr>
        <w:bidi w:val="0"/>
        <w:spacing w:line="360" w:lineRule="auto"/>
      </w:pPr>
      <w:bookmarkStart w:id="216" w:name="_Toc146009861"/>
      <w:bookmarkStart w:id="217" w:name="_Toc2465"/>
      <w:r>
        <w:rPr>
          <w:rFonts w:hint="eastAsia"/>
        </w:rPr>
        <w:t>告警配置</w:t>
      </w:r>
      <w:bookmarkEnd w:id="216"/>
      <w:bookmarkEnd w:id="217"/>
    </w:p>
    <w:p w14:paraId="67D5D8FB">
      <w:pPr>
        <w:bidi w:val="0"/>
        <w:spacing w:line="360" w:lineRule="auto"/>
        <w:ind w:firstLine="420" w:firstLineChars="0"/>
      </w:pPr>
      <w:r>
        <w:rPr>
          <w:rFonts w:hint="eastAsia"/>
        </w:rPr>
        <w:t>功能概述 ：点击告警生成按钮，关闭后，点击【保存】，系统不再生成告警提示信息</w:t>
      </w:r>
    </w:p>
    <w:p w14:paraId="5F41AA88">
      <w:pPr>
        <w:bidi w:val="0"/>
        <w:spacing w:line="360" w:lineRule="auto"/>
      </w:pPr>
      <w:r>
        <w:rPr>
          <w:rFonts w:hint="eastAsia"/>
        </w:rPr>
        <w:t>磁盘告警生成关闭后，系统不在生成磁盘告警</w:t>
      </w:r>
    </w:p>
    <w:p w14:paraId="14C35B1D">
      <w:pPr>
        <w:bidi w:val="0"/>
        <w:spacing w:line="360" w:lineRule="auto"/>
      </w:pPr>
      <w:r>
        <w:drawing>
          <wp:inline distT="0" distB="0" distL="0" distR="0">
            <wp:extent cx="5772150" cy="3298190"/>
            <wp:effectExtent l="90805" t="73025" r="99695" b="114935"/>
            <wp:docPr id="79252872" name="图片 15"/>
            <wp:cNvGraphicFramePr/>
            <a:graphic xmlns:a="http://schemas.openxmlformats.org/drawingml/2006/main">
              <a:graphicData uri="http://schemas.openxmlformats.org/drawingml/2006/picture">
                <pic:pic xmlns:pic="http://schemas.openxmlformats.org/drawingml/2006/picture">
                  <pic:nvPicPr>
                    <pic:cNvPr id="79252872" name="图片 15"/>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72150" cy="32981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FD36ED">
      <w:pPr>
        <w:bidi w:val="0"/>
        <w:spacing w:line="360" w:lineRule="auto"/>
      </w:pPr>
      <w:bookmarkStart w:id="218" w:name="_Toc146009862"/>
      <w:bookmarkStart w:id="219" w:name="_Toc30451"/>
      <w:r>
        <w:rPr>
          <w:rFonts w:hint="eastAsia"/>
        </w:rPr>
        <w:t>高级设置</w:t>
      </w:r>
      <w:bookmarkEnd w:id="218"/>
      <w:bookmarkEnd w:id="219"/>
    </w:p>
    <w:p w14:paraId="687ED14F">
      <w:pPr>
        <w:bidi w:val="0"/>
        <w:spacing w:line="360" w:lineRule="auto"/>
        <w:ind w:firstLine="420" w:firstLineChars="0"/>
      </w:pPr>
      <w:r>
        <w:rPr>
          <w:rFonts w:hint="eastAsia"/>
        </w:rPr>
        <w:t>功能概述 ：点击调试模式按钮，开启后 可切换到调试模式，调试模式数据不进行上传厂级系统</w:t>
      </w:r>
    </w:p>
    <w:p w14:paraId="57819E7C">
      <w:pPr>
        <w:bidi w:val="0"/>
        <w:spacing w:line="360" w:lineRule="auto"/>
      </w:pPr>
      <w:r>
        <w:drawing>
          <wp:inline distT="0" distB="0" distL="0" distR="0">
            <wp:extent cx="5739765" cy="3279775"/>
            <wp:effectExtent l="90805" t="73025" r="93980" b="114300"/>
            <wp:docPr id="901685591" name="图片 16"/>
            <wp:cNvGraphicFramePr/>
            <a:graphic xmlns:a="http://schemas.openxmlformats.org/drawingml/2006/main">
              <a:graphicData uri="http://schemas.openxmlformats.org/drawingml/2006/picture">
                <pic:pic xmlns:pic="http://schemas.openxmlformats.org/drawingml/2006/picture">
                  <pic:nvPicPr>
                    <pic:cNvPr id="901685591" name="图片 1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39765" cy="32797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4B4165">
      <w:pPr>
        <w:bidi w:val="0"/>
        <w:spacing w:line="360" w:lineRule="auto"/>
      </w:pPr>
      <w:bookmarkStart w:id="220" w:name="_Toc146009863"/>
      <w:bookmarkStart w:id="221" w:name="_Toc27423"/>
      <w:r>
        <w:rPr>
          <w:rFonts w:hint="eastAsia"/>
        </w:rPr>
        <w:t>人员信息</w:t>
      </w:r>
      <w:bookmarkEnd w:id="220"/>
      <w:bookmarkEnd w:id="221"/>
    </w:p>
    <w:p w14:paraId="34E5C165">
      <w:pPr>
        <w:bidi w:val="0"/>
        <w:spacing w:line="360" w:lineRule="auto"/>
        <w:ind w:firstLine="420" w:firstLineChars="0"/>
      </w:pPr>
      <w:r>
        <w:rPr>
          <w:rFonts w:hint="eastAsia"/>
        </w:rPr>
        <w:t>功能概述 ：查看当前登录用户人员信息、登录日志</w:t>
      </w:r>
    </w:p>
    <w:p w14:paraId="5C098197">
      <w:pPr>
        <w:bidi w:val="0"/>
        <w:spacing w:line="360" w:lineRule="auto"/>
      </w:pPr>
      <w:r>
        <w:drawing>
          <wp:inline distT="0" distB="0" distL="0" distR="0">
            <wp:extent cx="5788660" cy="3307715"/>
            <wp:effectExtent l="90805" t="73025" r="102235" b="124460"/>
            <wp:docPr id="2115146667" name="图片 17"/>
            <wp:cNvGraphicFramePr/>
            <a:graphic xmlns:a="http://schemas.openxmlformats.org/drawingml/2006/main">
              <a:graphicData uri="http://schemas.openxmlformats.org/drawingml/2006/picture">
                <pic:pic xmlns:pic="http://schemas.openxmlformats.org/drawingml/2006/picture">
                  <pic:nvPicPr>
                    <pic:cNvPr id="2115146667" name="图片 1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88660" cy="33077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222" w:name="_Toc19057"/>
      <w:bookmarkStart w:id="223" w:name="_Toc21154"/>
    </w:p>
    <w:bookmarkEnd w:id="222"/>
    <w:p w14:paraId="1E320E86">
      <w:pPr>
        <w:bidi w:val="0"/>
        <w:spacing w:line="360" w:lineRule="auto"/>
      </w:pPr>
      <w:bookmarkStart w:id="224" w:name="_Toc146009864"/>
      <w:r>
        <w:rPr>
          <w:rFonts w:hint="eastAsia"/>
        </w:rPr>
        <w:t>用户管理</w:t>
      </w:r>
      <w:bookmarkEnd w:id="223"/>
      <w:bookmarkEnd w:id="224"/>
    </w:p>
    <w:p w14:paraId="468204EC">
      <w:pPr>
        <w:bidi w:val="0"/>
        <w:spacing w:line="360" w:lineRule="auto"/>
        <w:ind w:firstLine="420" w:firstLineChars="0"/>
      </w:pPr>
      <w:r>
        <w:rPr>
          <w:rFonts w:hint="eastAsia"/>
        </w:rPr>
        <w:t>功能概述 ：维护厂级系统同步的用户信息，可按条件查询搜索、查看人员详情信息</w:t>
      </w:r>
    </w:p>
    <w:p w14:paraId="73DE4204">
      <w:pPr>
        <w:bidi w:val="0"/>
        <w:spacing w:line="360" w:lineRule="auto"/>
      </w:pPr>
      <w:r>
        <w:drawing>
          <wp:inline distT="0" distB="0" distL="0" distR="0">
            <wp:extent cx="5705475" cy="3260090"/>
            <wp:effectExtent l="90805" t="73025" r="109220" b="114935"/>
            <wp:docPr id="1469998370" name="图片 18"/>
            <wp:cNvGraphicFramePr/>
            <a:graphic xmlns:a="http://schemas.openxmlformats.org/drawingml/2006/main">
              <a:graphicData uri="http://schemas.openxmlformats.org/drawingml/2006/picture">
                <pic:pic xmlns:pic="http://schemas.openxmlformats.org/drawingml/2006/picture">
                  <pic:nvPicPr>
                    <pic:cNvPr id="1469998370" name="图片 1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05475" cy="32600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C317A8">
      <w:pPr>
        <w:bidi w:val="0"/>
        <w:spacing w:line="360" w:lineRule="auto"/>
      </w:pPr>
      <w:bookmarkStart w:id="225" w:name="_Toc146009865"/>
      <w:bookmarkStart w:id="226" w:name="_Toc9911"/>
      <w:r>
        <w:rPr>
          <w:rFonts w:hint="eastAsia"/>
        </w:rPr>
        <w:t>权限管理</w:t>
      </w:r>
      <w:bookmarkEnd w:id="225"/>
      <w:bookmarkEnd w:id="226"/>
    </w:p>
    <w:p w14:paraId="2FDD9A07">
      <w:pPr>
        <w:bidi w:val="0"/>
        <w:spacing w:line="360" w:lineRule="auto"/>
        <w:ind w:firstLine="420" w:firstLineChars="0"/>
      </w:pPr>
      <w:r>
        <w:rPr>
          <w:rFonts w:hint="eastAsia"/>
        </w:rPr>
        <w:t>功能概述 ：查看角色对应相关权限，可按条件查询搜索</w:t>
      </w:r>
    </w:p>
    <w:p w14:paraId="0F2866E7">
      <w:pPr>
        <w:bidi w:val="0"/>
        <w:spacing w:line="360" w:lineRule="auto"/>
      </w:pPr>
      <w:r>
        <w:rPr>
          <w:rFonts w:hint="eastAsia"/>
        </w:rPr>
        <w:drawing>
          <wp:inline distT="0" distB="0" distL="0" distR="0">
            <wp:extent cx="5806440" cy="3317875"/>
            <wp:effectExtent l="90805" t="73025" r="103505" b="114300"/>
            <wp:docPr id="1568472475" name="图片 11"/>
            <wp:cNvGraphicFramePr/>
            <a:graphic xmlns:a="http://schemas.openxmlformats.org/drawingml/2006/main">
              <a:graphicData uri="http://schemas.openxmlformats.org/drawingml/2006/picture">
                <pic:pic xmlns:pic="http://schemas.openxmlformats.org/drawingml/2006/picture">
                  <pic:nvPicPr>
                    <pic:cNvPr id="1568472475" name="图片 1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06440" cy="33178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0B4B29">
      <w:pPr>
        <w:bidi w:val="0"/>
        <w:spacing w:line="360" w:lineRule="auto"/>
      </w:pPr>
      <w:bookmarkStart w:id="227" w:name="_Toc18062"/>
      <w:bookmarkStart w:id="228" w:name="_Toc146009866"/>
      <w:r>
        <w:rPr>
          <w:rFonts w:hint="eastAsia"/>
        </w:rPr>
        <w:t>卷烟信息</w:t>
      </w:r>
      <w:bookmarkEnd w:id="227"/>
      <w:bookmarkEnd w:id="228"/>
    </w:p>
    <w:p w14:paraId="6FB3027F">
      <w:pPr>
        <w:bidi w:val="0"/>
        <w:spacing w:line="360" w:lineRule="auto"/>
        <w:ind w:firstLine="420" w:firstLineChars="0"/>
      </w:pPr>
      <w:r>
        <w:rPr>
          <w:rFonts w:hint="eastAsia"/>
        </w:rPr>
        <w:t>功能概述 ：维护厂级系统同步的卷烟信息，可按条件查询搜索、查看卷烟详情信息</w:t>
      </w:r>
    </w:p>
    <w:p w14:paraId="221E03BC">
      <w:pPr>
        <w:bidi w:val="0"/>
        <w:spacing w:line="360" w:lineRule="auto"/>
      </w:pPr>
      <w:r>
        <w:drawing>
          <wp:inline distT="0" distB="0" distL="0" distR="0">
            <wp:extent cx="5705475" cy="3260090"/>
            <wp:effectExtent l="90805" t="73025" r="109220" b="114935"/>
            <wp:docPr id="1543287186" name="图片 20"/>
            <wp:cNvGraphicFramePr/>
            <a:graphic xmlns:a="http://schemas.openxmlformats.org/drawingml/2006/main">
              <a:graphicData uri="http://schemas.openxmlformats.org/drawingml/2006/picture">
                <pic:pic xmlns:pic="http://schemas.openxmlformats.org/drawingml/2006/picture">
                  <pic:nvPicPr>
                    <pic:cNvPr id="1543287186" name="图片 2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05475" cy="32600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B21FE4">
      <w:pPr>
        <w:bidi w:val="0"/>
        <w:spacing w:line="360" w:lineRule="auto"/>
      </w:pPr>
      <w:bookmarkStart w:id="229" w:name="_Toc146009867"/>
      <w:bookmarkStart w:id="230" w:name="_Toc7927"/>
      <w:r>
        <w:rPr>
          <w:rFonts w:hint="eastAsia"/>
        </w:rPr>
        <w:t>排程计划</w:t>
      </w:r>
      <w:bookmarkEnd w:id="229"/>
      <w:bookmarkEnd w:id="230"/>
    </w:p>
    <w:p w14:paraId="18EBDDBC">
      <w:pPr>
        <w:bidi w:val="0"/>
        <w:spacing w:line="360" w:lineRule="auto"/>
        <w:ind w:firstLine="420" w:firstLineChars="0"/>
      </w:pPr>
      <w:r>
        <w:rPr>
          <w:rFonts w:hint="eastAsia"/>
        </w:rPr>
        <w:t>功能概述 ：维护当前人工作业线的排程计划及排程历史记录</w:t>
      </w:r>
    </w:p>
    <w:p w14:paraId="3E3F528F">
      <w:pPr>
        <w:bidi w:val="0"/>
        <w:spacing w:line="360" w:lineRule="auto"/>
      </w:pPr>
      <w:r>
        <w:drawing>
          <wp:inline distT="0" distB="0" distL="0" distR="0">
            <wp:extent cx="5822950" cy="3327400"/>
            <wp:effectExtent l="90805" t="73025" r="106045" b="123825"/>
            <wp:docPr id="1506201842" name="图片 21"/>
            <wp:cNvGraphicFramePr/>
            <a:graphic xmlns:a="http://schemas.openxmlformats.org/drawingml/2006/main">
              <a:graphicData uri="http://schemas.openxmlformats.org/drawingml/2006/picture">
                <pic:pic xmlns:pic="http://schemas.openxmlformats.org/drawingml/2006/picture">
                  <pic:nvPicPr>
                    <pic:cNvPr id="1506201842" name="图片 2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22950" cy="33274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5DDD14">
      <w:pPr>
        <w:bidi w:val="0"/>
        <w:spacing w:line="360" w:lineRule="auto"/>
      </w:pPr>
      <w:bookmarkStart w:id="231" w:name="_Toc146009868"/>
      <w:bookmarkStart w:id="232" w:name="_Toc2396"/>
      <w:r>
        <w:rPr>
          <w:rFonts w:hint="eastAsia"/>
        </w:rPr>
        <w:t>硬件集成方案</w:t>
      </w:r>
      <w:bookmarkEnd w:id="231"/>
      <w:bookmarkEnd w:id="232"/>
    </w:p>
    <w:p w14:paraId="46921030">
      <w:pPr>
        <w:bidi w:val="0"/>
        <w:spacing w:line="360" w:lineRule="auto"/>
        <w:ind w:firstLine="420" w:firstLineChars="0"/>
      </w:pPr>
      <w:r>
        <w:rPr>
          <w:rFonts w:hint="eastAsia"/>
        </w:rPr>
        <w:t>功能概述 ：关闭启用，可以修改配置方案信息、读码器信息。启用后，点击“保存”配置方案修改完成</w:t>
      </w:r>
    </w:p>
    <w:p w14:paraId="5C01D5DE">
      <w:pPr>
        <w:bidi w:val="0"/>
        <w:spacing w:line="360" w:lineRule="auto"/>
      </w:pPr>
      <w:r>
        <w:drawing>
          <wp:inline distT="0" distB="0" distL="0" distR="0">
            <wp:extent cx="5721985" cy="3269615"/>
            <wp:effectExtent l="90805" t="73025" r="92710" b="124460"/>
            <wp:docPr id="1002146735" name="图片 22"/>
            <wp:cNvGraphicFramePr/>
            <a:graphic xmlns:a="http://schemas.openxmlformats.org/drawingml/2006/main">
              <a:graphicData uri="http://schemas.openxmlformats.org/drawingml/2006/picture">
                <pic:pic xmlns:pic="http://schemas.openxmlformats.org/drawingml/2006/picture">
                  <pic:nvPicPr>
                    <pic:cNvPr id="1002146735" name="图片 22"/>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21985" cy="32696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93E1C9">
      <w:pPr>
        <w:bidi w:val="0"/>
        <w:spacing w:line="360" w:lineRule="auto"/>
      </w:pPr>
      <w:bookmarkStart w:id="233" w:name="_Toc23808"/>
      <w:bookmarkStart w:id="234" w:name="_Toc146009869"/>
      <w:r>
        <w:rPr>
          <w:rFonts w:hint="eastAsia"/>
        </w:rPr>
        <w:t>传输任务配置</w:t>
      </w:r>
      <w:bookmarkEnd w:id="233"/>
      <w:bookmarkEnd w:id="234"/>
    </w:p>
    <w:p w14:paraId="18438273">
      <w:pPr>
        <w:bidi w:val="0"/>
        <w:spacing w:line="360" w:lineRule="auto"/>
        <w:ind w:firstLine="420" w:firstLineChars="0"/>
      </w:pPr>
      <w:r>
        <w:rPr>
          <w:rFonts w:hint="eastAsia"/>
        </w:rPr>
        <w:t>功能概述 ：维护的上传批次参数，通过修改参数可对批次上传做出修改，选择需要修改的参数，修改参数，点击“保存”完成修改</w:t>
      </w:r>
    </w:p>
    <w:p w14:paraId="36C09B5D">
      <w:pPr>
        <w:bidi w:val="0"/>
        <w:spacing w:line="360" w:lineRule="auto"/>
      </w:pPr>
      <w:r>
        <w:rPr>
          <w:rFonts w:hint="eastAsia"/>
        </w:rPr>
        <w:drawing>
          <wp:inline distT="0" distB="0" distL="0" distR="0">
            <wp:extent cx="5756275" cy="3289300"/>
            <wp:effectExtent l="90805" t="73025" r="96520" b="123825"/>
            <wp:docPr id="1658717752" name="图片 17"/>
            <wp:cNvGraphicFramePr/>
            <a:graphic xmlns:a="http://schemas.openxmlformats.org/drawingml/2006/main">
              <a:graphicData uri="http://schemas.openxmlformats.org/drawingml/2006/picture">
                <pic:pic xmlns:pic="http://schemas.openxmlformats.org/drawingml/2006/picture">
                  <pic:nvPicPr>
                    <pic:cNvPr id="1658717752" name="图片 17"/>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56275" cy="3289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A5A6CB">
      <w:pPr>
        <w:bidi w:val="0"/>
        <w:spacing w:line="360" w:lineRule="auto"/>
      </w:pPr>
      <w:bookmarkStart w:id="235" w:name="_Toc146009870"/>
      <w:bookmarkStart w:id="236" w:name="_Toc8336"/>
      <w:r>
        <w:rPr>
          <w:rFonts w:hint="eastAsia"/>
        </w:rPr>
        <w:t>MQTT配置</w:t>
      </w:r>
      <w:bookmarkEnd w:id="235"/>
      <w:bookmarkEnd w:id="236"/>
    </w:p>
    <w:p w14:paraId="1CF4ED79">
      <w:pPr>
        <w:bidi w:val="0"/>
        <w:spacing w:line="360" w:lineRule="auto"/>
        <w:ind w:firstLine="420" w:firstLineChars="0"/>
      </w:pPr>
      <w:r>
        <w:rPr>
          <w:rFonts w:hint="eastAsia"/>
        </w:rPr>
        <w:t>功能概述 ：盒条关联数据可以通过MQ上传厂级系统，选择MQ服务器地址，填写对应IP地址、输入账号、密码、重新发送时间，点击“保存”MQ配置完成。</w:t>
      </w:r>
    </w:p>
    <w:p w14:paraId="34E5299E">
      <w:pPr>
        <w:bidi w:val="0"/>
        <w:spacing w:line="360" w:lineRule="auto"/>
      </w:pPr>
      <w:r>
        <w:drawing>
          <wp:inline distT="0" distB="0" distL="0" distR="0">
            <wp:extent cx="5673090" cy="3241675"/>
            <wp:effectExtent l="90805" t="73025" r="103505" b="114300"/>
            <wp:docPr id="1556755387" name="图片 24"/>
            <wp:cNvGraphicFramePr/>
            <a:graphic xmlns:a="http://schemas.openxmlformats.org/drawingml/2006/main">
              <a:graphicData uri="http://schemas.openxmlformats.org/drawingml/2006/picture">
                <pic:pic xmlns:pic="http://schemas.openxmlformats.org/drawingml/2006/picture">
                  <pic:nvPicPr>
                    <pic:cNvPr id="1556755387" name="图片 24"/>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73090" cy="32416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8926A1">
      <w:pPr>
        <w:bidi w:val="0"/>
        <w:spacing w:line="360" w:lineRule="auto"/>
      </w:pPr>
      <w:bookmarkStart w:id="237" w:name="_Toc146009871"/>
      <w:r>
        <w:rPr>
          <w:rFonts w:hint="eastAsia"/>
        </w:rPr>
        <w:t>链接设置</w:t>
      </w:r>
      <w:bookmarkEnd w:id="237"/>
    </w:p>
    <w:p w14:paraId="32DB5D01">
      <w:pPr>
        <w:bidi w:val="0"/>
        <w:spacing w:line="360" w:lineRule="auto"/>
        <w:ind w:firstLine="420" w:firstLineChars="0"/>
      </w:pPr>
      <w:bookmarkStart w:id="238" w:name="_Hlk145425617"/>
      <w:r>
        <w:rPr>
          <w:rFonts w:hint="eastAsia"/>
        </w:rPr>
        <w:t>功能概述：主要是从工业互联网平台同步的一些数据连接与配置，以及系统内部的配置（如：系统编码、省级公司ID等之类的修改）和行业注册数据上报相关的参数配置（如：数据通道地址配置等）。</w:t>
      </w:r>
    </w:p>
    <w:bookmarkEnd w:id="238"/>
    <w:p w14:paraId="06659EB5">
      <w:pPr>
        <w:bidi w:val="0"/>
        <w:spacing w:line="360" w:lineRule="auto"/>
      </w:pPr>
      <w:r>
        <w:drawing>
          <wp:inline distT="0" distB="0" distL="0" distR="0">
            <wp:extent cx="5705475" cy="3260090"/>
            <wp:effectExtent l="90805" t="73025" r="109220" b="114935"/>
            <wp:docPr id="447952268" name="图片 25"/>
            <wp:cNvGraphicFramePr/>
            <a:graphic xmlns:a="http://schemas.openxmlformats.org/drawingml/2006/main">
              <a:graphicData uri="http://schemas.openxmlformats.org/drawingml/2006/picture">
                <pic:pic xmlns:pic="http://schemas.openxmlformats.org/drawingml/2006/picture">
                  <pic:nvPicPr>
                    <pic:cNvPr id="447952268" name="图片 2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05475" cy="32600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487636">
      <w:pPr>
        <w:bidi w:val="0"/>
        <w:spacing w:line="360" w:lineRule="auto"/>
      </w:pPr>
      <w:bookmarkStart w:id="239" w:name="_Toc30106"/>
      <w:bookmarkStart w:id="240" w:name="_Toc146009872"/>
      <w:r>
        <w:rPr>
          <w:rFonts w:hint="eastAsia"/>
        </w:rPr>
        <w:t>数据</w:t>
      </w:r>
      <w:bookmarkEnd w:id="239"/>
      <w:r>
        <w:rPr>
          <w:rFonts w:hint="eastAsia"/>
        </w:rPr>
        <w:t>上传</w:t>
      </w:r>
      <w:bookmarkEnd w:id="240"/>
    </w:p>
    <w:p w14:paraId="5CE61E5E">
      <w:pPr>
        <w:bidi w:val="0"/>
        <w:spacing w:line="360" w:lineRule="auto"/>
      </w:pPr>
      <w:bookmarkStart w:id="241" w:name="_Toc17856"/>
      <w:bookmarkStart w:id="242" w:name="_Toc146009873"/>
      <w:r>
        <w:rPr>
          <w:rFonts w:hint="eastAsia"/>
        </w:rPr>
        <w:t>上传数据查看</w:t>
      </w:r>
      <w:bookmarkEnd w:id="241"/>
      <w:bookmarkEnd w:id="242"/>
    </w:p>
    <w:p w14:paraId="1636BAA1">
      <w:pPr>
        <w:bidi w:val="0"/>
        <w:spacing w:line="360" w:lineRule="auto"/>
        <w:ind w:firstLine="420" w:firstLineChars="0"/>
      </w:pPr>
      <w:r>
        <w:rPr>
          <w:rFonts w:hint="eastAsia"/>
        </w:rPr>
        <w:t>功能概述 ：批次上传数据统计页面、可按日期搜索查看</w:t>
      </w:r>
    </w:p>
    <w:p w14:paraId="34662FA1">
      <w:pPr>
        <w:bidi w:val="0"/>
        <w:spacing w:line="360" w:lineRule="auto"/>
      </w:pPr>
      <w:r>
        <w:drawing>
          <wp:inline distT="0" distB="0" distL="0" distR="0">
            <wp:extent cx="5656580" cy="3232150"/>
            <wp:effectExtent l="90805" t="73025" r="100965" b="123825"/>
            <wp:docPr id="1572384106" name="图片 26"/>
            <wp:cNvGraphicFramePr/>
            <a:graphic xmlns:a="http://schemas.openxmlformats.org/drawingml/2006/main">
              <a:graphicData uri="http://schemas.openxmlformats.org/drawingml/2006/picture">
                <pic:pic xmlns:pic="http://schemas.openxmlformats.org/drawingml/2006/picture">
                  <pic:nvPicPr>
                    <pic:cNvPr id="1572384106" name="图片 2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56580" cy="32321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6AE825">
      <w:pPr>
        <w:bidi w:val="0"/>
        <w:spacing w:line="360" w:lineRule="auto"/>
      </w:pPr>
      <w:bookmarkStart w:id="243" w:name="_Toc146009874"/>
      <w:bookmarkStart w:id="244" w:name="_Toc7213"/>
      <w:r>
        <w:rPr>
          <w:rFonts w:hint="eastAsia"/>
        </w:rPr>
        <w:t>上传任务跟踪</w:t>
      </w:r>
      <w:bookmarkEnd w:id="243"/>
      <w:bookmarkEnd w:id="244"/>
    </w:p>
    <w:p w14:paraId="0C5E4B1F">
      <w:pPr>
        <w:bidi w:val="0"/>
        <w:spacing w:line="360" w:lineRule="auto"/>
        <w:ind w:firstLine="420" w:firstLineChars="0"/>
      </w:pPr>
      <w:r>
        <w:rPr>
          <w:rFonts w:hint="eastAsia"/>
        </w:rPr>
        <w:t>功能概述 ：批次上传数据列表页面，可通过查询条件搜索，通过点击【查看】按钮可查看此批次中具体条数据。选中批次数据，通过点击【手动上传】也可上传批次到厂级。</w:t>
      </w:r>
    </w:p>
    <w:p w14:paraId="3A342105">
      <w:pPr>
        <w:bidi w:val="0"/>
        <w:spacing w:line="360" w:lineRule="auto"/>
      </w:pPr>
      <w:r>
        <w:drawing>
          <wp:inline distT="0" distB="0" distL="0" distR="0">
            <wp:extent cx="5772150" cy="3298190"/>
            <wp:effectExtent l="90805" t="73025" r="99695" b="114935"/>
            <wp:docPr id="714062329" name="图片 27"/>
            <wp:cNvGraphicFramePr/>
            <a:graphic xmlns:a="http://schemas.openxmlformats.org/drawingml/2006/main">
              <a:graphicData uri="http://schemas.openxmlformats.org/drawingml/2006/picture">
                <pic:pic xmlns:pic="http://schemas.openxmlformats.org/drawingml/2006/picture">
                  <pic:nvPicPr>
                    <pic:cNvPr id="714062329" name="图片 2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72150" cy="32981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ECF948">
      <w:pPr>
        <w:bidi w:val="0"/>
        <w:spacing w:line="360" w:lineRule="auto"/>
      </w:pPr>
      <w:bookmarkStart w:id="245" w:name="_Toc146009875"/>
      <w:r>
        <w:rPr>
          <w:rFonts w:hint="eastAsia"/>
        </w:rPr>
        <w:t>关联校验</w:t>
      </w:r>
      <w:bookmarkEnd w:id="245"/>
    </w:p>
    <w:p w14:paraId="1EADE23E">
      <w:pPr>
        <w:bidi w:val="0"/>
        <w:spacing w:line="360" w:lineRule="auto"/>
      </w:pPr>
      <w:bookmarkStart w:id="246" w:name="_Toc31317"/>
      <w:bookmarkStart w:id="247" w:name="_Toc146009876"/>
      <w:r>
        <w:rPr>
          <w:rFonts w:hint="eastAsia"/>
        </w:rPr>
        <w:t>盒条关联查询</w:t>
      </w:r>
      <w:bookmarkEnd w:id="246"/>
      <w:bookmarkEnd w:id="247"/>
    </w:p>
    <w:p w14:paraId="202FC094">
      <w:pPr>
        <w:bidi w:val="0"/>
        <w:spacing w:line="360" w:lineRule="auto"/>
        <w:ind w:firstLine="420" w:firstLineChars="0"/>
      </w:pPr>
      <w:bookmarkStart w:id="248" w:name="_Hlk145426858"/>
      <w:r>
        <w:rPr>
          <w:rFonts w:hint="eastAsia"/>
        </w:rPr>
        <w:t>功能概述 ：通过工控机连接的扫码枪，扫描盒码或条码，查看盒条关联关系。</w:t>
      </w:r>
    </w:p>
    <w:p w14:paraId="0CE2BCC5">
      <w:pPr>
        <w:bidi w:val="0"/>
        <w:spacing w:line="360" w:lineRule="auto"/>
      </w:pPr>
      <w:r>
        <w:rPr>
          <w:rFonts w:hint="eastAsia"/>
        </w:rPr>
        <w:t>也可通过搜索烟码字符串查询，查看盒条关联关系。</w:t>
      </w:r>
    </w:p>
    <w:bookmarkEnd w:id="248"/>
    <w:p w14:paraId="5BE99435">
      <w:pPr>
        <w:bidi w:val="0"/>
        <w:spacing w:line="360" w:lineRule="auto"/>
      </w:pPr>
      <w:r>
        <w:drawing>
          <wp:inline distT="0" distB="0" distL="0" distR="0">
            <wp:extent cx="5721985" cy="3269615"/>
            <wp:effectExtent l="90805" t="73025" r="92710" b="124460"/>
            <wp:docPr id="1859101524" name="图片 1859101524"/>
            <wp:cNvGraphicFramePr/>
            <a:graphic xmlns:a="http://schemas.openxmlformats.org/drawingml/2006/main">
              <a:graphicData uri="http://schemas.openxmlformats.org/drawingml/2006/picture">
                <pic:pic xmlns:pic="http://schemas.openxmlformats.org/drawingml/2006/picture">
                  <pic:nvPicPr>
                    <pic:cNvPr id="1859101524" name="图片 1859101524"/>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21985" cy="32696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6833AD">
      <w:pPr>
        <w:bidi w:val="0"/>
        <w:spacing w:line="360" w:lineRule="auto"/>
      </w:pPr>
      <w:r>
        <w:rPr>
          <w:rFonts w:hint="eastAsia"/>
        </w:rPr>
        <w:drawing>
          <wp:inline distT="0" distB="0" distL="0" distR="0">
            <wp:extent cx="5721985" cy="3269615"/>
            <wp:effectExtent l="90805" t="73025" r="92710" b="124460"/>
            <wp:docPr id="1226820180" name="图片 1226820180"/>
            <wp:cNvGraphicFramePr/>
            <a:graphic xmlns:a="http://schemas.openxmlformats.org/drawingml/2006/main">
              <a:graphicData uri="http://schemas.openxmlformats.org/drawingml/2006/picture">
                <pic:pic xmlns:pic="http://schemas.openxmlformats.org/drawingml/2006/picture">
                  <pic:nvPicPr>
                    <pic:cNvPr id="1226820180" name="图片 122682018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21985" cy="32696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07FB7B">
      <w:pPr>
        <w:bidi w:val="0"/>
        <w:spacing w:line="360" w:lineRule="auto"/>
      </w:pPr>
      <w:r>
        <w:drawing>
          <wp:inline distT="0" distB="0" distL="0" distR="0">
            <wp:extent cx="5673090" cy="3241675"/>
            <wp:effectExtent l="90805" t="73025" r="103505" b="114300"/>
            <wp:docPr id="1808579338" name="图片 12"/>
            <wp:cNvGraphicFramePr/>
            <a:graphic xmlns:a="http://schemas.openxmlformats.org/drawingml/2006/main">
              <a:graphicData uri="http://schemas.openxmlformats.org/drawingml/2006/picture">
                <pic:pic xmlns:pic="http://schemas.openxmlformats.org/drawingml/2006/picture">
                  <pic:nvPicPr>
                    <pic:cNvPr id="1808579338" name="图片 1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73090" cy="32416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C4D9D2">
      <w:pPr>
        <w:bidi w:val="0"/>
        <w:spacing w:line="360" w:lineRule="auto"/>
      </w:pPr>
      <w:bookmarkStart w:id="249" w:name="_Toc6325"/>
      <w:bookmarkStart w:id="250" w:name="_Toc146009877"/>
      <w:r>
        <w:rPr>
          <w:rFonts w:hint="eastAsia"/>
        </w:rPr>
        <w:t>盒条关联校验</w:t>
      </w:r>
      <w:bookmarkEnd w:id="249"/>
      <w:bookmarkEnd w:id="250"/>
    </w:p>
    <w:p w14:paraId="4E5C5609">
      <w:pPr>
        <w:bidi w:val="0"/>
        <w:spacing w:line="360" w:lineRule="auto"/>
        <w:ind w:firstLine="420" w:firstLineChars="0"/>
      </w:pPr>
      <w:r>
        <w:rPr>
          <w:rFonts w:hint="eastAsia"/>
        </w:rPr>
        <w:t>功能概述 ：校验盒条关联关系是否正确。扫码枪扫描条码，页面展示条码信息及关联盒码。再扫描条中盒码，盒码高亮显示</w:t>
      </w:r>
    </w:p>
    <w:p w14:paraId="709ECF49">
      <w:pPr>
        <w:bidi w:val="0"/>
        <w:spacing w:line="360" w:lineRule="auto"/>
      </w:pPr>
      <w:r>
        <w:rPr>
          <w:rFonts w:hint="eastAsia"/>
        </w:rPr>
        <w:drawing>
          <wp:inline distT="0" distB="0" distL="0" distR="0">
            <wp:extent cx="5673090" cy="3241675"/>
            <wp:effectExtent l="90805" t="73025" r="103505" b="114300"/>
            <wp:docPr id="1460173472" name="图片 14"/>
            <wp:cNvGraphicFramePr/>
            <a:graphic xmlns:a="http://schemas.openxmlformats.org/drawingml/2006/main">
              <a:graphicData uri="http://schemas.openxmlformats.org/drawingml/2006/picture">
                <pic:pic xmlns:pic="http://schemas.openxmlformats.org/drawingml/2006/picture">
                  <pic:nvPicPr>
                    <pic:cNvPr id="1460173472" name="图片 1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73090" cy="32416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3DDCBB">
      <w:pPr>
        <w:bidi w:val="0"/>
        <w:spacing w:line="360" w:lineRule="auto"/>
      </w:pPr>
      <w:r>
        <w:drawing>
          <wp:inline distT="0" distB="0" distL="0" distR="0">
            <wp:extent cx="5622925" cy="3213100"/>
            <wp:effectExtent l="90805" t="73025" r="96520" b="123825"/>
            <wp:docPr id="642552667" name="图片 15"/>
            <wp:cNvGraphicFramePr/>
            <a:graphic xmlns:a="http://schemas.openxmlformats.org/drawingml/2006/main">
              <a:graphicData uri="http://schemas.openxmlformats.org/drawingml/2006/picture">
                <pic:pic xmlns:pic="http://schemas.openxmlformats.org/drawingml/2006/picture">
                  <pic:nvPicPr>
                    <pic:cNvPr id="642552667" name="图片 15"/>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22925" cy="32131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0C97B6">
      <w:pPr>
        <w:bidi w:val="0"/>
        <w:spacing w:line="360" w:lineRule="auto"/>
      </w:pPr>
    </w:p>
    <w:p w14:paraId="29C0D809">
      <w:pPr>
        <w:bidi w:val="0"/>
        <w:spacing w:line="360" w:lineRule="auto"/>
      </w:pPr>
      <w:r>
        <w:rPr>
          <w:rFonts w:hint="eastAsia"/>
        </w:rPr>
        <w:drawing>
          <wp:inline distT="0" distB="0" distL="0" distR="0">
            <wp:extent cx="5756275" cy="3289300"/>
            <wp:effectExtent l="90805" t="73025" r="96520" b="123825"/>
            <wp:docPr id="929121205" name="图片 16"/>
            <wp:cNvGraphicFramePr/>
            <a:graphic xmlns:a="http://schemas.openxmlformats.org/drawingml/2006/main">
              <a:graphicData uri="http://schemas.openxmlformats.org/drawingml/2006/picture">
                <pic:pic xmlns:pic="http://schemas.openxmlformats.org/drawingml/2006/picture">
                  <pic:nvPicPr>
                    <pic:cNvPr id="929121205" name="图片 16"/>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56275" cy="3289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AACB03">
      <w:pPr>
        <w:bidi w:val="0"/>
        <w:spacing w:line="360" w:lineRule="auto"/>
      </w:pPr>
      <w:r>
        <w:drawing>
          <wp:inline distT="0" distB="0" distL="0" distR="0">
            <wp:extent cx="5681980" cy="3197860"/>
            <wp:effectExtent l="90805" t="73025" r="94615" b="120015"/>
            <wp:docPr id="389201573" name="图片 13"/>
            <wp:cNvGraphicFramePr/>
            <a:graphic xmlns:a="http://schemas.openxmlformats.org/drawingml/2006/main">
              <a:graphicData uri="http://schemas.openxmlformats.org/drawingml/2006/picture">
                <pic:pic xmlns:pic="http://schemas.openxmlformats.org/drawingml/2006/picture">
                  <pic:nvPicPr>
                    <pic:cNvPr id="389201573" name="图片 1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681980" cy="319786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397962">
      <w:pPr>
        <w:bidi w:val="0"/>
        <w:spacing w:line="360" w:lineRule="auto"/>
      </w:pPr>
      <w:bookmarkStart w:id="251" w:name="_Toc22815"/>
      <w:bookmarkStart w:id="252" w:name="_Toc146009878"/>
      <w:r>
        <w:rPr>
          <w:rFonts w:hint="eastAsia"/>
        </w:rPr>
        <w:t>盒条手工关联</w:t>
      </w:r>
      <w:bookmarkEnd w:id="251"/>
      <w:bookmarkEnd w:id="252"/>
    </w:p>
    <w:p w14:paraId="667C3458">
      <w:pPr>
        <w:bidi w:val="0"/>
        <w:spacing w:line="360" w:lineRule="auto"/>
        <w:ind w:firstLine="420" w:firstLineChars="0"/>
      </w:pPr>
      <w:r>
        <w:rPr>
          <w:rFonts w:hint="eastAsia"/>
        </w:rPr>
        <w:t>功能概述 ：利用扫码枪进行关联，扫码枪扫描条码，再扫描盒码 页面展示如下图；扫描相应数量后，点击【完成关联】，弹窗提示，点击【确定】完成盒条关联。点击【撤销】按钮，撤销上一步扫描的二维码。点击【重置关联】撤销所有扫描的二维码，进行重新扫码。</w:t>
      </w:r>
    </w:p>
    <w:p w14:paraId="657804D0">
      <w:pPr>
        <w:bidi w:val="0"/>
        <w:spacing w:line="360" w:lineRule="auto"/>
      </w:pPr>
      <w:r>
        <w:rPr>
          <w:rFonts w:hint="eastAsia"/>
        </w:rPr>
        <w:drawing>
          <wp:inline distT="0" distB="0" distL="0" distR="0">
            <wp:extent cx="5906770" cy="3375025"/>
            <wp:effectExtent l="90805" t="73025" r="98425" b="114300"/>
            <wp:docPr id="1031130987" name="图片 21"/>
            <wp:cNvGraphicFramePr/>
            <a:graphic xmlns:a="http://schemas.openxmlformats.org/drawingml/2006/main">
              <a:graphicData uri="http://schemas.openxmlformats.org/drawingml/2006/picture">
                <pic:pic xmlns:pic="http://schemas.openxmlformats.org/drawingml/2006/picture">
                  <pic:nvPicPr>
                    <pic:cNvPr id="1031130987" name="图片 2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06770" cy="33750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F993E4">
      <w:pPr>
        <w:bidi w:val="0"/>
        <w:spacing w:line="360" w:lineRule="auto"/>
      </w:pPr>
      <w:r>
        <w:drawing>
          <wp:inline distT="0" distB="0" distL="0" distR="0">
            <wp:extent cx="5855335" cy="3345815"/>
            <wp:effectExtent l="90805" t="73025" r="92710" b="124460"/>
            <wp:docPr id="938669583" name="图片 938669583"/>
            <wp:cNvGraphicFramePr/>
            <a:graphic xmlns:a="http://schemas.openxmlformats.org/drawingml/2006/main">
              <a:graphicData uri="http://schemas.openxmlformats.org/drawingml/2006/picture">
                <pic:pic xmlns:pic="http://schemas.openxmlformats.org/drawingml/2006/picture">
                  <pic:nvPicPr>
                    <pic:cNvPr id="938669583" name="图片 93866958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855335" cy="33458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39C22B">
      <w:pPr>
        <w:bidi w:val="0"/>
        <w:spacing w:line="360" w:lineRule="auto"/>
      </w:pPr>
      <w:r>
        <w:rPr>
          <w:rFonts w:hint="eastAsia"/>
        </w:rPr>
        <w:drawing>
          <wp:inline distT="0" distB="0" distL="0" distR="0">
            <wp:extent cx="5973445" cy="3413125"/>
            <wp:effectExtent l="90805" t="73025" r="107950" b="114300"/>
            <wp:docPr id="1607664489" name="图片 1607664489"/>
            <wp:cNvGraphicFramePr/>
            <a:graphic xmlns:a="http://schemas.openxmlformats.org/drawingml/2006/main">
              <a:graphicData uri="http://schemas.openxmlformats.org/drawingml/2006/picture">
                <pic:pic xmlns:pic="http://schemas.openxmlformats.org/drawingml/2006/picture">
                  <pic:nvPicPr>
                    <pic:cNvPr id="1607664489" name="图片 1607664489"/>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73445" cy="34131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44A97E">
      <w:pPr>
        <w:bidi w:val="0"/>
        <w:spacing w:line="360" w:lineRule="auto"/>
      </w:pPr>
      <w:r>
        <w:rPr>
          <w:rFonts w:hint="eastAsia"/>
        </w:rPr>
        <w:drawing>
          <wp:inline distT="0" distB="0" distL="0" distR="0">
            <wp:extent cx="5906770" cy="3375025"/>
            <wp:effectExtent l="90805" t="73025" r="98425" b="114300"/>
            <wp:docPr id="2027822081" name="图片 18"/>
            <wp:cNvGraphicFramePr/>
            <a:graphic xmlns:a="http://schemas.openxmlformats.org/drawingml/2006/main">
              <a:graphicData uri="http://schemas.openxmlformats.org/drawingml/2006/picture">
                <pic:pic xmlns:pic="http://schemas.openxmlformats.org/drawingml/2006/picture">
                  <pic:nvPicPr>
                    <pic:cNvPr id="2027822081" name="图片 18"/>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06770" cy="33750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405B18">
      <w:pPr>
        <w:bidi w:val="0"/>
        <w:spacing w:line="360" w:lineRule="auto"/>
      </w:pPr>
      <w:r>
        <w:drawing>
          <wp:inline distT="0" distB="0" distL="0" distR="0">
            <wp:extent cx="5906770" cy="3375025"/>
            <wp:effectExtent l="90805" t="73025" r="98425" b="114300"/>
            <wp:docPr id="747396833" name="图片 20"/>
            <wp:cNvGraphicFramePr/>
            <a:graphic xmlns:a="http://schemas.openxmlformats.org/drawingml/2006/main">
              <a:graphicData uri="http://schemas.openxmlformats.org/drawingml/2006/picture">
                <pic:pic xmlns:pic="http://schemas.openxmlformats.org/drawingml/2006/picture">
                  <pic:nvPicPr>
                    <pic:cNvPr id="747396833" name="图片 20"/>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06770" cy="33750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000C6A">
      <w:pPr>
        <w:bidi w:val="0"/>
        <w:spacing w:line="360" w:lineRule="auto"/>
      </w:pPr>
      <w:bookmarkStart w:id="253" w:name="_Toc561"/>
      <w:bookmarkStart w:id="254" w:name="_Toc146009879"/>
      <w:r>
        <w:rPr>
          <w:rFonts w:hint="eastAsia"/>
        </w:rPr>
        <w:t>盒条关联解</w:t>
      </w:r>
      <w:bookmarkEnd w:id="253"/>
      <w:r>
        <w:rPr>
          <w:rFonts w:hint="eastAsia"/>
        </w:rPr>
        <w:t>除</w:t>
      </w:r>
      <w:bookmarkEnd w:id="254"/>
    </w:p>
    <w:p w14:paraId="49C711FD">
      <w:pPr>
        <w:bidi w:val="0"/>
        <w:spacing w:line="360" w:lineRule="auto"/>
        <w:ind w:firstLine="420" w:firstLineChars="0"/>
      </w:pPr>
      <w:r>
        <w:rPr>
          <w:rFonts w:hint="eastAsia"/>
        </w:rPr>
        <w:t>功能概述 ：对盒条关联关系进行解除，扫码枪扫描盒码或条码，页面展示如下图；点击【关联解绑】，弹窗提示“确定进行关联解除操作？”点击【确定】完成关联关系解除。</w:t>
      </w:r>
    </w:p>
    <w:p w14:paraId="49854000">
      <w:pPr>
        <w:bidi w:val="0"/>
        <w:spacing w:line="360" w:lineRule="auto"/>
      </w:pPr>
      <w:r>
        <w:drawing>
          <wp:inline distT="0" distB="0" distL="0" distR="0">
            <wp:extent cx="5772150" cy="3298190"/>
            <wp:effectExtent l="90805" t="73025" r="99695" b="114935"/>
            <wp:docPr id="1285514152" name="图片 25"/>
            <wp:cNvGraphicFramePr/>
            <a:graphic xmlns:a="http://schemas.openxmlformats.org/drawingml/2006/main">
              <a:graphicData uri="http://schemas.openxmlformats.org/drawingml/2006/picture">
                <pic:pic xmlns:pic="http://schemas.openxmlformats.org/drawingml/2006/picture">
                  <pic:nvPicPr>
                    <pic:cNvPr id="1285514152" name="图片 25"/>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72150" cy="32981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461247">
      <w:pPr>
        <w:bidi w:val="0"/>
        <w:spacing w:line="360" w:lineRule="auto"/>
      </w:pPr>
      <w:r>
        <w:drawing>
          <wp:inline distT="0" distB="0" distL="0" distR="0">
            <wp:extent cx="5806440" cy="3317875"/>
            <wp:effectExtent l="90805" t="73025" r="103505" b="114300"/>
            <wp:docPr id="1934930918" name="图片 1934930918"/>
            <wp:cNvGraphicFramePr/>
            <a:graphic xmlns:a="http://schemas.openxmlformats.org/drawingml/2006/main">
              <a:graphicData uri="http://schemas.openxmlformats.org/drawingml/2006/picture">
                <pic:pic xmlns:pic="http://schemas.openxmlformats.org/drawingml/2006/picture">
                  <pic:nvPicPr>
                    <pic:cNvPr id="1934930918" name="图片 193493091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806440" cy="33178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8CCA12">
      <w:pPr>
        <w:bidi w:val="0"/>
        <w:spacing w:line="360" w:lineRule="auto"/>
      </w:pPr>
      <w:r>
        <w:rPr>
          <w:rFonts w:hint="eastAsia"/>
        </w:rPr>
        <w:drawing>
          <wp:inline distT="0" distB="0" distL="0" distR="0">
            <wp:extent cx="5772150" cy="3298190"/>
            <wp:effectExtent l="90805" t="73025" r="99695" b="114935"/>
            <wp:docPr id="113623395" name="图片 113623395"/>
            <wp:cNvGraphicFramePr/>
            <a:graphic xmlns:a="http://schemas.openxmlformats.org/drawingml/2006/main">
              <a:graphicData uri="http://schemas.openxmlformats.org/drawingml/2006/picture">
                <pic:pic xmlns:pic="http://schemas.openxmlformats.org/drawingml/2006/picture">
                  <pic:nvPicPr>
                    <pic:cNvPr id="113623395" name="图片 11362339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72150" cy="32981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2083B2">
      <w:pPr>
        <w:bidi w:val="0"/>
        <w:spacing w:line="360" w:lineRule="auto"/>
      </w:pPr>
      <w:r>
        <w:drawing>
          <wp:inline distT="0" distB="0" distL="0" distR="0">
            <wp:extent cx="5822950" cy="3327400"/>
            <wp:effectExtent l="90805" t="73025" r="106045" b="123825"/>
            <wp:docPr id="1958097960" name="图片 22"/>
            <wp:cNvGraphicFramePr/>
            <a:graphic xmlns:a="http://schemas.openxmlformats.org/drawingml/2006/main">
              <a:graphicData uri="http://schemas.openxmlformats.org/drawingml/2006/picture">
                <pic:pic xmlns:pic="http://schemas.openxmlformats.org/drawingml/2006/picture">
                  <pic:nvPicPr>
                    <pic:cNvPr id="1958097960" name="图片 22"/>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822950" cy="33274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CB97AF">
      <w:pPr>
        <w:bidi w:val="0"/>
        <w:spacing w:line="360" w:lineRule="auto"/>
      </w:pPr>
      <w:r>
        <w:rPr>
          <w:rFonts w:hint="eastAsia"/>
        </w:rPr>
        <w:drawing>
          <wp:inline distT="0" distB="0" distL="0" distR="0">
            <wp:extent cx="5756275" cy="3289300"/>
            <wp:effectExtent l="90805" t="73025" r="96520" b="123825"/>
            <wp:docPr id="191555635" name="图片 23"/>
            <wp:cNvGraphicFramePr/>
            <a:graphic xmlns:a="http://schemas.openxmlformats.org/drawingml/2006/main">
              <a:graphicData uri="http://schemas.openxmlformats.org/drawingml/2006/picture">
                <pic:pic xmlns:pic="http://schemas.openxmlformats.org/drawingml/2006/picture">
                  <pic:nvPicPr>
                    <pic:cNvPr id="191555635" name="图片 23"/>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56275" cy="3289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6DA701">
      <w:pPr>
        <w:bidi w:val="0"/>
        <w:spacing w:line="360" w:lineRule="auto"/>
      </w:pPr>
      <w:r>
        <w:rPr>
          <w:rFonts w:hint="eastAsia"/>
        </w:rPr>
        <w:drawing>
          <wp:inline distT="0" distB="0" distL="0" distR="0">
            <wp:extent cx="5822950" cy="3327400"/>
            <wp:effectExtent l="90805" t="73025" r="106045" b="123825"/>
            <wp:docPr id="1049853298" name="图片 24"/>
            <wp:cNvGraphicFramePr/>
            <a:graphic xmlns:a="http://schemas.openxmlformats.org/drawingml/2006/main">
              <a:graphicData uri="http://schemas.openxmlformats.org/drawingml/2006/picture">
                <pic:pic xmlns:pic="http://schemas.openxmlformats.org/drawingml/2006/picture">
                  <pic:nvPicPr>
                    <pic:cNvPr id="1049853298" name="图片 24"/>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822950" cy="33274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248CA6">
      <w:pPr>
        <w:bidi w:val="0"/>
        <w:spacing w:line="360" w:lineRule="auto"/>
      </w:pPr>
      <w:bookmarkStart w:id="255" w:name="_Toc20795"/>
      <w:bookmarkStart w:id="256" w:name="_Toc146009880"/>
      <w:r>
        <w:rPr>
          <w:rFonts w:hint="eastAsia"/>
        </w:rPr>
        <w:t>盒条卷烟二维码报废</w:t>
      </w:r>
      <w:bookmarkEnd w:id="255"/>
      <w:bookmarkEnd w:id="256"/>
    </w:p>
    <w:p w14:paraId="3B079BB5">
      <w:pPr>
        <w:bidi w:val="0"/>
        <w:spacing w:line="360" w:lineRule="auto"/>
        <w:ind w:firstLine="420" w:firstLineChars="0"/>
      </w:pPr>
      <w:r>
        <w:rPr>
          <w:rFonts w:hint="eastAsia"/>
        </w:rPr>
        <w:t>功能概述 ：扫描枪扫描烟码，页面展示所扫码信息，点击【批量报废】弹窗提示，“确定进行批量二维码报废操作？”点击【确定】烟码报废成功。点击“详情”可以查看烟码详情信息。点击【取消报废】，当前二维码被移除报废列表</w:t>
      </w:r>
    </w:p>
    <w:p w14:paraId="40D3433B">
      <w:pPr>
        <w:bidi w:val="0"/>
        <w:spacing w:line="360" w:lineRule="auto"/>
      </w:pPr>
      <w:r>
        <w:drawing>
          <wp:inline distT="0" distB="0" distL="0" distR="0">
            <wp:extent cx="5756275" cy="3289300"/>
            <wp:effectExtent l="90805" t="73025" r="96520" b="123825"/>
            <wp:docPr id="488357038" name="图片 26"/>
            <wp:cNvGraphicFramePr/>
            <a:graphic xmlns:a="http://schemas.openxmlformats.org/drawingml/2006/main">
              <a:graphicData uri="http://schemas.openxmlformats.org/drawingml/2006/picture">
                <pic:pic xmlns:pic="http://schemas.openxmlformats.org/drawingml/2006/picture">
                  <pic:nvPicPr>
                    <pic:cNvPr id="488357038" name="图片 26"/>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56275" cy="3289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16BF1A">
      <w:pPr>
        <w:bidi w:val="0"/>
        <w:spacing w:line="360" w:lineRule="auto"/>
      </w:pPr>
      <w:r>
        <w:drawing>
          <wp:inline distT="0" distB="0" distL="0" distR="0">
            <wp:extent cx="5806440" cy="3317875"/>
            <wp:effectExtent l="90805" t="73025" r="103505" b="114300"/>
            <wp:docPr id="1100397153" name="图片 29"/>
            <wp:cNvGraphicFramePr/>
            <a:graphic xmlns:a="http://schemas.openxmlformats.org/drawingml/2006/main">
              <a:graphicData uri="http://schemas.openxmlformats.org/drawingml/2006/picture">
                <pic:pic xmlns:pic="http://schemas.openxmlformats.org/drawingml/2006/picture">
                  <pic:nvPicPr>
                    <pic:cNvPr id="1100397153" name="图片 2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806440" cy="33178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5FDB1A">
      <w:pPr>
        <w:bidi w:val="0"/>
        <w:spacing w:line="360" w:lineRule="auto"/>
      </w:pPr>
    </w:p>
    <w:p w14:paraId="33B8B4D5">
      <w:pPr>
        <w:bidi w:val="0"/>
        <w:spacing w:line="360" w:lineRule="auto"/>
      </w:pPr>
      <w:r>
        <w:rPr>
          <w:rFonts w:hint="eastAsia"/>
        </w:rPr>
        <w:drawing>
          <wp:inline distT="0" distB="0" distL="0" distR="0">
            <wp:extent cx="5781040" cy="3251835"/>
            <wp:effectExtent l="90805" t="73025" r="90805" b="123190"/>
            <wp:docPr id="122163260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32600" name="图片 27"/>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81040" cy="325183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49D677">
      <w:pPr>
        <w:bidi w:val="0"/>
        <w:spacing w:line="360" w:lineRule="auto"/>
      </w:pPr>
      <w:r>
        <w:drawing>
          <wp:inline distT="0" distB="0" distL="0" distR="0">
            <wp:extent cx="5705475" cy="3260090"/>
            <wp:effectExtent l="90805" t="73025" r="109220" b="114935"/>
            <wp:docPr id="1745089669" name="图片 30"/>
            <wp:cNvGraphicFramePr/>
            <a:graphic xmlns:a="http://schemas.openxmlformats.org/drawingml/2006/main">
              <a:graphicData uri="http://schemas.openxmlformats.org/drawingml/2006/picture">
                <pic:pic xmlns:pic="http://schemas.openxmlformats.org/drawingml/2006/picture">
                  <pic:nvPicPr>
                    <pic:cNvPr id="1745089669" name="图片 30"/>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05475" cy="32600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666C2E">
      <w:pPr>
        <w:bidi w:val="0"/>
        <w:spacing w:line="360" w:lineRule="auto"/>
      </w:pPr>
      <w:bookmarkStart w:id="257" w:name="_Toc146009881"/>
      <w:bookmarkStart w:id="258" w:name="_Toc10705"/>
      <w:r>
        <w:rPr>
          <w:rFonts w:hint="eastAsia"/>
        </w:rPr>
        <w:t>设备管理</w:t>
      </w:r>
      <w:bookmarkEnd w:id="257"/>
      <w:bookmarkEnd w:id="258"/>
    </w:p>
    <w:p w14:paraId="678008A6">
      <w:pPr>
        <w:bidi w:val="0"/>
        <w:spacing w:line="360" w:lineRule="auto"/>
      </w:pPr>
      <w:bookmarkStart w:id="259" w:name="_Toc146009882"/>
      <w:bookmarkStart w:id="260" w:name="_Toc8607"/>
      <w:r>
        <w:rPr>
          <w:rFonts w:hint="eastAsia"/>
        </w:rPr>
        <w:t>生产设备详情</w:t>
      </w:r>
      <w:bookmarkEnd w:id="259"/>
      <w:bookmarkEnd w:id="260"/>
    </w:p>
    <w:p w14:paraId="67DECC79">
      <w:pPr>
        <w:bidi w:val="0"/>
        <w:spacing w:line="360" w:lineRule="auto"/>
        <w:ind w:firstLine="420" w:firstLineChars="0"/>
      </w:pPr>
      <w:r>
        <w:rPr>
          <w:rFonts w:hint="eastAsia"/>
        </w:rPr>
        <w:t>查看当前子系统生产设备信息。</w:t>
      </w:r>
    </w:p>
    <w:p w14:paraId="40BC4DA0">
      <w:pPr>
        <w:bidi w:val="0"/>
        <w:spacing w:line="360" w:lineRule="auto"/>
      </w:pPr>
      <w:r>
        <w:drawing>
          <wp:inline distT="0" distB="0" distL="0" distR="0">
            <wp:extent cx="5656580" cy="3232150"/>
            <wp:effectExtent l="90805" t="73025" r="100965" b="123825"/>
            <wp:docPr id="2135444124" name="图片 33"/>
            <wp:cNvGraphicFramePr/>
            <a:graphic xmlns:a="http://schemas.openxmlformats.org/drawingml/2006/main">
              <a:graphicData uri="http://schemas.openxmlformats.org/drawingml/2006/picture">
                <pic:pic xmlns:pic="http://schemas.openxmlformats.org/drawingml/2006/picture">
                  <pic:nvPicPr>
                    <pic:cNvPr id="2135444124" name="图片 33"/>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656580" cy="32321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9BC85B">
      <w:pPr>
        <w:bidi w:val="0"/>
        <w:spacing w:line="360" w:lineRule="auto"/>
      </w:pPr>
      <w:bookmarkStart w:id="261" w:name="_Toc32113"/>
      <w:bookmarkStart w:id="262" w:name="_Toc146009883"/>
      <w:r>
        <w:rPr>
          <w:rFonts w:hint="eastAsia"/>
        </w:rPr>
        <w:t>电子设备详情</w:t>
      </w:r>
      <w:bookmarkEnd w:id="261"/>
      <w:bookmarkEnd w:id="262"/>
    </w:p>
    <w:p w14:paraId="2EB70E53">
      <w:pPr>
        <w:bidi w:val="0"/>
        <w:spacing w:line="360" w:lineRule="auto"/>
        <w:ind w:firstLine="420" w:firstLineChars="0"/>
      </w:pPr>
      <w:r>
        <w:rPr>
          <w:rFonts w:hint="eastAsia"/>
        </w:rPr>
        <w:t>功能概述 ：维护当前子系统的电子设备</w:t>
      </w:r>
    </w:p>
    <w:p w14:paraId="166D49ED">
      <w:pPr>
        <w:bidi w:val="0"/>
        <w:spacing w:line="360" w:lineRule="auto"/>
        <w:ind w:firstLine="420" w:firstLineChars="0"/>
      </w:pPr>
      <w:r>
        <w:rPr>
          <w:rFonts w:hint="eastAsia"/>
        </w:rPr>
        <w:t>点击工位信息，可查此电子设备的详情信息、运行情况、告警历史、维护记录</w:t>
      </w:r>
    </w:p>
    <w:p w14:paraId="412A9A57">
      <w:pPr>
        <w:bidi w:val="0"/>
        <w:spacing w:line="360" w:lineRule="auto"/>
      </w:pPr>
      <w:r>
        <w:drawing>
          <wp:inline distT="0" distB="0" distL="0" distR="0">
            <wp:extent cx="5756275" cy="3289300"/>
            <wp:effectExtent l="90805" t="73025" r="96520" b="123825"/>
            <wp:docPr id="1687962769" name="图片 34"/>
            <wp:cNvGraphicFramePr/>
            <a:graphic xmlns:a="http://schemas.openxmlformats.org/drawingml/2006/main">
              <a:graphicData uri="http://schemas.openxmlformats.org/drawingml/2006/picture">
                <pic:pic xmlns:pic="http://schemas.openxmlformats.org/drawingml/2006/picture">
                  <pic:nvPicPr>
                    <pic:cNvPr id="1687962769" name="图片 34"/>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56275" cy="3289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88553A">
      <w:pPr>
        <w:bidi w:val="0"/>
        <w:spacing w:line="360" w:lineRule="auto"/>
      </w:pPr>
      <w:bookmarkStart w:id="263" w:name="_Toc2167"/>
      <w:bookmarkStart w:id="264" w:name="_Toc146009884"/>
      <w:r>
        <w:rPr>
          <w:rFonts w:hint="eastAsia"/>
        </w:rPr>
        <w:t>工控机信息</w:t>
      </w:r>
      <w:bookmarkEnd w:id="263"/>
      <w:bookmarkEnd w:id="264"/>
    </w:p>
    <w:p w14:paraId="2971A056">
      <w:pPr>
        <w:bidi w:val="0"/>
        <w:spacing w:line="360" w:lineRule="auto"/>
        <w:ind w:firstLine="420" w:firstLineChars="0"/>
      </w:pPr>
      <w:r>
        <w:rPr>
          <w:rFonts w:hint="eastAsia"/>
        </w:rPr>
        <w:t>功能概述 ：维护当前子系统的工控机信息</w:t>
      </w:r>
    </w:p>
    <w:p w14:paraId="2BEA2995">
      <w:pPr>
        <w:bidi w:val="0"/>
        <w:spacing w:line="360" w:lineRule="auto"/>
      </w:pPr>
      <w:r>
        <w:drawing>
          <wp:inline distT="0" distB="0" distL="0" distR="0">
            <wp:extent cx="5688965" cy="3250565"/>
            <wp:effectExtent l="90805" t="73025" r="106680" b="124460"/>
            <wp:docPr id="1298323639" name="图片 35"/>
            <wp:cNvGraphicFramePr/>
            <a:graphic xmlns:a="http://schemas.openxmlformats.org/drawingml/2006/main">
              <a:graphicData uri="http://schemas.openxmlformats.org/drawingml/2006/picture">
                <pic:pic xmlns:pic="http://schemas.openxmlformats.org/drawingml/2006/picture">
                  <pic:nvPicPr>
                    <pic:cNvPr id="1298323639" name="图片 3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88965" cy="325056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048A51">
      <w:pPr>
        <w:bidi w:val="0"/>
        <w:spacing w:line="360" w:lineRule="auto"/>
      </w:pPr>
      <w:bookmarkStart w:id="265" w:name="_Toc4964"/>
      <w:bookmarkStart w:id="266" w:name="_Toc146009885"/>
      <w:r>
        <w:rPr>
          <w:rFonts w:hint="eastAsia"/>
        </w:rPr>
        <w:t>作业监控</w:t>
      </w:r>
      <w:bookmarkEnd w:id="265"/>
      <w:bookmarkEnd w:id="266"/>
    </w:p>
    <w:p w14:paraId="2944FA31">
      <w:pPr>
        <w:bidi w:val="0"/>
        <w:spacing w:line="360" w:lineRule="auto"/>
      </w:pPr>
      <w:bookmarkStart w:id="267" w:name="_Toc6224"/>
      <w:bookmarkStart w:id="268" w:name="_Toc146009886"/>
      <w:r>
        <w:rPr>
          <w:rFonts w:hint="eastAsia"/>
        </w:rPr>
        <w:t>作业统计</w:t>
      </w:r>
      <w:bookmarkEnd w:id="267"/>
      <w:bookmarkEnd w:id="268"/>
    </w:p>
    <w:p w14:paraId="10307601">
      <w:pPr>
        <w:bidi w:val="0"/>
        <w:spacing w:line="360" w:lineRule="auto"/>
        <w:ind w:firstLine="420" w:firstLineChars="0"/>
      </w:pPr>
      <w:r>
        <w:rPr>
          <w:rFonts w:hint="eastAsia"/>
        </w:rPr>
        <w:t>可以查看当前作业的盒条关联数量、数据上次成功数量、数据上次异常数量，以及盒条关联数量趋势分析：</w:t>
      </w:r>
    </w:p>
    <w:p w14:paraId="06C28910">
      <w:pPr>
        <w:bidi w:val="0"/>
        <w:spacing w:line="360" w:lineRule="auto"/>
      </w:pPr>
      <w:r>
        <w:drawing>
          <wp:inline distT="0" distB="0" distL="0" distR="0">
            <wp:extent cx="5673090" cy="3241675"/>
            <wp:effectExtent l="90805" t="73025" r="103505" b="114300"/>
            <wp:docPr id="1545351404" name="图片 36"/>
            <wp:cNvGraphicFramePr/>
            <a:graphic xmlns:a="http://schemas.openxmlformats.org/drawingml/2006/main">
              <a:graphicData uri="http://schemas.openxmlformats.org/drawingml/2006/picture">
                <pic:pic xmlns:pic="http://schemas.openxmlformats.org/drawingml/2006/picture">
                  <pic:nvPicPr>
                    <pic:cNvPr id="1545351404" name="图片 36"/>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673090" cy="32416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C59CF4">
      <w:pPr>
        <w:bidi w:val="0"/>
        <w:spacing w:line="360" w:lineRule="auto"/>
      </w:pPr>
      <w:bookmarkStart w:id="269" w:name="_Toc146009887"/>
      <w:bookmarkStart w:id="270" w:name="_Toc23394"/>
      <w:r>
        <w:rPr>
          <w:rFonts w:hint="eastAsia"/>
        </w:rPr>
        <w:t>质量趋势</w:t>
      </w:r>
      <w:bookmarkEnd w:id="269"/>
      <w:bookmarkEnd w:id="270"/>
    </w:p>
    <w:p w14:paraId="159AB1B0">
      <w:pPr>
        <w:bidi w:val="0"/>
        <w:spacing w:line="360" w:lineRule="auto"/>
        <w:ind w:firstLine="420" w:firstLineChars="0"/>
      </w:pPr>
      <w:r>
        <w:rPr>
          <w:rFonts w:hint="eastAsia"/>
        </w:rPr>
        <w:t>质量趋势用于监控子系统关联准确率，成品率，可以选择时间查看趋势。</w:t>
      </w:r>
    </w:p>
    <w:p w14:paraId="05B41913">
      <w:pPr>
        <w:bidi w:val="0"/>
        <w:spacing w:line="360" w:lineRule="auto"/>
      </w:pPr>
      <w:r>
        <w:drawing>
          <wp:inline distT="0" distB="0" distL="0" distR="0">
            <wp:extent cx="5638800" cy="3221990"/>
            <wp:effectExtent l="90805" t="73025" r="99695" b="114935"/>
            <wp:docPr id="267516712" name="图片 37"/>
            <wp:cNvGraphicFramePr/>
            <a:graphic xmlns:a="http://schemas.openxmlformats.org/drawingml/2006/main">
              <a:graphicData uri="http://schemas.openxmlformats.org/drawingml/2006/picture">
                <pic:pic xmlns:pic="http://schemas.openxmlformats.org/drawingml/2006/picture">
                  <pic:nvPicPr>
                    <pic:cNvPr id="267516712" name="图片 37"/>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638800" cy="32219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8A59A2">
      <w:pPr>
        <w:bidi w:val="0"/>
        <w:spacing w:line="360" w:lineRule="auto"/>
      </w:pPr>
      <w:bookmarkStart w:id="271" w:name="_Toc146009888"/>
      <w:bookmarkStart w:id="272" w:name="_Toc5088"/>
      <w:r>
        <w:rPr>
          <w:rFonts w:hint="eastAsia"/>
        </w:rPr>
        <w:t>设备监控</w:t>
      </w:r>
      <w:bookmarkEnd w:id="271"/>
      <w:bookmarkEnd w:id="272"/>
    </w:p>
    <w:p w14:paraId="74237B76">
      <w:pPr>
        <w:bidi w:val="0"/>
        <w:spacing w:line="360" w:lineRule="auto"/>
        <w:ind w:firstLine="420" w:firstLineChars="0"/>
      </w:pPr>
      <w:r>
        <w:rPr>
          <w:rFonts w:hint="eastAsia"/>
        </w:rPr>
        <w:t>设备监控主页展示当前设备运行数据和历史设备运行数据：</w:t>
      </w:r>
    </w:p>
    <w:p w14:paraId="71A36DCA">
      <w:pPr>
        <w:bidi w:val="0"/>
        <w:spacing w:line="360" w:lineRule="auto"/>
      </w:pPr>
      <w:r>
        <w:drawing>
          <wp:inline distT="0" distB="0" distL="0" distR="0">
            <wp:extent cx="5622925" cy="3213100"/>
            <wp:effectExtent l="90805" t="73025" r="96520" b="123825"/>
            <wp:docPr id="1573926251" name="图片 38"/>
            <wp:cNvGraphicFramePr/>
            <a:graphic xmlns:a="http://schemas.openxmlformats.org/drawingml/2006/main">
              <a:graphicData uri="http://schemas.openxmlformats.org/drawingml/2006/picture">
                <pic:pic xmlns:pic="http://schemas.openxmlformats.org/drawingml/2006/picture">
                  <pic:nvPicPr>
                    <pic:cNvPr id="1573926251" name="图片 38"/>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22925" cy="32131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F44598">
      <w:pPr>
        <w:bidi w:val="0"/>
        <w:spacing w:line="360" w:lineRule="auto"/>
      </w:pPr>
      <w:bookmarkStart w:id="273" w:name="_Toc146009889"/>
      <w:bookmarkStart w:id="274" w:name="_Toc16313"/>
      <w:r>
        <w:rPr>
          <w:rFonts w:hint="eastAsia"/>
        </w:rPr>
        <w:t>操作日志</w:t>
      </w:r>
      <w:bookmarkEnd w:id="273"/>
      <w:bookmarkEnd w:id="274"/>
    </w:p>
    <w:p w14:paraId="7B5D8611">
      <w:pPr>
        <w:bidi w:val="0"/>
        <w:spacing w:line="360" w:lineRule="auto"/>
        <w:ind w:firstLine="420" w:firstLineChars="0"/>
      </w:pPr>
      <w:bookmarkStart w:id="275" w:name="_Toc2560"/>
      <w:r>
        <w:rPr>
          <w:rFonts w:hint="eastAsia"/>
        </w:rPr>
        <w:t>操作日志展示运行日志、操作日志、剔除数据日志和登录日志：</w:t>
      </w:r>
    </w:p>
    <w:p w14:paraId="07B723FE">
      <w:pPr>
        <w:bidi w:val="0"/>
        <w:spacing w:line="360" w:lineRule="auto"/>
        <w:ind w:firstLine="420" w:firstLineChars="0"/>
      </w:pPr>
      <w:r>
        <w:rPr>
          <w:rFonts w:hint="eastAsia"/>
        </w:rPr>
        <w:t>运行日志展示机台的运行情况，可按时间进行搜索。</w:t>
      </w:r>
    </w:p>
    <w:p w14:paraId="2111BE73">
      <w:pPr>
        <w:bidi w:val="0"/>
        <w:spacing w:line="360" w:lineRule="auto"/>
      </w:pPr>
      <w:r>
        <w:drawing>
          <wp:inline distT="0" distB="0" distL="0" distR="0">
            <wp:extent cx="5605145" cy="3202940"/>
            <wp:effectExtent l="90805" t="73025" r="95250" b="114935"/>
            <wp:docPr id="2007819754" name="图片 5"/>
            <wp:cNvGraphicFramePr/>
            <a:graphic xmlns:a="http://schemas.openxmlformats.org/drawingml/2006/main">
              <a:graphicData uri="http://schemas.openxmlformats.org/drawingml/2006/picture">
                <pic:pic xmlns:pic="http://schemas.openxmlformats.org/drawingml/2006/picture">
                  <pic:nvPicPr>
                    <pic:cNvPr id="2007819754" name="图片 5"/>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605145" cy="320294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2C9A2C">
      <w:pPr>
        <w:bidi w:val="0"/>
        <w:spacing w:line="360" w:lineRule="auto"/>
      </w:pPr>
    </w:p>
    <w:p w14:paraId="58ADB761">
      <w:pPr>
        <w:bidi w:val="0"/>
        <w:spacing w:line="360" w:lineRule="auto"/>
        <w:ind w:firstLine="420" w:firstLineChars="0"/>
      </w:pPr>
      <w:r>
        <w:rPr>
          <w:rFonts w:hint="eastAsia"/>
        </w:rPr>
        <w:t>操作日志展示扫码枪进行的关联，解绑，校验等数据的操作记录，可以输入操作人名字进行筛选搜索。</w:t>
      </w:r>
    </w:p>
    <w:p w14:paraId="493EA591">
      <w:pPr>
        <w:bidi w:val="0"/>
        <w:spacing w:line="360" w:lineRule="auto"/>
      </w:pPr>
      <w:r>
        <w:drawing>
          <wp:inline distT="0" distB="0" distL="0" distR="0">
            <wp:extent cx="5788660" cy="3307715"/>
            <wp:effectExtent l="90805" t="73025" r="102235" b="124460"/>
            <wp:docPr id="76207138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71386" name="图片 32"/>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88660" cy="33077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0624A9">
      <w:pPr>
        <w:bidi w:val="0"/>
        <w:spacing w:line="360" w:lineRule="auto"/>
      </w:pPr>
      <w:r>
        <w:rPr>
          <w:rFonts w:hint="eastAsia"/>
        </w:rPr>
        <w:t>剔除日志页面，可按条件进行搜索</w:t>
      </w:r>
    </w:p>
    <w:p w14:paraId="2BDCCE8D">
      <w:pPr>
        <w:bidi w:val="0"/>
        <w:spacing w:line="360" w:lineRule="auto"/>
      </w:pPr>
      <w:r>
        <w:drawing>
          <wp:inline distT="0" distB="0" distL="0" distR="0">
            <wp:extent cx="5721985" cy="3269615"/>
            <wp:effectExtent l="90805" t="73025" r="92710" b="124460"/>
            <wp:docPr id="58904754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47548" name="图片 33"/>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21985" cy="32696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E732F0">
      <w:pPr>
        <w:bidi w:val="0"/>
        <w:spacing w:line="360" w:lineRule="auto"/>
      </w:pPr>
    </w:p>
    <w:p w14:paraId="6F76B0C4">
      <w:pPr>
        <w:bidi w:val="0"/>
        <w:spacing w:line="360" w:lineRule="auto"/>
      </w:pPr>
      <w:r>
        <w:rPr>
          <w:rFonts w:hint="eastAsia"/>
        </w:rPr>
        <w:t>登录日志展示账号登录情况，可按操作人进行搜索。</w:t>
      </w:r>
    </w:p>
    <w:p w14:paraId="4F86E2E0">
      <w:pPr>
        <w:bidi w:val="0"/>
        <w:spacing w:line="360" w:lineRule="auto"/>
      </w:pPr>
      <w:r>
        <w:rPr>
          <w:rFonts w:hint="eastAsia"/>
        </w:rPr>
        <w:drawing>
          <wp:inline distT="0" distB="0" distL="0" distR="0">
            <wp:extent cx="5739765" cy="3279775"/>
            <wp:effectExtent l="90805" t="73025" r="93980" b="114300"/>
            <wp:docPr id="336277797" name="图片 34"/>
            <wp:cNvGraphicFramePr/>
            <a:graphic xmlns:a="http://schemas.openxmlformats.org/drawingml/2006/main">
              <a:graphicData uri="http://schemas.openxmlformats.org/drawingml/2006/picture">
                <pic:pic xmlns:pic="http://schemas.openxmlformats.org/drawingml/2006/picture">
                  <pic:nvPicPr>
                    <pic:cNvPr id="336277797" name="图片 34"/>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9765" cy="32797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B2F945">
      <w:pPr>
        <w:bidi w:val="0"/>
        <w:spacing w:line="360" w:lineRule="auto"/>
      </w:pPr>
      <w:bookmarkStart w:id="276" w:name="_Toc27873"/>
      <w:bookmarkStart w:id="277" w:name="_Toc146009890"/>
      <w:r>
        <w:rPr>
          <w:rFonts w:hint="eastAsia"/>
        </w:rPr>
        <w:t>告警日志</w:t>
      </w:r>
      <w:bookmarkEnd w:id="275"/>
      <w:bookmarkEnd w:id="276"/>
      <w:bookmarkEnd w:id="277"/>
    </w:p>
    <w:p w14:paraId="77DF4F46">
      <w:pPr>
        <w:bidi w:val="0"/>
        <w:spacing w:line="360" w:lineRule="auto"/>
        <w:ind w:firstLine="420" w:firstLineChars="0"/>
      </w:pPr>
      <w:r>
        <w:rPr>
          <w:rFonts w:hint="eastAsia"/>
        </w:rPr>
        <w:t>告警日志默认展示正在告警的报警以及告警的趋势：</w:t>
      </w:r>
    </w:p>
    <w:p w14:paraId="154ECD9B">
      <w:pPr>
        <w:bidi w:val="0"/>
        <w:spacing w:line="360" w:lineRule="auto"/>
        <w:ind w:firstLine="420" w:firstLineChars="0"/>
      </w:pPr>
      <w:r>
        <w:rPr>
          <w:rFonts w:hint="eastAsia"/>
        </w:rPr>
        <w:t>告警日志可通过告警状态、告警级别搜索：</w:t>
      </w:r>
    </w:p>
    <w:p w14:paraId="0DF83259">
      <w:pPr>
        <w:bidi w:val="0"/>
        <w:spacing w:line="360" w:lineRule="auto"/>
        <w:ind w:firstLine="420" w:firstLineChars="0"/>
      </w:pPr>
      <w:r>
        <w:rPr>
          <w:rFonts w:hint="eastAsia"/>
        </w:rPr>
        <w:t>正在告警的报警可以点击清除告警将其消除，告警处理完之后可以通过点击上方消除，进行告警消除：</w:t>
      </w:r>
    </w:p>
    <w:p w14:paraId="794FC685">
      <w:pPr>
        <w:bidi w:val="0"/>
        <w:spacing w:line="360" w:lineRule="auto"/>
      </w:pPr>
    </w:p>
    <w:p w14:paraId="4C547F22">
      <w:pPr>
        <w:bidi w:val="0"/>
        <w:spacing w:line="360" w:lineRule="auto"/>
      </w:pPr>
      <w:r>
        <w:drawing>
          <wp:inline distT="0" distB="0" distL="0" distR="0">
            <wp:extent cx="5688965" cy="3250565"/>
            <wp:effectExtent l="90805" t="73025" r="106680" b="124460"/>
            <wp:docPr id="179629427" name="图片 4"/>
            <wp:cNvGraphicFramePr/>
            <a:graphic xmlns:a="http://schemas.openxmlformats.org/drawingml/2006/main">
              <a:graphicData uri="http://schemas.openxmlformats.org/drawingml/2006/picture">
                <pic:pic xmlns:pic="http://schemas.openxmlformats.org/drawingml/2006/picture">
                  <pic:nvPicPr>
                    <pic:cNvPr id="179629427" name="图片 4"/>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88965" cy="325056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700ADF">
      <w:pPr>
        <w:bidi w:val="0"/>
        <w:spacing w:line="360" w:lineRule="auto"/>
      </w:pPr>
    </w:p>
    <w:p w14:paraId="4F736BC7">
      <w:pPr>
        <w:bidi w:val="0"/>
        <w:spacing w:line="360" w:lineRule="auto"/>
      </w:pPr>
      <w:r>
        <w:rPr>
          <w:rFonts w:hint="eastAsia"/>
        </w:rPr>
        <w:t>告警趋势：展示告警趋势曲线图，告警统计图。可以通过日期查询对应的告警趋势：</w:t>
      </w:r>
    </w:p>
    <w:p w14:paraId="504ECA30">
      <w:pPr>
        <w:bidi w:val="0"/>
        <w:spacing w:line="360" w:lineRule="auto"/>
      </w:pPr>
      <w:r>
        <w:drawing>
          <wp:inline distT="0" distB="0" distL="0" distR="0">
            <wp:extent cx="5788660" cy="3307715"/>
            <wp:effectExtent l="90805" t="73025" r="102235" b="124460"/>
            <wp:docPr id="15937513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51354" name="图片 36"/>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88660" cy="33077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DDE135">
      <w:pPr>
        <w:bidi w:val="0"/>
        <w:spacing w:line="360" w:lineRule="auto"/>
      </w:pPr>
      <w:bookmarkStart w:id="278" w:name="_Toc146009891"/>
      <w:bookmarkStart w:id="279" w:name="_Toc319"/>
      <w:r>
        <w:rPr>
          <w:rFonts w:hint="eastAsia"/>
        </w:rPr>
        <w:t>关于系统</w:t>
      </w:r>
      <w:bookmarkEnd w:id="278"/>
      <w:bookmarkEnd w:id="279"/>
    </w:p>
    <w:p w14:paraId="01022DC3">
      <w:pPr>
        <w:bidi w:val="0"/>
        <w:spacing w:line="360" w:lineRule="auto"/>
      </w:pPr>
      <w:bookmarkStart w:id="280" w:name="_Toc9934"/>
      <w:bookmarkStart w:id="281" w:name="_Toc146009892"/>
      <w:r>
        <w:rPr>
          <w:rFonts w:hint="eastAsia"/>
        </w:rPr>
        <w:t>系统信息</w:t>
      </w:r>
      <w:bookmarkEnd w:id="280"/>
      <w:bookmarkEnd w:id="281"/>
    </w:p>
    <w:p w14:paraId="70CAE469">
      <w:pPr>
        <w:bidi w:val="0"/>
        <w:spacing w:line="360" w:lineRule="auto"/>
        <w:ind w:firstLine="420" w:firstLineChars="0"/>
      </w:pPr>
      <w:r>
        <w:rPr>
          <w:rFonts w:hint="eastAsia"/>
        </w:rPr>
        <w:t>功能概述 ：维护当前子系统信息、生产设备信息、电子设备信息、工控机信息</w:t>
      </w:r>
    </w:p>
    <w:p w14:paraId="625656D4">
      <w:pPr>
        <w:bidi w:val="0"/>
        <w:spacing w:line="360" w:lineRule="auto"/>
      </w:pPr>
      <w:r>
        <w:drawing>
          <wp:inline distT="0" distB="0" distL="0" distR="0">
            <wp:extent cx="5688965" cy="3250565"/>
            <wp:effectExtent l="90805" t="73025" r="106680" b="124460"/>
            <wp:docPr id="1558236550" name="图片 3"/>
            <wp:cNvGraphicFramePr/>
            <a:graphic xmlns:a="http://schemas.openxmlformats.org/drawingml/2006/main">
              <a:graphicData uri="http://schemas.openxmlformats.org/drawingml/2006/picture">
                <pic:pic xmlns:pic="http://schemas.openxmlformats.org/drawingml/2006/picture">
                  <pic:nvPicPr>
                    <pic:cNvPr id="1558236550" name="图片 3"/>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688965" cy="325056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A990A9">
      <w:pPr>
        <w:bidi w:val="0"/>
        <w:spacing w:line="360" w:lineRule="auto"/>
      </w:pPr>
      <w:bookmarkStart w:id="282" w:name="_Toc146009893"/>
      <w:bookmarkStart w:id="283" w:name="_Toc11160"/>
      <w:r>
        <w:rPr>
          <w:rFonts w:hint="eastAsia"/>
        </w:rPr>
        <w:t>系统升级</w:t>
      </w:r>
      <w:bookmarkEnd w:id="282"/>
      <w:bookmarkEnd w:id="283"/>
    </w:p>
    <w:p w14:paraId="0BC0CF53">
      <w:pPr>
        <w:bidi w:val="0"/>
        <w:spacing w:line="360" w:lineRule="auto"/>
        <w:ind w:firstLine="420" w:firstLineChars="0"/>
      </w:pPr>
      <w:r>
        <w:rPr>
          <w:rFonts w:hint="eastAsia"/>
        </w:rPr>
        <w:t>功能概述 ：维护当前系统版本、当前系统版本升级日志</w:t>
      </w:r>
    </w:p>
    <w:p w14:paraId="7AFAFA2C">
      <w:pPr>
        <w:bidi w:val="0"/>
        <w:spacing w:line="360" w:lineRule="auto"/>
      </w:pPr>
      <w:r>
        <w:drawing>
          <wp:inline distT="0" distB="0" distL="0" distR="0">
            <wp:extent cx="5806440" cy="3317875"/>
            <wp:effectExtent l="90805" t="73025" r="103505" b="114300"/>
            <wp:docPr id="276023903" name="图片 2"/>
            <wp:cNvGraphicFramePr/>
            <a:graphic xmlns:a="http://schemas.openxmlformats.org/drawingml/2006/main">
              <a:graphicData uri="http://schemas.openxmlformats.org/drawingml/2006/picture">
                <pic:pic xmlns:pic="http://schemas.openxmlformats.org/drawingml/2006/picture">
                  <pic:nvPicPr>
                    <pic:cNvPr id="276023903" name="图片 2"/>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806440" cy="33178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A9374A">
      <w:pPr>
        <w:bidi w:val="0"/>
        <w:spacing w:line="360" w:lineRule="auto"/>
      </w:pPr>
      <w:bookmarkStart w:id="284" w:name="_Toc146009894"/>
      <w:bookmarkStart w:id="285" w:name="_Toc9351"/>
      <w:r>
        <w:rPr>
          <w:rFonts w:hint="eastAsia"/>
        </w:rPr>
        <w:t>系统帮助</w:t>
      </w:r>
      <w:bookmarkEnd w:id="284"/>
      <w:bookmarkEnd w:id="285"/>
    </w:p>
    <w:p w14:paraId="0BA8855E">
      <w:pPr>
        <w:bidi w:val="0"/>
        <w:spacing w:line="360" w:lineRule="auto"/>
        <w:ind w:firstLine="420" w:firstLineChars="0"/>
      </w:pPr>
      <w:r>
        <w:rPr>
          <w:rFonts w:hint="eastAsia"/>
        </w:rPr>
        <w:t>功能概述 ：维护系统用户操作手册，方便使用时随时查询。</w:t>
      </w:r>
    </w:p>
    <w:p w14:paraId="363F6CBC">
      <w:pPr>
        <w:bidi w:val="0"/>
        <w:spacing w:line="360" w:lineRule="auto"/>
      </w:pPr>
      <w:r>
        <w:drawing>
          <wp:inline distT="0" distB="0" distL="0" distR="0">
            <wp:extent cx="5744210" cy="3049270"/>
            <wp:effectExtent l="90805" t="73025" r="108585" b="116205"/>
            <wp:docPr id="102436540" name="图片 1"/>
            <wp:cNvGraphicFramePr/>
            <a:graphic xmlns:a="http://schemas.openxmlformats.org/drawingml/2006/main">
              <a:graphicData uri="http://schemas.openxmlformats.org/drawingml/2006/picture">
                <pic:pic xmlns:pic="http://schemas.openxmlformats.org/drawingml/2006/picture">
                  <pic:nvPicPr>
                    <pic:cNvPr id="102436540" name="图片 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44210" cy="304927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054A24">
      <w:pPr>
        <w:rPr>
          <w:rFonts w:hint="default"/>
          <w:lang w:val="en-US" w:eastAsia="zh-CN"/>
        </w:rPr>
      </w:pPr>
      <w:r>
        <w:rPr>
          <w:rFonts w:hint="default"/>
          <w:lang w:val="en-US" w:eastAsia="zh-CN"/>
        </w:rPr>
        <w:br w:type="page"/>
      </w:r>
    </w:p>
    <w:p w14:paraId="32653E1D">
      <w:pPr>
        <w:rPr>
          <w:rFonts w:hint="default"/>
          <w:lang w:val="en-US" w:eastAsia="zh-CN"/>
        </w:rPr>
      </w:pPr>
    </w:p>
    <w:p w14:paraId="1AFDD5AD">
      <w:pPr>
        <w:pStyle w:val="9"/>
        <w:pageBreakBefore w:val="0"/>
        <w:numPr>
          <w:ilvl w:val="2"/>
          <w:numId w:val="12"/>
        </w:numPr>
        <w:tabs>
          <w:tab w:val="left" w:pos="0"/>
        </w:tabs>
        <w:kinsoku/>
        <w:wordWrap/>
        <w:overflowPunct/>
        <w:topLinePunct w:val="0"/>
        <w:autoSpaceDE/>
        <w:autoSpaceDN/>
        <w:bidi w:val="0"/>
        <w:spacing w:line="360" w:lineRule="auto"/>
        <w:textAlignment w:val="auto"/>
        <w:rPr>
          <w:rFonts w:hint="default"/>
          <w:lang w:val="en-US" w:eastAsia="zh-CN"/>
        </w:rPr>
      </w:pPr>
      <w:bookmarkStart w:id="286" w:name="_Toc1785271908"/>
      <w:bookmarkStart w:id="287" w:name="_Toc1128303882"/>
      <w:bookmarkStart w:id="288" w:name="_Toc1733258935"/>
      <w:r>
        <w:rPr>
          <w:rFonts w:hint="eastAsia"/>
          <w:lang w:val="en-US" w:eastAsia="zh-CN"/>
        </w:rPr>
        <w:t>“盒条”关联现场标准作业</w:t>
      </w:r>
      <w:bookmarkEnd w:id="286"/>
      <w:bookmarkEnd w:id="287"/>
      <w:bookmarkEnd w:id="288"/>
    </w:p>
    <w:p w14:paraId="643AB4DE">
      <w:pPr>
        <w:ind w:firstLine="420"/>
        <w:rPr>
          <w:rFonts w:hint="eastAsia" w:ascii="宋体" w:hAnsi="宋体" w:eastAsia="宋体" w:cs="Times New Roman"/>
          <w:u w:val="single"/>
        </w:rPr>
      </w:pPr>
      <w:r>
        <w:rPr>
          <w:rFonts w:hint="eastAsia" w:ascii="宋体" w:hAnsi="宋体" w:eastAsia="宋体" w:cs="Times New Roman"/>
          <w:u w:val="single"/>
          <w:lang w:val="en-US" w:eastAsia="zh-CN"/>
        </w:rPr>
        <w:t>针对本次项目情况，新增机型实施完成后，为确保正常生产的顺畅进行，根据具体的实施方案，需要在运行过程中严格遵照下述操作指导，避免因操作不规范导致的各类异常情况</w:t>
      </w:r>
      <w:r>
        <w:rPr>
          <w:rFonts w:hint="eastAsia" w:ascii="宋体" w:hAnsi="宋体" w:eastAsia="宋体" w:cs="Times New Roman"/>
          <w:u w:val="single"/>
        </w:rPr>
        <w:t>。</w:t>
      </w:r>
    </w:p>
    <w:p w14:paraId="263D823D">
      <w:pPr>
        <w:pStyle w:val="10"/>
        <w:tabs>
          <w:tab w:val="left" w:pos="864"/>
        </w:tabs>
      </w:pPr>
      <w:bookmarkStart w:id="289" w:name="_Toc672263071"/>
      <w:bookmarkStart w:id="290" w:name="_Toc2093535039"/>
      <w:r>
        <w:rPr>
          <w:rFonts w:hint="eastAsia"/>
        </w:rPr>
        <w:t>上班</w:t>
      </w:r>
      <w:bookmarkEnd w:id="289"/>
      <w:bookmarkEnd w:id="290"/>
    </w:p>
    <w:p w14:paraId="57D64C96">
      <w:pPr>
        <w:pStyle w:val="12"/>
        <w:tabs>
          <w:tab w:val="left" w:pos="864"/>
        </w:tabs>
      </w:pPr>
      <w:bookmarkStart w:id="291" w:name="_Toc801848282"/>
      <w:r>
        <w:rPr>
          <w:rFonts w:hint="eastAsia"/>
        </w:rPr>
        <w:t>系统登录与计划确认</w:t>
      </w:r>
      <w:bookmarkEnd w:id="291"/>
    </w:p>
    <w:p w14:paraId="242919B5">
      <w:pPr>
        <w:ind w:firstLine="420"/>
      </w:pPr>
      <w:r>
        <w:rPr>
          <w:rFonts w:hint="eastAsia"/>
        </w:rPr>
        <w:t>操作工在上班后，需通过个人用户名与密码登录盒条关联现场系统。系统登录后，需对系统弹出的计划进行确认，确认内容包括：生产牌号、班次、班组。在计划确认完成后，烟机才能启动，若不在盒条关联管理现场子系统进行计划确认，烟机将被盒条关联管理现场子系统阻止开机、或连续剔烟。</w:t>
      </w:r>
    </w:p>
    <w:p w14:paraId="033B16E8">
      <w:pPr>
        <w:pStyle w:val="12"/>
        <w:tabs>
          <w:tab w:val="left" w:pos="864"/>
        </w:tabs>
      </w:pPr>
      <w:bookmarkStart w:id="292" w:name="_Toc1364689286"/>
      <w:r>
        <w:rPr>
          <w:rFonts w:hint="eastAsia"/>
        </w:rPr>
        <w:t>二维码系统排烟</w:t>
      </w:r>
      <w:bookmarkEnd w:id="292"/>
    </w:p>
    <w:p w14:paraId="00062C87">
      <w:pPr>
        <w:ind w:firstLine="420"/>
      </w:pPr>
      <w:r>
        <w:rPr>
          <w:rFonts w:hint="eastAsia"/>
        </w:rPr>
        <w:t>在烟机启动前，操作工会对包装机辅机进行铺烟。烟机启动后，C600至条烟剔除口所铺的所有盒烟与条烟都将被盒条关联管理现场子系统剔除。</w:t>
      </w:r>
    </w:p>
    <w:p w14:paraId="65FFF622">
      <w:pPr>
        <w:pStyle w:val="10"/>
        <w:tabs>
          <w:tab w:val="left" w:pos="864"/>
        </w:tabs>
      </w:pPr>
      <w:bookmarkStart w:id="293" w:name="_Toc1546109181"/>
      <w:bookmarkStart w:id="294" w:name="_Toc579015295"/>
      <w:r>
        <w:rPr>
          <w:rFonts w:hint="eastAsia"/>
        </w:rPr>
        <w:t>下班</w:t>
      </w:r>
      <w:bookmarkEnd w:id="293"/>
      <w:bookmarkEnd w:id="294"/>
    </w:p>
    <w:p w14:paraId="2531941E">
      <w:pPr>
        <w:ind w:firstLine="420"/>
      </w:pPr>
      <w:r>
        <w:rPr>
          <w:rFonts w:hint="eastAsia"/>
        </w:rPr>
        <w:t>操作工在下班后，需在盒条关联管理现场子系统上退出登录。</w:t>
      </w:r>
    </w:p>
    <w:p w14:paraId="5CF6512A">
      <w:pPr>
        <w:pStyle w:val="10"/>
        <w:tabs>
          <w:tab w:val="left" w:pos="864"/>
        </w:tabs>
      </w:pPr>
      <w:bookmarkStart w:id="295" w:name="_Toc1635024623"/>
      <w:bookmarkStart w:id="296" w:name="_Toc936321023"/>
      <w:r>
        <w:rPr>
          <w:rFonts w:hint="eastAsia"/>
        </w:rPr>
        <w:t>当天最后一次下班</w:t>
      </w:r>
      <w:bookmarkEnd w:id="295"/>
      <w:bookmarkEnd w:id="296"/>
    </w:p>
    <w:p w14:paraId="47069BD0">
      <w:pPr>
        <w:ind w:firstLine="420"/>
      </w:pPr>
      <w:r>
        <w:rPr>
          <w:rFonts w:hint="eastAsia"/>
        </w:rPr>
        <w:t>操作工在当天最后一次下班后，需先在盒条关联管理现场子系统上退出登录并关闭操作二维码操作系统，再对烟机进行下电。</w:t>
      </w:r>
    </w:p>
    <w:p w14:paraId="29644AEB">
      <w:pPr>
        <w:pStyle w:val="10"/>
        <w:tabs>
          <w:tab w:val="left" w:pos="864"/>
        </w:tabs>
      </w:pPr>
      <w:bookmarkStart w:id="297" w:name="_Toc1325008759"/>
      <w:bookmarkStart w:id="298" w:name="_Toc1292837219"/>
      <w:r>
        <w:rPr>
          <w:rFonts w:hint="eastAsia"/>
        </w:rPr>
        <w:t>交接班</w:t>
      </w:r>
      <w:bookmarkEnd w:id="297"/>
      <w:bookmarkEnd w:id="298"/>
    </w:p>
    <w:p w14:paraId="1C386B44">
      <w:pPr>
        <w:ind w:firstLine="420"/>
      </w:pPr>
      <w:r>
        <w:rPr>
          <w:rFonts w:hint="eastAsia"/>
        </w:rPr>
        <w:t>操作工在交接班时，需在盒条关联管理现场子系统上点击接班按钮进行交接班的操作。如果接班后，生产的品规与上一班一致，系统不会执行排烟；如果生产的品规与上一班不一致，系统将使用标准上班操作流程将铺设的盒烟与条烟剔除。</w:t>
      </w:r>
    </w:p>
    <w:p w14:paraId="13B750E9">
      <w:pPr>
        <w:pStyle w:val="10"/>
        <w:tabs>
          <w:tab w:val="left" w:pos="864"/>
        </w:tabs>
      </w:pPr>
      <w:bookmarkStart w:id="299" w:name="_Toc723274104"/>
      <w:bookmarkStart w:id="300" w:name="_Toc1976006933"/>
      <w:r>
        <w:rPr>
          <w:rFonts w:hint="eastAsia"/>
        </w:rPr>
        <w:t>延迟下班</w:t>
      </w:r>
      <w:bookmarkEnd w:id="299"/>
      <w:bookmarkEnd w:id="300"/>
    </w:p>
    <w:p w14:paraId="11D07936">
      <w:pPr>
        <w:ind w:firstLine="420"/>
      </w:pPr>
      <w:r>
        <w:rPr>
          <w:rFonts w:hint="eastAsia"/>
        </w:rPr>
        <w:t>操作工或维修人员可能存在延迟下班的情况。如果存在烟机维修试生产烟支的情况，请参照后续“烟机维修”进行操作。若为正常操作工延迟下班，盒条关联管理现场子系统会在下班超时后，在显示器上显示下班提醒，直到下次上班的操作。</w:t>
      </w:r>
    </w:p>
    <w:p w14:paraId="6B3AC1EE">
      <w:pPr>
        <w:pStyle w:val="10"/>
        <w:tabs>
          <w:tab w:val="left" w:pos="864"/>
        </w:tabs>
      </w:pPr>
      <w:bookmarkStart w:id="301" w:name="_Toc1982119439"/>
      <w:bookmarkStart w:id="302" w:name="_Toc507831723"/>
      <w:r>
        <w:rPr>
          <w:rFonts w:hint="eastAsia"/>
        </w:rPr>
        <w:t>烟机自身原因停机</w:t>
      </w:r>
      <w:bookmarkEnd w:id="301"/>
      <w:bookmarkEnd w:id="302"/>
    </w:p>
    <w:p w14:paraId="264D6521">
      <w:pPr>
        <w:ind w:firstLine="420"/>
      </w:pPr>
      <w:r>
        <w:rPr>
          <w:rFonts w:hint="eastAsia"/>
        </w:rPr>
        <w:t>由于烟机自身停机，或者操作工手动停机。分为两种情况执行：需要进行补烟或者换烟、不需要对烟机内的盒烟或条烟进行操作。</w:t>
      </w:r>
    </w:p>
    <w:p w14:paraId="43866343">
      <w:pPr>
        <w:ind w:firstLine="420"/>
      </w:pPr>
      <w:r>
        <w:rPr>
          <w:rFonts w:hint="eastAsia"/>
        </w:rPr>
        <w:t>如果需要进行补烟或换烟，请参照下方“补烟换烟”进行操作。</w:t>
      </w:r>
    </w:p>
    <w:p w14:paraId="442D8080">
      <w:pPr>
        <w:ind w:firstLine="420"/>
      </w:pPr>
      <w:r>
        <w:rPr>
          <w:rFonts w:hint="eastAsia"/>
        </w:rPr>
        <w:t>如果不需要进行补烟或换烟，可直接开机，无需在二维码系统上进行操作。</w:t>
      </w:r>
    </w:p>
    <w:p w14:paraId="16FEB2B3">
      <w:pPr>
        <w:pStyle w:val="10"/>
        <w:tabs>
          <w:tab w:val="left" w:pos="864"/>
        </w:tabs>
      </w:pPr>
      <w:bookmarkStart w:id="303" w:name="_Toc1856504421"/>
      <w:bookmarkStart w:id="304" w:name="_Toc1506295800"/>
      <w:r>
        <w:rPr>
          <w:rFonts w:hint="eastAsia"/>
        </w:rPr>
        <w:t>二维码原因停机</w:t>
      </w:r>
      <w:bookmarkEnd w:id="303"/>
      <w:bookmarkEnd w:id="304"/>
    </w:p>
    <w:p w14:paraId="6AE21A7A">
      <w:pPr>
        <w:ind w:firstLine="420"/>
      </w:pPr>
      <w:r>
        <w:rPr>
          <w:rFonts w:hint="eastAsia"/>
        </w:rPr>
        <w:t>由于二维码的原因停机，二维码电控柜报警灯将会闪烁红灯并蜂鸣，并在系统显示界面上显示停机原因。</w:t>
      </w:r>
    </w:p>
    <w:p w14:paraId="5EB75D8D">
      <w:pPr>
        <w:ind w:firstLine="420"/>
      </w:pPr>
      <w:r>
        <w:rPr>
          <w:rFonts w:hint="eastAsia"/>
        </w:rPr>
        <w:t>操作工应根据提示解决相关问题，如小盒二维码重码。若由于二维码系统本身导致的停机，如：系统资源不足、读码器故障、PLC故障等。请呼叫本司运维人员进行修复。</w:t>
      </w:r>
    </w:p>
    <w:p w14:paraId="083FEFBE">
      <w:pPr>
        <w:pStyle w:val="10"/>
        <w:tabs>
          <w:tab w:val="left" w:pos="864"/>
        </w:tabs>
        <w:rPr>
          <w:rFonts w:hint="eastAsia" w:ascii="宋体" w:hAnsi="宋体" w:eastAsia="宋体" w:cs="Times New Roman"/>
        </w:rPr>
      </w:pPr>
      <w:bookmarkStart w:id="305" w:name="_Toc1267993207"/>
      <w:bookmarkStart w:id="306" w:name="_Toc489991222"/>
      <w:r>
        <w:rPr>
          <w:rFonts w:hint="eastAsia" w:ascii="宋体" w:hAnsi="宋体" w:eastAsia="宋体" w:cs="Times New Roman"/>
        </w:rPr>
        <w:t>烟机下电</w:t>
      </w:r>
      <w:bookmarkEnd w:id="305"/>
      <w:bookmarkEnd w:id="306"/>
    </w:p>
    <w:p w14:paraId="746BC570">
      <w:pPr>
        <w:ind w:firstLine="420"/>
      </w:pPr>
      <w:r>
        <w:rPr>
          <w:rFonts w:hint="eastAsia"/>
        </w:rPr>
        <w:t>烟机下电，将导致二维码系统电控柜下电。当烟机重新上电后，二维码系统将会上电并重启。操作工应重新登录系统，执行上班计划确认，二维码系统会对辅机内的小盒及条盒执行排烟。</w:t>
      </w:r>
    </w:p>
    <w:p w14:paraId="62D5AC6C">
      <w:pPr>
        <w:pStyle w:val="10"/>
        <w:tabs>
          <w:tab w:val="left" w:pos="864"/>
        </w:tabs>
      </w:pPr>
      <w:bookmarkStart w:id="307" w:name="_Toc902668412"/>
      <w:bookmarkStart w:id="308" w:name="_Toc1696983695"/>
      <w:r>
        <w:rPr>
          <w:rFonts w:hint="eastAsia"/>
        </w:rPr>
        <w:t>小盒输送通道补烟</w:t>
      </w:r>
      <w:bookmarkEnd w:id="307"/>
      <w:bookmarkEnd w:id="308"/>
    </w:p>
    <w:p w14:paraId="32859044">
      <w:pPr>
        <w:ind w:firstLine="420"/>
      </w:pPr>
      <w:r>
        <w:rPr>
          <w:rFonts w:hint="eastAsia"/>
        </w:rPr>
        <w:t>操作工可直接通过小盒（未包玻璃纸）输送通道补烟，无其他额外操作。</w:t>
      </w:r>
    </w:p>
    <w:p w14:paraId="44855945">
      <w:pPr>
        <w:ind w:left="0" w:leftChars="0" w:firstLine="0" w:firstLineChars="0"/>
      </w:pPr>
      <w:r>
        <w:drawing>
          <wp:inline distT="0" distB="0" distL="0" distR="0">
            <wp:extent cx="5749290" cy="4149725"/>
            <wp:effectExtent l="9525" t="9525" r="13335" b="1270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61"/>
                    <a:stretch>
                      <a:fillRect/>
                    </a:stretch>
                  </pic:blipFill>
                  <pic:spPr>
                    <a:xfrm>
                      <a:off x="0" y="0"/>
                      <a:ext cx="5749290" cy="4149725"/>
                    </a:xfrm>
                    <a:prstGeom prst="rect">
                      <a:avLst/>
                    </a:prstGeom>
                    <a:noFill/>
                    <a:ln>
                      <a:solidFill>
                        <a:schemeClr val="bg2">
                          <a:lumMod val="90000"/>
                        </a:schemeClr>
                      </a:solidFill>
                    </a:ln>
                  </pic:spPr>
                </pic:pic>
              </a:graphicData>
            </a:graphic>
          </wp:inline>
        </w:drawing>
      </w:r>
    </w:p>
    <w:p w14:paraId="12115C0C">
      <w:pPr>
        <w:ind w:firstLine="420"/>
        <w:jc w:val="center"/>
      </w:pPr>
      <w:r>
        <w:rPr>
          <w:rFonts w:hint="eastAsia"/>
        </w:rPr>
        <w:t>正常补烟</w:t>
      </w:r>
    </w:p>
    <w:p w14:paraId="1D851D7B">
      <w:pPr>
        <w:pStyle w:val="10"/>
        <w:tabs>
          <w:tab w:val="left" w:pos="864"/>
        </w:tabs>
      </w:pPr>
      <w:bookmarkStart w:id="309" w:name="_Toc272411132"/>
      <w:bookmarkStart w:id="310" w:name="_Toc815506019"/>
      <w:r>
        <w:rPr>
          <w:rFonts w:hint="eastAsia"/>
        </w:rPr>
        <w:t>补烟器补烟</w:t>
      </w:r>
      <w:bookmarkEnd w:id="309"/>
      <w:bookmarkEnd w:id="310"/>
    </w:p>
    <w:p w14:paraId="65E500E5">
      <w:pPr>
        <w:ind w:firstLine="420"/>
      </w:pPr>
      <w:r>
        <w:rPr>
          <w:rFonts w:hint="eastAsia"/>
        </w:rPr>
        <w:t>操作工可直接通过小盒补烟器进行补烟，无其他额外操作。</w:t>
      </w:r>
    </w:p>
    <w:p w14:paraId="12AEF2AE">
      <w:pPr>
        <w:ind w:left="0" w:leftChars="0" w:firstLine="0" w:firstLineChars="0"/>
      </w:pPr>
      <w:r>
        <w:drawing>
          <wp:inline distT="0" distB="0" distL="0" distR="0">
            <wp:extent cx="5728970" cy="3735070"/>
            <wp:effectExtent l="9525" t="9525" r="14605" b="273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62"/>
                    <a:stretch>
                      <a:fillRect/>
                    </a:stretch>
                  </pic:blipFill>
                  <pic:spPr>
                    <a:xfrm>
                      <a:off x="0" y="0"/>
                      <a:ext cx="5728970" cy="3735070"/>
                    </a:xfrm>
                    <a:prstGeom prst="rect">
                      <a:avLst/>
                    </a:prstGeom>
                    <a:noFill/>
                    <a:ln>
                      <a:solidFill>
                        <a:schemeClr val="bg2">
                          <a:lumMod val="90000"/>
                        </a:schemeClr>
                      </a:solidFill>
                    </a:ln>
                  </pic:spPr>
                </pic:pic>
              </a:graphicData>
            </a:graphic>
          </wp:inline>
        </w:drawing>
      </w:r>
    </w:p>
    <w:p w14:paraId="56EE01F8">
      <w:pPr>
        <w:ind w:firstLine="420"/>
        <w:jc w:val="center"/>
      </w:pPr>
      <w:r>
        <w:rPr>
          <w:rFonts w:hint="eastAsia"/>
        </w:rPr>
        <w:t>正常补烟</w:t>
      </w:r>
    </w:p>
    <w:p w14:paraId="7D50FEA2">
      <w:pPr>
        <w:pStyle w:val="10"/>
        <w:tabs>
          <w:tab w:val="left" w:pos="864"/>
        </w:tabs>
      </w:pPr>
      <w:bookmarkStart w:id="311" w:name="_Toc1051407569"/>
      <w:bookmarkStart w:id="312" w:name="_Toc1849822221"/>
      <w:r>
        <w:rPr>
          <w:rFonts w:hint="eastAsia"/>
        </w:rPr>
        <w:t>CH出口挤烟(盒烟读码器内侧读码方案</w:t>
      </w:r>
      <w:r>
        <w:t>)</w:t>
      </w:r>
      <w:bookmarkEnd w:id="311"/>
      <w:bookmarkEnd w:id="312"/>
    </w:p>
    <w:p w14:paraId="2A9F9B97">
      <w:pPr>
        <w:ind w:firstLine="420"/>
      </w:pPr>
      <w:r>
        <w:rPr>
          <w:rFonts w:hint="eastAsia"/>
        </w:rPr>
        <w:t>此操作建议，只针对于盒烟读码器部署在CH出口转轮内的烟机。</w:t>
      </w:r>
    </w:p>
    <w:p w14:paraId="276ABC2A">
      <w:pPr>
        <w:ind w:firstLine="420"/>
      </w:pPr>
      <w:r>
        <w:rPr>
          <w:rFonts w:hint="eastAsia"/>
        </w:rPr>
        <w:t>在CH转轮出口存在挤烟情况，此处尽可能不去补烟。若必要换烟，需将毛刷前的小盒全部推至CH出口，在毛刷前补烟。</w:t>
      </w:r>
    </w:p>
    <w:p w14:paraId="786C4E9B">
      <w:pPr>
        <w:ind w:firstLine="420"/>
      </w:pPr>
      <w:r>
        <w:rPr>
          <w:rFonts w:hint="eastAsia"/>
          <w:color w:val="FF0000"/>
        </w:rPr>
        <w:t>建议操作：拿烟不换烟</w:t>
      </w:r>
    </w:p>
    <w:p w14:paraId="257AC902">
      <w:pPr>
        <w:pStyle w:val="2"/>
        <w:ind w:left="0" w:leftChars="0" w:firstLine="0" w:firstLineChars="0"/>
      </w:pPr>
      <w:r>
        <w:drawing>
          <wp:inline distT="0" distB="0" distL="114300" distR="114300">
            <wp:extent cx="5722620" cy="3171190"/>
            <wp:effectExtent l="9525" t="9525" r="20955" b="1968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63"/>
                    <a:stretch>
                      <a:fillRect/>
                    </a:stretch>
                  </pic:blipFill>
                  <pic:spPr>
                    <a:xfrm>
                      <a:off x="0" y="0"/>
                      <a:ext cx="5722620" cy="3171190"/>
                    </a:xfrm>
                    <a:prstGeom prst="rect">
                      <a:avLst/>
                    </a:prstGeom>
                    <a:noFill/>
                    <a:ln w="3175">
                      <a:solidFill>
                        <a:schemeClr val="bg2">
                          <a:lumMod val="90000"/>
                        </a:schemeClr>
                      </a:solidFill>
                    </a:ln>
                  </pic:spPr>
                </pic:pic>
              </a:graphicData>
            </a:graphic>
          </wp:inline>
        </w:drawing>
      </w:r>
    </w:p>
    <w:p w14:paraId="4FB6447D">
      <w:pPr>
        <w:ind w:firstLine="420"/>
        <w:jc w:val="center"/>
      </w:pPr>
      <w:r>
        <w:rPr>
          <w:rFonts w:hint="eastAsia"/>
        </w:rPr>
        <w:t>正确方式1不补烟</w:t>
      </w:r>
    </w:p>
    <w:p w14:paraId="70EBD49B">
      <w:pPr>
        <w:jc w:val="both"/>
      </w:pPr>
    </w:p>
    <w:p w14:paraId="3F0718EC">
      <w:pPr>
        <w:pStyle w:val="2"/>
        <w:ind w:left="0" w:leftChars="0" w:firstLine="0" w:firstLineChars="0"/>
        <w:jc w:val="center"/>
      </w:pPr>
      <w:r>
        <w:drawing>
          <wp:inline distT="0" distB="0" distL="114300" distR="114300">
            <wp:extent cx="5676265" cy="3227070"/>
            <wp:effectExtent l="9525" t="9525" r="10160" b="2095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64"/>
                    <a:stretch>
                      <a:fillRect/>
                    </a:stretch>
                  </pic:blipFill>
                  <pic:spPr>
                    <a:xfrm>
                      <a:off x="0" y="0"/>
                      <a:ext cx="5676265" cy="3227070"/>
                    </a:xfrm>
                    <a:prstGeom prst="rect">
                      <a:avLst/>
                    </a:prstGeom>
                    <a:noFill/>
                    <a:ln>
                      <a:solidFill>
                        <a:schemeClr val="bg2">
                          <a:lumMod val="90000"/>
                        </a:schemeClr>
                      </a:solidFill>
                    </a:ln>
                  </pic:spPr>
                </pic:pic>
              </a:graphicData>
            </a:graphic>
          </wp:inline>
        </w:drawing>
      </w:r>
    </w:p>
    <w:p w14:paraId="6B9CCFBB">
      <w:pPr>
        <w:ind w:firstLine="420"/>
        <w:jc w:val="center"/>
      </w:pPr>
      <w:r>
        <w:rPr>
          <w:rFonts w:hint="eastAsia"/>
        </w:rPr>
        <w:t>正确方式</w:t>
      </w:r>
      <w:r>
        <w:t>2</w:t>
      </w:r>
      <w:r>
        <w:rPr>
          <w:rFonts w:hint="eastAsia"/>
        </w:rPr>
        <w:t>毛刷前所有双包推向CH出口，在毛刷前补烟</w:t>
      </w:r>
    </w:p>
    <w:p w14:paraId="5B793E6A">
      <w:pPr>
        <w:pStyle w:val="2"/>
        <w:ind w:left="480" w:firstLine="560"/>
      </w:pPr>
    </w:p>
    <w:p w14:paraId="4BD4FC8E">
      <w:pPr>
        <w:pStyle w:val="10"/>
        <w:tabs>
          <w:tab w:val="left" w:pos="864"/>
        </w:tabs>
      </w:pPr>
      <w:bookmarkStart w:id="313" w:name="_Toc1914715106"/>
      <w:bookmarkStart w:id="314" w:name="_Toc1293637020"/>
      <w:r>
        <w:rPr>
          <w:rFonts w:hint="eastAsia"/>
        </w:rPr>
        <w:t>双包美容器内挤烟(盒烟读码器内侧读码方案</w:t>
      </w:r>
      <w:r>
        <w:t>)</w:t>
      </w:r>
      <w:bookmarkEnd w:id="313"/>
      <w:bookmarkEnd w:id="314"/>
    </w:p>
    <w:p w14:paraId="0E2626C3">
      <w:pPr>
        <w:ind w:firstLine="420"/>
      </w:pPr>
      <w:r>
        <w:rPr>
          <w:rFonts w:hint="eastAsia"/>
        </w:rPr>
        <w:t>在美容器内存在挤烟情况，此处不允许补烟。</w:t>
      </w:r>
    </w:p>
    <w:p w14:paraId="7D346571">
      <w:pPr>
        <w:ind w:firstLine="420"/>
        <w:rPr>
          <w:color w:val="FF0000"/>
        </w:rPr>
      </w:pPr>
      <w:r>
        <w:rPr>
          <w:rFonts w:hint="eastAsia"/>
          <w:color w:val="FF0000"/>
        </w:rPr>
        <w:t>建议操作：拿烟不换烟</w:t>
      </w:r>
    </w:p>
    <w:p w14:paraId="69064EB1">
      <w:pPr>
        <w:jc w:val="center"/>
      </w:pPr>
      <w:r>
        <w:drawing>
          <wp:inline distT="0" distB="0" distL="114300" distR="114300">
            <wp:extent cx="5696585" cy="3104515"/>
            <wp:effectExtent l="9525" t="9525" r="27940" b="10160"/>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165"/>
                    <a:stretch>
                      <a:fillRect/>
                    </a:stretch>
                  </pic:blipFill>
                  <pic:spPr>
                    <a:xfrm>
                      <a:off x="0" y="0"/>
                      <a:ext cx="5696585" cy="3104515"/>
                    </a:xfrm>
                    <a:prstGeom prst="rect">
                      <a:avLst/>
                    </a:prstGeom>
                    <a:noFill/>
                    <a:ln>
                      <a:solidFill>
                        <a:schemeClr val="bg2">
                          <a:lumMod val="90000"/>
                        </a:schemeClr>
                      </a:solidFill>
                    </a:ln>
                  </pic:spPr>
                </pic:pic>
              </a:graphicData>
            </a:graphic>
          </wp:inline>
        </w:drawing>
      </w:r>
    </w:p>
    <w:p w14:paraId="30FA5CD6">
      <w:pPr>
        <w:ind w:firstLine="420"/>
        <w:jc w:val="center"/>
      </w:pPr>
      <w:r>
        <w:rPr>
          <w:rFonts w:hint="eastAsia"/>
        </w:rPr>
        <w:t>正确方式</w:t>
      </w:r>
      <w:r>
        <w:t xml:space="preserve"> </w:t>
      </w:r>
      <w:r>
        <w:rPr>
          <w:rFonts w:hint="eastAsia"/>
        </w:rPr>
        <w:t>不补烟</w:t>
      </w:r>
    </w:p>
    <w:p w14:paraId="3294AC4D">
      <w:pPr>
        <w:pStyle w:val="10"/>
        <w:tabs>
          <w:tab w:val="left" w:pos="864"/>
        </w:tabs>
      </w:pPr>
      <w:bookmarkStart w:id="315" w:name="_Toc4134445"/>
      <w:bookmarkStart w:id="316" w:name="_Toc893675686"/>
      <w:r>
        <w:rPr>
          <w:rFonts w:hint="eastAsia"/>
        </w:rPr>
        <w:t>CT条成型毛刷内换烟(盒烟读码器内侧读码方案</w:t>
      </w:r>
      <w:r>
        <w:t>)</w:t>
      </w:r>
      <w:bookmarkEnd w:id="315"/>
      <w:bookmarkEnd w:id="316"/>
    </w:p>
    <w:p w14:paraId="2F36B189">
      <w:pPr>
        <w:ind w:firstLine="420"/>
      </w:pPr>
      <w:r>
        <w:rPr>
          <w:rFonts w:hint="eastAsia"/>
        </w:rPr>
        <w:t>如果在CT条成型毛刷内进行补烟，需要在毛刷内侧进行补烟（靠近小盒美容器），将在原有毛刷下的双包全部推向外侧后补烟至空余工位。</w:t>
      </w:r>
    </w:p>
    <w:p w14:paraId="13EB56E5">
      <w:pPr>
        <w:ind w:firstLine="420"/>
        <w:rPr>
          <w:color w:val="FF0000"/>
        </w:rPr>
      </w:pPr>
      <w:r>
        <w:rPr>
          <w:rFonts w:hint="eastAsia"/>
          <w:color w:val="FF0000"/>
        </w:rPr>
        <w:t>建议操作：拿烟不换烟</w:t>
      </w:r>
    </w:p>
    <w:p w14:paraId="7AF9D133">
      <w:pPr>
        <w:jc w:val="center"/>
      </w:pPr>
      <w:r>
        <w:drawing>
          <wp:inline distT="0" distB="0" distL="114300" distR="114300">
            <wp:extent cx="5668645" cy="3093720"/>
            <wp:effectExtent l="9525" t="9525" r="17780" b="20955"/>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166"/>
                    <a:stretch>
                      <a:fillRect/>
                    </a:stretch>
                  </pic:blipFill>
                  <pic:spPr>
                    <a:xfrm>
                      <a:off x="0" y="0"/>
                      <a:ext cx="5668645" cy="3093720"/>
                    </a:xfrm>
                    <a:prstGeom prst="rect">
                      <a:avLst/>
                    </a:prstGeom>
                    <a:noFill/>
                    <a:ln>
                      <a:solidFill>
                        <a:schemeClr val="bg2">
                          <a:lumMod val="90000"/>
                        </a:schemeClr>
                      </a:solidFill>
                    </a:ln>
                  </pic:spPr>
                </pic:pic>
              </a:graphicData>
            </a:graphic>
          </wp:inline>
        </w:drawing>
      </w:r>
    </w:p>
    <w:p w14:paraId="4083A934">
      <w:pPr>
        <w:ind w:firstLine="420"/>
        <w:jc w:val="center"/>
      </w:pPr>
      <w:r>
        <w:rPr>
          <w:rFonts w:hint="eastAsia"/>
        </w:rPr>
        <w:t>正确方式（毛刷下不换入新烟，毛刷内原有小盒全部推向外侧）</w:t>
      </w:r>
    </w:p>
    <w:p w14:paraId="3AC9D399">
      <w:pPr>
        <w:pStyle w:val="10"/>
        <w:tabs>
          <w:tab w:val="left" w:pos="432"/>
          <w:tab w:val="left" w:pos="1152"/>
          <w:tab w:val="left" w:pos="1276"/>
        </w:tabs>
        <w:ind w:left="0" w:firstLine="0"/>
      </w:pPr>
      <w:bookmarkStart w:id="317" w:name="_Toc1198780319"/>
      <w:bookmarkStart w:id="318" w:name="_Toc1504793826"/>
      <w:r>
        <w:rPr>
          <w:rFonts w:hint="eastAsia"/>
        </w:rPr>
        <w:t>条烟换烟</w:t>
      </w:r>
      <w:bookmarkEnd w:id="317"/>
      <w:bookmarkEnd w:id="318"/>
    </w:p>
    <w:p w14:paraId="79260EA9">
      <w:pPr>
        <w:ind w:firstLine="420"/>
      </w:pPr>
      <w:r>
        <w:rPr>
          <w:rFonts w:hint="eastAsia"/>
          <w:color w:val="FF0000"/>
        </w:rPr>
        <w:t>条烟换烟关键字：换烟不换序，新烟换旧烟。</w:t>
      </w:r>
    </w:p>
    <w:p w14:paraId="27999207">
      <w:pPr>
        <w:ind w:firstLine="420"/>
        <w:rPr>
          <w:rFonts w:ascii="宋体" w:hAnsi="宋体" w:cs="宋体"/>
        </w:rPr>
      </w:pPr>
      <w:r>
        <w:rPr>
          <w:rFonts w:hint="eastAsia" w:ascii="宋体" w:hAnsi="宋体" w:cs="宋体"/>
        </w:rPr>
        <w:t>如需在CT剔除工位前拿走条烟，除被拿走的条烟外，不能挪动其它条烟的位置，保证条烟烟序。问题条烟被拿走后，须在原位置补充条烟，补充的条烟是封膜完成的条烟，拆掉封膜，进行补充。</w:t>
      </w:r>
    </w:p>
    <w:p w14:paraId="7AB0DDF1">
      <w:pPr>
        <w:pStyle w:val="2"/>
        <w:ind w:left="0" w:leftChars="0" w:firstLine="0" w:firstLineChars="0"/>
        <w:jc w:val="center"/>
      </w:pPr>
      <w:r>
        <w:drawing>
          <wp:inline distT="0" distB="0" distL="0" distR="0">
            <wp:extent cx="5579745" cy="2876550"/>
            <wp:effectExtent l="9525" t="9525" r="1143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67"/>
                    <a:stretch>
                      <a:fillRect/>
                    </a:stretch>
                  </pic:blipFill>
                  <pic:spPr>
                    <a:xfrm>
                      <a:off x="0" y="0"/>
                      <a:ext cx="5579745" cy="2876550"/>
                    </a:xfrm>
                    <a:prstGeom prst="rect">
                      <a:avLst/>
                    </a:prstGeom>
                    <a:noFill/>
                    <a:ln>
                      <a:solidFill>
                        <a:schemeClr val="bg2">
                          <a:lumMod val="90000"/>
                        </a:schemeClr>
                      </a:solidFill>
                    </a:ln>
                  </pic:spPr>
                </pic:pic>
              </a:graphicData>
            </a:graphic>
          </wp:inline>
        </w:drawing>
      </w:r>
    </w:p>
    <w:p w14:paraId="0E7A193A">
      <w:pPr>
        <w:ind w:firstLine="420"/>
        <w:jc w:val="center"/>
      </w:pPr>
      <w:r>
        <w:rPr>
          <w:rFonts w:hint="eastAsia"/>
        </w:rPr>
        <w:t>换烟错误方式</w:t>
      </w:r>
    </w:p>
    <w:p w14:paraId="59763417">
      <w:pPr>
        <w:pStyle w:val="2"/>
        <w:ind w:left="0" w:leftChars="0" w:firstLine="0" w:firstLineChars="0"/>
        <w:jc w:val="center"/>
      </w:pPr>
      <w:r>
        <w:drawing>
          <wp:inline distT="0" distB="0" distL="0" distR="0">
            <wp:extent cx="5632450" cy="3141980"/>
            <wp:effectExtent l="9525" t="9525" r="15875" b="1079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68"/>
                    <a:stretch>
                      <a:fillRect/>
                    </a:stretch>
                  </pic:blipFill>
                  <pic:spPr>
                    <a:xfrm>
                      <a:off x="0" y="0"/>
                      <a:ext cx="5632450" cy="3141980"/>
                    </a:xfrm>
                    <a:prstGeom prst="rect">
                      <a:avLst/>
                    </a:prstGeom>
                    <a:noFill/>
                    <a:ln>
                      <a:solidFill>
                        <a:schemeClr val="bg2">
                          <a:lumMod val="90000"/>
                        </a:schemeClr>
                      </a:solidFill>
                    </a:ln>
                  </pic:spPr>
                </pic:pic>
              </a:graphicData>
            </a:graphic>
          </wp:inline>
        </w:drawing>
      </w:r>
    </w:p>
    <w:p w14:paraId="78F5A6B3">
      <w:pPr>
        <w:ind w:firstLine="420"/>
        <w:jc w:val="center"/>
      </w:pPr>
      <w:r>
        <w:rPr>
          <w:rFonts w:hint="eastAsia"/>
        </w:rPr>
        <w:t>正确方式 换烟不换序</w:t>
      </w:r>
    </w:p>
    <w:p w14:paraId="14DD62D2">
      <w:pPr>
        <w:pStyle w:val="10"/>
        <w:tabs>
          <w:tab w:val="left" w:pos="864"/>
        </w:tabs>
      </w:pPr>
      <w:bookmarkStart w:id="319" w:name="_Toc1716678038"/>
      <w:bookmarkStart w:id="320" w:name="_Toc223500080"/>
      <w:r>
        <w:rPr>
          <w:rFonts w:hint="eastAsia"/>
        </w:rPr>
        <w:t>小盒剔烟检查</w:t>
      </w:r>
      <w:bookmarkEnd w:id="319"/>
      <w:bookmarkEnd w:id="320"/>
    </w:p>
    <w:p w14:paraId="3B17D1B0">
      <w:pPr>
        <w:ind w:firstLine="420"/>
      </w:pPr>
      <w:r>
        <w:rPr>
          <w:rFonts w:hint="eastAsia"/>
        </w:rPr>
        <w:t>在CH出口转轮双包剔除口所剔除的盒烟，可拿至二维码电控柜人机交互界面处，进入【盒条关联现场子系统-关联检查】功能，通过电控柜上的手持扫码枪扫描小盒二维码。若为二维码剔除，数据将标识“二维码剔除”；若为烟机原机剔除，数据将标识“原机剔除”。</w:t>
      </w:r>
    </w:p>
    <w:p w14:paraId="7C5CF2C1">
      <w:pPr>
        <w:pStyle w:val="10"/>
        <w:tabs>
          <w:tab w:val="left" w:pos="864"/>
        </w:tabs>
      </w:pPr>
      <w:bookmarkStart w:id="321" w:name="_Toc2005775438"/>
      <w:bookmarkStart w:id="322" w:name="_Toc1800441014"/>
      <w:r>
        <w:rPr>
          <w:rFonts w:hint="eastAsia"/>
        </w:rPr>
        <w:t>条盒剔烟检查</w:t>
      </w:r>
      <w:bookmarkEnd w:id="321"/>
      <w:bookmarkEnd w:id="322"/>
    </w:p>
    <w:p w14:paraId="40ECCD5E">
      <w:pPr>
        <w:ind w:firstLine="420"/>
      </w:pPr>
      <w:r>
        <w:rPr>
          <w:rFonts w:hint="eastAsia"/>
        </w:rPr>
        <w:t>在CT出口条盒剔除口所剔除的条烟，可将条烟拿至二维码电控柜人机交互界面处，进入【盒条关联现场子系统-关联检查】功能，通过电控柜上的手持扫码枪扫描条盒、小盒二维码。若为二维码原因剔除，数据将标识“二维码剔除”；若为烟机原机剔除，数据将标识“原机剔除”</w:t>
      </w:r>
    </w:p>
    <w:p w14:paraId="44D173E0">
      <w:pPr>
        <w:pStyle w:val="10"/>
        <w:tabs>
          <w:tab w:val="left" w:pos="864"/>
        </w:tabs>
        <w:rPr>
          <w:rFonts w:hint="eastAsia" w:ascii="宋体" w:hAnsi="宋体" w:eastAsia="宋体" w:cs="Times New Roman"/>
        </w:rPr>
      </w:pPr>
      <w:bookmarkStart w:id="323" w:name="_Toc273145054"/>
      <w:bookmarkStart w:id="324" w:name="_Toc1107908704"/>
      <w:r>
        <w:rPr>
          <w:rFonts w:hint="eastAsia" w:ascii="宋体" w:hAnsi="宋体" w:eastAsia="宋体" w:cs="Times New Roman"/>
        </w:rPr>
        <w:t>条烟质检</w:t>
      </w:r>
      <w:bookmarkEnd w:id="323"/>
      <w:bookmarkEnd w:id="324"/>
    </w:p>
    <w:p w14:paraId="01B19CA3">
      <w:pPr>
        <w:ind w:firstLine="420"/>
      </w:pPr>
      <w:r>
        <w:rPr>
          <w:rFonts w:hint="eastAsia"/>
        </w:rPr>
        <w:t>“盒条”二维码关联校验工作与质检工作合并，每次质检人员抽检成品条烟时，需要将条烟拿至二维码电控柜人机交互界面处，进入【盒条关联现场子系统-关联检查】功能，通过电控柜上的手持扫码枪扫描条盒、小盒二维码。质检完毕后，可以直接将完好的盒烟补进补烟器中。</w:t>
      </w:r>
    </w:p>
    <w:p w14:paraId="18651506">
      <w:pPr>
        <w:pStyle w:val="10"/>
        <w:tabs>
          <w:tab w:val="left" w:pos="864"/>
        </w:tabs>
      </w:pPr>
      <w:bookmarkStart w:id="325" w:name="_Toc677594982"/>
      <w:bookmarkStart w:id="326" w:name="_Toc759167283"/>
      <w:r>
        <w:rPr>
          <w:rFonts w:hint="eastAsia"/>
        </w:rPr>
        <w:t>无烟支生产</w:t>
      </w:r>
      <w:bookmarkEnd w:id="325"/>
      <w:bookmarkEnd w:id="326"/>
    </w:p>
    <w:p w14:paraId="4C439713">
      <w:pPr>
        <w:ind w:firstLine="420"/>
      </w:pPr>
      <w:r>
        <w:rPr>
          <w:rFonts w:hint="eastAsia"/>
        </w:rPr>
        <w:t>在烟机维修时，无烟支生产的开机，请进入盒条关联管理子系统，系统登录后，将系统切换至“离线”状态。离线状态下，烟机可正常启动和运行。</w:t>
      </w:r>
    </w:p>
    <w:p w14:paraId="08652376">
      <w:pPr>
        <w:pStyle w:val="10"/>
        <w:tabs>
          <w:tab w:val="left" w:pos="864"/>
        </w:tabs>
      </w:pPr>
      <w:bookmarkStart w:id="327" w:name="_Toc1805915197"/>
      <w:bookmarkStart w:id="328" w:name="_Toc2122394172"/>
      <w:r>
        <w:rPr>
          <w:rFonts w:hint="eastAsia"/>
        </w:rPr>
        <w:t>有烟支生产</w:t>
      </w:r>
      <w:bookmarkEnd w:id="327"/>
      <w:bookmarkEnd w:id="328"/>
    </w:p>
    <w:p w14:paraId="799C2576">
      <w:pPr>
        <w:pStyle w:val="4"/>
        <w:ind w:firstLine="420" w:firstLineChars="0"/>
        <w:rPr>
          <w:rFonts w:hint="default"/>
          <w:lang w:val="en-US" w:eastAsia="zh-CN"/>
        </w:rPr>
        <w:sectPr>
          <w:headerReference r:id="rId7" w:type="default"/>
          <w:footerReference r:id="rId8" w:type="default"/>
          <w:pgSz w:w="11906" w:h="16838"/>
          <w:pgMar w:top="1418" w:right="1418" w:bottom="1418" w:left="1418" w:header="851" w:footer="850" w:gutter="0"/>
          <w:pgNumType w:fmt="decimal"/>
          <w:cols w:space="720" w:num="1"/>
          <w:docGrid w:linePitch="326" w:charSpace="0"/>
        </w:sectPr>
      </w:pPr>
      <w:r>
        <w:rPr>
          <w:rFonts w:hint="eastAsia"/>
        </w:rPr>
        <w:t>在烟机维修时，有烟支生产的开机，则请进入盒条关联管理子系统，系统登录后，将系统切换至“离线”状态。离线状态下的条烟不允许通过条烟提升通道流向装封箱机处。对于存在小盒挤烟换烟情况，优先处理方式是“拿烟不换烟”。若必须换烟，请按照换烟建议执行。</w:t>
      </w:r>
    </w:p>
    <w:p w14:paraId="5E79987A">
      <w:pPr>
        <w:pStyle w:val="5"/>
        <w:rPr>
          <w:rFonts w:hint="default"/>
          <w:lang w:val="en-US" w:eastAsia="zh-CN"/>
        </w:rPr>
      </w:pPr>
    </w:p>
    <w:p w14:paraId="1631B4B4">
      <w:pPr>
        <w:pStyle w:val="8"/>
        <w:pageBreakBefore w:val="0"/>
        <w:tabs>
          <w:tab w:val="left" w:pos="420"/>
        </w:tabs>
        <w:kinsoku/>
        <w:wordWrap/>
        <w:overflowPunct/>
        <w:topLinePunct w:val="0"/>
        <w:autoSpaceDE/>
        <w:autoSpaceDN/>
        <w:bidi w:val="0"/>
        <w:spacing w:line="360" w:lineRule="auto"/>
        <w:textAlignment w:val="auto"/>
      </w:pPr>
      <w:bookmarkStart w:id="329" w:name="_Toc615106767"/>
      <w:bookmarkStart w:id="330" w:name="_Toc791931873"/>
      <w:bookmarkStart w:id="331" w:name="_Toc1667261977"/>
      <w:r>
        <w:rPr>
          <w:rFonts w:hint="eastAsia"/>
        </w:rPr>
        <w:t>项目实施保障方案</w:t>
      </w:r>
      <w:bookmarkEnd w:id="329"/>
      <w:bookmarkEnd w:id="330"/>
      <w:bookmarkEnd w:id="331"/>
    </w:p>
    <w:p w14:paraId="20A0731F">
      <w:pPr>
        <w:spacing w:line="360" w:lineRule="auto"/>
        <w:ind w:firstLine="480"/>
        <w:rPr>
          <w:rFonts w:hint="eastAsia"/>
          <w:sz w:val="24"/>
        </w:rPr>
      </w:pPr>
      <w:r>
        <w:rPr>
          <w:rFonts w:hint="eastAsia"/>
          <w:sz w:val="24"/>
        </w:rPr>
        <w:t>创联致信作为专业的行业软件开发商及系统集成商，具有丰富的项目实施经验，承建过电信、烟草、政府各大部委、大型企业等各行业多个大型信息化建设项目。我们拥有一支懂管理、懂业务的项目经理队伍和一大批具有行业和技术经验的工程实施人员，均参与过多种规模和类型的项目建设，具有专业领域知识和丰富实施经验。</w:t>
      </w:r>
    </w:p>
    <w:p w14:paraId="01BC288D">
      <w:pPr>
        <w:spacing w:line="360" w:lineRule="auto"/>
        <w:ind w:firstLine="480"/>
        <w:rPr>
          <w:sz w:val="24"/>
        </w:rPr>
      </w:pPr>
      <w:r>
        <w:rPr>
          <w:rFonts w:hint="eastAsia"/>
          <w:sz w:val="24"/>
        </w:rPr>
        <w:t>创联致信作为专业服务提供商，秉承“IT服务”，秉承“创新、联合、致诚致信”的经营理念，将精细化的项目管理作为企业的管理核心。经过多年的发展与改进，逐渐形成了创联致信自有的项目管理特色。</w:t>
      </w:r>
    </w:p>
    <w:p w14:paraId="0EBB18DF">
      <w:pPr>
        <w:pStyle w:val="19"/>
        <w:ind w:left="480" w:hanging="480" w:hangingChars="200"/>
        <w:contextualSpacing/>
        <w:rPr>
          <w:sz w:val="24"/>
        </w:rPr>
      </w:pPr>
      <w:r>
        <w:rPr>
          <w:rFonts w:hint="eastAsia"/>
          <w:sz w:val="24"/>
        </w:rPr>
        <w:t>与国际先进开发管理规范的接轨，建立了创联致信项目管理体系</w:t>
      </w:r>
    </w:p>
    <w:p w14:paraId="79C6305A">
      <w:pPr>
        <w:spacing w:line="360" w:lineRule="auto"/>
        <w:ind w:firstLine="480"/>
        <w:rPr>
          <w:sz w:val="24"/>
        </w:rPr>
      </w:pPr>
      <w:r>
        <w:rPr>
          <w:rFonts w:hint="eastAsia"/>
          <w:sz w:val="24"/>
        </w:rPr>
        <w:t>创联致信从成立之日起，就非常重视软件研发的规范化管理，于20</w:t>
      </w:r>
      <w:r>
        <w:rPr>
          <w:sz w:val="24"/>
        </w:rPr>
        <w:t>17</w:t>
      </w:r>
      <w:r>
        <w:rPr>
          <w:rFonts w:hint="eastAsia"/>
          <w:sz w:val="24"/>
        </w:rPr>
        <w:t>年</w:t>
      </w:r>
      <w:r>
        <w:rPr>
          <w:sz w:val="24"/>
        </w:rPr>
        <w:t>3</w:t>
      </w:r>
      <w:r>
        <w:rPr>
          <w:rFonts w:hint="eastAsia"/>
          <w:sz w:val="24"/>
        </w:rPr>
        <w:t>月份通过CMMI3级评估认证。CMMI3级的实施为创联致信软件开发过程改进找到更高的价值点，进一步改进了公司的开发管理模式，提升了综合项目管理能力。</w:t>
      </w:r>
    </w:p>
    <w:p w14:paraId="2EF08D20">
      <w:pPr>
        <w:spacing w:line="360" w:lineRule="auto"/>
        <w:ind w:firstLine="480"/>
        <w:rPr>
          <w:sz w:val="24"/>
        </w:rPr>
      </w:pPr>
      <w:r>
        <w:rPr>
          <w:rFonts w:hint="eastAsia"/>
          <w:sz w:val="24"/>
        </w:rPr>
        <w:t>创联致信的项目管理体系基于PMI模型，并与公司项目管理实践过程进行结合，形成“五大过程，九大领域”特有的项目管理体系，“五大过程”是指项目生命周期管理分为启动、计划、执行、控制、收尾等五个过程，“九大领域”是指项目的整合管理、范围管理、时间管理、成本管理、质量管理、人力资源管理、沟通管理、风险管理和采购管理等九个知识领域，二者相结合形成矩阵型项目管理体系。</w:t>
      </w:r>
    </w:p>
    <w:p w14:paraId="5627688E">
      <w:pPr>
        <w:spacing w:line="360" w:lineRule="auto"/>
        <w:ind w:firstLine="480"/>
        <w:rPr>
          <w:sz w:val="24"/>
        </w:rPr>
      </w:pPr>
      <w:r>
        <w:rPr>
          <w:rFonts w:hint="eastAsia"/>
          <w:sz w:val="24"/>
        </w:rPr>
        <w:t>同时，针对项目不同阶段的实施区别管理，将项目分为三个阶段八个子阶段，如下图所示，每个阶段制定了相应的项目管理制度。公司目前的项目管理流程不仅涵盖了实施类项目的整个生命周期：需求识别、确定方案、项目实施和项目结项，同时还扩展到了项目的维护。</w:t>
      </w:r>
    </w:p>
    <w:p w14:paraId="76AC6083">
      <w:pPr>
        <w:pStyle w:val="19"/>
        <w:ind w:left="480" w:hanging="480" w:hangingChars="200"/>
        <w:contextualSpacing/>
        <w:rPr>
          <w:sz w:val="24"/>
        </w:rPr>
      </w:pPr>
      <w:r>
        <w:rPr>
          <w:rFonts w:hint="eastAsia"/>
          <w:sz w:val="24"/>
        </w:rPr>
        <w:t>从理论到实务、从宏观到微观，全面掌控项目动态</w:t>
      </w:r>
    </w:p>
    <w:p w14:paraId="0507ED1F">
      <w:pPr>
        <w:spacing w:line="360" w:lineRule="auto"/>
        <w:ind w:firstLine="480"/>
        <w:rPr>
          <w:sz w:val="24"/>
        </w:rPr>
      </w:pPr>
      <w:r>
        <w:rPr>
          <w:rFonts w:hint="eastAsia"/>
          <w:sz w:val="24"/>
        </w:rPr>
        <w:t>创联致信在项目管理体系思想的指导下，从组织结构和过程控制上，建立了宏观项目管理和微观项目管理机制，全面监控项目实施进展。宏观项目管理是在项目立项审批、里程碑评审、项目变更、项目结项审批等重要环节上，根据项目合同约定对项目的总体进度、成本、里程碑进行控制，提供直观的项目全面状态（进度、费用、质量、风险、问题等）展示，快速把握项目状态，进行及时控制、采取纠偏措施，保证项目目标的达成；微观项目管理涉及到具体的实施过程，包括需求管理、分析与设计、测试管理、风险管理、变更管理、任务管理，实现进度和进展状况、资源和成本状况、产品规模和稳定性状况的过程级管理。</w:t>
      </w:r>
    </w:p>
    <w:p w14:paraId="77CD12B8">
      <w:pPr>
        <w:pStyle w:val="19"/>
        <w:ind w:left="480" w:hanging="480" w:hangingChars="200"/>
        <w:contextualSpacing/>
        <w:rPr>
          <w:sz w:val="24"/>
        </w:rPr>
      </w:pPr>
      <w:r>
        <w:rPr>
          <w:rFonts w:hint="eastAsia"/>
          <w:sz w:val="24"/>
        </w:rPr>
        <w:t>量化管理贯穿项目整个生命周期</w:t>
      </w:r>
    </w:p>
    <w:p w14:paraId="1F7C417A">
      <w:pPr>
        <w:spacing w:line="360" w:lineRule="auto"/>
        <w:ind w:firstLine="480"/>
        <w:rPr>
          <w:sz w:val="24"/>
        </w:rPr>
      </w:pPr>
      <w:r>
        <w:rPr>
          <w:rFonts w:hint="eastAsia"/>
          <w:sz w:val="24"/>
        </w:rPr>
        <w:t>将软件过程规范的一个目的就是使软件过程可视化，这个可视化则要求了对软件过程的量化；而产品质量是否提高、开发风险是否降低、开发成本是否减少、项目延期是否缩短，对这些问题的回答则要求了对软件项目的量化；软件过程改进与量化管理息息相关。创联致信在公司发展过程中投入了相当大的精力细化需求，从内部项目管理到外包项目管理，已经初步建立起比较完整、精细的全程量化项目管理体系。</w:t>
      </w:r>
    </w:p>
    <w:p w14:paraId="219E31D7">
      <w:pPr>
        <w:pStyle w:val="19"/>
        <w:ind w:left="480" w:hanging="480" w:hangingChars="200"/>
        <w:contextualSpacing/>
        <w:rPr>
          <w:sz w:val="24"/>
        </w:rPr>
      </w:pPr>
      <w:r>
        <w:rPr>
          <w:rFonts w:hint="eastAsia"/>
          <w:sz w:val="24"/>
        </w:rPr>
        <w:t>项目实施过程实现流程化、标准化、规范化</w:t>
      </w:r>
    </w:p>
    <w:p w14:paraId="4A8C80F2">
      <w:pPr>
        <w:spacing w:line="360" w:lineRule="auto"/>
        <w:ind w:firstLine="480"/>
        <w:rPr>
          <w:sz w:val="24"/>
        </w:rPr>
      </w:pPr>
      <w:r>
        <w:rPr>
          <w:rFonts w:hint="eastAsia"/>
          <w:sz w:val="24"/>
        </w:rPr>
        <w:t>创联致信公司根据CMMI软件开发规范，结合自身实际情况，制定了软件过程管理规范，确定了项目实施阶段、过程、任务、职责及文档规范，保证了项目实施有序、规范及项目质量。</w:t>
      </w:r>
    </w:p>
    <w:p w14:paraId="3B4293FB">
      <w:pPr>
        <w:pStyle w:val="19"/>
        <w:ind w:left="480" w:hanging="480" w:hangingChars="200"/>
        <w:contextualSpacing/>
        <w:rPr>
          <w:sz w:val="24"/>
        </w:rPr>
      </w:pPr>
      <w:r>
        <w:rPr>
          <w:rFonts w:hint="eastAsia"/>
          <w:sz w:val="24"/>
        </w:rPr>
        <w:t>自主研发项目管理平台，为公司项目管理提供支持</w:t>
      </w:r>
    </w:p>
    <w:p w14:paraId="7781B7B0">
      <w:pPr>
        <w:spacing w:line="360" w:lineRule="auto"/>
        <w:ind w:firstLine="480"/>
        <w:rPr>
          <w:sz w:val="24"/>
        </w:rPr>
      </w:pPr>
      <w:r>
        <w:rPr>
          <w:rFonts w:hint="eastAsia"/>
          <w:sz w:val="24"/>
        </w:rPr>
        <w:t>为了确保公司管理理念、思想和制度的贯彻执行，进一步细化规范管理过程，创联致信自主研发了企业项目管理系统EPM和软件开发过程管理系统SPM、软件开发过程支撑平台SPS，实现对项目的宏观与微观管理相结合的项目协同管理。</w:t>
      </w:r>
    </w:p>
    <w:p w14:paraId="0554D449">
      <w:pPr>
        <w:ind w:firstLine="420" w:firstLineChars="0"/>
        <w:rPr>
          <w:rFonts w:hint="eastAsia" w:eastAsia="宋体"/>
          <w:sz w:val="24"/>
          <w:u w:val="single"/>
          <w:lang w:eastAsia="zh-CN"/>
        </w:rPr>
      </w:pPr>
      <w:r>
        <w:rPr>
          <w:rFonts w:hint="eastAsia"/>
          <w:sz w:val="24"/>
          <w:u w:val="single"/>
        </w:rPr>
        <w:t>本项目中，我们将依照公司的项目管理体系和CMMI等标准规范，定义本项目的范围并对工作进行细化分解，合理安排工期计划和资源，并严格按照CMMI标准和ISO9001质量管理体系把控项目质量。创联致信公司领导高度重视本项目的建设，我们将调配公司优势资源投入到本项目建设中，贯彻实施工作管理规范和制度，保证实施进度和质量。结合本项目的特点和实际情况，我们特制定了本次项目实施方案，包括实施工作内容、项目组织结构、人力资源计划、工程界面等关键领域提出具体项目实施方案</w:t>
      </w:r>
      <w:r>
        <w:rPr>
          <w:rFonts w:hint="eastAsia"/>
          <w:sz w:val="24"/>
          <w:u w:val="single"/>
          <w:lang w:eastAsia="zh-CN"/>
        </w:rPr>
        <w:t>。项目工期方面，我方承诺单台改造时间从招标人下达施工通知单之日起不超过 30 日历天内完成实施并达到运行要求。</w:t>
      </w:r>
    </w:p>
    <w:p w14:paraId="26A2556C">
      <w:pPr>
        <w:ind w:firstLine="420" w:firstLineChars="0"/>
        <w:rPr>
          <w:rFonts w:hint="eastAsia" w:eastAsia="宋体"/>
          <w:lang w:eastAsia="zh-CN"/>
        </w:rPr>
      </w:pPr>
      <w:r>
        <w:rPr>
          <w:rFonts w:hint="eastAsia"/>
          <w:sz w:val="24"/>
          <w:u w:val="single"/>
        </w:rPr>
        <w:t>以下章节将进行具体论述</w:t>
      </w:r>
      <w:r>
        <w:rPr>
          <w:rFonts w:hint="eastAsia"/>
          <w:sz w:val="24"/>
          <w:u w:val="single"/>
          <w:lang w:eastAsia="zh-CN"/>
        </w:rPr>
        <w:t>：</w:t>
      </w:r>
    </w:p>
    <w:p w14:paraId="4C994429">
      <w:pPr>
        <w:pStyle w:val="9"/>
        <w:pageBreakBefore w:val="0"/>
        <w:numPr>
          <w:ilvl w:val="2"/>
          <w:numId w:val="12"/>
        </w:numPr>
        <w:tabs>
          <w:tab w:val="left" w:pos="0"/>
        </w:tabs>
        <w:kinsoku/>
        <w:wordWrap/>
        <w:overflowPunct/>
        <w:topLinePunct w:val="0"/>
        <w:autoSpaceDE/>
        <w:autoSpaceDN/>
        <w:bidi w:val="0"/>
        <w:spacing w:line="360" w:lineRule="auto"/>
        <w:textAlignment w:val="auto"/>
      </w:pPr>
      <w:bookmarkStart w:id="332" w:name="_Toc1525322807"/>
      <w:bookmarkStart w:id="333" w:name="_Toc658460607"/>
      <w:bookmarkStart w:id="334" w:name="_Toc573546865"/>
      <w:r>
        <w:rPr>
          <w:rFonts w:hint="eastAsia"/>
        </w:rPr>
        <w:t>项目组织管理</w:t>
      </w:r>
      <w:bookmarkEnd w:id="332"/>
      <w:bookmarkEnd w:id="333"/>
      <w:bookmarkEnd w:id="334"/>
    </w:p>
    <w:p w14:paraId="5249D3DB">
      <w:pPr>
        <w:pageBreakBefore w:val="0"/>
        <w:numPr>
          <w:ilvl w:val="0"/>
          <w:numId w:val="21"/>
        </w:numPr>
        <w:kinsoku/>
        <w:wordWrap/>
        <w:overflowPunct/>
        <w:topLinePunct w:val="0"/>
        <w:autoSpaceDE/>
        <w:autoSpaceDN/>
        <w:bidi w:val="0"/>
        <w:spacing w:line="360" w:lineRule="auto"/>
        <w:textAlignment w:val="auto"/>
        <w:rPr>
          <w:b/>
          <w:bCs/>
          <w:sz w:val="28"/>
          <w:szCs w:val="28"/>
        </w:rPr>
      </w:pPr>
      <w:r>
        <w:rPr>
          <w:rFonts w:hint="eastAsia"/>
          <w:b/>
          <w:bCs/>
          <w:sz w:val="28"/>
          <w:szCs w:val="28"/>
        </w:rPr>
        <w:t>项目组织机构</w:t>
      </w:r>
    </w:p>
    <w:p w14:paraId="4CBAC6E6">
      <w:pPr>
        <w:pageBreakBefore w:val="0"/>
        <w:kinsoku/>
        <w:wordWrap/>
        <w:overflowPunct/>
        <w:topLinePunct w:val="0"/>
        <w:autoSpaceDE/>
        <w:autoSpaceDN/>
        <w:bidi w:val="0"/>
        <w:spacing w:line="360" w:lineRule="auto"/>
        <w:ind w:firstLine="420"/>
        <w:textAlignment w:val="auto"/>
      </w:pPr>
      <w:r>
        <w:rPr>
          <w:rFonts w:hint="eastAsia"/>
        </w:rPr>
        <w:t>为了确保本次项目得以顺利进行，根据项目的要求，结合我公司以往类似项目的经验和方法，我司将会成立项目管理组，负责系统的开发、测试、推广、实施。</w:t>
      </w:r>
    </w:p>
    <w:p w14:paraId="21612F49">
      <w:pPr>
        <w:pageBreakBefore w:val="0"/>
        <w:kinsoku/>
        <w:wordWrap/>
        <w:overflowPunct/>
        <w:topLinePunct w:val="0"/>
        <w:autoSpaceDE/>
        <w:autoSpaceDN/>
        <w:bidi w:val="0"/>
        <w:spacing w:line="360" w:lineRule="auto"/>
        <w:ind w:firstLine="420"/>
        <w:textAlignment w:val="auto"/>
      </w:pPr>
      <w:r>
        <w:rPr>
          <w:rFonts w:hint="eastAsia"/>
        </w:rPr>
        <w:t>按照不同工作分工下设工程管理组、集成组、电控组、软件组、采购组、品控组。组织架构图如下图所示。</w:t>
      </w:r>
    </w:p>
    <w:p w14:paraId="154D2B4F">
      <w:pPr>
        <w:pageBreakBefore w:val="0"/>
        <w:kinsoku/>
        <w:wordWrap/>
        <w:overflowPunct/>
        <w:topLinePunct w:val="0"/>
        <w:autoSpaceDE/>
        <w:autoSpaceDN/>
        <w:bidi w:val="0"/>
        <w:spacing w:line="360" w:lineRule="auto"/>
        <w:textAlignment w:val="auto"/>
      </w:pPr>
      <w:r>
        <w:drawing>
          <wp:inline distT="0" distB="0" distL="114300" distR="114300">
            <wp:extent cx="5744210" cy="3005455"/>
            <wp:effectExtent l="0" t="0" r="0" b="0"/>
            <wp:docPr id="1" name="图片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84"/>
                    <pic:cNvPicPr>
                      <a:picLocks noChangeAspect="1"/>
                    </pic:cNvPicPr>
                  </pic:nvPicPr>
                  <pic:blipFill>
                    <a:blip r:embed="rId169"/>
                    <a:stretch>
                      <a:fillRect/>
                    </a:stretch>
                  </pic:blipFill>
                  <pic:spPr>
                    <a:xfrm>
                      <a:off x="0" y="0"/>
                      <a:ext cx="5744210" cy="3005455"/>
                    </a:xfrm>
                    <a:prstGeom prst="rect">
                      <a:avLst/>
                    </a:prstGeom>
                    <a:noFill/>
                    <a:ln>
                      <a:noFill/>
                    </a:ln>
                  </pic:spPr>
                </pic:pic>
              </a:graphicData>
            </a:graphic>
          </wp:inline>
        </w:drawing>
      </w:r>
    </w:p>
    <w:p w14:paraId="7D259FC1">
      <w:pPr>
        <w:pageBreakBefore w:val="0"/>
        <w:kinsoku/>
        <w:wordWrap/>
        <w:overflowPunct/>
        <w:topLinePunct w:val="0"/>
        <w:autoSpaceDE/>
        <w:autoSpaceDN/>
        <w:bidi w:val="0"/>
        <w:spacing w:before="120" w:after="120" w:line="360" w:lineRule="auto"/>
        <w:ind w:firstLine="480" w:firstLineChars="200"/>
        <w:textAlignment w:val="auto"/>
        <w:rPr>
          <w:color w:val="191F25"/>
          <w:shd w:val="clear" w:color="auto" w:fill="FFFFFF"/>
        </w:rPr>
      </w:pPr>
    </w:p>
    <w:p w14:paraId="13021E6D">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项目管理组</w:t>
      </w:r>
    </w:p>
    <w:p w14:paraId="5F7973A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批准“项目管理组织机构”的组建；</w:t>
      </w:r>
    </w:p>
    <w:p w14:paraId="4219962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决策项目全生命周期中的重大事项；</w:t>
      </w:r>
    </w:p>
    <w:p w14:paraId="4CAC9AA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任命项目经理，并授权项目经理管理日常事务。</w:t>
      </w:r>
    </w:p>
    <w:p w14:paraId="2D7C4017">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项目经理</w:t>
      </w:r>
    </w:p>
    <w:p w14:paraId="32095A61">
      <w:pPr>
        <w:pageBreakBefore w:val="0"/>
        <w:kinsoku/>
        <w:wordWrap/>
        <w:overflowPunct/>
        <w:topLinePunct w:val="0"/>
        <w:autoSpaceDE/>
        <w:autoSpaceDN/>
        <w:bidi w:val="0"/>
        <w:spacing w:before="120" w:after="120" w:line="360" w:lineRule="auto"/>
        <w:ind w:firstLine="484" w:firstLineChars="202"/>
        <w:textAlignment w:val="auto"/>
      </w:pPr>
      <w:r>
        <w:rPr>
          <w:rFonts w:hint="eastAsia"/>
        </w:rPr>
        <w:t>系我方在本项目执行中的唯一对外联络授权人，职责是：</w:t>
      </w:r>
    </w:p>
    <w:p w14:paraId="048EE9F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代表我方负责合同的全面执行；</w:t>
      </w:r>
    </w:p>
    <w:p w14:paraId="5ADB101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贵我双方的沟通和协调；</w:t>
      </w:r>
    </w:p>
    <w:p w14:paraId="298FA7B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指导我方其他参与项目实施的各专业工程师/人员的工作；</w:t>
      </w:r>
    </w:p>
    <w:p w14:paraId="50A2F523">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有权对涉及合同的商务、进度、技术、质量等事宜代表我方作出解释并提出处理意见，其解释和处理意见具有法律效力。</w:t>
      </w:r>
    </w:p>
    <w:p w14:paraId="116C4664">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工程管理组</w:t>
      </w:r>
    </w:p>
    <w:p w14:paraId="70DD225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编制进度计划并对计划的执行加以监督控制；</w:t>
      </w:r>
    </w:p>
    <w:p w14:paraId="4206129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负责与贵方的“交安确认”；</w:t>
      </w:r>
    </w:p>
    <w:p w14:paraId="1746231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工程节点控制，召集现场例会，周而复始地使“布置、执行、检查、整改、达成”五个阶段均处在良好的受控状态下；</w:t>
      </w:r>
    </w:p>
    <w:p w14:paraId="2C23C287">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供应商管理：保证合同货物技术标准、质量、按时交付，组织安调队伍，辅材工具齐备，规范按期保质施工；</w:t>
      </w:r>
    </w:p>
    <w:p w14:paraId="5FC7BD1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依据合同技术协议，动态反馈并监督工程质量；</w:t>
      </w:r>
    </w:p>
    <w:p w14:paraId="79B9B51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合理安排相关方作业方式和时间段，及时协调解决交叉作业矛盾，提升（高）施工效率；</w:t>
      </w:r>
    </w:p>
    <w:p w14:paraId="7C3C7A0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对关键设备（如:堆垛机）进行专项重点管理；</w:t>
      </w:r>
    </w:p>
    <w:p w14:paraId="069CF82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设备运行初期，现场跟进，全程爬坡支持；</w:t>
      </w:r>
    </w:p>
    <w:p w14:paraId="0A0DF5A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组织各专业工程师对客户进行系统管理、使用、维护培训；</w:t>
      </w:r>
    </w:p>
    <w:p w14:paraId="4023F32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资料整理、交付贵方；</w:t>
      </w:r>
    </w:p>
    <w:p w14:paraId="50D80E6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完成设备基本验收，与贵方联合对系统进行能力验收；</w:t>
      </w:r>
    </w:p>
    <w:p w14:paraId="5B027F9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与贵方签署竣工验收报告书。同时，移交乙方售后服务部。</w:t>
      </w:r>
    </w:p>
    <w:p w14:paraId="672D1069">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集成组</w:t>
      </w:r>
    </w:p>
    <w:p w14:paraId="2F8BDAF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根据技术规格书，进行集成和细化设计；</w:t>
      </w:r>
    </w:p>
    <w:p w14:paraId="18EF81F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提供设计任务书和最终施工方案图；</w:t>
      </w:r>
    </w:p>
    <w:p w14:paraId="41665C5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提出设备制造技术条款及关键设备专用条款，作为设备制造的技术依据；</w:t>
      </w:r>
    </w:p>
    <w:p w14:paraId="5668D6A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提交合同设备细化清单，并对采购提供技术支持；</w:t>
      </w:r>
    </w:p>
    <w:p w14:paraId="5B6E0E03">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审查、会签供应商最终技术资料和制造图纸；</w:t>
      </w:r>
    </w:p>
    <w:p w14:paraId="4823853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提出主要单机设备机械设计参数及标准；</w:t>
      </w:r>
    </w:p>
    <w:p w14:paraId="1D0F4EE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编写操作流程手册；</w:t>
      </w:r>
    </w:p>
    <w:p w14:paraId="3F84899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项目全生命周期内技术监控，保证标准和规范的严格执行，及时处理施工中出现的技术问题和技术争议；</w:t>
      </w:r>
    </w:p>
    <w:p w14:paraId="58F81E2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审核项目技术资料，对用户培训提供支持；</w:t>
      </w:r>
    </w:p>
    <w:p w14:paraId="0F9C795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核准全套竣工资料。</w:t>
      </w:r>
    </w:p>
    <w:p w14:paraId="6190C7A6">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电控组</w:t>
      </w:r>
    </w:p>
    <w:p w14:paraId="72B7681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根据集成组提供的设计任务书和整体规划图进行电控设计，包括布点图设计、电控柜设计；</w:t>
      </w:r>
    </w:p>
    <w:p w14:paraId="3D4B608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根据技术规格书中规定的国际/内相关机电技术标准,对电器元器件选型；</w:t>
      </w:r>
    </w:p>
    <w:p w14:paraId="34BEB22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负责审查图纸；</w:t>
      </w:r>
    </w:p>
    <w:p w14:paraId="5FDB804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列出合同电控细化清单，经电控组和集成组审核通过后，提交采购；</w:t>
      </w:r>
    </w:p>
    <w:p w14:paraId="70BBD5B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负责电控程序编写；</w:t>
      </w:r>
    </w:p>
    <w:p w14:paraId="0CCA2B2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现场安装指导，电控调试，并参与试运行；</w:t>
      </w:r>
    </w:p>
    <w:p w14:paraId="72E2847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对用户进行相关电控培训；</w:t>
      </w:r>
    </w:p>
    <w:p w14:paraId="2C12056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编制全套电控竣工资料。</w:t>
      </w:r>
    </w:p>
    <w:p w14:paraId="43E906F0">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软件组</w:t>
      </w:r>
    </w:p>
    <w:p w14:paraId="5970F5E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软件需求调研，制作“软件需求规格书”；</w:t>
      </w:r>
    </w:p>
    <w:p w14:paraId="2406763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按“软件需求规格书”，展开软件功能架构设计、详细设计、代码编写及测试；</w:t>
      </w:r>
    </w:p>
    <w:p w14:paraId="525A761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负责与软硬件相关系统及设备的整体集成；</w:t>
      </w:r>
    </w:p>
    <w:p w14:paraId="0C7A931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负责客户上位系统接口开发；</w:t>
      </w:r>
    </w:p>
    <w:p w14:paraId="35885D2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严格依据国际/内及公司内部相关软件技术标准/规范进行开发、模拟运行和出厂测试；</w:t>
      </w:r>
    </w:p>
    <w:p w14:paraId="6F64B71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现场安装、调试，并参与试运行；</w:t>
      </w:r>
    </w:p>
    <w:p w14:paraId="25537DC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对用户就相关软硬件进行培训；</w:t>
      </w:r>
    </w:p>
    <w:p w14:paraId="0EC1AF7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编制全套软件竣工资料。</w:t>
      </w:r>
    </w:p>
    <w:p w14:paraId="57832A1D">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采购组</w:t>
      </w:r>
    </w:p>
    <w:p w14:paraId="64B71E93">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制定采购计划；</w:t>
      </w:r>
    </w:p>
    <w:p w14:paraId="69B9597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根据合同审核设备清单并采购；</w:t>
      </w:r>
    </w:p>
    <w:p w14:paraId="45FCE06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根据合同审核电控清单并采购；</w:t>
      </w:r>
    </w:p>
    <w:p w14:paraId="1A527BA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根据合同审核软硬件清单并采购；</w:t>
      </w:r>
    </w:p>
    <w:p w14:paraId="642464A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制定收付款计划；</w:t>
      </w:r>
    </w:p>
    <w:p w14:paraId="5DE3640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运输计划及保险；</w:t>
      </w:r>
    </w:p>
    <w:p w14:paraId="6745148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进口设备清关。</w:t>
      </w:r>
    </w:p>
    <w:p w14:paraId="7C64AC97">
      <w:pPr>
        <w:pageBreakBefore w:val="0"/>
        <w:numPr>
          <w:ilvl w:val="0"/>
          <w:numId w:val="21"/>
        </w:numPr>
        <w:kinsoku/>
        <w:wordWrap/>
        <w:overflowPunct/>
        <w:topLinePunct w:val="0"/>
        <w:autoSpaceDE/>
        <w:autoSpaceDN/>
        <w:bidi w:val="0"/>
        <w:spacing w:line="360" w:lineRule="auto"/>
        <w:textAlignment w:val="auto"/>
        <w:rPr>
          <w:rFonts w:hint="eastAsia"/>
          <w:b/>
          <w:bCs/>
          <w:sz w:val="28"/>
          <w:szCs w:val="28"/>
          <w:lang w:eastAsia="zh-CN"/>
        </w:rPr>
      </w:pPr>
      <w:r>
        <w:rPr>
          <w:rFonts w:hint="eastAsia"/>
          <w:b/>
          <w:bCs/>
          <w:sz w:val="28"/>
          <w:szCs w:val="28"/>
          <w:lang w:eastAsia="zh-CN"/>
        </w:rPr>
        <w:t>品控组</w:t>
      </w:r>
    </w:p>
    <w:p w14:paraId="60EF69D7">
      <w:pPr>
        <w:pageBreakBefore w:val="0"/>
        <w:kinsoku/>
        <w:wordWrap/>
        <w:overflowPunct/>
        <w:topLinePunct w:val="0"/>
        <w:autoSpaceDE/>
        <w:autoSpaceDN/>
        <w:bidi w:val="0"/>
        <w:spacing w:before="120" w:after="120" w:line="360" w:lineRule="auto"/>
        <w:ind w:firstLine="484" w:firstLineChars="202"/>
        <w:textAlignment w:val="auto"/>
      </w:pPr>
      <w:r>
        <w:rPr>
          <w:rFonts w:hint="eastAsia"/>
        </w:rPr>
        <w:t>我公司已经通过ISO9001：2008质量体系认证</w:t>
      </w:r>
      <w:r>
        <w:rPr>
          <w:rFonts w:hint="eastAsia"/>
          <w:lang w:eastAsia="zh-CN"/>
        </w:rPr>
        <w:t>，</w:t>
      </w:r>
      <w:r>
        <w:rPr>
          <w:rFonts w:hint="eastAsia"/>
        </w:rPr>
        <w:t>对于每个项目我方均按ISO 9001标准的要求建立健全了质量保证体系，并通过质量控制组具体实施。质量控制组的职责是：</w:t>
      </w:r>
    </w:p>
    <w:p w14:paraId="0E392E8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保证项目按规定的标准要求执行；</w:t>
      </w:r>
    </w:p>
    <w:p w14:paraId="6C8FE88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制定项目项下软件、电控、设备的品控计划；</w:t>
      </w:r>
    </w:p>
    <w:p w14:paraId="197E5E0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按照合同、技术规格书中各技术标准的规定，控制产品质量和工程质量关；</w:t>
      </w:r>
    </w:p>
    <w:p w14:paraId="494B9DC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对设备进行监造；</w:t>
      </w:r>
    </w:p>
    <w:p w14:paraId="61697F3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设备出厂检验；</w:t>
      </w:r>
    </w:p>
    <w:p w14:paraId="011872B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在项目的全过程中实行自检、互检、交接检等的质检工作制度。</w:t>
      </w:r>
    </w:p>
    <w:p w14:paraId="2C188345">
      <w:pPr>
        <w:pStyle w:val="10"/>
        <w:pageBreakBefore w:val="0"/>
        <w:numPr>
          <w:ilvl w:val="3"/>
          <w:numId w:val="12"/>
        </w:numPr>
        <w:kinsoku/>
        <w:wordWrap/>
        <w:overflowPunct/>
        <w:topLinePunct w:val="0"/>
        <w:autoSpaceDE/>
        <w:autoSpaceDN/>
        <w:bidi w:val="0"/>
        <w:spacing w:line="360" w:lineRule="auto"/>
        <w:ind w:left="425" w:firstLine="41" w:firstLineChars="17"/>
        <w:textAlignment w:val="auto"/>
      </w:pPr>
      <w:bookmarkStart w:id="335" w:name="_Toc1278458672"/>
      <w:bookmarkStart w:id="336" w:name="_Toc1903499833"/>
      <w:r>
        <w:rPr>
          <w:rFonts w:hint="eastAsia"/>
        </w:rPr>
        <w:t>项目组织保障体系</w:t>
      </w:r>
      <w:bookmarkEnd w:id="335"/>
      <w:bookmarkEnd w:id="336"/>
    </w:p>
    <w:p w14:paraId="19FE402C">
      <w:pPr>
        <w:pageBreakBefore w:val="0"/>
        <w:kinsoku/>
        <w:wordWrap/>
        <w:overflowPunct/>
        <w:topLinePunct w:val="0"/>
        <w:autoSpaceDE/>
        <w:autoSpaceDN/>
        <w:bidi w:val="0"/>
        <w:spacing w:line="360" w:lineRule="auto"/>
        <w:ind w:firstLine="420"/>
        <w:textAlignment w:val="auto"/>
      </w:pPr>
      <w:r>
        <w:rPr>
          <w:rFonts w:hint="eastAsia"/>
        </w:rPr>
        <w:t>我公司在深入融合到中心实施体系的同时，我公司设立专门的项目组织，确定五个项目体系，分别是项目管理体系、专家支持体系、项目开发体系、实施维护体系、项目保障体系，体系之间的关系如下图所示。</w:t>
      </w:r>
    </w:p>
    <w:p w14:paraId="46303310">
      <w:pPr>
        <w:pageBreakBefore w:val="0"/>
        <w:kinsoku/>
        <w:wordWrap/>
        <w:overflowPunct/>
        <w:topLinePunct w:val="0"/>
        <w:autoSpaceDE/>
        <w:autoSpaceDN/>
        <w:bidi w:val="0"/>
        <w:spacing w:before="120" w:after="120" w:line="360" w:lineRule="auto"/>
        <w:ind w:firstLine="420"/>
        <w:jc w:val="center"/>
        <w:textAlignment w:val="auto"/>
      </w:pPr>
      <w:r>
        <w:drawing>
          <wp:inline distT="0" distB="0" distL="114300" distR="114300">
            <wp:extent cx="4440555" cy="4114800"/>
            <wp:effectExtent l="0" t="0" r="0" b="0"/>
            <wp:docPr id="2" name="图片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89"/>
                    <pic:cNvPicPr>
                      <a:picLocks noChangeAspect="1"/>
                    </pic:cNvPicPr>
                  </pic:nvPicPr>
                  <pic:blipFill>
                    <a:blip r:embed="rId170"/>
                    <a:stretch>
                      <a:fillRect/>
                    </a:stretch>
                  </pic:blipFill>
                  <pic:spPr>
                    <a:xfrm>
                      <a:off x="0" y="0"/>
                      <a:ext cx="4440555" cy="4114800"/>
                    </a:xfrm>
                    <a:prstGeom prst="rect">
                      <a:avLst/>
                    </a:prstGeom>
                    <a:noFill/>
                    <a:ln>
                      <a:noFill/>
                    </a:ln>
                  </pic:spPr>
                </pic:pic>
              </a:graphicData>
            </a:graphic>
          </wp:inline>
        </w:drawing>
      </w:r>
    </w:p>
    <w:p w14:paraId="066A5A9A">
      <w:pPr>
        <w:pageBreakBefore w:val="0"/>
        <w:kinsoku/>
        <w:wordWrap/>
        <w:overflowPunct/>
        <w:topLinePunct w:val="0"/>
        <w:autoSpaceDE/>
        <w:autoSpaceDN/>
        <w:bidi w:val="0"/>
        <w:spacing w:line="360" w:lineRule="auto"/>
        <w:ind w:firstLine="420"/>
        <w:textAlignment w:val="auto"/>
      </w:pPr>
      <w:r>
        <w:rPr>
          <w:rFonts w:hint="eastAsia"/>
        </w:rPr>
        <w:t>项目开发体系是项目的开发团队组织，负责系统的开发实现；实施维护体系负责系统的部署和系统的技术支持及维护工作；项目保障体系从人员、后勤上保障项目的正常运行，并通过质量管理体系保障项目的质量。</w:t>
      </w:r>
    </w:p>
    <w:p w14:paraId="60C606B7">
      <w:pPr>
        <w:pStyle w:val="12"/>
        <w:pageBreakBefore w:val="0"/>
        <w:numPr>
          <w:ilvl w:val="4"/>
          <w:numId w:val="12"/>
        </w:numPr>
        <w:kinsoku/>
        <w:wordWrap/>
        <w:overflowPunct/>
        <w:topLinePunct w:val="0"/>
        <w:autoSpaceDE/>
        <w:autoSpaceDN/>
        <w:bidi w:val="0"/>
        <w:spacing w:line="360" w:lineRule="auto"/>
        <w:textAlignment w:val="auto"/>
      </w:pPr>
      <w:bookmarkStart w:id="337" w:name="_Toc1046599591"/>
      <w:r>
        <w:rPr>
          <w:rFonts w:hint="eastAsia"/>
        </w:rPr>
        <w:t>项目管理体系</w:t>
      </w:r>
      <w:bookmarkEnd w:id="337"/>
    </w:p>
    <w:p w14:paraId="687632A2">
      <w:pPr>
        <w:pageBreakBefore w:val="0"/>
        <w:kinsoku/>
        <w:wordWrap/>
        <w:overflowPunct/>
        <w:topLinePunct w:val="0"/>
        <w:autoSpaceDE/>
        <w:autoSpaceDN/>
        <w:bidi w:val="0"/>
        <w:spacing w:line="360" w:lineRule="auto"/>
        <w:ind w:firstLine="420"/>
        <w:textAlignment w:val="auto"/>
      </w:pPr>
      <w:r>
        <w:rPr>
          <w:rFonts w:hint="eastAsia"/>
        </w:rPr>
        <w:t>项目管理体系包括项目高级经理、项目经理、TeamLeader。</w:t>
      </w:r>
    </w:p>
    <w:p w14:paraId="6F365003">
      <w:pPr>
        <w:pageBreakBefore w:val="0"/>
        <w:kinsoku/>
        <w:wordWrap/>
        <w:overflowPunct/>
        <w:topLinePunct w:val="0"/>
        <w:autoSpaceDE/>
        <w:autoSpaceDN/>
        <w:bidi w:val="0"/>
        <w:spacing w:line="360" w:lineRule="auto"/>
        <w:ind w:firstLine="420"/>
        <w:textAlignment w:val="auto"/>
      </w:pPr>
      <w:r>
        <w:rPr>
          <w:rFonts w:hint="eastAsia"/>
        </w:rPr>
        <w:t>项目高级经理将和用户共同决策项目的重大问题，监督和协调项目的进度。并负责监督规范的实施开展，参与各阶段工作产品、使用技术、工具的评审和审批，监控和保证项目组的正常运转；为项目提供人力、物力、财力上的支持和保证；协调项目经理控制范围之外的问题。</w:t>
      </w:r>
    </w:p>
    <w:p w14:paraId="40A24E8B">
      <w:pPr>
        <w:pageBreakBefore w:val="0"/>
        <w:kinsoku/>
        <w:wordWrap/>
        <w:overflowPunct/>
        <w:topLinePunct w:val="0"/>
        <w:autoSpaceDE/>
        <w:autoSpaceDN/>
        <w:bidi w:val="0"/>
        <w:spacing w:line="360" w:lineRule="auto"/>
        <w:ind w:firstLine="420"/>
        <w:textAlignment w:val="auto"/>
      </w:pPr>
      <w:r>
        <w:rPr>
          <w:rFonts w:hint="eastAsia"/>
        </w:rPr>
        <w:t xml:space="preserve"> 项目经理是项目的直接领导者，履行项目经理的职责。</w:t>
      </w:r>
    </w:p>
    <w:p w14:paraId="3DE9EBC7">
      <w:pPr>
        <w:pageBreakBefore w:val="0"/>
        <w:kinsoku/>
        <w:wordWrap/>
        <w:overflowPunct/>
        <w:topLinePunct w:val="0"/>
        <w:autoSpaceDE/>
        <w:autoSpaceDN/>
        <w:bidi w:val="0"/>
        <w:spacing w:line="360" w:lineRule="auto"/>
        <w:ind w:firstLine="420"/>
        <w:textAlignment w:val="auto"/>
      </w:pPr>
      <w:r>
        <w:rPr>
          <w:rFonts w:hint="eastAsia"/>
        </w:rPr>
        <w:t xml:space="preserve"> 项目组根据不同的任务和职能设立相应的开发组织或部署实施组织，由相应的TeamLeader负责该组织的管理和领导，在项目经理的领导下， 辅助管理相应的开发实施具体工作。</w:t>
      </w:r>
    </w:p>
    <w:p w14:paraId="6BAACAE1">
      <w:pPr>
        <w:pStyle w:val="12"/>
        <w:pageBreakBefore w:val="0"/>
        <w:numPr>
          <w:ilvl w:val="4"/>
          <w:numId w:val="12"/>
        </w:numPr>
        <w:kinsoku/>
        <w:wordWrap/>
        <w:overflowPunct/>
        <w:topLinePunct w:val="0"/>
        <w:autoSpaceDE/>
        <w:autoSpaceDN/>
        <w:bidi w:val="0"/>
        <w:spacing w:line="360" w:lineRule="auto"/>
        <w:textAlignment w:val="auto"/>
      </w:pPr>
      <w:bookmarkStart w:id="338" w:name="_Toc572397723"/>
      <w:r>
        <w:rPr>
          <w:rFonts w:hint="eastAsia"/>
        </w:rPr>
        <w:t>专家支持体系</w:t>
      </w:r>
      <w:bookmarkEnd w:id="338"/>
    </w:p>
    <w:p w14:paraId="5AD3C8B0">
      <w:pPr>
        <w:pageBreakBefore w:val="0"/>
        <w:kinsoku/>
        <w:wordWrap/>
        <w:overflowPunct/>
        <w:topLinePunct w:val="0"/>
        <w:autoSpaceDE/>
        <w:autoSpaceDN/>
        <w:bidi w:val="0"/>
        <w:spacing w:before="120" w:after="120" w:line="360" w:lineRule="auto"/>
        <w:ind w:firstLine="420"/>
        <w:textAlignment w:val="auto"/>
      </w:pPr>
      <w:r>
        <w:rPr>
          <w:rFonts w:hint="eastAsia"/>
        </w:rPr>
        <w:t>专家支持体系包括系统所涉及的各个领域的专家，以自信、指导项目实施运维，包括业务、安全、软件脚骨、数据库、接口、系统平台等领域的专家。</w:t>
      </w:r>
    </w:p>
    <w:p w14:paraId="1B32239C">
      <w:pPr>
        <w:pStyle w:val="12"/>
        <w:pageBreakBefore w:val="0"/>
        <w:numPr>
          <w:ilvl w:val="4"/>
          <w:numId w:val="12"/>
        </w:numPr>
        <w:kinsoku/>
        <w:wordWrap/>
        <w:overflowPunct/>
        <w:topLinePunct w:val="0"/>
        <w:autoSpaceDE/>
        <w:autoSpaceDN/>
        <w:bidi w:val="0"/>
        <w:spacing w:line="360" w:lineRule="auto"/>
        <w:textAlignment w:val="auto"/>
      </w:pPr>
      <w:bookmarkStart w:id="339" w:name="_Toc2107776956"/>
      <w:r>
        <w:rPr>
          <w:rFonts w:hint="eastAsia"/>
        </w:rPr>
        <w:t>项目实施维护体系</w:t>
      </w:r>
      <w:bookmarkEnd w:id="339"/>
    </w:p>
    <w:p w14:paraId="765EF33F">
      <w:pPr>
        <w:pageBreakBefore w:val="0"/>
        <w:kinsoku/>
        <w:wordWrap/>
        <w:overflowPunct/>
        <w:topLinePunct w:val="0"/>
        <w:autoSpaceDE/>
        <w:autoSpaceDN/>
        <w:bidi w:val="0"/>
        <w:spacing w:line="360" w:lineRule="auto"/>
        <w:ind w:firstLine="420"/>
        <w:textAlignment w:val="auto"/>
      </w:pPr>
      <w:r>
        <w:rPr>
          <w:rFonts w:hint="eastAsia"/>
        </w:rPr>
        <w:t>项目实施维护体系主要支出中心呼叫平台运维服务，对项目中要求的运维范围提供技术支持工作。并展开培训等相关工作。</w:t>
      </w:r>
    </w:p>
    <w:p w14:paraId="69278118">
      <w:pPr>
        <w:pStyle w:val="12"/>
        <w:pageBreakBefore w:val="0"/>
        <w:numPr>
          <w:ilvl w:val="4"/>
          <w:numId w:val="12"/>
        </w:numPr>
        <w:kinsoku/>
        <w:wordWrap/>
        <w:overflowPunct/>
        <w:topLinePunct w:val="0"/>
        <w:autoSpaceDE/>
        <w:autoSpaceDN/>
        <w:bidi w:val="0"/>
        <w:spacing w:line="360" w:lineRule="auto"/>
        <w:textAlignment w:val="auto"/>
      </w:pPr>
      <w:bookmarkStart w:id="340" w:name="_Toc2103118910"/>
      <w:r>
        <w:rPr>
          <w:rFonts w:hint="eastAsia"/>
        </w:rPr>
        <w:t>项目开发体系</w:t>
      </w:r>
      <w:bookmarkEnd w:id="340"/>
    </w:p>
    <w:p w14:paraId="5FBB996E">
      <w:pPr>
        <w:pageBreakBefore w:val="0"/>
        <w:kinsoku/>
        <w:wordWrap/>
        <w:overflowPunct/>
        <w:topLinePunct w:val="0"/>
        <w:autoSpaceDE/>
        <w:autoSpaceDN/>
        <w:bidi w:val="0"/>
        <w:spacing w:line="360" w:lineRule="auto"/>
        <w:ind w:firstLine="420"/>
        <w:textAlignment w:val="auto"/>
      </w:pPr>
      <w:r>
        <w:rPr>
          <w:rFonts w:hint="eastAsia"/>
        </w:rPr>
        <w:t>项目开发体系是本次系统服务开发的研发团队组件，改团队清楚的指导服务的代码和功能，当集成服务发生故障，该团队将第一时间为项目实施维护体系提供技术支撑，必要时可到现场支持。</w:t>
      </w:r>
    </w:p>
    <w:p w14:paraId="6E4CC9A1">
      <w:pPr>
        <w:pStyle w:val="12"/>
        <w:pageBreakBefore w:val="0"/>
        <w:numPr>
          <w:ilvl w:val="4"/>
          <w:numId w:val="12"/>
        </w:numPr>
        <w:kinsoku/>
        <w:wordWrap/>
        <w:overflowPunct/>
        <w:topLinePunct w:val="0"/>
        <w:autoSpaceDE/>
        <w:autoSpaceDN/>
        <w:bidi w:val="0"/>
        <w:spacing w:line="360" w:lineRule="auto"/>
        <w:textAlignment w:val="auto"/>
      </w:pPr>
      <w:bookmarkStart w:id="341" w:name="_Toc926115560"/>
      <w:r>
        <w:rPr>
          <w:rFonts w:hint="eastAsia"/>
        </w:rPr>
        <w:t>项目保障体系</w:t>
      </w:r>
      <w:bookmarkEnd w:id="341"/>
    </w:p>
    <w:p w14:paraId="2CA98B23">
      <w:pPr>
        <w:pageBreakBefore w:val="0"/>
        <w:kinsoku/>
        <w:wordWrap/>
        <w:overflowPunct/>
        <w:topLinePunct w:val="0"/>
        <w:autoSpaceDE/>
        <w:autoSpaceDN/>
        <w:bidi w:val="0"/>
        <w:spacing w:line="360" w:lineRule="auto"/>
        <w:ind w:firstLine="420"/>
        <w:textAlignment w:val="auto"/>
      </w:pPr>
      <w:r>
        <w:rPr>
          <w:rFonts w:hint="eastAsia"/>
        </w:rPr>
        <w:t>项目保障体系是公司组织的质量监督小组，将会在项目运维过程中，深入到项目中，进行过程文档核查、问题记录，并进行技术支持人员进行技术考核。从而确保项目能够按照合同规定保质保量完成，进行整体的保障工作。</w:t>
      </w:r>
    </w:p>
    <w:p w14:paraId="36CFB95F">
      <w:pPr>
        <w:pageBreakBefore w:val="0"/>
        <w:kinsoku/>
        <w:wordWrap/>
        <w:overflowPunct/>
        <w:topLinePunct w:val="0"/>
        <w:autoSpaceDE/>
        <w:autoSpaceDN/>
        <w:bidi w:val="0"/>
        <w:spacing w:line="360" w:lineRule="auto"/>
        <w:textAlignment w:val="auto"/>
      </w:pPr>
    </w:p>
    <w:p w14:paraId="6E8DF267">
      <w:pPr>
        <w:pStyle w:val="9"/>
        <w:pageBreakBefore w:val="0"/>
        <w:numPr>
          <w:ilvl w:val="2"/>
          <w:numId w:val="12"/>
        </w:numPr>
        <w:tabs>
          <w:tab w:val="left" w:pos="0"/>
        </w:tabs>
        <w:kinsoku/>
        <w:wordWrap/>
        <w:overflowPunct/>
        <w:topLinePunct w:val="0"/>
        <w:autoSpaceDE/>
        <w:autoSpaceDN/>
        <w:bidi w:val="0"/>
        <w:spacing w:line="360" w:lineRule="auto"/>
        <w:textAlignment w:val="auto"/>
        <w:rPr>
          <w:sz w:val="24"/>
          <w:szCs w:val="24"/>
        </w:rPr>
      </w:pPr>
      <w:bookmarkStart w:id="342" w:name="_Toc1168824941"/>
      <w:bookmarkStart w:id="343" w:name="_Toc2138496240"/>
      <w:bookmarkStart w:id="344" w:name="_Toc30013"/>
      <w:bookmarkStart w:id="345" w:name="_Toc550126048"/>
      <w:bookmarkStart w:id="346" w:name="_Toc75165211"/>
      <w:r>
        <w:rPr>
          <w:rFonts w:hint="eastAsia"/>
          <w:sz w:val="24"/>
          <w:szCs w:val="24"/>
        </w:rPr>
        <w:t>项目实施管理方案</w:t>
      </w:r>
      <w:bookmarkEnd w:id="342"/>
      <w:bookmarkEnd w:id="343"/>
      <w:bookmarkEnd w:id="344"/>
      <w:bookmarkEnd w:id="345"/>
    </w:p>
    <w:bookmarkEnd w:id="346"/>
    <w:p w14:paraId="5BD449B3">
      <w:pPr>
        <w:pStyle w:val="10"/>
        <w:pageBreakBefore w:val="0"/>
        <w:numPr>
          <w:ilvl w:val="3"/>
          <w:numId w:val="12"/>
        </w:numPr>
        <w:kinsoku/>
        <w:wordWrap/>
        <w:overflowPunct/>
        <w:topLinePunct w:val="0"/>
        <w:autoSpaceDE/>
        <w:autoSpaceDN/>
        <w:bidi w:val="0"/>
        <w:spacing w:line="360" w:lineRule="auto"/>
        <w:ind w:left="425" w:firstLine="41" w:firstLineChars="17"/>
        <w:textAlignment w:val="auto"/>
      </w:pPr>
      <w:bookmarkStart w:id="347" w:name="_Toc2126861870"/>
      <w:bookmarkStart w:id="348" w:name="_Toc1740907170"/>
      <w:bookmarkStart w:id="349" w:name="_Toc19178"/>
      <w:bookmarkStart w:id="350" w:name="_Toc72745680"/>
      <w:bookmarkStart w:id="351" w:name="_Ref44702463"/>
      <w:bookmarkStart w:id="352" w:name="_Ref44702449"/>
      <w:bookmarkStart w:id="353" w:name="_Toc13549"/>
      <w:bookmarkStart w:id="354" w:name="_Toc39168827"/>
      <w:bookmarkStart w:id="355" w:name="_Toc5457"/>
      <w:bookmarkStart w:id="356" w:name="_Ref44701908"/>
      <w:bookmarkStart w:id="357" w:name="_Toc72745684"/>
      <w:bookmarkStart w:id="358" w:name="_Toc514593133"/>
      <w:bookmarkStart w:id="359" w:name="_Ref44701912"/>
      <w:bookmarkStart w:id="360" w:name="_Toc43206764"/>
      <w:bookmarkStart w:id="361" w:name="_Toc40165632"/>
      <w:bookmarkStart w:id="362" w:name="_Ref55130706"/>
      <w:bookmarkStart w:id="363" w:name="_Toc39169359"/>
      <w:bookmarkStart w:id="364" w:name="_Toc39167265"/>
      <w:r>
        <w:rPr>
          <w:rFonts w:hint="eastAsia"/>
        </w:rPr>
        <w:t>项目实施方法</w:t>
      </w:r>
      <w:bookmarkEnd w:id="347"/>
      <w:bookmarkEnd w:id="348"/>
    </w:p>
    <w:p w14:paraId="65039B40">
      <w:pPr>
        <w:pStyle w:val="12"/>
        <w:pageBreakBefore w:val="0"/>
        <w:numPr>
          <w:ilvl w:val="4"/>
          <w:numId w:val="12"/>
        </w:numPr>
        <w:kinsoku/>
        <w:wordWrap/>
        <w:overflowPunct/>
        <w:topLinePunct w:val="0"/>
        <w:autoSpaceDE/>
        <w:autoSpaceDN/>
        <w:bidi w:val="0"/>
        <w:spacing w:line="360" w:lineRule="auto"/>
        <w:textAlignment w:val="auto"/>
      </w:pPr>
      <w:bookmarkStart w:id="365" w:name="_Toc872166951"/>
      <w:r>
        <w:rPr>
          <w:rFonts w:hint="eastAsia"/>
        </w:rPr>
        <w:t>团队组织</w:t>
      </w:r>
      <w:bookmarkEnd w:id="365"/>
    </w:p>
    <w:p w14:paraId="33C17660">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（1）团队组件</w:t>
      </w:r>
    </w:p>
    <w:p w14:paraId="22358D0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0B73C5E0">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lang w:eastAsia="zh-CN"/>
        </w:rPr>
        <w:t>项目实施方</w:t>
      </w:r>
      <w:r>
        <w:rPr>
          <w:rFonts w:hint="eastAsia"/>
        </w:rPr>
        <w:t>项目组织一般在合同签约后组建，有的项目在招投标或商务阶段组建。</w:t>
      </w:r>
    </w:p>
    <w:p w14:paraId="64564EE9">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客户方项目组织由</w:t>
      </w:r>
      <w:r>
        <w:rPr>
          <w:rFonts w:hint="eastAsia"/>
          <w:lang w:eastAsia="zh-CN"/>
        </w:rPr>
        <w:t>项目实施方</w:t>
      </w:r>
      <w:r>
        <w:rPr>
          <w:rFonts w:hint="eastAsia"/>
        </w:rPr>
        <w:t>项目经理在首次访谈前提出项目组成员要求，在首次访谈中或访谈后由</w:t>
      </w:r>
      <w:r>
        <w:rPr>
          <w:rFonts w:hint="eastAsia"/>
          <w:lang w:eastAsia="zh-CN"/>
        </w:rPr>
        <w:t>项目实施方</w:t>
      </w:r>
      <w:r>
        <w:rPr>
          <w:rFonts w:hint="eastAsia"/>
        </w:rPr>
        <w:t>项目经理指导客户方成立。</w:t>
      </w:r>
    </w:p>
    <w:p w14:paraId="4265415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777996E2">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lang w:eastAsia="zh-CN"/>
        </w:rPr>
        <w:t>项目实施方</w:t>
      </w:r>
      <w:r>
        <w:rPr>
          <w:rFonts w:hint="eastAsia"/>
        </w:rPr>
        <w:t xml:space="preserve">组建一支合适的项目实施团队，并建立与客户的联系。 </w:t>
      </w:r>
    </w:p>
    <w:p w14:paraId="3B3A967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指导客户方成立一个恰当的、有利于项目推进的项目实施小组。 </w:t>
      </w:r>
    </w:p>
    <w:p w14:paraId="61A21178">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明确项目的负责人和责任人，有效地推进后期工作的开展，避免出现无人决策、无人承担责任的混乱局面。</w:t>
      </w:r>
    </w:p>
    <w:p w14:paraId="10BC7E96">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建立完善的汇报沟通机制，使项目有序稳健的展开。 </w:t>
      </w:r>
    </w:p>
    <w:p w14:paraId="6E6E78FD">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工作指南</w:t>
      </w:r>
    </w:p>
    <w:tbl>
      <w:tblPr>
        <w:tblStyle w:val="43"/>
        <w:tblW w:w="86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9"/>
        <w:gridCol w:w="3760"/>
        <w:gridCol w:w="1744"/>
        <w:gridCol w:w="1100"/>
        <w:gridCol w:w="1092"/>
      </w:tblGrid>
      <w:tr w14:paraId="7520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2" w:hRule="atLeast"/>
          <w:jc w:val="center"/>
        </w:trPr>
        <w:tc>
          <w:tcPr>
            <w:tcW w:w="929" w:type="dxa"/>
            <w:shd w:val="clear" w:color="auto" w:fill="D9D9D9"/>
            <w:tcMar>
              <w:top w:w="0" w:type="dxa"/>
              <w:left w:w="108" w:type="dxa"/>
              <w:bottom w:w="0" w:type="dxa"/>
              <w:right w:w="108" w:type="dxa"/>
            </w:tcMar>
            <w:vAlign w:val="center"/>
          </w:tcPr>
          <w:p w14:paraId="7177926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工作任务</w:t>
            </w:r>
          </w:p>
        </w:tc>
        <w:tc>
          <w:tcPr>
            <w:tcW w:w="3758" w:type="dxa"/>
            <w:shd w:val="clear" w:color="auto" w:fill="D9D9D9"/>
            <w:tcMar>
              <w:top w:w="0" w:type="dxa"/>
              <w:left w:w="108" w:type="dxa"/>
              <w:bottom w:w="0" w:type="dxa"/>
              <w:right w:w="108" w:type="dxa"/>
            </w:tcMar>
            <w:vAlign w:val="center"/>
          </w:tcPr>
          <w:p w14:paraId="3B450BCF">
            <w:pPr>
              <w:pageBreakBefore w:val="0"/>
              <w:widowControl/>
              <w:kinsoku/>
              <w:wordWrap/>
              <w:overflowPunct/>
              <w:topLinePunct w:val="0"/>
              <w:autoSpaceDE/>
              <w:autoSpaceDN/>
              <w:bidi w:val="0"/>
              <w:spacing w:before="100" w:beforeAutospacing="1" w:after="100" w:afterAutospacing="1" w:line="360" w:lineRule="auto"/>
              <w:ind w:firstLine="422"/>
              <w:jc w:val="center"/>
              <w:textAlignment w:val="auto"/>
              <w:rPr>
                <w:rFonts w:cs="宋体"/>
                <w:color w:val="010000"/>
                <w:kern w:val="0"/>
              </w:rPr>
            </w:pPr>
            <w:r>
              <w:rPr>
                <w:rFonts w:hint="eastAsia" w:cs="宋体"/>
                <w:b/>
                <w:bCs/>
                <w:color w:val="010000"/>
                <w:kern w:val="0"/>
              </w:rPr>
              <w:t>工作规范</w:t>
            </w:r>
          </w:p>
        </w:tc>
        <w:tc>
          <w:tcPr>
            <w:tcW w:w="1743" w:type="dxa"/>
            <w:shd w:val="clear" w:color="auto" w:fill="D9D9D9"/>
            <w:tcMar>
              <w:top w:w="0" w:type="dxa"/>
              <w:left w:w="108" w:type="dxa"/>
              <w:bottom w:w="0" w:type="dxa"/>
              <w:right w:w="108" w:type="dxa"/>
            </w:tcMar>
            <w:vAlign w:val="center"/>
          </w:tcPr>
          <w:p w14:paraId="3AB696B0">
            <w:pPr>
              <w:pageBreakBefore w:val="0"/>
              <w:widowControl/>
              <w:kinsoku/>
              <w:wordWrap/>
              <w:overflowPunct/>
              <w:topLinePunct w:val="0"/>
              <w:autoSpaceDE/>
              <w:autoSpaceDN/>
              <w:bidi w:val="0"/>
              <w:spacing w:before="100" w:beforeAutospacing="1" w:after="100" w:afterAutospacing="1" w:line="360" w:lineRule="auto"/>
              <w:ind w:firstLine="241" w:firstLineChars="100"/>
              <w:textAlignment w:val="auto"/>
              <w:rPr>
                <w:rFonts w:cs="宋体"/>
                <w:color w:val="010000"/>
                <w:kern w:val="0"/>
              </w:rPr>
            </w:pPr>
            <w:r>
              <w:rPr>
                <w:rFonts w:hint="eastAsia" w:cs="宋体"/>
                <w:b/>
                <w:bCs/>
                <w:color w:val="010000"/>
                <w:kern w:val="0"/>
              </w:rPr>
              <w:t>实施方职责</w:t>
            </w:r>
          </w:p>
        </w:tc>
        <w:tc>
          <w:tcPr>
            <w:tcW w:w="1099" w:type="dxa"/>
            <w:shd w:val="clear" w:color="auto" w:fill="D9D9D9"/>
            <w:tcMar>
              <w:top w:w="0" w:type="dxa"/>
              <w:left w:w="108" w:type="dxa"/>
              <w:bottom w:w="0" w:type="dxa"/>
              <w:right w:w="108" w:type="dxa"/>
            </w:tcMar>
            <w:vAlign w:val="center"/>
          </w:tcPr>
          <w:p w14:paraId="6705A4D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客户方职责</w:t>
            </w:r>
          </w:p>
        </w:tc>
        <w:tc>
          <w:tcPr>
            <w:tcW w:w="1091" w:type="dxa"/>
            <w:shd w:val="clear" w:color="auto" w:fill="D9D9D9"/>
            <w:tcMar>
              <w:top w:w="0" w:type="dxa"/>
              <w:left w:w="108" w:type="dxa"/>
              <w:bottom w:w="0" w:type="dxa"/>
              <w:right w:w="108" w:type="dxa"/>
            </w:tcMar>
            <w:vAlign w:val="center"/>
          </w:tcPr>
          <w:p w14:paraId="3A8A7EC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交付成果</w:t>
            </w:r>
          </w:p>
        </w:tc>
      </w:tr>
      <w:tr w14:paraId="6F750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99" w:hRule="atLeast"/>
          <w:jc w:val="center"/>
        </w:trPr>
        <w:tc>
          <w:tcPr>
            <w:tcW w:w="929" w:type="dxa"/>
            <w:tcMar>
              <w:top w:w="0" w:type="dxa"/>
              <w:left w:w="108" w:type="dxa"/>
              <w:bottom w:w="0" w:type="dxa"/>
              <w:right w:w="108" w:type="dxa"/>
            </w:tcMar>
            <w:vAlign w:val="center"/>
          </w:tcPr>
          <w:p w14:paraId="5EFEC00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组建</w:t>
            </w:r>
            <w:r>
              <w:rPr>
                <w:rFonts w:hint="eastAsia" w:cs="宋体"/>
                <w:color w:val="010000"/>
                <w:kern w:val="0"/>
                <w:lang w:eastAsia="zh-CN"/>
              </w:rPr>
              <w:t>实施</w:t>
            </w:r>
            <w:r>
              <w:rPr>
                <w:rFonts w:hint="eastAsia" w:cs="宋体"/>
                <w:color w:val="010000"/>
                <w:kern w:val="0"/>
              </w:rPr>
              <w:t>方团队</w:t>
            </w:r>
          </w:p>
        </w:tc>
        <w:tc>
          <w:tcPr>
            <w:tcW w:w="3758" w:type="dxa"/>
            <w:tcMar>
              <w:top w:w="0" w:type="dxa"/>
              <w:left w:w="108" w:type="dxa"/>
              <w:bottom w:w="0" w:type="dxa"/>
              <w:right w:w="108" w:type="dxa"/>
            </w:tcMar>
            <w:vAlign w:val="center"/>
          </w:tcPr>
          <w:p w14:paraId="0F699E5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项目经理依据项目范围、深度，提出项目组成人员或成员角色的建议及职责；主管领导与相关部门沟通后，确定项目组成员。</w:t>
            </w:r>
          </w:p>
        </w:tc>
        <w:tc>
          <w:tcPr>
            <w:tcW w:w="1743" w:type="dxa"/>
            <w:tcMar>
              <w:top w:w="0" w:type="dxa"/>
              <w:left w:w="108" w:type="dxa"/>
              <w:bottom w:w="0" w:type="dxa"/>
              <w:right w:w="108" w:type="dxa"/>
            </w:tcMar>
            <w:vAlign w:val="center"/>
          </w:tcPr>
          <w:p w14:paraId="79D6EFC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确定项目总监、项目经理、项目组成员；</w:t>
            </w:r>
          </w:p>
          <w:p w14:paraId="05D405E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公司发文形成项目任命书。</w:t>
            </w:r>
          </w:p>
        </w:tc>
        <w:tc>
          <w:tcPr>
            <w:tcW w:w="1099" w:type="dxa"/>
            <w:tcMar>
              <w:top w:w="0" w:type="dxa"/>
              <w:left w:w="108" w:type="dxa"/>
              <w:bottom w:w="0" w:type="dxa"/>
              <w:right w:w="108" w:type="dxa"/>
            </w:tcMar>
            <w:vAlign w:val="center"/>
          </w:tcPr>
          <w:p w14:paraId="6B9076FF">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 </w:t>
            </w:r>
          </w:p>
        </w:tc>
        <w:tc>
          <w:tcPr>
            <w:tcW w:w="1091" w:type="dxa"/>
            <w:tcMar>
              <w:top w:w="0" w:type="dxa"/>
              <w:left w:w="108" w:type="dxa"/>
              <w:bottom w:w="0" w:type="dxa"/>
              <w:right w:w="108" w:type="dxa"/>
            </w:tcMar>
            <w:vAlign w:val="center"/>
          </w:tcPr>
          <w:p w14:paraId="5BA72CA5">
            <w:pPr>
              <w:pageBreakBefore w:val="0"/>
              <w:widowControl/>
              <w:kinsoku/>
              <w:wordWrap/>
              <w:overflowPunct/>
              <w:topLinePunct w:val="0"/>
              <w:autoSpaceDE/>
              <w:autoSpaceDN/>
              <w:bidi w:val="0"/>
              <w:spacing w:before="100" w:beforeAutospacing="1" w:after="100" w:afterAutospacing="1" w:line="360" w:lineRule="auto"/>
              <w:ind w:right="-107"/>
              <w:textAlignment w:val="auto"/>
              <w:rPr>
                <w:rFonts w:cs="宋体"/>
                <w:color w:val="010000"/>
                <w:kern w:val="0"/>
              </w:rPr>
            </w:pPr>
            <w:r>
              <w:rPr>
                <w:rFonts w:hint="eastAsia" w:cs="宋体"/>
                <w:color w:val="010000"/>
                <w:kern w:val="0"/>
              </w:rPr>
              <w:t>项目组织与岗位职责</w:t>
            </w:r>
          </w:p>
          <w:p w14:paraId="6F855862">
            <w:pPr>
              <w:pageBreakBefore w:val="0"/>
              <w:widowControl/>
              <w:kinsoku/>
              <w:wordWrap/>
              <w:overflowPunct/>
              <w:topLinePunct w:val="0"/>
              <w:autoSpaceDE/>
              <w:autoSpaceDN/>
              <w:bidi w:val="0"/>
              <w:spacing w:before="100" w:beforeAutospacing="1" w:after="100" w:afterAutospacing="1" w:line="360" w:lineRule="auto"/>
              <w:ind w:right="-107"/>
              <w:textAlignment w:val="auto"/>
              <w:rPr>
                <w:rFonts w:cs="宋体"/>
                <w:color w:val="010000"/>
                <w:kern w:val="0"/>
              </w:rPr>
            </w:pPr>
            <w:r>
              <w:rPr>
                <w:rFonts w:hint="eastAsia" w:cs="宋体"/>
                <w:color w:val="010000"/>
                <w:kern w:val="0"/>
              </w:rPr>
              <w:t>项目经理任命书</w:t>
            </w:r>
          </w:p>
        </w:tc>
      </w:tr>
      <w:tr w14:paraId="41D5A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29" w:type="dxa"/>
            <w:tcMar>
              <w:top w:w="0" w:type="dxa"/>
              <w:left w:w="108" w:type="dxa"/>
              <w:bottom w:w="0" w:type="dxa"/>
              <w:right w:w="108" w:type="dxa"/>
            </w:tcMar>
            <w:vAlign w:val="center"/>
          </w:tcPr>
          <w:p w14:paraId="2D427EC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组建客户项目团队</w:t>
            </w:r>
          </w:p>
        </w:tc>
        <w:tc>
          <w:tcPr>
            <w:tcW w:w="3758" w:type="dxa"/>
            <w:tcMar>
              <w:top w:w="0" w:type="dxa"/>
              <w:left w:w="108" w:type="dxa"/>
              <w:bottom w:w="0" w:type="dxa"/>
              <w:right w:w="108" w:type="dxa"/>
            </w:tcMar>
            <w:vAlign w:val="center"/>
          </w:tcPr>
          <w:p w14:paraId="38EAB57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项目总监为客户的实权高层；</w:t>
            </w:r>
          </w:p>
          <w:p w14:paraId="605CCC51">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项目经理为客户高层信任且对企业业务非常了解，能协调企业内相关资源，全职参与项目；</w:t>
            </w:r>
          </w:p>
          <w:p w14:paraId="2B538AB0">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内部顾问能全职参与项目，学习能力强，对企业业务有一定了解；</w:t>
            </w:r>
          </w:p>
          <w:p w14:paraId="0E241F1C">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关键用户为固定项目组成员，是部门内的业务骨干，能70%工作时间参与项目，代表部门主管决策部门事务。</w:t>
            </w:r>
          </w:p>
        </w:tc>
        <w:tc>
          <w:tcPr>
            <w:tcW w:w="1743" w:type="dxa"/>
            <w:tcMar>
              <w:top w:w="0" w:type="dxa"/>
              <w:left w:w="108" w:type="dxa"/>
              <w:bottom w:w="0" w:type="dxa"/>
              <w:right w:w="108" w:type="dxa"/>
            </w:tcMar>
            <w:vAlign w:val="center"/>
          </w:tcPr>
          <w:p w14:paraId="2BEDEA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指导客户完成项目组建立。</w:t>
            </w:r>
          </w:p>
        </w:tc>
        <w:tc>
          <w:tcPr>
            <w:tcW w:w="1099" w:type="dxa"/>
            <w:tcMar>
              <w:top w:w="0" w:type="dxa"/>
              <w:left w:w="108" w:type="dxa"/>
              <w:bottom w:w="0" w:type="dxa"/>
              <w:right w:w="108" w:type="dxa"/>
            </w:tcMar>
            <w:vAlign w:val="center"/>
          </w:tcPr>
          <w:p w14:paraId="098A0EC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确定项目总监；</w:t>
            </w:r>
          </w:p>
          <w:p w14:paraId="27EF9B4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指定项目经理；</w:t>
            </w:r>
          </w:p>
          <w:p w14:paraId="1183B8B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确定内部顾问；</w:t>
            </w:r>
          </w:p>
          <w:p w14:paraId="37728F5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选择关键用户；</w:t>
            </w:r>
          </w:p>
          <w:p w14:paraId="105607F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确定IT技术人员。</w:t>
            </w:r>
          </w:p>
        </w:tc>
        <w:tc>
          <w:tcPr>
            <w:tcW w:w="1091" w:type="dxa"/>
            <w:tcMar>
              <w:top w:w="0" w:type="dxa"/>
              <w:left w:w="108" w:type="dxa"/>
              <w:bottom w:w="0" w:type="dxa"/>
              <w:right w:w="108" w:type="dxa"/>
            </w:tcMar>
            <w:vAlign w:val="center"/>
          </w:tcPr>
          <w:p w14:paraId="6E13F73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客户项目组织与岗位职责</w:t>
            </w:r>
          </w:p>
          <w:p w14:paraId="61B310C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客户项目经理任命书</w:t>
            </w:r>
          </w:p>
        </w:tc>
      </w:tr>
    </w:tbl>
    <w:p w14:paraId="5676940B">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（2）内部交接</w:t>
      </w:r>
    </w:p>
    <w:p w14:paraId="0604BAA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042CCAF9">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建议组建团队开始2天后开始，首次访谈前完成。</w:t>
      </w:r>
    </w:p>
    <w:p w14:paraId="4EADDEC5">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目标/价值 </w:t>
      </w:r>
    </w:p>
    <w:p w14:paraId="59A32050">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了解前期项目销售过程，对项目各项文档进行分析，掌握已承诺客户的实施目标、范围、计划、人员、付款方式等内容，分析项目存在的风险（如过度承诺等），为制定正确的实施策略和计划做准备，充分掌握项目背景情况。</w:t>
      </w:r>
    </w:p>
    <w:p w14:paraId="1E59C31F">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工作指南 </w:t>
      </w:r>
    </w:p>
    <w:tbl>
      <w:tblPr>
        <w:tblStyle w:val="43"/>
        <w:tblW w:w="8685"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1202"/>
        <w:gridCol w:w="3102"/>
        <w:gridCol w:w="1617"/>
        <w:gridCol w:w="1194"/>
        <w:gridCol w:w="1570"/>
      </w:tblGrid>
      <w:tr w14:paraId="50F6506C">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40" w:hRule="atLeast"/>
          <w:jc w:val="center"/>
        </w:trPr>
        <w:tc>
          <w:tcPr>
            <w:tcW w:w="1202"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1B22802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工作任务</w:t>
            </w:r>
          </w:p>
        </w:tc>
        <w:tc>
          <w:tcPr>
            <w:tcW w:w="310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4584800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工作规范</w:t>
            </w:r>
          </w:p>
        </w:tc>
        <w:tc>
          <w:tcPr>
            <w:tcW w:w="1616"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46C6C2F3">
            <w:pPr>
              <w:pageBreakBefore w:val="0"/>
              <w:widowControl/>
              <w:kinsoku/>
              <w:wordWrap/>
              <w:overflowPunct/>
              <w:topLinePunct w:val="0"/>
              <w:autoSpaceDE/>
              <w:autoSpaceDN/>
              <w:bidi w:val="0"/>
              <w:spacing w:before="100" w:beforeAutospacing="1" w:after="100" w:afterAutospacing="1" w:line="360" w:lineRule="auto"/>
              <w:textAlignment w:val="auto"/>
              <w:rPr>
                <w:rFonts w:hint="eastAsia" w:eastAsia="宋体" w:cs="宋体"/>
                <w:color w:val="010000"/>
                <w:kern w:val="0"/>
                <w:lang w:eastAsia="zh-CN"/>
              </w:rPr>
            </w:pPr>
            <w:r>
              <w:rPr>
                <w:rFonts w:hint="eastAsia" w:cs="宋体"/>
                <w:b/>
                <w:bCs/>
                <w:color w:val="010000"/>
                <w:kern w:val="0"/>
                <w:lang w:eastAsia="zh-CN"/>
              </w:rPr>
              <w:t>实施方职责</w:t>
            </w:r>
          </w:p>
        </w:tc>
        <w:tc>
          <w:tcPr>
            <w:tcW w:w="1193"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3538DEC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客户方职责</w:t>
            </w:r>
          </w:p>
        </w:tc>
        <w:tc>
          <w:tcPr>
            <w:tcW w:w="1569"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6FBA44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交付成果</w:t>
            </w:r>
          </w:p>
        </w:tc>
      </w:tr>
      <w:tr w14:paraId="584B7D01">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jc w:val="center"/>
        </w:trPr>
        <w:tc>
          <w:tcPr>
            <w:tcW w:w="1202"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53B405D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售前交接</w:t>
            </w:r>
          </w:p>
        </w:tc>
        <w:tc>
          <w:tcPr>
            <w:tcW w:w="3100" w:type="dxa"/>
            <w:tcBorders>
              <w:top w:val="nil"/>
              <w:left w:val="nil"/>
              <w:bottom w:val="single" w:color="auto" w:sz="8" w:space="0"/>
              <w:right w:val="single" w:color="auto" w:sz="8" w:space="0"/>
            </w:tcBorders>
            <w:tcMar>
              <w:top w:w="0" w:type="dxa"/>
              <w:left w:w="108" w:type="dxa"/>
              <w:bottom w:w="0" w:type="dxa"/>
              <w:right w:w="108" w:type="dxa"/>
            </w:tcMar>
            <w:vAlign w:val="center"/>
          </w:tcPr>
          <w:p w14:paraId="7AF08CC0">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项目所有相关文档，包括：招投标文件、售前方案、软件合同、实施合同、服务合同、补充合同、往来E-mail、拜访记录等；</w:t>
            </w:r>
          </w:p>
          <w:p w14:paraId="704F8B74">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了解实施范围（模块及业务功能，实施主体范围），售前过程中对客户的口头与书面承诺，客户关键需求与上线时间期望；</w:t>
            </w:r>
          </w:p>
          <w:p w14:paraId="69588406">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了解客户项目关系人状况。</w:t>
            </w:r>
          </w:p>
        </w:tc>
        <w:tc>
          <w:tcPr>
            <w:tcW w:w="1616" w:type="dxa"/>
            <w:tcBorders>
              <w:top w:val="nil"/>
              <w:left w:val="nil"/>
              <w:bottom w:val="single" w:color="auto" w:sz="8" w:space="0"/>
              <w:right w:val="single" w:color="auto" w:sz="8" w:space="0"/>
            </w:tcBorders>
            <w:tcMar>
              <w:top w:w="0" w:type="dxa"/>
              <w:left w:w="108" w:type="dxa"/>
              <w:bottom w:w="0" w:type="dxa"/>
              <w:right w:w="108" w:type="dxa"/>
            </w:tcMar>
            <w:vAlign w:val="center"/>
          </w:tcPr>
          <w:p w14:paraId="2DB4E6F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与销售、售前人员交接项目所有相关文档；</w:t>
            </w:r>
          </w:p>
          <w:p w14:paraId="1F608ED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掌握项目全部情况。</w:t>
            </w:r>
          </w:p>
        </w:tc>
        <w:tc>
          <w:tcPr>
            <w:tcW w:w="1193" w:type="dxa"/>
            <w:tcBorders>
              <w:top w:val="nil"/>
              <w:left w:val="nil"/>
              <w:bottom w:val="single" w:color="auto" w:sz="8" w:space="0"/>
              <w:right w:val="single" w:color="auto" w:sz="8" w:space="0"/>
            </w:tcBorders>
            <w:tcMar>
              <w:top w:w="0" w:type="dxa"/>
              <w:left w:w="108" w:type="dxa"/>
              <w:bottom w:w="0" w:type="dxa"/>
              <w:right w:w="108" w:type="dxa"/>
            </w:tcMar>
            <w:vAlign w:val="center"/>
          </w:tcPr>
          <w:p w14:paraId="25028C1D">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 </w:t>
            </w:r>
          </w:p>
        </w:tc>
        <w:tc>
          <w:tcPr>
            <w:tcW w:w="1569" w:type="dxa"/>
            <w:tcBorders>
              <w:top w:val="nil"/>
              <w:left w:val="nil"/>
              <w:bottom w:val="single" w:color="auto" w:sz="8" w:space="0"/>
              <w:right w:val="single" w:color="auto" w:sz="8" w:space="0"/>
            </w:tcBorders>
            <w:tcMar>
              <w:top w:w="0" w:type="dxa"/>
              <w:left w:w="108" w:type="dxa"/>
              <w:bottom w:w="0" w:type="dxa"/>
              <w:right w:w="108" w:type="dxa"/>
            </w:tcMar>
            <w:vAlign w:val="center"/>
          </w:tcPr>
          <w:p w14:paraId="522C90D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销售实施内部交接记录单及相关附件</w:t>
            </w:r>
          </w:p>
          <w:p w14:paraId="2DE2E8C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软件合同</w:t>
            </w:r>
          </w:p>
          <w:p w14:paraId="17691EF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实施服务主合同</w:t>
            </w:r>
          </w:p>
          <w:p w14:paraId="257F54B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实施服务工作任务书</w:t>
            </w:r>
          </w:p>
        </w:tc>
      </w:tr>
      <w:tr w14:paraId="16C8844D">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955" w:hRule="atLeast"/>
          <w:jc w:val="center"/>
        </w:trPr>
        <w:tc>
          <w:tcPr>
            <w:tcW w:w="1202"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03729E1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匹配需求</w:t>
            </w:r>
          </w:p>
        </w:tc>
        <w:tc>
          <w:tcPr>
            <w:tcW w:w="3100" w:type="dxa"/>
            <w:tcBorders>
              <w:top w:val="nil"/>
              <w:left w:val="nil"/>
              <w:bottom w:val="single" w:color="auto" w:sz="8" w:space="0"/>
              <w:right w:val="single" w:color="auto" w:sz="8" w:space="0"/>
            </w:tcBorders>
            <w:tcMar>
              <w:top w:w="0" w:type="dxa"/>
              <w:left w:w="108" w:type="dxa"/>
              <w:bottom w:w="0" w:type="dxa"/>
              <w:right w:w="108" w:type="dxa"/>
            </w:tcMar>
            <w:vAlign w:val="center"/>
          </w:tcPr>
          <w:p w14:paraId="3F70B1D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616" w:type="dxa"/>
            <w:tcBorders>
              <w:top w:val="nil"/>
              <w:left w:val="nil"/>
              <w:bottom w:val="single" w:color="auto" w:sz="8" w:space="0"/>
              <w:right w:val="single" w:color="auto" w:sz="8" w:space="0"/>
            </w:tcBorders>
            <w:tcMar>
              <w:top w:w="0" w:type="dxa"/>
              <w:left w:w="108" w:type="dxa"/>
              <w:bottom w:w="0" w:type="dxa"/>
              <w:right w:w="108" w:type="dxa"/>
            </w:tcMar>
            <w:vAlign w:val="center"/>
          </w:tcPr>
          <w:p w14:paraId="6EC0FEE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初步形成客户需求匹配度分析。</w:t>
            </w:r>
          </w:p>
        </w:tc>
        <w:tc>
          <w:tcPr>
            <w:tcW w:w="1193" w:type="dxa"/>
            <w:tcBorders>
              <w:top w:val="nil"/>
              <w:left w:val="nil"/>
              <w:bottom w:val="single" w:color="auto" w:sz="8" w:space="0"/>
              <w:right w:val="single" w:color="auto" w:sz="8" w:space="0"/>
            </w:tcBorders>
            <w:tcMar>
              <w:top w:w="0" w:type="dxa"/>
              <w:left w:w="108" w:type="dxa"/>
              <w:bottom w:w="0" w:type="dxa"/>
              <w:right w:w="108" w:type="dxa"/>
            </w:tcMar>
            <w:vAlign w:val="center"/>
          </w:tcPr>
          <w:p w14:paraId="3EA8C6C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569" w:type="dxa"/>
            <w:tcBorders>
              <w:top w:val="nil"/>
              <w:left w:val="nil"/>
              <w:bottom w:val="single" w:color="auto" w:sz="8" w:space="0"/>
              <w:right w:val="single" w:color="auto" w:sz="8" w:space="0"/>
            </w:tcBorders>
            <w:tcMar>
              <w:top w:w="0" w:type="dxa"/>
              <w:left w:w="108" w:type="dxa"/>
              <w:bottom w:w="0" w:type="dxa"/>
              <w:right w:w="108" w:type="dxa"/>
            </w:tcMar>
            <w:vAlign w:val="center"/>
          </w:tcPr>
          <w:p w14:paraId="47E9282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客户需求匹配度分析（可选）</w:t>
            </w:r>
          </w:p>
        </w:tc>
      </w:tr>
      <w:tr w14:paraId="7050C46B">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735" w:hRule="atLeast"/>
          <w:jc w:val="center"/>
        </w:trPr>
        <w:tc>
          <w:tcPr>
            <w:tcW w:w="1202"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36D581F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评估风险</w:t>
            </w:r>
          </w:p>
        </w:tc>
        <w:tc>
          <w:tcPr>
            <w:tcW w:w="3100" w:type="dxa"/>
            <w:tcBorders>
              <w:top w:val="nil"/>
              <w:left w:val="nil"/>
              <w:bottom w:val="single" w:color="auto" w:sz="8" w:space="0"/>
              <w:right w:val="single" w:color="auto" w:sz="8" w:space="0"/>
            </w:tcBorders>
            <w:tcMar>
              <w:top w:w="0" w:type="dxa"/>
              <w:left w:w="108" w:type="dxa"/>
              <w:bottom w:w="0" w:type="dxa"/>
              <w:right w:w="108" w:type="dxa"/>
            </w:tcMar>
            <w:vAlign w:val="center"/>
          </w:tcPr>
          <w:p w14:paraId="49A8BCB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根据模板，逐项分析项目风险。</w:t>
            </w:r>
          </w:p>
        </w:tc>
        <w:tc>
          <w:tcPr>
            <w:tcW w:w="1616" w:type="dxa"/>
            <w:tcBorders>
              <w:top w:val="nil"/>
              <w:left w:val="nil"/>
              <w:bottom w:val="single" w:color="auto" w:sz="8" w:space="0"/>
              <w:right w:val="single" w:color="auto" w:sz="8" w:space="0"/>
            </w:tcBorders>
            <w:tcMar>
              <w:top w:w="0" w:type="dxa"/>
              <w:left w:w="108" w:type="dxa"/>
              <w:bottom w:w="0" w:type="dxa"/>
              <w:right w:w="108" w:type="dxa"/>
            </w:tcMar>
            <w:vAlign w:val="center"/>
          </w:tcPr>
          <w:p w14:paraId="285FF94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完成项目风险评估报告、风险规避策略。</w:t>
            </w:r>
          </w:p>
        </w:tc>
        <w:tc>
          <w:tcPr>
            <w:tcW w:w="1193" w:type="dxa"/>
            <w:tcBorders>
              <w:top w:val="nil"/>
              <w:left w:val="nil"/>
              <w:bottom w:val="single" w:color="auto" w:sz="8" w:space="0"/>
              <w:right w:val="single" w:color="auto" w:sz="8" w:space="0"/>
            </w:tcBorders>
            <w:tcMar>
              <w:top w:w="0" w:type="dxa"/>
              <w:left w:w="108" w:type="dxa"/>
              <w:bottom w:w="0" w:type="dxa"/>
              <w:right w:w="108" w:type="dxa"/>
            </w:tcMar>
            <w:vAlign w:val="center"/>
          </w:tcPr>
          <w:p w14:paraId="1B5B376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569" w:type="dxa"/>
            <w:tcBorders>
              <w:top w:val="nil"/>
              <w:left w:val="nil"/>
              <w:bottom w:val="single" w:color="auto" w:sz="8" w:space="0"/>
              <w:right w:val="single" w:color="auto" w:sz="8" w:space="0"/>
            </w:tcBorders>
            <w:tcMar>
              <w:top w:w="0" w:type="dxa"/>
              <w:left w:w="108" w:type="dxa"/>
              <w:bottom w:w="0" w:type="dxa"/>
              <w:right w:w="108" w:type="dxa"/>
            </w:tcMar>
            <w:vAlign w:val="center"/>
          </w:tcPr>
          <w:p w14:paraId="0F23132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客户需求风险评估与预警报告（可选）</w:t>
            </w:r>
          </w:p>
        </w:tc>
      </w:tr>
      <w:tr w14:paraId="21BBD2B8">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735" w:hRule="atLeast"/>
          <w:jc w:val="center"/>
        </w:trPr>
        <w:tc>
          <w:tcPr>
            <w:tcW w:w="1202"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09F6C02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规划实施</w:t>
            </w:r>
          </w:p>
        </w:tc>
        <w:tc>
          <w:tcPr>
            <w:tcW w:w="3100" w:type="dxa"/>
            <w:tcBorders>
              <w:top w:val="nil"/>
              <w:left w:val="nil"/>
              <w:bottom w:val="single" w:color="auto" w:sz="8" w:space="0"/>
              <w:right w:val="single" w:color="auto" w:sz="8" w:space="0"/>
            </w:tcBorders>
            <w:tcMar>
              <w:top w:w="0" w:type="dxa"/>
              <w:left w:w="108" w:type="dxa"/>
              <w:bottom w:w="0" w:type="dxa"/>
              <w:right w:w="108" w:type="dxa"/>
            </w:tcMar>
            <w:vAlign w:val="center"/>
          </w:tcPr>
          <w:p w14:paraId="424C2A26">
            <w:pPr>
              <w:pageBreakBefore w:val="0"/>
              <w:widowControl/>
              <w:kinsoku/>
              <w:wordWrap/>
              <w:overflowPunct/>
              <w:topLinePunct w:val="0"/>
              <w:autoSpaceDE/>
              <w:autoSpaceDN/>
              <w:bidi w:val="0"/>
              <w:spacing w:before="120" w:after="120" w:line="360" w:lineRule="auto"/>
              <w:textAlignment w:val="auto"/>
              <w:rPr>
                <w:rFonts w:cs="宋体"/>
                <w:color w:val="010000"/>
                <w:kern w:val="0"/>
              </w:rPr>
            </w:pPr>
          </w:p>
        </w:tc>
        <w:tc>
          <w:tcPr>
            <w:tcW w:w="1616" w:type="dxa"/>
            <w:tcBorders>
              <w:top w:val="nil"/>
              <w:left w:val="nil"/>
              <w:bottom w:val="single" w:color="auto" w:sz="8" w:space="0"/>
              <w:right w:val="single" w:color="auto" w:sz="8" w:space="0"/>
            </w:tcBorders>
            <w:tcMar>
              <w:top w:w="0" w:type="dxa"/>
              <w:left w:w="108" w:type="dxa"/>
              <w:bottom w:w="0" w:type="dxa"/>
              <w:right w:w="108" w:type="dxa"/>
            </w:tcMar>
            <w:vAlign w:val="center"/>
          </w:tcPr>
          <w:p w14:paraId="7EA3D60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初步规划实施工作，粗拟实施策略与计划。</w:t>
            </w:r>
          </w:p>
        </w:tc>
        <w:tc>
          <w:tcPr>
            <w:tcW w:w="1193" w:type="dxa"/>
            <w:tcBorders>
              <w:top w:val="nil"/>
              <w:left w:val="nil"/>
              <w:bottom w:val="single" w:color="auto" w:sz="8" w:space="0"/>
              <w:right w:val="single" w:color="auto" w:sz="8" w:space="0"/>
            </w:tcBorders>
            <w:tcMar>
              <w:top w:w="0" w:type="dxa"/>
              <w:left w:w="108" w:type="dxa"/>
              <w:bottom w:w="0" w:type="dxa"/>
              <w:right w:w="108" w:type="dxa"/>
            </w:tcMar>
            <w:vAlign w:val="center"/>
          </w:tcPr>
          <w:p w14:paraId="584CD57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569" w:type="dxa"/>
            <w:tcBorders>
              <w:top w:val="nil"/>
              <w:left w:val="nil"/>
              <w:bottom w:val="single" w:color="auto" w:sz="8" w:space="0"/>
              <w:right w:val="single" w:color="auto" w:sz="8" w:space="0"/>
            </w:tcBorders>
            <w:tcMar>
              <w:top w:w="0" w:type="dxa"/>
              <w:left w:w="108" w:type="dxa"/>
              <w:bottom w:w="0" w:type="dxa"/>
              <w:right w:w="108" w:type="dxa"/>
            </w:tcMar>
            <w:vAlign w:val="center"/>
          </w:tcPr>
          <w:p w14:paraId="2C640815">
            <w:pPr>
              <w:pageBreakBefore w:val="0"/>
              <w:widowControl/>
              <w:kinsoku/>
              <w:wordWrap/>
              <w:overflowPunct/>
              <w:topLinePunct w:val="0"/>
              <w:autoSpaceDE/>
              <w:autoSpaceDN/>
              <w:bidi w:val="0"/>
              <w:spacing w:before="120" w:after="120" w:line="360" w:lineRule="auto"/>
              <w:textAlignment w:val="auto"/>
              <w:rPr>
                <w:rFonts w:cs="宋体"/>
                <w:color w:val="010000"/>
                <w:kern w:val="0"/>
              </w:rPr>
            </w:pPr>
          </w:p>
        </w:tc>
      </w:tr>
    </w:tbl>
    <w:p w14:paraId="373F4898">
      <w:pPr>
        <w:pageBreakBefore w:val="0"/>
        <w:widowControl/>
        <w:kinsoku/>
        <w:wordWrap/>
        <w:overflowPunct/>
        <w:topLinePunct w:val="0"/>
        <w:autoSpaceDE/>
        <w:autoSpaceDN/>
        <w:bidi w:val="0"/>
        <w:adjustRightInd w:val="0"/>
        <w:snapToGrid w:val="0"/>
        <w:spacing w:before="120" w:after="120" w:line="360" w:lineRule="auto"/>
        <w:ind w:firstLine="482" w:firstLineChars="200"/>
        <w:textAlignment w:val="auto"/>
        <w:rPr>
          <w:rFonts w:cs="宋体"/>
          <w:b/>
          <w:bCs/>
          <w:color w:val="010000"/>
          <w:kern w:val="0"/>
        </w:rPr>
      </w:pPr>
      <w:r>
        <w:rPr>
          <w:rFonts w:hint="eastAsia" w:cs="宋体"/>
          <w:b/>
          <w:bCs/>
          <w:color w:val="010000"/>
          <w:kern w:val="0"/>
        </w:rPr>
        <w:t>（3）首次访谈</w:t>
      </w:r>
    </w:p>
    <w:p w14:paraId="2623E217">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5B4C214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项目团队主要成员确定后进行，项目启动会前完成。</w:t>
      </w:r>
    </w:p>
    <w:p w14:paraId="38ED29A4">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  个别项目在商务合同签约前。 </w:t>
      </w:r>
    </w:p>
    <w:p w14:paraId="25B33D7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7622639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了解客户高层的思路，做好项目启动准备工作。</w:t>
      </w:r>
    </w:p>
    <w:p w14:paraId="3F079FCE">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定义实施工作方法、制度和工具。</w:t>
      </w:r>
    </w:p>
    <w:p w14:paraId="6289DB66">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工作指南 </w:t>
      </w:r>
    </w:p>
    <w:tbl>
      <w:tblPr>
        <w:tblStyle w:val="43"/>
        <w:tblW w:w="8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86"/>
        <w:gridCol w:w="3118"/>
        <w:gridCol w:w="2229"/>
        <w:gridCol w:w="1199"/>
        <w:gridCol w:w="1008"/>
      </w:tblGrid>
      <w:tr w14:paraId="740D3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786" w:type="dxa"/>
            <w:shd w:val="clear" w:color="auto" w:fill="D9D9D9"/>
            <w:tcMar>
              <w:top w:w="0" w:type="dxa"/>
              <w:left w:w="108" w:type="dxa"/>
              <w:bottom w:w="0" w:type="dxa"/>
              <w:right w:w="108" w:type="dxa"/>
            </w:tcMar>
            <w:vAlign w:val="center"/>
          </w:tcPr>
          <w:p w14:paraId="5A0BDEFB">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3118" w:type="dxa"/>
            <w:shd w:val="clear" w:color="auto" w:fill="D9D9D9"/>
            <w:tcMar>
              <w:top w:w="0" w:type="dxa"/>
              <w:left w:w="108" w:type="dxa"/>
              <w:bottom w:w="0" w:type="dxa"/>
              <w:right w:w="108" w:type="dxa"/>
            </w:tcMar>
            <w:vAlign w:val="center"/>
          </w:tcPr>
          <w:p w14:paraId="2DED4676">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2229" w:type="dxa"/>
            <w:shd w:val="clear" w:color="auto" w:fill="D9D9D9"/>
            <w:tcMar>
              <w:top w:w="0" w:type="dxa"/>
              <w:left w:w="108" w:type="dxa"/>
              <w:bottom w:w="0" w:type="dxa"/>
              <w:right w:w="108" w:type="dxa"/>
            </w:tcMar>
            <w:vAlign w:val="center"/>
          </w:tcPr>
          <w:p w14:paraId="74B8131F">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199" w:type="dxa"/>
            <w:shd w:val="clear" w:color="auto" w:fill="D9D9D9"/>
            <w:tcMar>
              <w:top w:w="0" w:type="dxa"/>
              <w:left w:w="108" w:type="dxa"/>
              <w:bottom w:w="0" w:type="dxa"/>
              <w:right w:w="108" w:type="dxa"/>
            </w:tcMar>
            <w:vAlign w:val="center"/>
          </w:tcPr>
          <w:p w14:paraId="22E64C57">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008" w:type="dxa"/>
            <w:shd w:val="clear" w:color="auto" w:fill="D9D9D9"/>
            <w:tcMar>
              <w:top w:w="0" w:type="dxa"/>
              <w:left w:w="108" w:type="dxa"/>
              <w:bottom w:w="0" w:type="dxa"/>
              <w:right w:w="108" w:type="dxa"/>
            </w:tcMar>
            <w:vAlign w:val="center"/>
          </w:tcPr>
          <w:p w14:paraId="0CE995C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6418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86" w:type="dxa"/>
            <w:tcMar>
              <w:top w:w="0" w:type="dxa"/>
              <w:left w:w="108" w:type="dxa"/>
              <w:bottom w:w="0" w:type="dxa"/>
              <w:right w:w="108" w:type="dxa"/>
            </w:tcMar>
            <w:vAlign w:val="center"/>
          </w:tcPr>
          <w:p w14:paraId="36D5C3A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首次拜访</w:t>
            </w:r>
          </w:p>
        </w:tc>
        <w:tc>
          <w:tcPr>
            <w:tcW w:w="3118" w:type="dxa"/>
            <w:tcMar>
              <w:top w:w="0" w:type="dxa"/>
              <w:left w:w="108" w:type="dxa"/>
              <w:bottom w:w="0" w:type="dxa"/>
              <w:right w:w="108" w:type="dxa"/>
            </w:tcMar>
            <w:vAlign w:val="center"/>
          </w:tcPr>
          <w:p w14:paraId="7187E695">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做好充分准备，约定与协调首次访谈事项；</w:t>
            </w:r>
          </w:p>
          <w:p w14:paraId="08786280">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 xml:space="preserve">明确企业高层在项目中的职责、任务； </w:t>
            </w:r>
          </w:p>
          <w:p w14:paraId="3F22AB99">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 xml:space="preserve">制定项目管理规范（组织结构，沟通计划，质量管理，问题管理，补丁管理，变更管理，风险管理，交付物管理，项目资源管理等）。 </w:t>
            </w:r>
          </w:p>
        </w:tc>
        <w:tc>
          <w:tcPr>
            <w:tcW w:w="2229" w:type="dxa"/>
            <w:tcMar>
              <w:top w:w="0" w:type="dxa"/>
              <w:left w:w="108" w:type="dxa"/>
              <w:bottom w:w="0" w:type="dxa"/>
              <w:right w:w="108" w:type="dxa"/>
            </w:tcMar>
            <w:vAlign w:val="center"/>
          </w:tcPr>
          <w:p w14:paraId="683CF27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与客户方项目经理沟通行业特点、实施范围、计划、里程碑计划、沟通机制与项目管理等内容；</w:t>
            </w:r>
          </w:p>
          <w:p w14:paraId="00A4D4B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与客户高层沟通，了解他们对项目的期望。</w:t>
            </w:r>
          </w:p>
        </w:tc>
        <w:tc>
          <w:tcPr>
            <w:tcW w:w="1199" w:type="dxa"/>
            <w:tcMar>
              <w:top w:w="0" w:type="dxa"/>
              <w:left w:w="108" w:type="dxa"/>
              <w:bottom w:w="0" w:type="dxa"/>
              <w:right w:w="108" w:type="dxa"/>
            </w:tcMar>
            <w:vAlign w:val="center"/>
          </w:tcPr>
          <w:p w14:paraId="578EF73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确保相关高层人员参与；</w:t>
            </w:r>
          </w:p>
          <w:p w14:paraId="58D79F3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阐述对项目的期望；</w:t>
            </w:r>
          </w:p>
          <w:p w14:paraId="073C8D5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确定项目沟通机制与项目管理建议。</w:t>
            </w:r>
          </w:p>
        </w:tc>
        <w:tc>
          <w:tcPr>
            <w:tcW w:w="1008" w:type="dxa"/>
            <w:tcMar>
              <w:top w:w="0" w:type="dxa"/>
              <w:left w:w="108" w:type="dxa"/>
              <w:bottom w:w="0" w:type="dxa"/>
              <w:right w:w="108" w:type="dxa"/>
            </w:tcMar>
            <w:vAlign w:val="center"/>
          </w:tcPr>
          <w:p w14:paraId="51679DE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项目实施备忘</w:t>
            </w:r>
          </w:p>
          <w:p w14:paraId="4097293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双方项目组成员通讯录</w:t>
            </w:r>
          </w:p>
          <w:p w14:paraId="12E1BD5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项目管理规范与指导手册</w:t>
            </w:r>
          </w:p>
          <w:p w14:paraId="2959320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首次访谈交流提纲（可选）</w:t>
            </w:r>
          </w:p>
        </w:tc>
      </w:tr>
      <w:tr w14:paraId="398EC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0" w:hRule="atLeast"/>
          <w:jc w:val="center"/>
        </w:trPr>
        <w:tc>
          <w:tcPr>
            <w:tcW w:w="786" w:type="dxa"/>
            <w:tcMar>
              <w:top w:w="0" w:type="dxa"/>
              <w:left w:w="108" w:type="dxa"/>
              <w:bottom w:w="0" w:type="dxa"/>
              <w:right w:w="108" w:type="dxa"/>
            </w:tcMar>
            <w:vAlign w:val="center"/>
          </w:tcPr>
          <w:p w14:paraId="63DB896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参观现场</w:t>
            </w:r>
          </w:p>
        </w:tc>
        <w:tc>
          <w:tcPr>
            <w:tcW w:w="3118" w:type="dxa"/>
            <w:tcMar>
              <w:top w:w="0" w:type="dxa"/>
              <w:left w:w="108" w:type="dxa"/>
              <w:bottom w:w="0" w:type="dxa"/>
              <w:right w:w="108" w:type="dxa"/>
            </w:tcMar>
            <w:vAlign w:val="center"/>
          </w:tcPr>
          <w:p w14:paraId="5C64AAC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建议先现场参观，获得直接感受，再与客户高层沟通，效果会更好。</w:t>
            </w:r>
          </w:p>
        </w:tc>
        <w:tc>
          <w:tcPr>
            <w:tcW w:w="2229" w:type="dxa"/>
            <w:tcMar>
              <w:top w:w="0" w:type="dxa"/>
              <w:left w:w="108" w:type="dxa"/>
              <w:bottom w:w="0" w:type="dxa"/>
              <w:right w:w="108" w:type="dxa"/>
            </w:tcMar>
            <w:vAlign w:val="center"/>
          </w:tcPr>
          <w:p w14:paraId="6832297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通过现场参观，初步熟悉客户现场环境，尤其是生产现场。</w:t>
            </w:r>
          </w:p>
        </w:tc>
        <w:tc>
          <w:tcPr>
            <w:tcW w:w="1199" w:type="dxa"/>
            <w:tcMar>
              <w:top w:w="0" w:type="dxa"/>
              <w:left w:w="108" w:type="dxa"/>
              <w:bottom w:w="0" w:type="dxa"/>
              <w:right w:w="108" w:type="dxa"/>
            </w:tcMar>
            <w:vAlign w:val="center"/>
          </w:tcPr>
          <w:p w14:paraId="29E3DC2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介绍企业现场环境。</w:t>
            </w:r>
          </w:p>
        </w:tc>
        <w:tc>
          <w:tcPr>
            <w:tcW w:w="1008" w:type="dxa"/>
            <w:tcMar>
              <w:top w:w="0" w:type="dxa"/>
              <w:left w:w="108" w:type="dxa"/>
              <w:bottom w:w="0" w:type="dxa"/>
              <w:right w:w="108" w:type="dxa"/>
            </w:tcMar>
            <w:vAlign w:val="center"/>
          </w:tcPr>
          <w:p w14:paraId="4551487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r>
    </w:tbl>
    <w:p w14:paraId="4C49B2C7">
      <w:pPr>
        <w:pageBreakBefore w:val="0"/>
        <w:kinsoku/>
        <w:wordWrap/>
        <w:overflowPunct/>
        <w:topLinePunct w:val="0"/>
        <w:autoSpaceDE/>
        <w:autoSpaceDN/>
        <w:bidi w:val="0"/>
        <w:spacing w:line="360" w:lineRule="auto"/>
        <w:textAlignment w:val="auto"/>
      </w:pPr>
    </w:p>
    <w:p w14:paraId="4625F465">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（4）实施策略与计划确认</w:t>
      </w:r>
    </w:p>
    <w:p w14:paraId="5D565DD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3EEFD9A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  建议与首次访谈同步进行，在首次访谈结束后、项目启动前，参考首次访谈后的结果确定实施策略和实施计划。 </w:t>
      </w:r>
    </w:p>
    <w:p w14:paraId="29073FC2">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0FF1AAB8">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双方项目经理明确实施目标，严格控制实施范围，协商实施策略，规划项目实施的过程，明确项目实施的具体计划。</w:t>
      </w:r>
    </w:p>
    <w:p w14:paraId="116180A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将实施策略与计划，作为项目实施的依据和基础，用于指导项目的实施。</w:t>
      </w:r>
    </w:p>
    <w:p w14:paraId="1281557D">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工作指南</w:t>
      </w:r>
    </w:p>
    <w:tbl>
      <w:tblPr>
        <w:tblStyle w:val="43"/>
        <w:tblW w:w="8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2"/>
        <w:gridCol w:w="2855"/>
        <w:gridCol w:w="1796"/>
        <w:gridCol w:w="1424"/>
        <w:gridCol w:w="1283"/>
      </w:tblGrid>
      <w:tr w14:paraId="6D1A2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9" w:hRule="atLeast"/>
          <w:jc w:val="center"/>
        </w:trPr>
        <w:tc>
          <w:tcPr>
            <w:tcW w:w="1102" w:type="dxa"/>
            <w:shd w:val="clear" w:color="auto" w:fill="D9D9D9"/>
            <w:tcMar>
              <w:top w:w="0" w:type="dxa"/>
              <w:left w:w="108" w:type="dxa"/>
              <w:bottom w:w="0" w:type="dxa"/>
              <w:right w:w="108" w:type="dxa"/>
            </w:tcMar>
            <w:vAlign w:val="center"/>
          </w:tcPr>
          <w:p w14:paraId="5B26681C">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855" w:type="dxa"/>
            <w:shd w:val="clear" w:color="auto" w:fill="D9D9D9"/>
            <w:tcMar>
              <w:top w:w="0" w:type="dxa"/>
              <w:left w:w="108" w:type="dxa"/>
              <w:bottom w:w="0" w:type="dxa"/>
              <w:right w:w="108" w:type="dxa"/>
            </w:tcMar>
            <w:vAlign w:val="center"/>
          </w:tcPr>
          <w:p w14:paraId="61E5FB59">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796" w:type="dxa"/>
            <w:shd w:val="clear" w:color="auto" w:fill="D9D9D9"/>
            <w:tcMar>
              <w:top w:w="0" w:type="dxa"/>
              <w:left w:w="108" w:type="dxa"/>
              <w:bottom w:w="0" w:type="dxa"/>
              <w:right w:w="108" w:type="dxa"/>
            </w:tcMar>
            <w:vAlign w:val="center"/>
          </w:tcPr>
          <w:p w14:paraId="3B969B7F">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424" w:type="dxa"/>
            <w:shd w:val="clear" w:color="auto" w:fill="D9D9D9"/>
            <w:tcMar>
              <w:top w:w="0" w:type="dxa"/>
              <w:left w:w="108" w:type="dxa"/>
              <w:bottom w:w="0" w:type="dxa"/>
              <w:right w:w="108" w:type="dxa"/>
            </w:tcMar>
            <w:vAlign w:val="center"/>
          </w:tcPr>
          <w:p w14:paraId="057C7FE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83" w:type="dxa"/>
            <w:shd w:val="clear" w:color="auto" w:fill="D9D9D9"/>
            <w:tcMar>
              <w:top w:w="0" w:type="dxa"/>
              <w:left w:w="108" w:type="dxa"/>
              <w:bottom w:w="0" w:type="dxa"/>
              <w:right w:w="108" w:type="dxa"/>
            </w:tcMar>
            <w:vAlign w:val="center"/>
          </w:tcPr>
          <w:p w14:paraId="0DFE8CA1">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A9B7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1102" w:type="dxa"/>
            <w:tcMar>
              <w:top w:w="0" w:type="dxa"/>
              <w:left w:w="108" w:type="dxa"/>
              <w:bottom w:w="0" w:type="dxa"/>
              <w:right w:w="108" w:type="dxa"/>
            </w:tcMar>
            <w:vAlign w:val="center"/>
          </w:tcPr>
          <w:p w14:paraId="28B6DDD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确定实施策略与主计划书</w:t>
            </w:r>
          </w:p>
        </w:tc>
        <w:tc>
          <w:tcPr>
            <w:tcW w:w="2855" w:type="dxa"/>
            <w:tcMar>
              <w:top w:w="0" w:type="dxa"/>
              <w:left w:w="108" w:type="dxa"/>
              <w:bottom w:w="0" w:type="dxa"/>
              <w:right w:w="108" w:type="dxa"/>
            </w:tcMar>
            <w:vAlign w:val="center"/>
          </w:tcPr>
          <w:p w14:paraId="355D61E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确认实施范围，主要包括公司组织范围、模块范围和软件应用范围；</w:t>
            </w:r>
          </w:p>
          <w:p w14:paraId="525D309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确认实施人天投入，如与合同发生差异，需提醒客户并修订风险评估报告；</w:t>
            </w:r>
          </w:p>
          <w:p w14:paraId="45AF71F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计划制定要留有余地，明确项目实施约束条件；</w:t>
            </w:r>
          </w:p>
          <w:p w14:paraId="4153752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主计划使用标准模板全程跟踪；</w:t>
            </w:r>
          </w:p>
          <w:p w14:paraId="4F3D4D5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项目整体计划打印出来悬挂在项目组办公室。</w:t>
            </w:r>
          </w:p>
        </w:tc>
        <w:tc>
          <w:tcPr>
            <w:tcW w:w="1796" w:type="dxa"/>
            <w:tcMar>
              <w:top w:w="0" w:type="dxa"/>
              <w:left w:w="108" w:type="dxa"/>
              <w:bottom w:w="0" w:type="dxa"/>
              <w:right w:w="108" w:type="dxa"/>
            </w:tcMar>
            <w:vAlign w:val="center"/>
          </w:tcPr>
          <w:p w14:paraId="617564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将项目实施的范围、目标、组织、验收标准、实施计划、实施策略、约束内容、预期风险与规避措施等，同客户进行约定；</w:t>
            </w:r>
          </w:p>
          <w:p w14:paraId="7FE0994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提出并签字确认项目实施主计划书。 </w:t>
            </w:r>
          </w:p>
        </w:tc>
        <w:tc>
          <w:tcPr>
            <w:tcW w:w="1424" w:type="dxa"/>
            <w:tcMar>
              <w:top w:w="0" w:type="dxa"/>
              <w:left w:w="108" w:type="dxa"/>
              <w:bottom w:w="0" w:type="dxa"/>
              <w:right w:w="108" w:type="dxa"/>
            </w:tcMar>
            <w:vAlign w:val="center"/>
          </w:tcPr>
          <w:p w14:paraId="3F792D1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考虑实际情况提出修改意见；</w:t>
            </w:r>
          </w:p>
          <w:p w14:paraId="3212043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签字确认项目实施主计划书。 </w:t>
            </w:r>
          </w:p>
        </w:tc>
        <w:tc>
          <w:tcPr>
            <w:tcW w:w="1283" w:type="dxa"/>
            <w:tcMar>
              <w:top w:w="0" w:type="dxa"/>
              <w:left w:w="108" w:type="dxa"/>
              <w:bottom w:w="0" w:type="dxa"/>
              <w:right w:w="108" w:type="dxa"/>
            </w:tcMar>
            <w:vAlign w:val="center"/>
          </w:tcPr>
          <w:p w14:paraId="273D5B9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项目实施主计划书</w:t>
            </w:r>
          </w:p>
          <w:p w14:paraId="2230CE9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项目实施计划（可选）</w:t>
            </w:r>
          </w:p>
          <w:p w14:paraId="75B1BCB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里程碑计划（可选） </w:t>
            </w:r>
          </w:p>
        </w:tc>
      </w:tr>
      <w:tr w14:paraId="2E8A5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42" w:hRule="atLeast"/>
          <w:jc w:val="center"/>
        </w:trPr>
        <w:tc>
          <w:tcPr>
            <w:tcW w:w="1102" w:type="dxa"/>
            <w:tcMar>
              <w:top w:w="0" w:type="dxa"/>
              <w:left w:w="108" w:type="dxa"/>
              <w:bottom w:w="0" w:type="dxa"/>
              <w:right w:w="108" w:type="dxa"/>
            </w:tcMar>
            <w:vAlign w:val="center"/>
          </w:tcPr>
          <w:p w14:paraId="064D70A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修订实施服务工作任务书</w:t>
            </w:r>
          </w:p>
        </w:tc>
        <w:tc>
          <w:tcPr>
            <w:tcW w:w="2855" w:type="dxa"/>
            <w:tcMar>
              <w:top w:w="0" w:type="dxa"/>
              <w:left w:w="108" w:type="dxa"/>
              <w:bottom w:w="0" w:type="dxa"/>
              <w:right w:w="108" w:type="dxa"/>
            </w:tcMar>
            <w:vAlign w:val="center"/>
          </w:tcPr>
          <w:p w14:paraId="3EF3913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若售前阶段的实施服务工作任务书不完善，需在本阶段修正；</w:t>
            </w:r>
          </w:p>
          <w:p w14:paraId="61FF3F7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里程碑节点计划，须得到双方评审通过。</w:t>
            </w:r>
          </w:p>
        </w:tc>
        <w:tc>
          <w:tcPr>
            <w:tcW w:w="1796" w:type="dxa"/>
            <w:tcMar>
              <w:top w:w="0" w:type="dxa"/>
              <w:left w:w="108" w:type="dxa"/>
              <w:bottom w:w="0" w:type="dxa"/>
              <w:right w:w="108" w:type="dxa"/>
            </w:tcMar>
            <w:vAlign w:val="center"/>
          </w:tcPr>
          <w:p w14:paraId="6911E5D6">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根据与各方沟通结果，完善实施服务工作任务书。</w:t>
            </w:r>
          </w:p>
        </w:tc>
        <w:tc>
          <w:tcPr>
            <w:tcW w:w="1424" w:type="dxa"/>
            <w:tcMar>
              <w:top w:w="0" w:type="dxa"/>
              <w:left w:w="108" w:type="dxa"/>
              <w:bottom w:w="0" w:type="dxa"/>
              <w:right w:w="108" w:type="dxa"/>
            </w:tcMar>
            <w:vAlign w:val="center"/>
          </w:tcPr>
          <w:p w14:paraId="12AFAB37">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沟通、确认实施服务工作任务书。</w:t>
            </w:r>
          </w:p>
        </w:tc>
        <w:tc>
          <w:tcPr>
            <w:tcW w:w="1283" w:type="dxa"/>
            <w:tcMar>
              <w:top w:w="0" w:type="dxa"/>
              <w:left w:w="108" w:type="dxa"/>
              <w:bottom w:w="0" w:type="dxa"/>
              <w:right w:w="108" w:type="dxa"/>
            </w:tcMar>
            <w:vAlign w:val="center"/>
          </w:tcPr>
          <w:p w14:paraId="4CE09BB1">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实施服务工作任务书</w:t>
            </w:r>
          </w:p>
        </w:tc>
      </w:tr>
      <w:tr w14:paraId="56885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02" w:type="dxa"/>
            <w:tcMar>
              <w:top w:w="0" w:type="dxa"/>
              <w:left w:w="108" w:type="dxa"/>
              <w:bottom w:w="0" w:type="dxa"/>
              <w:right w:w="108" w:type="dxa"/>
            </w:tcMar>
            <w:vAlign w:val="center"/>
          </w:tcPr>
          <w:p w14:paraId="2557B2A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制定项目人工成本与费用预算表</w:t>
            </w:r>
          </w:p>
        </w:tc>
        <w:tc>
          <w:tcPr>
            <w:tcW w:w="2855" w:type="dxa"/>
            <w:tcMar>
              <w:top w:w="0" w:type="dxa"/>
              <w:left w:w="108" w:type="dxa"/>
              <w:bottom w:w="0" w:type="dxa"/>
              <w:right w:w="108" w:type="dxa"/>
            </w:tcMar>
            <w:vAlign w:val="center"/>
          </w:tcPr>
          <w:p w14:paraId="32E4E91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针对项目实施主计划的工作安排和顾问往来客户处及在客户处的费用，做出人工成本及费用预算，并提交项目委员会评审。</w:t>
            </w:r>
          </w:p>
        </w:tc>
        <w:tc>
          <w:tcPr>
            <w:tcW w:w="1796" w:type="dxa"/>
            <w:tcMar>
              <w:top w:w="0" w:type="dxa"/>
              <w:left w:w="108" w:type="dxa"/>
              <w:bottom w:w="0" w:type="dxa"/>
              <w:right w:w="108" w:type="dxa"/>
            </w:tcMar>
            <w:vAlign w:val="center"/>
          </w:tcPr>
          <w:p w14:paraId="1D97F48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制定项目人工成本与预算表，作为控制后续实施成本的基础。</w:t>
            </w:r>
          </w:p>
        </w:tc>
        <w:tc>
          <w:tcPr>
            <w:tcW w:w="1424" w:type="dxa"/>
            <w:tcMar>
              <w:top w:w="0" w:type="dxa"/>
              <w:left w:w="108" w:type="dxa"/>
              <w:bottom w:w="0" w:type="dxa"/>
              <w:right w:w="108" w:type="dxa"/>
            </w:tcMar>
            <w:vAlign w:val="center"/>
          </w:tcPr>
          <w:p w14:paraId="2412029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283" w:type="dxa"/>
            <w:tcMar>
              <w:top w:w="0" w:type="dxa"/>
              <w:left w:w="108" w:type="dxa"/>
              <w:bottom w:w="0" w:type="dxa"/>
              <w:right w:w="108" w:type="dxa"/>
            </w:tcMar>
            <w:vAlign w:val="center"/>
          </w:tcPr>
          <w:p w14:paraId="204B872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项目人工成本与费用预算表</w:t>
            </w:r>
          </w:p>
        </w:tc>
      </w:tr>
    </w:tbl>
    <w:p w14:paraId="752497C9">
      <w:pPr>
        <w:pageBreakBefore w:val="0"/>
        <w:kinsoku/>
        <w:wordWrap/>
        <w:overflowPunct/>
        <w:topLinePunct w:val="0"/>
        <w:autoSpaceDE/>
        <w:autoSpaceDN/>
        <w:bidi w:val="0"/>
        <w:spacing w:line="360" w:lineRule="auto"/>
        <w:textAlignment w:val="auto"/>
      </w:pPr>
    </w:p>
    <w:p w14:paraId="7F4666D1">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（5）项目启动与宣贯</w:t>
      </w:r>
    </w:p>
    <w:p w14:paraId="75CDC83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0E934D6D">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建议在团队组建、实施策略与计划确认两项任务完成后开始。</w:t>
      </w:r>
    </w:p>
    <w:p w14:paraId="3F818D1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77B7E3B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让客户方领导表达信息化推动的决心，向项目经理和项目小组成员进行授权，调动员工的积极性，让客户方从上到下达成一种共识，为我们日后开展相关的工作扫除障碍。</w:t>
      </w:r>
    </w:p>
    <w:p w14:paraId="10B3B179">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向客户方全体项目组成员宣贯项目相关实施任务、计划、实施要求，让大家明确未来要做的工作，作好心理准备 。</w:t>
      </w:r>
    </w:p>
    <w:p w14:paraId="010284A8">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操作指南</w:t>
      </w:r>
    </w:p>
    <w:tbl>
      <w:tblPr>
        <w:tblStyle w:val="43"/>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03"/>
        <w:gridCol w:w="3080"/>
        <w:gridCol w:w="2014"/>
        <w:gridCol w:w="1422"/>
        <w:gridCol w:w="1201"/>
      </w:tblGrid>
      <w:tr w14:paraId="58582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4" w:hRule="atLeast"/>
          <w:jc w:val="center"/>
        </w:trPr>
        <w:tc>
          <w:tcPr>
            <w:tcW w:w="80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7A574346">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308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883582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2014"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F7154FA">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42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3C6824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01"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5ACE0A3">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7AF8F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37" w:hRule="atLeast"/>
          <w:jc w:val="center"/>
        </w:trPr>
        <w:tc>
          <w:tcPr>
            <w:tcW w:w="80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5B56AA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准备启动会</w:t>
            </w:r>
          </w:p>
        </w:tc>
        <w:tc>
          <w:tcPr>
            <w:tcW w:w="308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2F2E1C9">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客户方参与人员至少包括主要的中层以上管理人员；</w:t>
            </w:r>
          </w:p>
          <w:p w14:paraId="09D4EDA6">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启动之前的工作任务未完成前，不应匆忙召开，避免流于形式；</w:t>
            </w:r>
          </w:p>
          <w:p w14:paraId="10FCCE56">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 xml:space="preserve">启动会需事前演练，做到万无一失。 </w:t>
            </w:r>
          </w:p>
        </w:tc>
        <w:tc>
          <w:tcPr>
            <w:tcW w:w="201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7434CE1">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准备启动会讲稿；</w:t>
            </w:r>
          </w:p>
          <w:p w14:paraId="1C8E4BD7">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提出启动会参与人员范围；</w:t>
            </w:r>
          </w:p>
          <w:p w14:paraId="10177E4D">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 xml:space="preserve">协助客户完成启动会准备工作。 </w:t>
            </w:r>
          </w:p>
        </w:tc>
        <w:tc>
          <w:tcPr>
            <w:tcW w:w="142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0DE58DF">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确定启动会议程及准备事项；</w:t>
            </w:r>
          </w:p>
          <w:p w14:paraId="3C002EA5">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确定与会人员；</w:t>
            </w:r>
          </w:p>
          <w:p w14:paraId="320DAFCD">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 xml:space="preserve">主导完成启动会准备工作。 </w:t>
            </w:r>
          </w:p>
        </w:tc>
        <w:tc>
          <w:tcPr>
            <w:tcW w:w="120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CC2361B">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项目启动会会议议程及准备事项</w:t>
            </w:r>
          </w:p>
          <w:p w14:paraId="1B52421A">
            <w:pPr>
              <w:pageBreakBefore w:val="0"/>
              <w:widowControl/>
              <w:kinsoku/>
              <w:wordWrap/>
              <w:overflowPunct/>
              <w:topLinePunct w:val="0"/>
              <w:autoSpaceDE/>
              <w:autoSpaceDN/>
              <w:bidi w:val="0"/>
              <w:spacing w:before="100" w:beforeAutospacing="1" w:after="100" w:afterAutospacing="1" w:line="360" w:lineRule="auto"/>
              <w:ind w:firstLine="420"/>
              <w:textAlignment w:val="auto"/>
              <w:rPr>
                <w:rFonts w:cs="宋体"/>
                <w:color w:val="010000"/>
                <w:kern w:val="0"/>
              </w:rPr>
            </w:pPr>
            <w:r>
              <w:rPr>
                <w:rFonts w:hint="eastAsia" w:cs="宋体"/>
                <w:color w:val="010000"/>
                <w:kern w:val="0"/>
              </w:rPr>
              <w:t xml:space="preserve">项目启动会讲稿 </w:t>
            </w:r>
          </w:p>
        </w:tc>
      </w:tr>
      <w:tr w14:paraId="127C3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6" w:hRule="atLeast"/>
          <w:jc w:val="center"/>
        </w:trPr>
        <w:tc>
          <w:tcPr>
            <w:tcW w:w="80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67B2BF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召开启动会</w:t>
            </w:r>
          </w:p>
        </w:tc>
        <w:tc>
          <w:tcPr>
            <w:tcW w:w="308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A15C14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让客户了解实施过程、风险、双方职责等内容。</w:t>
            </w:r>
          </w:p>
          <w:p w14:paraId="7163AD4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客户高层领导发言表达信息化建设的必要性及决心。 </w:t>
            </w:r>
          </w:p>
        </w:tc>
        <w:tc>
          <w:tcPr>
            <w:tcW w:w="201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436AA3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介绍实施团队工作与职责，讲解实施计划、项目目标、范围、实施策略。</w:t>
            </w:r>
          </w:p>
        </w:tc>
        <w:tc>
          <w:tcPr>
            <w:tcW w:w="142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FC18CB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主持项目启动会；</w:t>
            </w:r>
          </w:p>
          <w:p w14:paraId="03BF314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主要实施主体主管领导发言；</w:t>
            </w:r>
          </w:p>
          <w:p w14:paraId="65A4AE2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签署承诺书；</w:t>
            </w:r>
          </w:p>
          <w:p w14:paraId="75AADF3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正式发布项目组织。 </w:t>
            </w:r>
          </w:p>
        </w:tc>
        <w:tc>
          <w:tcPr>
            <w:tcW w:w="120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B6F2DB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客户承诺书（可选）</w:t>
            </w:r>
          </w:p>
          <w:p w14:paraId="6BCCAD1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客户项目组织与岗位职责 </w:t>
            </w:r>
          </w:p>
        </w:tc>
      </w:tr>
      <w:tr w14:paraId="3B02F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4" w:hRule="atLeast"/>
          <w:jc w:val="center"/>
        </w:trPr>
        <w:tc>
          <w:tcPr>
            <w:tcW w:w="80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0A6021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宣贯项目管理规范</w:t>
            </w:r>
          </w:p>
        </w:tc>
        <w:tc>
          <w:tcPr>
            <w:tcW w:w="308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C3F998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通过培训，在</w:t>
            </w:r>
            <w:r>
              <w:rPr>
                <w:rFonts w:hint="eastAsia" w:cs="宋体"/>
                <w:color w:val="010000"/>
                <w:kern w:val="0"/>
                <w:lang w:eastAsia="zh-CN"/>
              </w:rPr>
              <w:t>项目实施方</w:t>
            </w:r>
            <w:r>
              <w:rPr>
                <w:rFonts w:hint="eastAsia" w:cs="宋体"/>
                <w:color w:val="010000"/>
                <w:kern w:val="0"/>
              </w:rPr>
              <w:t>和客户方之间，就项目实施方法和项目管理规范达成一致，并在后续的实施过程中严格遵守。</w:t>
            </w:r>
          </w:p>
        </w:tc>
        <w:tc>
          <w:tcPr>
            <w:tcW w:w="201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0AD0D8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向客户方培训实施方法论，以及项目管理规范。</w:t>
            </w:r>
          </w:p>
        </w:tc>
        <w:tc>
          <w:tcPr>
            <w:tcW w:w="142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082B0B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客户方项目干系人必须全体参加培训。</w:t>
            </w:r>
          </w:p>
        </w:tc>
        <w:tc>
          <w:tcPr>
            <w:tcW w:w="120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D18EC5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项目管理规范及指导手册</w:t>
            </w:r>
          </w:p>
          <w:p w14:paraId="02890DF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实施方法论</w:t>
            </w:r>
          </w:p>
          <w:p w14:paraId="1054CEC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项目管理规范培训包：</w:t>
            </w:r>
          </w:p>
          <w:p w14:paraId="24C5396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培训计划书</w:t>
            </w:r>
          </w:p>
          <w:p w14:paraId="67DC7E1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培训考勤记录</w:t>
            </w:r>
          </w:p>
        </w:tc>
      </w:tr>
    </w:tbl>
    <w:p w14:paraId="12127A23">
      <w:pPr>
        <w:pStyle w:val="12"/>
        <w:pageBreakBefore w:val="0"/>
        <w:numPr>
          <w:ilvl w:val="4"/>
          <w:numId w:val="12"/>
        </w:numPr>
        <w:kinsoku/>
        <w:wordWrap/>
        <w:overflowPunct/>
        <w:topLinePunct w:val="0"/>
        <w:autoSpaceDE/>
        <w:autoSpaceDN/>
        <w:bidi w:val="0"/>
        <w:spacing w:line="360" w:lineRule="auto"/>
        <w:textAlignment w:val="auto"/>
      </w:pPr>
      <w:bookmarkStart w:id="366" w:name="_Toc1351974330"/>
      <w:r>
        <w:rPr>
          <w:rFonts w:hint="eastAsia"/>
        </w:rPr>
        <w:t>业务需求方案</w:t>
      </w:r>
      <w:bookmarkEnd w:id="366"/>
    </w:p>
    <w:p w14:paraId="519E2394">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（1）运行环境规划与部署</w:t>
      </w:r>
    </w:p>
    <w:p w14:paraId="53AD9D78">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047794ED">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项目启动会结束后，马上进行，一定要确保用户培训和蓝图设计阶段的环境正常。</w:t>
      </w:r>
    </w:p>
    <w:p w14:paraId="68151E1B">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366A1C9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检查客户软硬件环境，根据技术方案，测试安装标准软件产品，培训客户方系统管理员，确保应用程序运行正常。</w:t>
      </w:r>
    </w:p>
    <w:p w14:paraId="6CF7A42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操作指南</w:t>
      </w:r>
    </w:p>
    <w:tbl>
      <w:tblPr>
        <w:tblStyle w:val="43"/>
        <w:tblW w:w="82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12"/>
        <w:gridCol w:w="2068"/>
        <w:gridCol w:w="1719"/>
        <w:gridCol w:w="1718"/>
        <w:gridCol w:w="1563"/>
      </w:tblGrid>
      <w:tr w14:paraId="756F5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1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58474457">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06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E690CB7">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719"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98C5B72">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1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D6C77E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56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224B2C1">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FB66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12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EA9529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调研IT现状</w:t>
            </w:r>
          </w:p>
        </w:tc>
        <w:tc>
          <w:tcPr>
            <w:tcW w:w="20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4C09A4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详细了解企业现有IT部署情况，包括硬件环境、网络环境、软件环境及已有系统等情况。</w:t>
            </w:r>
          </w:p>
        </w:tc>
        <w:tc>
          <w:tcPr>
            <w:tcW w:w="171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574360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调研企业IT部署现状。</w:t>
            </w:r>
          </w:p>
        </w:tc>
        <w:tc>
          <w:tcPr>
            <w:tcW w:w="1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739F55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提供企业IT部署现状；</w:t>
            </w:r>
          </w:p>
          <w:p w14:paraId="39627CC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提供未来系统应用范围。</w:t>
            </w:r>
          </w:p>
        </w:tc>
        <w:tc>
          <w:tcPr>
            <w:tcW w:w="15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CBB071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IT现状调研问卷（可选）</w:t>
            </w:r>
          </w:p>
        </w:tc>
      </w:tr>
      <w:tr w14:paraId="2E49B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43" w:hRule="atLeast"/>
          <w:jc w:val="center"/>
        </w:trPr>
        <w:tc>
          <w:tcPr>
            <w:tcW w:w="12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D72E87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规划IT方案</w:t>
            </w:r>
          </w:p>
        </w:tc>
        <w:tc>
          <w:tcPr>
            <w:tcW w:w="20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1262B4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根据企业现状以及未来系统应用范围提出IT规划方案，包括硬件环境、网络环境、软件环境。</w:t>
            </w:r>
          </w:p>
        </w:tc>
        <w:tc>
          <w:tcPr>
            <w:tcW w:w="171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031D00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提出系统应用IT规划方案。</w:t>
            </w:r>
          </w:p>
        </w:tc>
        <w:tc>
          <w:tcPr>
            <w:tcW w:w="1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7E5316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修改并确认IT规划方案；</w:t>
            </w:r>
          </w:p>
          <w:p w14:paraId="0B353CE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按照IT规划完成系统建设。</w:t>
            </w:r>
          </w:p>
        </w:tc>
        <w:tc>
          <w:tcPr>
            <w:tcW w:w="15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DB2593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实施解决方案-IT部署</w:t>
            </w:r>
          </w:p>
        </w:tc>
      </w:tr>
      <w:tr w14:paraId="770B4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6" w:hRule="atLeast"/>
          <w:jc w:val="center"/>
        </w:trPr>
        <w:tc>
          <w:tcPr>
            <w:tcW w:w="12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442BDB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安装系统</w:t>
            </w:r>
          </w:p>
        </w:tc>
        <w:tc>
          <w:tcPr>
            <w:tcW w:w="20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5774BD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客户接收到软件系统后需签字确认；</w:t>
            </w:r>
          </w:p>
          <w:p w14:paraId="0B1D2C0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完成系统安装部署后需客户签字确认；</w:t>
            </w:r>
          </w:p>
          <w:p w14:paraId="7FF2F41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系统之间做到隔离安装。 </w:t>
            </w:r>
          </w:p>
        </w:tc>
        <w:tc>
          <w:tcPr>
            <w:tcW w:w="171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4C8D53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提供软件系统；</w:t>
            </w:r>
          </w:p>
          <w:p w14:paraId="039544E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完成系统安装。</w:t>
            </w:r>
          </w:p>
        </w:tc>
        <w:tc>
          <w:tcPr>
            <w:tcW w:w="1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8DE626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接收软件系统；</w:t>
            </w:r>
          </w:p>
          <w:p w14:paraId="7FE4E95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协助完成系统部署工作。</w:t>
            </w:r>
          </w:p>
        </w:tc>
        <w:tc>
          <w:tcPr>
            <w:tcW w:w="15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20F5DC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软件产品接收确认单</w:t>
            </w:r>
          </w:p>
          <w:p w14:paraId="3B6ADA9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软件产品安装确认报告</w:t>
            </w:r>
          </w:p>
        </w:tc>
      </w:tr>
      <w:tr w14:paraId="080EA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8" w:hRule="atLeast"/>
          <w:jc w:val="center"/>
        </w:trPr>
        <w:tc>
          <w:tcPr>
            <w:tcW w:w="12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1D4FAB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培训与考核管理员</w:t>
            </w:r>
          </w:p>
        </w:tc>
        <w:tc>
          <w:tcPr>
            <w:tcW w:w="20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21BF14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管理员培训应注重培训结果，不能流于形式；</w:t>
            </w:r>
          </w:p>
          <w:p w14:paraId="3783DD4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培训后应能完成</w:t>
            </w:r>
            <w:r>
              <w:rPr>
                <w:rFonts w:hint="eastAsia" w:cs="宋体"/>
                <w:color w:val="010000"/>
                <w:kern w:val="0"/>
                <w:lang w:eastAsia="zh-CN"/>
              </w:rPr>
              <w:t>项目实施方</w:t>
            </w:r>
            <w:r>
              <w:rPr>
                <w:rFonts w:hint="eastAsia" w:cs="宋体"/>
                <w:color w:val="010000"/>
                <w:kern w:val="0"/>
              </w:rPr>
              <w:t xml:space="preserve">技术顾问与客户方系统管理员之间的交接工作。 </w:t>
            </w:r>
          </w:p>
        </w:tc>
        <w:tc>
          <w:tcPr>
            <w:tcW w:w="171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36675E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提供系统管理员操作维护培训，含系统安装、配置与维护；</w:t>
            </w:r>
          </w:p>
          <w:p w14:paraId="1A8E920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提供系统管理员考核试题和标准；</w:t>
            </w:r>
          </w:p>
          <w:p w14:paraId="13D5BF3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帮助企业建立系统运行管理制度。 </w:t>
            </w:r>
          </w:p>
        </w:tc>
        <w:tc>
          <w:tcPr>
            <w:tcW w:w="1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32E818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参与系统管理员培训并保证培训结果；</w:t>
            </w:r>
          </w:p>
          <w:p w14:paraId="6ED9025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编写操作手册；</w:t>
            </w:r>
          </w:p>
          <w:p w14:paraId="0175FFF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w:t>
            </w:r>
            <w:r>
              <w:rPr>
                <w:rFonts w:hint="eastAsia" w:cs="宋体"/>
                <w:color w:val="010000"/>
                <w:kern w:val="0"/>
                <w:lang w:eastAsia="zh-CN"/>
              </w:rPr>
              <w:t>项目实施方</w:t>
            </w:r>
            <w:r>
              <w:rPr>
                <w:rFonts w:hint="eastAsia" w:cs="宋体"/>
                <w:color w:val="010000"/>
                <w:kern w:val="0"/>
              </w:rPr>
              <w:t xml:space="preserve">建议，建立系统运行管理制度并执行。 </w:t>
            </w:r>
          </w:p>
        </w:tc>
        <w:tc>
          <w:tcPr>
            <w:tcW w:w="15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00D0D9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系统管理员操作手册</w:t>
            </w:r>
          </w:p>
          <w:p w14:paraId="0123014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系统管理员培训考试成绩记录单 </w:t>
            </w:r>
          </w:p>
        </w:tc>
      </w:tr>
    </w:tbl>
    <w:p w14:paraId="13094807">
      <w:pPr>
        <w:pageBreakBefore w:val="0"/>
        <w:kinsoku/>
        <w:wordWrap/>
        <w:overflowPunct/>
        <w:topLinePunct w:val="0"/>
        <w:autoSpaceDE/>
        <w:autoSpaceDN/>
        <w:bidi w:val="0"/>
        <w:spacing w:line="360" w:lineRule="auto"/>
        <w:textAlignment w:val="auto"/>
      </w:pPr>
    </w:p>
    <w:p w14:paraId="49E36C8E">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（2）标准培训</w:t>
      </w:r>
    </w:p>
    <w:p w14:paraId="3C3114D7">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5E302137">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标准培训需在启动会之后尽快安排，培训之前需要安排几天时间对企业整体情况做大概了解。</w:t>
      </w:r>
    </w:p>
    <w:p w14:paraId="23B60202">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269B85C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通过标准培训可以让客户尽快了解当前系统的产品功能，在培训中可以通过与客户的沟通了解客户的实际业务与标准产品的差异，在随后的调研中比较容易与客户进行沟通。</w:t>
      </w:r>
    </w:p>
    <w:p w14:paraId="4DAF528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工作原则：</w:t>
      </w:r>
    </w:p>
    <w:p w14:paraId="66763AD3">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培训过程分阶段（穿插在调研和方案阶段），分对象（中高层，关键用户）进行。</w:t>
      </w:r>
    </w:p>
    <w:p w14:paraId="2971BCDC">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采用培训与调研相结合的工作方式。</w:t>
      </w:r>
    </w:p>
    <w:p w14:paraId="50B9A17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操作指南 </w:t>
      </w:r>
    </w:p>
    <w:tbl>
      <w:tblPr>
        <w:tblStyle w:val="43"/>
        <w:tblW w:w="8595"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1352"/>
        <w:gridCol w:w="2237"/>
        <w:gridCol w:w="1766"/>
        <w:gridCol w:w="1619"/>
        <w:gridCol w:w="1621"/>
      </w:tblGrid>
      <w:tr w14:paraId="12820CDF">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473" w:hRule="atLeast"/>
          <w:jc w:val="center"/>
        </w:trPr>
        <w:tc>
          <w:tcPr>
            <w:tcW w:w="1353"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7E390818">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238"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DE81089">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767"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90329B5">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62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D9AC2C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622"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4A688A8">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4B92B5D5">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857" w:hRule="atLeast"/>
          <w:jc w:val="center"/>
        </w:trPr>
        <w:tc>
          <w:tcPr>
            <w:tcW w:w="1353"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02F3597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培训中高层系统基本理念</w:t>
            </w:r>
          </w:p>
        </w:tc>
        <w:tc>
          <w:tcPr>
            <w:tcW w:w="2238" w:type="dxa"/>
            <w:tcBorders>
              <w:top w:val="nil"/>
              <w:left w:val="nil"/>
              <w:bottom w:val="single" w:color="auto" w:sz="8" w:space="0"/>
              <w:right w:val="single" w:color="auto" w:sz="8" w:space="0"/>
            </w:tcBorders>
            <w:tcMar>
              <w:top w:w="0" w:type="dxa"/>
              <w:left w:w="108" w:type="dxa"/>
              <w:bottom w:w="0" w:type="dxa"/>
              <w:right w:w="108" w:type="dxa"/>
            </w:tcMar>
            <w:vAlign w:val="center"/>
          </w:tcPr>
          <w:p w14:paraId="7D4AC14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对中高层进行的理念培训中，要重点向企业灌输系统能为企业解决的问题，降低销售过程中客户的预期；</w:t>
            </w:r>
          </w:p>
          <w:p w14:paraId="0EB065F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收集项目的关键需求与改进目标。</w:t>
            </w:r>
          </w:p>
        </w:tc>
        <w:tc>
          <w:tcPr>
            <w:tcW w:w="1767" w:type="dxa"/>
            <w:tcBorders>
              <w:top w:val="nil"/>
              <w:left w:val="nil"/>
              <w:bottom w:val="single" w:color="auto" w:sz="8" w:space="0"/>
              <w:right w:val="single" w:color="auto" w:sz="8" w:space="0"/>
            </w:tcBorders>
            <w:tcMar>
              <w:top w:w="0" w:type="dxa"/>
              <w:left w:w="108" w:type="dxa"/>
              <w:bottom w:w="0" w:type="dxa"/>
              <w:right w:w="108" w:type="dxa"/>
            </w:tcMar>
            <w:vAlign w:val="center"/>
          </w:tcPr>
          <w:p w14:paraId="5BB4168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提供培训资料；</w:t>
            </w:r>
          </w:p>
          <w:p w14:paraId="303A886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进行系统理念培训。</w:t>
            </w:r>
          </w:p>
        </w:tc>
        <w:tc>
          <w:tcPr>
            <w:tcW w:w="1620" w:type="dxa"/>
            <w:tcBorders>
              <w:top w:val="nil"/>
              <w:left w:val="nil"/>
              <w:bottom w:val="single" w:color="auto" w:sz="8" w:space="0"/>
              <w:right w:val="single" w:color="auto" w:sz="8" w:space="0"/>
            </w:tcBorders>
            <w:tcMar>
              <w:top w:w="0" w:type="dxa"/>
              <w:left w:w="108" w:type="dxa"/>
              <w:bottom w:w="0" w:type="dxa"/>
              <w:right w:w="108" w:type="dxa"/>
            </w:tcMar>
            <w:vAlign w:val="center"/>
          </w:tcPr>
          <w:p w14:paraId="0CB75FC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发布培训计划；准备培训环境；确保中高层参与。</w:t>
            </w:r>
          </w:p>
        </w:tc>
        <w:tc>
          <w:tcPr>
            <w:tcW w:w="1622" w:type="dxa"/>
            <w:tcBorders>
              <w:top w:val="nil"/>
              <w:left w:val="nil"/>
              <w:bottom w:val="single" w:color="auto" w:sz="8" w:space="0"/>
              <w:right w:val="single" w:color="auto" w:sz="8" w:space="0"/>
            </w:tcBorders>
            <w:tcMar>
              <w:top w:w="0" w:type="dxa"/>
              <w:left w:w="108" w:type="dxa"/>
              <w:bottom w:w="0" w:type="dxa"/>
              <w:right w:w="108" w:type="dxa"/>
            </w:tcMar>
            <w:vAlign w:val="center"/>
          </w:tcPr>
          <w:p w14:paraId="04241D6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标准培训包：</w:t>
            </w:r>
          </w:p>
          <w:p w14:paraId="523C9DE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培训计划书；</w:t>
            </w:r>
          </w:p>
          <w:p w14:paraId="50124D8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培训考勤记录；</w:t>
            </w:r>
          </w:p>
        </w:tc>
      </w:tr>
      <w:tr w14:paraId="6C63AA8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319" w:hRule="atLeast"/>
          <w:jc w:val="center"/>
        </w:trPr>
        <w:tc>
          <w:tcPr>
            <w:tcW w:w="1353"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4F004B3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培训产品基本理念</w:t>
            </w:r>
          </w:p>
        </w:tc>
        <w:tc>
          <w:tcPr>
            <w:tcW w:w="2238" w:type="dxa"/>
            <w:tcBorders>
              <w:top w:val="nil"/>
              <w:left w:val="nil"/>
              <w:bottom w:val="single" w:color="auto" w:sz="8" w:space="0"/>
              <w:right w:val="single" w:color="auto" w:sz="8" w:space="0"/>
            </w:tcBorders>
            <w:tcMar>
              <w:top w:w="0" w:type="dxa"/>
              <w:left w:w="108" w:type="dxa"/>
              <w:bottom w:w="0" w:type="dxa"/>
              <w:right w:w="108" w:type="dxa"/>
            </w:tcMar>
            <w:vAlign w:val="center"/>
          </w:tcPr>
          <w:p w14:paraId="1B74368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按照发版的演示帐套内的资料，进行各业务线模拟示范；</w:t>
            </w:r>
          </w:p>
          <w:p w14:paraId="235C0EB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不能让客户陷入与自身业务流程的对照，避免立即给出解决方法，否则会造成客户对系统功能的疑问，阻碍后期实施工作的开展。 </w:t>
            </w:r>
          </w:p>
        </w:tc>
        <w:tc>
          <w:tcPr>
            <w:tcW w:w="1767" w:type="dxa"/>
            <w:tcBorders>
              <w:top w:val="nil"/>
              <w:left w:val="nil"/>
              <w:bottom w:val="single" w:color="auto" w:sz="8" w:space="0"/>
              <w:right w:val="single" w:color="auto" w:sz="8" w:space="0"/>
            </w:tcBorders>
            <w:tcMar>
              <w:top w:w="0" w:type="dxa"/>
              <w:left w:w="108" w:type="dxa"/>
              <w:bottom w:w="0" w:type="dxa"/>
              <w:right w:w="108" w:type="dxa"/>
            </w:tcMar>
            <w:vAlign w:val="center"/>
          </w:tcPr>
          <w:p w14:paraId="6B6F101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准备培训资料；</w:t>
            </w:r>
          </w:p>
          <w:p w14:paraId="0FB0AD3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进行标准功能演示培训。</w:t>
            </w:r>
          </w:p>
        </w:tc>
        <w:tc>
          <w:tcPr>
            <w:tcW w:w="1620" w:type="dxa"/>
            <w:tcBorders>
              <w:top w:val="nil"/>
              <w:left w:val="nil"/>
              <w:bottom w:val="single" w:color="auto" w:sz="8" w:space="0"/>
              <w:right w:val="single" w:color="auto" w:sz="8" w:space="0"/>
            </w:tcBorders>
            <w:tcMar>
              <w:top w:w="0" w:type="dxa"/>
              <w:left w:w="108" w:type="dxa"/>
              <w:bottom w:w="0" w:type="dxa"/>
              <w:right w:w="108" w:type="dxa"/>
            </w:tcMar>
            <w:vAlign w:val="center"/>
          </w:tcPr>
          <w:p w14:paraId="7E597D4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发布培训计划；</w:t>
            </w:r>
          </w:p>
          <w:p w14:paraId="5BECE93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保证培训环境；</w:t>
            </w:r>
          </w:p>
          <w:p w14:paraId="2539CFF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组织相关人员参与培训。</w:t>
            </w:r>
          </w:p>
        </w:tc>
        <w:tc>
          <w:tcPr>
            <w:tcW w:w="1622" w:type="dxa"/>
            <w:tcBorders>
              <w:top w:val="nil"/>
              <w:left w:val="nil"/>
              <w:bottom w:val="single" w:color="auto" w:sz="8" w:space="0"/>
              <w:right w:val="single" w:color="auto" w:sz="8" w:space="0"/>
            </w:tcBorders>
            <w:tcMar>
              <w:top w:w="0" w:type="dxa"/>
              <w:left w:w="108" w:type="dxa"/>
              <w:bottom w:w="0" w:type="dxa"/>
              <w:right w:w="108" w:type="dxa"/>
            </w:tcMar>
            <w:vAlign w:val="center"/>
          </w:tcPr>
          <w:p w14:paraId="7F1BE5C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标准培训包：</w:t>
            </w:r>
          </w:p>
          <w:p w14:paraId="2F7CCE2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培训计划书；</w:t>
            </w:r>
          </w:p>
          <w:p w14:paraId="4CC44BD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培训考勤记录；</w:t>
            </w:r>
          </w:p>
        </w:tc>
      </w:tr>
      <w:tr w14:paraId="292DDFBA">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099" w:hRule="atLeast"/>
          <w:jc w:val="center"/>
        </w:trPr>
        <w:tc>
          <w:tcPr>
            <w:tcW w:w="1353"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2B0624D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培训关键用户</w:t>
            </w:r>
          </w:p>
        </w:tc>
        <w:tc>
          <w:tcPr>
            <w:tcW w:w="2238" w:type="dxa"/>
            <w:tcBorders>
              <w:top w:val="nil"/>
              <w:left w:val="nil"/>
              <w:bottom w:val="single" w:color="auto" w:sz="8" w:space="0"/>
              <w:right w:val="single" w:color="auto" w:sz="8" w:space="0"/>
            </w:tcBorders>
            <w:tcMar>
              <w:top w:w="0" w:type="dxa"/>
              <w:left w:w="108" w:type="dxa"/>
              <w:bottom w:w="0" w:type="dxa"/>
              <w:right w:w="108" w:type="dxa"/>
            </w:tcMar>
            <w:vAlign w:val="center"/>
          </w:tcPr>
          <w:p w14:paraId="743EA90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对于集团型项目，建议采用多个组织集中培训模式；</w:t>
            </w:r>
          </w:p>
          <w:p w14:paraId="5942E69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向关键用户灌输产品思路，为后期蓝图设计打下基础；</w:t>
            </w:r>
          </w:p>
          <w:p w14:paraId="49241A7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通过产品的演示能发掘客户的潜在需求，及时收集更新调研结果。</w:t>
            </w:r>
          </w:p>
        </w:tc>
        <w:tc>
          <w:tcPr>
            <w:tcW w:w="1767" w:type="dxa"/>
            <w:tcBorders>
              <w:top w:val="nil"/>
              <w:left w:val="nil"/>
              <w:bottom w:val="single" w:color="auto" w:sz="8" w:space="0"/>
              <w:right w:val="single" w:color="auto" w:sz="8" w:space="0"/>
            </w:tcBorders>
            <w:tcMar>
              <w:top w:w="0" w:type="dxa"/>
              <w:left w:w="108" w:type="dxa"/>
              <w:bottom w:w="0" w:type="dxa"/>
              <w:right w:w="108" w:type="dxa"/>
            </w:tcMar>
            <w:vAlign w:val="center"/>
          </w:tcPr>
          <w:p w14:paraId="720724D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进行标准功能操作培训；</w:t>
            </w:r>
          </w:p>
          <w:p w14:paraId="3D39993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准备考核试题；</w:t>
            </w:r>
          </w:p>
          <w:p w14:paraId="59CA0DF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完成培训总结。 </w:t>
            </w:r>
          </w:p>
        </w:tc>
        <w:tc>
          <w:tcPr>
            <w:tcW w:w="1620" w:type="dxa"/>
            <w:tcBorders>
              <w:top w:val="nil"/>
              <w:left w:val="nil"/>
              <w:bottom w:val="single" w:color="auto" w:sz="8" w:space="0"/>
              <w:right w:val="single" w:color="auto" w:sz="8" w:space="0"/>
            </w:tcBorders>
            <w:tcMar>
              <w:top w:w="0" w:type="dxa"/>
              <w:left w:w="108" w:type="dxa"/>
              <w:bottom w:w="0" w:type="dxa"/>
              <w:right w:w="108" w:type="dxa"/>
            </w:tcMar>
            <w:vAlign w:val="center"/>
          </w:tcPr>
          <w:p w14:paraId="3961983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发布培训计划；</w:t>
            </w:r>
          </w:p>
          <w:p w14:paraId="6C5B2F6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准备培训环境；</w:t>
            </w:r>
          </w:p>
          <w:p w14:paraId="138091A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组织人员参加培训；</w:t>
            </w:r>
          </w:p>
          <w:p w14:paraId="6966DAE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组织培训人员参与考核。 </w:t>
            </w:r>
          </w:p>
        </w:tc>
        <w:tc>
          <w:tcPr>
            <w:tcW w:w="1622" w:type="dxa"/>
            <w:tcBorders>
              <w:top w:val="nil"/>
              <w:left w:val="nil"/>
              <w:bottom w:val="single" w:color="auto" w:sz="8" w:space="0"/>
              <w:right w:val="single" w:color="auto" w:sz="8" w:space="0"/>
            </w:tcBorders>
            <w:tcMar>
              <w:top w:w="0" w:type="dxa"/>
              <w:left w:w="108" w:type="dxa"/>
              <w:bottom w:w="0" w:type="dxa"/>
              <w:right w:w="108" w:type="dxa"/>
            </w:tcMar>
            <w:vAlign w:val="center"/>
          </w:tcPr>
          <w:p w14:paraId="609CCD7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标准培训包：</w:t>
            </w:r>
          </w:p>
          <w:p w14:paraId="138C2CC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培训计划书；</w:t>
            </w:r>
          </w:p>
          <w:p w14:paraId="0B0FFBF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培训考勤记录；</w:t>
            </w:r>
          </w:p>
          <w:p w14:paraId="1B07910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培训考试成绩记录单；</w:t>
            </w:r>
          </w:p>
          <w:p w14:paraId="24AA49D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培训总结报告；</w:t>
            </w:r>
          </w:p>
        </w:tc>
      </w:tr>
    </w:tbl>
    <w:p w14:paraId="230EBED2">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（3）调研与需求分析</w:t>
      </w:r>
    </w:p>
    <w:p w14:paraId="1E50BB55">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5FF59EBE">
      <w:pPr>
        <w:pageBreakBefore w:val="0"/>
        <w:widowControl/>
        <w:kinsoku/>
        <w:wordWrap/>
        <w:overflowPunct/>
        <w:topLinePunct w:val="0"/>
        <w:autoSpaceDE/>
        <w:autoSpaceDN/>
        <w:bidi w:val="0"/>
        <w:adjustRightInd w:val="0"/>
        <w:snapToGrid w:val="0"/>
        <w:spacing w:line="360" w:lineRule="auto"/>
        <w:ind w:firstLine="480" w:firstLineChars="200"/>
        <w:textAlignment w:val="auto"/>
        <w:rPr>
          <w:kern w:val="0"/>
        </w:rPr>
      </w:pPr>
      <w:r>
        <w:rPr>
          <w:rFonts w:hint="eastAsia"/>
          <w:kern w:val="0"/>
        </w:rPr>
        <w:t xml:space="preserve">与标准产品培训同步穿插进行。 </w:t>
      </w:r>
    </w:p>
    <w:p w14:paraId="7843E1F5">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2F0D975D">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咨询实施顾问对企业业务状况进行调研，重点把握现有的业务现状，以及关键用户或部门主管的未来的预期和想法。 </w:t>
      </w:r>
    </w:p>
    <w:p w14:paraId="72D83567">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对需求和问题进行深入分析，为下一步优化业务流程或制订解决方案提供基础。 </w:t>
      </w:r>
    </w:p>
    <w:p w14:paraId="3E8AC3FA">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b/>
          <w:bCs/>
          <w:color w:val="010000"/>
        </w:rPr>
      </w:pPr>
      <w:r>
        <w:rPr>
          <w:rFonts w:hint="eastAsia" w:cs="宋体"/>
          <w:color w:val="010000"/>
        </w:rPr>
        <w:t>操作指南</w:t>
      </w:r>
      <w:r>
        <w:rPr>
          <w:rFonts w:hint="eastAsia" w:cs="宋体"/>
          <w:b/>
          <w:bCs/>
          <w:color w:val="010000"/>
        </w:rPr>
        <w:t xml:space="preserve"> </w:t>
      </w:r>
    </w:p>
    <w:tbl>
      <w:tblPr>
        <w:tblStyle w:val="43"/>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7"/>
        <w:gridCol w:w="2249"/>
        <w:gridCol w:w="2258"/>
        <w:gridCol w:w="1619"/>
        <w:gridCol w:w="1362"/>
      </w:tblGrid>
      <w:tr w14:paraId="17914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0" w:hRule="atLeast"/>
          <w:jc w:val="center"/>
        </w:trPr>
        <w:tc>
          <w:tcPr>
            <w:tcW w:w="92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71A1405">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25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B41620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工作规范</w:t>
            </w:r>
          </w:p>
        </w:tc>
        <w:tc>
          <w:tcPr>
            <w:tcW w:w="2259"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E097190">
            <w:pPr>
              <w:pageBreakBefore w:val="0"/>
              <w:widowControl/>
              <w:kinsoku/>
              <w:wordWrap/>
              <w:overflowPunct/>
              <w:topLinePunct w:val="0"/>
              <w:autoSpaceDE/>
              <w:autoSpaceDN/>
              <w:bidi w:val="0"/>
              <w:spacing w:before="100" w:beforeAutospacing="1" w:after="100" w:afterAutospacing="1" w:line="360" w:lineRule="auto"/>
              <w:textAlignment w:val="auto"/>
              <w:rPr>
                <w:rFonts w:hint="eastAsia" w:eastAsia="宋体" w:cs="宋体"/>
                <w:color w:val="010000"/>
                <w:kern w:val="0"/>
                <w:lang w:eastAsia="zh-CN"/>
              </w:rPr>
            </w:pPr>
            <w:r>
              <w:rPr>
                <w:rFonts w:hint="eastAsia" w:cs="宋体"/>
                <w:b/>
                <w:bCs/>
                <w:color w:val="010000"/>
                <w:kern w:val="0"/>
                <w:lang w:eastAsia="zh-CN"/>
              </w:rPr>
              <w:t>实施方职责</w:t>
            </w:r>
          </w:p>
        </w:tc>
        <w:tc>
          <w:tcPr>
            <w:tcW w:w="162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076BAA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客户方职责</w:t>
            </w:r>
          </w:p>
        </w:tc>
        <w:tc>
          <w:tcPr>
            <w:tcW w:w="136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37BE5C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b/>
                <w:bCs/>
                <w:color w:val="010000"/>
                <w:kern w:val="0"/>
              </w:rPr>
              <w:t>交付成果</w:t>
            </w:r>
          </w:p>
        </w:tc>
      </w:tr>
      <w:tr w14:paraId="6E8E5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FA8EE9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培训业务调研方法</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AA0EA3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明确调研主体以及责任制度，调动客户积极性，变客户被动调研为主动调研；</w:t>
            </w:r>
          </w:p>
          <w:p w14:paraId="6DC0376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流程调研过程中，可以提前将标准流程下发到客户各部门。</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83FE62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提供业务调研方法及模板的使用培训，将调研模板使用方法传递给客户方内部顾问与关键用户。</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822F0B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组织内部顾问、关键用户及相关管理人员参与培训</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C7CAB0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业务调研计划</w:t>
            </w:r>
          </w:p>
          <w:p w14:paraId="6B8F084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业务调研培训课件</w:t>
            </w:r>
          </w:p>
          <w:p w14:paraId="6C0DC3A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业务调研提纲包</w:t>
            </w:r>
          </w:p>
          <w:p w14:paraId="6579F3D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业务调研培训包：</w:t>
            </w:r>
          </w:p>
          <w:p w14:paraId="2BF5268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培训计划书；</w:t>
            </w:r>
          </w:p>
          <w:p w14:paraId="292ED94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培训考勤记录；</w:t>
            </w:r>
          </w:p>
        </w:tc>
      </w:tr>
      <w:tr w14:paraId="7F344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1"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AA1773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进行业务调研</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80A6BA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在调研过程中主要了解客户管理现状及对未来的规划；</w:t>
            </w:r>
          </w:p>
          <w:p w14:paraId="2D1DA15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调研过程中注意多方面数据收集，包括可能的静态资料的编码方案，测试用例，报表需求等。 </w:t>
            </w:r>
          </w:p>
          <w:p w14:paraId="1C5C711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417890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将标准培训课件中的流程图按部门发放给关键用户；</w:t>
            </w:r>
          </w:p>
          <w:p w14:paraId="1971151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协助客户完成业务调研；</w:t>
            </w:r>
          </w:p>
          <w:p w14:paraId="66FAA5B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指导客户完成流程编写、业务单据与样例数据的收集。 </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E73F16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各部门关键用户按要求填写调研提纲，基于标准流程完成流程编写；</w:t>
            </w:r>
          </w:p>
          <w:p w14:paraId="6D39941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内部顾问收集已完成的调研提纲、业务单据、样例数据等所有调研资料。</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EC7536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业务调研资料包</w:t>
            </w:r>
          </w:p>
          <w:p w14:paraId="0F402DB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业务调研提纲包</w:t>
            </w:r>
          </w:p>
        </w:tc>
      </w:tr>
      <w:tr w14:paraId="6198E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0"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AD3C2F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进行部门访谈</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3E0746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对于部门之间有异议的业务，安排跨部门调研，展现问题，由客户方自行提出解决方案；</w:t>
            </w:r>
          </w:p>
          <w:p w14:paraId="3CE385E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协同部门之间的关系职责接口，需双向验证。</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47F434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详细分析调研结果，有针对性进行部门级确认访谈；</w:t>
            </w:r>
          </w:p>
          <w:p w14:paraId="1431E69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重点针对问题进行访谈。</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2803A7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协调各部门相关人员完成访谈；</w:t>
            </w:r>
          </w:p>
          <w:p w14:paraId="2FF9CD0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确定部门之间的业务流程。</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90030F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业务调研记录</w:t>
            </w:r>
          </w:p>
        </w:tc>
      </w:tr>
      <w:tr w14:paraId="64EBE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0"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A31B45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进行高层访谈</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F06D6E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提炼出客户的管理需求特点和高层的关注点，这对总体需求分析至关重要；</w:t>
            </w:r>
          </w:p>
          <w:p w14:paraId="2674232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得到高层的理解、支持和承诺。 </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21ABA6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按调研计划进行高层访谈；</w:t>
            </w:r>
          </w:p>
          <w:p w14:paraId="616BDCC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获得总体状况；</w:t>
            </w:r>
          </w:p>
          <w:p w14:paraId="4037CF9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与高层沟通项目需求、问题、期望等关注点。 </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3E3212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提前协调高层访谈的准备事项；</w:t>
            </w:r>
          </w:p>
          <w:p w14:paraId="3D2D01A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实施高层访谈。 </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797E60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业务调研记录</w:t>
            </w:r>
          </w:p>
        </w:tc>
      </w:tr>
      <w:tr w14:paraId="2944D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EBEC2A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梳理流程与分析需求</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4BBCB7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需求分析要有高度，以现状为依据，以目标管理为参照，用未来衡量现在；</w:t>
            </w:r>
          </w:p>
          <w:p w14:paraId="686DB91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业务描述要用客户化的语言，以专题形式讨论管理需求，以显示我们的专业性。</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8692FC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在详细业务调研的基础上，梳理企业内部流程，进行需求分析；</w:t>
            </w:r>
          </w:p>
          <w:p w14:paraId="2AD711F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帮助企业分析业务流程和业务管理中存在的优点、问题、不足和解决思路，并确定各领域的管理模式。</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C4DEC4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提供协助；</w:t>
            </w:r>
          </w:p>
          <w:p w14:paraId="6E6003B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确定流程与方案。</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CEBA75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项目需求与分析报告</w:t>
            </w:r>
          </w:p>
        </w:tc>
      </w:tr>
      <w:tr w14:paraId="28AC7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0"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F8E217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确认需求分析报告</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E36234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需求分析结果是下阶段业务解决方案设计实现的要求。</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419597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向客户各层管理者沟通、呈现需求分析报告；</w:t>
            </w:r>
          </w:p>
          <w:p w14:paraId="2585269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双方就此达成一致并确认</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D73D9F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依次协调公司各部门、高层，完成需求分析报告的确认。</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61EC7C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项目需求与分析报告</w:t>
            </w:r>
          </w:p>
        </w:tc>
      </w:tr>
      <w:tr w14:paraId="62BD4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1" w:hRule="atLeast"/>
          <w:jc w:val="center"/>
        </w:trPr>
        <w:tc>
          <w:tcPr>
            <w:tcW w:w="92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4BF33F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修订项目实施主计划书</w:t>
            </w:r>
          </w:p>
        </w:tc>
        <w:tc>
          <w:tcPr>
            <w:tcW w:w="225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86017C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依据明确的需求分析报告，确保项目主计划更准确、更具可执行性。</w:t>
            </w:r>
          </w:p>
        </w:tc>
        <w:tc>
          <w:tcPr>
            <w:tcW w:w="225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149ACC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必要时，依据需求分析报告，重新修订、细化项目实施主计划书。</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BF2A5C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参与项目实施主计划书的修订、细化。</w:t>
            </w:r>
          </w:p>
        </w:tc>
        <w:tc>
          <w:tcPr>
            <w:tcW w:w="13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3A61E3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项目实施主计划书</w:t>
            </w:r>
          </w:p>
          <w:p w14:paraId="2FCE32E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里程碑计划（可选）</w:t>
            </w:r>
          </w:p>
        </w:tc>
      </w:tr>
    </w:tbl>
    <w:p w14:paraId="05416CF5">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p>
    <w:p w14:paraId="07643A9F">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（4）静态数据规则确认</w:t>
      </w:r>
    </w:p>
    <w:p w14:paraId="48D3BF1E">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kern w:val="0"/>
        </w:rPr>
      </w:pPr>
      <w:r>
        <w:rPr>
          <w:rFonts w:hint="eastAsia"/>
          <w:kern w:val="0"/>
        </w:rPr>
        <w:t>操作时机</w:t>
      </w:r>
    </w:p>
    <w:p w14:paraId="2B0CDED8">
      <w:pPr>
        <w:pageBreakBefore w:val="0"/>
        <w:widowControl/>
        <w:kinsoku/>
        <w:wordWrap/>
        <w:overflowPunct/>
        <w:topLinePunct w:val="0"/>
        <w:autoSpaceDE/>
        <w:autoSpaceDN/>
        <w:bidi w:val="0"/>
        <w:adjustRightInd w:val="0"/>
        <w:snapToGrid w:val="0"/>
        <w:spacing w:line="360" w:lineRule="auto"/>
        <w:ind w:firstLine="480" w:firstLineChars="200"/>
        <w:textAlignment w:val="auto"/>
        <w:rPr>
          <w:kern w:val="0"/>
        </w:rPr>
      </w:pPr>
      <w:r>
        <w:rPr>
          <w:rFonts w:hint="eastAsia"/>
          <w:kern w:val="0"/>
        </w:rPr>
        <w:t>调研过程中开始，调研结束后，马上进行规则讨论与确认。</w:t>
      </w:r>
    </w:p>
    <w:p w14:paraId="12DE5F37">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kern w:val="0"/>
        </w:rPr>
      </w:pPr>
      <w:r>
        <w:rPr>
          <w:rFonts w:hint="eastAsia"/>
          <w:kern w:val="0"/>
        </w:rPr>
        <w:t>目标/价值</w:t>
      </w:r>
    </w:p>
    <w:p w14:paraId="5DA56562">
      <w:pPr>
        <w:pageBreakBefore w:val="0"/>
        <w:widowControl/>
        <w:kinsoku/>
        <w:wordWrap/>
        <w:overflowPunct/>
        <w:topLinePunct w:val="0"/>
        <w:autoSpaceDE/>
        <w:autoSpaceDN/>
        <w:bidi w:val="0"/>
        <w:adjustRightInd w:val="0"/>
        <w:snapToGrid w:val="0"/>
        <w:spacing w:line="360" w:lineRule="auto"/>
        <w:ind w:firstLine="480" w:firstLineChars="200"/>
        <w:textAlignment w:val="auto"/>
        <w:rPr>
          <w:kern w:val="0"/>
        </w:rPr>
      </w:pPr>
      <w:r>
        <w:rPr>
          <w:rFonts w:hint="eastAsia"/>
          <w:kern w:val="0"/>
        </w:rPr>
        <w:t>尽早进行静态数据规则的确认，其中，物料编码规则和BOM搭建原则尤为重要，为接下来的静态数据收集和整理做好准备。</w:t>
      </w:r>
    </w:p>
    <w:p w14:paraId="0A619B4C">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kern w:val="0"/>
        </w:rPr>
      </w:pPr>
      <w:r>
        <w:rPr>
          <w:rFonts w:hint="eastAsia"/>
          <w:kern w:val="0"/>
        </w:rPr>
        <w:t xml:space="preserve">操作指南 </w:t>
      </w:r>
    </w:p>
    <w:tbl>
      <w:tblPr>
        <w:tblStyle w:val="43"/>
        <w:tblW w:w="8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12"/>
        <w:gridCol w:w="3409"/>
        <w:gridCol w:w="1496"/>
        <w:gridCol w:w="1755"/>
        <w:gridCol w:w="1273"/>
      </w:tblGrid>
      <w:tr w14:paraId="5F71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2" w:hRule="atLeast"/>
          <w:jc w:val="center"/>
        </w:trPr>
        <w:tc>
          <w:tcPr>
            <w:tcW w:w="81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10412F9">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3407"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31FE5A53">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495"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82410E9">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54"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3DEA3C9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7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5EC082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14F35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24" w:hRule="atLeast"/>
          <w:jc w:val="center"/>
        </w:trPr>
        <w:tc>
          <w:tcPr>
            <w:tcW w:w="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5BDDE3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掌握静态数据现状</w:t>
            </w:r>
          </w:p>
        </w:tc>
        <w:tc>
          <w:tcPr>
            <w:tcW w:w="340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722921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首先全面深入了解客户目前所有的静态数据现状，并对现状进行分析,确定下一步工作的方向。</w:t>
            </w:r>
          </w:p>
        </w:tc>
        <w:tc>
          <w:tcPr>
            <w:tcW w:w="149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AA646D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提供静态数据整理清单表；</w:t>
            </w:r>
          </w:p>
          <w:p w14:paraId="7006746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进行初步分析。</w:t>
            </w:r>
          </w:p>
        </w:tc>
        <w:tc>
          <w:tcPr>
            <w:tcW w:w="17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4AFD91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按照静态数据清单提供现有数据原始记录。</w:t>
            </w:r>
          </w:p>
        </w:tc>
        <w:tc>
          <w:tcPr>
            <w:tcW w:w="127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D02D66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静态数据原始记录</w:t>
            </w:r>
          </w:p>
        </w:tc>
      </w:tr>
      <w:tr w14:paraId="26A5B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6" w:hRule="atLeast"/>
          <w:jc w:val="center"/>
        </w:trPr>
        <w:tc>
          <w:tcPr>
            <w:tcW w:w="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D91F6E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培训静态数据规则的制定</w:t>
            </w:r>
          </w:p>
        </w:tc>
        <w:tc>
          <w:tcPr>
            <w:tcW w:w="340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3DF0F2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在培训时，将基本原则和客户实际数据相结合。</w:t>
            </w:r>
          </w:p>
          <w:p w14:paraId="3F07FA0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使客户掌握制定规则的思路和方法。 </w:t>
            </w:r>
          </w:p>
        </w:tc>
        <w:tc>
          <w:tcPr>
            <w:tcW w:w="149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DB35CB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对客户相关人员进行编码规则和BOM原则制定的培训。</w:t>
            </w:r>
          </w:p>
        </w:tc>
        <w:tc>
          <w:tcPr>
            <w:tcW w:w="17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FA6DD3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组织数据整理组等相关人员进行培训。</w:t>
            </w:r>
          </w:p>
        </w:tc>
        <w:tc>
          <w:tcPr>
            <w:tcW w:w="127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1467CC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工程数据搭建原则</w:t>
            </w:r>
          </w:p>
        </w:tc>
      </w:tr>
      <w:tr w14:paraId="76498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9" w:hRule="atLeast"/>
          <w:jc w:val="center"/>
        </w:trPr>
        <w:tc>
          <w:tcPr>
            <w:tcW w:w="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627A89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制定静态数据规则</w:t>
            </w:r>
          </w:p>
        </w:tc>
        <w:tc>
          <w:tcPr>
            <w:tcW w:w="340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4FE3E3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依据客户现状与及对未来的需求,与客户一起进行编码规则及BOM搭建原则的讨论，并将讨论结果与各个相关部门关键用户和负责人进行确认，最后向客户方高层进行方案汇报</w:t>
            </w:r>
          </w:p>
        </w:tc>
        <w:tc>
          <w:tcPr>
            <w:tcW w:w="149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1D1CB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分析客户现有数据，提出制定规则的标准、要求、建议；</w:t>
            </w:r>
          </w:p>
          <w:p w14:paraId="7547498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协助客户讨论并确定最终规则。 </w:t>
            </w:r>
          </w:p>
        </w:tc>
        <w:tc>
          <w:tcPr>
            <w:tcW w:w="17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C3B592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组织各相关部门人员进行规则的制定、讨论、确认，最终在公司内发布。</w:t>
            </w:r>
          </w:p>
        </w:tc>
        <w:tc>
          <w:tcPr>
            <w:tcW w:w="127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A6AD73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实施解决方案-静态数据_编码方案；</w:t>
            </w:r>
          </w:p>
          <w:p w14:paraId="5E590C6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实施解决方案-静态数据_工程数据搭建原则 </w:t>
            </w:r>
          </w:p>
        </w:tc>
      </w:tr>
    </w:tbl>
    <w:p w14:paraId="38750AA7">
      <w:pPr>
        <w:pageBreakBefore w:val="0"/>
        <w:kinsoku/>
        <w:wordWrap/>
        <w:overflowPunct/>
        <w:topLinePunct w:val="0"/>
        <w:autoSpaceDE/>
        <w:autoSpaceDN/>
        <w:bidi w:val="0"/>
        <w:spacing w:line="360" w:lineRule="auto"/>
        <w:textAlignment w:val="auto"/>
      </w:pPr>
    </w:p>
    <w:p w14:paraId="43C732CE">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（5）静态数据收集与整理</w:t>
      </w:r>
    </w:p>
    <w:p w14:paraId="4A72E1DD">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24E555FB">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确定静态数据编码方案及工程数据搭建原则后，应马上制定数据收集与整理计划，开展收集与整理工作。</w:t>
      </w:r>
    </w:p>
    <w:p w14:paraId="7A74F7F6">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 xml:space="preserve">目标/价值 </w:t>
      </w:r>
    </w:p>
    <w:p w14:paraId="2B501882">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静态数据的收集、整理、测试、完善等相关工作，需要花费比较长的时间和耗费比较大的精力去完成。因此，静态数据收集整理工作是项目实施中的基础工作，它的准备进度和准备质量直接影响到系统的上线进度和项目的最后实施质量。</w:t>
      </w:r>
    </w:p>
    <w:p w14:paraId="3A6AE703">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操作指南</w:t>
      </w:r>
    </w:p>
    <w:tbl>
      <w:tblPr>
        <w:tblStyle w:val="43"/>
        <w:tblW w:w="86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4"/>
        <w:gridCol w:w="1725"/>
        <w:gridCol w:w="1725"/>
        <w:gridCol w:w="1726"/>
        <w:gridCol w:w="1725"/>
      </w:tblGrid>
      <w:tr w14:paraId="7B640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723" w:type="dxa"/>
            <w:tcBorders>
              <w:top w:val="single" w:color="auto" w:sz="4" w:space="0"/>
              <w:left w:val="single" w:color="auto" w:sz="4" w:space="0"/>
              <w:bottom w:val="single" w:color="auto" w:sz="4" w:space="0"/>
              <w:right w:val="single" w:color="auto" w:sz="4" w:space="0"/>
            </w:tcBorders>
            <w:vAlign w:val="center"/>
          </w:tcPr>
          <w:p w14:paraId="2ED04D40">
            <w:pPr>
              <w:pageBreakBefore w:val="0"/>
              <w:widowControl/>
              <w:kinsoku/>
              <w:wordWrap/>
              <w:overflowPunct/>
              <w:topLinePunct w:val="0"/>
              <w:autoSpaceDE/>
              <w:autoSpaceDN/>
              <w:bidi w:val="0"/>
              <w:spacing w:before="120" w:after="120" w:line="360" w:lineRule="auto"/>
              <w:textAlignment w:val="auto"/>
              <w:rPr>
                <w:rFonts w:cs="宋体"/>
              </w:rPr>
            </w:pPr>
            <w:r>
              <w:rPr>
                <w:rFonts w:hint="eastAsia" w:cs="宋体"/>
                <w:b/>
                <w:color w:val="010000"/>
                <w:kern w:val="0"/>
              </w:rPr>
              <w:t>工作任务</w:t>
            </w:r>
          </w:p>
        </w:tc>
        <w:tc>
          <w:tcPr>
            <w:tcW w:w="1724" w:type="dxa"/>
            <w:tcBorders>
              <w:top w:val="single" w:color="auto" w:sz="4" w:space="0"/>
              <w:left w:val="single" w:color="auto" w:sz="4" w:space="0"/>
              <w:bottom w:val="single" w:color="auto" w:sz="4" w:space="0"/>
              <w:right w:val="single" w:color="auto" w:sz="4" w:space="0"/>
            </w:tcBorders>
            <w:vAlign w:val="center"/>
          </w:tcPr>
          <w:p w14:paraId="49329391">
            <w:pPr>
              <w:pageBreakBefore w:val="0"/>
              <w:widowControl/>
              <w:kinsoku/>
              <w:wordWrap/>
              <w:overflowPunct/>
              <w:topLinePunct w:val="0"/>
              <w:autoSpaceDE/>
              <w:autoSpaceDN/>
              <w:bidi w:val="0"/>
              <w:spacing w:before="120" w:after="120" w:line="360" w:lineRule="auto"/>
              <w:textAlignment w:val="auto"/>
              <w:rPr>
                <w:rFonts w:cs="宋体"/>
                <w:b/>
                <w:color w:val="010000"/>
                <w:kern w:val="0"/>
              </w:rPr>
            </w:pPr>
            <w:r>
              <w:rPr>
                <w:rFonts w:hint="eastAsia" w:cs="宋体"/>
                <w:b/>
                <w:color w:val="010000"/>
                <w:kern w:val="0"/>
              </w:rPr>
              <w:t>工作规范</w:t>
            </w:r>
          </w:p>
        </w:tc>
        <w:tc>
          <w:tcPr>
            <w:tcW w:w="1724" w:type="dxa"/>
            <w:tcBorders>
              <w:top w:val="single" w:color="auto" w:sz="4" w:space="0"/>
              <w:left w:val="single" w:color="auto" w:sz="4" w:space="0"/>
              <w:bottom w:val="single" w:color="auto" w:sz="4" w:space="0"/>
              <w:right w:val="single" w:color="auto" w:sz="4" w:space="0"/>
            </w:tcBorders>
            <w:vAlign w:val="center"/>
          </w:tcPr>
          <w:p w14:paraId="6B257134">
            <w:pPr>
              <w:pageBreakBefore w:val="0"/>
              <w:widowControl/>
              <w:kinsoku/>
              <w:wordWrap/>
              <w:overflowPunct/>
              <w:topLinePunct w:val="0"/>
              <w:autoSpaceDE/>
              <w:autoSpaceDN/>
              <w:bidi w:val="0"/>
              <w:spacing w:before="120" w:after="120" w:line="360" w:lineRule="auto"/>
              <w:textAlignment w:val="auto"/>
              <w:rPr>
                <w:rFonts w:hint="eastAsia" w:eastAsia="宋体" w:cs="宋体"/>
                <w:b/>
                <w:color w:val="010000"/>
                <w:kern w:val="0"/>
                <w:lang w:eastAsia="zh-CN"/>
              </w:rPr>
            </w:pPr>
            <w:r>
              <w:rPr>
                <w:rFonts w:hint="eastAsia" w:cs="宋体"/>
                <w:b/>
                <w:color w:val="010000"/>
                <w:kern w:val="0"/>
                <w:lang w:eastAsia="zh-CN"/>
              </w:rPr>
              <w:t>实施方职责</w:t>
            </w:r>
          </w:p>
        </w:tc>
        <w:tc>
          <w:tcPr>
            <w:tcW w:w="1725" w:type="dxa"/>
            <w:tcBorders>
              <w:top w:val="single" w:color="auto" w:sz="4" w:space="0"/>
              <w:left w:val="single" w:color="auto" w:sz="4" w:space="0"/>
              <w:bottom w:val="single" w:color="auto" w:sz="4" w:space="0"/>
              <w:right w:val="single" w:color="auto" w:sz="4" w:space="0"/>
            </w:tcBorders>
            <w:vAlign w:val="center"/>
          </w:tcPr>
          <w:p w14:paraId="4B89E938">
            <w:pPr>
              <w:pageBreakBefore w:val="0"/>
              <w:widowControl/>
              <w:kinsoku/>
              <w:wordWrap/>
              <w:overflowPunct/>
              <w:topLinePunct w:val="0"/>
              <w:autoSpaceDE/>
              <w:autoSpaceDN/>
              <w:bidi w:val="0"/>
              <w:spacing w:before="120" w:after="120" w:line="360" w:lineRule="auto"/>
              <w:textAlignment w:val="auto"/>
              <w:rPr>
                <w:rFonts w:cs="宋体"/>
                <w:b/>
                <w:color w:val="010000"/>
                <w:kern w:val="0"/>
              </w:rPr>
            </w:pPr>
            <w:r>
              <w:rPr>
                <w:rFonts w:hint="eastAsia" w:cs="宋体"/>
                <w:b/>
                <w:color w:val="010000"/>
                <w:kern w:val="0"/>
              </w:rPr>
              <w:t>客户方职责</w:t>
            </w:r>
          </w:p>
        </w:tc>
        <w:tc>
          <w:tcPr>
            <w:tcW w:w="1724" w:type="dxa"/>
            <w:tcBorders>
              <w:top w:val="single" w:color="auto" w:sz="4" w:space="0"/>
              <w:left w:val="single" w:color="auto" w:sz="4" w:space="0"/>
              <w:bottom w:val="single" w:color="auto" w:sz="4" w:space="0"/>
              <w:right w:val="single" w:color="auto" w:sz="4" w:space="0"/>
            </w:tcBorders>
            <w:vAlign w:val="center"/>
          </w:tcPr>
          <w:p w14:paraId="7ABFFF9F">
            <w:pPr>
              <w:pageBreakBefore w:val="0"/>
              <w:widowControl/>
              <w:kinsoku/>
              <w:wordWrap/>
              <w:overflowPunct/>
              <w:topLinePunct w:val="0"/>
              <w:autoSpaceDE/>
              <w:autoSpaceDN/>
              <w:bidi w:val="0"/>
              <w:spacing w:before="120" w:after="120" w:line="360" w:lineRule="auto"/>
              <w:textAlignment w:val="auto"/>
              <w:rPr>
                <w:rFonts w:cs="宋体"/>
                <w:b/>
                <w:color w:val="010000"/>
                <w:kern w:val="0"/>
              </w:rPr>
            </w:pPr>
            <w:r>
              <w:rPr>
                <w:rFonts w:hint="eastAsia" w:cs="宋体"/>
                <w:b/>
                <w:color w:val="010000"/>
                <w:kern w:val="0"/>
              </w:rPr>
              <w:t>交付成果</w:t>
            </w:r>
          </w:p>
        </w:tc>
      </w:tr>
      <w:tr w14:paraId="1B335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9" w:hRule="atLeast"/>
          <w:jc w:val="center"/>
        </w:trPr>
        <w:tc>
          <w:tcPr>
            <w:tcW w:w="1723" w:type="dxa"/>
            <w:tcBorders>
              <w:top w:val="single" w:color="auto" w:sz="4" w:space="0"/>
              <w:left w:val="single" w:color="auto" w:sz="4" w:space="0"/>
              <w:bottom w:val="single" w:color="auto" w:sz="4" w:space="0"/>
              <w:right w:val="single" w:color="auto" w:sz="4" w:space="0"/>
            </w:tcBorders>
            <w:vAlign w:val="center"/>
          </w:tcPr>
          <w:p w14:paraId="3B661EA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进行静态数据收集整理工作准备</w:t>
            </w:r>
          </w:p>
        </w:tc>
        <w:tc>
          <w:tcPr>
            <w:tcW w:w="1724" w:type="dxa"/>
            <w:tcBorders>
              <w:top w:val="single" w:color="auto" w:sz="4" w:space="0"/>
              <w:left w:val="single" w:color="auto" w:sz="4" w:space="0"/>
              <w:bottom w:val="single" w:color="auto" w:sz="4" w:space="0"/>
              <w:right w:val="single" w:color="auto" w:sz="4" w:space="0"/>
            </w:tcBorders>
            <w:vAlign w:val="center"/>
          </w:tcPr>
          <w:p w14:paraId="46D0467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根据上线范围涉及到的静态数据，制定切实可行的数据准备方案。</w:t>
            </w:r>
          </w:p>
          <w:p w14:paraId="60BA180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每项数据责任到人。</w:t>
            </w:r>
          </w:p>
          <w:p w14:paraId="1982435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如果项目进行分期，一定要注意静态数据整理的先后顺序，安排合理的整理计划。 </w:t>
            </w:r>
          </w:p>
        </w:tc>
        <w:tc>
          <w:tcPr>
            <w:tcW w:w="1724" w:type="dxa"/>
            <w:tcBorders>
              <w:top w:val="single" w:color="auto" w:sz="4" w:space="0"/>
              <w:left w:val="single" w:color="auto" w:sz="4" w:space="0"/>
              <w:bottom w:val="single" w:color="auto" w:sz="4" w:space="0"/>
              <w:right w:val="single" w:color="auto" w:sz="4" w:space="0"/>
            </w:tcBorders>
            <w:vAlign w:val="center"/>
          </w:tcPr>
          <w:p w14:paraId="3C71171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主导方案与计划的编制；</w:t>
            </w:r>
          </w:p>
          <w:p w14:paraId="733176A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提供静态数据整理清单；</w:t>
            </w:r>
          </w:p>
          <w:p w14:paraId="72C3972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培训数据收集整理人员。 </w:t>
            </w:r>
          </w:p>
        </w:tc>
        <w:tc>
          <w:tcPr>
            <w:tcW w:w="1725" w:type="dxa"/>
            <w:tcBorders>
              <w:top w:val="single" w:color="auto" w:sz="4" w:space="0"/>
              <w:left w:val="single" w:color="auto" w:sz="4" w:space="0"/>
              <w:bottom w:val="single" w:color="auto" w:sz="4" w:space="0"/>
              <w:right w:val="single" w:color="auto" w:sz="4" w:space="0"/>
            </w:tcBorders>
            <w:vAlign w:val="center"/>
          </w:tcPr>
          <w:p w14:paraId="1D01E4B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依据静态数据整理清单估算数据量；</w:t>
            </w:r>
          </w:p>
          <w:p w14:paraId="6C845D8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与</w:t>
            </w:r>
            <w:r>
              <w:rPr>
                <w:rFonts w:hint="eastAsia" w:cs="宋体"/>
                <w:color w:val="010000"/>
                <w:kern w:val="0"/>
                <w:lang w:eastAsia="zh-CN"/>
              </w:rPr>
              <w:t>项目实施方</w:t>
            </w:r>
            <w:r>
              <w:rPr>
                <w:rFonts w:hint="eastAsia" w:cs="宋体"/>
                <w:color w:val="010000"/>
                <w:kern w:val="0"/>
              </w:rPr>
              <w:t>一起制定收集整理计划；</w:t>
            </w:r>
          </w:p>
          <w:p w14:paraId="06EAD4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组建静态数据收集整理专职团队。 </w:t>
            </w:r>
          </w:p>
        </w:tc>
        <w:tc>
          <w:tcPr>
            <w:tcW w:w="1724" w:type="dxa"/>
            <w:tcBorders>
              <w:top w:val="single" w:color="auto" w:sz="4" w:space="0"/>
              <w:left w:val="single" w:color="auto" w:sz="4" w:space="0"/>
              <w:bottom w:val="single" w:color="auto" w:sz="4" w:space="0"/>
              <w:right w:val="single" w:color="auto" w:sz="4" w:space="0"/>
            </w:tcBorders>
            <w:vAlign w:val="center"/>
          </w:tcPr>
          <w:p w14:paraId="6D86C7F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实施解决方案-静态数据准备</w:t>
            </w:r>
          </w:p>
        </w:tc>
      </w:tr>
      <w:tr w14:paraId="0828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1" w:hRule="atLeast"/>
          <w:jc w:val="center"/>
        </w:trPr>
        <w:tc>
          <w:tcPr>
            <w:tcW w:w="1723" w:type="dxa"/>
            <w:tcBorders>
              <w:top w:val="single" w:color="auto" w:sz="4" w:space="0"/>
              <w:left w:val="single" w:color="auto" w:sz="4" w:space="0"/>
              <w:bottom w:val="single" w:color="auto" w:sz="4" w:space="0"/>
              <w:right w:val="single" w:color="auto" w:sz="4" w:space="0"/>
            </w:tcBorders>
            <w:vAlign w:val="center"/>
          </w:tcPr>
          <w:p w14:paraId="095CD41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收集整理与核查静态数据</w:t>
            </w:r>
          </w:p>
        </w:tc>
        <w:tc>
          <w:tcPr>
            <w:tcW w:w="1724" w:type="dxa"/>
            <w:tcBorders>
              <w:top w:val="single" w:color="auto" w:sz="4" w:space="0"/>
              <w:left w:val="single" w:color="auto" w:sz="4" w:space="0"/>
              <w:bottom w:val="single" w:color="auto" w:sz="4" w:space="0"/>
              <w:right w:val="single" w:color="auto" w:sz="4" w:space="0"/>
            </w:tcBorders>
            <w:vAlign w:val="center"/>
          </w:tcPr>
          <w:p w14:paraId="55C7B59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依据《实施解决方案-静态数据_编码方案》和《工程数据搭建原则》，定期对数据进行审核。</w:t>
            </w:r>
          </w:p>
        </w:tc>
        <w:tc>
          <w:tcPr>
            <w:tcW w:w="1724" w:type="dxa"/>
            <w:tcBorders>
              <w:top w:val="single" w:color="auto" w:sz="4" w:space="0"/>
              <w:left w:val="single" w:color="auto" w:sz="4" w:space="0"/>
              <w:bottom w:val="single" w:color="auto" w:sz="4" w:space="0"/>
              <w:right w:val="single" w:color="auto" w:sz="4" w:space="0"/>
            </w:tcBorders>
            <w:vAlign w:val="center"/>
          </w:tcPr>
          <w:p w14:paraId="0188CB8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提供静态数据整理模板；</w:t>
            </w:r>
          </w:p>
          <w:p w14:paraId="1BB891A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进行进度、质量跟踪。</w:t>
            </w:r>
          </w:p>
        </w:tc>
        <w:tc>
          <w:tcPr>
            <w:tcW w:w="1725" w:type="dxa"/>
            <w:tcBorders>
              <w:top w:val="single" w:color="auto" w:sz="4" w:space="0"/>
              <w:left w:val="single" w:color="auto" w:sz="4" w:space="0"/>
              <w:bottom w:val="single" w:color="auto" w:sz="4" w:space="0"/>
              <w:right w:val="single" w:color="auto" w:sz="4" w:space="0"/>
            </w:tcBorders>
            <w:vAlign w:val="center"/>
          </w:tcPr>
          <w:p w14:paraId="776D3A7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组织静态数据的收集与整理工作；</w:t>
            </w:r>
          </w:p>
          <w:p w14:paraId="5F5E85D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进度、质量的跟踪、审核与反馈。</w:t>
            </w:r>
          </w:p>
        </w:tc>
        <w:tc>
          <w:tcPr>
            <w:tcW w:w="1724" w:type="dxa"/>
            <w:tcBorders>
              <w:top w:val="single" w:color="auto" w:sz="4" w:space="0"/>
              <w:left w:val="single" w:color="auto" w:sz="4" w:space="0"/>
              <w:bottom w:val="single" w:color="auto" w:sz="4" w:space="0"/>
              <w:right w:val="single" w:color="auto" w:sz="4" w:space="0"/>
            </w:tcBorders>
            <w:vAlign w:val="center"/>
          </w:tcPr>
          <w:p w14:paraId="15A6533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静态数据收集模板</w:t>
            </w:r>
          </w:p>
        </w:tc>
      </w:tr>
    </w:tbl>
    <w:p w14:paraId="5D717C89">
      <w:pPr>
        <w:pageBreakBefore w:val="0"/>
        <w:kinsoku/>
        <w:wordWrap/>
        <w:overflowPunct/>
        <w:topLinePunct w:val="0"/>
        <w:autoSpaceDE/>
        <w:autoSpaceDN/>
        <w:bidi w:val="0"/>
        <w:adjustRightInd w:val="0"/>
        <w:snapToGrid w:val="0"/>
        <w:spacing w:line="360" w:lineRule="auto"/>
        <w:ind w:firstLine="480" w:firstLineChars="200"/>
        <w:textAlignment w:val="auto"/>
      </w:pPr>
    </w:p>
    <w:p w14:paraId="563AC26C">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（6）系统原型搭建</w:t>
      </w:r>
    </w:p>
    <w:p w14:paraId="512D3242">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30708A2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完成关键用户培训、确定静态数据规则后，进行系统原型搭建工作。</w:t>
      </w:r>
    </w:p>
    <w:p w14:paraId="43D7D1A4">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 ：</w:t>
      </w:r>
    </w:p>
    <w:p w14:paraId="687D2B1B">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系统原型搭建工作主要为了方案验证测试、集成测试及培训等工作。</w:t>
      </w:r>
    </w:p>
    <w:p w14:paraId="5DE875DF">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 xml:space="preserve">操作指南： </w:t>
      </w:r>
    </w:p>
    <w:tbl>
      <w:tblPr>
        <w:tblStyle w:val="43"/>
        <w:tblW w:w="82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36"/>
        <w:gridCol w:w="1948"/>
        <w:gridCol w:w="1751"/>
        <w:gridCol w:w="1752"/>
        <w:gridCol w:w="1593"/>
      </w:tblGrid>
      <w:tr w14:paraId="7CB37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9" w:hRule="atLeast"/>
          <w:jc w:val="center"/>
        </w:trPr>
        <w:tc>
          <w:tcPr>
            <w:tcW w:w="1236"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85ACF1C">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94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B280064">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751"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3EDC3B9C">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5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5FF550BF">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59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AA39BCD">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53F6E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1" w:hRule="atLeast"/>
          <w:jc w:val="center"/>
        </w:trPr>
        <w:tc>
          <w:tcPr>
            <w:tcW w:w="1236"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D0A680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搭建环境</w:t>
            </w:r>
          </w:p>
        </w:tc>
        <w:tc>
          <w:tcPr>
            <w:tcW w:w="194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00FFEF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模拟客户的实际业务进行系统原型搭建。</w:t>
            </w:r>
          </w:p>
        </w:tc>
        <w:tc>
          <w:tcPr>
            <w:tcW w:w="175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452F98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指导关键用户进行环境搭建。</w:t>
            </w:r>
          </w:p>
        </w:tc>
        <w:tc>
          <w:tcPr>
            <w:tcW w:w="175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FF48CA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按照顾问的指导进行运行环境的搭建。</w:t>
            </w:r>
          </w:p>
        </w:tc>
        <w:tc>
          <w:tcPr>
            <w:tcW w:w="159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5B1297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运行环境</w:t>
            </w:r>
          </w:p>
        </w:tc>
      </w:tr>
      <w:tr w14:paraId="67B6E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1" w:hRule="atLeast"/>
          <w:jc w:val="center"/>
        </w:trPr>
        <w:tc>
          <w:tcPr>
            <w:tcW w:w="1236"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F446C4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收集与导入基础数据</w:t>
            </w:r>
          </w:p>
        </w:tc>
        <w:tc>
          <w:tcPr>
            <w:tcW w:w="194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0FA5D9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按照前面制定的数据规则，准备一套用于测试的真实基础数据。</w:t>
            </w:r>
          </w:p>
        </w:tc>
        <w:tc>
          <w:tcPr>
            <w:tcW w:w="175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D055B3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指导关键用户进行基础数据整理与输入。</w:t>
            </w:r>
          </w:p>
        </w:tc>
        <w:tc>
          <w:tcPr>
            <w:tcW w:w="175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C70521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按照要求提供一套真实的基础数据，并导入系统。</w:t>
            </w:r>
          </w:p>
        </w:tc>
        <w:tc>
          <w:tcPr>
            <w:tcW w:w="159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FB1CE1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基础资料档案</w:t>
            </w:r>
          </w:p>
        </w:tc>
      </w:tr>
      <w:tr w14:paraId="34BE6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51" w:hRule="atLeast"/>
          <w:jc w:val="center"/>
        </w:trPr>
        <w:tc>
          <w:tcPr>
            <w:tcW w:w="1236"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EE2F94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收集整理典型业务数据</w:t>
            </w:r>
          </w:p>
        </w:tc>
        <w:tc>
          <w:tcPr>
            <w:tcW w:w="194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6D963B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依据实际业务，收集与整理一套供测试用的业务数据。</w:t>
            </w:r>
          </w:p>
        </w:tc>
        <w:tc>
          <w:tcPr>
            <w:tcW w:w="175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C11DE4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指导关键用户进行数据整理，并指导关键用户撰写《实施解决方案-测试用例》。</w:t>
            </w:r>
          </w:p>
        </w:tc>
        <w:tc>
          <w:tcPr>
            <w:tcW w:w="175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65CC2D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依据要求收集与整理测试用例；</w:t>
            </w:r>
          </w:p>
          <w:p w14:paraId="2A3AAF0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编写《实施解决方案-测试用例》。</w:t>
            </w:r>
          </w:p>
        </w:tc>
        <w:tc>
          <w:tcPr>
            <w:tcW w:w="159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ACC6F2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实施解决方案-测试用例</w:t>
            </w:r>
          </w:p>
        </w:tc>
      </w:tr>
    </w:tbl>
    <w:p w14:paraId="1687577F">
      <w:pPr>
        <w:pageBreakBefore w:val="0"/>
        <w:widowControl/>
        <w:kinsoku/>
        <w:wordWrap/>
        <w:overflowPunct/>
        <w:topLinePunct w:val="0"/>
        <w:autoSpaceDE/>
        <w:autoSpaceDN/>
        <w:bidi w:val="0"/>
        <w:spacing w:before="120" w:after="120" w:line="360" w:lineRule="auto"/>
        <w:ind w:firstLine="420"/>
        <w:textAlignment w:val="auto"/>
        <w:rPr>
          <w:rFonts w:cs="宋体"/>
          <w:color w:val="010000"/>
          <w:kern w:val="0"/>
        </w:rPr>
      </w:pPr>
    </w:p>
    <w:p w14:paraId="75AEF5B3">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（7）业务解决方案设计</w:t>
      </w:r>
    </w:p>
    <w:p w14:paraId="1CB3AF75">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5327657C">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系统原型搭建完成后，着手开展业务解决方案的设计工作。</w:t>
      </w:r>
    </w:p>
    <w:p w14:paraId="20DCEEFE">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 xml:space="preserve">目标/价值 </w:t>
      </w:r>
    </w:p>
    <w:p w14:paraId="2CB9E524">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在业务调研的基础上，帮助企业发现并确定企业现存的主要问题，分析这些问题，并找出导致这些问题的原因，制定一套切实可行的业务解决方案。</w:t>
      </w:r>
    </w:p>
    <w:p w14:paraId="64239104">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业务解决方案是系统实施过程中非常重要的一个核心环节，解决方案的质量将决定项目实施的质量。</w:t>
      </w:r>
    </w:p>
    <w:p w14:paraId="50856D83">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操作指南</w:t>
      </w:r>
    </w:p>
    <w:tbl>
      <w:tblPr>
        <w:tblStyle w:val="43"/>
        <w:tblW w:w="87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13"/>
        <w:gridCol w:w="3191"/>
        <w:gridCol w:w="1620"/>
        <w:gridCol w:w="1368"/>
        <w:gridCol w:w="1468"/>
      </w:tblGrid>
      <w:tr w14:paraId="6A420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111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4450363">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3191"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7DF9ADC2">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62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D01D0E2">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36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DC3080D">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46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3D70EC8">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503E3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93" w:hRule="atLeast"/>
          <w:jc w:val="center"/>
        </w:trPr>
        <w:tc>
          <w:tcPr>
            <w:tcW w:w="111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E2EF62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进行方案设计</w:t>
            </w:r>
          </w:p>
        </w:tc>
        <w:tc>
          <w:tcPr>
            <w:tcW w:w="3191"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EF54A8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采用《组件化方案》标准流程，简化《业务流程设计》、《参数配置》，提高方案设计效率；</w:t>
            </w:r>
          </w:p>
          <w:p w14:paraId="3C04BA5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尽量避免客户化开发；</w:t>
            </w:r>
          </w:p>
          <w:p w14:paraId="78531FD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从总体出发，综合考虑客户的相关业务、数据及接口，抓住重点，避免片面强调局部业务、大而全、理想化等危及项目的倾向；</w:t>
            </w:r>
          </w:p>
          <w:p w14:paraId="45F6C9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在后续实施阶段对方案的调整，必须同步修改对应的实施解决方案文档，保证方案的准确、完整；</w:t>
            </w:r>
          </w:p>
          <w:p w14:paraId="631638B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方案经理全程负责项目实施周期内的方案 工作。</w:t>
            </w:r>
          </w:p>
        </w:tc>
        <w:tc>
          <w:tcPr>
            <w:tcW w:w="162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F4D767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基于现有产品可实现的功能范围，完成解决方案的设计与撰写；</w:t>
            </w:r>
          </w:p>
          <w:p w14:paraId="75263B8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方案考虑要全面，覆盖企业真实完整的业务流，打通财务业务一体化流程，直至财务月结，要在实施范围内解决企业的关键问题。</w:t>
            </w:r>
          </w:p>
        </w:tc>
        <w:tc>
          <w:tcPr>
            <w:tcW w:w="13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681D5E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配合完成方案的设计与编写。</w:t>
            </w:r>
          </w:p>
        </w:tc>
        <w:tc>
          <w:tcPr>
            <w:tcW w:w="14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C8E5D6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实施解决方案-项目综述与组织设计；</w:t>
            </w:r>
          </w:p>
          <w:p w14:paraId="71226F2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实施解决方案-业务流程设计；</w:t>
            </w:r>
          </w:p>
          <w:p w14:paraId="08AE517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实施解决方案-报表与查询；</w:t>
            </w:r>
          </w:p>
          <w:p w14:paraId="7C72857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实施解决方案-参数配置。（可选） </w:t>
            </w:r>
          </w:p>
        </w:tc>
      </w:tr>
    </w:tbl>
    <w:p w14:paraId="2A3F01ED">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p>
    <w:p w14:paraId="4FCF6F75">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（8）方案验证、评审及确认</w:t>
      </w:r>
    </w:p>
    <w:p w14:paraId="6B630A39">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770181FA">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方案设计初稿完成后开始进行，最晚于方案设计结束后开始。</w:t>
      </w:r>
    </w:p>
    <w:p w14:paraId="56AF9C40">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w:t>
      </w:r>
    </w:p>
    <w:p w14:paraId="59FFA1C1">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方案经过验证测试、双方团队评审确认等多道质量保证环节，从而尽可能地确保方案的质量。</w:t>
      </w:r>
    </w:p>
    <w:p w14:paraId="5C4B2B0F">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操作指南</w:t>
      </w:r>
    </w:p>
    <w:tbl>
      <w:tblPr>
        <w:tblStyle w:val="43"/>
        <w:tblW w:w="8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29"/>
        <w:gridCol w:w="1938"/>
        <w:gridCol w:w="1742"/>
        <w:gridCol w:w="1742"/>
        <w:gridCol w:w="1584"/>
      </w:tblGrid>
      <w:tr w14:paraId="6355F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0" w:hRule="atLeast"/>
          <w:jc w:val="center"/>
        </w:trPr>
        <w:tc>
          <w:tcPr>
            <w:tcW w:w="123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E71AA76">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939"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02896BF">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74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D2F68B6">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4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01F0D92">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585"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B70B452">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3806D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1" w:hRule="atLeast"/>
          <w:jc w:val="center"/>
        </w:trPr>
        <w:tc>
          <w:tcPr>
            <w:tcW w:w="123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EA840A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验证方案</w:t>
            </w:r>
          </w:p>
        </w:tc>
        <w:tc>
          <w:tcPr>
            <w:tcW w:w="193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486083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验证测试尽量采用企业实际业务数据，覆盖方案中的业务。</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8B25F9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主导完成方案的验证；</w:t>
            </w:r>
          </w:p>
          <w:p w14:paraId="4A7D570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修正验证问题。 </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B53ACD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完成测试用例数据的收集；</w:t>
            </w:r>
          </w:p>
          <w:p w14:paraId="6ECF3DE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完成方案的验证工作。</w:t>
            </w:r>
          </w:p>
        </w:tc>
        <w:tc>
          <w:tcPr>
            <w:tcW w:w="15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A1F73E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项目问题跟踪记录清单</w:t>
            </w:r>
          </w:p>
          <w:p w14:paraId="6ABBC26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w:t>
            </w:r>
          </w:p>
          <w:p w14:paraId="5239F54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验证测试报告 </w:t>
            </w:r>
          </w:p>
        </w:tc>
      </w:tr>
      <w:tr w14:paraId="36A40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3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9D29B3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评审方案</w:t>
            </w:r>
          </w:p>
        </w:tc>
        <w:tc>
          <w:tcPr>
            <w:tcW w:w="193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131B7F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项目方案经理负责组织实施解决方案的评审。</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464E03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按方案评审流程组织内部评审。</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163F50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5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6A768B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w:t>
            </w:r>
          </w:p>
          <w:p w14:paraId="28CAD9A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评审报告</w:t>
            </w:r>
          </w:p>
        </w:tc>
      </w:tr>
      <w:tr w14:paraId="4CF0E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61" w:hRule="atLeast"/>
          <w:jc w:val="center"/>
        </w:trPr>
        <w:tc>
          <w:tcPr>
            <w:tcW w:w="123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4E473C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确认方案</w:t>
            </w:r>
          </w:p>
        </w:tc>
        <w:tc>
          <w:tcPr>
            <w:tcW w:w="193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50B7F8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针对各部门单独进行方案的展示与确认工作；</w:t>
            </w:r>
          </w:p>
          <w:p w14:paraId="1CBF64D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建议每个领域用2天时间完成与客户中层的交流与方案确认。 </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44F98E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向客户方中层进行方案讲解。</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700F03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参与方案展示并确认方案。</w:t>
            </w:r>
          </w:p>
        </w:tc>
        <w:tc>
          <w:tcPr>
            <w:tcW w:w="15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F42C3C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w:t>
            </w:r>
          </w:p>
        </w:tc>
      </w:tr>
      <w:tr w14:paraId="66999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1" w:hRule="atLeast"/>
          <w:jc w:val="center"/>
        </w:trPr>
        <w:tc>
          <w:tcPr>
            <w:tcW w:w="123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023BF1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呈现方案</w:t>
            </w:r>
          </w:p>
        </w:tc>
        <w:tc>
          <w:tcPr>
            <w:tcW w:w="193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CFF102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呈现过程中向高层讲明方案的亮点与价值关键点；</w:t>
            </w:r>
          </w:p>
          <w:p w14:paraId="586F7DF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获取高层对方案的认可，有利于后面实施工作的开展。 </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A190AD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向客户方高层进行方案呈现。</w:t>
            </w:r>
          </w:p>
        </w:tc>
        <w:tc>
          <w:tcPr>
            <w:tcW w:w="174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05842B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组织高层参与方案呈现。</w:t>
            </w:r>
          </w:p>
          <w:p w14:paraId="4C45668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5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37E851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解决方案呈现报告</w:t>
            </w:r>
          </w:p>
          <w:p w14:paraId="23A0462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项目实施备忘 </w:t>
            </w:r>
          </w:p>
        </w:tc>
      </w:tr>
    </w:tbl>
    <w:p w14:paraId="6C6476E3">
      <w:pPr>
        <w:pageBreakBefore w:val="0"/>
        <w:widowControl/>
        <w:kinsoku/>
        <w:wordWrap/>
        <w:overflowPunct/>
        <w:topLinePunct w:val="0"/>
        <w:autoSpaceDE/>
        <w:autoSpaceDN/>
        <w:bidi w:val="0"/>
        <w:spacing w:before="120" w:after="120" w:line="360" w:lineRule="auto"/>
        <w:ind w:firstLine="420"/>
        <w:textAlignment w:val="auto"/>
        <w:rPr>
          <w:rFonts w:cs="宋体"/>
          <w:color w:val="010000"/>
          <w:kern w:val="0"/>
        </w:rPr>
      </w:pPr>
    </w:p>
    <w:p w14:paraId="72C72004">
      <w:pPr>
        <w:pStyle w:val="12"/>
        <w:pageBreakBefore w:val="0"/>
        <w:numPr>
          <w:ilvl w:val="4"/>
          <w:numId w:val="12"/>
        </w:numPr>
        <w:kinsoku/>
        <w:wordWrap/>
        <w:overflowPunct/>
        <w:topLinePunct w:val="0"/>
        <w:autoSpaceDE/>
        <w:autoSpaceDN/>
        <w:bidi w:val="0"/>
        <w:spacing w:line="360" w:lineRule="auto"/>
        <w:textAlignment w:val="auto"/>
      </w:pPr>
      <w:bookmarkStart w:id="367" w:name="_Toc958112808"/>
      <w:r>
        <w:rPr>
          <w:rFonts w:hint="eastAsia"/>
        </w:rPr>
        <w:t>系统配置</w:t>
      </w:r>
      <w:bookmarkEnd w:id="367"/>
    </w:p>
    <w:p w14:paraId="02ACDCB0">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（1）业务权限规划与分配</w:t>
      </w:r>
    </w:p>
    <w:p w14:paraId="77CFA0A8">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55EC7DE5">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在客户签字确认实施解决方案后开始，最晚于最终用户培训开始前结束。</w:t>
      </w:r>
    </w:p>
    <w:p w14:paraId="112DD0EE">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w:t>
      </w:r>
    </w:p>
    <w:p w14:paraId="266F230C">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为系统上线之后的各部门或各业务人员，分配各自应拥有的系统日常操作权限。</w:t>
      </w:r>
    </w:p>
    <w:p w14:paraId="1B83778E">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b/>
          <w:bCs/>
          <w:color w:val="010000"/>
          <w:kern w:val="0"/>
        </w:rPr>
      </w:pPr>
      <w:r>
        <w:rPr>
          <w:rFonts w:hint="eastAsia" w:cs="宋体"/>
          <w:color w:val="010000"/>
          <w:kern w:val="0"/>
        </w:rPr>
        <w:t>操作指南</w:t>
      </w:r>
      <w:r>
        <w:rPr>
          <w:rFonts w:hint="eastAsia"/>
          <w:kern w:val="0"/>
        </w:rPr>
        <w:t xml:space="preserve"> </w:t>
      </w:r>
    </w:p>
    <w:tbl>
      <w:tblPr>
        <w:tblStyle w:val="43"/>
        <w:tblW w:w="8640"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948"/>
        <w:gridCol w:w="3119"/>
        <w:gridCol w:w="1568"/>
        <w:gridCol w:w="1790"/>
        <w:gridCol w:w="1215"/>
      </w:tblGrid>
      <w:tr w14:paraId="5A6BA5A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815" w:hRule="atLeast"/>
          <w:jc w:val="center"/>
        </w:trPr>
        <w:tc>
          <w:tcPr>
            <w:tcW w:w="948"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246B0C43">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3119"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3F053C7D">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568"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02A9104B">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9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6C51B67">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15"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7B64F3F">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70130E3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212" w:hRule="atLeast"/>
          <w:jc w:val="center"/>
        </w:trPr>
        <w:tc>
          <w:tcPr>
            <w:tcW w:w="948"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1FBF178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规划业务权限</w:t>
            </w:r>
          </w:p>
        </w:tc>
        <w:tc>
          <w:tcPr>
            <w:tcW w:w="3119" w:type="dxa"/>
            <w:tcBorders>
              <w:top w:val="nil"/>
              <w:left w:val="nil"/>
              <w:bottom w:val="single" w:color="auto" w:sz="8" w:space="0"/>
              <w:right w:val="single" w:color="auto" w:sz="8" w:space="0"/>
            </w:tcBorders>
            <w:tcMar>
              <w:top w:w="0" w:type="dxa"/>
              <w:left w:w="108" w:type="dxa"/>
              <w:bottom w:w="0" w:type="dxa"/>
              <w:right w:w="108" w:type="dxa"/>
            </w:tcMar>
            <w:vAlign w:val="center"/>
          </w:tcPr>
          <w:p w14:paraId="3B349A3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一岗一权，权不交叉； 使各岗位既被充分授权又确保资料安全。</w:t>
            </w:r>
          </w:p>
        </w:tc>
        <w:tc>
          <w:tcPr>
            <w:tcW w:w="1568" w:type="dxa"/>
            <w:tcBorders>
              <w:top w:val="nil"/>
              <w:left w:val="nil"/>
              <w:bottom w:val="single" w:color="auto" w:sz="8" w:space="0"/>
              <w:right w:val="single" w:color="auto" w:sz="8" w:space="0"/>
            </w:tcBorders>
            <w:tcMar>
              <w:top w:w="0" w:type="dxa"/>
              <w:left w:w="108" w:type="dxa"/>
              <w:bottom w:w="0" w:type="dxa"/>
              <w:right w:w="108" w:type="dxa"/>
            </w:tcMar>
            <w:vAlign w:val="center"/>
          </w:tcPr>
          <w:p w14:paraId="78F099F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指导进行业务权限规划。</w:t>
            </w:r>
          </w:p>
        </w:tc>
        <w:tc>
          <w:tcPr>
            <w:tcW w:w="1790" w:type="dxa"/>
            <w:tcBorders>
              <w:top w:val="nil"/>
              <w:left w:val="nil"/>
              <w:bottom w:val="single" w:color="auto" w:sz="8" w:space="0"/>
              <w:right w:val="single" w:color="auto" w:sz="8" w:space="0"/>
            </w:tcBorders>
            <w:tcMar>
              <w:top w:w="0" w:type="dxa"/>
              <w:left w:w="108" w:type="dxa"/>
              <w:bottom w:w="0" w:type="dxa"/>
              <w:right w:w="108" w:type="dxa"/>
            </w:tcMar>
            <w:vAlign w:val="center"/>
          </w:tcPr>
          <w:p w14:paraId="6374013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规划岗位及岗位权责。</w:t>
            </w:r>
          </w:p>
        </w:tc>
        <w:tc>
          <w:tcPr>
            <w:tcW w:w="1215" w:type="dxa"/>
            <w:tcBorders>
              <w:top w:val="nil"/>
              <w:left w:val="nil"/>
              <w:bottom w:val="single" w:color="auto" w:sz="8" w:space="0"/>
              <w:right w:val="single" w:color="auto" w:sz="8" w:space="0"/>
            </w:tcBorders>
            <w:tcMar>
              <w:top w:w="0" w:type="dxa"/>
              <w:left w:w="108" w:type="dxa"/>
              <w:bottom w:w="0" w:type="dxa"/>
              <w:right w:w="108" w:type="dxa"/>
            </w:tcMar>
            <w:vAlign w:val="center"/>
          </w:tcPr>
          <w:p w14:paraId="1A9DE6C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r>
      <w:tr w14:paraId="61AD2041">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815" w:hRule="atLeast"/>
          <w:jc w:val="center"/>
        </w:trPr>
        <w:tc>
          <w:tcPr>
            <w:tcW w:w="948"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3192E9B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建立用户</w:t>
            </w:r>
          </w:p>
        </w:tc>
        <w:tc>
          <w:tcPr>
            <w:tcW w:w="3119" w:type="dxa"/>
            <w:tcBorders>
              <w:top w:val="nil"/>
              <w:left w:val="nil"/>
              <w:bottom w:val="single" w:color="auto" w:sz="8" w:space="0"/>
              <w:right w:val="single" w:color="auto" w:sz="8" w:space="0"/>
            </w:tcBorders>
            <w:tcMar>
              <w:top w:w="0" w:type="dxa"/>
              <w:left w:w="108" w:type="dxa"/>
              <w:bottom w:w="0" w:type="dxa"/>
              <w:right w:w="108" w:type="dxa"/>
            </w:tcMar>
            <w:vAlign w:val="center"/>
          </w:tcPr>
          <w:p w14:paraId="0EB059B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使每一个系统使用者都有独立账号。</w:t>
            </w:r>
          </w:p>
        </w:tc>
        <w:tc>
          <w:tcPr>
            <w:tcW w:w="1568" w:type="dxa"/>
            <w:tcBorders>
              <w:top w:val="nil"/>
              <w:left w:val="nil"/>
              <w:bottom w:val="single" w:color="auto" w:sz="8" w:space="0"/>
              <w:right w:val="single" w:color="auto" w:sz="8" w:space="0"/>
            </w:tcBorders>
            <w:tcMar>
              <w:top w:w="0" w:type="dxa"/>
              <w:left w:w="108" w:type="dxa"/>
              <w:bottom w:w="0" w:type="dxa"/>
              <w:right w:w="108" w:type="dxa"/>
            </w:tcMar>
            <w:vAlign w:val="center"/>
          </w:tcPr>
          <w:p w14:paraId="4B18D32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指导用户建立。</w:t>
            </w:r>
          </w:p>
        </w:tc>
        <w:tc>
          <w:tcPr>
            <w:tcW w:w="1790" w:type="dxa"/>
            <w:tcBorders>
              <w:top w:val="nil"/>
              <w:left w:val="nil"/>
              <w:bottom w:val="single" w:color="auto" w:sz="8" w:space="0"/>
              <w:right w:val="single" w:color="auto" w:sz="8" w:space="0"/>
            </w:tcBorders>
            <w:tcMar>
              <w:top w:w="0" w:type="dxa"/>
              <w:left w:w="108" w:type="dxa"/>
              <w:bottom w:w="0" w:type="dxa"/>
              <w:right w:w="108" w:type="dxa"/>
            </w:tcMar>
            <w:vAlign w:val="center"/>
          </w:tcPr>
          <w:p w14:paraId="7E39C0A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为所有系统使用者建立用户。</w:t>
            </w:r>
          </w:p>
        </w:tc>
        <w:tc>
          <w:tcPr>
            <w:tcW w:w="1215" w:type="dxa"/>
            <w:tcBorders>
              <w:top w:val="nil"/>
              <w:left w:val="nil"/>
              <w:bottom w:val="single" w:color="auto" w:sz="8" w:space="0"/>
              <w:right w:val="single" w:color="auto" w:sz="8" w:space="0"/>
            </w:tcBorders>
            <w:tcMar>
              <w:top w:w="0" w:type="dxa"/>
              <w:left w:w="108" w:type="dxa"/>
              <w:bottom w:w="0" w:type="dxa"/>
              <w:right w:w="108" w:type="dxa"/>
            </w:tcMar>
            <w:vAlign w:val="center"/>
          </w:tcPr>
          <w:p w14:paraId="7A705CE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r>
      <w:tr w14:paraId="4FE9858D">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212" w:hRule="atLeast"/>
          <w:jc w:val="center"/>
        </w:trPr>
        <w:tc>
          <w:tcPr>
            <w:tcW w:w="948"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20056E6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分配权限</w:t>
            </w:r>
          </w:p>
        </w:tc>
        <w:tc>
          <w:tcPr>
            <w:tcW w:w="3119" w:type="dxa"/>
            <w:tcBorders>
              <w:top w:val="nil"/>
              <w:left w:val="nil"/>
              <w:bottom w:val="single" w:color="auto" w:sz="8" w:space="0"/>
              <w:right w:val="single" w:color="auto" w:sz="8" w:space="0"/>
            </w:tcBorders>
            <w:tcMar>
              <w:top w:w="0" w:type="dxa"/>
              <w:left w:w="108" w:type="dxa"/>
              <w:bottom w:w="0" w:type="dxa"/>
              <w:right w:w="108" w:type="dxa"/>
            </w:tcMar>
            <w:vAlign w:val="center"/>
          </w:tcPr>
          <w:p w14:paraId="71BCCA8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各部门业务人员分配各自应拥有的系统日常操作权限。</w:t>
            </w:r>
          </w:p>
        </w:tc>
        <w:tc>
          <w:tcPr>
            <w:tcW w:w="1568" w:type="dxa"/>
            <w:tcBorders>
              <w:top w:val="nil"/>
              <w:left w:val="nil"/>
              <w:bottom w:val="single" w:color="auto" w:sz="8" w:space="0"/>
              <w:right w:val="single" w:color="auto" w:sz="8" w:space="0"/>
            </w:tcBorders>
            <w:tcMar>
              <w:top w:w="0" w:type="dxa"/>
              <w:left w:w="108" w:type="dxa"/>
              <w:bottom w:w="0" w:type="dxa"/>
              <w:right w:w="108" w:type="dxa"/>
            </w:tcMar>
            <w:vAlign w:val="center"/>
          </w:tcPr>
          <w:p w14:paraId="6D8681A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指导权限分配。</w:t>
            </w:r>
          </w:p>
        </w:tc>
        <w:tc>
          <w:tcPr>
            <w:tcW w:w="1790" w:type="dxa"/>
            <w:tcBorders>
              <w:top w:val="nil"/>
              <w:left w:val="nil"/>
              <w:bottom w:val="single" w:color="auto" w:sz="8" w:space="0"/>
              <w:right w:val="single" w:color="auto" w:sz="8" w:space="0"/>
            </w:tcBorders>
            <w:tcMar>
              <w:top w:w="0" w:type="dxa"/>
              <w:left w:w="108" w:type="dxa"/>
              <w:bottom w:w="0" w:type="dxa"/>
              <w:right w:w="108" w:type="dxa"/>
            </w:tcMar>
            <w:vAlign w:val="center"/>
          </w:tcPr>
          <w:p w14:paraId="283562F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将岗位分配到人员，并通过管理层审批。</w:t>
            </w:r>
          </w:p>
        </w:tc>
        <w:tc>
          <w:tcPr>
            <w:tcW w:w="1215" w:type="dxa"/>
            <w:tcBorders>
              <w:top w:val="nil"/>
              <w:left w:val="nil"/>
              <w:bottom w:val="single" w:color="auto" w:sz="8" w:space="0"/>
              <w:right w:val="single" w:color="auto" w:sz="8" w:space="0"/>
            </w:tcBorders>
            <w:tcMar>
              <w:top w:w="0" w:type="dxa"/>
              <w:left w:w="108" w:type="dxa"/>
              <w:bottom w:w="0" w:type="dxa"/>
              <w:right w:w="108" w:type="dxa"/>
            </w:tcMar>
            <w:vAlign w:val="center"/>
          </w:tcPr>
          <w:p w14:paraId="4B00939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用户系统权限配置表</w:t>
            </w:r>
          </w:p>
        </w:tc>
      </w:tr>
      <w:tr w14:paraId="03DDA9B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834" w:hRule="atLeast"/>
          <w:jc w:val="center"/>
        </w:trPr>
        <w:tc>
          <w:tcPr>
            <w:tcW w:w="948"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4A85769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测试权限</w:t>
            </w:r>
          </w:p>
        </w:tc>
        <w:tc>
          <w:tcPr>
            <w:tcW w:w="3119" w:type="dxa"/>
            <w:tcBorders>
              <w:top w:val="nil"/>
              <w:left w:val="nil"/>
              <w:bottom w:val="single" w:color="auto" w:sz="8" w:space="0"/>
              <w:right w:val="single" w:color="auto" w:sz="8" w:space="0"/>
            </w:tcBorders>
            <w:tcMar>
              <w:top w:w="0" w:type="dxa"/>
              <w:left w:w="108" w:type="dxa"/>
              <w:bottom w:w="0" w:type="dxa"/>
              <w:right w:w="108" w:type="dxa"/>
            </w:tcMar>
            <w:vAlign w:val="center"/>
          </w:tcPr>
          <w:p w14:paraId="4CB1EF2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针对每一个用户分配的权限进行测试。</w:t>
            </w:r>
          </w:p>
        </w:tc>
        <w:tc>
          <w:tcPr>
            <w:tcW w:w="1568" w:type="dxa"/>
            <w:tcBorders>
              <w:top w:val="nil"/>
              <w:left w:val="nil"/>
              <w:bottom w:val="single" w:color="auto" w:sz="8" w:space="0"/>
              <w:right w:val="single" w:color="auto" w:sz="8" w:space="0"/>
            </w:tcBorders>
            <w:tcMar>
              <w:top w:w="0" w:type="dxa"/>
              <w:left w:w="108" w:type="dxa"/>
              <w:bottom w:w="0" w:type="dxa"/>
              <w:right w:w="108" w:type="dxa"/>
            </w:tcMar>
            <w:vAlign w:val="center"/>
          </w:tcPr>
          <w:p w14:paraId="5CD448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解决权限设置中的问题。</w:t>
            </w:r>
          </w:p>
        </w:tc>
        <w:tc>
          <w:tcPr>
            <w:tcW w:w="1790" w:type="dxa"/>
            <w:tcBorders>
              <w:top w:val="nil"/>
              <w:left w:val="nil"/>
              <w:bottom w:val="single" w:color="auto" w:sz="8" w:space="0"/>
              <w:right w:val="single" w:color="auto" w:sz="8" w:space="0"/>
            </w:tcBorders>
            <w:tcMar>
              <w:top w:w="0" w:type="dxa"/>
              <w:left w:w="108" w:type="dxa"/>
              <w:bottom w:w="0" w:type="dxa"/>
              <w:right w:w="108" w:type="dxa"/>
            </w:tcMar>
            <w:vAlign w:val="center"/>
          </w:tcPr>
          <w:p w14:paraId="06CC3E8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验证、确保权限设置无误。</w:t>
            </w:r>
          </w:p>
        </w:tc>
        <w:tc>
          <w:tcPr>
            <w:tcW w:w="1215" w:type="dxa"/>
            <w:tcBorders>
              <w:top w:val="nil"/>
              <w:left w:val="nil"/>
              <w:bottom w:val="single" w:color="auto" w:sz="8" w:space="0"/>
              <w:right w:val="single" w:color="auto" w:sz="8" w:space="0"/>
            </w:tcBorders>
            <w:tcMar>
              <w:top w:w="0" w:type="dxa"/>
              <w:left w:w="108" w:type="dxa"/>
              <w:bottom w:w="0" w:type="dxa"/>
              <w:right w:w="108" w:type="dxa"/>
            </w:tcMar>
            <w:vAlign w:val="center"/>
          </w:tcPr>
          <w:p w14:paraId="20F42B5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r>
    </w:tbl>
    <w:p w14:paraId="277E7770">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p>
    <w:p w14:paraId="204DFCE7">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（2）静态数据准备与输入</w:t>
      </w:r>
    </w:p>
    <w:p w14:paraId="3E0E88E1">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57F6B12F">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完成静态数据的收集与整理后，即可进行，最晚于模拟演练前完成。</w:t>
      </w:r>
    </w:p>
    <w:p w14:paraId="6CD4B583">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w:t>
      </w:r>
    </w:p>
    <w:p w14:paraId="65C29794">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静态数据准备工作是项目实施中的基础工作，它的准备进度和准备质量直接影响到系统的上线进度和项目的最后实施质量。</w:t>
      </w:r>
    </w:p>
    <w:p w14:paraId="76CF336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确保进入系统的静态数据的完整性、准确性。</w:t>
      </w:r>
    </w:p>
    <w:p w14:paraId="03795847">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操作指南</w:t>
      </w:r>
    </w:p>
    <w:tbl>
      <w:tblPr>
        <w:tblStyle w:val="43"/>
        <w:tblW w:w="8565"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928"/>
        <w:gridCol w:w="2167"/>
        <w:gridCol w:w="2168"/>
        <w:gridCol w:w="1948"/>
        <w:gridCol w:w="1354"/>
      </w:tblGrid>
      <w:tr w14:paraId="27B3989D">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830" w:hRule="atLeast"/>
          <w:jc w:val="center"/>
        </w:trPr>
        <w:tc>
          <w:tcPr>
            <w:tcW w:w="927"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3F3947CF">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166"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2318493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2167"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1645C6D">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947"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22CFE1B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353"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2C1028F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B0A4E92">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640" w:hRule="atLeast"/>
          <w:jc w:val="center"/>
        </w:trPr>
        <w:tc>
          <w:tcPr>
            <w:tcW w:w="92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7302100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准备静态数据</w:t>
            </w:r>
          </w:p>
        </w:tc>
        <w:tc>
          <w:tcPr>
            <w:tcW w:w="2166" w:type="dxa"/>
            <w:tcBorders>
              <w:top w:val="nil"/>
              <w:left w:val="nil"/>
              <w:bottom w:val="single" w:color="auto" w:sz="8" w:space="0"/>
              <w:right w:val="single" w:color="auto" w:sz="8" w:space="0"/>
            </w:tcBorders>
            <w:tcMar>
              <w:top w:w="0" w:type="dxa"/>
              <w:left w:w="108" w:type="dxa"/>
              <w:bottom w:w="0" w:type="dxa"/>
              <w:right w:w="108" w:type="dxa"/>
            </w:tcMar>
            <w:vAlign w:val="center"/>
          </w:tcPr>
          <w:p w14:paraId="75F903B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每一类数据应该有专人负责，避免在出错后找不到原因而相互推诿。</w:t>
            </w:r>
          </w:p>
        </w:tc>
        <w:tc>
          <w:tcPr>
            <w:tcW w:w="2167" w:type="dxa"/>
            <w:tcBorders>
              <w:top w:val="nil"/>
              <w:left w:val="nil"/>
              <w:bottom w:val="single" w:color="auto" w:sz="8" w:space="0"/>
              <w:right w:val="single" w:color="auto" w:sz="8" w:space="0"/>
            </w:tcBorders>
            <w:tcMar>
              <w:top w:w="0" w:type="dxa"/>
              <w:left w:w="108" w:type="dxa"/>
              <w:bottom w:w="0" w:type="dxa"/>
              <w:right w:w="108" w:type="dxa"/>
            </w:tcMar>
            <w:vAlign w:val="center"/>
          </w:tcPr>
          <w:p w14:paraId="4F5F258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提供数据模板；</w:t>
            </w:r>
          </w:p>
          <w:p w14:paraId="55053B2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制定工作标准；</w:t>
            </w:r>
          </w:p>
          <w:p w14:paraId="5C45FDA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提供培训指导；</w:t>
            </w:r>
          </w:p>
          <w:p w14:paraId="73EDE4E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指导数据准备。 </w:t>
            </w:r>
          </w:p>
        </w:tc>
        <w:tc>
          <w:tcPr>
            <w:tcW w:w="1947" w:type="dxa"/>
            <w:tcBorders>
              <w:top w:val="nil"/>
              <w:left w:val="nil"/>
              <w:bottom w:val="single" w:color="auto" w:sz="8" w:space="0"/>
              <w:right w:val="single" w:color="auto" w:sz="8" w:space="0"/>
            </w:tcBorders>
            <w:tcMar>
              <w:top w:w="0" w:type="dxa"/>
              <w:left w:w="108" w:type="dxa"/>
              <w:bottom w:w="0" w:type="dxa"/>
              <w:right w:w="108" w:type="dxa"/>
            </w:tcMar>
            <w:vAlign w:val="center"/>
          </w:tcPr>
          <w:p w14:paraId="09397AC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按《实施解决方案-静态数据准备》进行数据准备。</w:t>
            </w:r>
          </w:p>
        </w:tc>
        <w:tc>
          <w:tcPr>
            <w:tcW w:w="1353" w:type="dxa"/>
            <w:tcBorders>
              <w:top w:val="nil"/>
              <w:left w:val="nil"/>
              <w:bottom w:val="single" w:color="auto" w:sz="8" w:space="0"/>
              <w:right w:val="single" w:color="auto" w:sz="8" w:space="0"/>
            </w:tcBorders>
            <w:tcMar>
              <w:top w:w="0" w:type="dxa"/>
              <w:left w:w="108" w:type="dxa"/>
              <w:bottom w:w="0" w:type="dxa"/>
              <w:right w:w="108" w:type="dxa"/>
            </w:tcMar>
            <w:vAlign w:val="center"/>
          </w:tcPr>
          <w:p w14:paraId="721FCF81">
            <w:pPr>
              <w:pageBreakBefore w:val="0"/>
              <w:widowControl/>
              <w:kinsoku/>
              <w:wordWrap/>
              <w:overflowPunct/>
              <w:topLinePunct w:val="0"/>
              <w:autoSpaceDE/>
              <w:autoSpaceDN/>
              <w:bidi w:val="0"/>
              <w:spacing w:before="120" w:after="120" w:line="360" w:lineRule="auto"/>
              <w:textAlignment w:val="auto"/>
              <w:rPr>
                <w:rFonts w:cs="宋体"/>
                <w:color w:val="010000"/>
                <w:kern w:val="0"/>
              </w:rPr>
            </w:pPr>
          </w:p>
        </w:tc>
      </w:tr>
      <w:tr w14:paraId="1842F503">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234" w:hRule="atLeast"/>
          <w:jc w:val="center"/>
        </w:trPr>
        <w:tc>
          <w:tcPr>
            <w:tcW w:w="92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1D2EAA2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输入静态数据</w:t>
            </w:r>
          </w:p>
        </w:tc>
        <w:tc>
          <w:tcPr>
            <w:tcW w:w="2166" w:type="dxa"/>
            <w:tcBorders>
              <w:top w:val="nil"/>
              <w:left w:val="nil"/>
              <w:bottom w:val="single" w:color="auto" w:sz="8" w:space="0"/>
              <w:right w:val="single" w:color="auto" w:sz="8" w:space="0"/>
            </w:tcBorders>
            <w:tcMar>
              <w:top w:w="0" w:type="dxa"/>
              <w:left w:w="108" w:type="dxa"/>
              <w:bottom w:w="0" w:type="dxa"/>
              <w:right w:w="108" w:type="dxa"/>
            </w:tcMar>
            <w:vAlign w:val="center"/>
          </w:tcPr>
          <w:p w14:paraId="18AFAC6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完成静态数据整理后，需及时将数据输入系统。</w:t>
            </w:r>
          </w:p>
        </w:tc>
        <w:tc>
          <w:tcPr>
            <w:tcW w:w="2167" w:type="dxa"/>
            <w:tcBorders>
              <w:top w:val="nil"/>
              <w:left w:val="nil"/>
              <w:bottom w:val="single" w:color="auto" w:sz="8" w:space="0"/>
              <w:right w:val="single" w:color="auto" w:sz="8" w:space="0"/>
            </w:tcBorders>
            <w:tcMar>
              <w:top w:w="0" w:type="dxa"/>
              <w:left w:w="108" w:type="dxa"/>
              <w:bottom w:w="0" w:type="dxa"/>
              <w:right w:w="108" w:type="dxa"/>
            </w:tcMar>
            <w:vAlign w:val="center"/>
          </w:tcPr>
          <w:p w14:paraId="190A031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提供导入模板；</w:t>
            </w:r>
          </w:p>
          <w:p w14:paraId="48E1281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指导数据输入。 </w:t>
            </w:r>
          </w:p>
        </w:tc>
        <w:tc>
          <w:tcPr>
            <w:tcW w:w="1947" w:type="dxa"/>
            <w:tcBorders>
              <w:top w:val="nil"/>
              <w:left w:val="nil"/>
              <w:bottom w:val="single" w:color="auto" w:sz="8" w:space="0"/>
              <w:right w:val="single" w:color="auto" w:sz="8" w:space="0"/>
            </w:tcBorders>
            <w:tcMar>
              <w:top w:w="0" w:type="dxa"/>
              <w:left w:w="108" w:type="dxa"/>
              <w:bottom w:w="0" w:type="dxa"/>
              <w:right w:w="108" w:type="dxa"/>
            </w:tcMar>
            <w:vAlign w:val="center"/>
          </w:tcPr>
          <w:p w14:paraId="31E3DCE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将数据输入系统。</w:t>
            </w:r>
          </w:p>
        </w:tc>
        <w:tc>
          <w:tcPr>
            <w:tcW w:w="1353" w:type="dxa"/>
            <w:tcBorders>
              <w:top w:val="nil"/>
              <w:left w:val="nil"/>
              <w:bottom w:val="single" w:color="auto" w:sz="8" w:space="0"/>
              <w:right w:val="single" w:color="auto" w:sz="8" w:space="0"/>
            </w:tcBorders>
            <w:tcMar>
              <w:top w:w="0" w:type="dxa"/>
              <w:left w:w="108" w:type="dxa"/>
              <w:bottom w:w="0" w:type="dxa"/>
              <w:right w:w="108" w:type="dxa"/>
            </w:tcMar>
            <w:vAlign w:val="center"/>
          </w:tcPr>
          <w:p w14:paraId="79DA4AD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静态数据转换方案</w:t>
            </w:r>
          </w:p>
        </w:tc>
      </w:tr>
      <w:tr w14:paraId="7CF0B702">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640" w:hRule="atLeast"/>
          <w:jc w:val="center"/>
        </w:trPr>
        <w:tc>
          <w:tcPr>
            <w:tcW w:w="92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543957D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检查与修正静态数据</w:t>
            </w:r>
          </w:p>
        </w:tc>
        <w:tc>
          <w:tcPr>
            <w:tcW w:w="2166" w:type="dxa"/>
            <w:tcBorders>
              <w:top w:val="nil"/>
              <w:left w:val="nil"/>
              <w:bottom w:val="single" w:color="auto" w:sz="8" w:space="0"/>
              <w:right w:val="single" w:color="auto" w:sz="8" w:space="0"/>
            </w:tcBorders>
            <w:tcMar>
              <w:top w:w="0" w:type="dxa"/>
              <w:left w:w="108" w:type="dxa"/>
              <w:bottom w:w="0" w:type="dxa"/>
              <w:right w:w="108" w:type="dxa"/>
            </w:tcMar>
            <w:vAlign w:val="center"/>
          </w:tcPr>
          <w:p w14:paraId="076793D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数据输入系统后，需要专人进行检查、验证，并修改错误数据。</w:t>
            </w:r>
          </w:p>
        </w:tc>
        <w:tc>
          <w:tcPr>
            <w:tcW w:w="2167" w:type="dxa"/>
            <w:tcBorders>
              <w:top w:val="nil"/>
              <w:left w:val="nil"/>
              <w:bottom w:val="single" w:color="auto" w:sz="8" w:space="0"/>
              <w:right w:val="single" w:color="auto" w:sz="8" w:space="0"/>
            </w:tcBorders>
            <w:tcMar>
              <w:top w:w="0" w:type="dxa"/>
              <w:left w:w="108" w:type="dxa"/>
              <w:bottom w:w="0" w:type="dxa"/>
              <w:right w:w="108" w:type="dxa"/>
            </w:tcMar>
            <w:vAlign w:val="center"/>
          </w:tcPr>
          <w:p w14:paraId="19B097C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通过业务测试以及基础档案查询方案，检验数据的逻辑完整性。</w:t>
            </w:r>
          </w:p>
        </w:tc>
        <w:tc>
          <w:tcPr>
            <w:tcW w:w="1947" w:type="dxa"/>
            <w:tcBorders>
              <w:top w:val="nil"/>
              <w:left w:val="nil"/>
              <w:bottom w:val="single" w:color="auto" w:sz="8" w:space="0"/>
              <w:right w:val="single" w:color="auto" w:sz="8" w:space="0"/>
            </w:tcBorders>
            <w:tcMar>
              <w:top w:w="0" w:type="dxa"/>
              <w:left w:w="108" w:type="dxa"/>
              <w:bottom w:w="0" w:type="dxa"/>
              <w:right w:w="108" w:type="dxa"/>
            </w:tcMar>
            <w:vAlign w:val="center"/>
          </w:tcPr>
          <w:p w14:paraId="3D28841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根据实际业务、静态数据规则，检查、修改错误数据。</w:t>
            </w:r>
          </w:p>
        </w:tc>
        <w:tc>
          <w:tcPr>
            <w:tcW w:w="1353" w:type="dxa"/>
            <w:tcBorders>
              <w:top w:val="nil"/>
              <w:left w:val="nil"/>
              <w:bottom w:val="single" w:color="auto" w:sz="8" w:space="0"/>
              <w:right w:val="single" w:color="auto" w:sz="8" w:space="0"/>
            </w:tcBorders>
            <w:tcMar>
              <w:top w:w="0" w:type="dxa"/>
              <w:left w:w="108" w:type="dxa"/>
              <w:bottom w:w="0" w:type="dxa"/>
              <w:right w:w="108" w:type="dxa"/>
            </w:tcMar>
            <w:vAlign w:val="center"/>
          </w:tcPr>
          <w:p w14:paraId="3B64812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r>
      <w:tr w14:paraId="3E7DACD1">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254" w:hRule="atLeast"/>
          <w:jc w:val="center"/>
        </w:trPr>
        <w:tc>
          <w:tcPr>
            <w:tcW w:w="92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0E86BCB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确认静态数据</w:t>
            </w:r>
          </w:p>
        </w:tc>
        <w:tc>
          <w:tcPr>
            <w:tcW w:w="2166" w:type="dxa"/>
            <w:tcBorders>
              <w:top w:val="nil"/>
              <w:left w:val="nil"/>
              <w:bottom w:val="single" w:color="auto" w:sz="8" w:space="0"/>
              <w:right w:val="single" w:color="auto" w:sz="8" w:space="0"/>
            </w:tcBorders>
            <w:tcMar>
              <w:top w:w="0" w:type="dxa"/>
              <w:left w:w="108" w:type="dxa"/>
              <w:bottom w:w="0" w:type="dxa"/>
              <w:right w:w="108" w:type="dxa"/>
            </w:tcMar>
            <w:vAlign w:val="center"/>
          </w:tcPr>
          <w:p w14:paraId="52D2716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数据提供部门和收集、输入人员须对数据质量负责。</w:t>
            </w:r>
          </w:p>
        </w:tc>
        <w:tc>
          <w:tcPr>
            <w:tcW w:w="2167" w:type="dxa"/>
            <w:tcBorders>
              <w:top w:val="nil"/>
              <w:left w:val="nil"/>
              <w:bottom w:val="single" w:color="auto" w:sz="8" w:space="0"/>
              <w:right w:val="single" w:color="auto" w:sz="8" w:space="0"/>
            </w:tcBorders>
            <w:tcMar>
              <w:top w:w="0" w:type="dxa"/>
              <w:left w:w="108" w:type="dxa"/>
              <w:bottom w:w="0" w:type="dxa"/>
              <w:right w:w="108" w:type="dxa"/>
            </w:tcMar>
            <w:vAlign w:val="center"/>
          </w:tcPr>
          <w:p w14:paraId="68D7A83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与客户核实静态数据准备与输入的完成情况。</w:t>
            </w:r>
          </w:p>
        </w:tc>
        <w:tc>
          <w:tcPr>
            <w:tcW w:w="1947" w:type="dxa"/>
            <w:tcBorders>
              <w:top w:val="nil"/>
              <w:left w:val="nil"/>
              <w:bottom w:val="single" w:color="auto" w:sz="8" w:space="0"/>
              <w:right w:val="single" w:color="auto" w:sz="8" w:space="0"/>
            </w:tcBorders>
            <w:tcMar>
              <w:top w:w="0" w:type="dxa"/>
              <w:left w:w="108" w:type="dxa"/>
              <w:bottom w:w="0" w:type="dxa"/>
              <w:right w:w="108" w:type="dxa"/>
            </w:tcMar>
            <w:vAlign w:val="center"/>
          </w:tcPr>
          <w:p w14:paraId="212EC6C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对进入系统的静态数据进行确认。</w:t>
            </w:r>
          </w:p>
        </w:tc>
        <w:tc>
          <w:tcPr>
            <w:tcW w:w="1353" w:type="dxa"/>
            <w:tcBorders>
              <w:top w:val="nil"/>
              <w:left w:val="nil"/>
              <w:bottom w:val="single" w:color="auto" w:sz="8" w:space="0"/>
              <w:right w:val="single" w:color="auto" w:sz="8" w:space="0"/>
            </w:tcBorders>
            <w:tcMar>
              <w:top w:w="0" w:type="dxa"/>
              <w:left w:w="108" w:type="dxa"/>
              <w:bottom w:w="0" w:type="dxa"/>
              <w:right w:w="108" w:type="dxa"/>
            </w:tcMar>
            <w:vAlign w:val="center"/>
          </w:tcPr>
          <w:p w14:paraId="2356CDC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静态数据准备完成确认单</w:t>
            </w:r>
          </w:p>
        </w:tc>
      </w:tr>
    </w:tbl>
    <w:p w14:paraId="2AE3382B">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p>
    <w:p w14:paraId="41180BF2">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（3）系统配置</w:t>
      </w:r>
    </w:p>
    <w:p w14:paraId="3E1032CE">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04610E9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在客户签字确认实施解决方案后开始，系统集成测试开始前完成。</w:t>
      </w:r>
    </w:p>
    <w:p w14:paraId="4BA903A7">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w:t>
      </w:r>
    </w:p>
    <w:p w14:paraId="191BDFBA">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按照实施解决方案中的要求进行系统配置，完成生产环境搭建。</w:t>
      </w:r>
    </w:p>
    <w:p w14:paraId="65959056">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b/>
          <w:bCs/>
          <w:color w:val="010000"/>
          <w:kern w:val="0"/>
        </w:rPr>
      </w:pPr>
      <w:r>
        <w:rPr>
          <w:rFonts w:hint="eastAsia" w:cs="宋体"/>
          <w:color w:val="010000"/>
          <w:kern w:val="0"/>
        </w:rPr>
        <w:t>操作指南</w:t>
      </w:r>
      <w:r>
        <w:rPr>
          <w:rFonts w:hint="eastAsia" w:cs="宋体"/>
          <w:b/>
          <w:bCs/>
          <w:color w:val="010000"/>
          <w:kern w:val="0"/>
        </w:rPr>
        <w:t xml:space="preserve"> </w:t>
      </w:r>
    </w:p>
    <w:tbl>
      <w:tblPr>
        <w:tblStyle w:val="43"/>
        <w:tblW w:w="8445"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738"/>
        <w:gridCol w:w="2113"/>
        <w:gridCol w:w="2819"/>
        <w:gridCol w:w="1775"/>
        <w:gridCol w:w="1000"/>
      </w:tblGrid>
      <w:tr w14:paraId="289AAC0F">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557" w:hRule="atLeast"/>
          <w:jc w:val="center"/>
        </w:trPr>
        <w:tc>
          <w:tcPr>
            <w:tcW w:w="738"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4BDEFB1F">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112"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076850C">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2817"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200527F9">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74"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7F91AB6">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999"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105E6587">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01EEBD31">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jc w:val="center"/>
        </w:trPr>
        <w:tc>
          <w:tcPr>
            <w:tcW w:w="738"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25257A3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进行系统设置</w:t>
            </w:r>
          </w:p>
        </w:tc>
        <w:tc>
          <w:tcPr>
            <w:tcW w:w="2112" w:type="dxa"/>
            <w:tcBorders>
              <w:top w:val="nil"/>
              <w:left w:val="nil"/>
              <w:bottom w:val="single" w:color="auto" w:sz="8" w:space="0"/>
              <w:right w:val="single" w:color="auto" w:sz="8" w:space="0"/>
            </w:tcBorders>
            <w:tcMar>
              <w:top w:w="0" w:type="dxa"/>
              <w:left w:w="108" w:type="dxa"/>
              <w:bottom w:w="0" w:type="dxa"/>
              <w:right w:w="108" w:type="dxa"/>
            </w:tcMar>
            <w:vAlign w:val="center"/>
          </w:tcPr>
          <w:p w14:paraId="3438F6D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系统设置严格按照《实施解决方案-参数配置》进行。</w:t>
            </w:r>
          </w:p>
        </w:tc>
        <w:tc>
          <w:tcPr>
            <w:tcW w:w="2817" w:type="dxa"/>
            <w:tcBorders>
              <w:top w:val="nil"/>
              <w:left w:val="nil"/>
              <w:bottom w:val="single" w:color="auto" w:sz="8" w:space="0"/>
              <w:right w:val="single" w:color="auto" w:sz="8" w:space="0"/>
            </w:tcBorders>
            <w:tcMar>
              <w:top w:w="0" w:type="dxa"/>
              <w:left w:w="108" w:type="dxa"/>
              <w:bottom w:w="0" w:type="dxa"/>
              <w:right w:w="108" w:type="dxa"/>
            </w:tcMar>
            <w:vAlign w:val="center"/>
          </w:tcPr>
          <w:p w14:paraId="44D9335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 《实施解决方案-参数配置》，指导内部顾问进行系统配置。</w:t>
            </w:r>
          </w:p>
        </w:tc>
        <w:tc>
          <w:tcPr>
            <w:tcW w:w="1774" w:type="dxa"/>
            <w:tcBorders>
              <w:top w:val="nil"/>
              <w:left w:val="nil"/>
              <w:bottom w:val="single" w:color="auto" w:sz="8" w:space="0"/>
              <w:right w:val="single" w:color="auto" w:sz="8" w:space="0"/>
            </w:tcBorders>
            <w:tcMar>
              <w:top w:w="0" w:type="dxa"/>
              <w:left w:w="108" w:type="dxa"/>
              <w:bottom w:w="0" w:type="dxa"/>
              <w:right w:w="108" w:type="dxa"/>
            </w:tcMar>
            <w:vAlign w:val="center"/>
          </w:tcPr>
          <w:p w14:paraId="34A0033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按照《实施解决方案-参数配置》在系统中进行配置。</w:t>
            </w:r>
          </w:p>
        </w:tc>
        <w:tc>
          <w:tcPr>
            <w:tcW w:w="999" w:type="dxa"/>
            <w:tcBorders>
              <w:top w:val="nil"/>
              <w:left w:val="nil"/>
              <w:bottom w:val="single" w:color="auto" w:sz="8" w:space="0"/>
              <w:right w:val="single" w:color="auto" w:sz="8" w:space="0"/>
            </w:tcBorders>
            <w:tcMar>
              <w:top w:w="0" w:type="dxa"/>
              <w:left w:w="108" w:type="dxa"/>
              <w:bottom w:w="0" w:type="dxa"/>
              <w:right w:w="108" w:type="dxa"/>
            </w:tcMar>
            <w:vAlign w:val="center"/>
          </w:tcPr>
          <w:p w14:paraId="21C1199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  </w:t>
            </w:r>
          </w:p>
        </w:tc>
      </w:tr>
      <w:tr w14:paraId="4A954931">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174" w:hRule="atLeast"/>
          <w:jc w:val="center"/>
        </w:trPr>
        <w:tc>
          <w:tcPr>
            <w:tcW w:w="738"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38F2E66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检查系统设置</w:t>
            </w:r>
          </w:p>
        </w:tc>
        <w:tc>
          <w:tcPr>
            <w:tcW w:w="2112" w:type="dxa"/>
            <w:tcBorders>
              <w:top w:val="nil"/>
              <w:left w:val="nil"/>
              <w:bottom w:val="single" w:color="auto" w:sz="8" w:space="0"/>
              <w:right w:val="single" w:color="auto" w:sz="8" w:space="0"/>
            </w:tcBorders>
            <w:tcMar>
              <w:top w:w="0" w:type="dxa"/>
              <w:left w:w="108" w:type="dxa"/>
              <w:bottom w:w="0" w:type="dxa"/>
              <w:right w:w="108" w:type="dxa"/>
            </w:tcMar>
            <w:vAlign w:val="center"/>
          </w:tcPr>
          <w:p w14:paraId="3B769DA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与集成测试、模拟演练阶段配合，滚动修正、优化参数配置。</w:t>
            </w:r>
          </w:p>
        </w:tc>
        <w:tc>
          <w:tcPr>
            <w:tcW w:w="2817" w:type="dxa"/>
            <w:tcBorders>
              <w:top w:val="nil"/>
              <w:left w:val="nil"/>
              <w:bottom w:val="single" w:color="auto" w:sz="8" w:space="0"/>
              <w:right w:val="single" w:color="auto" w:sz="8" w:space="0"/>
            </w:tcBorders>
            <w:tcMar>
              <w:top w:w="0" w:type="dxa"/>
              <w:left w:w="108" w:type="dxa"/>
              <w:bottom w:w="0" w:type="dxa"/>
              <w:right w:w="108" w:type="dxa"/>
            </w:tcMar>
            <w:vAlign w:val="center"/>
          </w:tcPr>
          <w:p w14:paraId="013167E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对系统进行检查，确保设置正确。</w:t>
            </w:r>
          </w:p>
        </w:tc>
        <w:tc>
          <w:tcPr>
            <w:tcW w:w="1774" w:type="dxa"/>
            <w:tcBorders>
              <w:top w:val="nil"/>
              <w:left w:val="nil"/>
              <w:bottom w:val="single" w:color="auto" w:sz="8" w:space="0"/>
              <w:right w:val="single" w:color="auto" w:sz="8" w:space="0"/>
            </w:tcBorders>
            <w:tcMar>
              <w:top w:w="0" w:type="dxa"/>
              <w:left w:w="108" w:type="dxa"/>
              <w:bottom w:w="0" w:type="dxa"/>
              <w:right w:w="108" w:type="dxa"/>
            </w:tcMar>
            <w:vAlign w:val="center"/>
          </w:tcPr>
          <w:p w14:paraId="2DA33C2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协助进行系统设置检查。</w:t>
            </w:r>
          </w:p>
        </w:tc>
        <w:tc>
          <w:tcPr>
            <w:tcW w:w="999" w:type="dxa"/>
            <w:tcBorders>
              <w:top w:val="nil"/>
              <w:left w:val="nil"/>
              <w:bottom w:val="single" w:color="auto" w:sz="8" w:space="0"/>
              <w:right w:val="single" w:color="auto" w:sz="8" w:space="0"/>
            </w:tcBorders>
            <w:tcMar>
              <w:top w:w="0" w:type="dxa"/>
              <w:left w:w="108" w:type="dxa"/>
              <w:bottom w:w="0" w:type="dxa"/>
              <w:right w:w="108" w:type="dxa"/>
            </w:tcMar>
            <w:vAlign w:val="center"/>
          </w:tcPr>
          <w:p w14:paraId="668A96B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实施解决方案-参数配置</w:t>
            </w:r>
          </w:p>
        </w:tc>
      </w:tr>
    </w:tbl>
    <w:p w14:paraId="41F28948">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p>
    <w:p w14:paraId="5A4C7BB7">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（4）系统集成测试</w:t>
      </w:r>
    </w:p>
    <w:p w14:paraId="0B017E25">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07B20232">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客户化开发及系统配置完成后开始，最终用户培训前结束。</w:t>
      </w:r>
    </w:p>
    <w:p w14:paraId="25B95FC6">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w:t>
      </w:r>
    </w:p>
    <w:p w14:paraId="58B3B2C3">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通过对系统进行集成测试，及时发现方案考虑不周全或系统配置不恰当的地方，并进行方案调整和系统配置调整，降低系统上线风险。</w:t>
      </w:r>
    </w:p>
    <w:p w14:paraId="22D33CFD">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操作指南</w:t>
      </w:r>
    </w:p>
    <w:tbl>
      <w:tblPr>
        <w:tblStyle w:val="43"/>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3"/>
        <w:gridCol w:w="2718"/>
        <w:gridCol w:w="1474"/>
        <w:gridCol w:w="2232"/>
        <w:gridCol w:w="1263"/>
      </w:tblGrid>
      <w:tr w14:paraId="29810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2" w:hRule="atLeast"/>
          <w:jc w:val="center"/>
        </w:trPr>
        <w:tc>
          <w:tcPr>
            <w:tcW w:w="95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CA234BE">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71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44CF468">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474"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005C2F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lang w:eastAsia="zh-CN"/>
              </w:rPr>
              <w:t>实施</w:t>
            </w:r>
            <w:r>
              <w:rPr>
                <w:rFonts w:hint="eastAsia" w:cs="宋体"/>
                <w:b/>
                <w:bCs/>
                <w:color w:val="010000"/>
                <w:kern w:val="0"/>
              </w:rPr>
              <w:t>方职责</w:t>
            </w:r>
          </w:p>
        </w:tc>
        <w:tc>
          <w:tcPr>
            <w:tcW w:w="223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76FF340">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6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690750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4204E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8" w:hRule="atLeast"/>
          <w:jc w:val="center"/>
        </w:trPr>
        <w:tc>
          <w:tcPr>
            <w:tcW w:w="9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67739D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收集测试用例</w:t>
            </w:r>
          </w:p>
        </w:tc>
        <w:tc>
          <w:tcPr>
            <w:tcW w:w="2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2C0E3C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从实际业务数据中，按照各种业务类型收集测试用例，全面覆盖实施解决方案。</w:t>
            </w:r>
          </w:p>
        </w:tc>
        <w:tc>
          <w:tcPr>
            <w:tcW w:w="14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EBD6F1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提供测试用例模板。</w:t>
            </w:r>
          </w:p>
        </w:tc>
        <w:tc>
          <w:tcPr>
            <w:tcW w:w="223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6CF332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编写测试用例。</w:t>
            </w:r>
          </w:p>
        </w:tc>
        <w:tc>
          <w:tcPr>
            <w:tcW w:w="12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0DF3E0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实施解决方案-测试用例</w:t>
            </w:r>
          </w:p>
        </w:tc>
      </w:tr>
      <w:tr w14:paraId="545A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60" w:hRule="atLeast"/>
          <w:jc w:val="center"/>
        </w:trPr>
        <w:tc>
          <w:tcPr>
            <w:tcW w:w="9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DD3DB6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进行系统集成测试</w:t>
            </w:r>
          </w:p>
        </w:tc>
        <w:tc>
          <w:tcPr>
            <w:tcW w:w="2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595286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根据系统中已经维护的基础数据，结合实施解决方案，按照测试用例进行系统集成测试。</w:t>
            </w:r>
          </w:p>
        </w:tc>
        <w:tc>
          <w:tcPr>
            <w:tcW w:w="14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F01DF5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制定测试计划；</w:t>
            </w:r>
          </w:p>
          <w:p w14:paraId="68CCBD2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带领客户进行系统集成测试；</w:t>
            </w:r>
          </w:p>
          <w:p w14:paraId="7F52FBA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修改测试问题。 </w:t>
            </w:r>
          </w:p>
        </w:tc>
        <w:tc>
          <w:tcPr>
            <w:tcW w:w="223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0707F3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内部顾问、关键用户进行系统测试；</w:t>
            </w:r>
          </w:p>
          <w:p w14:paraId="1A646A7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记录、整理测试问题，编制系统测试报告。</w:t>
            </w:r>
          </w:p>
        </w:tc>
        <w:tc>
          <w:tcPr>
            <w:tcW w:w="12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829C9B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系统测试报告</w:t>
            </w:r>
          </w:p>
          <w:p w14:paraId="3C1BB0A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项目问题跟踪记录清单 </w:t>
            </w:r>
          </w:p>
        </w:tc>
      </w:tr>
      <w:tr w14:paraId="1AED2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57" w:hRule="atLeast"/>
          <w:jc w:val="center"/>
        </w:trPr>
        <w:tc>
          <w:tcPr>
            <w:tcW w:w="9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DE236E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编写岗位操作手册</w:t>
            </w:r>
          </w:p>
        </w:tc>
        <w:tc>
          <w:tcPr>
            <w:tcW w:w="271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CCA2BF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由内部顾问指导关键用户编制操作手册。</w:t>
            </w:r>
          </w:p>
        </w:tc>
        <w:tc>
          <w:tcPr>
            <w:tcW w:w="14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7854EB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指导客户编写岗位操作手册。</w:t>
            </w:r>
          </w:p>
        </w:tc>
        <w:tc>
          <w:tcPr>
            <w:tcW w:w="223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22FADE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依据实施解决方案、系统集成测试，编写岗位操作手册，并发布。</w:t>
            </w:r>
          </w:p>
        </w:tc>
        <w:tc>
          <w:tcPr>
            <w:tcW w:w="126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0AB818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岗位操作手册</w:t>
            </w:r>
          </w:p>
        </w:tc>
      </w:tr>
    </w:tbl>
    <w:p w14:paraId="27A31F89">
      <w:pPr>
        <w:pageBreakBefore w:val="0"/>
        <w:widowControl/>
        <w:kinsoku/>
        <w:wordWrap/>
        <w:overflowPunct/>
        <w:topLinePunct w:val="0"/>
        <w:autoSpaceDE/>
        <w:autoSpaceDN/>
        <w:bidi w:val="0"/>
        <w:spacing w:before="120" w:after="120" w:line="360" w:lineRule="auto"/>
        <w:ind w:firstLine="420"/>
        <w:textAlignment w:val="auto"/>
        <w:rPr>
          <w:rFonts w:cs="宋体"/>
          <w:color w:val="010000"/>
          <w:kern w:val="0"/>
        </w:rPr>
      </w:pPr>
    </w:p>
    <w:p w14:paraId="06085F35">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（5）最终用户培训</w:t>
      </w:r>
    </w:p>
    <w:p w14:paraId="3A7537E2">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操作时机</w:t>
      </w:r>
    </w:p>
    <w:p w14:paraId="7E5F9C44">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完成业务权限分配、发布岗位操作手册后开始，模拟演练前完成。</w:t>
      </w:r>
    </w:p>
    <w:p w14:paraId="0897EC8A">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目标/价值</w:t>
      </w:r>
    </w:p>
    <w:p w14:paraId="53426BB2">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xml:space="preserve">由关键用户结合本企业的生产特点，对本企业的最终用户进行软件操作培训，使其能够熟练掌握在系统上线后的日常业务操作过程。 </w:t>
      </w:r>
    </w:p>
    <w:p w14:paraId="2F036A4B">
      <w:pPr>
        <w:pageBreakBefore w:val="0"/>
        <w:widowControl/>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kern w:val="0"/>
        </w:rPr>
      </w:pPr>
      <w:r>
        <w:rPr>
          <w:rFonts w:hint="eastAsia" w:cs="宋体"/>
          <w:color w:val="010000"/>
          <w:kern w:val="0"/>
        </w:rPr>
        <w:t>操作指南</w:t>
      </w:r>
    </w:p>
    <w:tbl>
      <w:tblPr>
        <w:tblStyle w:val="43"/>
        <w:tblW w:w="8565"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941"/>
        <w:gridCol w:w="2071"/>
        <w:gridCol w:w="1467"/>
        <w:gridCol w:w="1755"/>
        <w:gridCol w:w="2331"/>
      </w:tblGrid>
      <w:tr w14:paraId="77B25B61">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863" w:hRule="atLeast"/>
          <w:jc w:val="center"/>
        </w:trPr>
        <w:tc>
          <w:tcPr>
            <w:tcW w:w="940"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4BEC1E74">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07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6401AF2D">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466"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1EE2E876">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lang w:eastAsia="zh-CN"/>
              </w:rPr>
              <w:t>实施</w:t>
            </w:r>
            <w:r>
              <w:rPr>
                <w:rFonts w:hint="eastAsia" w:cs="宋体"/>
                <w:b/>
                <w:bCs/>
                <w:color w:val="010000"/>
                <w:kern w:val="0"/>
              </w:rPr>
              <w:t>方职责</w:t>
            </w:r>
          </w:p>
        </w:tc>
        <w:tc>
          <w:tcPr>
            <w:tcW w:w="1754"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334084B4">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233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6EF2C36E">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58AE11E5">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392" w:hRule="atLeast"/>
          <w:jc w:val="center"/>
        </w:trPr>
        <w:tc>
          <w:tcPr>
            <w:tcW w:w="940"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6128A6D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进行培训准备</w:t>
            </w:r>
          </w:p>
        </w:tc>
        <w:tc>
          <w:tcPr>
            <w:tcW w:w="2070" w:type="dxa"/>
            <w:tcBorders>
              <w:top w:val="nil"/>
              <w:left w:val="nil"/>
              <w:bottom w:val="single" w:color="auto" w:sz="8" w:space="0"/>
              <w:right w:val="single" w:color="auto" w:sz="8" w:space="0"/>
            </w:tcBorders>
            <w:tcMar>
              <w:top w:w="0" w:type="dxa"/>
              <w:left w:w="108" w:type="dxa"/>
              <w:bottom w:w="0" w:type="dxa"/>
              <w:right w:w="108" w:type="dxa"/>
            </w:tcMar>
            <w:vAlign w:val="center"/>
          </w:tcPr>
          <w:p w14:paraId="55D44C3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培训的范围基于岗位操作手册；</w:t>
            </w:r>
          </w:p>
          <w:p w14:paraId="7D5D0C5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由关键用户或内部顾问担当培训讲师。 </w:t>
            </w:r>
          </w:p>
          <w:p w14:paraId="04D45AA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466" w:type="dxa"/>
            <w:tcBorders>
              <w:top w:val="nil"/>
              <w:left w:val="nil"/>
              <w:bottom w:val="single" w:color="auto" w:sz="8" w:space="0"/>
              <w:right w:val="single" w:color="auto" w:sz="8" w:space="0"/>
            </w:tcBorders>
            <w:tcMar>
              <w:top w:w="0" w:type="dxa"/>
              <w:left w:w="108" w:type="dxa"/>
              <w:bottom w:w="0" w:type="dxa"/>
              <w:right w:w="108" w:type="dxa"/>
            </w:tcMar>
            <w:vAlign w:val="center"/>
          </w:tcPr>
          <w:p w14:paraId="6D7CCD5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指导培训的准备工作。</w:t>
            </w:r>
          </w:p>
        </w:tc>
        <w:tc>
          <w:tcPr>
            <w:tcW w:w="1754" w:type="dxa"/>
            <w:tcBorders>
              <w:top w:val="nil"/>
              <w:left w:val="nil"/>
              <w:bottom w:val="single" w:color="auto" w:sz="8" w:space="0"/>
              <w:right w:val="single" w:color="auto" w:sz="8" w:space="0"/>
            </w:tcBorders>
            <w:tcMar>
              <w:top w:w="0" w:type="dxa"/>
              <w:left w:w="108" w:type="dxa"/>
              <w:bottom w:w="0" w:type="dxa"/>
              <w:right w:w="108" w:type="dxa"/>
            </w:tcMar>
            <w:vAlign w:val="center"/>
          </w:tcPr>
          <w:p w14:paraId="630C9C5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制定培训计划；</w:t>
            </w:r>
          </w:p>
          <w:p w14:paraId="4B61A20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搭建培训环境；</w:t>
            </w:r>
          </w:p>
          <w:p w14:paraId="2427951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进行培训准备。 </w:t>
            </w:r>
          </w:p>
        </w:tc>
        <w:tc>
          <w:tcPr>
            <w:tcW w:w="2330" w:type="dxa"/>
            <w:tcBorders>
              <w:top w:val="nil"/>
              <w:left w:val="nil"/>
              <w:bottom w:val="single" w:color="auto" w:sz="8" w:space="0"/>
              <w:right w:val="single" w:color="auto" w:sz="8" w:space="0"/>
            </w:tcBorders>
            <w:tcMar>
              <w:top w:w="0" w:type="dxa"/>
              <w:left w:w="108" w:type="dxa"/>
              <w:bottom w:w="0" w:type="dxa"/>
              <w:right w:w="108" w:type="dxa"/>
            </w:tcMar>
            <w:vAlign w:val="center"/>
          </w:tcPr>
          <w:p w14:paraId="5D8E6B6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最终用户培训包：培训计划书</w:t>
            </w:r>
          </w:p>
        </w:tc>
      </w:tr>
      <w:tr w14:paraId="73E18ED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677" w:hRule="atLeast"/>
          <w:jc w:val="center"/>
        </w:trPr>
        <w:tc>
          <w:tcPr>
            <w:tcW w:w="940"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1330F85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培训最终用户</w:t>
            </w:r>
          </w:p>
        </w:tc>
        <w:tc>
          <w:tcPr>
            <w:tcW w:w="2070" w:type="dxa"/>
            <w:tcBorders>
              <w:top w:val="nil"/>
              <w:left w:val="nil"/>
              <w:bottom w:val="single" w:color="auto" w:sz="8" w:space="0"/>
              <w:right w:val="single" w:color="auto" w:sz="8" w:space="0"/>
            </w:tcBorders>
            <w:tcMar>
              <w:top w:w="0" w:type="dxa"/>
              <w:left w:w="108" w:type="dxa"/>
              <w:bottom w:w="0" w:type="dxa"/>
              <w:right w:w="108" w:type="dxa"/>
            </w:tcMar>
            <w:vAlign w:val="center"/>
          </w:tcPr>
          <w:p w14:paraId="4F7C2405">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培训考勤要完整记录；</w:t>
            </w:r>
          </w:p>
          <w:p w14:paraId="2CCBF89E">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培训时使用客户真实数据。</w:t>
            </w:r>
          </w:p>
        </w:tc>
        <w:tc>
          <w:tcPr>
            <w:tcW w:w="1466" w:type="dxa"/>
            <w:tcBorders>
              <w:top w:val="nil"/>
              <w:left w:val="nil"/>
              <w:bottom w:val="single" w:color="auto" w:sz="8" w:space="0"/>
              <w:right w:val="single" w:color="auto" w:sz="8" w:space="0"/>
            </w:tcBorders>
            <w:tcMar>
              <w:top w:w="0" w:type="dxa"/>
              <w:left w:w="108" w:type="dxa"/>
              <w:bottom w:w="0" w:type="dxa"/>
              <w:right w:w="108" w:type="dxa"/>
            </w:tcMar>
            <w:vAlign w:val="center"/>
          </w:tcPr>
          <w:p w14:paraId="72A376F4">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指导培训。</w:t>
            </w:r>
          </w:p>
        </w:tc>
        <w:tc>
          <w:tcPr>
            <w:tcW w:w="1754" w:type="dxa"/>
            <w:tcBorders>
              <w:top w:val="nil"/>
              <w:left w:val="nil"/>
              <w:bottom w:val="single" w:color="auto" w:sz="8" w:space="0"/>
              <w:right w:val="single" w:color="auto" w:sz="8" w:space="0"/>
            </w:tcBorders>
            <w:tcMar>
              <w:top w:w="0" w:type="dxa"/>
              <w:left w:w="108" w:type="dxa"/>
              <w:bottom w:w="0" w:type="dxa"/>
              <w:right w:w="108" w:type="dxa"/>
            </w:tcMar>
            <w:vAlign w:val="center"/>
          </w:tcPr>
          <w:p w14:paraId="1BD01FE2">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按照岗位操作手册，培训最终用户。</w:t>
            </w:r>
          </w:p>
        </w:tc>
        <w:tc>
          <w:tcPr>
            <w:tcW w:w="2330" w:type="dxa"/>
            <w:tcBorders>
              <w:top w:val="nil"/>
              <w:left w:val="nil"/>
              <w:bottom w:val="single" w:color="auto" w:sz="8" w:space="0"/>
              <w:right w:val="single" w:color="auto" w:sz="8" w:space="0"/>
            </w:tcBorders>
            <w:tcMar>
              <w:top w:w="0" w:type="dxa"/>
              <w:left w:w="108" w:type="dxa"/>
              <w:bottom w:w="0" w:type="dxa"/>
              <w:right w:w="108" w:type="dxa"/>
            </w:tcMar>
            <w:vAlign w:val="center"/>
          </w:tcPr>
          <w:p w14:paraId="4800F1E4">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color w:val="010000"/>
                <w:kern w:val="0"/>
              </w:rPr>
              <w:t>最终用户培训包：培训考勤记录</w:t>
            </w:r>
          </w:p>
        </w:tc>
      </w:tr>
      <w:tr w14:paraId="68071757">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384" w:hRule="atLeast"/>
          <w:jc w:val="center"/>
        </w:trPr>
        <w:tc>
          <w:tcPr>
            <w:tcW w:w="940"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65C3D23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考核与总结</w:t>
            </w:r>
          </w:p>
        </w:tc>
        <w:tc>
          <w:tcPr>
            <w:tcW w:w="2070" w:type="dxa"/>
            <w:tcBorders>
              <w:top w:val="nil"/>
              <w:left w:val="nil"/>
              <w:bottom w:val="single" w:color="auto" w:sz="8" w:space="0"/>
              <w:right w:val="single" w:color="auto" w:sz="8" w:space="0"/>
            </w:tcBorders>
            <w:tcMar>
              <w:top w:w="0" w:type="dxa"/>
              <w:left w:w="108" w:type="dxa"/>
              <w:bottom w:w="0" w:type="dxa"/>
              <w:right w:w="108" w:type="dxa"/>
            </w:tcMar>
            <w:vAlign w:val="center"/>
          </w:tcPr>
          <w:p w14:paraId="64A70FA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试题需覆盖岗位操作手册中的内容；</w:t>
            </w:r>
          </w:p>
          <w:p w14:paraId="51564BF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实际操作为主、笔试为辅；</w:t>
            </w:r>
          </w:p>
          <w:p w14:paraId="7A46100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颁发上岗证与培训纪念品。 </w:t>
            </w:r>
          </w:p>
        </w:tc>
        <w:tc>
          <w:tcPr>
            <w:tcW w:w="1466" w:type="dxa"/>
            <w:tcBorders>
              <w:top w:val="nil"/>
              <w:left w:val="nil"/>
              <w:bottom w:val="single" w:color="auto" w:sz="8" w:space="0"/>
              <w:right w:val="single" w:color="auto" w:sz="8" w:space="0"/>
            </w:tcBorders>
            <w:tcMar>
              <w:top w:w="0" w:type="dxa"/>
              <w:left w:w="108" w:type="dxa"/>
              <w:bottom w:w="0" w:type="dxa"/>
              <w:right w:w="108" w:type="dxa"/>
            </w:tcMar>
            <w:vAlign w:val="center"/>
          </w:tcPr>
          <w:p w14:paraId="3374F9D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协助考试与培训总结。</w:t>
            </w:r>
          </w:p>
        </w:tc>
        <w:tc>
          <w:tcPr>
            <w:tcW w:w="1754" w:type="dxa"/>
            <w:tcBorders>
              <w:top w:val="nil"/>
              <w:left w:val="nil"/>
              <w:bottom w:val="single" w:color="auto" w:sz="8" w:space="0"/>
              <w:right w:val="single" w:color="auto" w:sz="8" w:space="0"/>
            </w:tcBorders>
            <w:tcMar>
              <w:top w:w="0" w:type="dxa"/>
              <w:left w:w="108" w:type="dxa"/>
              <w:bottom w:w="0" w:type="dxa"/>
              <w:right w:w="108" w:type="dxa"/>
            </w:tcMar>
            <w:vAlign w:val="center"/>
          </w:tcPr>
          <w:p w14:paraId="13A44C5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编制试题；</w:t>
            </w:r>
          </w:p>
          <w:p w14:paraId="3956A24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进行最终用户考核；</w:t>
            </w:r>
          </w:p>
          <w:p w14:paraId="1393875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进行培训总结。 </w:t>
            </w:r>
          </w:p>
        </w:tc>
        <w:tc>
          <w:tcPr>
            <w:tcW w:w="2330" w:type="dxa"/>
            <w:tcBorders>
              <w:top w:val="nil"/>
              <w:left w:val="nil"/>
              <w:bottom w:val="single" w:color="auto" w:sz="8" w:space="0"/>
              <w:right w:val="single" w:color="auto" w:sz="8" w:space="0"/>
            </w:tcBorders>
            <w:tcMar>
              <w:top w:w="0" w:type="dxa"/>
              <w:left w:w="108" w:type="dxa"/>
              <w:bottom w:w="0" w:type="dxa"/>
              <w:right w:w="108" w:type="dxa"/>
            </w:tcMar>
            <w:vAlign w:val="center"/>
          </w:tcPr>
          <w:p w14:paraId="52C0F85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最终用户培训包：培训考试成绩记录单；培训总结报告</w:t>
            </w:r>
          </w:p>
        </w:tc>
      </w:tr>
    </w:tbl>
    <w:p w14:paraId="5D8E712C">
      <w:pPr>
        <w:pageBreakBefore w:val="0"/>
        <w:widowControl/>
        <w:kinsoku/>
        <w:wordWrap/>
        <w:overflowPunct/>
        <w:topLinePunct w:val="0"/>
        <w:autoSpaceDE/>
        <w:autoSpaceDN/>
        <w:bidi w:val="0"/>
        <w:spacing w:before="120" w:after="120" w:line="360" w:lineRule="auto"/>
        <w:ind w:firstLine="420"/>
        <w:textAlignment w:val="auto"/>
        <w:rPr>
          <w:rFonts w:cs="宋体"/>
          <w:color w:val="010000"/>
          <w:kern w:val="0"/>
        </w:rPr>
      </w:pPr>
    </w:p>
    <w:p w14:paraId="4EB66F69">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（6）模拟演练</w:t>
      </w:r>
    </w:p>
    <w:p w14:paraId="733B544B">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4A085E34">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最终用户培训开始一周后开始，建议操作时间为一个月。</w:t>
      </w:r>
    </w:p>
    <w:p w14:paraId="15CA3C3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0C5882F8">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通过大量真实业务模拟，进一步验证方案的可行性、稳定性、系统的性能，提高最终用户对系统的熟练程度，达到上线切换一次成功。</w:t>
      </w:r>
    </w:p>
    <w:p w14:paraId="5ED34B3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 xml:space="preserve">操作指南 </w:t>
      </w:r>
    </w:p>
    <w:tbl>
      <w:tblPr>
        <w:tblStyle w:val="43"/>
        <w:tblW w:w="8745"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1625"/>
        <w:gridCol w:w="1837"/>
        <w:gridCol w:w="1971"/>
        <w:gridCol w:w="1788"/>
        <w:gridCol w:w="1524"/>
      </w:tblGrid>
      <w:tr w14:paraId="21F790F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10" w:hRule="atLeast"/>
          <w:jc w:val="center"/>
        </w:trPr>
        <w:tc>
          <w:tcPr>
            <w:tcW w:w="1624"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04FBAC77">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836"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353934F9">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97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2D4F146">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87"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50256F66">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523"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FAA57C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43A67382">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jc w:val="center"/>
        </w:trPr>
        <w:tc>
          <w:tcPr>
            <w:tcW w:w="1624"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5B813D9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准备模拟环境</w:t>
            </w:r>
          </w:p>
        </w:tc>
        <w:tc>
          <w:tcPr>
            <w:tcW w:w="1836" w:type="dxa"/>
            <w:tcBorders>
              <w:top w:val="nil"/>
              <w:left w:val="nil"/>
              <w:bottom w:val="single" w:color="auto" w:sz="8" w:space="0"/>
              <w:right w:val="single" w:color="auto" w:sz="8" w:space="0"/>
            </w:tcBorders>
            <w:tcMar>
              <w:top w:w="0" w:type="dxa"/>
              <w:left w:w="108" w:type="dxa"/>
              <w:bottom w:w="0" w:type="dxa"/>
              <w:right w:w="108" w:type="dxa"/>
            </w:tcMar>
            <w:vAlign w:val="center"/>
          </w:tcPr>
          <w:p w14:paraId="043E6A6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为模拟搭建集中办公环境；</w:t>
            </w:r>
          </w:p>
          <w:p w14:paraId="485E5BB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静态数据与配置参数迁移至模拟系统；</w:t>
            </w:r>
          </w:p>
          <w:p w14:paraId="546910B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动态数据导入至模拟系统。 </w:t>
            </w:r>
          </w:p>
        </w:tc>
        <w:tc>
          <w:tcPr>
            <w:tcW w:w="1970" w:type="dxa"/>
            <w:tcBorders>
              <w:top w:val="nil"/>
              <w:left w:val="nil"/>
              <w:bottom w:val="single" w:color="auto" w:sz="8" w:space="0"/>
              <w:right w:val="single" w:color="auto" w:sz="8" w:space="0"/>
            </w:tcBorders>
            <w:tcMar>
              <w:top w:w="0" w:type="dxa"/>
              <w:left w:w="108" w:type="dxa"/>
              <w:bottom w:w="0" w:type="dxa"/>
              <w:right w:w="108" w:type="dxa"/>
            </w:tcMar>
            <w:vAlign w:val="center"/>
          </w:tcPr>
          <w:p w14:paraId="4648D60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为环境准备提供技术指导； </w:t>
            </w:r>
          </w:p>
          <w:p w14:paraId="6EFD2CF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指导系统搭建。 </w:t>
            </w:r>
          </w:p>
        </w:tc>
        <w:tc>
          <w:tcPr>
            <w:tcW w:w="1787" w:type="dxa"/>
            <w:tcBorders>
              <w:top w:val="nil"/>
              <w:left w:val="nil"/>
              <w:bottom w:val="single" w:color="auto" w:sz="8" w:space="0"/>
              <w:right w:val="single" w:color="auto" w:sz="8" w:space="0"/>
            </w:tcBorders>
            <w:tcMar>
              <w:top w:w="0" w:type="dxa"/>
              <w:left w:w="108" w:type="dxa"/>
              <w:bottom w:w="0" w:type="dxa"/>
              <w:right w:w="108" w:type="dxa"/>
            </w:tcMar>
            <w:vAlign w:val="center"/>
          </w:tcPr>
          <w:p w14:paraId="29FF695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制定详细计划；</w:t>
            </w:r>
          </w:p>
          <w:p w14:paraId="1B26AB8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完成环境准备；</w:t>
            </w:r>
          </w:p>
          <w:p w14:paraId="6B7DD42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准备模拟数据；</w:t>
            </w:r>
          </w:p>
          <w:p w14:paraId="04F68E4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完成系统搭建。 </w:t>
            </w:r>
          </w:p>
        </w:tc>
        <w:tc>
          <w:tcPr>
            <w:tcW w:w="1523" w:type="dxa"/>
            <w:tcBorders>
              <w:top w:val="nil"/>
              <w:left w:val="nil"/>
              <w:bottom w:val="single" w:color="auto" w:sz="8" w:space="0"/>
              <w:right w:val="single" w:color="auto" w:sz="8" w:space="0"/>
            </w:tcBorders>
            <w:tcMar>
              <w:top w:w="0" w:type="dxa"/>
              <w:left w:w="108" w:type="dxa"/>
              <w:bottom w:w="0" w:type="dxa"/>
              <w:right w:w="108" w:type="dxa"/>
            </w:tcMar>
            <w:vAlign w:val="center"/>
          </w:tcPr>
          <w:p w14:paraId="4422E25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实施解决方案-测试用例</w:t>
            </w:r>
          </w:p>
        </w:tc>
      </w:tr>
      <w:tr w14:paraId="526B6865">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jc w:val="center"/>
        </w:trPr>
        <w:tc>
          <w:tcPr>
            <w:tcW w:w="1624"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03C87DA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进行模拟演练</w:t>
            </w:r>
          </w:p>
        </w:tc>
        <w:tc>
          <w:tcPr>
            <w:tcW w:w="1836" w:type="dxa"/>
            <w:tcBorders>
              <w:top w:val="nil"/>
              <w:left w:val="nil"/>
              <w:bottom w:val="single" w:color="auto" w:sz="8" w:space="0"/>
              <w:right w:val="single" w:color="auto" w:sz="8" w:space="0"/>
            </w:tcBorders>
            <w:tcMar>
              <w:top w:w="0" w:type="dxa"/>
              <w:left w:w="108" w:type="dxa"/>
              <w:bottom w:w="0" w:type="dxa"/>
              <w:right w:w="108" w:type="dxa"/>
            </w:tcMar>
            <w:vAlign w:val="center"/>
          </w:tcPr>
          <w:p w14:paraId="6CD4359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要打印出单据；</w:t>
            </w:r>
          </w:p>
          <w:p w14:paraId="4645E8E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流程走不通时一定要及时反馈并记录；</w:t>
            </w:r>
          </w:p>
          <w:p w14:paraId="0F28956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模拟演练由最终用户执行。 </w:t>
            </w:r>
          </w:p>
        </w:tc>
        <w:tc>
          <w:tcPr>
            <w:tcW w:w="1970" w:type="dxa"/>
            <w:tcBorders>
              <w:top w:val="nil"/>
              <w:left w:val="nil"/>
              <w:bottom w:val="single" w:color="auto" w:sz="8" w:space="0"/>
              <w:right w:val="single" w:color="auto" w:sz="8" w:space="0"/>
            </w:tcBorders>
            <w:tcMar>
              <w:top w:w="0" w:type="dxa"/>
              <w:left w:w="108" w:type="dxa"/>
              <w:bottom w:w="0" w:type="dxa"/>
              <w:right w:w="108" w:type="dxa"/>
            </w:tcMar>
            <w:vAlign w:val="center"/>
          </w:tcPr>
          <w:p w14:paraId="7548215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协助解决模拟演练出现的问题。</w:t>
            </w:r>
          </w:p>
        </w:tc>
        <w:tc>
          <w:tcPr>
            <w:tcW w:w="1787" w:type="dxa"/>
            <w:tcBorders>
              <w:top w:val="nil"/>
              <w:left w:val="nil"/>
              <w:bottom w:val="single" w:color="auto" w:sz="8" w:space="0"/>
              <w:right w:val="single" w:color="auto" w:sz="8" w:space="0"/>
            </w:tcBorders>
            <w:tcMar>
              <w:top w:w="0" w:type="dxa"/>
              <w:left w:w="108" w:type="dxa"/>
              <w:bottom w:w="0" w:type="dxa"/>
              <w:right w:w="108" w:type="dxa"/>
            </w:tcMar>
            <w:vAlign w:val="center"/>
          </w:tcPr>
          <w:p w14:paraId="75FC95F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按计划，必须基于企业真实业务，及时准确地进行系统模拟。</w:t>
            </w:r>
          </w:p>
        </w:tc>
        <w:tc>
          <w:tcPr>
            <w:tcW w:w="1523" w:type="dxa"/>
            <w:tcBorders>
              <w:top w:val="nil"/>
              <w:left w:val="nil"/>
              <w:bottom w:val="single" w:color="auto" w:sz="8" w:space="0"/>
              <w:right w:val="single" w:color="auto" w:sz="8" w:space="0"/>
            </w:tcBorders>
            <w:tcMar>
              <w:top w:w="0" w:type="dxa"/>
              <w:left w:w="108" w:type="dxa"/>
              <w:bottom w:w="0" w:type="dxa"/>
              <w:right w:w="108" w:type="dxa"/>
            </w:tcMar>
            <w:vAlign w:val="center"/>
          </w:tcPr>
          <w:p w14:paraId="34CAF7A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项目问题跟踪记录清单</w:t>
            </w:r>
          </w:p>
        </w:tc>
      </w:tr>
      <w:tr w14:paraId="39A36F53">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555" w:hRule="atLeast"/>
          <w:jc w:val="center"/>
        </w:trPr>
        <w:tc>
          <w:tcPr>
            <w:tcW w:w="1624"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219FC0B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总结模拟演练</w:t>
            </w:r>
          </w:p>
        </w:tc>
        <w:tc>
          <w:tcPr>
            <w:tcW w:w="1836" w:type="dxa"/>
            <w:tcBorders>
              <w:top w:val="nil"/>
              <w:left w:val="nil"/>
              <w:bottom w:val="single" w:color="auto" w:sz="8" w:space="0"/>
              <w:right w:val="single" w:color="auto" w:sz="8" w:space="0"/>
            </w:tcBorders>
            <w:tcMar>
              <w:top w:w="0" w:type="dxa"/>
              <w:left w:w="108" w:type="dxa"/>
              <w:bottom w:w="0" w:type="dxa"/>
              <w:right w:w="108" w:type="dxa"/>
            </w:tcMar>
            <w:vAlign w:val="center"/>
          </w:tcPr>
          <w:p w14:paraId="4779182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滚动式模拟演练，建议不少于3轮。 </w:t>
            </w:r>
          </w:p>
        </w:tc>
        <w:tc>
          <w:tcPr>
            <w:tcW w:w="1970" w:type="dxa"/>
            <w:tcBorders>
              <w:top w:val="nil"/>
              <w:left w:val="nil"/>
              <w:bottom w:val="single" w:color="auto" w:sz="8" w:space="0"/>
              <w:right w:val="single" w:color="auto" w:sz="8" w:space="0"/>
            </w:tcBorders>
            <w:tcMar>
              <w:top w:w="0" w:type="dxa"/>
              <w:left w:w="108" w:type="dxa"/>
              <w:bottom w:w="0" w:type="dxa"/>
              <w:right w:w="108" w:type="dxa"/>
            </w:tcMar>
            <w:vAlign w:val="center"/>
          </w:tcPr>
          <w:p w14:paraId="736A480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协助总结报告。</w:t>
            </w:r>
          </w:p>
        </w:tc>
        <w:tc>
          <w:tcPr>
            <w:tcW w:w="1787" w:type="dxa"/>
            <w:tcBorders>
              <w:top w:val="nil"/>
              <w:left w:val="nil"/>
              <w:bottom w:val="single" w:color="auto" w:sz="8" w:space="0"/>
              <w:right w:val="single" w:color="auto" w:sz="8" w:space="0"/>
            </w:tcBorders>
            <w:tcMar>
              <w:top w:w="0" w:type="dxa"/>
              <w:left w:w="108" w:type="dxa"/>
              <w:bottom w:w="0" w:type="dxa"/>
              <w:right w:w="108" w:type="dxa"/>
            </w:tcMar>
            <w:vAlign w:val="center"/>
          </w:tcPr>
          <w:p w14:paraId="7D561CC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主导总结报告。</w:t>
            </w:r>
          </w:p>
        </w:tc>
        <w:tc>
          <w:tcPr>
            <w:tcW w:w="1523" w:type="dxa"/>
            <w:tcBorders>
              <w:top w:val="nil"/>
              <w:left w:val="nil"/>
              <w:bottom w:val="single" w:color="auto" w:sz="8" w:space="0"/>
              <w:right w:val="single" w:color="auto" w:sz="8" w:space="0"/>
            </w:tcBorders>
            <w:tcMar>
              <w:top w:w="0" w:type="dxa"/>
              <w:left w:w="108" w:type="dxa"/>
              <w:bottom w:w="0" w:type="dxa"/>
              <w:right w:w="108" w:type="dxa"/>
            </w:tcMar>
            <w:vAlign w:val="center"/>
          </w:tcPr>
          <w:p w14:paraId="6972154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模拟演练总结报告</w:t>
            </w:r>
          </w:p>
        </w:tc>
      </w:tr>
      <w:tr w14:paraId="12FA40CC">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420" w:hRule="atLeast"/>
          <w:jc w:val="center"/>
        </w:trPr>
        <w:tc>
          <w:tcPr>
            <w:tcW w:w="1624"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7336F10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验收客户化开发</w:t>
            </w:r>
          </w:p>
        </w:tc>
        <w:tc>
          <w:tcPr>
            <w:tcW w:w="1836" w:type="dxa"/>
            <w:tcBorders>
              <w:top w:val="nil"/>
              <w:left w:val="nil"/>
              <w:bottom w:val="single" w:color="auto" w:sz="8" w:space="0"/>
              <w:right w:val="single" w:color="auto" w:sz="8" w:space="0"/>
            </w:tcBorders>
            <w:tcMar>
              <w:top w:w="0" w:type="dxa"/>
              <w:left w:w="108" w:type="dxa"/>
              <w:bottom w:w="0" w:type="dxa"/>
              <w:right w:w="108" w:type="dxa"/>
            </w:tcMar>
            <w:vAlign w:val="center"/>
          </w:tcPr>
          <w:p w14:paraId="1133CE2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客开完成并验证后，需要对客开成果进行验收。</w:t>
            </w:r>
          </w:p>
        </w:tc>
        <w:tc>
          <w:tcPr>
            <w:tcW w:w="1970" w:type="dxa"/>
            <w:tcBorders>
              <w:top w:val="nil"/>
              <w:left w:val="nil"/>
              <w:bottom w:val="single" w:color="auto" w:sz="8" w:space="0"/>
              <w:right w:val="single" w:color="auto" w:sz="8" w:space="0"/>
            </w:tcBorders>
            <w:tcMar>
              <w:top w:w="0" w:type="dxa"/>
              <w:left w:w="108" w:type="dxa"/>
              <w:bottom w:w="0" w:type="dxa"/>
              <w:right w:w="108" w:type="dxa"/>
            </w:tcMar>
            <w:vAlign w:val="center"/>
          </w:tcPr>
          <w:p w14:paraId="684D308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主导撰写《客户化开发总结报告》</w:t>
            </w:r>
          </w:p>
        </w:tc>
        <w:tc>
          <w:tcPr>
            <w:tcW w:w="1787" w:type="dxa"/>
            <w:tcBorders>
              <w:top w:val="nil"/>
              <w:left w:val="nil"/>
              <w:bottom w:val="single" w:color="auto" w:sz="8" w:space="0"/>
              <w:right w:val="single" w:color="auto" w:sz="8" w:space="0"/>
            </w:tcBorders>
            <w:tcMar>
              <w:top w:w="0" w:type="dxa"/>
              <w:left w:w="108" w:type="dxa"/>
              <w:bottom w:w="0" w:type="dxa"/>
              <w:right w:w="108" w:type="dxa"/>
            </w:tcMar>
            <w:vAlign w:val="center"/>
          </w:tcPr>
          <w:p w14:paraId="1824F70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测试完成后配合签字。</w:t>
            </w:r>
          </w:p>
        </w:tc>
        <w:tc>
          <w:tcPr>
            <w:tcW w:w="1523" w:type="dxa"/>
            <w:tcBorders>
              <w:top w:val="nil"/>
              <w:left w:val="nil"/>
              <w:bottom w:val="single" w:color="auto" w:sz="8" w:space="0"/>
              <w:right w:val="single" w:color="auto" w:sz="8" w:space="0"/>
            </w:tcBorders>
            <w:tcMar>
              <w:top w:w="0" w:type="dxa"/>
              <w:left w:w="108" w:type="dxa"/>
              <w:bottom w:w="0" w:type="dxa"/>
              <w:right w:w="108" w:type="dxa"/>
            </w:tcMar>
            <w:vAlign w:val="center"/>
          </w:tcPr>
          <w:p w14:paraId="62D7C00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客户化开发总结报告（可选）</w:t>
            </w:r>
          </w:p>
        </w:tc>
      </w:tr>
    </w:tbl>
    <w:p w14:paraId="2D5AC928">
      <w:pPr>
        <w:pageBreakBefore w:val="0"/>
        <w:kinsoku/>
        <w:wordWrap/>
        <w:overflowPunct/>
        <w:topLinePunct w:val="0"/>
        <w:autoSpaceDE/>
        <w:autoSpaceDN/>
        <w:bidi w:val="0"/>
        <w:spacing w:line="360" w:lineRule="auto"/>
        <w:textAlignment w:val="auto"/>
      </w:pPr>
    </w:p>
    <w:p w14:paraId="0A49DDC4">
      <w:pPr>
        <w:pStyle w:val="12"/>
        <w:pageBreakBefore w:val="0"/>
        <w:numPr>
          <w:ilvl w:val="4"/>
          <w:numId w:val="12"/>
        </w:numPr>
        <w:kinsoku/>
        <w:wordWrap/>
        <w:overflowPunct/>
        <w:topLinePunct w:val="0"/>
        <w:autoSpaceDE/>
        <w:autoSpaceDN/>
        <w:bidi w:val="0"/>
        <w:spacing w:line="360" w:lineRule="auto"/>
        <w:textAlignment w:val="auto"/>
      </w:pPr>
      <w:bookmarkStart w:id="368" w:name="_Toc1451182247"/>
      <w:r>
        <w:rPr>
          <w:rFonts w:hint="eastAsia"/>
        </w:rPr>
        <w:t>系统试运行</w:t>
      </w:r>
      <w:bookmarkEnd w:id="368"/>
    </w:p>
    <w:p w14:paraId="28E9D1F9">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（1）上线切换方案制订与发布</w:t>
      </w:r>
    </w:p>
    <w:p w14:paraId="58E32A4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62066105">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xml:space="preserve">  模拟演练开始后同步开始，切换环境检查前完成。 </w:t>
      </w:r>
    </w:p>
    <w:p w14:paraId="28A5E89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71C788E0">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为了保证系统成功上线切换，需要制订完善的切换策略、详尽的切换计划。</w:t>
      </w:r>
    </w:p>
    <w:p w14:paraId="0E0CF14C">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操作指南</w:t>
      </w:r>
    </w:p>
    <w:tbl>
      <w:tblPr>
        <w:tblStyle w:val="43"/>
        <w:tblW w:w="8160"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1059"/>
        <w:gridCol w:w="1850"/>
        <w:gridCol w:w="2048"/>
        <w:gridCol w:w="2046"/>
        <w:gridCol w:w="1157"/>
      </w:tblGrid>
      <w:tr w14:paraId="76269ED7">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PrEx>
        <w:trPr>
          <w:trHeight w:val="828" w:hRule="atLeast"/>
          <w:jc w:val="center"/>
        </w:trPr>
        <w:tc>
          <w:tcPr>
            <w:tcW w:w="1059"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7C6D9703">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850"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1A8B8BD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2048"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729CC3A">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2046"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2F78B8E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157"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09828C0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04A509A">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636" w:hRule="atLeast"/>
          <w:jc w:val="center"/>
        </w:trPr>
        <w:tc>
          <w:tcPr>
            <w:tcW w:w="1059"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0025561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制订上线策略</w:t>
            </w:r>
          </w:p>
        </w:tc>
        <w:tc>
          <w:tcPr>
            <w:tcW w:w="1850" w:type="dxa"/>
            <w:tcBorders>
              <w:top w:val="nil"/>
              <w:left w:val="nil"/>
              <w:bottom w:val="single" w:color="auto" w:sz="8" w:space="0"/>
              <w:right w:val="single" w:color="auto" w:sz="8" w:space="0"/>
            </w:tcBorders>
            <w:tcMar>
              <w:top w:w="0" w:type="dxa"/>
              <w:left w:w="108" w:type="dxa"/>
              <w:bottom w:w="0" w:type="dxa"/>
              <w:right w:w="108" w:type="dxa"/>
            </w:tcMar>
            <w:vAlign w:val="center"/>
          </w:tcPr>
          <w:p w14:paraId="5AC253A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提供多种切换预案；</w:t>
            </w:r>
          </w:p>
          <w:p w14:paraId="6DAC748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切换的方式和步骤要符合业务实际和系统前后逻辑控制；</w:t>
            </w:r>
          </w:p>
          <w:p w14:paraId="2C40E4B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切换的流程、数据、职能部门要明确和清晰；</w:t>
            </w:r>
          </w:p>
          <w:p w14:paraId="2F36E62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上线时点尽量不要选择客户业务的高峰期。</w:t>
            </w:r>
          </w:p>
        </w:tc>
        <w:tc>
          <w:tcPr>
            <w:tcW w:w="2048" w:type="dxa"/>
            <w:tcBorders>
              <w:top w:val="nil"/>
              <w:left w:val="nil"/>
              <w:bottom w:val="single" w:color="auto" w:sz="8" w:space="0"/>
              <w:right w:val="single" w:color="auto" w:sz="8" w:space="0"/>
            </w:tcBorders>
            <w:tcMar>
              <w:top w:w="0" w:type="dxa"/>
              <w:left w:w="108" w:type="dxa"/>
              <w:bottom w:w="0" w:type="dxa"/>
              <w:right w:w="108" w:type="dxa"/>
            </w:tcMar>
            <w:vAlign w:val="center"/>
          </w:tcPr>
          <w:p w14:paraId="09F1394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提供上线切换建议方案，并与企业高层、各部门深入沟通、达成一致。</w:t>
            </w:r>
          </w:p>
        </w:tc>
        <w:tc>
          <w:tcPr>
            <w:tcW w:w="2046" w:type="dxa"/>
            <w:tcBorders>
              <w:top w:val="nil"/>
              <w:left w:val="nil"/>
              <w:bottom w:val="single" w:color="auto" w:sz="8" w:space="0"/>
              <w:right w:val="single" w:color="auto" w:sz="8" w:space="0"/>
            </w:tcBorders>
            <w:tcMar>
              <w:top w:w="0" w:type="dxa"/>
              <w:left w:w="108" w:type="dxa"/>
              <w:bottom w:w="0" w:type="dxa"/>
              <w:right w:w="108" w:type="dxa"/>
            </w:tcMar>
            <w:vAlign w:val="center"/>
          </w:tcPr>
          <w:p w14:paraId="2F0F36F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根据企业实际，协助制订，各级管理者参与讨论、分析。</w:t>
            </w:r>
          </w:p>
        </w:tc>
        <w:tc>
          <w:tcPr>
            <w:tcW w:w="1157" w:type="dxa"/>
            <w:tcBorders>
              <w:top w:val="nil"/>
              <w:left w:val="nil"/>
              <w:bottom w:val="single" w:color="auto" w:sz="8" w:space="0"/>
              <w:right w:val="single" w:color="auto" w:sz="8" w:space="0"/>
            </w:tcBorders>
            <w:tcMar>
              <w:top w:w="0" w:type="dxa"/>
              <w:left w:w="108" w:type="dxa"/>
              <w:bottom w:w="0" w:type="dxa"/>
              <w:right w:w="108" w:type="dxa"/>
            </w:tcMar>
            <w:vAlign w:val="center"/>
          </w:tcPr>
          <w:p w14:paraId="3C4874A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系统上线切换方案</w:t>
            </w:r>
          </w:p>
        </w:tc>
      </w:tr>
      <w:tr w14:paraId="49446BD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636" w:hRule="atLeast"/>
          <w:jc w:val="center"/>
        </w:trPr>
        <w:tc>
          <w:tcPr>
            <w:tcW w:w="1059"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5B0E7E2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制订上线计划</w:t>
            </w:r>
          </w:p>
        </w:tc>
        <w:tc>
          <w:tcPr>
            <w:tcW w:w="1850" w:type="dxa"/>
            <w:tcBorders>
              <w:top w:val="nil"/>
              <w:left w:val="nil"/>
              <w:bottom w:val="single" w:color="auto" w:sz="8" w:space="0"/>
              <w:right w:val="single" w:color="auto" w:sz="8" w:space="0"/>
            </w:tcBorders>
            <w:tcMar>
              <w:top w:w="0" w:type="dxa"/>
              <w:left w:w="108" w:type="dxa"/>
              <w:bottom w:w="0" w:type="dxa"/>
              <w:right w:w="108" w:type="dxa"/>
            </w:tcMar>
            <w:vAlign w:val="center"/>
          </w:tcPr>
          <w:p w14:paraId="0C4791F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按照切换顺序，明确计划和工作内容，责任到人。</w:t>
            </w:r>
          </w:p>
        </w:tc>
        <w:tc>
          <w:tcPr>
            <w:tcW w:w="2048" w:type="dxa"/>
            <w:tcBorders>
              <w:top w:val="nil"/>
              <w:left w:val="nil"/>
              <w:bottom w:val="single" w:color="auto" w:sz="8" w:space="0"/>
              <w:right w:val="single" w:color="auto" w:sz="8" w:space="0"/>
            </w:tcBorders>
            <w:tcMar>
              <w:top w:w="0" w:type="dxa"/>
              <w:left w:w="108" w:type="dxa"/>
              <w:bottom w:w="0" w:type="dxa"/>
              <w:right w:w="108" w:type="dxa"/>
            </w:tcMar>
            <w:vAlign w:val="center"/>
          </w:tcPr>
          <w:p w14:paraId="042098B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制订上线切换计划，与各级管理者达成一致。</w:t>
            </w:r>
          </w:p>
        </w:tc>
        <w:tc>
          <w:tcPr>
            <w:tcW w:w="2046" w:type="dxa"/>
            <w:tcBorders>
              <w:top w:val="nil"/>
              <w:left w:val="nil"/>
              <w:bottom w:val="single" w:color="auto" w:sz="8" w:space="0"/>
              <w:right w:val="single" w:color="auto" w:sz="8" w:space="0"/>
            </w:tcBorders>
            <w:tcMar>
              <w:top w:w="0" w:type="dxa"/>
              <w:left w:w="108" w:type="dxa"/>
              <w:bottom w:w="0" w:type="dxa"/>
              <w:right w:w="108" w:type="dxa"/>
            </w:tcMar>
            <w:vAlign w:val="center"/>
          </w:tcPr>
          <w:p w14:paraId="272044F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根据企业实际，协助制订，并征求各级管理者意见。</w:t>
            </w:r>
          </w:p>
        </w:tc>
        <w:tc>
          <w:tcPr>
            <w:tcW w:w="1157" w:type="dxa"/>
            <w:tcBorders>
              <w:top w:val="nil"/>
              <w:left w:val="nil"/>
              <w:bottom w:val="single" w:color="auto" w:sz="8" w:space="0"/>
              <w:right w:val="single" w:color="auto" w:sz="8" w:space="0"/>
            </w:tcBorders>
            <w:tcMar>
              <w:top w:w="0" w:type="dxa"/>
              <w:left w:w="108" w:type="dxa"/>
              <w:bottom w:w="0" w:type="dxa"/>
              <w:right w:w="108" w:type="dxa"/>
            </w:tcMar>
            <w:vAlign w:val="center"/>
          </w:tcPr>
          <w:p w14:paraId="201C89A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系统上线切换方案（含计划）</w:t>
            </w:r>
          </w:p>
        </w:tc>
      </w:tr>
      <w:tr w14:paraId="59953AB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1656" w:hRule="atLeast"/>
          <w:jc w:val="center"/>
        </w:trPr>
        <w:tc>
          <w:tcPr>
            <w:tcW w:w="1059"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2A7B700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评审、发布上线切换方案</w:t>
            </w:r>
          </w:p>
        </w:tc>
        <w:tc>
          <w:tcPr>
            <w:tcW w:w="1850" w:type="dxa"/>
            <w:tcBorders>
              <w:top w:val="nil"/>
              <w:left w:val="nil"/>
              <w:bottom w:val="single" w:color="auto" w:sz="8" w:space="0"/>
              <w:right w:val="single" w:color="auto" w:sz="8" w:space="0"/>
            </w:tcBorders>
            <w:tcMar>
              <w:top w:w="0" w:type="dxa"/>
              <w:left w:w="108" w:type="dxa"/>
              <w:bottom w:w="0" w:type="dxa"/>
              <w:right w:w="108" w:type="dxa"/>
            </w:tcMar>
            <w:vAlign w:val="center"/>
          </w:tcPr>
          <w:p w14:paraId="7BD242E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切换方案作为上线前的重要制度，要在评审后，发布和讲解。</w:t>
            </w:r>
          </w:p>
        </w:tc>
        <w:tc>
          <w:tcPr>
            <w:tcW w:w="2048" w:type="dxa"/>
            <w:tcBorders>
              <w:top w:val="nil"/>
              <w:left w:val="nil"/>
              <w:bottom w:val="single" w:color="auto" w:sz="8" w:space="0"/>
              <w:right w:val="single" w:color="auto" w:sz="8" w:space="0"/>
            </w:tcBorders>
            <w:tcMar>
              <w:top w:w="0" w:type="dxa"/>
              <w:left w:w="108" w:type="dxa"/>
              <w:bottom w:w="0" w:type="dxa"/>
              <w:right w:w="108" w:type="dxa"/>
            </w:tcMar>
            <w:vAlign w:val="center"/>
          </w:tcPr>
          <w:p w14:paraId="576C914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项目委员会评审通过。</w:t>
            </w:r>
          </w:p>
        </w:tc>
        <w:tc>
          <w:tcPr>
            <w:tcW w:w="2046" w:type="dxa"/>
            <w:tcBorders>
              <w:top w:val="nil"/>
              <w:left w:val="nil"/>
              <w:bottom w:val="single" w:color="auto" w:sz="8" w:space="0"/>
              <w:right w:val="single" w:color="auto" w:sz="8" w:space="0"/>
            </w:tcBorders>
            <w:tcMar>
              <w:top w:w="0" w:type="dxa"/>
              <w:left w:w="108" w:type="dxa"/>
              <w:bottom w:w="0" w:type="dxa"/>
              <w:right w:w="108" w:type="dxa"/>
            </w:tcMar>
            <w:vAlign w:val="center"/>
          </w:tcPr>
          <w:p w14:paraId="1121167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项目委员会评审通过，并作为企业重要制度予以发布、严格考核执行。</w:t>
            </w:r>
          </w:p>
        </w:tc>
        <w:tc>
          <w:tcPr>
            <w:tcW w:w="1157" w:type="dxa"/>
            <w:tcBorders>
              <w:top w:val="nil"/>
              <w:left w:val="nil"/>
              <w:bottom w:val="single" w:color="auto" w:sz="8" w:space="0"/>
              <w:right w:val="single" w:color="auto" w:sz="8" w:space="0"/>
            </w:tcBorders>
            <w:tcMar>
              <w:top w:w="0" w:type="dxa"/>
              <w:left w:w="108" w:type="dxa"/>
              <w:bottom w:w="0" w:type="dxa"/>
              <w:right w:w="108" w:type="dxa"/>
            </w:tcMar>
            <w:vAlign w:val="center"/>
          </w:tcPr>
          <w:p w14:paraId="24C1389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系统上线切换方案</w:t>
            </w:r>
          </w:p>
        </w:tc>
      </w:tr>
    </w:tbl>
    <w:p w14:paraId="2D6F0CFE">
      <w:pPr>
        <w:pageBreakBefore w:val="0"/>
        <w:widowControl/>
        <w:kinsoku/>
        <w:wordWrap/>
        <w:overflowPunct/>
        <w:topLinePunct w:val="0"/>
        <w:autoSpaceDE/>
        <w:autoSpaceDN/>
        <w:bidi w:val="0"/>
        <w:spacing w:before="120" w:after="120" w:line="360" w:lineRule="auto"/>
        <w:ind w:firstLine="420"/>
        <w:textAlignment w:val="auto"/>
        <w:rPr>
          <w:rFonts w:cs="宋体"/>
          <w:color w:val="010000"/>
          <w:kern w:val="0"/>
        </w:rPr>
      </w:pPr>
    </w:p>
    <w:p w14:paraId="45255E1E">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（2）系统运行流程及制度发布</w:t>
      </w:r>
    </w:p>
    <w:p w14:paraId="33149F1A">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5C342D13">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模拟演练开始后同步开始，切换环境检查前完成。</w:t>
      </w:r>
    </w:p>
    <w:p w14:paraId="6B2EAD7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6A100DF9">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xml:space="preserve">  为了保证系统的高效、平稳运行，需要建立与系统相适应的管理制度和业务流程规范，明确客户各部门、岗位和人员的工作规范和责任。 </w:t>
      </w:r>
    </w:p>
    <w:p w14:paraId="0D7E9F75">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制度在执行力层面保障现场系统与管理规范支撑整个企业业务高效执行。</w:t>
      </w:r>
    </w:p>
    <w:p w14:paraId="465FBBFC">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 xml:space="preserve">操作指南 </w:t>
      </w:r>
    </w:p>
    <w:tbl>
      <w:tblPr>
        <w:tblStyle w:val="43"/>
        <w:tblW w:w="7980" w:type="dxa"/>
        <w:jc w:val="center"/>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1214"/>
        <w:gridCol w:w="1915"/>
        <w:gridCol w:w="1878"/>
        <w:gridCol w:w="1721"/>
        <w:gridCol w:w="1252"/>
      </w:tblGrid>
      <w:tr w14:paraId="244379D6">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413" w:hRule="atLeast"/>
          <w:jc w:val="center"/>
        </w:trPr>
        <w:tc>
          <w:tcPr>
            <w:tcW w:w="1214" w:type="dxa"/>
            <w:tcBorders>
              <w:top w:val="single" w:color="000000" w:sz="8" w:space="0"/>
              <w:left w:val="single" w:color="000000" w:sz="8" w:space="0"/>
              <w:bottom w:val="single" w:color="000000" w:sz="8" w:space="0"/>
              <w:right w:val="single" w:color="000000" w:sz="8" w:space="0"/>
            </w:tcBorders>
            <w:shd w:val="clear" w:color="auto" w:fill="D9D9D9"/>
            <w:tcMar>
              <w:top w:w="0" w:type="dxa"/>
              <w:left w:w="108" w:type="dxa"/>
              <w:bottom w:w="0" w:type="dxa"/>
              <w:right w:w="108" w:type="dxa"/>
            </w:tcMar>
            <w:vAlign w:val="center"/>
          </w:tcPr>
          <w:p w14:paraId="6A4A0C43">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915"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79B1063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878"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1A461A23">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21"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2356015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52" w:type="dxa"/>
            <w:tcBorders>
              <w:top w:val="single" w:color="auto" w:sz="8" w:space="0"/>
              <w:left w:val="nil"/>
              <w:bottom w:val="single" w:color="auto" w:sz="8" w:space="0"/>
              <w:right w:val="single" w:color="auto" w:sz="8" w:space="0"/>
            </w:tcBorders>
            <w:shd w:val="clear" w:color="auto" w:fill="D9D9D9"/>
            <w:tcMar>
              <w:top w:w="0" w:type="dxa"/>
              <w:left w:w="108" w:type="dxa"/>
              <w:bottom w:w="0" w:type="dxa"/>
              <w:right w:w="108" w:type="dxa"/>
            </w:tcMar>
            <w:vAlign w:val="center"/>
          </w:tcPr>
          <w:p w14:paraId="4270F89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5677A016">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339" w:hRule="atLeast"/>
          <w:jc w:val="center"/>
        </w:trPr>
        <w:tc>
          <w:tcPr>
            <w:tcW w:w="1214"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1EC256C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建立系统保障管理制度</w:t>
            </w:r>
          </w:p>
        </w:tc>
        <w:tc>
          <w:tcPr>
            <w:tcW w:w="1915" w:type="dxa"/>
            <w:tcBorders>
              <w:top w:val="nil"/>
              <w:left w:val="nil"/>
              <w:bottom w:val="single" w:color="auto" w:sz="8" w:space="0"/>
              <w:right w:val="single" w:color="auto" w:sz="8" w:space="0"/>
            </w:tcBorders>
            <w:tcMar>
              <w:top w:w="0" w:type="dxa"/>
              <w:left w:w="108" w:type="dxa"/>
              <w:bottom w:w="0" w:type="dxa"/>
              <w:right w:w="108" w:type="dxa"/>
            </w:tcMar>
            <w:vAlign w:val="center"/>
          </w:tcPr>
          <w:p w14:paraId="679414F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制度要有奖有惩；</w:t>
            </w:r>
          </w:p>
          <w:p w14:paraId="2CCB1C7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制度要各部门主管签核；</w:t>
            </w:r>
          </w:p>
          <w:p w14:paraId="42A7D71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制度要与部门绩效挂钩；</w:t>
            </w:r>
          </w:p>
          <w:p w14:paraId="4A40747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做好制度的宣贯和传达。</w:t>
            </w:r>
          </w:p>
        </w:tc>
        <w:tc>
          <w:tcPr>
            <w:tcW w:w="1878" w:type="dxa"/>
            <w:tcBorders>
              <w:top w:val="nil"/>
              <w:left w:val="nil"/>
              <w:bottom w:val="single" w:color="auto" w:sz="8" w:space="0"/>
              <w:right w:val="single" w:color="auto" w:sz="8" w:space="0"/>
            </w:tcBorders>
            <w:tcMar>
              <w:top w:w="0" w:type="dxa"/>
              <w:left w:w="108" w:type="dxa"/>
              <w:bottom w:w="0" w:type="dxa"/>
              <w:right w:w="108" w:type="dxa"/>
            </w:tcMar>
            <w:vAlign w:val="center"/>
          </w:tcPr>
          <w:p w14:paraId="11626A7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提供系统运行管理制度建议。</w:t>
            </w:r>
          </w:p>
        </w:tc>
        <w:tc>
          <w:tcPr>
            <w:tcW w:w="1721" w:type="dxa"/>
            <w:tcBorders>
              <w:top w:val="nil"/>
              <w:left w:val="nil"/>
              <w:bottom w:val="single" w:color="auto" w:sz="8" w:space="0"/>
              <w:right w:val="single" w:color="auto" w:sz="8" w:space="0"/>
            </w:tcBorders>
            <w:tcMar>
              <w:top w:w="0" w:type="dxa"/>
              <w:left w:w="108" w:type="dxa"/>
              <w:bottom w:w="0" w:type="dxa"/>
              <w:right w:w="108" w:type="dxa"/>
            </w:tcMar>
            <w:vAlign w:val="center"/>
          </w:tcPr>
          <w:p w14:paraId="70C8669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制订系统运行相关的制度和业务流程规范；</w:t>
            </w:r>
          </w:p>
          <w:p w14:paraId="7AECA16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建立相应的稽核、考评及奖惩机制。</w:t>
            </w:r>
          </w:p>
        </w:tc>
        <w:tc>
          <w:tcPr>
            <w:tcW w:w="1252" w:type="dxa"/>
            <w:tcBorders>
              <w:top w:val="nil"/>
              <w:left w:val="nil"/>
              <w:bottom w:val="single" w:color="auto" w:sz="8" w:space="0"/>
              <w:right w:val="single" w:color="auto" w:sz="8" w:space="0"/>
            </w:tcBorders>
            <w:tcMar>
              <w:top w:w="0" w:type="dxa"/>
              <w:left w:w="108" w:type="dxa"/>
              <w:bottom w:w="0" w:type="dxa"/>
              <w:right w:w="108" w:type="dxa"/>
            </w:tcMar>
            <w:vAlign w:val="center"/>
          </w:tcPr>
          <w:p w14:paraId="5B56A0C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IT系统运行管理制度</w:t>
            </w:r>
          </w:p>
          <w:p w14:paraId="6609096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现场系统运行管理制度</w:t>
            </w:r>
          </w:p>
        </w:tc>
      </w:tr>
      <w:tr w14:paraId="5A0F13AA">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404" w:hRule="atLeast"/>
          <w:jc w:val="center"/>
        </w:trPr>
        <w:tc>
          <w:tcPr>
            <w:tcW w:w="1214"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14:paraId="305F040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建立业务流程管理制度</w:t>
            </w:r>
          </w:p>
        </w:tc>
        <w:tc>
          <w:tcPr>
            <w:tcW w:w="1915" w:type="dxa"/>
            <w:tcBorders>
              <w:top w:val="nil"/>
              <w:left w:val="nil"/>
              <w:bottom w:val="single" w:color="auto" w:sz="8" w:space="0"/>
              <w:right w:val="single" w:color="auto" w:sz="8" w:space="0"/>
            </w:tcBorders>
            <w:tcMar>
              <w:top w:w="0" w:type="dxa"/>
              <w:left w:w="108" w:type="dxa"/>
              <w:bottom w:w="0" w:type="dxa"/>
              <w:right w:w="108" w:type="dxa"/>
            </w:tcMar>
            <w:vAlign w:val="center"/>
          </w:tcPr>
          <w:p w14:paraId="6361960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符合系统业务流程方案与企业日常业务流程管理规定，确保系统业务与实际业务的无缝衔接。</w:t>
            </w:r>
          </w:p>
        </w:tc>
        <w:tc>
          <w:tcPr>
            <w:tcW w:w="1878" w:type="dxa"/>
            <w:tcBorders>
              <w:top w:val="nil"/>
              <w:left w:val="nil"/>
              <w:bottom w:val="single" w:color="auto" w:sz="8" w:space="0"/>
              <w:right w:val="single" w:color="auto" w:sz="8" w:space="0"/>
            </w:tcBorders>
            <w:tcMar>
              <w:top w:w="0" w:type="dxa"/>
              <w:left w:w="108" w:type="dxa"/>
              <w:bottom w:w="0" w:type="dxa"/>
              <w:right w:w="108" w:type="dxa"/>
            </w:tcMar>
            <w:vAlign w:val="center"/>
          </w:tcPr>
          <w:p w14:paraId="06F2F65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提供业务管理流程建议。</w:t>
            </w:r>
          </w:p>
        </w:tc>
        <w:tc>
          <w:tcPr>
            <w:tcW w:w="1721" w:type="dxa"/>
            <w:tcBorders>
              <w:top w:val="nil"/>
              <w:left w:val="nil"/>
              <w:bottom w:val="single" w:color="auto" w:sz="8" w:space="0"/>
              <w:right w:val="single" w:color="auto" w:sz="8" w:space="0"/>
            </w:tcBorders>
            <w:tcMar>
              <w:top w:w="0" w:type="dxa"/>
              <w:left w:w="108" w:type="dxa"/>
              <w:bottom w:w="0" w:type="dxa"/>
              <w:right w:w="108" w:type="dxa"/>
            </w:tcMar>
            <w:vAlign w:val="center"/>
          </w:tcPr>
          <w:p w14:paraId="0A99753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制订系统运行相关的制度和业务流程规范。</w:t>
            </w:r>
          </w:p>
        </w:tc>
        <w:tc>
          <w:tcPr>
            <w:tcW w:w="1252" w:type="dxa"/>
            <w:tcBorders>
              <w:top w:val="nil"/>
              <w:left w:val="nil"/>
              <w:bottom w:val="single" w:color="auto" w:sz="8" w:space="0"/>
              <w:right w:val="single" w:color="auto" w:sz="8" w:space="0"/>
            </w:tcBorders>
            <w:tcMar>
              <w:top w:w="0" w:type="dxa"/>
              <w:left w:w="108" w:type="dxa"/>
              <w:bottom w:w="0" w:type="dxa"/>
              <w:right w:w="108" w:type="dxa"/>
            </w:tcMar>
            <w:vAlign w:val="center"/>
          </w:tcPr>
          <w:p w14:paraId="7C5E243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业务流程与管理制度</w:t>
            </w:r>
          </w:p>
        </w:tc>
      </w:tr>
    </w:tbl>
    <w:p w14:paraId="3EB28879">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p>
    <w:p w14:paraId="359D64E7">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（3）系统运行支持体系建立</w:t>
      </w:r>
    </w:p>
    <w:p w14:paraId="0DF447CA">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54AF0D87">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模拟演练开始后同步开始，切换环境检查前完成。</w:t>
      </w:r>
    </w:p>
    <w:p w14:paraId="6859766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2C33391B">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建立内部支持体系，是在系统上线以后，在客户内部，建立一套有效的系统日常维护和支持的组织，为客户节省后续维护费用，也为咨询顾问验收后撤出项目做好准备。</w:t>
      </w:r>
    </w:p>
    <w:p w14:paraId="433EE656">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操作指南</w:t>
      </w:r>
    </w:p>
    <w:tbl>
      <w:tblPr>
        <w:tblStyle w:val="43"/>
        <w:tblW w:w="81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64"/>
        <w:gridCol w:w="2152"/>
        <w:gridCol w:w="1628"/>
        <w:gridCol w:w="1467"/>
        <w:gridCol w:w="1604"/>
      </w:tblGrid>
      <w:tr w14:paraId="37A72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17" w:hRule="atLeast"/>
          <w:jc w:val="center"/>
        </w:trPr>
        <w:tc>
          <w:tcPr>
            <w:tcW w:w="1265"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A1D780D">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15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41C9D8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629"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4C8B615">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46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7A2F7020">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605"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18E47D80">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0F06A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72" w:hRule="atLeast"/>
          <w:jc w:val="center"/>
        </w:trPr>
        <w:tc>
          <w:tcPr>
            <w:tcW w:w="126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FAB6A8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建立内部支持团队</w:t>
            </w:r>
          </w:p>
        </w:tc>
        <w:tc>
          <w:tcPr>
            <w:tcW w:w="21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F1A92F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顾问与内部支持团队成员建立对应支持关系。</w:t>
            </w:r>
          </w:p>
          <w:p w14:paraId="12AE031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62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29D386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向对应的内部支持团队成员提供支持。</w:t>
            </w:r>
          </w:p>
        </w:tc>
        <w:tc>
          <w:tcPr>
            <w:tcW w:w="14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DA6894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从关键用户中选择支持体系人员，建立内部支持团队；</w:t>
            </w:r>
          </w:p>
          <w:p w14:paraId="2AB6275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责任落实到人。 </w:t>
            </w:r>
          </w:p>
        </w:tc>
        <w:tc>
          <w:tcPr>
            <w:tcW w:w="160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60919D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上线支持体系</w:t>
            </w:r>
          </w:p>
        </w:tc>
      </w:tr>
      <w:tr w14:paraId="1292F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9" w:hRule="atLeast"/>
          <w:jc w:val="center"/>
        </w:trPr>
        <w:tc>
          <w:tcPr>
            <w:tcW w:w="126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295E19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制定内部支持管理制度</w:t>
            </w:r>
          </w:p>
        </w:tc>
        <w:tc>
          <w:tcPr>
            <w:tcW w:w="21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1B9766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确定支持流程和方式；</w:t>
            </w:r>
          </w:p>
          <w:p w14:paraId="047E8D0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制定内部支持体系的考核制度，确保支持体系正常运作。 </w:t>
            </w:r>
          </w:p>
        </w:tc>
        <w:tc>
          <w:tcPr>
            <w:tcW w:w="162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7CFB79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提供相关建议。</w:t>
            </w:r>
          </w:p>
        </w:tc>
        <w:tc>
          <w:tcPr>
            <w:tcW w:w="146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D75497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将内部支持人员及其职责、工作方式，形成公司级的支持制度。</w:t>
            </w:r>
          </w:p>
        </w:tc>
        <w:tc>
          <w:tcPr>
            <w:tcW w:w="160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C97250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上线支持体系</w:t>
            </w:r>
          </w:p>
        </w:tc>
      </w:tr>
    </w:tbl>
    <w:p w14:paraId="294273D2">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p>
    <w:p w14:paraId="5DB44F4C">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（4）切换环境检查</w:t>
      </w:r>
    </w:p>
    <w:p w14:paraId="35737550">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1B26EB70">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系统上线动员前完成。</w:t>
      </w:r>
    </w:p>
    <w:p w14:paraId="7FE01F43">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01D8CA75">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在上线切换前，逐项检查所有准备工作是否完成就绪，从而判断项目是否具备了上线切换的所有条件，从而有效规避各种风险。</w:t>
      </w:r>
    </w:p>
    <w:p w14:paraId="3CF68BD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b/>
          <w:bCs/>
          <w:color w:val="010000"/>
        </w:rPr>
      </w:pPr>
      <w:r>
        <w:rPr>
          <w:rFonts w:hint="eastAsia" w:cs="宋体"/>
          <w:color w:val="010000"/>
        </w:rPr>
        <w:t xml:space="preserve">操作指南 </w:t>
      </w:r>
    </w:p>
    <w:tbl>
      <w:tblPr>
        <w:tblStyle w:val="43"/>
        <w:tblW w:w="8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87"/>
        <w:gridCol w:w="1901"/>
        <w:gridCol w:w="1863"/>
        <w:gridCol w:w="1711"/>
        <w:gridCol w:w="1243"/>
      </w:tblGrid>
      <w:tr w14:paraId="608E3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39" w:hRule="atLeast"/>
          <w:jc w:val="center"/>
        </w:trPr>
        <w:tc>
          <w:tcPr>
            <w:tcW w:w="1486"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7E2ED843">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90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636ED2C">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86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856E808">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71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C54F840">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242"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48A5010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04ED7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6" w:hRule="atLeast"/>
          <w:jc w:val="center"/>
        </w:trPr>
        <w:tc>
          <w:tcPr>
            <w:tcW w:w="1486"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94151C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检查切换环境</w:t>
            </w:r>
          </w:p>
        </w:tc>
        <w:tc>
          <w:tcPr>
            <w:tcW w:w="190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580BAA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重点检查切换准备情况、人员培训、制度执行、权限设置、参数设置、静态数据等是否遗漏和完成情况。</w:t>
            </w:r>
          </w:p>
        </w:tc>
        <w:tc>
          <w:tcPr>
            <w:tcW w:w="186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B78939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依据系统切换检查清单逐项检查。</w:t>
            </w:r>
          </w:p>
          <w:p w14:paraId="0EE752C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对发现的问题采取措施及时补救。</w:t>
            </w:r>
          </w:p>
        </w:tc>
        <w:tc>
          <w:tcPr>
            <w:tcW w:w="171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359B79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参与检查。</w:t>
            </w:r>
          </w:p>
          <w:p w14:paraId="108CBD9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对发现的问题采取措施及时补救。</w:t>
            </w:r>
          </w:p>
        </w:tc>
        <w:tc>
          <w:tcPr>
            <w:tcW w:w="124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D26B64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系统切换检查清单</w:t>
            </w:r>
          </w:p>
        </w:tc>
      </w:tr>
      <w:tr w14:paraId="6B3EC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7" w:hRule="atLeast"/>
          <w:jc w:val="center"/>
        </w:trPr>
        <w:tc>
          <w:tcPr>
            <w:tcW w:w="1486"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79B571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确认切换环境</w:t>
            </w:r>
          </w:p>
        </w:tc>
        <w:tc>
          <w:tcPr>
            <w:tcW w:w="190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DD94A3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系统切换检查清单中的条件，均已确认通过。</w:t>
            </w:r>
          </w:p>
        </w:tc>
        <w:tc>
          <w:tcPr>
            <w:tcW w:w="186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2A225A1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确认满足上线切换条件。</w:t>
            </w:r>
          </w:p>
        </w:tc>
        <w:tc>
          <w:tcPr>
            <w:tcW w:w="171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7B3CE69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确认满足上线切换条件。</w:t>
            </w:r>
          </w:p>
          <w:p w14:paraId="0E4CBB1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正式发布上线通知。 </w:t>
            </w:r>
          </w:p>
          <w:p w14:paraId="0DB0E9A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24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28957E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系统切换检查清单</w:t>
            </w:r>
          </w:p>
          <w:p w14:paraId="00ED90E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上线通知 </w:t>
            </w:r>
          </w:p>
        </w:tc>
      </w:tr>
    </w:tbl>
    <w:p w14:paraId="38855F8B">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（5）系统上线动员</w:t>
      </w:r>
    </w:p>
    <w:p w14:paraId="4F191CB4">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7C309319">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切换环境检查完成后开始。</w:t>
      </w:r>
    </w:p>
    <w:p w14:paraId="412D05B5">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00869AD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标志着从上线切换准备进入正式切换。</w:t>
      </w:r>
    </w:p>
    <w:p w14:paraId="57D725A7">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操作指南</w:t>
      </w:r>
    </w:p>
    <w:tbl>
      <w:tblPr>
        <w:tblStyle w:val="43"/>
        <w:tblW w:w="76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75"/>
        <w:gridCol w:w="1994"/>
        <w:gridCol w:w="1514"/>
        <w:gridCol w:w="1914"/>
        <w:gridCol w:w="1068"/>
      </w:tblGrid>
      <w:tr w14:paraId="2E4A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9" w:hRule="atLeast"/>
          <w:jc w:val="center"/>
        </w:trPr>
        <w:tc>
          <w:tcPr>
            <w:tcW w:w="1174" w:type="dxa"/>
            <w:shd w:val="clear" w:color="auto" w:fill="D9D9D9"/>
            <w:tcMar>
              <w:top w:w="0" w:type="dxa"/>
              <w:left w:w="108" w:type="dxa"/>
              <w:bottom w:w="0" w:type="dxa"/>
              <w:right w:w="108" w:type="dxa"/>
            </w:tcMar>
            <w:vAlign w:val="center"/>
          </w:tcPr>
          <w:p w14:paraId="11F11FD7">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993" w:type="dxa"/>
            <w:shd w:val="clear" w:color="auto" w:fill="D9D9D9"/>
            <w:tcMar>
              <w:top w:w="0" w:type="dxa"/>
              <w:left w:w="108" w:type="dxa"/>
              <w:bottom w:w="0" w:type="dxa"/>
              <w:right w:w="108" w:type="dxa"/>
            </w:tcMar>
            <w:vAlign w:val="center"/>
          </w:tcPr>
          <w:p w14:paraId="50A7A850">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513" w:type="dxa"/>
            <w:shd w:val="clear" w:color="auto" w:fill="D9D9D9"/>
            <w:tcMar>
              <w:top w:w="0" w:type="dxa"/>
              <w:left w:w="108" w:type="dxa"/>
              <w:bottom w:w="0" w:type="dxa"/>
              <w:right w:w="108" w:type="dxa"/>
            </w:tcMar>
            <w:vAlign w:val="center"/>
          </w:tcPr>
          <w:p w14:paraId="70AFB4CA">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913" w:type="dxa"/>
            <w:shd w:val="clear" w:color="auto" w:fill="D9D9D9"/>
            <w:tcMar>
              <w:top w:w="0" w:type="dxa"/>
              <w:left w:w="108" w:type="dxa"/>
              <w:bottom w:w="0" w:type="dxa"/>
              <w:right w:w="108" w:type="dxa"/>
            </w:tcMar>
            <w:vAlign w:val="center"/>
          </w:tcPr>
          <w:p w14:paraId="6487A71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067" w:type="dxa"/>
            <w:shd w:val="clear" w:color="auto" w:fill="D9D9D9"/>
            <w:tcMar>
              <w:top w:w="0" w:type="dxa"/>
              <w:left w:w="108" w:type="dxa"/>
              <w:bottom w:w="0" w:type="dxa"/>
              <w:right w:w="108" w:type="dxa"/>
            </w:tcMar>
            <w:vAlign w:val="center"/>
          </w:tcPr>
          <w:p w14:paraId="01CFA61E">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6B97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38" w:hRule="atLeast"/>
          <w:jc w:val="center"/>
        </w:trPr>
        <w:tc>
          <w:tcPr>
            <w:tcW w:w="1174" w:type="dxa"/>
            <w:tcMar>
              <w:top w:w="0" w:type="dxa"/>
              <w:left w:w="108" w:type="dxa"/>
              <w:bottom w:w="0" w:type="dxa"/>
              <w:right w:w="108" w:type="dxa"/>
            </w:tcMar>
            <w:vAlign w:val="center"/>
          </w:tcPr>
          <w:p w14:paraId="2984E94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进行上线动员</w:t>
            </w:r>
          </w:p>
        </w:tc>
        <w:tc>
          <w:tcPr>
            <w:tcW w:w="1993" w:type="dxa"/>
            <w:tcMar>
              <w:top w:w="0" w:type="dxa"/>
              <w:left w:w="108" w:type="dxa"/>
              <w:bottom w:w="0" w:type="dxa"/>
              <w:right w:w="108" w:type="dxa"/>
            </w:tcMar>
            <w:vAlign w:val="center"/>
          </w:tcPr>
          <w:p w14:paraId="0BD3075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宣讲到位，明确责任、奖惩，强调执行力；</w:t>
            </w:r>
          </w:p>
          <w:p w14:paraId="3CEB425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高层参加，强调重要性；</w:t>
            </w:r>
          </w:p>
          <w:p w14:paraId="4E8861F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宣布切换奖罚相关制度。</w:t>
            </w:r>
          </w:p>
        </w:tc>
        <w:tc>
          <w:tcPr>
            <w:tcW w:w="1513" w:type="dxa"/>
            <w:tcMar>
              <w:top w:w="0" w:type="dxa"/>
              <w:left w:w="108" w:type="dxa"/>
              <w:bottom w:w="0" w:type="dxa"/>
              <w:right w:w="108" w:type="dxa"/>
            </w:tcMar>
            <w:vAlign w:val="center"/>
          </w:tcPr>
          <w:p w14:paraId="7F015B6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参与会议准备工作；</w:t>
            </w:r>
          </w:p>
          <w:p w14:paraId="5DF254C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讲解上线工作要求。</w:t>
            </w:r>
          </w:p>
        </w:tc>
        <w:tc>
          <w:tcPr>
            <w:tcW w:w="1913" w:type="dxa"/>
            <w:tcMar>
              <w:top w:w="0" w:type="dxa"/>
              <w:left w:w="108" w:type="dxa"/>
              <w:bottom w:w="0" w:type="dxa"/>
              <w:right w:w="108" w:type="dxa"/>
            </w:tcMar>
            <w:vAlign w:val="center"/>
          </w:tcPr>
          <w:p w14:paraId="59CBD32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召开全体人员上线动员大会，宣布上线切换的正式开始；</w:t>
            </w:r>
          </w:p>
          <w:p w14:paraId="460BB40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宣布上线计划、相关规章制度、人员职责等上线切换重点事项。</w:t>
            </w:r>
          </w:p>
        </w:tc>
        <w:tc>
          <w:tcPr>
            <w:tcW w:w="1067" w:type="dxa"/>
            <w:tcMar>
              <w:top w:w="0" w:type="dxa"/>
              <w:left w:w="108" w:type="dxa"/>
              <w:bottom w:w="0" w:type="dxa"/>
              <w:right w:w="108" w:type="dxa"/>
            </w:tcMar>
            <w:vAlign w:val="center"/>
          </w:tcPr>
          <w:p w14:paraId="799EE78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上线动员</w:t>
            </w:r>
          </w:p>
        </w:tc>
      </w:tr>
    </w:tbl>
    <w:p w14:paraId="21DB1C7E">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（6）动态数据准备与输入</w:t>
      </w:r>
    </w:p>
    <w:p w14:paraId="102B3F7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718E6DA1">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上线动员会后马上开始，业务数据同步后结束。</w:t>
      </w:r>
    </w:p>
    <w:p w14:paraId="177C23C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74AF1B7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动态数据准备与输入是系统上线切换阶段中至关重要的活动，动态数据的同步标志着系统的正式启用。</w:t>
      </w:r>
    </w:p>
    <w:p w14:paraId="1449E4D6">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1、快速准确完成期初动态数据的收集、整理转换与导入。</w:t>
      </w:r>
    </w:p>
    <w:p w14:paraId="77129CD6">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xml:space="preserve">  2、若期初动态数据导入后存在积压的新业务单据，则需快速补录，确保系统数据与企业实际业务数据完全同步。 </w:t>
      </w:r>
    </w:p>
    <w:p w14:paraId="5FE2841E">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 xml:space="preserve">操作指南 </w:t>
      </w:r>
    </w:p>
    <w:tbl>
      <w:tblPr>
        <w:tblStyle w:val="43"/>
        <w:tblW w:w="77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13"/>
        <w:gridCol w:w="2064"/>
        <w:gridCol w:w="1561"/>
        <w:gridCol w:w="1407"/>
        <w:gridCol w:w="1495"/>
      </w:tblGrid>
      <w:tr w14:paraId="0E700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1213" w:type="dxa"/>
            <w:shd w:val="clear" w:color="auto" w:fill="D9D9D9"/>
            <w:tcMar>
              <w:top w:w="0" w:type="dxa"/>
              <w:left w:w="108" w:type="dxa"/>
              <w:bottom w:w="0" w:type="dxa"/>
              <w:right w:w="108" w:type="dxa"/>
            </w:tcMar>
            <w:vAlign w:val="center"/>
          </w:tcPr>
          <w:p w14:paraId="6BEE6476">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064" w:type="dxa"/>
            <w:shd w:val="clear" w:color="auto" w:fill="D9D9D9"/>
            <w:tcMar>
              <w:top w:w="0" w:type="dxa"/>
              <w:left w:w="108" w:type="dxa"/>
              <w:bottom w:w="0" w:type="dxa"/>
              <w:right w:w="108" w:type="dxa"/>
            </w:tcMar>
            <w:vAlign w:val="center"/>
          </w:tcPr>
          <w:p w14:paraId="231BCCA8">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561" w:type="dxa"/>
            <w:shd w:val="clear" w:color="auto" w:fill="D9D9D9"/>
            <w:tcMar>
              <w:top w:w="0" w:type="dxa"/>
              <w:left w:w="108" w:type="dxa"/>
              <w:bottom w:w="0" w:type="dxa"/>
              <w:right w:w="108" w:type="dxa"/>
            </w:tcMar>
            <w:vAlign w:val="center"/>
          </w:tcPr>
          <w:p w14:paraId="7FDAA1C9">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407" w:type="dxa"/>
            <w:shd w:val="clear" w:color="auto" w:fill="D9D9D9"/>
            <w:tcMar>
              <w:top w:w="0" w:type="dxa"/>
              <w:left w:w="108" w:type="dxa"/>
              <w:bottom w:w="0" w:type="dxa"/>
              <w:right w:w="108" w:type="dxa"/>
            </w:tcMar>
            <w:vAlign w:val="center"/>
          </w:tcPr>
          <w:p w14:paraId="28470579">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495" w:type="dxa"/>
            <w:shd w:val="clear" w:color="auto" w:fill="D9D9D9"/>
            <w:tcMar>
              <w:top w:w="0" w:type="dxa"/>
              <w:left w:w="108" w:type="dxa"/>
              <w:bottom w:w="0" w:type="dxa"/>
              <w:right w:w="108" w:type="dxa"/>
            </w:tcMar>
            <w:vAlign w:val="center"/>
          </w:tcPr>
          <w:p w14:paraId="3BD14635">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650CA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6" w:hRule="atLeast"/>
          <w:jc w:val="center"/>
        </w:trPr>
        <w:tc>
          <w:tcPr>
            <w:tcW w:w="1213" w:type="dxa"/>
            <w:tcMar>
              <w:top w:w="0" w:type="dxa"/>
              <w:left w:w="108" w:type="dxa"/>
              <w:bottom w:w="0" w:type="dxa"/>
              <w:right w:w="108" w:type="dxa"/>
            </w:tcMar>
            <w:vAlign w:val="center"/>
          </w:tcPr>
          <w:p w14:paraId="0619542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收集与整理期初动态数据</w:t>
            </w:r>
          </w:p>
        </w:tc>
        <w:tc>
          <w:tcPr>
            <w:tcW w:w="2064" w:type="dxa"/>
            <w:tcMar>
              <w:top w:w="0" w:type="dxa"/>
              <w:left w:w="108" w:type="dxa"/>
              <w:bottom w:w="0" w:type="dxa"/>
              <w:right w:w="108" w:type="dxa"/>
            </w:tcMar>
            <w:vAlign w:val="center"/>
          </w:tcPr>
          <w:p w14:paraId="0CC20ED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审核收集的动态数据。</w:t>
            </w:r>
          </w:p>
          <w:p w14:paraId="7D72D80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561" w:type="dxa"/>
            <w:tcMar>
              <w:top w:w="0" w:type="dxa"/>
              <w:left w:w="108" w:type="dxa"/>
              <w:bottom w:w="0" w:type="dxa"/>
              <w:right w:w="108" w:type="dxa"/>
            </w:tcMar>
            <w:vAlign w:val="center"/>
          </w:tcPr>
          <w:p w14:paraId="76CB650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提供动态数据收集模板及标准；</w:t>
            </w:r>
          </w:p>
          <w:p w14:paraId="4FCA2E8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进行收集整理培训；</w:t>
            </w:r>
          </w:p>
          <w:p w14:paraId="6D988C9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指导动态数据准备。 </w:t>
            </w:r>
          </w:p>
        </w:tc>
        <w:tc>
          <w:tcPr>
            <w:tcW w:w="1407" w:type="dxa"/>
            <w:tcMar>
              <w:top w:w="0" w:type="dxa"/>
              <w:left w:w="108" w:type="dxa"/>
              <w:bottom w:w="0" w:type="dxa"/>
              <w:right w:w="108" w:type="dxa"/>
            </w:tcMar>
            <w:vAlign w:val="center"/>
          </w:tcPr>
          <w:p w14:paraId="2D682BB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按上线切换方案中的预定计划，收集与整理动态数据。</w:t>
            </w:r>
          </w:p>
        </w:tc>
        <w:tc>
          <w:tcPr>
            <w:tcW w:w="1495" w:type="dxa"/>
            <w:tcMar>
              <w:top w:w="0" w:type="dxa"/>
              <w:left w:w="108" w:type="dxa"/>
              <w:bottom w:w="0" w:type="dxa"/>
              <w:right w:w="108" w:type="dxa"/>
            </w:tcMar>
            <w:vAlign w:val="center"/>
          </w:tcPr>
          <w:p w14:paraId="7554087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动态数据准备与转换方案</w:t>
            </w:r>
          </w:p>
          <w:p w14:paraId="49E4008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动态数据收集模板 </w:t>
            </w:r>
          </w:p>
        </w:tc>
      </w:tr>
      <w:tr w14:paraId="379F1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7" w:hRule="atLeast"/>
          <w:jc w:val="center"/>
        </w:trPr>
        <w:tc>
          <w:tcPr>
            <w:tcW w:w="1213" w:type="dxa"/>
            <w:tcMar>
              <w:top w:w="0" w:type="dxa"/>
              <w:left w:w="108" w:type="dxa"/>
              <w:bottom w:w="0" w:type="dxa"/>
              <w:right w:w="108" w:type="dxa"/>
            </w:tcMar>
            <w:vAlign w:val="center"/>
          </w:tcPr>
          <w:p w14:paraId="77811EC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导入期初动态数据</w:t>
            </w:r>
          </w:p>
        </w:tc>
        <w:tc>
          <w:tcPr>
            <w:tcW w:w="2064" w:type="dxa"/>
            <w:tcMar>
              <w:top w:w="0" w:type="dxa"/>
              <w:left w:w="108" w:type="dxa"/>
              <w:bottom w:w="0" w:type="dxa"/>
              <w:right w:w="108" w:type="dxa"/>
            </w:tcMar>
            <w:vAlign w:val="center"/>
          </w:tcPr>
          <w:p w14:paraId="25B2AD6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重点严格核查期初数据的准确性，签字确认并备份。</w:t>
            </w:r>
          </w:p>
        </w:tc>
        <w:tc>
          <w:tcPr>
            <w:tcW w:w="1561" w:type="dxa"/>
            <w:tcMar>
              <w:top w:w="0" w:type="dxa"/>
              <w:left w:w="108" w:type="dxa"/>
              <w:bottom w:w="0" w:type="dxa"/>
              <w:right w:w="108" w:type="dxa"/>
            </w:tcMar>
            <w:vAlign w:val="center"/>
          </w:tcPr>
          <w:p w14:paraId="096B63B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为导入提供技术支持。</w:t>
            </w:r>
          </w:p>
        </w:tc>
        <w:tc>
          <w:tcPr>
            <w:tcW w:w="1407" w:type="dxa"/>
            <w:tcMar>
              <w:top w:w="0" w:type="dxa"/>
              <w:left w:w="108" w:type="dxa"/>
              <w:bottom w:w="0" w:type="dxa"/>
              <w:right w:w="108" w:type="dxa"/>
            </w:tcMar>
            <w:vAlign w:val="center"/>
          </w:tcPr>
          <w:p w14:paraId="539D4C9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动态数据导入与检查。</w:t>
            </w:r>
          </w:p>
        </w:tc>
        <w:tc>
          <w:tcPr>
            <w:tcW w:w="1495" w:type="dxa"/>
            <w:tcMar>
              <w:top w:w="0" w:type="dxa"/>
              <w:left w:w="108" w:type="dxa"/>
              <w:bottom w:w="0" w:type="dxa"/>
              <w:right w:w="108" w:type="dxa"/>
            </w:tcMar>
            <w:vAlign w:val="center"/>
          </w:tcPr>
          <w:p w14:paraId="1DE036E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动态数据准备完成确认单</w:t>
            </w:r>
          </w:p>
        </w:tc>
      </w:tr>
      <w:tr w14:paraId="4AA4C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jc w:val="center"/>
        </w:trPr>
        <w:tc>
          <w:tcPr>
            <w:tcW w:w="1213" w:type="dxa"/>
            <w:tcMar>
              <w:top w:w="0" w:type="dxa"/>
              <w:left w:w="108" w:type="dxa"/>
              <w:bottom w:w="0" w:type="dxa"/>
              <w:right w:w="108" w:type="dxa"/>
            </w:tcMar>
            <w:vAlign w:val="center"/>
          </w:tcPr>
          <w:p w14:paraId="72233EA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准备动态数据补录</w:t>
            </w:r>
          </w:p>
        </w:tc>
        <w:tc>
          <w:tcPr>
            <w:tcW w:w="2064" w:type="dxa"/>
            <w:tcMar>
              <w:top w:w="0" w:type="dxa"/>
              <w:left w:w="108" w:type="dxa"/>
              <w:bottom w:w="0" w:type="dxa"/>
              <w:right w:w="108" w:type="dxa"/>
            </w:tcMar>
            <w:vAlign w:val="center"/>
          </w:tcPr>
          <w:p w14:paraId="3E24001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充足的资源投入；</w:t>
            </w:r>
          </w:p>
          <w:p w14:paraId="7BF1DE4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明确的业务流程规范。 </w:t>
            </w:r>
          </w:p>
        </w:tc>
        <w:tc>
          <w:tcPr>
            <w:tcW w:w="1561" w:type="dxa"/>
            <w:tcMar>
              <w:top w:w="0" w:type="dxa"/>
              <w:left w:w="108" w:type="dxa"/>
              <w:bottom w:w="0" w:type="dxa"/>
              <w:right w:w="108" w:type="dxa"/>
            </w:tcMar>
            <w:vAlign w:val="center"/>
          </w:tcPr>
          <w:p w14:paraId="45CBAAC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在系统上线切换方案中，可制定动态数据补录计划。</w:t>
            </w:r>
          </w:p>
        </w:tc>
        <w:tc>
          <w:tcPr>
            <w:tcW w:w="1407" w:type="dxa"/>
            <w:tcMar>
              <w:top w:w="0" w:type="dxa"/>
              <w:left w:w="108" w:type="dxa"/>
              <w:bottom w:w="0" w:type="dxa"/>
              <w:right w:w="108" w:type="dxa"/>
            </w:tcMar>
            <w:vAlign w:val="center"/>
          </w:tcPr>
          <w:p w14:paraId="249BDB9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制订动态数据补录详细计划；</w:t>
            </w:r>
          </w:p>
          <w:p w14:paraId="435010F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进行准备工作。</w:t>
            </w:r>
          </w:p>
        </w:tc>
        <w:tc>
          <w:tcPr>
            <w:tcW w:w="1495" w:type="dxa"/>
            <w:tcMar>
              <w:top w:w="0" w:type="dxa"/>
              <w:left w:w="108" w:type="dxa"/>
              <w:bottom w:w="0" w:type="dxa"/>
              <w:right w:w="108" w:type="dxa"/>
            </w:tcMar>
            <w:vAlign w:val="center"/>
          </w:tcPr>
          <w:p w14:paraId="15A8463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动态数据补录详细计划</w:t>
            </w:r>
          </w:p>
        </w:tc>
      </w:tr>
      <w:tr w14:paraId="56809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21" w:hRule="atLeast"/>
          <w:jc w:val="center"/>
        </w:trPr>
        <w:tc>
          <w:tcPr>
            <w:tcW w:w="1213" w:type="dxa"/>
            <w:tcMar>
              <w:top w:w="0" w:type="dxa"/>
              <w:left w:w="108" w:type="dxa"/>
              <w:bottom w:w="0" w:type="dxa"/>
              <w:right w:w="108" w:type="dxa"/>
            </w:tcMar>
            <w:vAlign w:val="center"/>
          </w:tcPr>
          <w:p w14:paraId="78EAF45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补录动态数据</w:t>
            </w:r>
          </w:p>
        </w:tc>
        <w:tc>
          <w:tcPr>
            <w:tcW w:w="2064" w:type="dxa"/>
            <w:tcMar>
              <w:top w:w="0" w:type="dxa"/>
              <w:left w:w="108" w:type="dxa"/>
              <w:bottom w:w="0" w:type="dxa"/>
              <w:right w:w="108" w:type="dxa"/>
            </w:tcMar>
            <w:vAlign w:val="center"/>
          </w:tcPr>
          <w:p w14:paraId="62C9D60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采取强力措施，尽量压缩补录时间；</w:t>
            </w:r>
          </w:p>
          <w:p w14:paraId="4795EF4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确保补录数据的准确性；</w:t>
            </w:r>
          </w:p>
          <w:p w14:paraId="4A99B0A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各部门协同补单。 </w:t>
            </w:r>
          </w:p>
        </w:tc>
        <w:tc>
          <w:tcPr>
            <w:tcW w:w="1561" w:type="dxa"/>
            <w:tcMar>
              <w:top w:w="0" w:type="dxa"/>
              <w:left w:w="108" w:type="dxa"/>
              <w:bottom w:w="0" w:type="dxa"/>
              <w:right w:w="108" w:type="dxa"/>
            </w:tcMar>
            <w:vAlign w:val="center"/>
          </w:tcPr>
          <w:p w14:paraId="265CC97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为补录提供技术支持。</w:t>
            </w:r>
          </w:p>
        </w:tc>
        <w:tc>
          <w:tcPr>
            <w:tcW w:w="1407" w:type="dxa"/>
            <w:tcMar>
              <w:top w:w="0" w:type="dxa"/>
              <w:left w:w="108" w:type="dxa"/>
              <w:bottom w:w="0" w:type="dxa"/>
              <w:right w:w="108" w:type="dxa"/>
            </w:tcMar>
            <w:vAlign w:val="center"/>
          </w:tcPr>
          <w:p w14:paraId="0AC40A5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组织并进行动态数据补录与检查；</w:t>
            </w:r>
          </w:p>
          <w:p w14:paraId="65B10C8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及时解决出现的各种问题。 </w:t>
            </w:r>
          </w:p>
        </w:tc>
        <w:tc>
          <w:tcPr>
            <w:tcW w:w="1495" w:type="dxa"/>
            <w:tcMar>
              <w:top w:w="0" w:type="dxa"/>
              <w:left w:w="108" w:type="dxa"/>
              <w:bottom w:w="0" w:type="dxa"/>
              <w:right w:w="108" w:type="dxa"/>
            </w:tcMar>
            <w:vAlign w:val="center"/>
          </w:tcPr>
          <w:p w14:paraId="41668D7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动态数据补录详细进度</w:t>
            </w:r>
          </w:p>
        </w:tc>
      </w:tr>
    </w:tbl>
    <w:p w14:paraId="25AE8E3F">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（7）切换运行</w:t>
      </w:r>
    </w:p>
    <w:p w14:paraId="7F0F68A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6988CE45">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业务数据同步后开始。</w:t>
      </w:r>
    </w:p>
    <w:p w14:paraId="6DF58B7B">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目标/价值</w:t>
      </w:r>
    </w:p>
    <w:p w14:paraId="0136BE37">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确保系统正式切换运行，保证切换后不能下线。</w:t>
      </w:r>
    </w:p>
    <w:p w14:paraId="620F2DDC">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操作指南 </w:t>
      </w:r>
    </w:p>
    <w:tbl>
      <w:tblPr>
        <w:tblStyle w:val="43"/>
        <w:tblW w:w="76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65"/>
        <w:gridCol w:w="2089"/>
        <w:gridCol w:w="1655"/>
        <w:gridCol w:w="1519"/>
        <w:gridCol w:w="1322"/>
      </w:tblGrid>
      <w:tr w14:paraId="6898F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1065" w:type="dxa"/>
            <w:shd w:val="clear" w:color="auto" w:fill="D9D9D9"/>
            <w:tcMar>
              <w:top w:w="0" w:type="dxa"/>
              <w:left w:w="108" w:type="dxa"/>
              <w:bottom w:w="0" w:type="dxa"/>
              <w:right w:w="108" w:type="dxa"/>
            </w:tcMar>
            <w:vAlign w:val="center"/>
          </w:tcPr>
          <w:p w14:paraId="26C1853A">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088" w:type="dxa"/>
            <w:shd w:val="clear" w:color="auto" w:fill="D9D9D9"/>
            <w:tcMar>
              <w:top w:w="0" w:type="dxa"/>
              <w:left w:w="108" w:type="dxa"/>
              <w:bottom w:w="0" w:type="dxa"/>
              <w:right w:w="108" w:type="dxa"/>
            </w:tcMar>
            <w:vAlign w:val="center"/>
          </w:tcPr>
          <w:p w14:paraId="7115E8E2">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654" w:type="dxa"/>
            <w:shd w:val="clear" w:color="auto" w:fill="D9D9D9"/>
            <w:tcMar>
              <w:top w:w="0" w:type="dxa"/>
              <w:left w:w="108" w:type="dxa"/>
              <w:bottom w:w="0" w:type="dxa"/>
              <w:right w:w="108" w:type="dxa"/>
            </w:tcMar>
            <w:vAlign w:val="center"/>
          </w:tcPr>
          <w:p w14:paraId="0B134CF5">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518" w:type="dxa"/>
            <w:shd w:val="clear" w:color="auto" w:fill="D9D9D9"/>
            <w:tcMar>
              <w:top w:w="0" w:type="dxa"/>
              <w:left w:w="108" w:type="dxa"/>
              <w:bottom w:w="0" w:type="dxa"/>
              <w:right w:w="108" w:type="dxa"/>
            </w:tcMar>
            <w:vAlign w:val="center"/>
          </w:tcPr>
          <w:p w14:paraId="5682299B">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321" w:type="dxa"/>
            <w:shd w:val="clear" w:color="auto" w:fill="D9D9D9"/>
            <w:tcMar>
              <w:top w:w="0" w:type="dxa"/>
              <w:left w:w="108" w:type="dxa"/>
              <w:bottom w:w="0" w:type="dxa"/>
              <w:right w:w="108" w:type="dxa"/>
            </w:tcMar>
            <w:vAlign w:val="center"/>
          </w:tcPr>
          <w:p w14:paraId="16471188">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08EC1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65" w:type="dxa"/>
            <w:tcMar>
              <w:top w:w="0" w:type="dxa"/>
              <w:left w:w="108" w:type="dxa"/>
              <w:bottom w:w="0" w:type="dxa"/>
              <w:right w:w="108" w:type="dxa"/>
            </w:tcMar>
            <w:vAlign w:val="center"/>
          </w:tcPr>
          <w:p w14:paraId="6E6107B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切换运行</w:t>
            </w:r>
          </w:p>
        </w:tc>
        <w:tc>
          <w:tcPr>
            <w:tcW w:w="2088" w:type="dxa"/>
            <w:tcMar>
              <w:top w:w="0" w:type="dxa"/>
              <w:left w:w="108" w:type="dxa"/>
              <w:bottom w:w="0" w:type="dxa"/>
              <w:right w:w="108" w:type="dxa"/>
            </w:tcMar>
            <w:vAlign w:val="center"/>
          </w:tcPr>
          <w:p w14:paraId="4A61740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制订上线后的数据处理重点、操作规则、注意事项；</w:t>
            </w:r>
          </w:p>
          <w:p w14:paraId="414D4B4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切换前到各岗位进行指导，上线初期由客户每天进行内部检查和讨论，对每天的问题记录进行跟踪；</w:t>
            </w:r>
          </w:p>
          <w:p w14:paraId="7E2C7D9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系统上线会增加客户的工作量，建议客户要制定奖励措施。</w:t>
            </w:r>
          </w:p>
        </w:tc>
        <w:tc>
          <w:tcPr>
            <w:tcW w:w="1654" w:type="dxa"/>
            <w:tcMar>
              <w:top w:w="0" w:type="dxa"/>
              <w:left w:w="108" w:type="dxa"/>
              <w:bottom w:w="0" w:type="dxa"/>
              <w:right w:w="108" w:type="dxa"/>
            </w:tcMar>
            <w:vAlign w:val="center"/>
          </w:tcPr>
          <w:p w14:paraId="26616D5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对系统切换提供技术指导；</w:t>
            </w:r>
          </w:p>
          <w:p w14:paraId="2BD47BB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协助切换动员；</w:t>
            </w:r>
          </w:p>
          <w:p w14:paraId="77936B5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协助制订系统异常应急预案。</w:t>
            </w:r>
          </w:p>
        </w:tc>
        <w:tc>
          <w:tcPr>
            <w:tcW w:w="1518" w:type="dxa"/>
            <w:tcMar>
              <w:top w:w="0" w:type="dxa"/>
              <w:left w:w="108" w:type="dxa"/>
              <w:bottom w:w="0" w:type="dxa"/>
              <w:right w:w="108" w:type="dxa"/>
            </w:tcMar>
            <w:vAlign w:val="center"/>
          </w:tcPr>
          <w:p w14:paraId="755BDB3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进行切换动员；</w:t>
            </w:r>
          </w:p>
          <w:p w14:paraId="7152D3D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进行系统切换，跟踪切换过程；</w:t>
            </w:r>
          </w:p>
          <w:p w14:paraId="4D5D551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做好系统异常应急预案。 </w:t>
            </w:r>
          </w:p>
          <w:p w14:paraId="47A42B8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w:t>
            </w:r>
          </w:p>
        </w:tc>
        <w:tc>
          <w:tcPr>
            <w:tcW w:w="1321" w:type="dxa"/>
            <w:tcMar>
              <w:top w:w="0" w:type="dxa"/>
              <w:left w:w="108" w:type="dxa"/>
              <w:bottom w:w="0" w:type="dxa"/>
              <w:right w:w="108" w:type="dxa"/>
            </w:tcMar>
            <w:vAlign w:val="center"/>
          </w:tcPr>
          <w:p w14:paraId="3B66DF27">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系统上线报告 </w:t>
            </w:r>
          </w:p>
        </w:tc>
      </w:tr>
    </w:tbl>
    <w:p w14:paraId="6CB51BED">
      <w:pPr>
        <w:pageBreakBefore w:val="0"/>
        <w:kinsoku/>
        <w:wordWrap/>
        <w:overflowPunct/>
        <w:topLinePunct w:val="0"/>
        <w:autoSpaceDE/>
        <w:autoSpaceDN/>
        <w:bidi w:val="0"/>
        <w:spacing w:line="360" w:lineRule="auto"/>
        <w:textAlignment w:val="auto"/>
      </w:pPr>
    </w:p>
    <w:p w14:paraId="6867FCB4">
      <w:pPr>
        <w:pStyle w:val="12"/>
        <w:pageBreakBefore w:val="0"/>
        <w:numPr>
          <w:ilvl w:val="4"/>
          <w:numId w:val="12"/>
        </w:numPr>
        <w:kinsoku/>
        <w:wordWrap/>
        <w:overflowPunct/>
        <w:topLinePunct w:val="0"/>
        <w:autoSpaceDE/>
        <w:autoSpaceDN/>
        <w:bidi w:val="0"/>
        <w:spacing w:line="360" w:lineRule="auto"/>
        <w:textAlignment w:val="auto"/>
      </w:pPr>
      <w:bookmarkStart w:id="369" w:name="_Toc140811706"/>
      <w:r>
        <w:rPr>
          <w:rFonts w:hint="eastAsia"/>
        </w:rPr>
        <w:t>系统上线</w:t>
      </w:r>
      <w:bookmarkEnd w:id="369"/>
    </w:p>
    <w:p w14:paraId="669898F3">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（1）上线运行支持</w:t>
      </w:r>
    </w:p>
    <w:p w14:paraId="4CE35BC9">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1D7F94A8">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切换运行后开始，将时间控制在</w:t>
      </w:r>
      <w:r>
        <w:rPr>
          <w:rFonts w:hint="eastAsia" w:cs="宋体"/>
          <w:color w:val="010000"/>
          <w:kern w:val="0"/>
          <w:lang w:val="en-US" w:eastAsia="zh-CN"/>
        </w:rPr>
        <w:t>1</w:t>
      </w:r>
      <w:r>
        <w:rPr>
          <w:rFonts w:hint="eastAsia" w:cs="宋体"/>
          <w:color w:val="010000"/>
          <w:kern w:val="0"/>
        </w:rPr>
        <w:t>个月内。</w:t>
      </w:r>
    </w:p>
    <w:p w14:paraId="6BF34AA1">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2B97D765">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在系统切换上线之后，顾问需要对上线运行的新系统进行现场支持，以便及时解决系统运行初期出现的各种问题；完善优化原有流程与实际业务不适应的地方，保证系统的顺利运行。</w:t>
      </w:r>
    </w:p>
    <w:p w14:paraId="5425BF0F">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 xml:space="preserve">操作指南 </w:t>
      </w:r>
    </w:p>
    <w:tbl>
      <w:tblPr>
        <w:tblStyle w:val="43"/>
        <w:tblW w:w="77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68"/>
        <w:gridCol w:w="2696"/>
        <w:gridCol w:w="1198"/>
        <w:gridCol w:w="2097"/>
        <w:gridCol w:w="966"/>
      </w:tblGrid>
      <w:tr w14:paraId="5C0C3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768" w:type="dxa"/>
            <w:shd w:val="clear" w:color="auto" w:fill="D9D9D9"/>
            <w:tcMar>
              <w:top w:w="0" w:type="dxa"/>
              <w:left w:w="108" w:type="dxa"/>
              <w:bottom w:w="0" w:type="dxa"/>
              <w:right w:w="108" w:type="dxa"/>
            </w:tcMar>
            <w:vAlign w:val="center"/>
          </w:tcPr>
          <w:p w14:paraId="0C0005E0">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695" w:type="dxa"/>
            <w:shd w:val="clear" w:color="auto" w:fill="D9D9D9"/>
            <w:tcMar>
              <w:top w:w="0" w:type="dxa"/>
              <w:left w:w="108" w:type="dxa"/>
              <w:bottom w:w="0" w:type="dxa"/>
              <w:right w:w="108" w:type="dxa"/>
            </w:tcMar>
            <w:vAlign w:val="center"/>
          </w:tcPr>
          <w:p w14:paraId="3A18383A">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198" w:type="dxa"/>
            <w:shd w:val="clear" w:color="auto" w:fill="D9D9D9"/>
            <w:tcMar>
              <w:top w:w="0" w:type="dxa"/>
              <w:left w:w="108" w:type="dxa"/>
              <w:bottom w:w="0" w:type="dxa"/>
              <w:right w:w="108" w:type="dxa"/>
            </w:tcMar>
            <w:vAlign w:val="center"/>
          </w:tcPr>
          <w:p w14:paraId="3772C3BF">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2096" w:type="dxa"/>
            <w:shd w:val="clear" w:color="auto" w:fill="D9D9D9"/>
            <w:tcMar>
              <w:top w:w="0" w:type="dxa"/>
              <w:left w:w="108" w:type="dxa"/>
              <w:bottom w:w="0" w:type="dxa"/>
              <w:right w:w="108" w:type="dxa"/>
            </w:tcMar>
            <w:vAlign w:val="center"/>
          </w:tcPr>
          <w:p w14:paraId="73C1F109">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966" w:type="dxa"/>
            <w:shd w:val="clear" w:color="auto" w:fill="D9D9D9"/>
            <w:tcMar>
              <w:top w:w="0" w:type="dxa"/>
              <w:left w:w="108" w:type="dxa"/>
              <w:bottom w:w="0" w:type="dxa"/>
              <w:right w:w="108" w:type="dxa"/>
            </w:tcMar>
            <w:vAlign w:val="center"/>
          </w:tcPr>
          <w:p w14:paraId="3D7479D2">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0EDC9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40" w:hRule="atLeast"/>
          <w:jc w:val="center"/>
        </w:trPr>
        <w:tc>
          <w:tcPr>
            <w:tcW w:w="768" w:type="dxa"/>
            <w:tcMar>
              <w:top w:w="0" w:type="dxa"/>
              <w:left w:w="108" w:type="dxa"/>
              <w:bottom w:w="0" w:type="dxa"/>
              <w:right w:w="108" w:type="dxa"/>
            </w:tcMar>
            <w:vAlign w:val="center"/>
          </w:tcPr>
          <w:p w14:paraId="68917AD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进行运行支持</w:t>
            </w:r>
          </w:p>
        </w:tc>
        <w:tc>
          <w:tcPr>
            <w:tcW w:w="2695" w:type="dxa"/>
            <w:tcMar>
              <w:top w:w="0" w:type="dxa"/>
              <w:left w:w="108" w:type="dxa"/>
              <w:bottom w:w="0" w:type="dxa"/>
              <w:right w:w="108" w:type="dxa"/>
            </w:tcMar>
            <w:vAlign w:val="center"/>
          </w:tcPr>
          <w:p w14:paraId="76A7470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发挥企业内部顾问、关键用户的作用，确保内部支持体系运转正常，承担起系统支持的职责。</w:t>
            </w:r>
          </w:p>
        </w:tc>
        <w:tc>
          <w:tcPr>
            <w:tcW w:w="1198" w:type="dxa"/>
            <w:tcMar>
              <w:top w:w="0" w:type="dxa"/>
              <w:left w:w="108" w:type="dxa"/>
              <w:bottom w:w="0" w:type="dxa"/>
              <w:right w:w="108" w:type="dxa"/>
            </w:tcMar>
            <w:vAlign w:val="center"/>
          </w:tcPr>
          <w:p w14:paraId="6415E6C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为系统运行提供指导。</w:t>
            </w:r>
          </w:p>
          <w:p w14:paraId="4FFFEC3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发现问题及时推进解决。 </w:t>
            </w:r>
          </w:p>
        </w:tc>
        <w:tc>
          <w:tcPr>
            <w:tcW w:w="2096" w:type="dxa"/>
            <w:tcMar>
              <w:top w:w="0" w:type="dxa"/>
              <w:left w:w="108" w:type="dxa"/>
              <w:bottom w:w="0" w:type="dxa"/>
              <w:right w:w="108" w:type="dxa"/>
            </w:tcMar>
            <w:vAlign w:val="center"/>
          </w:tcPr>
          <w:p w14:paraId="707BBB7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每日核查运行数据，日清日结；</w:t>
            </w:r>
          </w:p>
          <w:p w14:paraId="6030C7A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维护系统正常运行，与实际同步；</w:t>
            </w:r>
          </w:p>
          <w:p w14:paraId="6AAA67B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涉及业务进度与数据质量问题随时召集内部会议，避免放大扩散；</w:t>
            </w:r>
          </w:p>
          <w:p w14:paraId="683267F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确保问题得到及时处理。 </w:t>
            </w:r>
          </w:p>
        </w:tc>
        <w:tc>
          <w:tcPr>
            <w:tcW w:w="966" w:type="dxa"/>
            <w:tcMar>
              <w:top w:w="0" w:type="dxa"/>
              <w:left w:w="108" w:type="dxa"/>
              <w:bottom w:w="0" w:type="dxa"/>
              <w:right w:w="108" w:type="dxa"/>
            </w:tcMar>
            <w:vAlign w:val="center"/>
          </w:tcPr>
          <w:p w14:paraId="1CBC9E7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项目问题跟踪记录清单</w:t>
            </w:r>
          </w:p>
        </w:tc>
      </w:tr>
      <w:tr w14:paraId="2CC55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jc w:val="center"/>
        </w:trPr>
        <w:tc>
          <w:tcPr>
            <w:tcW w:w="768" w:type="dxa"/>
            <w:tcMar>
              <w:top w:w="0" w:type="dxa"/>
              <w:left w:w="108" w:type="dxa"/>
              <w:bottom w:w="0" w:type="dxa"/>
              <w:right w:w="108" w:type="dxa"/>
            </w:tcMar>
            <w:vAlign w:val="center"/>
          </w:tcPr>
          <w:p w14:paraId="34C5181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并行与评估</w:t>
            </w:r>
          </w:p>
        </w:tc>
        <w:tc>
          <w:tcPr>
            <w:tcW w:w="2695" w:type="dxa"/>
            <w:tcMar>
              <w:top w:w="0" w:type="dxa"/>
              <w:left w:w="108" w:type="dxa"/>
              <w:bottom w:w="0" w:type="dxa"/>
              <w:right w:w="108" w:type="dxa"/>
            </w:tcMar>
            <w:vAlign w:val="center"/>
          </w:tcPr>
          <w:p w14:paraId="2A7B48D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说服客户尽量缩短系统上线并行时间，减少项目风险；</w:t>
            </w:r>
          </w:p>
          <w:p w14:paraId="362A0D3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如果是手工帐并行，可采取分业务、分部门逐步过渡的方法。 </w:t>
            </w:r>
          </w:p>
        </w:tc>
        <w:tc>
          <w:tcPr>
            <w:tcW w:w="1198" w:type="dxa"/>
            <w:tcMar>
              <w:top w:w="0" w:type="dxa"/>
              <w:left w:w="108" w:type="dxa"/>
              <w:bottom w:w="0" w:type="dxa"/>
              <w:right w:w="108" w:type="dxa"/>
            </w:tcMar>
            <w:vAlign w:val="center"/>
          </w:tcPr>
          <w:p w14:paraId="2E04720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协助进行运行评估。</w:t>
            </w:r>
          </w:p>
        </w:tc>
        <w:tc>
          <w:tcPr>
            <w:tcW w:w="2096" w:type="dxa"/>
            <w:tcMar>
              <w:top w:w="0" w:type="dxa"/>
              <w:left w:w="108" w:type="dxa"/>
              <w:bottom w:w="0" w:type="dxa"/>
              <w:right w:w="108" w:type="dxa"/>
            </w:tcMar>
            <w:vAlign w:val="center"/>
          </w:tcPr>
          <w:p w14:paraId="06ED061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进行运行评估；</w:t>
            </w:r>
          </w:p>
          <w:p w14:paraId="4DEEE5D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上线首月必须每日跟踪评估系统运行情况；</w:t>
            </w:r>
          </w:p>
          <w:p w14:paraId="10C65CF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次月每周总结评估一次。 </w:t>
            </w:r>
          </w:p>
        </w:tc>
        <w:tc>
          <w:tcPr>
            <w:tcW w:w="966" w:type="dxa"/>
            <w:tcMar>
              <w:top w:w="0" w:type="dxa"/>
              <w:left w:w="108" w:type="dxa"/>
              <w:bottom w:w="0" w:type="dxa"/>
              <w:right w:w="108" w:type="dxa"/>
            </w:tcMar>
            <w:vAlign w:val="center"/>
          </w:tcPr>
          <w:p w14:paraId="23B5629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系统运行日报</w:t>
            </w:r>
          </w:p>
        </w:tc>
      </w:tr>
    </w:tbl>
    <w:p w14:paraId="196F2768">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（2）月结语评估</w:t>
      </w:r>
    </w:p>
    <w:p w14:paraId="4D43BA68">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操作时机</w:t>
      </w:r>
    </w:p>
    <w:p w14:paraId="3CDF459E">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在“上线运行支持”期间的每个月末进行。</w:t>
      </w:r>
    </w:p>
    <w:p w14:paraId="08FD8B89">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目标/价值</w:t>
      </w:r>
    </w:p>
    <w:p w14:paraId="268B337C">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cs="宋体"/>
          <w:color w:val="010000"/>
          <w:kern w:val="0"/>
        </w:rPr>
      </w:pPr>
      <w:r>
        <w:rPr>
          <w:rFonts w:hint="eastAsia" w:cs="宋体"/>
          <w:color w:val="010000"/>
          <w:kern w:val="0"/>
        </w:rPr>
        <w:t>  结账是企业在每个会计期间末总结该期间经济活动、考核财务成果、编制会计报表所必须进行的基础会计工作。在系统上线初期，能否顺利月结结账是影响项目验收的一个重要因素，能清楚对清账务、快速月结，至关重要。</w:t>
      </w:r>
    </w:p>
    <w:p w14:paraId="65BC60AF">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rPr>
          <w:rFonts w:cs="宋体"/>
          <w:color w:val="010000"/>
        </w:rPr>
      </w:pPr>
      <w:r>
        <w:rPr>
          <w:rFonts w:hint="eastAsia" w:cs="宋体"/>
          <w:color w:val="010000"/>
        </w:rPr>
        <w:t>操作指南</w:t>
      </w:r>
    </w:p>
    <w:tbl>
      <w:tblPr>
        <w:tblStyle w:val="43"/>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90"/>
        <w:gridCol w:w="2050"/>
        <w:gridCol w:w="1726"/>
        <w:gridCol w:w="2236"/>
        <w:gridCol w:w="1413"/>
      </w:tblGrid>
      <w:tr w14:paraId="79A81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1" w:hRule="atLeast"/>
          <w:jc w:val="center"/>
        </w:trPr>
        <w:tc>
          <w:tcPr>
            <w:tcW w:w="991" w:type="dxa"/>
            <w:shd w:val="clear" w:color="auto" w:fill="D9D9D9"/>
            <w:tcMar>
              <w:top w:w="0" w:type="dxa"/>
              <w:left w:w="108" w:type="dxa"/>
              <w:bottom w:w="0" w:type="dxa"/>
              <w:right w:w="108" w:type="dxa"/>
            </w:tcMar>
            <w:vAlign w:val="center"/>
          </w:tcPr>
          <w:p w14:paraId="3A125E10">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2051" w:type="dxa"/>
            <w:shd w:val="clear" w:color="auto" w:fill="D9D9D9"/>
            <w:tcMar>
              <w:top w:w="0" w:type="dxa"/>
              <w:left w:w="108" w:type="dxa"/>
              <w:bottom w:w="0" w:type="dxa"/>
              <w:right w:w="108" w:type="dxa"/>
            </w:tcMar>
            <w:vAlign w:val="center"/>
          </w:tcPr>
          <w:p w14:paraId="4760EC33">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727" w:type="dxa"/>
            <w:shd w:val="clear" w:color="auto" w:fill="D9D9D9"/>
            <w:tcMar>
              <w:top w:w="0" w:type="dxa"/>
              <w:left w:w="108" w:type="dxa"/>
              <w:bottom w:w="0" w:type="dxa"/>
              <w:right w:w="108" w:type="dxa"/>
            </w:tcMar>
            <w:vAlign w:val="center"/>
          </w:tcPr>
          <w:p w14:paraId="5EB28A03">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2237" w:type="dxa"/>
            <w:shd w:val="clear" w:color="auto" w:fill="D9D9D9"/>
            <w:tcMar>
              <w:top w:w="0" w:type="dxa"/>
              <w:left w:w="108" w:type="dxa"/>
              <w:bottom w:w="0" w:type="dxa"/>
              <w:right w:w="108" w:type="dxa"/>
            </w:tcMar>
            <w:vAlign w:val="center"/>
          </w:tcPr>
          <w:p w14:paraId="6AE036F0">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414" w:type="dxa"/>
            <w:shd w:val="clear" w:color="auto" w:fill="D9D9D9"/>
            <w:tcMar>
              <w:top w:w="0" w:type="dxa"/>
              <w:left w:w="108" w:type="dxa"/>
              <w:bottom w:w="0" w:type="dxa"/>
              <w:right w:w="108" w:type="dxa"/>
            </w:tcMar>
            <w:vAlign w:val="center"/>
          </w:tcPr>
          <w:p w14:paraId="6AC4862E">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r>
      <w:tr w14:paraId="5C4A3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91" w:type="dxa"/>
            <w:tcMar>
              <w:top w:w="0" w:type="dxa"/>
              <w:left w:w="108" w:type="dxa"/>
              <w:bottom w:w="0" w:type="dxa"/>
              <w:right w:w="108" w:type="dxa"/>
            </w:tcMar>
            <w:vAlign w:val="center"/>
          </w:tcPr>
          <w:p w14:paraId="6E6EEDD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进行月结与对账</w:t>
            </w:r>
          </w:p>
        </w:tc>
        <w:tc>
          <w:tcPr>
            <w:tcW w:w="2051" w:type="dxa"/>
            <w:tcMar>
              <w:top w:w="0" w:type="dxa"/>
              <w:left w:w="108" w:type="dxa"/>
              <w:bottom w:w="0" w:type="dxa"/>
              <w:right w:w="108" w:type="dxa"/>
            </w:tcMar>
            <w:vAlign w:val="center"/>
          </w:tcPr>
          <w:p w14:paraId="503AE8C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按业务类型分别月结及对账，如：采购，销售，固定资产，库存等；</w:t>
            </w:r>
          </w:p>
          <w:p w14:paraId="14410649">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在每次正式月结前须进行模拟月结，消除月结风险，确保月结成功。 </w:t>
            </w:r>
          </w:p>
        </w:tc>
        <w:tc>
          <w:tcPr>
            <w:tcW w:w="1727" w:type="dxa"/>
            <w:tcMar>
              <w:top w:w="0" w:type="dxa"/>
              <w:left w:w="108" w:type="dxa"/>
              <w:bottom w:w="0" w:type="dxa"/>
              <w:right w:w="108" w:type="dxa"/>
            </w:tcMar>
            <w:vAlign w:val="center"/>
          </w:tcPr>
          <w:p w14:paraId="2D2E7994">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指导、协助进行月结。</w:t>
            </w:r>
          </w:p>
        </w:tc>
        <w:tc>
          <w:tcPr>
            <w:tcW w:w="2237" w:type="dxa"/>
            <w:tcMar>
              <w:top w:w="0" w:type="dxa"/>
              <w:left w:w="108" w:type="dxa"/>
              <w:bottom w:w="0" w:type="dxa"/>
              <w:right w:w="108" w:type="dxa"/>
            </w:tcMar>
            <w:vAlign w:val="center"/>
          </w:tcPr>
          <w:p w14:paraId="5AABB9F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系统成功月结。</w:t>
            </w:r>
          </w:p>
        </w:tc>
        <w:tc>
          <w:tcPr>
            <w:tcW w:w="1414" w:type="dxa"/>
            <w:tcMar>
              <w:top w:w="0" w:type="dxa"/>
              <w:left w:w="108" w:type="dxa"/>
              <w:bottom w:w="0" w:type="dxa"/>
              <w:right w:w="108" w:type="dxa"/>
            </w:tcMar>
            <w:vAlign w:val="center"/>
          </w:tcPr>
          <w:p w14:paraId="66150D8C">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月结与评估报告</w:t>
            </w:r>
          </w:p>
        </w:tc>
      </w:tr>
      <w:tr w14:paraId="0D382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62" w:hRule="atLeast"/>
          <w:jc w:val="center"/>
        </w:trPr>
        <w:tc>
          <w:tcPr>
            <w:tcW w:w="991" w:type="dxa"/>
            <w:tcMar>
              <w:top w:w="0" w:type="dxa"/>
              <w:left w:w="108" w:type="dxa"/>
              <w:bottom w:w="0" w:type="dxa"/>
              <w:right w:w="108" w:type="dxa"/>
            </w:tcMar>
            <w:vAlign w:val="center"/>
          </w:tcPr>
          <w:p w14:paraId="36ADFD9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进行首月月结</w:t>
            </w:r>
          </w:p>
        </w:tc>
        <w:tc>
          <w:tcPr>
            <w:tcW w:w="2051" w:type="dxa"/>
            <w:tcMar>
              <w:top w:w="0" w:type="dxa"/>
              <w:left w:w="108" w:type="dxa"/>
              <w:bottom w:w="0" w:type="dxa"/>
              <w:right w:w="108" w:type="dxa"/>
            </w:tcMar>
            <w:vAlign w:val="center"/>
          </w:tcPr>
          <w:p w14:paraId="753387D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月结是客户的工作，所有工作是在顾问指导下由客户操作完成。</w:t>
            </w:r>
          </w:p>
        </w:tc>
        <w:tc>
          <w:tcPr>
            <w:tcW w:w="1727" w:type="dxa"/>
            <w:tcMar>
              <w:top w:w="0" w:type="dxa"/>
              <w:left w:w="108" w:type="dxa"/>
              <w:bottom w:w="0" w:type="dxa"/>
              <w:right w:w="108" w:type="dxa"/>
            </w:tcMar>
            <w:vAlign w:val="center"/>
          </w:tcPr>
          <w:p w14:paraId="61A374F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主导首月月结。</w:t>
            </w:r>
          </w:p>
        </w:tc>
        <w:tc>
          <w:tcPr>
            <w:tcW w:w="2237" w:type="dxa"/>
            <w:tcMar>
              <w:top w:w="0" w:type="dxa"/>
              <w:left w:w="108" w:type="dxa"/>
              <w:bottom w:w="0" w:type="dxa"/>
              <w:right w:w="108" w:type="dxa"/>
            </w:tcMar>
            <w:vAlign w:val="center"/>
          </w:tcPr>
          <w:p w14:paraId="001F9481">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在顾问指导下完成首月月结；</w:t>
            </w:r>
          </w:p>
          <w:p w14:paraId="5B138C2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在此基础上编制月结操作手册。 </w:t>
            </w:r>
          </w:p>
        </w:tc>
        <w:tc>
          <w:tcPr>
            <w:tcW w:w="1414" w:type="dxa"/>
            <w:tcMar>
              <w:top w:w="0" w:type="dxa"/>
              <w:left w:w="108" w:type="dxa"/>
              <w:bottom w:w="0" w:type="dxa"/>
              <w:right w:w="108" w:type="dxa"/>
            </w:tcMar>
            <w:vAlign w:val="center"/>
          </w:tcPr>
          <w:p w14:paraId="7E877168">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月结参考手册</w:t>
            </w:r>
          </w:p>
          <w:p w14:paraId="4E04C2A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月结操作手册</w:t>
            </w:r>
          </w:p>
        </w:tc>
      </w:tr>
      <w:tr w14:paraId="27D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64" w:hRule="atLeast"/>
          <w:jc w:val="center"/>
        </w:trPr>
        <w:tc>
          <w:tcPr>
            <w:tcW w:w="991" w:type="dxa"/>
            <w:tcMar>
              <w:top w:w="0" w:type="dxa"/>
              <w:left w:w="108" w:type="dxa"/>
              <w:bottom w:w="0" w:type="dxa"/>
              <w:right w:w="108" w:type="dxa"/>
            </w:tcMar>
            <w:vAlign w:val="center"/>
          </w:tcPr>
          <w:p w14:paraId="50AA515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进行次月月结</w:t>
            </w:r>
          </w:p>
        </w:tc>
        <w:tc>
          <w:tcPr>
            <w:tcW w:w="2051" w:type="dxa"/>
            <w:tcMar>
              <w:top w:w="0" w:type="dxa"/>
              <w:left w:w="108" w:type="dxa"/>
              <w:bottom w:w="0" w:type="dxa"/>
              <w:right w:w="108" w:type="dxa"/>
            </w:tcMar>
            <w:vAlign w:val="center"/>
          </w:tcPr>
          <w:p w14:paraId="77C7D1D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通过首月演练、次月实战，完成知识转移，使客户具备独立月结的能力，标志着“上线运行支持”阶段任务的完成。</w:t>
            </w:r>
          </w:p>
        </w:tc>
        <w:tc>
          <w:tcPr>
            <w:tcW w:w="1727" w:type="dxa"/>
            <w:tcMar>
              <w:top w:w="0" w:type="dxa"/>
              <w:left w:w="108" w:type="dxa"/>
              <w:bottom w:w="0" w:type="dxa"/>
              <w:right w:w="108" w:type="dxa"/>
            </w:tcMar>
            <w:vAlign w:val="center"/>
          </w:tcPr>
          <w:p w14:paraId="13F5ACE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协助次月月结。</w:t>
            </w:r>
          </w:p>
        </w:tc>
        <w:tc>
          <w:tcPr>
            <w:tcW w:w="2237" w:type="dxa"/>
            <w:tcMar>
              <w:top w:w="0" w:type="dxa"/>
              <w:left w:w="108" w:type="dxa"/>
              <w:bottom w:w="0" w:type="dxa"/>
              <w:right w:w="108" w:type="dxa"/>
            </w:tcMar>
            <w:vAlign w:val="center"/>
          </w:tcPr>
          <w:p w14:paraId="6638965B">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主导完成次月月结。</w:t>
            </w:r>
          </w:p>
        </w:tc>
        <w:tc>
          <w:tcPr>
            <w:tcW w:w="1414" w:type="dxa"/>
            <w:tcMar>
              <w:top w:w="0" w:type="dxa"/>
              <w:left w:w="108" w:type="dxa"/>
              <w:bottom w:w="0" w:type="dxa"/>
              <w:right w:w="108" w:type="dxa"/>
            </w:tcMar>
            <w:vAlign w:val="center"/>
          </w:tcPr>
          <w:p w14:paraId="0D4C718F">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主导完成次月月结。</w:t>
            </w:r>
          </w:p>
        </w:tc>
      </w:tr>
    </w:tbl>
    <w:p w14:paraId="5EE904E6">
      <w:pPr>
        <w:pageBreakBefore w:val="0"/>
        <w:widowControl/>
        <w:kinsoku/>
        <w:wordWrap/>
        <w:overflowPunct/>
        <w:topLinePunct w:val="0"/>
        <w:autoSpaceDE/>
        <w:autoSpaceDN/>
        <w:bidi w:val="0"/>
        <w:adjustRightInd w:val="0"/>
        <w:snapToGrid w:val="0"/>
        <w:spacing w:line="360" w:lineRule="auto"/>
        <w:ind w:firstLine="482" w:firstLineChars="200"/>
        <w:textAlignment w:val="auto"/>
        <w:rPr>
          <w:rFonts w:cs="宋体"/>
          <w:b/>
          <w:bCs/>
          <w:color w:val="010000"/>
          <w:kern w:val="0"/>
        </w:rPr>
      </w:pPr>
      <w:r>
        <w:rPr>
          <w:rFonts w:hint="eastAsia" w:cs="宋体"/>
          <w:b/>
          <w:bCs/>
          <w:color w:val="010000"/>
          <w:kern w:val="0"/>
        </w:rPr>
        <w:t>（3）持续服务</w:t>
      </w:r>
    </w:p>
    <w:p w14:paraId="7612AD3D">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操作时机</w:t>
      </w:r>
    </w:p>
    <w:p w14:paraId="5446FC9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项目总结完成后开始，22周内完成。</w:t>
      </w:r>
    </w:p>
    <w:p w14:paraId="07330C4B">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目标/价值 </w:t>
      </w:r>
    </w:p>
    <w:p w14:paraId="6F6DFA93">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项目实施验收完成后，或“该项目实施工作已结束，进入运行维护阶段”，实施部门应就项目和运维部门进行交接。运维部门开始担负持续支持的任务，即对客户今后系统运行提供维护服务。</w:t>
      </w:r>
    </w:p>
    <w:p w14:paraId="1DBB2F89">
      <w:pPr>
        <w:pageBreakBefore w:val="0"/>
        <w:numPr>
          <w:ilvl w:val="0"/>
          <w:numId w:val="23"/>
        </w:numPr>
        <w:kinsoku/>
        <w:wordWrap/>
        <w:overflowPunct/>
        <w:topLinePunct w:val="0"/>
        <w:autoSpaceDE/>
        <w:autoSpaceDN/>
        <w:bidi w:val="0"/>
        <w:adjustRightInd w:val="0"/>
        <w:snapToGrid w:val="0"/>
        <w:spacing w:line="360" w:lineRule="auto"/>
        <w:ind w:left="0" w:firstLine="480" w:firstLineChars="200"/>
        <w:textAlignment w:val="auto"/>
      </w:pPr>
      <w:r>
        <w:rPr>
          <w:rFonts w:hint="eastAsia"/>
        </w:rPr>
        <w:t xml:space="preserve">操作指南 </w:t>
      </w:r>
    </w:p>
    <w:tbl>
      <w:tblPr>
        <w:tblStyle w:val="43"/>
        <w:tblW w:w="89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99"/>
        <w:gridCol w:w="1876"/>
        <w:gridCol w:w="1983"/>
        <w:gridCol w:w="1558"/>
        <w:gridCol w:w="1700"/>
        <w:gridCol w:w="709"/>
      </w:tblGrid>
      <w:tr w14:paraId="39574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 w:hRule="atLeast"/>
          <w:jc w:val="center"/>
        </w:trPr>
        <w:tc>
          <w:tcPr>
            <w:tcW w:w="1099"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6D80571C">
            <w:pPr>
              <w:pageBreakBefore w:val="0"/>
              <w:widowControl/>
              <w:kinsoku/>
              <w:wordWrap/>
              <w:overflowPunct/>
              <w:topLinePunct w:val="0"/>
              <w:autoSpaceDE/>
              <w:autoSpaceDN/>
              <w:bidi w:val="0"/>
              <w:spacing w:before="120" w:after="120" w:line="360" w:lineRule="auto"/>
              <w:textAlignment w:val="auto"/>
              <w:rPr>
                <w:rFonts w:cs="宋体"/>
                <w:color w:val="010000"/>
                <w:kern w:val="0"/>
              </w:rPr>
            </w:pPr>
            <w:r>
              <w:rPr>
                <w:rFonts w:hint="eastAsia" w:cs="宋体"/>
                <w:b/>
                <w:bCs/>
                <w:color w:val="010000"/>
                <w:kern w:val="0"/>
              </w:rPr>
              <w:t>工作任务</w:t>
            </w:r>
          </w:p>
        </w:tc>
        <w:tc>
          <w:tcPr>
            <w:tcW w:w="1876"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2EC0ABD8">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工作规范</w:t>
            </w:r>
          </w:p>
        </w:tc>
        <w:tc>
          <w:tcPr>
            <w:tcW w:w="1983"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96A2892">
            <w:pPr>
              <w:pageBreakBefore w:val="0"/>
              <w:widowControl/>
              <w:kinsoku/>
              <w:wordWrap/>
              <w:overflowPunct/>
              <w:topLinePunct w:val="0"/>
              <w:autoSpaceDE/>
              <w:autoSpaceDN/>
              <w:bidi w:val="0"/>
              <w:spacing w:before="120" w:after="120" w:line="360" w:lineRule="auto"/>
              <w:textAlignment w:val="auto"/>
              <w:rPr>
                <w:rFonts w:hint="eastAsia" w:eastAsia="宋体" w:cs="宋体"/>
                <w:b/>
                <w:bCs/>
                <w:color w:val="010000"/>
                <w:kern w:val="0"/>
                <w:lang w:eastAsia="zh-CN"/>
              </w:rPr>
            </w:pPr>
            <w:r>
              <w:rPr>
                <w:rFonts w:hint="eastAsia" w:cs="宋体"/>
                <w:b/>
                <w:bCs/>
                <w:color w:val="010000"/>
                <w:kern w:val="0"/>
                <w:lang w:eastAsia="zh-CN"/>
              </w:rPr>
              <w:t>实施方职责</w:t>
            </w:r>
          </w:p>
        </w:tc>
        <w:tc>
          <w:tcPr>
            <w:tcW w:w="1558"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03C6DC77">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客户方职责</w:t>
            </w:r>
          </w:p>
        </w:tc>
        <w:tc>
          <w:tcPr>
            <w:tcW w:w="1700"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7E1E429D">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交付成果</w:t>
            </w:r>
          </w:p>
        </w:tc>
        <w:tc>
          <w:tcPr>
            <w:tcW w:w="709" w:type="dxa"/>
            <w:tcBorders>
              <w:top w:val="single" w:color="auto" w:sz="4" w:space="0"/>
              <w:left w:val="single" w:color="auto" w:sz="4" w:space="0"/>
              <w:bottom w:val="single" w:color="auto" w:sz="4" w:space="0"/>
              <w:right w:val="single" w:color="auto" w:sz="4" w:space="0"/>
            </w:tcBorders>
            <w:shd w:val="clear" w:color="auto" w:fill="D9D9D9"/>
            <w:tcMar>
              <w:top w:w="0" w:type="dxa"/>
              <w:left w:w="108" w:type="dxa"/>
              <w:bottom w:w="0" w:type="dxa"/>
              <w:right w:w="108" w:type="dxa"/>
            </w:tcMar>
            <w:vAlign w:val="center"/>
          </w:tcPr>
          <w:p w14:paraId="5AE6EA34">
            <w:pPr>
              <w:pageBreakBefore w:val="0"/>
              <w:widowControl/>
              <w:kinsoku/>
              <w:wordWrap/>
              <w:overflowPunct/>
              <w:topLinePunct w:val="0"/>
              <w:autoSpaceDE/>
              <w:autoSpaceDN/>
              <w:bidi w:val="0"/>
              <w:spacing w:before="120" w:after="120" w:line="360" w:lineRule="auto"/>
              <w:textAlignment w:val="auto"/>
              <w:rPr>
                <w:rFonts w:cs="宋体"/>
                <w:b/>
                <w:bCs/>
                <w:color w:val="010000"/>
                <w:kern w:val="0"/>
              </w:rPr>
            </w:pPr>
            <w:r>
              <w:rPr>
                <w:rFonts w:hint="eastAsia" w:cs="宋体"/>
                <w:b/>
                <w:bCs/>
                <w:color w:val="010000"/>
                <w:kern w:val="0"/>
              </w:rPr>
              <w:t>确认</w:t>
            </w:r>
          </w:p>
        </w:tc>
      </w:tr>
      <w:tr w14:paraId="62AC6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9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38138DA">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进行实施运维交接</w:t>
            </w:r>
          </w:p>
        </w:tc>
        <w:tc>
          <w:tcPr>
            <w:tcW w:w="1876"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058B2D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运维服务工程师在项目运行支持阶段提前进入项目，可能的情况下尽可能把运维支持顾问纳为项目组成员。</w:t>
            </w:r>
          </w:p>
        </w:tc>
        <w:tc>
          <w:tcPr>
            <w:tcW w:w="198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8068630">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整理项目文档；</w:t>
            </w:r>
          </w:p>
          <w:p w14:paraId="7CE44173">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项目资料移交；</w:t>
            </w:r>
          </w:p>
          <w:p w14:paraId="4ED40246">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支持工作移交。 </w:t>
            </w:r>
          </w:p>
        </w:tc>
        <w:tc>
          <w:tcPr>
            <w:tcW w:w="155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FA3423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配合运维部门的交接工作。</w:t>
            </w:r>
          </w:p>
        </w:tc>
        <w:tc>
          <w:tcPr>
            <w:tcW w:w="170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1626FFE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实施转运维交接记录单</w:t>
            </w:r>
          </w:p>
          <w:p w14:paraId="3D68DF2D">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系统持续支持保障体系</w:t>
            </w:r>
          </w:p>
          <w:p w14:paraId="216C3AEE">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 xml:space="preserve">系统维护交接确认单 </w:t>
            </w:r>
          </w:p>
        </w:tc>
        <w:tc>
          <w:tcPr>
            <w:tcW w:w="70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13A1752">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r>
              <w:rPr>
                <w:rFonts w:hint="eastAsia" w:cs="宋体"/>
                <w:color w:val="010000"/>
                <w:kern w:val="0"/>
              </w:rPr>
              <w:t>内签</w:t>
            </w:r>
          </w:p>
          <w:p w14:paraId="0637D585">
            <w:pPr>
              <w:pageBreakBefore w:val="0"/>
              <w:widowControl/>
              <w:kinsoku/>
              <w:wordWrap/>
              <w:overflowPunct/>
              <w:topLinePunct w:val="0"/>
              <w:autoSpaceDE/>
              <w:autoSpaceDN/>
              <w:bidi w:val="0"/>
              <w:spacing w:before="100" w:beforeAutospacing="1" w:after="100" w:afterAutospacing="1" w:line="360" w:lineRule="auto"/>
              <w:textAlignment w:val="auto"/>
              <w:rPr>
                <w:rFonts w:cs="宋体"/>
                <w:color w:val="010000"/>
                <w:kern w:val="0"/>
              </w:rPr>
            </w:pPr>
          </w:p>
        </w:tc>
      </w:tr>
    </w:tbl>
    <w:p w14:paraId="020758F7">
      <w:pPr>
        <w:pageBreakBefore w:val="0"/>
        <w:kinsoku/>
        <w:wordWrap/>
        <w:overflowPunct/>
        <w:topLinePunct w:val="0"/>
        <w:autoSpaceDE/>
        <w:autoSpaceDN/>
        <w:bidi w:val="0"/>
        <w:spacing w:line="360" w:lineRule="auto"/>
        <w:textAlignment w:val="auto"/>
      </w:pPr>
    </w:p>
    <w:p w14:paraId="1A443D8A">
      <w:pPr>
        <w:pStyle w:val="10"/>
        <w:pageBreakBefore w:val="0"/>
        <w:numPr>
          <w:ilvl w:val="3"/>
          <w:numId w:val="12"/>
        </w:numPr>
        <w:kinsoku/>
        <w:wordWrap/>
        <w:overflowPunct/>
        <w:topLinePunct w:val="0"/>
        <w:autoSpaceDE/>
        <w:autoSpaceDN/>
        <w:bidi w:val="0"/>
        <w:spacing w:line="360" w:lineRule="auto"/>
        <w:ind w:left="425" w:firstLine="41" w:firstLineChars="17"/>
        <w:textAlignment w:val="auto"/>
      </w:pPr>
      <w:bookmarkStart w:id="370" w:name="_Toc135637919"/>
      <w:bookmarkStart w:id="371" w:name="_Toc1448152364"/>
      <w:r>
        <w:rPr>
          <w:rFonts w:hint="eastAsia"/>
        </w:rPr>
        <w:t>项目实施过程管理</w:t>
      </w:r>
      <w:bookmarkEnd w:id="349"/>
      <w:bookmarkEnd w:id="370"/>
      <w:bookmarkEnd w:id="371"/>
    </w:p>
    <w:p w14:paraId="09DFCF6B">
      <w:pPr>
        <w:pageBreakBefore w:val="0"/>
        <w:kinsoku/>
        <w:wordWrap/>
        <w:overflowPunct/>
        <w:topLinePunct w:val="0"/>
        <w:autoSpaceDE/>
        <w:autoSpaceDN/>
        <w:bidi w:val="0"/>
        <w:spacing w:before="120" w:after="120" w:line="360" w:lineRule="auto"/>
        <w:ind w:firstLine="420"/>
        <w:textAlignment w:val="auto"/>
      </w:pPr>
      <w:r>
        <w:rPr>
          <w:rFonts w:hint="eastAsia"/>
        </w:rPr>
        <w:t>我司的项目管理分为以下几个阶段：</w:t>
      </w:r>
    </w:p>
    <w:p w14:paraId="0D3DC56E">
      <w:pPr>
        <w:pageBreakBefore w:val="0"/>
        <w:kinsoku/>
        <w:wordWrap/>
        <w:overflowPunct/>
        <w:topLinePunct w:val="0"/>
        <w:autoSpaceDE/>
        <w:autoSpaceDN/>
        <w:bidi w:val="0"/>
        <w:spacing w:before="120" w:after="120" w:line="360" w:lineRule="auto"/>
        <w:ind w:firstLine="420"/>
        <w:jc w:val="center"/>
        <w:textAlignment w:val="auto"/>
      </w:pPr>
      <w:r>
        <w:drawing>
          <wp:inline distT="0" distB="0" distL="114300" distR="114300">
            <wp:extent cx="4182745" cy="2679700"/>
            <wp:effectExtent l="0" t="0" r="0" b="0"/>
            <wp:docPr id="3" name="图片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95"/>
                    <pic:cNvPicPr>
                      <a:picLocks noChangeAspect="1"/>
                    </pic:cNvPicPr>
                  </pic:nvPicPr>
                  <pic:blipFill>
                    <a:blip r:embed="rId171"/>
                    <a:stretch>
                      <a:fillRect/>
                    </a:stretch>
                  </pic:blipFill>
                  <pic:spPr>
                    <a:xfrm>
                      <a:off x="0" y="0"/>
                      <a:ext cx="4182745" cy="2679700"/>
                    </a:xfrm>
                    <a:prstGeom prst="rect">
                      <a:avLst/>
                    </a:prstGeom>
                    <a:noFill/>
                    <a:ln>
                      <a:noFill/>
                    </a:ln>
                  </pic:spPr>
                </pic:pic>
              </a:graphicData>
            </a:graphic>
          </wp:inline>
        </w:drawing>
      </w:r>
    </w:p>
    <w:p w14:paraId="2E71FB2E">
      <w:pPr>
        <w:pStyle w:val="12"/>
        <w:pageBreakBefore w:val="0"/>
        <w:numPr>
          <w:ilvl w:val="4"/>
          <w:numId w:val="12"/>
        </w:numPr>
        <w:kinsoku/>
        <w:wordWrap/>
        <w:overflowPunct/>
        <w:topLinePunct w:val="0"/>
        <w:autoSpaceDE/>
        <w:autoSpaceDN/>
        <w:bidi w:val="0"/>
        <w:spacing w:line="360" w:lineRule="auto"/>
        <w:textAlignment w:val="auto"/>
      </w:pPr>
      <w:bookmarkStart w:id="372" w:name="_Toc1279705532"/>
      <w:r>
        <w:rPr>
          <w:rFonts w:hint="eastAsia"/>
        </w:rPr>
        <w:t>项目启动阶段</w:t>
      </w:r>
      <w:bookmarkEnd w:id="372"/>
    </w:p>
    <w:p w14:paraId="45E5C2EE">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此阶段处于整个项目实施工作的最前期，由成立项目组、前期调研、编制总体项目计划、启动会四个阶段组成。</w:t>
      </w:r>
    </w:p>
    <w:p w14:paraId="69FE5C97">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合同签订后，项目将正式启动，并成立项目组；</w:t>
      </w:r>
    </w:p>
    <w:p w14:paraId="0CBDB771">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正式委任项目经理，组建项目团队；</w:t>
      </w:r>
    </w:p>
    <w:p w14:paraId="3FFDFC4D">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项目组对项目进行分析并制定总体执行计划；</w:t>
      </w:r>
    </w:p>
    <w:p w14:paraId="785725C9">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分配各项目小组具体工作内容；</w:t>
      </w:r>
    </w:p>
    <w:p w14:paraId="4CFB4206">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制定细化项目计划和资金配置计划，由项目经理与用户项目经理就项目计划、进度、安全保障、配合要求等进行充分沟通后确定；</w:t>
      </w:r>
    </w:p>
    <w:p w14:paraId="0EDF8649">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初步定义项目范围；</w:t>
      </w:r>
    </w:p>
    <w:p w14:paraId="5F520D59">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主要成果</w:t>
      </w:r>
      <w:r>
        <w:rPr>
          <w:sz w:val="24"/>
          <w:szCs w:val="24"/>
        </w:rPr>
        <w:t>/</w:t>
      </w:r>
      <w:r>
        <w:rPr>
          <w:rFonts w:hint="eastAsia"/>
          <w:sz w:val="24"/>
          <w:szCs w:val="24"/>
        </w:rPr>
        <w:t>交付物：项目章程、项目范围说明书。</w:t>
      </w:r>
    </w:p>
    <w:p w14:paraId="3B4DC38D">
      <w:pPr>
        <w:pStyle w:val="87"/>
        <w:pageBreakBefore w:val="0"/>
        <w:numPr>
          <w:ilvl w:val="0"/>
          <w:numId w:val="24"/>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启动会。</w:t>
      </w:r>
    </w:p>
    <w:p w14:paraId="1347FD2C">
      <w:pPr>
        <w:pStyle w:val="12"/>
        <w:pageBreakBefore w:val="0"/>
        <w:numPr>
          <w:ilvl w:val="4"/>
          <w:numId w:val="12"/>
        </w:numPr>
        <w:kinsoku/>
        <w:wordWrap/>
        <w:overflowPunct/>
        <w:topLinePunct w:val="0"/>
        <w:autoSpaceDE/>
        <w:autoSpaceDN/>
        <w:bidi w:val="0"/>
        <w:spacing w:line="360" w:lineRule="auto"/>
        <w:textAlignment w:val="auto"/>
      </w:pPr>
      <w:bookmarkStart w:id="373" w:name="_Toc648643429"/>
      <w:r>
        <w:rPr>
          <w:rFonts w:hint="eastAsia"/>
        </w:rPr>
        <w:t>需求阶段</w:t>
      </w:r>
      <w:bookmarkEnd w:id="373"/>
    </w:p>
    <w:p w14:paraId="4DD234C0">
      <w:pPr>
        <w:pageBreakBefore w:val="0"/>
        <w:kinsoku/>
        <w:wordWrap/>
        <w:overflowPunct/>
        <w:topLinePunct w:val="0"/>
        <w:autoSpaceDE/>
        <w:autoSpaceDN/>
        <w:bidi w:val="0"/>
        <w:spacing w:before="120" w:after="120" w:line="360" w:lineRule="auto"/>
        <w:ind w:firstLine="420"/>
        <w:textAlignment w:val="auto"/>
      </w:pPr>
      <w:r>
        <w:rPr>
          <w:rFonts w:hint="eastAsia"/>
        </w:rPr>
        <w:t>此阶段的主要工作是软件公司的项目实施人员向用户调查用户对系统的需求，包括管理流程调研、功能需求调研、报表要求调研、查询需求调研等，实施人员调研完成后，会编写《需求调研分析手册》，并交付用户进行确认，待用户对《需求调研分析手册》上所提到的需求确认完毕后，项目实施人员将以此为依据进行软件功能的实现。如果用户又提出新的需求，实施人员将分析需求的难度及对整个系统的影响程度来确定是否给予实现。需求阶段主要任务是确定用户详细需求，包括：业务需求调研，每次需求调研将产生需求会议纪要、需求规格说明书和系统原型。需求调研阶段具体包括如下内容：</w:t>
      </w:r>
    </w:p>
    <w:p w14:paraId="6C7AF404">
      <w:pPr>
        <w:pageBreakBefore w:val="0"/>
        <w:kinsoku/>
        <w:wordWrap/>
        <w:overflowPunct/>
        <w:topLinePunct w:val="0"/>
        <w:autoSpaceDE/>
        <w:autoSpaceDN/>
        <w:bidi w:val="0"/>
        <w:spacing w:before="120" w:after="120" w:line="360" w:lineRule="auto"/>
        <w:ind w:firstLine="420"/>
        <w:textAlignment w:val="auto"/>
      </w:pPr>
      <w:r>
        <w:rPr>
          <w:rFonts w:hint="eastAsia"/>
        </w:rPr>
        <w:t>（1）进行需求调研准备。</w:t>
      </w:r>
    </w:p>
    <w:p w14:paraId="0F672657">
      <w:pPr>
        <w:pageBreakBefore w:val="0"/>
        <w:kinsoku/>
        <w:wordWrap/>
        <w:overflowPunct/>
        <w:topLinePunct w:val="0"/>
        <w:autoSpaceDE/>
        <w:autoSpaceDN/>
        <w:bidi w:val="0"/>
        <w:spacing w:before="120" w:after="120" w:line="360" w:lineRule="auto"/>
        <w:ind w:firstLine="420"/>
        <w:textAlignment w:val="auto"/>
      </w:pPr>
      <w:r>
        <w:rPr>
          <w:rFonts w:hint="eastAsia"/>
        </w:rPr>
        <w:t>（2）编制&lt;需求调研计划》。</w:t>
      </w:r>
    </w:p>
    <w:p w14:paraId="3A083DAC">
      <w:pPr>
        <w:pageBreakBefore w:val="0"/>
        <w:kinsoku/>
        <w:wordWrap/>
        <w:overflowPunct/>
        <w:topLinePunct w:val="0"/>
        <w:autoSpaceDE/>
        <w:autoSpaceDN/>
        <w:bidi w:val="0"/>
        <w:spacing w:before="120" w:after="120" w:line="360" w:lineRule="auto"/>
        <w:ind w:firstLine="420"/>
        <w:textAlignment w:val="auto"/>
      </w:pPr>
      <w:r>
        <w:rPr>
          <w:rFonts w:hint="eastAsia"/>
        </w:rPr>
        <w:t>（3）内部评审通过《需求调研计划》，项目组、部门经理、商务等人员根据合同要求和项目实际情况对&lt;需求调研计划》草稿进行评审。</w:t>
      </w:r>
    </w:p>
    <w:p w14:paraId="28A2E4D9">
      <w:pPr>
        <w:pageBreakBefore w:val="0"/>
        <w:kinsoku/>
        <w:wordWrap/>
        <w:overflowPunct/>
        <w:topLinePunct w:val="0"/>
        <w:autoSpaceDE/>
        <w:autoSpaceDN/>
        <w:bidi w:val="0"/>
        <w:spacing w:before="120" w:after="120" w:line="360" w:lineRule="auto"/>
        <w:ind w:firstLine="420"/>
        <w:textAlignment w:val="auto"/>
      </w:pPr>
      <w:r>
        <w:rPr>
          <w:rFonts w:hint="eastAsia"/>
        </w:rPr>
        <w:t>（4）用户签署《需求调研计划》，作为以后需求调研工作的指南。</w:t>
      </w:r>
    </w:p>
    <w:p w14:paraId="79A26FD7">
      <w:pPr>
        <w:pageBreakBefore w:val="0"/>
        <w:kinsoku/>
        <w:wordWrap/>
        <w:overflowPunct/>
        <w:topLinePunct w:val="0"/>
        <w:autoSpaceDE/>
        <w:autoSpaceDN/>
        <w:bidi w:val="0"/>
        <w:spacing w:before="120" w:after="120" w:line="360" w:lineRule="auto"/>
        <w:ind w:firstLine="420"/>
        <w:textAlignment w:val="auto"/>
      </w:pPr>
      <w:r>
        <w:rPr>
          <w:rFonts w:hint="eastAsia"/>
        </w:rPr>
        <w:t>（5）编写及发出《需求调研通知》，项目组编写&lt;需求调研通知》，确定进行需求调研的相关事宜，发给用户，为顺利完成需求调研工作做准备。</w:t>
      </w:r>
    </w:p>
    <w:p w14:paraId="37B032B0">
      <w:pPr>
        <w:pageBreakBefore w:val="0"/>
        <w:kinsoku/>
        <w:wordWrap/>
        <w:overflowPunct/>
        <w:topLinePunct w:val="0"/>
        <w:autoSpaceDE/>
        <w:autoSpaceDN/>
        <w:bidi w:val="0"/>
        <w:spacing w:before="120" w:after="120" w:line="360" w:lineRule="auto"/>
        <w:ind w:firstLine="420"/>
        <w:textAlignment w:val="auto"/>
      </w:pPr>
      <w:r>
        <w:rPr>
          <w:rFonts w:hint="eastAsia"/>
        </w:rPr>
        <w:t>（6）需求调研，项目组以《需求调研手册》为依据，从业务流程、单据使用、打印格式、报表查询几个方面展开深入和全面的调研，并搜集用户的个性化需求。</w:t>
      </w:r>
    </w:p>
    <w:p w14:paraId="7B5195EE">
      <w:pPr>
        <w:pageBreakBefore w:val="0"/>
        <w:kinsoku/>
        <w:wordWrap/>
        <w:overflowPunct/>
        <w:topLinePunct w:val="0"/>
        <w:autoSpaceDE/>
        <w:autoSpaceDN/>
        <w:bidi w:val="0"/>
        <w:spacing w:before="120" w:after="120" w:line="360" w:lineRule="auto"/>
        <w:ind w:firstLine="420"/>
        <w:textAlignment w:val="auto"/>
      </w:pPr>
      <w:r>
        <w:rPr>
          <w:rFonts w:hint="eastAsia"/>
        </w:rPr>
        <w:t>（7）需求调研分析，根据调研的结果，项目组和公司其他技术部门将进一步进行分析，确定合理、可行的需求，将分析结果形成&lt;需求分析报告》草稿。</w:t>
      </w:r>
    </w:p>
    <w:p w14:paraId="125DAE76">
      <w:pPr>
        <w:pageBreakBefore w:val="0"/>
        <w:kinsoku/>
        <w:wordWrap/>
        <w:overflowPunct/>
        <w:topLinePunct w:val="0"/>
        <w:autoSpaceDE/>
        <w:autoSpaceDN/>
        <w:bidi w:val="0"/>
        <w:spacing w:before="120" w:after="120" w:line="360" w:lineRule="auto"/>
        <w:ind w:firstLine="420"/>
        <w:textAlignment w:val="auto"/>
      </w:pPr>
      <w:r>
        <w:rPr>
          <w:rFonts w:hint="eastAsia"/>
        </w:rPr>
        <w:t>（8）内部评审通过《需求分析报告》，项目组、部门经理、公司其他技术部门的人员对&lt;需求分析报告》草稿进行评审，稍后由用户签署。</w:t>
      </w:r>
    </w:p>
    <w:p w14:paraId="4143EB62">
      <w:pPr>
        <w:pageBreakBefore w:val="0"/>
        <w:kinsoku/>
        <w:wordWrap/>
        <w:overflowPunct/>
        <w:topLinePunct w:val="0"/>
        <w:autoSpaceDE/>
        <w:autoSpaceDN/>
        <w:bidi w:val="0"/>
        <w:spacing w:before="120" w:after="120" w:line="360" w:lineRule="auto"/>
        <w:ind w:firstLine="420"/>
        <w:textAlignment w:val="auto"/>
      </w:pPr>
      <w:r>
        <w:rPr>
          <w:rFonts w:hint="eastAsia"/>
        </w:rPr>
        <w:t>（9）编写及发出《需求分析报告确认通知》，项目组编写《需求分析报告确认通知》，发给用户，确定进行需求确认的相关事宜，告之相关部门及人员安排好工作，准时参与需求确认工作，为顺利完成需求确认工作做准备。</w:t>
      </w:r>
    </w:p>
    <w:p w14:paraId="62DB116B">
      <w:pPr>
        <w:pageBreakBefore w:val="0"/>
        <w:kinsoku/>
        <w:wordWrap/>
        <w:overflowPunct/>
        <w:topLinePunct w:val="0"/>
        <w:autoSpaceDE/>
        <w:autoSpaceDN/>
        <w:bidi w:val="0"/>
        <w:spacing w:before="120" w:after="120" w:line="360" w:lineRule="auto"/>
        <w:ind w:firstLine="420"/>
        <w:textAlignment w:val="auto"/>
      </w:pPr>
      <w:r>
        <w:rPr>
          <w:rFonts w:hint="eastAsia"/>
        </w:rPr>
        <w:t>（10）用户确认&lt;需求分析报告》并签署&lt;需求分析报告需求调研阶段工作结束，进行后续的软件功能实现的工作。</w:t>
      </w:r>
    </w:p>
    <w:p w14:paraId="40E019AD">
      <w:pPr>
        <w:pStyle w:val="12"/>
        <w:pageBreakBefore w:val="0"/>
        <w:numPr>
          <w:ilvl w:val="4"/>
          <w:numId w:val="12"/>
        </w:numPr>
        <w:kinsoku/>
        <w:wordWrap/>
        <w:overflowPunct/>
        <w:topLinePunct w:val="0"/>
        <w:autoSpaceDE/>
        <w:autoSpaceDN/>
        <w:bidi w:val="0"/>
        <w:spacing w:line="360" w:lineRule="auto"/>
        <w:textAlignment w:val="auto"/>
      </w:pPr>
      <w:bookmarkStart w:id="374" w:name="_Toc1992142341"/>
      <w:r>
        <w:rPr>
          <w:rFonts w:hint="eastAsia"/>
        </w:rPr>
        <w:t>设计阶段</w:t>
      </w:r>
      <w:bookmarkEnd w:id="374"/>
    </w:p>
    <w:p w14:paraId="4371AF2C">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根据用户的提供的需求确定系统总体功能，并针对具体的功能做出详细设计。</w:t>
      </w:r>
    </w:p>
    <w:p w14:paraId="559820E3">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系统架构师根据用户的需求分析确定系统的总体功能，并根据总体功能形成概要设计文档；</w:t>
      </w:r>
    </w:p>
    <w:p w14:paraId="07458A18">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根据系统的具体功能，系统架构师整体设计其功能如何实现规范，并形成详细设计文档；</w:t>
      </w:r>
    </w:p>
    <w:p w14:paraId="7497594A">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主要成果</w:t>
      </w:r>
      <w:r>
        <w:rPr>
          <w:sz w:val="24"/>
          <w:szCs w:val="24"/>
        </w:rPr>
        <w:t>/</w:t>
      </w:r>
      <w:r>
        <w:rPr>
          <w:rFonts w:hint="eastAsia"/>
          <w:sz w:val="24"/>
          <w:szCs w:val="24"/>
        </w:rPr>
        <w:t>交付物：阶段总结报告、评审报告、系统功能说明书、系统测试计划、用户操作手册、详细设计说明书、单元测试计划。</w:t>
      </w:r>
    </w:p>
    <w:p w14:paraId="0881DB2A">
      <w:pPr>
        <w:pStyle w:val="12"/>
        <w:pageBreakBefore w:val="0"/>
        <w:numPr>
          <w:ilvl w:val="4"/>
          <w:numId w:val="12"/>
        </w:numPr>
        <w:kinsoku/>
        <w:wordWrap/>
        <w:overflowPunct/>
        <w:topLinePunct w:val="0"/>
        <w:autoSpaceDE/>
        <w:autoSpaceDN/>
        <w:bidi w:val="0"/>
        <w:spacing w:line="360" w:lineRule="auto"/>
        <w:textAlignment w:val="auto"/>
      </w:pPr>
      <w:bookmarkStart w:id="375" w:name="_Toc400215091"/>
      <w:r>
        <w:rPr>
          <w:rFonts w:hint="eastAsia"/>
        </w:rPr>
        <w:t>编码开发、测试阶段</w:t>
      </w:r>
      <w:bookmarkEnd w:id="375"/>
    </w:p>
    <w:p w14:paraId="4D18675C">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开发人员根据系统的总体功能设计和详细功能设计进行编码开发，测试组根据单元测试计划和系统测试计划进行单元测试和系统总体测试。</w:t>
      </w:r>
    </w:p>
    <w:p w14:paraId="6E13680F">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根据详细设计文档形成详细设计检查单以便评审和核查；</w:t>
      </w:r>
    </w:p>
    <w:p w14:paraId="7B0100D9">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开发人员根据详细设计文档编写开发功能代码，项目经理组织形成代码检查单进行代码走查以及单元测试计划和单元测试用例检查单；</w:t>
      </w:r>
    </w:p>
    <w:p w14:paraId="127DDD87">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测试人员与开发人员交替做单元测试以及系统测试并形成单元测试报告、系统测试报告；</w:t>
      </w:r>
    </w:p>
    <w:p w14:paraId="3808A5C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主要成果</w:t>
      </w:r>
      <w:r>
        <w:rPr>
          <w:sz w:val="24"/>
          <w:szCs w:val="24"/>
        </w:rPr>
        <w:t>/</w:t>
      </w:r>
      <w:r>
        <w:rPr>
          <w:rFonts w:hint="eastAsia"/>
          <w:sz w:val="24"/>
          <w:szCs w:val="24"/>
        </w:rPr>
        <w:t>交付物：阶段总结报告、评审报告、系统功能说明书、系统测试计划、用户操作手册、详细设计说明书、单元测试计划。</w:t>
      </w:r>
    </w:p>
    <w:p w14:paraId="3A708D6F">
      <w:pPr>
        <w:pStyle w:val="12"/>
        <w:pageBreakBefore w:val="0"/>
        <w:numPr>
          <w:ilvl w:val="4"/>
          <w:numId w:val="12"/>
        </w:numPr>
        <w:kinsoku/>
        <w:wordWrap/>
        <w:overflowPunct/>
        <w:topLinePunct w:val="0"/>
        <w:autoSpaceDE/>
        <w:autoSpaceDN/>
        <w:bidi w:val="0"/>
        <w:spacing w:line="360" w:lineRule="auto"/>
        <w:textAlignment w:val="auto"/>
      </w:pPr>
      <w:bookmarkStart w:id="376" w:name="_Toc198143476"/>
      <w:r>
        <w:rPr>
          <w:rFonts w:hint="eastAsia"/>
        </w:rPr>
        <w:t>集成、测试阶段</w:t>
      </w:r>
      <w:bookmarkEnd w:id="376"/>
    </w:p>
    <w:p w14:paraId="1702FE74">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根据系统的硬件设计要求以及系统总体功能进行集成测试。我司负责制定具体的安装、测试等项目整体的进度计划，双方共同协商制定时间表，我司按用户的要求，在规定时间内完成系统建设。</w:t>
      </w:r>
    </w:p>
    <w:p w14:paraId="2344E00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测试组负责人根据系统的软件需求以及系统测试要求形成集成测试计划和集成测试用例；安装、测试所需的工具由我司负责提供。我司负责准备安装、测试所需的资料，并负责指导用户掌握和使用这些技术资料。</w:t>
      </w:r>
    </w:p>
    <w:p w14:paraId="6EBDF577">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项目经理组织需求分析师、研发工程师、测试工程师、软件质量工程师进行集成测试评审，形成集成测试计划检查单和集成测试用例检查单，并完成评审。在具备测试条件后提出完整的测试申请，包括测试方案、具体测试项目、测试目的、测试标准、测试工程师姓名等，并提供相应工具。测试的条款与双方共同认可的技术规范一致，最终测试文件由我司拟定，并经用户确认。</w:t>
      </w:r>
    </w:p>
    <w:p w14:paraId="3A60944A">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测试工程师根据集成测试用例主导集成和测试，并做缺陷跟踪记录，形成集成测试报告。对用户的技术人员提出的问题作出解答。测试进行详细记录，测试结束后，由我司的技术人员签字并提交给用户确认后，作为验收依据之一。</w:t>
      </w:r>
    </w:p>
    <w:p w14:paraId="7F490A02">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我司负责系统安装测试和版本控制。系统测试的条款与国家的相关技术规范与标准一致，并提供详细的调试文件，内容包括系统测试的内容、测试计划、测试用例、测试分析报告样本，经用户确认后确定最终测试文件。</w:t>
      </w:r>
    </w:p>
    <w:p w14:paraId="5DE2090B">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主要成果</w:t>
      </w:r>
      <w:r>
        <w:rPr>
          <w:sz w:val="24"/>
          <w:szCs w:val="24"/>
        </w:rPr>
        <w:t>/</w:t>
      </w:r>
      <w:r>
        <w:rPr>
          <w:rFonts w:hint="eastAsia"/>
          <w:sz w:val="24"/>
          <w:szCs w:val="24"/>
        </w:rPr>
        <w:t>交付物：阶段总结报告、评审报告、集成测试报告。</w:t>
      </w:r>
    </w:p>
    <w:p w14:paraId="4B9DB57A">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在系统设计、开发、安装和系统调测期间，用户可派相应技术人员参加，我司技术人员对其进行指导和现场培训。</w:t>
      </w:r>
    </w:p>
    <w:p w14:paraId="2B231D93">
      <w:pPr>
        <w:pStyle w:val="12"/>
        <w:pageBreakBefore w:val="0"/>
        <w:numPr>
          <w:ilvl w:val="4"/>
          <w:numId w:val="12"/>
        </w:numPr>
        <w:kinsoku/>
        <w:wordWrap/>
        <w:overflowPunct/>
        <w:topLinePunct w:val="0"/>
        <w:autoSpaceDE/>
        <w:autoSpaceDN/>
        <w:bidi w:val="0"/>
        <w:spacing w:line="360" w:lineRule="auto"/>
        <w:textAlignment w:val="auto"/>
      </w:pPr>
      <w:bookmarkStart w:id="377" w:name="_Toc117069825"/>
      <w:r>
        <w:rPr>
          <w:rFonts w:hint="eastAsia"/>
        </w:rPr>
        <w:t>发布、实施阶段</w:t>
      </w:r>
      <w:bookmarkEnd w:id="377"/>
    </w:p>
    <w:p w14:paraId="556E3B90">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系统集成测试完后进入项目实施阶段。</w:t>
      </w:r>
    </w:p>
    <w:p w14:paraId="4641461E">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现场实施前准备：包括基础数据、实施计划、实施期间需要用户方配合的资源；</w:t>
      </w:r>
    </w:p>
    <w:p w14:paraId="4F1AC60E">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项目实施过程中如出现软件新需求项目经理需要与用户方评审确认，实施过程中要制定上线切换系统的准备；</w:t>
      </w:r>
    </w:p>
    <w:p w14:paraId="40B91EB1">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系统需要进行单机、联调测试；</w:t>
      </w:r>
    </w:p>
    <w:p w14:paraId="44098CB9">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主要成果</w:t>
      </w:r>
      <w:r>
        <w:rPr>
          <w:sz w:val="24"/>
          <w:szCs w:val="24"/>
        </w:rPr>
        <w:t>/</w:t>
      </w:r>
      <w:r>
        <w:rPr>
          <w:rFonts w:hint="eastAsia"/>
          <w:sz w:val="24"/>
          <w:szCs w:val="24"/>
        </w:rPr>
        <w:t>交付物：阶段总结报告、现场实施报告、设备安装测试报告、压力测试报告等。</w:t>
      </w:r>
    </w:p>
    <w:p w14:paraId="51877703">
      <w:pPr>
        <w:pStyle w:val="12"/>
        <w:pageBreakBefore w:val="0"/>
        <w:numPr>
          <w:ilvl w:val="4"/>
          <w:numId w:val="12"/>
        </w:numPr>
        <w:kinsoku/>
        <w:wordWrap/>
        <w:overflowPunct/>
        <w:topLinePunct w:val="0"/>
        <w:autoSpaceDE/>
        <w:autoSpaceDN/>
        <w:bidi w:val="0"/>
        <w:spacing w:line="360" w:lineRule="auto"/>
        <w:textAlignment w:val="auto"/>
      </w:pPr>
      <w:bookmarkStart w:id="378" w:name="_Toc102553665"/>
      <w:r>
        <w:rPr>
          <w:rFonts w:hint="eastAsia"/>
        </w:rPr>
        <w:t>培训、交付、试运行阶段</w:t>
      </w:r>
      <w:bookmarkEnd w:id="378"/>
    </w:p>
    <w:p w14:paraId="4D19C58C">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培训计划及内容</w:t>
      </w:r>
    </w:p>
    <w:p w14:paraId="24C4BB3E">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培训教材</w:t>
      </w:r>
    </w:p>
    <w:p w14:paraId="1D3AD730">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培训讲师</w:t>
      </w:r>
    </w:p>
    <w:p w14:paraId="2F162317">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参训人员要求</w:t>
      </w:r>
    </w:p>
    <w:p w14:paraId="104DC524">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向用户申请试运行；</w:t>
      </w:r>
    </w:p>
    <w:p w14:paraId="464A8B38">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试运行条件确认；</w:t>
      </w:r>
    </w:p>
    <w:p w14:paraId="46080E3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试运行跟踪；</w:t>
      </w:r>
    </w:p>
    <w:p w14:paraId="51E5D395">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项目资料汇编、移交。</w:t>
      </w:r>
    </w:p>
    <w:p w14:paraId="2E35F52E">
      <w:pPr>
        <w:pStyle w:val="12"/>
        <w:pageBreakBefore w:val="0"/>
        <w:numPr>
          <w:ilvl w:val="4"/>
          <w:numId w:val="12"/>
        </w:numPr>
        <w:kinsoku/>
        <w:wordWrap/>
        <w:overflowPunct/>
        <w:topLinePunct w:val="0"/>
        <w:autoSpaceDE/>
        <w:autoSpaceDN/>
        <w:bidi w:val="0"/>
        <w:spacing w:line="360" w:lineRule="auto"/>
        <w:textAlignment w:val="auto"/>
      </w:pPr>
      <w:bookmarkStart w:id="379" w:name="_Toc2112858582"/>
      <w:r>
        <w:rPr>
          <w:rFonts w:hint="eastAsia"/>
        </w:rPr>
        <w:t>项目验收阶段</w:t>
      </w:r>
      <w:bookmarkEnd w:id="379"/>
    </w:p>
    <w:p w14:paraId="675F665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提交验收规范并由用户批准；</w:t>
      </w:r>
    </w:p>
    <w:p w14:paraId="07D79B1F">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申请验收；</w:t>
      </w:r>
    </w:p>
    <w:p w14:paraId="6A1AD23B">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按照程序，根据验收规范对系统进行测试、检验；</w:t>
      </w:r>
    </w:p>
    <w:p w14:paraId="6F717D6F">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系统移交；</w:t>
      </w:r>
    </w:p>
    <w:p w14:paraId="79A8232C">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项目资料提交；用户方接到验收申请后，组织专家对项目进行初审。初审通过后，组织管理层领导、业务管理人员和信息技术专家成立项目验收委员会，负责对软件项目进行正式验收。</w:t>
      </w:r>
    </w:p>
    <w:p w14:paraId="15BF7BC5">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验收完成；</w:t>
      </w:r>
    </w:p>
    <w:p w14:paraId="63D4A016">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移交我司售后服务部。</w:t>
      </w:r>
    </w:p>
    <w:bookmarkEnd w:id="350"/>
    <w:bookmarkEnd w:id="351"/>
    <w:bookmarkEnd w:id="352"/>
    <w:bookmarkEnd w:id="353"/>
    <w:p w14:paraId="22B6BDB0">
      <w:pPr>
        <w:pStyle w:val="10"/>
        <w:pageBreakBefore w:val="0"/>
        <w:numPr>
          <w:ilvl w:val="3"/>
          <w:numId w:val="12"/>
        </w:numPr>
        <w:kinsoku/>
        <w:wordWrap/>
        <w:overflowPunct/>
        <w:topLinePunct w:val="0"/>
        <w:autoSpaceDE/>
        <w:autoSpaceDN/>
        <w:bidi w:val="0"/>
        <w:spacing w:line="360" w:lineRule="auto"/>
        <w:ind w:left="425" w:firstLine="41" w:firstLineChars="17"/>
        <w:textAlignment w:val="auto"/>
      </w:pPr>
      <w:bookmarkStart w:id="380" w:name="_Toc121204271"/>
      <w:bookmarkStart w:id="381" w:name="_Toc14054"/>
      <w:bookmarkStart w:id="382" w:name="_Toc835749779"/>
      <w:bookmarkStart w:id="383" w:name="_Ref44702290"/>
      <w:bookmarkStart w:id="384" w:name="_Toc30095"/>
      <w:bookmarkStart w:id="385" w:name="_Ref44702295"/>
      <w:bookmarkStart w:id="386" w:name="_Ref55138131"/>
      <w:bookmarkStart w:id="387" w:name="_Toc72745682"/>
      <w:bookmarkStart w:id="388" w:name="_Ref55138125"/>
      <w:r>
        <w:rPr>
          <w:rFonts w:hint="eastAsia"/>
        </w:rPr>
        <w:t>调试与验收方案</w:t>
      </w:r>
      <w:bookmarkEnd w:id="380"/>
      <w:bookmarkEnd w:id="381"/>
      <w:bookmarkEnd w:id="382"/>
    </w:p>
    <w:p w14:paraId="4812822C">
      <w:pPr>
        <w:pStyle w:val="12"/>
        <w:pageBreakBefore w:val="0"/>
        <w:numPr>
          <w:ilvl w:val="4"/>
          <w:numId w:val="12"/>
        </w:numPr>
        <w:kinsoku/>
        <w:wordWrap/>
        <w:overflowPunct/>
        <w:topLinePunct w:val="0"/>
        <w:autoSpaceDE/>
        <w:autoSpaceDN/>
        <w:bidi w:val="0"/>
        <w:spacing w:line="360" w:lineRule="auto"/>
        <w:textAlignment w:val="auto"/>
      </w:pPr>
      <w:bookmarkStart w:id="389" w:name="_Toc1301333984"/>
      <w:bookmarkStart w:id="390" w:name="_Toc61886949"/>
      <w:r>
        <w:rPr>
          <w:rFonts w:hint="eastAsia"/>
        </w:rPr>
        <w:t>系统测试方案</w:t>
      </w:r>
      <w:bookmarkEnd w:id="389"/>
      <w:bookmarkEnd w:id="390"/>
    </w:p>
    <w:p w14:paraId="70EC0130">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测试目的 </w:t>
      </w:r>
    </w:p>
    <w:p w14:paraId="50B01521">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该计划的目的是为测试工程师提供工作的依据，有助于实现以下目标： </w:t>
      </w:r>
    </w:p>
    <w:p w14:paraId="3DBB9B97">
      <w:pPr>
        <w:pStyle w:val="87"/>
        <w:pageBreakBefore w:val="0"/>
        <w:numPr>
          <w:ilvl w:val="0"/>
          <w:numId w:val="25"/>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确定项目的测试需求和应测试的范围。</w:t>
      </w:r>
      <w:r>
        <w:rPr>
          <w:sz w:val="24"/>
          <w:szCs w:val="24"/>
        </w:rPr>
        <w:t xml:space="preserve"> </w:t>
      </w:r>
    </w:p>
    <w:p w14:paraId="67C1E3C6">
      <w:pPr>
        <w:pStyle w:val="87"/>
        <w:pageBreakBefore w:val="0"/>
        <w:numPr>
          <w:ilvl w:val="0"/>
          <w:numId w:val="25"/>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确定测试的进度和所需资源，并对测试的工作量进行估计。</w:t>
      </w:r>
      <w:r>
        <w:rPr>
          <w:sz w:val="24"/>
          <w:szCs w:val="24"/>
        </w:rPr>
        <w:t xml:space="preserve"> </w:t>
      </w:r>
    </w:p>
    <w:p w14:paraId="590FBB1A">
      <w:pPr>
        <w:pStyle w:val="87"/>
        <w:pageBreakBefore w:val="0"/>
        <w:numPr>
          <w:ilvl w:val="0"/>
          <w:numId w:val="25"/>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列出测试应交付的工作成果。</w:t>
      </w:r>
      <w:r>
        <w:rPr>
          <w:sz w:val="24"/>
          <w:szCs w:val="24"/>
        </w:rPr>
        <w:t xml:space="preserve"> </w:t>
      </w:r>
    </w:p>
    <w:p w14:paraId="49E46D0A">
      <w:pPr>
        <w:pStyle w:val="87"/>
        <w:pageBreakBefore w:val="0"/>
        <w:numPr>
          <w:ilvl w:val="0"/>
          <w:numId w:val="25"/>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确定测试通过的标准和应达到的效果。</w:t>
      </w:r>
      <w:r>
        <w:rPr>
          <w:sz w:val="24"/>
          <w:szCs w:val="24"/>
        </w:rPr>
        <w:t xml:space="preserve"> </w:t>
      </w:r>
    </w:p>
    <w:p w14:paraId="4CE5E8F5">
      <w:pPr>
        <w:pStyle w:val="87"/>
        <w:pageBreakBefore w:val="0"/>
        <w:numPr>
          <w:ilvl w:val="0"/>
          <w:numId w:val="25"/>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推荐可采用的测试策略，并对这些策略加以说明。</w:t>
      </w:r>
      <w:r>
        <w:rPr>
          <w:sz w:val="24"/>
          <w:szCs w:val="24"/>
        </w:rPr>
        <w:t xml:space="preserve"> </w:t>
      </w:r>
    </w:p>
    <w:p w14:paraId="2E74E52A">
      <w:pPr>
        <w:pStyle w:val="87"/>
        <w:pageBreakBefore w:val="0"/>
        <w:numPr>
          <w:ilvl w:val="0"/>
          <w:numId w:val="25"/>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预测测试可能存在的风险和处理的优先级。</w:t>
      </w:r>
      <w:r>
        <w:rPr>
          <w:sz w:val="24"/>
          <w:szCs w:val="24"/>
        </w:rPr>
        <w:t xml:space="preserve"> </w:t>
      </w:r>
    </w:p>
    <w:p w14:paraId="697997D7">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测试内容 </w:t>
      </w:r>
    </w:p>
    <w:p w14:paraId="2397E5E5">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测试主要包括模块测试、功能测试及系统集成测试。测试的内容主要包括：功能要求、可靠性、安全性、性能、可扩充性、可维护性、平台移植性、与其它系统的接口等。 </w:t>
      </w:r>
    </w:p>
    <w:p w14:paraId="3820F11F">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在系统开发过程中的模块、功能测试重点关注系统需求验证和功能正确性测试，测试工程师根据测试案例逐项验证，并用测试工具辅助回归测试。 </w:t>
      </w:r>
    </w:p>
    <w:p w14:paraId="53DA792E">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系统集成测试阶段重点关注系统性能测试和压力测试，在本项目中主要采用的工具为LoadRunner。 </w:t>
      </w:r>
    </w:p>
    <w:p w14:paraId="5357FF27">
      <w:pPr>
        <w:pStyle w:val="87"/>
        <w:pageBreakBefore w:val="0"/>
        <w:numPr>
          <w:ilvl w:val="0"/>
          <w:numId w:val="26"/>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用户界面测试</w:t>
      </w:r>
      <w:r>
        <w:rPr>
          <w:b/>
          <w:bCs/>
          <w:sz w:val="24"/>
          <w:szCs w:val="24"/>
        </w:rPr>
        <w:t xml:space="preserve"> </w:t>
      </w:r>
    </w:p>
    <w:tbl>
      <w:tblPr>
        <w:tblStyle w:val="43"/>
        <w:tblW w:w="77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2" w:type="dxa"/>
          <w:left w:w="112" w:type="dxa"/>
          <w:bottom w:w="0" w:type="dxa"/>
          <w:right w:w="108" w:type="dxa"/>
        </w:tblCellMar>
      </w:tblPr>
      <w:tblGrid>
        <w:gridCol w:w="1839"/>
        <w:gridCol w:w="5886"/>
      </w:tblGrid>
      <w:tr w14:paraId="39193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1231"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78D639F0">
            <w:pPr>
              <w:pageBreakBefore w:val="0"/>
              <w:kinsoku/>
              <w:wordWrap/>
              <w:overflowPunct/>
              <w:topLinePunct w:val="0"/>
              <w:autoSpaceDE/>
              <w:autoSpaceDN/>
              <w:bidi w:val="0"/>
              <w:spacing w:before="120" w:after="120" w:line="360" w:lineRule="auto"/>
              <w:textAlignment w:val="auto"/>
            </w:pPr>
            <w:r>
              <w:rPr>
                <w:rFonts w:hint="eastAsia"/>
              </w:rPr>
              <w:t xml:space="preserve">测试目标： </w:t>
            </w:r>
          </w:p>
        </w:tc>
        <w:tc>
          <w:tcPr>
            <w:tcW w:w="5883" w:type="dxa"/>
            <w:tcBorders>
              <w:top w:val="single" w:color="auto" w:sz="4" w:space="0"/>
              <w:left w:val="single" w:color="auto" w:sz="4" w:space="0"/>
              <w:bottom w:val="single" w:color="auto" w:sz="4" w:space="0"/>
              <w:right w:val="single" w:color="auto" w:sz="4" w:space="0"/>
            </w:tcBorders>
          </w:tcPr>
          <w:p w14:paraId="73CEDCA8">
            <w:pPr>
              <w:pageBreakBefore w:val="0"/>
              <w:kinsoku/>
              <w:wordWrap/>
              <w:overflowPunct/>
              <w:topLinePunct w:val="0"/>
              <w:autoSpaceDE/>
              <w:autoSpaceDN/>
              <w:bidi w:val="0"/>
              <w:spacing w:before="120" w:after="120" w:line="360" w:lineRule="auto"/>
              <w:ind w:firstLine="420"/>
              <w:textAlignment w:val="auto"/>
            </w:pPr>
            <w:r>
              <w:rPr>
                <w:rFonts w:hint="eastAsia"/>
              </w:rPr>
              <w:t xml:space="preserve">UI 测试的目标是确保用户界面会通过测试对象的功能来为用户提供相应的访问或浏览功能，还可确保UI中的对象按照预期的方式运行，并符合公司或行业的标准。 </w:t>
            </w:r>
          </w:p>
        </w:tc>
      </w:tr>
      <w:tr w14:paraId="478C5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jc w:val="center"/>
        </w:trPr>
        <w:tc>
          <w:tcPr>
            <w:tcW w:w="1838" w:type="dxa"/>
            <w:tcBorders>
              <w:top w:val="single" w:color="auto" w:sz="4" w:space="0"/>
              <w:left w:val="single" w:color="auto" w:sz="4" w:space="0"/>
              <w:bottom w:val="single" w:color="auto" w:sz="4" w:space="0"/>
              <w:right w:val="single" w:color="auto" w:sz="4" w:space="0"/>
            </w:tcBorders>
            <w:vAlign w:val="center"/>
          </w:tcPr>
          <w:p w14:paraId="6D1D3BD7">
            <w:pPr>
              <w:pageBreakBefore w:val="0"/>
              <w:kinsoku/>
              <w:wordWrap/>
              <w:overflowPunct/>
              <w:topLinePunct w:val="0"/>
              <w:autoSpaceDE/>
              <w:autoSpaceDN/>
              <w:bidi w:val="0"/>
              <w:spacing w:before="120" w:after="120" w:line="360" w:lineRule="auto"/>
              <w:textAlignment w:val="auto"/>
            </w:pPr>
            <w:r>
              <w:rPr>
                <w:rFonts w:hint="eastAsia"/>
              </w:rPr>
              <w:t xml:space="preserve">测试方法： </w:t>
            </w:r>
          </w:p>
        </w:tc>
        <w:tc>
          <w:tcPr>
            <w:tcW w:w="5883" w:type="dxa"/>
            <w:tcBorders>
              <w:top w:val="single" w:color="auto" w:sz="4" w:space="0"/>
              <w:left w:val="single" w:color="auto" w:sz="4" w:space="0"/>
              <w:bottom w:val="single" w:color="auto" w:sz="4" w:space="0"/>
              <w:right w:val="single" w:color="auto" w:sz="4" w:space="0"/>
            </w:tcBorders>
          </w:tcPr>
          <w:p w14:paraId="684EAC4E">
            <w:pPr>
              <w:pageBreakBefore w:val="0"/>
              <w:kinsoku/>
              <w:wordWrap/>
              <w:overflowPunct/>
              <w:topLinePunct w:val="0"/>
              <w:autoSpaceDE/>
              <w:autoSpaceDN/>
              <w:bidi w:val="0"/>
              <w:spacing w:before="120" w:after="120" w:line="360" w:lineRule="auto"/>
              <w:ind w:firstLine="420"/>
              <w:textAlignment w:val="auto"/>
            </w:pPr>
            <w:r>
              <w:rPr>
                <w:rFonts w:hint="eastAsia"/>
              </w:rPr>
              <w:t xml:space="preserve">为每个窗口创建或修改测试，以核实各个应用程序窗口和对象都可正确地进行浏览，并处于正常的对象状态。通过测试进行的浏览可正确反映业务的功能和需求，这种浏览包括窗口与窗口之间、字段与字段之间的浏览，以及各种访问方法（Tab键、鼠标移动、和快捷键）的使用，窗口的对象和特征（例如：菜单、大小、位置、状态和中心）都符合公司或行业的标准，使用便利，不会造成误解。 </w:t>
            </w:r>
          </w:p>
        </w:tc>
      </w:tr>
      <w:tr w14:paraId="7ECD5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421"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35348084">
            <w:pPr>
              <w:pageBreakBefore w:val="0"/>
              <w:kinsoku/>
              <w:wordWrap/>
              <w:overflowPunct/>
              <w:topLinePunct w:val="0"/>
              <w:autoSpaceDE/>
              <w:autoSpaceDN/>
              <w:bidi w:val="0"/>
              <w:spacing w:before="120" w:after="120" w:line="360" w:lineRule="auto"/>
              <w:textAlignment w:val="auto"/>
            </w:pPr>
            <w:r>
              <w:rPr>
                <w:rFonts w:hint="eastAsia"/>
              </w:rPr>
              <w:t xml:space="preserve">测试范围： </w:t>
            </w:r>
          </w:p>
        </w:tc>
        <w:tc>
          <w:tcPr>
            <w:tcW w:w="5883" w:type="dxa"/>
            <w:tcBorders>
              <w:top w:val="single" w:color="auto" w:sz="4" w:space="0"/>
              <w:left w:val="single" w:color="auto" w:sz="4" w:space="0"/>
              <w:bottom w:val="single" w:color="auto" w:sz="4" w:space="0"/>
              <w:right w:val="single" w:color="auto" w:sz="4" w:space="0"/>
            </w:tcBorders>
          </w:tcPr>
          <w:p w14:paraId="130ACC75">
            <w:pPr>
              <w:pageBreakBefore w:val="0"/>
              <w:kinsoku/>
              <w:wordWrap/>
              <w:overflowPunct/>
              <w:topLinePunct w:val="0"/>
              <w:autoSpaceDE/>
              <w:autoSpaceDN/>
              <w:bidi w:val="0"/>
              <w:spacing w:before="120" w:after="120" w:line="360" w:lineRule="auto"/>
              <w:ind w:firstLine="420"/>
              <w:textAlignment w:val="auto"/>
            </w:pPr>
            <w:r>
              <w:rPr>
                <w:rFonts w:hint="eastAsia"/>
              </w:rPr>
              <w:t xml:space="preserve">所有与用户直接发生交互操作的应用程序界面。 </w:t>
            </w:r>
          </w:p>
        </w:tc>
      </w:tr>
      <w:tr w14:paraId="7CB84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1063"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7F57543F">
            <w:pPr>
              <w:pageBreakBefore w:val="0"/>
              <w:kinsoku/>
              <w:wordWrap/>
              <w:overflowPunct/>
              <w:topLinePunct w:val="0"/>
              <w:autoSpaceDE/>
              <w:autoSpaceDN/>
              <w:bidi w:val="0"/>
              <w:spacing w:before="120" w:after="120" w:line="360" w:lineRule="auto"/>
              <w:textAlignment w:val="auto"/>
            </w:pPr>
            <w:r>
              <w:rPr>
                <w:rFonts w:hint="eastAsia"/>
              </w:rPr>
              <w:t xml:space="preserve">完成标准： </w:t>
            </w:r>
          </w:p>
        </w:tc>
        <w:tc>
          <w:tcPr>
            <w:tcW w:w="5883" w:type="dxa"/>
            <w:tcBorders>
              <w:top w:val="single" w:color="auto" w:sz="4" w:space="0"/>
              <w:left w:val="single" w:color="auto" w:sz="4" w:space="0"/>
              <w:bottom w:val="single" w:color="auto" w:sz="4" w:space="0"/>
              <w:right w:val="single" w:color="auto" w:sz="4" w:space="0"/>
            </w:tcBorders>
          </w:tcPr>
          <w:p w14:paraId="1F0BEE90">
            <w:pPr>
              <w:pageBreakBefore w:val="0"/>
              <w:kinsoku/>
              <w:wordWrap/>
              <w:overflowPunct/>
              <w:topLinePunct w:val="0"/>
              <w:autoSpaceDE/>
              <w:autoSpaceDN/>
              <w:bidi w:val="0"/>
              <w:spacing w:before="120" w:after="120" w:line="360" w:lineRule="auto"/>
              <w:ind w:firstLine="420"/>
              <w:textAlignment w:val="auto"/>
            </w:pPr>
            <w:r>
              <w:rPr>
                <w:rFonts w:hint="eastAsia"/>
              </w:rPr>
              <w:t xml:space="preserve">所有与用户直接发生交互操作的应用程序界面都符合符合公司或行业的标准，都可正确地进行浏览，使用频率在80%以上的用户界面正确反映业务的功能和需求，并经用户体验测试获得认可。 </w:t>
            </w:r>
          </w:p>
        </w:tc>
      </w:tr>
      <w:tr w14:paraId="3DE2B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26"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52ACB414">
            <w:pPr>
              <w:pageBreakBefore w:val="0"/>
              <w:kinsoku/>
              <w:wordWrap/>
              <w:overflowPunct/>
              <w:topLinePunct w:val="0"/>
              <w:autoSpaceDE/>
              <w:autoSpaceDN/>
              <w:bidi w:val="0"/>
              <w:spacing w:before="120" w:after="120" w:line="360" w:lineRule="auto"/>
              <w:textAlignment w:val="auto"/>
            </w:pPr>
            <w:r>
              <w:rPr>
                <w:rFonts w:hint="eastAsia"/>
              </w:rPr>
              <w:t xml:space="preserve">测试重点和优先级： </w:t>
            </w:r>
          </w:p>
        </w:tc>
        <w:tc>
          <w:tcPr>
            <w:tcW w:w="5883" w:type="dxa"/>
            <w:tcBorders>
              <w:top w:val="single" w:color="auto" w:sz="4" w:space="0"/>
              <w:left w:val="single" w:color="auto" w:sz="4" w:space="0"/>
              <w:bottom w:val="single" w:color="auto" w:sz="4" w:space="0"/>
              <w:right w:val="single" w:color="auto" w:sz="4" w:space="0"/>
            </w:tcBorders>
          </w:tcPr>
          <w:p w14:paraId="1E37405E">
            <w:pPr>
              <w:pageBreakBefore w:val="0"/>
              <w:kinsoku/>
              <w:wordWrap/>
              <w:overflowPunct/>
              <w:topLinePunct w:val="0"/>
              <w:autoSpaceDE/>
              <w:autoSpaceDN/>
              <w:bidi w:val="0"/>
              <w:spacing w:before="120" w:after="120" w:line="360" w:lineRule="auto"/>
              <w:ind w:firstLine="420"/>
              <w:textAlignment w:val="auto"/>
            </w:pPr>
            <w:r>
              <w:rPr>
                <w:rFonts w:hint="eastAsia"/>
              </w:rPr>
              <w:t xml:space="preserve">使用频率在80%以上的用户界面正确反映业务的功能和需求，并经用户体验测试获得认可。 </w:t>
            </w:r>
          </w:p>
        </w:tc>
      </w:tr>
      <w:tr w14:paraId="12AF7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1231" w:hRule="atLeast"/>
          <w:jc w:val="center"/>
        </w:trPr>
        <w:tc>
          <w:tcPr>
            <w:tcW w:w="1838" w:type="dxa"/>
            <w:tcBorders>
              <w:top w:val="single" w:color="auto" w:sz="4" w:space="0"/>
              <w:left w:val="single" w:color="auto" w:sz="4" w:space="0"/>
              <w:bottom w:val="single" w:color="auto" w:sz="4" w:space="0"/>
              <w:right w:val="single" w:color="auto" w:sz="4" w:space="0"/>
            </w:tcBorders>
            <w:vAlign w:val="center"/>
          </w:tcPr>
          <w:p w14:paraId="67373107">
            <w:pPr>
              <w:pageBreakBefore w:val="0"/>
              <w:kinsoku/>
              <w:wordWrap/>
              <w:overflowPunct/>
              <w:topLinePunct w:val="0"/>
              <w:autoSpaceDE/>
              <w:autoSpaceDN/>
              <w:bidi w:val="0"/>
              <w:spacing w:before="120" w:after="120" w:line="360" w:lineRule="auto"/>
              <w:textAlignment w:val="auto"/>
            </w:pPr>
            <w:r>
              <w:rPr>
                <w:rFonts w:hint="eastAsia"/>
              </w:rPr>
              <w:t xml:space="preserve">需考虑的特殊事项： </w:t>
            </w:r>
          </w:p>
        </w:tc>
        <w:tc>
          <w:tcPr>
            <w:tcW w:w="5883" w:type="dxa"/>
            <w:tcBorders>
              <w:top w:val="single" w:color="auto" w:sz="4" w:space="0"/>
              <w:left w:val="single" w:color="auto" w:sz="4" w:space="0"/>
              <w:bottom w:val="single" w:color="auto" w:sz="4" w:space="0"/>
              <w:right w:val="single" w:color="auto" w:sz="4" w:space="0"/>
            </w:tcBorders>
          </w:tcPr>
          <w:p w14:paraId="71C94B25">
            <w:pPr>
              <w:pageBreakBefore w:val="0"/>
              <w:kinsoku/>
              <w:wordWrap/>
              <w:overflowPunct/>
              <w:topLinePunct w:val="0"/>
              <w:autoSpaceDE/>
              <w:autoSpaceDN/>
              <w:bidi w:val="0"/>
              <w:spacing w:before="120" w:after="120" w:line="360" w:lineRule="auto"/>
              <w:ind w:firstLine="420"/>
              <w:textAlignment w:val="auto"/>
            </w:pPr>
            <w:r>
              <w:rPr>
                <w:rFonts w:hint="eastAsia"/>
              </w:rPr>
              <w:t xml:space="preserve">应确认是否存在公司或相关行业的标准，是否符合该公司或相关行业的标准。界面操作与数据库操作的正确性、完整性和一致性。 </w:t>
            </w:r>
          </w:p>
        </w:tc>
      </w:tr>
    </w:tbl>
    <w:p w14:paraId="41927EA8">
      <w:pPr>
        <w:pStyle w:val="87"/>
        <w:pageBreakBefore w:val="0"/>
        <w:numPr>
          <w:ilvl w:val="0"/>
          <w:numId w:val="26"/>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功能测试</w:t>
      </w:r>
      <w:r>
        <w:rPr>
          <w:b/>
          <w:bCs/>
          <w:sz w:val="24"/>
          <w:szCs w:val="24"/>
        </w:rPr>
        <w:t xml:space="preserve"> </w:t>
      </w:r>
    </w:p>
    <w:tbl>
      <w:tblPr>
        <w:tblStyle w:val="43"/>
        <w:tblW w:w="77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2" w:type="dxa"/>
          <w:left w:w="112" w:type="dxa"/>
          <w:bottom w:w="0" w:type="dxa"/>
          <w:right w:w="108" w:type="dxa"/>
        </w:tblCellMar>
      </w:tblPr>
      <w:tblGrid>
        <w:gridCol w:w="1753"/>
        <w:gridCol w:w="5972"/>
      </w:tblGrid>
      <w:tr w14:paraId="54448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41" w:hRule="atLeast"/>
          <w:jc w:val="center"/>
        </w:trPr>
        <w:tc>
          <w:tcPr>
            <w:tcW w:w="1752" w:type="dxa"/>
            <w:tcBorders>
              <w:top w:val="single" w:color="auto" w:sz="4" w:space="0"/>
              <w:left w:val="single" w:color="auto" w:sz="4" w:space="0"/>
              <w:bottom w:val="single" w:color="auto" w:sz="4" w:space="0"/>
              <w:right w:val="single" w:color="auto" w:sz="4" w:space="0"/>
            </w:tcBorders>
            <w:vAlign w:val="center"/>
          </w:tcPr>
          <w:p w14:paraId="5D11A2B4">
            <w:pPr>
              <w:pageBreakBefore w:val="0"/>
              <w:kinsoku/>
              <w:wordWrap/>
              <w:overflowPunct/>
              <w:topLinePunct w:val="0"/>
              <w:autoSpaceDE/>
              <w:autoSpaceDN/>
              <w:bidi w:val="0"/>
              <w:spacing w:before="120" w:after="120" w:line="360" w:lineRule="auto"/>
              <w:textAlignment w:val="auto"/>
            </w:pPr>
            <w:r>
              <w:rPr>
                <w:rFonts w:hint="eastAsia"/>
              </w:rPr>
              <w:t xml:space="preserve">测试目标： </w:t>
            </w:r>
          </w:p>
        </w:tc>
        <w:tc>
          <w:tcPr>
            <w:tcW w:w="5969" w:type="dxa"/>
            <w:tcBorders>
              <w:top w:val="single" w:color="auto" w:sz="4" w:space="0"/>
              <w:left w:val="single" w:color="auto" w:sz="4" w:space="0"/>
              <w:bottom w:val="single" w:color="auto" w:sz="4" w:space="0"/>
              <w:right w:val="single" w:color="auto" w:sz="4" w:space="0"/>
            </w:tcBorders>
            <w:vAlign w:val="center"/>
          </w:tcPr>
          <w:p w14:paraId="44EBC45F">
            <w:pPr>
              <w:pageBreakBefore w:val="0"/>
              <w:kinsoku/>
              <w:wordWrap/>
              <w:overflowPunct/>
              <w:topLinePunct w:val="0"/>
              <w:autoSpaceDE/>
              <w:autoSpaceDN/>
              <w:bidi w:val="0"/>
              <w:spacing w:before="120" w:after="120" w:line="360" w:lineRule="auto"/>
              <w:ind w:firstLine="420"/>
              <w:textAlignment w:val="auto"/>
            </w:pPr>
            <w:r>
              <w:rPr>
                <w:rFonts w:hint="eastAsia"/>
              </w:rPr>
              <w:t>侧重于所有可直接追踪到用例或业务功能和业务规则的测试需求，核实数据的接受、处理和返回是否正确，以及业务规则的实施是否恰当。</w:t>
            </w:r>
          </w:p>
        </w:tc>
      </w:tr>
      <w:tr w14:paraId="1C8AF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389" w:hRule="atLeast"/>
          <w:jc w:val="center"/>
        </w:trPr>
        <w:tc>
          <w:tcPr>
            <w:tcW w:w="1752" w:type="dxa"/>
            <w:tcBorders>
              <w:top w:val="single" w:color="auto" w:sz="4" w:space="0"/>
              <w:left w:val="single" w:color="auto" w:sz="4" w:space="0"/>
              <w:bottom w:val="single" w:color="auto" w:sz="4" w:space="0"/>
              <w:right w:val="single" w:color="auto" w:sz="4" w:space="0"/>
            </w:tcBorders>
            <w:vAlign w:val="center"/>
          </w:tcPr>
          <w:p w14:paraId="02D0EA10">
            <w:pPr>
              <w:pageBreakBefore w:val="0"/>
              <w:kinsoku/>
              <w:wordWrap/>
              <w:overflowPunct/>
              <w:topLinePunct w:val="0"/>
              <w:autoSpaceDE/>
              <w:autoSpaceDN/>
              <w:bidi w:val="0"/>
              <w:spacing w:before="120" w:after="120" w:line="360" w:lineRule="auto"/>
              <w:textAlignment w:val="auto"/>
            </w:pPr>
            <w:r>
              <w:rPr>
                <w:rFonts w:hint="eastAsia"/>
              </w:rPr>
              <w:t xml:space="preserve">测试方法： </w:t>
            </w:r>
          </w:p>
        </w:tc>
        <w:tc>
          <w:tcPr>
            <w:tcW w:w="5969" w:type="dxa"/>
            <w:tcBorders>
              <w:top w:val="single" w:color="auto" w:sz="4" w:space="0"/>
              <w:left w:val="single" w:color="auto" w:sz="4" w:space="0"/>
              <w:bottom w:val="single" w:color="auto" w:sz="4" w:space="0"/>
              <w:right w:val="single" w:color="auto" w:sz="4" w:space="0"/>
            </w:tcBorders>
            <w:vAlign w:val="center"/>
          </w:tcPr>
          <w:p w14:paraId="75B70F11">
            <w:pPr>
              <w:pageBreakBefore w:val="0"/>
              <w:kinsoku/>
              <w:wordWrap/>
              <w:overflowPunct/>
              <w:topLinePunct w:val="0"/>
              <w:autoSpaceDE/>
              <w:autoSpaceDN/>
              <w:bidi w:val="0"/>
              <w:spacing w:before="120" w:after="120" w:line="360" w:lineRule="auto"/>
              <w:ind w:firstLine="420"/>
              <w:textAlignment w:val="auto"/>
            </w:pPr>
            <w:r>
              <w:rPr>
                <w:rFonts w:hint="eastAsia"/>
              </w:rPr>
              <w:t xml:space="preserve">基于黑盒技术，该技术通过图形用户界面（GUI）或与应用程序进行交互，并对交互的输出或结果进行分析，以此来核实应用程序及其内部进程。具体利用有效的和无效的数据来执行各个用例、用例流或功能，以核实以下内容： </w:t>
            </w:r>
          </w:p>
          <w:p w14:paraId="321194DF">
            <w:pPr>
              <w:pageBreakBefore w:val="0"/>
              <w:kinsoku/>
              <w:wordWrap/>
              <w:overflowPunct/>
              <w:topLinePunct w:val="0"/>
              <w:autoSpaceDE/>
              <w:autoSpaceDN/>
              <w:bidi w:val="0"/>
              <w:spacing w:before="120" w:after="120" w:line="360" w:lineRule="auto"/>
              <w:ind w:firstLine="420"/>
              <w:textAlignment w:val="auto"/>
            </w:pPr>
            <w:r>
              <w:rPr>
                <w:rFonts w:hint="eastAsia"/>
              </w:rPr>
              <w:t xml:space="preserve">在使用有效数据时/正常条件下得到预期的结果。在使用无效数据时/异常条件下显示相应的错误消息或警告消息。 </w:t>
            </w:r>
          </w:p>
          <w:p w14:paraId="460C38B0">
            <w:pPr>
              <w:pageBreakBefore w:val="0"/>
              <w:kinsoku/>
              <w:wordWrap/>
              <w:overflowPunct/>
              <w:topLinePunct w:val="0"/>
              <w:autoSpaceDE/>
              <w:autoSpaceDN/>
              <w:bidi w:val="0"/>
              <w:spacing w:before="120" w:after="120" w:line="360" w:lineRule="auto"/>
              <w:ind w:firstLine="420"/>
              <w:textAlignment w:val="auto"/>
            </w:pPr>
            <w:r>
              <w:rPr>
                <w:rFonts w:hint="eastAsia"/>
              </w:rPr>
              <w:t xml:space="preserve">各业务规则都得到了正确的应用。 </w:t>
            </w:r>
          </w:p>
        </w:tc>
      </w:tr>
      <w:tr w14:paraId="7B90A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26" w:hRule="atLeast"/>
          <w:jc w:val="center"/>
        </w:trPr>
        <w:tc>
          <w:tcPr>
            <w:tcW w:w="1752" w:type="dxa"/>
            <w:tcBorders>
              <w:top w:val="single" w:color="auto" w:sz="4" w:space="0"/>
              <w:left w:val="single" w:color="auto" w:sz="4" w:space="0"/>
              <w:bottom w:val="single" w:color="auto" w:sz="4" w:space="0"/>
              <w:right w:val="single" w:color="auto" w:sz="4" w:space="0"/>
            </w:tcBorders>
            <w:vAlign w:val="center"/>
          </w:tcPr>
          <w:p w14:paraId="32153F13">
            <w:pPr>
              <w:pageBreakBefore w:val="0"/>
              <w:kinsoku/>
              <w:wordWrap/>
              <w:overflowPunct/>
              <w:topLinePunct w:val="0"/>
              <w:autoSpaceDE/>
              <w:autoSpaceDN/>
              <w:bidi w:val="0"/>
              <w:spacing w:before="120" w:after="120" w:line="360" w:lineRule="auto"/>
              <w:textAlignment w:val="auto"/>
            </w:pPr>
            <w:r>
              <w:rPr>
                <w:rFonts w:hint="eastAsia"/>
              </w:rPr>
              <w:t xml:space="preserve">完成标准： </w:t>
            </w:r>
          </w:p>
        </w:tc>
        <w:tc>
          <w:tcPr>
            <w:tcW w:w="5969" w:type="dxa"/>
            <w:tcBorders>
              <w:top w:val="single" w:color="auto" w:sz="4" w:space="0"/>
              <w:left w:val="single" w:color="auto" w:sz="4" w:space="0"/>
              <w:bottom w:val="single" w:color="auto" w:sz="4" w:space="0"/>
              <w:right w:val="single" w:color="auto" w:sz="4" w:space="0"/>
            </w:tcBorders>
            <w:vAlign w:val="center"/>
          </w:tcPr>
          <w:p w14:paraId="251E73CA">
            <w:pPr>
              <w:pageBreakBefore w:val="0"/>
              <w:kinsoku/>
              <w:wordWrap/>
              <w:overflowPunct/>
              <w:topLinePunct w:val="0"/>
              <w:autoSpaceDE/>
              <w:autoSpaceDN/>
              <w:bidi w:val="0"/>
              <w:spacing w:before="120" w:after="120" w:line="360" w:lineRule="auto"/>
              <w:ind w:firstLine="420"/>
              <w:textAlignment w:val="auto"/>
            </w:pPr>
            <w:r>
              <w:rPr>
                <w:rFonts w:hint="eastAsia"/>
              </w:rPr>
              <w:t xml:space="preserve">所计划的测试用例已全部执行，所发现的缺陷已全部得到处理。 </w:t>
            </w:r>
          </w:p>
        </w:tc>
      </w:tr>
      <w:tr w14:paraId="21A38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25" w:hRule="atLeast"/>
          <w:jc w:val="center"/>
        </w:trPr>
        <w:tc>
          <w:tcPr>
            <w:tcW w:w="1752" w:type="dxa"/>
            <w:tcBorders>
              <w:top w:val="single" w:color="auto" w:sz="4" w:space="0"/>
              <w:left w:val="single" w:color="auto" w:sz="4" w:space="0"/>
              <w:bottom w:val="single" w:color="auto" w:sz="4" w:space="0"/>
              <w:right w:val="single" w:color="auto" w:sz="4" w:space="0"/>
            </w:tcBorders>
            <w:vAlign w:val="center"/>
          </w:tcPr>
          <w:p w14:paraId="2A34D460">
            <w:pPr>
              <w:pageBreakBefore w:val="0"/>
              <w:kinsoku/>
              <w:wordWrap/>
              <w:overflowPunct/>
              <w:topLinePunct w:val="0"/>
              <w:autoSpaceDE/>
              <w:autoSpaceDN/>
              <w:bidi w:val="0"/>
              <w:spacing w:before="120" w:after="120" w:line="360" w:lineRule="auto"/>
              <w:textAlignment w:val="auto"/>
            </w:pPr>
            <w:r>
              <w:rPr>
                <w:rFonts w:hint="eastAsia"/>
              </w:rPr>
              <w:t xml:space="preserve">测试重点和优先级： </w:t>
            </w:r>
          </w:p>
        </w:tc>
        <w:tc>
          <w:tcPr>
            <w:tcW w:w="5969" w:type="dxa"/>
            <w:tcBorders>
              <w:top w:val="single" w:color="auto" w:sz="4" w:space="0"/>
              <w:left w:val="single" w:color="auto" w:sz="4" w:space="0"/>
              <w:bottom w:val="single" w:color="auto" w:sz="4" w:space="0"/>
              <w:right w:val="single" w:color="auto" w:sz="4" w:space="0"/>
            </w:tcBorders>
            <w:vAlign w:val="center"/>
          </w:tcPr>
          <w:p w14:paraId="46668462">
            <w:pPr>
              <w:pageBreakBefore w:val="0"/>
              <w:kinsoku/>
              <w:wordWrap/>
              <w:overflowPunct/>
              <w:topLinePunct w:val="0"/>
              <w:autoSpaceDE/>
              <w:autoSpaceDN/>
              <w:bidi w:val="0"/>
              <w:spacing w:before="120" w:after="120" w:line="360" w:lineRule="auto"/>
              <w:ind w:firstLine="420"/>
              <w:textAlignment w:val="auto"/>
            </w:pPr>
            <w:r>
              <w:rPr>
                <w:rFonts w:hint="eastAsia"/>
              </w:rPr>
              <w:t xml:space="preserve">参照测试范围中各功能优先级大小。 </w:t>
            </w:r>
          </w:p>
        </w:tc>
      </w:tr>
      <w:tr w14:paraId="7AD85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10" w:hRule="atLeast"/>
          <w:jc w:val="center"/>
        </w:trPr>
        <w:tc>
          <w:tcPr>
            <w:tcW w:w="1752" w:type="dxa"/>
            <w:tcBorders>
              <w:top w:val="single" w:color="auto" w:sz="4" w:space="0"/>
              <w:left w:val="single" w:color="auto" w:sz="4" w:space="0"/>
              <w:bottom w:val="single" w:color="auto" w:sz="4" w:space="0"/>
              <w:right w:val="single" w:color="auto" w:sz="4" w:space="0"/>
            </w:tcBorders>
            <w:vAlign w:val="center"/>
          </w:tcPr>
          <w:p w14:paraId="2778DEBA">
            <w:pPr>
              <w:pageBreakBefore w:val="0"/>
              <w:kinsoku/>
              <w:wordWrap/>
              <w:overflowPunct/>
              <w:topLinePunct w:val="0"/>
              <w:autoSpaceDE/>
              <w:autoSpaceDN/>
              <w:bidi w:val="0"/>
              <w:spacing w:before="120" w:after="120" w:line="360" w:lineRule="auto"/>
              <w:ind w:firstLine="420"/>
              <w:textAlignment w:val="auto"/>
            </w:pPr>
            <w:r>
              <w:rPr>
                <w:rFonts w:hint="eastAsia"/>
              </w:rPr>
              <w:t xml:space="preserve">需考虑的特殊事项： </w:t>
            </w:r>
          </w:p>
        </w:tc>
        <w:tc>
          <w:tcPr>
            <w:tcW w:w="5969" w:type="dxa"/>
            <w:tcBorders>
              <w:top w:val="single" w:color="auto" w:sz="4" w:space="0"/>
              <w:left w:val="single" w:color="auto" w:sz="4" w:space="0"/>
              <w:bottom w:val="single" w:color="auto" w:sz="4" w:space="0"/>
              <w:right w:val="single" w:color="auto" w:sz="4" w:space="0"/>
            </w:tcBorders>
            <w:vAlign w:val="center"/>
          </w:tcPr>
          <w:p w14:paraId="7B798011">
            <w:pPr>
              <w:pageBreakBefore w:val="0"/>
              <w:kinsoku/>
              <w:wordWrap/>
              <w:overflowPunct/>
              <w:topLinePunct w:val="0"/>
              <w:autoSpaceDE/>
              <w:autoSpaceDN/>
              <w:bidi w:val="0"/>
              <w:spacing w:before="120" w:after="120" w:line="360" w:lineRule="auto"/>
              <w:ind w:firstLine="420"/>
              <w:textAlignment w:val="auto"/>
            </w:pPr>
            <w:r>
              <w:rPr>
                <w:rFonts w:hint="eastAsia"/>
              </w:rPr>
              <w:t xml:space="preserve">功能之间的依赖关系。 </w:t>
            </w:r>
          </w:p>
        </w:tc>
      </w:tr>
    </w:tbl>
    <w:p w14:paraId="626DAC55">
      <w:pPr>
        <w:pStyle w:val="87"/>
        <w:pageBreakBefore w:val="0"/>
        <w:numPr>
          <w:ilvl w:val="0"/>
          <w:numId w:val="26"/>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数据完整性测试</w:t>
      </w:r>
      <w:r>
        <w:rPr>
          <w:b/>
          <w:bCs/>
          <w:sz w:val="24"/>
          <w:szCs w:val="24"/>
        </w:rPr>
        <w:t xml:space="preserve"> </w:t>
      </w:r>
    </w:p>
    <w:tbl>
      <w:tblPr>
        <w:tblStyle w:val="43"/>
        <w:tblW w:w="76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2" w:type="dxa"/>
          <w:left w:w="112" w:type="dxa"/>
          <w:bottom w:w="0" w:type="dxa"/>
          <w:right w:w="92" w:type="dxa"/>
        </w:tblCellMar>
      </w:tblPr>
      <w:tblGrid>
        <w:gridCol w:w="1676"/>
        <w:gridCol w:w="5929"/>
      </w:tblGrid>
      <w:tr w14:paraId="38F17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92" w:type="dxa"/>
          </w:tblCellMar>
        </w:tblPrEx>
        <w:trPr>
          <w:trHeight w:val="826" w:hRule="atLeast"/>
          <w:jc w:val="center"/>
        </w:trPr>
        <w:tc>
          <w:tcPr>
            <w:tcW w:w="1675" w:type="dxa"/>
            <w:tcBorders>
              <w:top w:val="single" w:color="auto" w:sz="4" w:space="0"/>
              <w:left w:val="single" w:color="auto" w:sz="4" w:space="0"/>
              <w:bottom w:val="single" w:color="auto" w:sz="4" w:space="0"/>
              <w:right w:val="single" w:color="auto" w:sz="4" w:space="0"/>
            </w:tcBorders>
            <w:vAlign w:val="center"/>
          </w:tcPr>
          <w:p w14:paraId="793B8F41">
            <w:pPr>
              <w:pageBreakBefore w:val="0"/>
              <w:kinsoku/>
              <w:wordWrap/>
              <w:overflowPunct/>
              <w:topLinePunct w:val="0"/>
              <w:autoSpaceDE/>
              <w:autoSpaceDN/>
              <w:bidi w:val="0"/>
              <w:spacing w:before="120" w:after="120" w:line="360" w:lineRule="auto"/>
              <w:textAlignment w:val="auto"/>
            </w:pPr>
            <w:r>
              <w:rPr>
                <w:rFonts w:hint="eastAsia"/>
              </w:rPr>
              <w:t xml:space="preserve">测试目标： </w:t>
            </w:r>
          </w:p>
        </w:tc>
        <w:tc>
          <w:tcPr>
            <w:tcW w:w="5925" w:type="dxa"/>
            <w:tcBorders>
              <w:top w:val="single" w:color="auto" w:sz="4" w:space="0"/>
              <w:left w:val="single" w:color="auto" w:sz="4" w:space="0"/>
              <w:bottom w:val="single" w:color="auto" w:sz="4" w:space="0"/>
              <w:right w:val="single" w:color="auto" w:sz="4" w:space="0"/>
            </w:tcBorders>
            <w:vAlign w:val="center"/>
          </w:tcPr>
          <w:p w14:paraId="2FE6062F">
            <w:pPr>
              <w:pageBreakBefore w:val="0"/>
              <w:kinsoku/>
              <w:wordWrap/>
              <w:overflowPunct/>
              <w:topLinePunct w:val="0"/>
              <w:autoSpaceDE/>
              <w:autoSpaceDN/>
              <w:bidi w:val="0"/>
              <w:spacing w:before="120" w:after="120" w:line="360" w:lineRule="auto"/>
              <w:ind w:firstLine="420"/>
              <w:textAlignment w:val="auto"/>
            </w:pPr>
            <w:r>
              <w:rPr>
                <w:rFonts w:hint="eastAsia"/>
              </w:rPr>
              <w:t xml:space="preserve">确保数据库访问方法和进程正常运行，按设计要求修改数据，数据不会遭到损坏。出现异常时完全回滚，数据保持完整性。 </w:t>
            </w:r>
          </w:p>
        </w:tc>
      </w:tr>
      <w:tr w14:paraId="20CAC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92" w:type="dxa"/>
          </w:tblCellMar>
        </w:tblPrEx>
        <w:trPr>
          <w:trHeight w:val="1652" w:hRule="atLeast"/>
          <w:jc w:val="center"/>
        </w:trPr>
        <w:tc>
          <w:tcPr>
            <w:tcW w:w="1675" w:type="dxa"/>
            <w:tcBorders>
              <w:top w:val="single" w:color="auto" w:sz="4" w:space="0"/>
              <w:left w:val="single" w:color="auto" w:sz="4" w:space="0"/>
              <w:bottom w:val="single" w:color="auto" w:sz="4" w:space="0"/>
              <w:right w:val="single" w:color="auto" w:sz="4" w:space="0"/>
            </w:tcBorders>
            <w:vAlign w:val="center"/>
          </w:tcPr>
          <w:p w14:paraId="5F4304E1">
            <w:pPr>
              <w:pageBreakBefore w:val="0"/>
              <w:kinsoku/>
              <w:wordWrap/>
              <w:overflowPunct/>
              <w:topLinePunct w:val="0"/>
              <w:autoSpaceDE/>
              <w:autoSpaceDN/>
              <w:bidi w:val="0"/>
              <w:spacing w:before="120" w:after="120" w:line="360" w:lineRule="auto"/>
              <w:textAlignment w:val="auto"/>
            </w:pPr>
            <w:r>
              <w:rPr>
                <w:rFonts w:hint="eastAsia"/>
              </w:rPr>
              <w:t xml:space="preserve">测试方法： </w:t>
            </w:r>
          </w:p>
        </w:tc>
        <w:tc>
          <w:tcPr>
            <w:tcW w:w="5925" w:type="dxa"/>
            <w:tcBorders>
              <w:top w:val="single" w:color="auto" w:sz="4" w:space="0"/>
              <w:left w:val="single" w:color="auto" w:sz="4" w:space="0"/>
              <w:bottom w:val="single" w:color="auto" w:sz="4" w:space="0"/>
              <w:right w:val="single" w:color="auto" w:sz="4" w:space="0"/>
            </w:tcBorders>
            <w:vAlign w:val="center"/>
          </w:tcPr>
          <w:p w14:paraId="5DEFC1A5">
            <w:pPr>
              <w:pageBreakBefore w:val="0"/>
              <w:kinsoku/>
              <w:wordWrap/>
              <w:overflowPunct/>
              <w:topLinePunct w:val="0"/>
              <w:autoSpaceDE/>
              <w:autoSpaceDN/>
              <w:bidi w:val="0"/>
              <w:spacing w:before="120" w:after="120" w:line="360" w:lineRule="auto"/>
              <w:ind w:firstLine="420"/>
              <w:textAlignment w:val="auto"/>
            </w:pPr>
            <w:r>
              <w:rPr>
                <w:rFonts w:hint="eastAsia"/>
              </w:rPr>
              <w:t xml:space="preserve">调用各个数据库访问方法和进程，并在其中填充有效的或无效的数据，检查数据库，确保数据已按预期的方式填充，并且所有的数据库事件已正常发生；或者检查所返回的数据，确保正当的理由检索到了正确的数据。 </w:t>
            </w:r>
          </w:p>
        </w:tc>
      </w:tr>
      <w:tr w14:paraId="3AD2B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92" w:type="dxa"/>
          </w:tblCellMar>
        </w:tblPrEx>
        <w:trPr>
          <w:trHeight w:val="420" w:hRule="atLeast"/>
          <w:jc w:val="center"/>
        </w:trPr>
        <w:tc>
          <w:tcPr>
            <w:tcW w:w="1675" w:type="dxa"/>
            <w:tcBorders>
              <w:top w:val="single" w:color="auto" w:sz="4" w:space="0"/>
              <w:left w:val="single" w:color="auto" w:sz="4" w:space="0"/>
              <w:bottom w:val="single" w:color="auto" w:sz="4" w:space="0"/>
              <w:right w:val="single" w:color="auto" w:sz="4" w:space="0"/>
            </w:tcBorders>
            <w:vAlign w:val="center"/>
          </w:tcPr>
          <w:p w14:paraId="5FCCEB2D">
            <w:pPr>
              <w:pageBreakBefore w:val="0"/>
              <w:kinsoku/>
              <w:wordWrap/>
              <w:overflowPunct/>
              <w:topLinePunct w:val="0"/>
              <w:autoSpaceDE/>
              <w:autoSpaceDN/>
              <w:bidi w:val="0"/>
              <w:spacing w:before="120" w:after="120" w:line="360" w:lineRule="auto"/>
              <w:textAlignment w:val="auto"/>
            </w:pPr>
            <w:r>
              <w:rPr>
                <w:rFonts w:hint="eastAsia"/>
              </w:rPr>
              <w:t xml:space="preserve">测试范围： </w:t>
            </w:r>
          </w:p>
        </w:tc>
        <w:tc>
          <w:tcPr>
            <w:tcW w:w="5925" w:type="dxa"/>
            <w:tcBorders>
              <w:top w:val="single" w:color="auto" w:sz="4" w:space="0"/>
              <w:left w:val="single" w:color="auto" w:sz="4" w:space="0"/>
              <w:bottom w:val="single" w:color="auto" w:sz="4" w:space="0"/>
              <w:right w:val="single" w:color="auto" w:sz="4" w:space="0"/>
            </w:tcBorders>
            <w:vAlign w:val="center"/>
          </w:tcPr>
          <w:p w14:paraId="654CC140">
            <w:pPr>
              <w:pageBreakBefore w:val="0"/>
              <w:kinsoku/>
              <w:wordWrap/>
              <w:overflowPunct/>
              <w:topLinePunct w:val="0"/>
              <w:autoSpaceDE/>
              <w:autoSpaceDN/>
              <w:bidi w:val="0"/>
              <w:spacing w:before="120" w:after="120" w:line="360" w:lineRule="auto"/>
              <w:ind w:firstLine="420"/>
              <w:textAlignment w:val="auto"/>
            </w:pPr>
            <w:r>
              <w:rPr>
                <w:rFonts w:hint="eastAsia"/>
              </w:rPr>
              <w:t xml:space="preserve">所有的数据处理环节。 </w:t>
            </w:r>
          </w:p>
        </w:tc>
      </w:tr>
      <w:tr w14:paraId="4C71D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92" w:type="dxa"/>
          </w:tblCellMar>
        </w:tblPrEx>
        <w:trPr>
          <w:trHeight w:val="826" w:hRule="atLeast"/>
          <w:jc w:val="center"/>
        </w:trPr>
        <w:tc>
          <w:tcPr>
            <w:tcW w:w="1675" w:type="dxa"/>
            <w:tcBorders>
              <w:top w:val="single" w:color="auto" w:sz="4" w:space="0"/>
              <w:left w:val="single" w:color="auto" w:sz="4" w:space="0"/>
              <w:bottom w:val="single" w:color="auto" w:sz="4" w:space="0"/>
              <w:right w:val="single" w:color="auto" w:sz="4" w:space="0"/>
            </w:tcBorders>
            <w:vAlign w:val="center"/>
          </w:tcPr>
          <w:p w14:paraId="1A93FCFF">
            <w:pPr>
              <w:pageBreakBefore w:val="0"/>
              <w:kinsoku/>
              <w:wordWrap/>
              <w:overflowPunct/>
              <w:topLinePunct w:val="0"/>
              <w:autoSpaceDE/>
              <w:autoSpaceDN/>
              <w:bidi w:val="0"/>
              <w:spacing w:before="120" w:after="120" w:line="360" w:lineRule="auto"/>
              <w:textAlignment w:val="auto"/>
            </w:pPr>
            <w:r>
              <w:rPr>
                <w:rFonts w:hint="eastAsia"/>
              </w:rPr>
              <w:t xml:space="preserve">完成标准： </w:t>
            </w:r>
          </w:p>
        </w:tc>
        <w:tc>
          <w:tcPr>
            <w:tcW w:w="5925" w:type="dxa"/>
            <w:tcBorders>
              <w:top w:val="single" w:color="auto" w:sz="4" w:space="0"/>
              <w:left w:val="single" w:color="auto" w:sz="4" w:space="0"/>
              <w:bottom w:val="single" w:color="auto" w:sz="4" w:space="0"/>
              <w:right w:val="single" w:color="auto" w:sz="4" w:space="0"/>
            </w:tcBorders>
            <w:vAlign w:val="center"/>
          </w:tcPr>
          <w:p w14:paraId="52E1BAC1">
            <w:pPr>
              <w:pageBreakBefore w:val="0"/>
              <w:kinsoku/>
              <w:wordWrap/>
              <w:overflowPunct/>
              <w:topLinePunct w:val="0"/>
              <w:autoSpaceDE/>
              <w:autoSpaceDN/>
              <w:bidi w:val="0"/>
              <w:spacing w:before="120" w:after="120" w:line="360" w:lineRule="auto"/>
              <w:ind w:firstLine="420"/>
              <w:textAlignment w:val="auto"/>
            </w:pPr>
            <w:r>
              <w:rPr>
                <w:rFonts w:hint="eastAsia"/>
              </w:rPr>
              <w:t xml:space="preserve">所有的数据库访问方法和进程都按照设计的方式运行，数据没有遭到损坏。 </w:t>
            </w:r>
          </w:p>
        </w:tc>
      </w:tr>
      <w:tr w14:paraId="56209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92" w:type="dxa"/>
          </w:tblCellMar>
        </w:tblPrEx>
        <w:trPr>
          <w:trHeight w:val="825" w:hRule="atLeast"/>
          <w:jc w:val="center"/>
        </w:trPr>
        <w:tc>
          <w:tcPr>
            <w:tcW w:w="1675" w:type="dxa"/>
            <w:tcBorders>
              <w:top w:val="single" w:color="auto" w:sz="4" w:space="0"/>
              <w:left w:val="single" w:color="auto" w:sz="4" w:space="0"/>
              <w:bottom w:val="single" w:color="auto" w:sz="4" w:space="0"/>
              <w:right w:val="single" w:color="auto" w:sz="4" w:space="0"/>
            </w:tcBorders>
            <w:vAlign w:val="center"/>
          </w:tcPr>
          <w:p w14:paraId="1D1762A0">
            <w:pPr>
              <w:pageBreakBefore w:val="0"/>
              <w:kinsoku/>
              <w:wordWrap/>
              <w:overflowPunct/>
              <w:topLinePunct w:val="0"/>
              <w:autoSpaceDE/>
              <w:autoSpaceDN/>
              <w:bidi w:val="0"/>
              <w:spacing w:before="120" w:after="120" w:line="360" w:lineRule="auto"/>
              <w:textAlignment w:val="auto"/>
            </w:pPr>
            <w:r>
              <w:rPr>
                <w:rFonts w:hint="eastAsia"/>
              </w:rPr>
              <w:t xml:space="preserve">测试重点和优先级： </w:t>
            </w:r>
          </w:p>
        </w:tc>
        <w:tc>
          <w:tcPr>
            <w:tcW w:w="5925" w:type="dxa"/>
            <w:tcBorders>
              <w:top w:val="single" w:color="auto" w:sz="4" w:space="0"/>
              <w:left w:val="single" w:color="auto" w:sz="4" w:space="0"/>
              <w:bottom w:val="single" w:color="auto" w:sz="4" w:space="0"/>
              <w:right w:val="single" w:color="auto" w:sz="4" w:space="0"/>
            </w:tcBorders>
            <w:vAlign w:val="center"/>
          </w:tcPr>
          <w:p w14:paraId="63F166A2">
            <w:pPr>
              <w:pageBreakBefore w:val="0"/>
              <w:kinsoku/>
              <w:wordWrap/>
              <w:overflowPunct/>
              <w:topLinePunct w:val="0"/>
              <w:autoSpaceDE/>
              <w:autoSpaceDN/>
              <w:bidi w:val="0"/>
              <w:spacing w:before="120" w:after="120" w:line="360" w:lineRule="auto"/>
              <w:ind w:firstLine="420"/>
              <w:textAlignment w:val="auto"/>
            </w:pPr>
            <w:r>
              <w:rPr>
                <w:rFonts w:hint="eastAsia"/>
              </w:rPr>
              <w:t xml:space="preserve">重点在业务操作结果与数据记录保持一致性。优先级视业务的重要程度确定，特别是统计数据。 </w:t>
            </w:r>
          </w:p>
        </w:tc>
      </w:tr>
      <w:tr w14:paraId="4C8B7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92" w:type="dxa"/>
          </w:tblCellMar>
        </w:tblPrEx>
        <w:trPr>
          <w:trHeight w:val="247" w:hRule="atLeast"/>
          <w:jc w:val="center"/>
        </w:trPr>
        <w:tc>
          <w:tcPr>
            <w:tcW w:w="1675" w:type="dxa"/>
            <w:tcBorders>
              <w:top w:val="single" w:color="auto" w:sz="4" w:space="0"/>
              <w:left w:val="single" w:color="auto" w:sz="4" w:space="0"/>
              <w:bottom w:val="single" w:color="auto" w:sz="4" w:space="0"/>
              <w:right w:val="single" w:color="auto" w:sz="4" w:space="0"/>
            </w:tcBorders>
            <w:vAlign w:val="center"/>
          </w:tcPr>
          <w:p w14:paraId="6C507593">
            <w:pPr>
              <w:pageBreakBefore w:val="0"/>
              <w:kinsoku/>
              <w:wordWrap/>
              <w:overflowPunct/>
              <w:topLinePunct w:val="0"/>
              <w:autoSpaceDE/>
              <w:autoSpaceDN/>
              <w:bidi w:val="0"/>
              <w:spacing w:before="120" w:after="120" w:line="360" w:lineRule="auto"/>
              <w:textAlignment w:val="auto"/>
            </w:pPr>
            <w:r>
              <w:rPr>
                <w:rFonts w:hint="eastAsia"/>
              </w:rPr>
              <w:t xml:space="preserve">需考虑的特殊事项： </w:t>
            </w:r>
          </w:p>
        </w:tc>
        <w:tc>
          <w:tcPr>
            <w:tcW w:w="5925" w:type="dxa"/>
            <w:tcBorders>
              <w:top w:val="single" w:color="auto" w:sz="4" w:space="0"/>
              <w:left w:val="single" w:color="auto" w:sz="4" w:space="0"/>
              <w:bottom w:val="single" w:color="auto" w:sz="4" w:space="0"/>
              <w:right w:val="single" w:color="auto" w:sz="4" w:space="0"/>
            </w:tcBorders>
            <w:vAlign w:val="center"/>
          </w:tcPr>
          <w:p w14:paraId="3A3CF117">
            <w:pPr>
              <w:pageBreakBefore w:val="0"/>
              <w:kinsoku/>
              <w:wordWrap/>
              <w:overflowPunct/>
              <w:topLinePunct w:val="0"/>
              <w:autoSpaceDE/>
              <w:autoSpaceDN/>
              <w:bidi w:val="0"/>
              <w:spacing w:before="120" w:after="120" w:line="360" w:lineRule="auto"/>
              <w:ind w:firstLine="420"/>
              <w:textAlignment w:val="auto"/>
            </w:pPr>
            <w:r>
              <w:rPr>
                <w:rFonts w:hint="eastAsia"/>
              </w:rPr>
              <w:t xml:space="preserve">测试可能需要开发环境或驱动程序在数据库中直接查看或修改数据。应使用小型或最小的数据库（记录的数量有限）来使所有无法接受的事件具有更大的可视度，尽量模拟异常情况。 </w:t>
            </w:r>
          </w:p>
        </w:tc>
      </w:tr>
    </w:tbl>
    <w:p w14:paraId="562E9EE2">
      <w:pPr>
        <w:pStyle w:val="87"/>
        <w:pageBreakBefore w:val="0"/>
        <w:numPr>
          <w:ilvl w:val="0"/>
          <w:numId w:val="26"/>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性能测试</w:t>
      </w:r>
      <w:r>
        <w:rPr>
          <w:b/>
          <w:bCs/>
          <w:sz w:val="24"/>
          <w:szCs w:val="24"/>
        </w:rPr>
        <w:t xml:space="preserve"> </w:t>
      </w:r>
    </w:p>
    <w:tbl>
      <w:tblPr>
        <w:tblStyle w:val="43"/>
        <w:tblW w:w="77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2" w:type="dxa"/>
          <w:left w:w="112" w:type="dxa"/>
          <w:bottom w:w="0" w:type="dxa"/>
          <w:right w:w="108" w:type="dxa"/>
        </w:tblCellMar>
      </w:tblPr>
      <w:tblGrid>
        <w:gridCol w:w="1443"/>
        <w:gridCol w:w="6282"/>
      </w:tblGrid>
      <w:tr w14:paraId="4184D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1231"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7239DF26">
            <w:pPr>
              <w:pageBreakBefore w:val="0"/>
              <w:kinsoku/>
              <w:wordWrap/>
              <w:overflowPunct/>
              <w:topLinePunct w:val="0"/>
              <w:autoSpaceDE/>
              <w:autoSpaceDN/>
              <w:bidi w:val="0"/>
              <w:spacing w:before="120" w:after="120" w:line="360" w:lineRule="auto"/>
              <w:textAlignment w:val="auto"/>
            </w:pPr>
            <w:r>
              <w:rPr>
                <w:rFonts w:hint="eastAsia"/>
              </w:rPr>
              <w:t xml:space="preserve">测试目标： </w:t>
            </w:r>
          </w:p>
        </w:tc>
        <w:tc>
          <w:tcPr>
            <w:tcW w:w="6276" w:type="dxa"/>
            <w:tcBorders>
              <w:top w:val="single" w:color="auto" w:sz="4" w:space="0"/>
              <w:left w:val="single" w:color="auto" w:sz="4" w:space="0"/>
              <w:bottom w:val="single" w:color="auto" w:sz="4" w:space="0"/>
              <w:right w:val="single" w:color="auto" w:sz="4" w:space="0"/>
            </w:tcBorders>
            <w:vAlign w:val="center"/>
          </w:tcPr>
          <w:p w14:paraId="3CAA0233">
            <w:pPr>
              <w:pageBreakBefore w:val="0"/>
              <w:kinsoku/>
              <w:wordWrap/>
              <w:overflowPunct/>
              <w:topLinePunct w:val="0"/>
              <w:autoSpaceDE/>
              <w:autoSpaceDN/>
              <w:bidi w:val="0"/>
              <w:spacing w:before="120" w:after="120" w:line="360" w:lineRule="auto"/>
              <w:ind w:firstLine="420"/>
              <w:textAlignment w:val="auto"/>
            </w:pPr>
            <w:r>
              <w:rPr>
                <w:rFonts w:hint="eastAsia"/>
              </w:rPr>
              <w:t xml:space="preserve">对系统响应时间、系统并发用户数、处理效率和其他与时间相关的需求进行测试和评估，目标是找出系统可能存在的性能瓶颈，优化性能，核实性能需求是否都已满足。 </w:t>
            </w:r>
          </w:p>
        </w:tc>
      </w:tr>
      <w:tr w14:paraId="2F60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1041"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4EAD004D">
            <w:pPr>
              <w:pageBreakBefore w:val="0"/>
              <w:kinsoku/>
              <w:wordWrap/>
              <w:overflowPunct/>
              <w:topLinePunct w:val="0"/>
              <w:autoSpaceDE/>
              <w:autoSpaceDN/>
              <w:bidi w:val="0"/>
              <w:spacing w:before="120" w:after="120" w:line="360" w:lineRule="auto"/>
              <w:textAlignment w:val="auto"/>
            </w:pPr>
            <w:r>
              <w:rPr>
                <w:rFonts w:hint="eastAsia"/>
              </w:rPr>
              <w:t xml:space="preserve">测试方法： </w:t>
            </w:r>
          </w:p>
        </w:tc>
        <w:tc>
          <w:tcPr>
            <w:tcW w:w="6276" w:type="dxa"/>
            <w:tcBorders>
              <w:top w:val="single" w:color="auto" w:sz="4" w:space="0"/>
              <w:left w:val="single" w:color="auto" w:sz="4" w:space="0"/>
              <w:bottom w:val="single" w:color="auto" w:sz="4" w:space="0"/>
              <w:right w:val="single" w:color="auto" w:sz="4" w:space="0"/>
            </w:tcBorders>
            <w:vAlign w:val="center"/>
          </w:tcPr>
          <w:p w14:paraId="359FFE40">
            <w:pPr>
              <w:pageBreakBefore w:val="0"/>
              <w:kinsoku/>
              <w:wordWrap/>
              <w:overflowPunct/>
              <w:topLinePunct w:val="0"/>
              <w:autoSpaceDE/>
              <w:autoSpaceDN/>
              <w:bidi w:val="0"/>
              <w:spacing w:before="120" w:after="120" w:line="360" w:lineRule="auto"/>
              <w:ind w:firstLine="420"/>
              <w:textAlignment w:val="auto"/>
            </w:pPr>
            <w:r>
              <w:rPr>
                <w:rFonts w:hint="eastAsia"/>
              </w:rPr>
              <w:t xml:space="preserve">通过测试工具或通过修改测试脚本、数据文件来创建“虚拟的”用户负载来模拟多个客户机，来增加客户端数量。 </w:t>
            </w:r>
          </w:p>
          <w:p w14:paraId="02E1D74F">
            <w:pPr>
              <w:pageBreakBefore w:val="0"/>
              <w:kinsoku/>
              <w:wordWrap/>
              <w:overflowPunct/>
              <w:topLinePunct w:val="0"/>
              <w:autoSpaceDE/>
              <w:autoSpaceDN/>
              <w:bidi w:val="0"/>
              <w:spacing w:before="120" w:after="120" w:line="360" w:lineRule="auto"/>
              <w:ind w:firstLine="420"/>
              <w:textAlignment w:val="auto"/>
            </w:pPr>
            <w:r>
              <w:rPr>
                <w:rFonts w:hint="eastAsia"/>
              </w:rPr>
              <w:t>性能测试分为三类：应用在客户端、网络和服务器上性能的测试。应用在客户端性能的测试包括并发性能测试、疲劳强度测试、大数据量测试和速度测试。</w:t>
            </w:r>
          </w:p>
        </w:tc>
      </w:tr>
      <w:tr w14:paraId="3D54C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420"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0F6EB3C2">
            <w:pPr>
              <w:pageBreakBefore w:val="0"/>
              <w:kinsoku/>
              <w:wordWrap/>
              <w:overflowPunct/>
              <w:topLinePunct w:val="0"/>
              <w:autoSpaceDE/>
              <w:autoSpaceDN/>
              <w:bidi w:val="0"/>
              <w:spacing w:before="120" w:after="120" w:line="360" w:lineRule="auto"/>
              <w:textAlignment w:val="auto"/>
            </w:pPr>
            <w:r>
              <w:rPr>
                <w:rFonts w:hint="eastAsia"/>
              </w:rPr>
              <w:t xml:space="preserve">测试范围： </w:t>
            </w:r>
          </w:p>
        </w:tc>
        <w:tc>
          <w:tcPr>
            <w:tcW w:w="6276" w:type="dxa"/>
            <w:tcBorders>
              <w:top w:val="single" w:color="auto" w:sz="4" w:space="0"/>
              <w:left w:val="single" w:color="auto" w:sz="4" w:space="0"/>
              <w:bottom w:val="single" w:color="auto" w:sz="4" w:space="0"/>
              <w:right w:val="single" w:color="auto" w:sz="4" w:space="0"/>
            </w:tcBorders>
            <w:vAlign w:val="center"/>
          </w:tcPr>
          <w:p w14:paraId="2A1566C0">
            <w:pPr>
              <w:pageBreakBefore w:val="0"/>
              <w:kinsoku/>
              <w:wordWrap/>
              <w:overflowPunct/>
              <w:topLinePunct w:val="0"/>
              <w:autoSpaceDE/>
              <w:autoSpaceDN/>
              <w:bidi w:val="0"/>
              <w:spacing w:before="120" w:after="120" w:line="360" w:lineRule="auto"/>
              <w:ind w:firstLine="420"/>
              <w:textAlignment w:val="auto"/>
            </w:pPr>
            <w:r>
              <w:rPr>
                <w:rFonts w:hint="eastAsia"/>
              </w:rPr>
              <w:t xml:space="preserve">系统被并发访问的核心业务子系统。 </w:t>
            </w:r>
          </w:p>
        </w:tc>
      </w:tr>
      <w:tr w14:paraId="008CF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26"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581CA3CB">
            <w:pPr>
              <w:pageBreakBefore w:val="0"/>
              <w:kinsoku/>
              <w:wordWrap/>
              <w:overflowPunct/>
              <w:topLinePunct w:val="0"/>
              <w:autoSpaceDE/>
              <w:autoSpaceDN/>
              <w:bidi w:val="0"/>
              <w:spacing w:before="120" w:after="120" w:line="360" w:lineRule="auto"/>
              <w:textAlignment w:val="auto"/>
            </w:pPr>
            <w:r>
              <w:rPr>
                <w:rFonts w:hint="eastAsia"/>
              </w:rPr>
              <w:t xml:space="preserve">完成标准： </w:t>
            </w:r>
          </w:p>
        </w:tc>
        <w:tc>
          <w:tcPr>
            <w:tcW w:w="6276" w:type="dxa"/>
            <w:tcBorders>
              <w:top w:val="single" w:color="auto" w:sz="4" w:space="0"/>
              <w:left w:val="single" w:color="auto" w:sz="4" w:space="0"/>
              <w:bottom w:val="single" w:color="auto" w:sz="4" w:space="0"/>
              <w:right w:val="single" w:color="auto" w:sz="4" w:space="0"/>
            </w:tcBorders>
            <w:vAlign w:val="center"/>
          </w:tcPr>
          <w:p w14:paraId="5792A616">
            <w:pPr>
              <w:pageBreakBefore w:val="0"/>
              <w:kinsoku/>
              <w:wordWrap/>
              <w:overflowPunct/>
              <w:topLinePunct w:val="0"/>
              <w:autoSpaceDE/>
              <w:autoSpaceDN/>
              <w:bidi w:val="0"/>
              <w:spacing w:before="120" w:after="120" w:line="360" w:lineRule="auto"/>
              <w:ind w:firstLine="420"/>
              <w:textAlignment w:val="auto"/>
            </w:pPr>
            <w:r>
              <w:rPr>
                <w:rFonts w:hint="eastAsia"/>
              </w:rPr>
              <w:t xml:space="preserve">计算得出系统处理性能指标、服务器资源监控指标和网络性能指标，核实性能需求都已满足。 </w:t>
            </w:r>
          </w:p>
        </w:tc>
      </w:tr>
      <w:tr w14:paraId="084EA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826"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3821BBBE">
            <w:pPr>
              <w:pageBreakBefore w:val="0"/>
              <w:kinsoku/>
              <w:wordWrap/>
              <w:overflowPunct/>
              <w:topLinePunct w:val="0"/>
              <w:autoSpaceDE/>
              <w:autoSpaceDN/>
              <w:bidi w:val="0"/>
              <w:spacing w:before="120" w:after="120" w:line="360" w:lineRule="auto"/>
              <w:textAlignment w:val="auto"/>
            </w:pPr>
            <w:r>
              <w:rPr>
                <w:rFonts w:hint="eastAsia"/>
              </w:rPr>
              <w:t xml:space="preserve">测试重点和优先级： </w:t>
            </w:r>
          </w:p>
        </w:tc>
        <w:tc>
          <w:tcPr>
            <w:tcW w:w="6276" w:type="dxa"/>
            <w:tcBorders>
              <w:top w:val="single" w:color="auto" w:sz="4" w:space="0"/>
              <w:left w:val="single" w:color="auto" w:sz="4" w:space="0"/>
              <w:bottom w:val="single" w:color="auto" w:sz="4" w:space="0"/>
              <w:right w:val="single" w:color="auto" w:sz="4" w:space="0"/>
            </w:tcBorders>
            <w:vAlign w:val="center"/>
          </w:tcPr>
          <w:p w14:paraId="6401BD55">
            <w:pPr>
              <w:pageBreakBefore w:val="0"/>
              <w:kinsoku/>
              <w:wordWrap/>
              <w:overflowPunct/>
              <w:topLinePunct w:val="0"/>
              <w:autoSpaceDE/>
              <w:autoSpaceDN/>
              <w:bidi w:val="0"/>
              <w:spacing w:before="120" w:after="120" w:line="360" w:lineRule="auto"/>
              <w:ind w:firstLine="420"/>
              <w:textAlignment w:val="auto"/>
            </w:pPr>
            <w:r>
              <w:rPr>
                <w:rFonts w:hint="eastAsia"/>
              </w:rPr>
              <w:t xml:space="preserve">系统被频繁且长时间不间断并发访问的核心业务子系统。 </w:t>
            </w:r>
          </w:p>
        </w:tc>
      </w:tr>
      <w:tr w14:paraId="340BD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108" w:type="dxa"/>
          </w:tblCellMar>
        </w:tblPrEx>
        <w:trPr>
          <w:trHeight w:val="1231"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188A9F53">
            <w:pPr>
              <w:pageBreakBefore w:val="0"/>
              <w:kinsoku/>
              <w:wordWrap/>
              <w:overflowPunct/>
              <w:topLinePunct w:val="0"/>
              <w:autoSpaceDE/>
              <w:autoSpaceDN/>
              <w:bidi w:val="0"/>
              <w:spacing w:before="120" w:after="120" w:line="360" w:lineRule="auto"/>
              <w:textAlignment w:val="auto"/>
            </w:pPr>
            <w:r>
              <w:rPr>
                <w:rFonts w:hint="eastAsia"/>
              </w:rPr>
              <w:t xml:space="preserve">需考虑的特殊事项： </w:t>
            </w:r>
          </w:p>
        </w:tc>
        <w:tc>
          <w:tcPr>
            <w:tcW w:w="6276" w:type="dxa"/>
            <w:tcBorders>
              <w:top w:val="single" w:color="auto" w:sz="4" w:space="0"/>
              <w:left w:val="single" w:color="auto" w:sz="4" w:space="0"/>
              <w:bottom w:val="single" w:color="auto" w:sz="4" w:space="0"/>
              <w:right w:val="single" w:color="auto" w:sz="4" w:space="0"/>
            </w:tcBorders>
            <w:vAlign w:val="center"/>
          </w:tcPr>
          <w:p w14:paraId="7D201D50">
            <w:pPr>
              <w:pageBreakBefore w:val="0"/>
              <w:kinsoku/>
              <w:wordWrap/>
              <w:overflowPunct/>
              <w:topLinePunct w:val="0"/>
              <w:autoSpaceDE/>
              <w:autoSpaceDN/>
              <w:bidi w:val="0"/>
              <w:spacing w:before="120" w:after="120" w:line="360" w:lineRule="auto"/>
              <w:ind w:firstLine="420"/>
              <w:textAlignment w:val="auto"/>
            </w:pPr>
            <w:r>
              <w:rPr>
                <w:rFonts w:hint="eastAsia"/>
              </w:rPr>
              <w:t xml:space="preserve">性能测试应该在专用的计算机上执行，以便实现完全的控制和精确的评测。 </w:t>
            </w:r>
          </w:p>
          <w:p w14:paraId="0F75CDE0">
            <w:pPr>
              <w:pageBreakBefore w:val="0"/>
              <w:kinsoku/>
              <w:wordWrap/>
              <w:overflowPunct/>
              <w:topLinePunct w:val="0"/>
              <w:autoSpaceDE/>
              <w:autoSpaceDN/>
              <w:bidi w:val="0"/>
              <w:spacing w:before="120" w:after="120" w:line="360" w:lineRule="auto"/>
              <w:ind w:firstLine="420"/>
              <w:textAlignment w:val="auto"/>
            </w:pPr>
            <w:r>
              <w:rPr>
                <w:rFonts w:hint="eastAsia"/>
              </w:rPr>
              <w:t xml:space="preserve">性能测试所用的数据库应该是实际大小或相同缩放比例的数据库。 </w:t>
            </w:r>
          </w:p>
        </w:tc>
      </w:tr>
    </w:tbl>
    <w:p w14:paraId="4441D322">
      <w:pPr>
        <w:pStyle w:val="87"/>
        <w:pageBreakBefore w:val="0"/>
        <w:numPr>
          <w:ilvl w:val="0"/>
          <w:numId w:val="26"/>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安全测试</w:t>
      </w:r>
      <w:r>
        <w:rPr>
          <w:b/>
          <w:bCs/>
          <w:sz w:val="24"/>
          <w:szCs w:val="24"/>
        </w:rPr>
        <w:t xml:space="preserve"> </w:t>
      </w:r>
    </w:p>
    <w:tbl>
      <w:tblPr>
        <w:tblStyle w:val="43"/>
        <w:tblW w:w="76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2" w:type="dxa"/>
          <w:left w:w="112" w:type="dxa"/>
          <w:bottom w:w="0" w:type="dxa"/>
          <w:right w:w="31" w:type="dxa"/>
        </w:tblCellMar>
      </w:tblPr>
      <w:tblGrid>
        <w:gridCol w:w="1441"/>
        <w:gridCol w:w="6254"/>
      </w:tblGrid>
      <w:tr w14:paraId="33146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31" w:type="dxa"/>
          </w:tblCellMar>
        </w:tblPrEx>
        <w:trPr>
          <w:trHeight w:val="2867"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4B950330">
            <w:pPr>
              <w:pageBreakBefore w:val="0"/>
              <w:kinsoku/>
              <w:wordWrap/>
              <w:overflowPunct/>
              <w:topLinePunct w:val="0"/>
              <w:autoSpaceDE/>
              <w:autoSpaceDN/>
              <w:bidi w:val="0"/>
              <w:spacing w:before="120" w:after="120" w:line="360" w:lineRule="auto"/>
              <w:textAlignment w:val="auto"/>
            </w:pPr>
            <w:r>
              <w:rPr>
                <w:rFonts w:hint="eastAsia"/>
              </w:rPr>
              <w:t xml:space="preserve">测试目标： </w:t>
            </w:r>
          </w:p>
        </w:tc>
        <w:tc>
          <w:tcPr>
            <w:tcW w:w="6257" w:type="dxa"/>
            <w:tcBorders>
              <w:top w:val="single" w:color="auto" w:sz="4" w:space="0"/>
              <w:left w:val="single" w:color="auto" w:sz="4" w:space="0"/>
              <w:bottom w:val="single" w:color="auto" w:sz="4" w:space="0"/>
              <w:right w:val="single" w:color="auto" w:sz="4" w:space="0"/>
            </w:tcBorders>
            <w:vAlign w:val="center"/>
          </w:tcPr>
          <w:p w14:paraId="3784805F">
            <w:pPr>
              <w:pageBreakBefore w:val="0"/>
              <w:kinsoku/>
              <w:wordWrap/>
              <w:overflowPunct/>
              <w:topLinePunct w:val="0"/>
              <w:autoSpaceDE/>
              <w:autoSpaceDN/>
              <w:bidi w:val="0"/>
              <w:spacing w:before="120" w:after="120" w:line="360" w:lineRule="auto"/>
              <w:ind w:firstLine="420"/>
              <w:textAlignment w:val="auto"/>
            </w:pPr>
            <w:r>
              <w:rPr>
                <w:rFonts w:hint="eastAsia"/>
              </w:rPr>
              <w:t xml:space="preserve">安全性和访问控制测试侧重于安全性的两个关键方面：应用程序级别的安全性，包括对数据或业务功能的访问；系统级别的安全性，包括对系统的登录或远程访问。 </w:t>
            </w:r>
          </w:p>
          <w:p w14:paraId="66B401F8">
            <w:pPr>
              <w:pageBreakBefore w:val="0"/>
              <w:kinsoku/>
              <w:wordWrap/>
              <w:overflowPunct/>
              <w:topLinePunct w:val="0"/>
              <w:autoSpaceDE/>
              <w:autoSpaceDN/>
              <w:bidi w:val="0"/>
              <w:spacing w:before="120" w:after="120" w:line="360" w:lineRule="auto"/>
              <w:ind w:firstLine="420"/>
              <w:textAlignment w:val="auto"/>
            </w:pPr>
            <w:r>
              <w:rPr>
                <w:rFonts w:hint="eastAsia"/>
              </w:rPr>
              <w:t xml:space="preserve">应用程序级别的安全性可确保：在预期的安全性情况下，Actor只能访问特定的功能或用例，或者只能访问有限的数据。 </w:t>
            </w:r>
          </w:p>
          <w:p w14:paraId="358C642A">
            <w:pPr>
              <w:pageBreakBefore w:val="0"/>
              <w:kinsoku/>
              <w:wordWrap/>
              <w:overflowPunct/>
              <w:topLinePunct w:val="0"/>
              <w:autoSpaceDE/>
              <w:autoSpaceDN/>
              <w:bidi w:val="0"/>
              <w:spacing w:before="120" w:after="120" w:line="360" w:lineRule="auto"/>
              <w:ind w:firstLine="420"/>
              <w:textAlignment w:val="auto"/>
            </w:pPr>
            <w:r>
              <w:rPr>
                <w:rFonts w:hint="eastAsia"/>
              </w:rPr>
              <w:t xml:space="preserve">系统级别的安全性可确保只有具备系统访问权限的用户才能访问应用程序，而且只能通过相应的网关和端口来访问。 </w:t>
            </w:r>
          </w:p>
          <w:p w14:paraId="0A79E20B">
            <w:pPr>
              <w:pageBreakBefore w:val="0"/>
              <w:kinsoku/>
              <w:wordWrap/>
              <w:overflowPunct/>
              <w:topLinePunct w:val="0"/>
              <w:autoSpaceDE/>
              <w:autoSpaceDN/>
              <w:bidi w:val="0"/>
              <w:spacing w:before="120" w:after="120" w:line="360" w:lineRule="auto"/>
              <w:ind w:firstLine="420"/>
              <w:textAlignment w:val="auto"/>
            </w:pPr>
            <w:r>
              <w:rPr>
                <w:rFonts w:hint="eastAsia"/>
              </w:rPr>
              <w:t xml:space="preserve">应用程序级别的安全性：核实Actor只能访问其所属用户类型已被授权访问的那些功能或数据。 </w:t>
            </w:r>
          </w:p>
          <w:p w14:paraId="5E155239">
            <w:pPr>
              <w:pageBreakBefore w:val="0"/>
              <w:kinsoku/>
              <w:wordWrap/>
              <w:overflowPunct/>
              <w:topLinePunct w:val="0"/>
              <w:autoSpaceDE/>
              <w:autoSpaceDN/>
              <w:bidi w:val="0"/>
              <w:spacing w:before="120" w:after="120" w:line="360" w:lineRule="auto"/>
              <w:ind w:firstLine="420"/>
              <w:textAlignment w:val="auto"/>
            </w:pPr>
            <w:r>
              <w:rPr>
                <w:rFonts w:hint="eastAsia"/>
              </w:rPr>
              <w:t>系统级别的安全性：核实只有具备系统和应用程序访问权限的Actor才能访问系统和应用程序。</w:t>
            </w:r>
          </w:p>
        </w:tc>
      </w:tr>
      <w:tr w14:paraId="1312A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31" w:type="dxa"/>
          </w:tblCellMar>
        </w:tblPrEx>
        <w:trPr>
          <w:trHeight w:val="2463"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7196F3AA">
            <w:pPr>
              <w:pageBreakBefore w:val="0"/>
              <w:kinsoku/>
              <w:wordWrap/>
              <w:overflowPunct/>
              <w:topLinePunct w:val="0"/>
              <w:autoSpaceDE/>
              <w:autoSpaceDN/>
              <w:bidi w:val="0"/>
              <w:spacing w:before="120" w:after="120" w:line="360" w:lineRule="auto"/>
              <w:textAlignment w:val="auto"/>
            </w:pPr>
            <w:r>
              <w:rPr>
                <w:rFonts w:hint="eastAsia"/>
              </w:rPr>
              <w:t xml:space="preserve">测试方法： </w:t>
            </w:r>
          </w:p>
        </w:tc>
        <w:tc>
          <w:tcPr>
            <w:tcW w:w="6257" w:type="dxa"/>
            <w:tcBorders>
              <w:top w:val="single" w:color="auto" w:sz="4" w:space="0"/>
              <w:left w:val="single" w:color="auto" w:sz="4" w:space="0"/>
              <w:bottom w:val="single" w:color="auto" w:sz="4" w:space="0"/>
              <w:right w:val="single" w:color="auto" w:sz="4" w:space="0"/>
            </w:tcBorders>
            <w:vAlign w:val="center"/>
          </w:tcPr>
          <w:p w14:paraId="18CF7A59">
            <w:pPr>
              <w:pageBreakBefore w:val="0"/>
              <w:kinsoku/>
              <w:wordWrap/>
              <w:overflowPunct/>
              <w:topLinePunct w:val="0"/>
              <w:autoSpaceDE/>
              <w:autoSpaceDN/>
              <w:bidi w:val="0"/>
              <w:spacing w:before="120" w:after="120" w:line="360" w:lineRule="auto"/>
              <w:ind w:firstLine="420"/>
              <w:textAlignment w:val="auto"/>
            </w:pPr>
            <w:r>
              <w:rPr>
                <w:rFonts w:hint="eastAsia"/>
              </w:rPr>
              <w:t xml:space="preserve">应用程序级别的安全性：确定并列出各用户类型及其被授权访问的功能或数据。 </w:t>
            </w:r>
          </w:p>
          <w:p w14:paraId="13AB3BB3">
            <w:pPr>
              <w:pageBreakBefore w:val="0"/>
              <w:kinsoku/>
              <w:wordWrap/>
              <w:overflowPunct/>
              <w:topLinePunct w:val="0"/>
              <w:autoSpaceDE/>
              <w:autoSpaceDN/>
              <w:bidi w:val="0"/>
              <w:spacing w:before="120" w:after="120" w:line="360" w:lineRule="auto"/>
              <w:ind w:firstLine="420"/>
              <w:textAlignment w:val="auto"/>
            </w:pPr>
            <w:r>
              <w:rPr>
                <w:rFonts w:hint="eastAsia"/>
              </w:rPr>
              <w:t xml:space="preserve">为各用户类型创建测试，并通过创建各用户类型来核实其权限。 </w:t>
            </w:r>
          </w:p>
          <w:p w14:paraId="314CF79F">
            <w:pPr>
              <w:pageBreakBefore w:val="0"/>
              <w:kinsoku/>
              <w:wordWrap/>
              <w:overflowPunct/>
              <w:topLinePunct w:val="0"/>
              <w:autoSpaceDE/>
              <w:autoSpaceDN/>
              <w:bidi w:val="0"/>
              <w:spacing w:before="120" w:after="120" w:line="360" w:lineRule="auto"/>
              <w:ind w:firstLine="420"/>
              <w:textAlignment w:val="auto"/>
            </w:pPr>
            <w:r>
              <w:rPr>
                <w:rFonts w:hint="eastAsia"/>
              </w:rPr>
              <w:t xml:space="preserve">修改用户类型并为相同的用户重新运行测试。对于每种用户类型，确保正确地提供或拒绝了这些附加的功能或数据。 </w:t>
            </w:r>
          </w:p>
        </w:tc>
      </w:tr>
      <w:tr w14:paraId="03293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31" w:type="dxa"/>
          </w:tblCellMar>
        </w:tblPrEx>
        <w:trPr>
          <w:trHeight w:val="1652"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0F5FD4C6">
            <w:pPr>
              <w:pageBreakBefore w:val="0"/>
              <w:kinsoku/>
              <w:wordWrap/>
              <w:overflowPunct/>
              <w:topLinePunct w:val="0"/>
              <w:autoSpaceDE/>
              <w:autoSpaceDN/>
              <w:bidi w:val="0"/>
              <w:spacing w:before="120" w:after="120" w:line="360" w:lineRule="auto"/>
              <w:textAlignment w:val="auto"/>
            </w:pPr>
            <w:r>
              <w:rPr>
                <w:rFonts w:hint="eastAsia"/>
              </w:rPr>
              <w:t xml:space="preserve">测试范围： </w:t>
            </w:r>
          </w:p>
        </w:tc>
        <w:tc>
          <w:tcPr>
            <w:tcW w:w="6257" w:type="dxa"/>
            <w:tcBorders>
              <w:top w:val="single" w:color="auto" w:sz="4" w:space="0"/>
              <w:left w:val="single" w:color="auto" w:sz="4" w:space="0"/>
              <w:bottom w:val="single" w:color="auto" w:sz="4" w:space="0"/>
              <w:right w:val="single" w:color="auto" w:sz="4" w:space="0"/>
            </w:tcBorders>
            <w:vAlign w:val="center"/>
          </w:tcPr>
          <w:p w14:paraId="322976A2">
            <w:pPr>
              <w:pageBreakBefore w:val="0"/>
              <w:kinsoku/>
              <w:wordWrap/>
              <w:overflowPunct/>
              <w:topLinePunct w:val="0"/>
              <w:autoSpaceDE/>
              <w:autoSpaceDN/>
              <w:bidi w:val="0"/>
              <w:spacing w:before="120" w:after="120" w:line="360" w:lineRule="auto"/>
              <w:ind w:firstLine="420"/>
              <w:textAlignment w:val="auto"/>
            </w:pPr>
            <w:r>
              <w:rPr>
                <w:rFonts w:hint="eastAsia"/>
              </w:rPr>
              <w:t xml:space="preserve">界面操作的权限控制，包括对数据或业务功能的访问；接口访问的权限控制，Actor只能访问其所属用户类型已被授权访问的那些功能或数据；系统级访问的权限控制，只有具备系统访问权限的用户才能访问系统，而且只能通过相应的网关、协议和特定端口来访问。 </w:t>
            </w:r>
          </w:p>
        </w:tc>
      </w:tr>
      <w:tr w14:paraId="52EDA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31" w:type="dxa"/>
          </w:tblCellMar>
        </w:tblPrEx>
        <w:trPr>
          <w:trHeight w:val="1231"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0DE50CE7">
            <w:pPr>
              <w:pageBreakBefore w:val="0"/>
              <w:kinsoku/>
              <w:wordWrap/>
              <w:overflowPunct/>
              <w:topLinePunct w:val="0"/>
              <w:autoSpaceDE/>
              <w:autoSpaceDN/>
              <w:bidi w:val="0"/>
              <w:spacing w:before="120" w:after="120" w:line="360" w:lineRule="auto"/>
              <w:textAlignment w:val="auto"/>
            </w:pPr>
            <w:r>
              <w:rPr>
                <w:rFonts w:hint="eastAsia"/>
              </w:rPr>
              <w:t xml:space="preserve">完成标准： </w:t>
            </w:r>
          </w:p>
        </w:tc>
        <w:tc>
          <w:tcPr>
            <w:tcW w:w="6257" w:type="dxa"/>
            <w:tcBorders>
              <w:top w:val="single" w:color="auto" w:sz="4" w:space="0"/>
              <w:left w:val="single" w:color="auto" w:sz="4" w:space="0"/>
              <w:bottom w:val="single" w:color="auto" w:sz="4" w:space="0"/>
              <w:right w:val="single" w:color="auto" w:sz="4" w:space="0"/>
            </w:tcBorders>
            <w:vAlign w:val="center"/>
          </w:tcPr>
          <w:p w14:paraId="66C6D85A">
            <w:pPr>
              <w:pageBreakBefore w:val="0"/>
              <w:kinsoku/>
              <w:wordWrap/>
              <w:overflowPunct/>
              <w:topLinePunct w:val="0"/>
              <w:autoSpaceDE/>
              <w:autoSpaceDN/>
              <w:bidi w:val="0"/>
              <w:spacing w:before="120" w:after="120" w:line="360" w:lineRule="auto"/>
              <w:ind w:firstLine="420"/>
              <w:textAlignment w:val="auto"/>
            </w:pPr>
            <w:r>
              <w:rPr>
                <w:rFonts w:hint="eastAsia"/>
              </w:rPr>
              <w:t xml:space="preserve">各种已知的Actor类型都可访问相应的功能或数据，而且所有功能都按照预期的方式运行，并在先前的应用程序功能测试中运行了所有的功能。 </w:t>
            </w:r>
          </w:p>
        </w:tc>
      </w:tr>
      <w:tr w14:paraId="356BC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31" w:type="dxa"/>
          </w:tblCellMar>
        </w:tblPrEx>
        <w:trPr>
          <w:trHeight w:val="826"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0A6F47F7">
            <w:pPr>
              <w:pageBreakBefore w:val="0"/>
              <w:kinsoku/>
              <w:wordWrap/>
              <w:overflowPunct/>
              <w:topLinePunct w:val="0"/>
              <w:autoSpaceDE/>
              <w:autoSpaceDN/>
              <w:bidi w:val="0"/>
              <w:spacing w:before="120" w:after="120" w:line="360" w:lineRule="auto"/>
              <w:textAlignment w:val="auto"/>
            </w:pPr>
            <w:r>
              <w:rPr>
                <w:rFonts w:hint="eastAsia"/>
              </w:rPr>
              <w:t xml:space="preserve">测试重点和优先级： </w:t>
            </w:r>
          </w:p>
        </w:tc>
        <w:tc>
          <w:tcPr>
            <w:tcW w:w="6257" w:type="dxa"/>
            <w:tcBorders>
              <w:top w:val="single" w:color="auto" w:sz="4" w:space="0"/>
              <w:left w:val="single" w:color="auto" w:sz="4" w:space="0"/>
              <w:bottom w:val="single" w:color="auto" w:sz="4" w:space="0"/>
              <w:right w:val="single" w:color="auto" w:sz="4" w:space="0"/>
            </w:tcBorders>
            <w:vAlign w:val="center"/>
          </w:tcPr>
          <w:p w14:paraId="6E3D0C3A">
            <w:pPr>
              <w:pageBreakBefore w:val="0"/>
              <w:kinsoku/>
              <w:wordWrap/>
              <w:overflowPunct/>
              <w:topLinePunct w:val="0"/>
              <w:autoSpaceDE/>
              <w:autoSpaceDN/>
              <w:bidi w:val="0"/>
              <w:spacing w:before="120" w:after="120" w:line="360" w:lineRule="auto"/>
              <w:ind w:firstLine="420"/>
              <w:textAlignment w:val="auto"/>
            </w:pPr>
            <w:r>
              <w:rPr>
                <w:rFonts w:hint="eastAsia"/>
              </w:rPr>
              <w:t xml:space="preserve">面向外部用户的安全性和访问控制，包括应用程序和系统两个级别；对系统重要数据或关键业务功能的访问控制。 </w:t>
            </w:r>
          </w:p>
        </w:tc>
      </w:tr>
      <w:tr w14:paraId="62AA4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2" w:type="dxa"/>
            <w:left w:w="112" w:type="dxa"/>
            <w:bottom w:w="0" w:type="dxa"/>
            <w:right w:w="31" w:type="dxa"/>
          </w:tblCellMar>
        </w:tblPrEx>
        <w:trPr>
          <w:trHeight w:val="826"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14:paraId="01FB3073">
            <w:pPr>
              <w:pageBreakBefore w:val="0"/>
              <w:kinsoku/>
              <w:wordWrap/>
              <w:overflowPunct/>
              <w:topLinePunct w:val="0"/>
              <w:autoSpaceDE/>
              <w:autoSpaceDN/>
              <w:bidi w:val="0"/>
              <w:spacing w:before="120" w:after="120" w:line="360" w:lineRule="auto"/>
              <w:textAlignment w:val="auto"/>
            </w:pPr>
            <w:r>
              <w:rPr>
                <w:rFonts w:hint="eastAsia"/>
              </w:rPr>
              <w:t xml:space="preserve">需考虑的特殊事项： </w:t>
            </w:r>
          </w:p>
        </w:tc>
        <w:tc>
          <w:tcPr>
            <w:tcW w:w="6257" w:type="dxa"/>
            <w:tcBorders>
              <w:top w:val="single" w:color="auto" w:sz="4" w:space="0"/>
              <w:left w:val="single" w:color="auto" w:sz="4" w:space="0"/>
              <w:bottom w:val="single" w:color="auto" w:sz="4" w:space="0"/>
              <w:right w:val="single" w:color="auto" w:sz="4" w:space="0"/>
            </w:tcBorders>
            <w:vAlign w:val="center"/>
          </w:tcPr>
          <w:p w14:paraId="5ED11315">
            <w:pPr>
              <w:pageBreakBefore w:val="0"/>
              <w:kinsoku/>
              <w:wordWrap/>
              <w:overflowPunct/>
              <w:topLinePunct w:val="0"/>
              <w:autoSpaceDE/>
              <w:autoSpaceDN/>
              <w:bidi w:val="0"/>
              <w:spacing w:before="120" w:after="120" w:line="360" w:lineRule="auto"/>
              <w:ind w:firstLine="420"/>
              <w:textAlignment w:val="auto"/>
            </w:pPr>
            <w:r>
              <w:rPr>
                <w:rFonts w:hint="eastAsia"/>
              </w:rPr>
              <w:t xml:space="preserve">必须与相应的网络或系统管理员一起对系统访问权限进行检查和讨论。 </w:t>
            </w:r>
          </w:p>
        </w:tc>
      </w:tr>
    </w:tbl>
    <w:p w14:paraId="7F6D2134">
      <w:pPr>
        <w:pStyle w:val="87"/>
        <w:pageBreakBefore w:val="0"/>
        <w:numPr>
          <w:ilvl w:val="0"/>
          <w:numId w:val="26"/>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测试程序管理</w:t>
      </w:r>
      <w:r>
        <w:rPr>
          <w:b/>
          <w:bCs/>
          <w:sz w:val="24"/>
          <w:szCs w:val="24"/>
        </w:rPr>
        <w:t xml:space="preserve"> </w:t>
      </w:r>
    </w:p>
    <w:tbl>
      <w:tblPr>
        <w:tblStyle w:val="43"/>
        <w:tblW w:w="7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10"/>
        <w:gridCol w:w="4555"/>
        <w:gridCol w:w="1341"/>
      </w:tblGrid>
      <w:tr w14:paraId="297FD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709" w:type="dxa"/>
            <w:tcBorders>
              <w:top w:val="single" w:color="auto" w:sz="4" w:space="0"/>
              <w:left w:val="single" w:color="auto" w:sz="4" w:space="0"/>
              <w:bottom w:val="single" w:color="auto" w:sz="4" w:space="0"/>
              <w:right w:val="single" w:color="auto" w:sz="4" w:space="0"/>
            </w:tcBorders>
            <w:vAlign w:val="center"/>
          </w:tcPr>
          <w:p w14:paraId="49D90424">
            <w:pPr>
              <w:pageBreakBefore w:val="0"/>
              <w:kinsoku/>
              <w:wordWrap/>
              <w:overflowPunct/>
              <w:topLinePunct w:val="0"/>
              <w:autoSpaceDE/>
              <w:autoSpaceDN/>
              <w:bidi w:val="0"/>
              <w:spacing w:before="120" w:after="120" w:line="360" w:lineRule="auto"/>
              <w:textAlignment w:val="auto"/>
            </w:pPr>
            <w:r>
              <w:rPr>
                <w:rFonts w:hint="eastAsia"/>
              </w:rPr>
              <w:t>步骤</w:t>
            </w:r>
          </w:p>
        </w:tc>
        <w:tc>
          <w:tcPr>
            <w:tcW w:w="1209" w:type="dxa"/>
            <w:tcBorders>
              <w:top w:val="single" w:color="auto" w:sz="4" w:space="0"/>
              <w:left w:val="single" w:color="auto" w:sz="4" w:space="0"/>
              <w:bottom w:val="single" w:color="auto" w:sz="4" w:space="0"/>
              <w:right w:val="single" w:color="auto" w:sz="4" w:space="0"/>
            </w:tcBorders>
            <w:vAlign w:val="center"/>
          </w:tcPr>
          <w:p w14:paraId="4B0C0147">
            <w:pPr>
              <w:pageBreakBefore w:val="0"/>
              <w:kinsoku/>
              <w:wordWrap/>
              <w:overflowPunct/>
              <w:topLinePunct w:val="0"/>
              <w:autoSpaceDE/>
              <w:autoSpaceDN/>
              <w:bidi w:val="0"/>
              <w:spacing w:before="120" w:after="120" w:line="360" w:lineRule="auto"/>
              <w:textAlignment w:val="auto"/>
            </w:pPr>
            <w:r>
              <w:rPr>
                <w:rFonts w:hint="eastAsia"/>
              </w:rPr>
              <w:t>工作</w:t>
            </w:r>
          </w:p>
        </w:tc>
        <w:tc>
          <w:tcPr>
            <w:tcW w:w="4553" w:type="dxa"/>
            <w:tcBorders>
              <w:top w:val="single" w:color="auto" w:sz="4" w:space="0"/>
              <w:left w:val="single" w:color="auto" w:sz="4" w:space="0"/>
              <w:bottom w:val="single" w:color="auto" w:sz="4" w:space="0"/>
              <w:right w:val="single" w:color="auto" w:sz="4" w:space="0"/>
            </w:tcBorders>
            <w:vAlign w:val="center"/>
          </w:tcPr>
          <w:p w14:paraId="6E9B9387">
            <w:pPr>
              <w:pageBreakBefore w:val="0"/>
              <w:kinsoku/>
              <w:wordWrap/>
              <w:overflowPunct/>
              <w:topLinePunct w:val="0"/>
              <w:autoSpaceDE/>
              <w:autoSpaceDN/>
              <w:bidi w:val="0"/>
              <w:spacing w:before="120" w:after="120" w:line="360" w:lineRule="auto"/>
              <w:textAlignment w:val="auto"/>
            </w:pPr>
            <w:r>
              <w:rPr>
                <w:rFonts w:hint="eastAsia"/>
              </w:rPr>
              <w:t>描述</w:t>
            </w:r>
          </w:p>
        </w:tc>
        <w:tc>
          <w:tcPr>
            <w:tcW w:w="1340" w:type="dxa"/>
            <w:tcBorders>
              <w:top w:val="single" w:color="auto" w:sz="4" w:space="0"/>
              <w:left w:val="single" w:color="auto" w:sz="4" w:space="0"/>
              <w:bottom w:val="single" w:color="auto" w:sz="4" w:space="0"/>
              <w:right w:val="single" w:color="auto" w:sz="4" w:space="0"/>
            </w:tcBorders>
            <w:vAlign w:val="center"/>
          </w:tcPr>
          <w:p w14:paraId="40D03CE3">
            <w:pPr>
              <w:pageBreakBefore w:val="0"/>
              <w:kinsoku/>
              <w:wordWrap/>
              <w:overflowPunct/>
              <w:topLinePunct w:val="0"/>
              <w:autoSpaceDE/>
              <w:autoSpaceDN/>
              <w:bidi w:val="0"/>
              <w:spacing w:before="120" w:after="120" w:line="360" w:lineRule="auto"/>
              <w:textAlignment w:val="auto"/>
            </w:pPr>
            <w:r>
              <w:rPr>
                <w:rFonts w:hint="eastAsia"/>
              </w:rPr>
              <w:t>交付物</w:t>
            </w:r>
          </w:p>
        </w:tc>
      </w:tr>
      <w:tr w14:paraId="5FFC5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0"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14:paraId="70C34930">
            <w:pPr>
              <w:pageBreakBefore w:val="0"/>
              <w:kinsoku/>
              <w:wordWrap/>
              <w:overflowPunct/>
              <w:topLinePunct w:val="0"/>
              <w:autoSpaceDE/>
              <w:autoSpaceDN/>
              <w:bidi w:val="0"/>
              <w:spacing w:before="120" w:after="120" w:line="360" w:lineRule="auto"/>
              <w:textAlignment w:val="auto"/>
            </w:pPr>
            <w:r>
              <w:rPr>
                <w:rFonts w:hint="eastAsia"/>
              </w:rPr>
              <w:t>1</w:t>
            </w:r>
          </w:p>
        </w:tc>
        <w:tc>
          <w:tcPr>
            <w:tcW w:w="1209" w:type="dxa"/>
            <w:tcBorders>
              <w:top w:val="single" w:color="auto" w:sz="4" w:space="0"/>
              <w:left w:val="single" w:color="auto" w:sz="4" w:space="0"/>
              <w:bottom w:val="single" w:color="auto" w:sz="4" w:space="0"/>
              <w:right w:val="single" w:color="auto" w:sz="4" w:space="0"/>
            </w:tcBorders>
            <w:vAlign w:val="center"/>
          </w:tcPr>
          <w:p w14:paraId="38344B45">
            <w:pPr>
              <w:pageBreakBefore w:val="0"/>
              <w:kinsoku/>
              <w:wordWrap/>
              <w:overflowPunct/>
              <w:topLinePunct w:val="0"/>
              <w:autoSpaceDE/>
              <w:autoSpaceDN/>
              <w:bidi w:val="0"/>
              <w:spacing w:before="120" w:after="120" w:line="360" w:lineRule="auto"/>
              <w:textAlignment w:val="auto"/>
            </w:pPr>
            <w:r>
              <w:rPr>
                <w:rFonts w:hint="eastAsia"/>
              </w:rPr>
              <w:t>制定软件</w:t>
            </w:r>
          </w:p>
          <w:p w14:paraId="0C2A2ED8">
            <w:pPr>
              <w:pageBreakBefore w:val="0"/>
              <w:kinsoku/>
              <w:wordWrap/>
              <w:overflowPunct/>
              <w:topLinePunct w:val="0"/>
              <w:autoSpaceDE/>
              <w:autoSpaceDN/>
              <w:bidi w:val="0"/>
              <w:spacing w:before="120" w:after="120" w:line="360" w:lineRule="auto"/>
              <w:textAlignment w:val="auto"/>
            </w:pPr>
            <w:r>
              <w:rPr>
                <w:rFonts w:hint="eastAsia"/>
              </w:rPr>
              <w:t xml:space="preserve">测试计划 </w:t>
            </w:r>
          </w:p>
        </w:tc>
        <w:tc>
          <w:tcPr>
            <w:tcW w:w="4553" w:type="dxa"/>
            <w:tcBorders>
              <w:top w:val="single" w:color="auto" w:sz="4" w:space="0"/>
              <w:left w:val="single" w:color="auto" w:sz="4" w:space="0"/>
              <w:bottom w:val="single" w:color="auto" w:sz="4" w:space="0"/>
              <w:right w:val="single" w:color="auto" w:sz="4" w:space="0"/>
            </w:tcBorders>
            <w:vAlign w:val="center"/>
          </w:tcPr>
          <w:p w14:paraId="2F157CF4">
            <w:pPr>
              <w:pageBreakBefore w:val="0"/>
              <w:kinsoku/>
              <w:wordWrap/>
              <w:overflowPunct/>
              <w:topLinePunct w:val="0"/>
              <w:autoSpaceDE/>
              <w:autoSpaceDN/>
              <w:bidi w:val="0"/>
              <w:spacing w:before="120" w:after="120" w:line="360" w:lineRule="auto"/>
              <w:ind w:firstLine="422"/>
              <w:textAlignment w:val="auto"/>
            </w:pPr>
            <w:r>
              <w:rPr>
                <w:rFonts w:hint="eastAsia"/>
                <w:b/>
                <w:bCs/>
              </w:rPr>
              <w:t>1、制定计划：</w:t>
            </w:r>
            <w:r>
              <w:rPr>
                <w:rFonts w:hint="eastAsia"/>
              </w:rPr>
              <w:t xml:space="preserve">测试经理在项目立项时根据《项目计划》并和项目经理进行协商沟通制定软件测试计划； </w:t>
            </w:r>
          </w:p>
          <w:p w14:paraId="3A823DC7">
            <w:pPr>
              <w:pageBreakBefore w:val="0"/>
              <w:kinsoku/>
              <w:wordWrap/>
              <w:overflowPunct/>
              <w:topLinePunct w:val="0"/>
              <w:autoSpaceDE/>
              <w:autoSpaceDN/>
              <w:bidi w:val="0"/>
              <w:spacing w:before="120" w:after="120" w:line="360" w:lineRule="auto"/>
              <w:ind w:firstLine="422"/>
              <w:textAlignment w:val="auto"/>
            </w:pPr>
            <w:r>
              <w:rPr>
                <w:rFonts w:hint="eastAsia"/>
                <w:b/>
                <w:bCs/>
              </w:rPr>
              <w:t>2、软件测试计划的内容</w:t>
            </w:r>
            <w:r>
              <w:rPr>
                <w:rFonts w:hint="eastAsia"/>
              </w:rPr>
              <w:t xml:space="preserve">：软件测试计划包括测试范围和测试重点、进度、人员安排、工具和环境需求、测试交付物、测试完成标准、测试策略、预测软件风险和测试优先级、计划风险与应急措施等内容； </w:t>
            </w:r>
          </w:p>
          <w:p w14:paraId="75F6D2AE">
            <w:pPr>
              <w:pageBreakBefore w:val="0"/>
              <w:kinsoku/>
              <w:wordWrap/>
              <w:overflowPunct/>
              <w:topLinePunct w:val="0"/>
              <w:autoSpaceDE/>
              <w:autoSpaceDN/>
              <w:bidi w:val="0"/>
              <w:spacing w:before="120" w:after="120" w:line="360" w:lineRule="auto"/>
              <w:ind w:firstLine="422"/>
              <w:textAlignment w:val="auto"/>
            </w:pPr>
            <w:r>
              <w:rPr>
                <w:rFonts w:hint="eastAsia"/>
                <w:b/>
                <w:bCs/>
              </w:rPr>
              <w:t>3、计划的评审：</w:t>
            </w:r>
            <w:r>
              <w:rPr>
                <w:rFonts w:hint="eastAsia"/>
              </w:rPr>
              <w:t>软件测试计划需要进行评审；</w:t>
            </w:r>
          </w:p>
          <w:p w14:paraId="65CAC27E">
            <w:pPr>
              <w:pageBreakBefore w:val="0"/>
              <w:kinsoku/>
              <w:wordWrap/>
              <w:overflowPunct/>
              <w:topLinePunct w:val="0"/>
              <w:autoSpaceDE/>
              <w:autoSpaceDN/>
              <w:bidi w:val="0"/>
              <w:spacing w:before="120" w:after="120" w:line="360" w:lineRule="auto"/>
              <w:ind w:firstLine="422"/>
              <w:textAlignment w:val="auto"/>
            </w:pPr>
            <w:r>
              <w:rPr>
                <w:rFonts w:hint="eastAsia"/>
                <w:b/>
                <w:bCs/>
              </w:rPr>
              <w:t>4. 计划的更新：</w:t>
            </w:r>
            <w:r>
              <w:rPr>
                <w:rFonts w:hint="eastAsia"/>
              </w:rPr>
              <w:t xml:space="preserve">如果立项时的项目计划做得较粗，软件测试计划可根据项目计划在每个里程碑处的细化相应的进行细化和更新。 </w:t>
            </w:r>
          </w:p>
        </w:tc>
        <w:tc>
          <w:tcPr>
            <w:tcW w:w="1340" w:type="dxa"/>
            <w:tcBorders>
              <w:top w:val="single" w:color="auto" w:sz="4" w:space="0"/>
              <w:left w:val="single" w:color="auto" w:sz="4" w:space="0"/>
              <w:bottom w:val="single" w:color="auto" w:sz="4" w:space="0"/>
              <w:right w:val="single" w:color="auto" w:sz="4" w:space="0"/>
            </w:tcBorders>
            <w:vAlign w:val="center"/>
          </w:tcPr>
          <w:p w14:paraId="372F080C">
            <w:pPr>
              <w:pageBreakBefore w:val="0"/>
              <w:kinsoku/>
              <w:wordWrap/>
              <w:overflowPunct/>
              <w:topLinePunct w:val="0"/>
              <w:autoSpaceDE/>
              <w:autoSpaceDN/>
              <w:bidi w:val="0"/>
              <w:spacing w:before="120" w:after="120" w:line="360" w:lineRule="auto"/>
              <w:textAlignment w:val="auto"/>
            </w:pPr>
            <w:r>
              <w:rPr>
                <w:rFonts w:hint="eastAsia"/>
              </w:rPr>
              <w:t>《软件测试计划》</w:t>
            </w:r>
          </w:p>
        </w:tc>
      </w:tr>
      <w:tr w14:paraId="65016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14:paraId="65B63310">
            <w:pPr>
              <w:pageBreakBefore w:val="0"/>
              <w:kinsoku/>
              <w:wordWrap/>
              <w:overflowPunct/>
              <w:topLinePunct w:val="0"/>
              <w:autoSpaceDE/>
              <w:autoSpaceDN/>
              <w:bidi w:val="0"/>
              <w:spacing w:before="120" w:after="120" w:line="360" w:lineRule="auto"/>
              <w:textAlignment w:val="auto"/>
            </w:pPr>
            <w:r>
              <w:rPr>
                <w:rFonts w:hint="eastAsia"/>
              </w:rPr>
              <w:t>2</w:t>
            </w:r>
          </w:p>
        </w:tc>
        <w:tc>
          <w:tcPr>
            <w:tcW w:w="1209" w:type="dxa"/>
            <w:tcBorders>
              <w:top w:val="single" w:color="auto" w:sz="4" w:space="0"/>
              <w:left w:val="single" w:color="auto" w:sz="4" w:space="0"/>
              <w:bottom w:val="single" w:color="auto" w:sz="4" w:space="0"/>
              <w:right w:val="single" w:color="auto" w:sz="4" w:space="0"/>
            </w:tcBorders>
            <w:vAlign w:val="center"/>
          </w:tcPr>
          <w:p w14:paraId="5FCB75F8">
            <w:pPr>
              <w:pageBreakBefore w:val="0"/>
              <w:kinsoku/>
              <w:wordWrap/>
              <w:overflowPunct/>
              <w:topLinePunct w:val="0"/>
              <w:autoSpaceDE/>
              <w:autoSpaceDN/>
              <w:bidi w:val="0"/>
              <w:spacing w:before="120" w:after="120" w:line="360" w:lineRule="auto"/>
              <w:textAlignment w:val="auto"/>
            </w:pPr>
            <w:r>
              <w:rPr>
                <w:rFonts w:hint="eastAsia"/>
              </w:rPr>
              <w:t>测试设计</w:t>
            </w:r>
          </w:p>
        </w:tc>
        <w:tc>
          <w:tcPr>
            <w:tcW w:w="4553" w:type="dxa"/>
            <w:tcBorders>
              <w:top w:val="single" w:color="auto" w:sz="4" w:space="0"/>
              <w:left w:val="single" w:color="auto" w:sz="4" w:space="0"/>
              <w:bottom w:val="single" w:color="auto" w:sz="4" w:space="0"/>
              <w:right w:val="single" w:color="auto" w:sz="4" w:space="0"/>
            </w:tcBorders>
            <w:vAlign w:val="bottom"/>
          </w:tcPr>
          <w:p w14:paraId="7A9111DC">
            <w:pPr>
              <w:pageBreakBefore w:val="0"/>
              <w:kinsoku/>
              <w:wordWrap/>
              <w:overflowPunct/>
              <w:topLinePunct w:val="0"/>
              <w:autoSpaceDE/>
              <w:autoSpaceDN/>
              <w:bidi w:val="0"/>
              <w:spacing w:before="120" w:after="120" w:line="360" w:lineRule="auto"/>
              <w:ind w:firstLine="420"/>
              <w:textAlignment w:val="auto"/>
            </w:pPr>
            <w:r>
              <w:rPr>
                <w:rFonts w:hint="eastAsia"/>
              </w:rPr>
              <w:t>测试设计是编写系统测试方案及用例的活动，前提是测试工程师对用户需求有正确的理解，对系统设计实现有充分的了解。</w:t>
            </w:r>
          </w:p>
          <w:p w14:paraId="0FB1125C">
            <w:pPr>
              <w:pageBreakBefore w:val="0"/>
              <w:kinsoku/>
              <w:wordWrap/>
              <w:overflowPunct/>
              <w:topLinePunct w:val="0"/>
              <w:autoSpaceDE/>
              <w:autoSpaceDN/>
              <w:bidi w:val="0"/>
              <w:spacing w:before="120" w:after="120" w:line="360" w:lineRule="auto"/>
              <w:ind w:firstLine="422"/>
              <w:textAlignment w:val="auto"/>
            </w:pPr>
            <w:r>
              <w:rPr>
                <w:rFonts w:hint="eastAsia"/>
                <w:b/>
                <w:bCs/>
              </w:rPr>
              <w:t>1、 测试设计准备</w:t>
            </w:r>
            <w:r>
              <w:rPr>
                <w:rFonts w:hint="eastAsia"/>
              </w:rPr>
              <w:t>：测试工程师一方面应参与需求管理活动，以评价需求的一致性、完整性、可实现性、可度量性和可测试性，保证用户的需要得到正确的理解，并配合项目经理或产品经理用需求管理矩阵对需求的功能点数量、状态和变更情况进行跟踪管理；另一方面，应参与同行评审活动（包括需求评审、设计评审和代码 Reivew），保证对系统的设计实现有充分的了解，并通过这种静态分析的方式，验证需求转化为设计和代码的情况，及早发现不一致的问题。</w:t>
            </w:r>
          </w:p>
          <w:p w14:paraId="6C1ECA49">
            <w:pPr>
              <w:pageBreakBefore w:val="0"/>
              <w:kinsoku/>
              <w:wordWrap/>
              <w:overflowPunct/>
              <w:topLinePunct w:val="0"/>
              <w:autoSpaceDE/>
              <w:autoSpaceDN/>
              <w:bidi w:val="0"/>
              <w:spacing w:before="120" w:after="120" w:line="360" w:lineRule="auto"/>
              <w:ind w:firstLine="422"/>
              <w:textAlignment w:val="auto"/>
            </w:pPr>
            <w:r>
              <w:rPr>
                <w:rFonts w:hint="eastAsia"/>
                <w:b/>
                <w:bCs/>
              </w:rPr>
              <w:t>2、 测试设计：</w:t>
            </w:r>
            <w:r>
              <w:rPr>
                <w:rFonts w:hint="eastAsia"/>
              </w:rPr>
              <w:t>编写测试方案及用例，构造系统在完成之后的表现状况的模型，以此作为测试执行时检测系统满足用户需求的参照。用例不但覆盖功能需求，而且还应包含用户界面、数据完整性、性能、安全性和访问控制、故障转移和恢复要求。</w:t>
            </w:r>
          </w:p>
          <w:p w14:paraId="593EDC04">
            <w:pPr>
              <w:pageBreakBefore w:val="0"/>
              <w:kinsoku/>
              <w:wordWrap/>
              <w:overflowPunct/>
              <w:topLinePunct w:val="0"/>
              <w:autoSpaceDE/>
              <w:autoSpaceDN/>
              <w:bidi w:val="0"/>
              <w:spacing w:before="120" w:after="120" w:line="360" w:lineRule="auto"/>
              <w:ind w:firstLine="422"/>
              <w:textAlignment w:val="auto"/>
            </w:pPr>
            <w:r>
              <w:rPr>
                <w:rFonts w:hint="eastAsia"/>
                <w:b/>
                <w:bCs/>
              </w:rPr>
              <w:t>3、 测试设计评审：</w:t>
            </w:r>
            <w:r>
              <w:rPr>
                <w:rFonts w:hint="eastAsia"/>
              </w:rPr>
              <w:t>测试工程师可通过邮件的方式通知项目组成员、SQA 进行《系统测试方案》的评审，以确定测试方案的可行性、完整性和用例的有效性。</w:t>
            </w:r>
          </w:p>
        </w:tc>
        <w:tc>
          <w:tcPr>
            <w:tcW w:w="1340" w:type="dxa"/>
            <w:tcBorders>
              <w:top w:val="single" w:color="auto" w:sz="4" w:space="0"/>
              <w:left w:val="single" w:color="auto" w:sz="4" w:space="0"/>
              <w:bottom w:val="single" w:color="auto" w:sz="4" w:space="0"/>
              <w:right w:val="single" w:color="auto" w:sz="4" w:space="0"/>
            </w:tcBorders>
            <w:vAlign w:val="center"/>
          </w:tcPr>
          <w:p w14:paraId="2915479F">
            <w:pPr>
              <w:pageBreakBefore w:val="0"/>
              <w:kinsoku/>
              <w:wordWrap/>
              <w:overflowPunct/>
              <w:topLinePunct w:val="0"/>
              <w:autoSpaceDE/>
              <w:autoSpaceDN/>
              <w:bidi w:val="0"/>
              <w:spacing w:before="120" w:after="120" w:line="360" w:lineRule="auto"/>
              <w:textAlignment w:val="auto"/>
            </w:pPr>
            <w:r>
              <w:rPr>
                <w:rFonts w:hint="eastAsia"/>
              </w:rPr>
              <w:t>《系统测试方案》</w:t>
            </w:r>
          </w:p>
          <w:p w14:paraId="7E0ADA05">
            <w:pPr>
              <w:pageBreakBefore w:val="0"/>
              <w:kinsoku/>
              <w:wordWrap/>
              <w:overflowPunct/>
              <w:topLinePunct w:val="0"/>
              <w:autoSpaceDE/>
              <w:autoSpaceDN/>
              <w:bidi w:val="0"/>
              <w:spacing w:before="120" w:after="120" w:line="360" w:lineRule="auto"/>
              <w:textAlignment w:val="auto"/>
            </w:pPr>
            <w:r>
              <w:rPr>
                <w:rFonts w:hint="eastAsia"/>
              </w:rPr>
              <w:t>《评审报告》</w:t>
            </w:r>
          </w:p>
        </w:tc>
      </w:tr>
      <w:tr w14:paraId="00138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0"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14:paraId="1C9D663B">
            <w:pPr>
              <w:pageBreakBefore w:val="0"/>
              <w:kinsoku/>
              <w:wordWrap/>
              <w:overflowPunct/>
              <w:topLinePunct w:val="0"/>
              <w:autoSpaceDE/>
              <w:autoSpaceDN/>
              <w:bidi w:val="0"/>
              <w:spacing w:before="120" w:after="120" w:line="360" w:lineRule="auto"/>
              <w:textAlignment w:val="auto"/>
            </w:pPr>
            <w:r>
              <w:rPr>
                <w:rFonts w:hint="eastAsia"/>
              </w:rPr>
              <w:t>3</w:t>
            </w:r>
          </w:p>
        </w:tc>
        <w:tc>
          <w:tcPr>
            <w:tcW w:w="1209" w:type="dxa"/>
            <w:tcBorders>
              <w:top w:val="single" w:color="auto" w:sz="4" w:space="0"/>
              <w:left w:val="single" w:color="auto" w:sz="4" w:space="0"/>
              <w:bottom w:val="single" w:color="auto" w:sz="4" w:space="0"/>
              <w:right w:val="single" w:color="auto" w:sz="4" w:space="0"/>
            </w:tcBorders>
            <w:vAlign w:val="center"/>
          </w:tcPr>
          <w:p w14:paraId="419DDEF6">
            <w:pPr>
              <w:pageBreakBefore w:val="0"/>
              <w:kinsoku/>
              <w:wordWrap/>
              <w:overflowPunct/>
              <w:topLinePunct w:val="0"/>
              <w:autoSpaceDE/>
              <w:autoSpaceDN/>
              <w:bidi w:val="0"/>
              <w:spacing w:before="120" w:after="120" w:line="360" w:lineRule="auto"/>
              <w:textAlignment w:val="auto"/>
            </w:pPr>
            <w:r>
              <w:rPr>
                <w:rFonts w:hint="eastAsia"/>
              </w:rPr>
              <w:t>测试执行</w:t>
            </w:r>
          </w:p>
        </w:tc>
        <w:tc>
          <w:tcPr>
            <w:tcW w:w="4553" w:type="dxa"/>
            <w:tcBorders>
              <w:top w:val="single" w:color="auto" w:sz="4" w:space="0"/>
              <w:left w:val="single" w:color="auto" w:sz="4" w:space="0"/>
              <w:bottom w:val="single" w:color="auto" w:sz="4" w:space="0"/>
              <w:right w:val="single" w:color="auto" w:sz="4" w:space="0"/>
            </w:tcBorders>
            <w:vAlign w:val="bottom"/>
          </w:tcPr>
          <w:p w14:paraId="64357373">
            <w:pPr>
              <w:pageBreakBefore w:val="0"/>
              <w:kinsoku/>
              <w:wordWrap/>
              <w:overflowPunct/>
              <w:topLinePunct w:val="0"/>
              <w:autoSpaceDE/>
              <w:autoSpaceDN/>
              <w:bidi w:val="0"/>
              <w:spacing w:before="120" w:after="120" w:line="360" w:lineRule="auto"/>
              <w:ind w:firstLine="422"/>
              <w:textAlignment w:val="auto"/>
            </w:pPr>
            <w:r>
              <w:rPr>
                <w:rFonts w:hint="eastAsia"/>
                <w:b/>
                <w:bCs/>
              </w:rPr>
              <w:t>1. 测试执行准备：</w:t>
            </w:r>
            <w:r>
              <w:rPr>
                <w:rFonts w:hint="eastAsia"/>
              </w:rPr>
              <w:t>《系统测试方案》评审通过后，测试工程师即可搭建测试环境，安装部署被测软件。</w:t>
            </w:r>
          </w:p>
          <w:p w14:paraId="738B545B">
            <w:pPr>
              <w:pageBreakBefore w:val="0"/>
              <w:kinsoku/>
              <w:wordWrap/>
              <w:overflowPunct/>
              <w:topLinePunct w:val="0"/>
              <w:autoSpaceDE/>
              <w:autoSpaceDN/>
              <w:bidi w:val="0"/>
              <w:spacing w:before="120" w:after="120" w:line="360" w:lineRule="auto"/>
              <w:ind w:firstLine="422"/>
              <w:textAlignment w:val="auto"/>
            </w:pPr>
            <w:r>
              <w:rPr>
                <w:rFonts w:hint="eastAsia"/>
                <w:b/>
                <w:bCs/>
              </w:rPr>
              <w:t>2. 测试执行申请：</w:t>
            </w:r>
            <w:r>
              <w:rPr>
                <w:rFonts w:hint="eastAsia"/>
              </w:rPr>
              <w:t>当软件已经通过项目组内部的测试时，项目组填写《测试申请单》向测试小组提出测试申请。</w:t>
            </w:r>
          </w:p>
          <w:p w14:paraId="4DA92851">
            <w:pPr>
              <w:pageBreakBefore w:val="0"/>
              <w:kinsoku/>
              <w:wordWrap/>
              <w:overflowPunct/>
              <w:topLinePunct w:val="0"/>
              <w:autoSpaceDE/>
              <w:autoSpaceDN/>
              <w:bidi w:val="0"/>
              <w:spacing w:before="120" w:after="120" w:line="360" w:lineRule="auto"/>
              <w:ind w:firstLine="422"/>
              <w:textAlignment w:val="auto"/>
            </w:pPr>
            <w:r>
              <w:rPr>
                <w:rFonts w:hint="eastAsia"/>
                <w:b/>
                <w:bCs/>
              </w:rPr>
              <w:t>3. 测试执行：</w:t>
            </w:r>
            <w:r>
              <w:rPr>
                <w:rFonts w:hint="eastAsia"/>
              </w:rPr>
              <w:t xml:space="preserve"> 通过测试工具或手工选择测试用例，测试工程师实际运行所测程序，比较实际运行结果和预期结果，以找出缺陷，并予以记录。</w:t>
            </w:r>
          </w:p>
        </w:tc>
        <w:tc>
          <w:tcPr>
            <w:tcW w:w="1340" w:type="dxa"/>
            <w:tcBorders>
              <w:top w:val="single" w:color="auto" w:sz="4" w:space="0"/>
              <w:left w:val="single" w:color="auto" w:sz="4" w:space="0"/>
              <w:bottom w:val="single" w:color="auto" w:sz="4" w:space="0"/>
              <w:right w:val="single" w:color="auto" w:sz="4" w:space="0"/>
            </w:tcBorders>
            <w:vAlign w:val="center"/>
          </w:tcPr>
          <w:p w14:paraId="614BDA0D">
            <w:pPr>
              <w:pageBreakBefore w:val="0"/>
              <w:kinsoku/>
              <w:wordWrap/>
              <w:overflowPunct/>
              <w:topLinePunct w:val="0"/>
              <w:autoSpaceDE/>
              <w:autoSpaceDN/>
              <w:bidi w:val="0"/>
              <w:spacing w:before="120" w:after="120" w:line="360" w:lineRule="auto"/>
              <w:textAlignment w:val="auto"/>
            </w:pPr>
            <w:r>
              <w:rPr>
                <w:rFonts w:hint="eastAsia"/>
              </w:rPr>
              <w:t>《缺陷列表》</w:t>
            </w:r>
          </w:p>
          <w:p w14:paraId="22E1FD9F">
            <w:pPr>
              <w:pageBreakBefore w:val="0"/>
              <w:kinsoku/>
              <w:wordWrap/>
              <w:overflowPunct/>
              <w:topLinePunct w:val="0"/>
              <w:autoSpaceDE/>
              <w:autoSpaceDN/>
              <w:bidi w:val="0"/>
              <w:spacing w:before="120" w:after="120" w:line="360" w:lineRule="auto"/>
              <w:textAlignment w:val="auto"/>
            </w:pPr>
            <w:r>
              <w:rPr>
                <w:rFonts w:hint="eastAsia"/>
              </w:rPr>
              <w:t>《测试分析报告》</w:t>
            </w:r>
          </w:p>
        </w:tc>
      </w:tr>
      <w:tr w14:paraId="24533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0"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14:paraId="5A970442">
            <w:pPr>
              <w:pageBreakBefore w:val="0"/>
              <w:kinsoku/>
              <w:wordWrap/>
              <w:overflowPunct/>
              <w:topLinePunct w:val="0"/>
              <w:autoSpaceDE/>
              <w:autoSpaceDN/>
              <w:bidi w:val="0"/>
              <w:spacing w:before="120" w:after="120" w:line="360" w:lineRule="auto"/>
              <w:textAlignment w:val="auto"/>
            </w:pPr>
            <w:r>
              <w:rPr>
                <w:rFonts w:hint="eastAsia"/>
              </w:rPr>
              <w:t>4</w:t>
            </w:r>
          </w:p>
        </w:tc>
        <w:tc>
          <w:tcPr>
            <w:tcW w:w="1209" w:type="dxa"/>
            <w:tcBorders>
              <w:top w:val="single" w:color="auto" w:sz="4" w:space="0"/>
              <w:left w:val="single" w:color="auto" w:sz="4" w:space="0"/>
              <w:bottom w:val="single" w:color="auto" w:sz="4" w:space="0"/>
              <w:right w:val="single" w:color="auto" w:sz="4" w:space="0"/>
            </w:tcBorders>
            <w:vAlign w:val="center"/>
          </w:tcPr>
          <w:p w14:paraId="5043AA86">
            <w:pPr>
              <w:pageBreakBefore w:val="0"/>
              <w:kinsoku/>
              <w:wordWrap/>
              <w:overflowPunct/>
              <w:topLinePunct w:val="0"/>
              <w:autoSpaceDE/>
              <w:autoSpaceDN/>
              <w:bidi w:val="0"/>
              <w:spacing w:before="120" w:after="120" w:line="360" w:lineRule="auto"/>
              <w:textAlignment w:val="auto"/>
            </w:pPr>
            <w:r>
              <w:rPr>
                <w:rFonts w:hint="eastAsia"/>
              </w:rPr>
              <w:t>缺陷管理</w:t>
            </w:r>
          </w:p>
        </w:tc>
        <w:tc>
          <w:tcPr>
            <w:tcW w:w="4553" w:type="dxa"/>
            <w:tcBorders>
              <w:top w:val="single" w:color="auto" w:sz="4" w:space="0"/>
              <w:left w:val="single" w:color="auto" w:sz="4" w:space="0"/>
              <w:bottom w:val="single" w:color="auto" w:sz="4" w:space="0"/>
              <w:right w:val="single" w:color="auto" w:sz="4" w:space="0"/>
            </w:tcBorders>
            <w:vAlign w:val="bottom"/>
          </w:tcPr>
          <w:p w14:paraId="533EFB5D">
            <w:pPr>
              <w:pageBreakBefore w:val="0"/>
              <w:kinsoku/>
              <w:wordWrap/>
              <w:overflowPunct/>
              <w:topLinePunct w:val="0"/>
              <w:autoSpaceDE/>
              <w:autoSpaceDN/>
              <w:bidi w:val="0"/>
              <w:spacing w:before="120" w:after="120" w:line="360" w:lineRule="auto"/>
              <w:ind w:firstLine="422"/>
              <w:textAlignment w:val="auto"/>
            </w:pPr>
            <w:r>
              <w:rPr>
                <w:rFonts w:hint="eastAsia"/>
                <w:b/>
                <w:bCs/>
              </w:rPr>
              <w:t>1. 缺陷的录入：</w:t>
            </w:r>
            <w:r>
              <w:rPr>
                <w:rFonts w:hint="eastAsia"/>
              </w:rPr>
              <w:t>测试执行过程中发现的缺陷，由测试工程师录入TD 进行管理。</w:t>
            </w:r>
          </w:p>
          <w:p w14:paraId="3D9ED435">
            <w:pPr>
              <w:pageBreakBefore w:val="0"/>
              <w:kinsoku/>
              <w:wordWrap/>
              <w:overflowPunct/>
              <w:topLinePunct w:val="0"/>
              <w:autoSpaceDE/>
              <w:autoSpaceDN/>
              <w:bidi w:val="0"/>
              <w:spacing w:before="120" w:after="120" w:line="360" w:lineRule="auto"/>
              <w:ind w:firstLine="422"/>
              <w:textAlignment w:val="auto"/>
            </w:pPr>
            <w:r>
              <w:rPr>
                <w:rFonts w:hint="eastAsia"/>
                <w:b/>
                <w:bCs/>
              </w:rPr>
              <w:t>2. 缺陷的评审(Bug Reivew)：</w:t>
            </w:r>
            <w:r>
              <w:rPr>
                <w:rFonts w:hint="eastAsia"/>
              </w:rPr>
              <w:t>项目组成员、SQA和测试工程师对缺陷进行评审， 以确定缺陷是否描述清晰、完整，最终认可并达到对缺陷的理解一致。</w:t>
            </w:r>
          </w:p>
          <w:p w14:paraId="70B29444">
            <w:pPr>
              <w:pageBreakBefore w:val="0"/>
              <w:kinsoku/>
              <w:wordWrap/>
              <w:overflowPunct/>
              <w:topLinePunct w:val="0"/>
              <w:autoSpaceDE/>
              <w:autoSpaceDN/>
              <w:bidi w:val="0"/>
              <w:spacing w:before="120" w:after="120" w:line="360" w:lineRule="auto"/>
              <w:ind w:firstLine="422"/>
              <w:textAlignment w:val="auto"/>
            </w:pPr>
            <w:r>
              <w:rPr>
                <w:rFonts w:hint="eastAsia"/>
                <w:b/>
                <w:bCs/>
              </w:rPr>
              <w:t>3. 缺陷的跟踪和关闭：</w:t>
            </w:r>
            <w:r>
              <w:rPr>
                <w:rFonts w:hint="eastAsia"/>
              </w:rPr>
              <w:t>开发经理将缺陷分配给开发人员进行修改。测试工程师感知缺陷状态，进行回归测试，以确认缺陷被修改，并最终关闭缺陷。</w:t>
            </w:r>
          </w:p>
        </w:tc>
        <w:tc>
          <w:tcPr>
            <w:tcW w:w="1340" w:type="dxa"/>
            <w:tcBorders>
              <w:top w:val="single" w:color="auto" w:sz="4" w:space="0"/>
              <w:left w:val="single" w:color="auto" w:sz="4" w:space="0"/>
              <w:bottom w:val="single" w:color="auto" w:sz="4" w:space="0"/>
              <w:right w:val="single" w:color="auto" w:sz="4" w:space="0"/>
            </w:tcBorders>
            <w:vAlign w:val="center"/>
          </w:tcPr>
          <w:p w14:paraId="12F69AB6">
            <w:pPr>
              <w:pageBreakBefore w:val="0"/>
              <w:kinsoku/>
              <w:wordWrap/>
              <w:overflowPunct/>
              <w:topLinePunct w:val="0"/>
              <w:autoSpaceDE/>
              <w:autoSpaceDN/>
              <w:bidi w:val="0"/>
              <w:spacing w:before="120" w:after="120" w:line="360" w:lineRule="auto"/>
              <w:textAlignment w:val="auto"/>
            </w:pPr>
            <w:r>
              <w:rPr>
                <w:rFonts w:hint="eastAsia"/>
              </w:rPr>
              <w:t>《缺陷列表》</w:t>
            </w:r>
          </w:p>
          <w:p w14:paraId="14A47642">
            <w:pPr>
              <w:pageBreakBefore w:val="0"/>
              <w:kinsoku/>
              <w:wordWrap/>
              <w:overflowPunct/>
              <w:topLinePunct w:val="0"/>
              <w:autoSpaceDE/>
              <w:autoSpaceDN/>
              <w:bidi w:val="0"/>
              <w:spacing w:before="120" w:after="120" w:line="360" w:lineRule="auto"/>
              <w:textAlignment w:val="auto"/>
            </w:pPr>
            <w:r>
              <w:rPr>
                <w:rFonts w:hint="eastAsia"/>
              </w:rPr>
              <w:t>《评审报告》</w:t>
            </w:r>
          </w:p>
        </w:tc>
      </w:tr>
      <w:tr w14:paraId="4EFD4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14:paraId="1A4B5BA4">
            <w:pPr>
              <w:pageBreakBefore w:val="0"/>
              <w:kinsoku/>
              <w:wordWrap/>
              <w:overflowPunct/>
              <w:topLinePunct w:val="0"/>
              <w:autoSpaceDE/>
              <w:autoSpaceDN/>
              <w:bidi w:val="0"/>
              <w:spacing w:before="120" w:after="120" w:line="360" w:lineRule="auto"/>
              <w:textAlignment w:val="auto"/>
            </w:pPr>
            <w:r>
              <w:rPr>
                <w:rFonts w:hint="eastAsia"/>
              </w:rPr>
              <w:t>5</w:t>
            </w:r>
          </w:p>
        </w:tc>
        <w:tc>
          <w:tcPr>
            <w:tcW w:w="1209" w:type="dxa"/>
            <w:tcBorders>
              <w:top w:val="single" w:color="auto" w:sz="4" w:space="0"/>
              <w:left w:val="single" w:color="auto" w:sz="4" w:space="0"/>
              <w:bottom w:val="single" w:color="auto" w:sz="4" w:space="0"/>
              <w:right w:val="single" w:color="auto" w:sz="4" w:space="0"/>
            </w:tcBorders>
            <w:vAlign w:val="center"/>
          </w:tcPr>
          <w:p w14:paraId="60DFCD69">
            <w:pPr>
              <w:pageBreakBefore w:val="0"/>
              <w:kinsoku/>
              <w:wordWrap/>
              <w:overflowPunct/>
              <w:topLinePunct w:val="0"/>
              <w:autoSpaceDE/>
              <w:autoSpaceDN/>
              <w:bidi w:val="0"/>
              <w:spacing w:before="120" w:after="120" w:line="360" w:lineRule="auto"/>
              <w:textAlignment w:val="auto"/>
            </w:pPr>
            <w:r>
              <w:rPr>
                <w:rFonts w:hint="eastAsia"/>
              </w:rPr>
              <w:t>测试活动的报告</w:t>
            </w:r>
          </w:p>
        </w:tc>
        <w:tc>
          <w:tcPr>
            <w:tcW w:w="4553" w:type="dxa"/>
            <w:tcBorders>
              <w:top w:val="single" w:color="auto" w:sz="4" w:space="0"/>
              <w:left w:val="single" w:color="auto" w:sz="4" w:space="0"/>
              <w:bottom w:val="single" w:color="auto" w:sz="4" w:space="0"/>
              <w:right w:val="single" w:color="auto" w:sz="4" w:space="0"/>
            </w:tcBorders>
            <w:vAlign w:val="bottom"/>
          </w:tcPr>
          <w:p w14:paraId="536D3791">
            <w:pPr>
              <w:pageBreakBefore w:val="0"/>
              <w:kinsoku/>
              <w:wordWrap/>
              <w:overflowPunct/>
              <w:topLinePunct w:val="0"/>
              <w:autoSpaceDE/>
              <w:autoSpaceDN/>
              <w:bidi w:val="0"/>
              <w:spacing w:before="120" w:after="120" w:line="360" w:lineRule="auto"/>
              <w:ind w:firstLine="420"/>
              <w:textAlignment w:val="auto"/>
            </w:pPr>
            <w:r>
              <w:rPr>
                <w:rFonts w:hint="eastAsia"/>
              </w:rPr>
              <w:t>测试工程师分别用《测试分析报告》和《测试评价报告》将软件的每个版本的测试情况和整个项目的测试情况报告给项目经理。</w:t>
            </w:r>
          </w:p>
        </w:tc>
        <w:tc>
          <w:tcPr>
            <w:tcW w:w="1340" w:type="dxa"/>
            <w:tcBorders>
              <w:top w:val="single" w:color="auto" w:sz="4" w:space="0"/>
              <w:left w:val="single" w:color="auto" w:sz="4" w:space="0"/>
              <w:bottom w:val="single" w:color="auto" w:sz="4" w:space="0"/>
              <w:right w:val="single" w:color="auto" w:sz="4" w:space="0"/>
            </w:tcBorders>
            <w:vAlign w:val="center"/>
          </w:tcPr>
          <w:p w14:paraId="4A28A214">
            <w:pPr>
              <w:pageBreakBefore w:val="0"/>
              <w:kinsoku/>
              <w:wordWrap/>
              <w:overflowPunct/>
              <w:topLinePunct w:val="0"/>
              <w:autoSpaceDE/>
              <w:autoSpaceDN/>
              <w:bidi w:val="0"/>
              <w:spacing w:before="120" w:after="120" w:line="360" w:lineRule="auto"/>
              <w:ind w:firstLine="420"/>
              <w:textAlignment w:val="auto"/>
            </w:pPr>
            <w:r>
              <w:rPr>
                <w:rFonts w:hint="eastAsia"/>
              </w:rPr>
              <w:t>　</w:t>
            </w:r>
          </w:p>
        </w:tc>
      </w:tr>
      <w:tr w14:paraId="57F6F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709" w:type="dxa"/>
            <w:tcBorders>
              <w:top w:val="single" w:color="auto" w:sz="4" w:space="0"/>
              <w:left w:val="single" w:color="auto" w:sz="4" w:space="0"/>
              <w:bottom w:val="single" w:color="auto" w:sz="4" w:space="0"/>
              <w:right w:val="single" w:color="auto" w:sz="4" w:space="0"/>
            </w:tcBorders>
            <w:vAlign w:val="center"/>
          </w:tcPr>
          <w:p w14:paraId="2E6F0E3E">
            <w:pPr>
              <w:pageBreakBefore w:val="0"/>
              <w:kinsoku/>
              <w:wordWrap/>
              <w:overflowPunct/>
              <w:topLinePunct w:val="0"/>
              <w:autoSpaceDE/>
              <w:autoSpaceDN/>
              <w:bidi w:val="0"/>
              <w:spacing w:before="120" w:after="120" w:line="360" w:lineRule="auto"/>
              <w:textAlignment w:val="auto"/>
            </w:pPr>
            <w:r>
              <w:rPr>
                <w:rFonts w:hint="eastAsia"/>
              </w:rPr>
              <w:t>6</w:t>
            </w:r>
          </w:p>
        </w:tc>
        <w:tc>
          <w:tcPr>
            <w:tcW w:w="1209" w:type="dxa"/>
            <w:tcBorders>
              <w:top w:val="single" w:color="auto" w:sz="4" w:space="0"/>
              <w:left w:val="single" w:color="auto" w:sz="4" w:space="0"/>
              <w:bottom w:val="single" w:color="auto" w:sz="4" w:space="0"/>
              <w:right w:val="single" w:color="auto" w:sz="4" w:space="0"/>
            </w:tcBorders>
            <w:vAlign w:val="center"/>
          </w:tcPr>
          <w:p w14:paraId="7C121977">
            <w:pPr>
              <w:pageBreakBefore w:val="0"/>
              <w:kinsoku/>
              <w:wordWrap/>
              <w:overflowPunct/>
              <w:topLinePunct w:val="0"/>
              <w:autoSpaceDE/>
              <w:autoSpaceDN/>
              <w:bidi w:val="0"/>
              <w:spacing w:before="120" w:after="120" w:line="360" w:lineRule="auto"/>
              <w:textAlignment w:val="auto"/>
            </w:pPr>
            <w:r>
              <w:rPr>
                <w:rFonts w:hint="eastAsia"/>
              </w:rPr>
              <w:t>结束条件</w:t>
            </w:r>
          </w:p>
        </w:tc>
        <w:tc>
          <w:tcPr>
            <w:tcW w:w="4553" w:type="dxa"/>
            <w:tcBorders>
              <w:top w:val="single" w:color="auto" w:sz="4" w:space="0"/>
              <w:left w:val="single" w:color="auto" w:sz="4" w:space="0"/>
              <w:bottom w:val="single" w:color="auto" w:sz="4" w:space="0"/>
              <w:right w:val="single" w:color="auto" w:sz="4" w:space="0"/>
            </w:tcBorders>
            <w:vAlign w:val="bottom"/>
          </w:tcPr>
          <w:p w14:paraId="09014C80">
            <w:pPr>
              <w:pageBreakBefore w:val="0"/>
              <w:kinsoku/>
              <w:wordWrap/>
              <w:overflowPunct/>
              <w:topLinePunct w:val="0"/>
              <w:autoSpaceDE/>
              <w:autoSpaceDN/>
              <w:bidi w:val="0"/>
              <w:spacing w:before="120" w:after="120" w:line="360" w:lineRule="auto"/>
              <w:ind w:firstLine="420"/>
              <w:textAlignment w:val="auto"/>
            </w:pPr>
            <w:r>
              <w:rPr>
                <w:rFonts w:hint="eastAsia"/>
              </w:rPr>
              <w:t xml:space="preserve"> 已经达到测试计划中的测试通过标准</w:t>
            </w:r>
          </w:p>
        </w:tc>
        <w:tc>
          <w:tcPr>
            <w:tcW w:w="1340" w:type="dxa"/>
            <w:tcBorders>
              <w:top w:val="single" w:color="auto" w:sz="4" w:space="0"/>
              <w:left w:val="single" w:color="auto" w:sz="4" w:space="0"/>
              <w:bottom w:val="single" w:color="auto" w:sz="4" w:space="0"/>
              <w:right w:val="single" w:color="auto" w:sz="4" w:space="0"/>
            </w:tcBorders>
            <w:vAlign w:val="center"/>
          </w:tcPr>
          <w:p w14:paraId="05087086">
            <w:pPr>
              <w:pageBreakBefore w:val="0"/>
              <w:kinsoku/>
              <w:wordWrap/>
              <w:overflowPunct/>
              <w:topLinePunct w:val="0"/>
              <w:autoSpaceDE/>
              <w:autoSpaceDN/>
              <w:bidi w:val="0"/>
              <w:spacing w:before="120" w:after="120" w:line="360" w:lineRule="auto"/>
              <w:ind w:firstLine="420"/>
              <w:textAlignment w:val="auto"/>
            </w:pPr>
            <w:r>
              <w:rPr>
                <w:rFonts w:hint="eastAsia"/>
              </w:rPr>
              <w:t>　</w:t>
            </w:r>
          </w:p>
        </w:tc>
      </w:tr>
    </w:tbl>
    <w:p w14:paraId="0D177E23">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测试环境准备 </w:t>
      </w:r>
    </w:p>
    <w:p w14:paraId="2D949642">
      <w:pPr>
        <w:pStyle w:val="87"/>
        <w:pageBreakBefore w:val="0"/>
        <w:numPr>
          <w:ilvl w:val="0"/>
          <w:numId w:val="2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软硬件配置</w:t>
      </w:r>
      <w:r>
        <w:rPr>
          <w:b/>
          <w:bCs/>
          <w:sz w:val="24"/>
          <w:szCs w:val="24"/>
        </w:rPr>
        <w:t xml:space="preserve"> </w:t>
      </w:r>
    </w:p>
    <w:p w14:paraId="29B4180E">
      <w:pPr>
        <w:pageBreakBefore w:val="0"/>
        <w:kinsoku/>
        <w:wordWrap/>
        <w:overflowPunct/>
        <w:topLinePunct w:val="0"/>
        <w:autoSpaceDE/>
        <w:autoSpaceDN/>
        <w:bidi w:val="0"/>
        <w:spacing w:before="120" w:after="120" w:line="360" w:lineRule="auto"/>
        <w:ind w:firstLine="420"/>
        <w:textAlignment w:val="auto"/>
      </w:pPr>
      <w:r>
        <w:rPr>
          <w:rFonts w:hint="eastAsia"/>
        </w:rPr>
        <w:t xml:space="preserve">测试的服务器采用实际的运行服务器，系统软件及数据库系统也为实际环境安装为准。 </w:t>
      </w:r>
    </w:p>
    <w:p w14:paraId="6BBBB695">
      <w:pPr>
        <w:pageBreakBefore w:val="0"/>
        <w:kinsoku/>
        <w:wordWrap/>
        <w:overflowPunct/>
        <w:topLinePunct w:val="0"/>
        <w:autoSpaceDE/>
        <w:autoSpaceDN/>
        <w:bidi w:val="0"/>
        <w:spacing w:before="120" w:after="120" w:line="360" w:lineRule="auto"/>
        <w:ind w:firstLine="420"/>
        <w:textAlignment w:val="auto"/>
      </w:pPr>
      <w:r>
        <w:rPr>
          <w:rFonts w:hint="eastAsia"/>
        </w:rPr>
        <w:t xml:space="preserve">测试的客户端采用客户方的员工机器，安装相应的测试软件。 </w:t>
      </w:r>
    </w:p>
    <w:p w14:paraId="22EF01B8">
      <w:pPr>
        <w:pStyle w:val="87"/>
        <w:pageBreakBefore w:val="0"/>
        <w:numPr>
          <w:ilvl w:val="0"/>
          <w:numId w:val="27"/>
        </w:numPr>
        <w:kinsoku/>
        <w:wordWrap/>
        <w:overflowPunct/>
        <w:topLinePunct w:val="0"/>
        <w:autoSpaceDE/>
        <w:autoSpaceDN/>
        <w:bidi w:val="0"/>
        <w:spacing w:line="360" w:lineRule="auto"/>
        <w:ind w:leftChars="0" w:firstLineChars="0"/>
        <w:textAlignment w:val="auto"/>
        <w:rPr>
          <w:b/>
          <w:bCs/>
          <w:sz w:val="24"/>
          <w:szCs w:val="24"/>
        </w:rPr>
      </w:pPr>
      <w:r>
        <w:rPr>
          <w:b/>
          <w:bCs/>
          <w:sz w:val="24"/>
          <w:szCs w:val="24"/>
        </w:rPr>
        <w:t xml:space="preserve"> </w:t>
      </w:r>
      <w:r>
        <w:rPr>
          <w:rFonts w:hint="eastAsia"/>
          <w:b/>
          <w:bCs/>
          <w:sz w:val="24"/>
          <w:szCs w:val="24"/>
        </w:rPr>
        <w:t>测试工具</w:t>
      </w:r>
      <w:r>
        <w:rPr>
          <w:b/>
          <w:bCs/>
          <w:sz w:val="24"/>
          <w:szCs w:val="24"/>
        </w:rPr>
        <w:t xml:space="preserve"> </w:t>
      </w:r>
    </w:p>
    <w:tbl>
      <w:tblPr>
        <w:tblStyle w:val="43"/>
        <w:tblW w:w="7065" w:type="dxa"/>
        <w:jc w:val="center"/>
        <w:tblLayout w:type="fixed"/>
        <w:tblCellMar>
          <w:top w:w="37" w:type="dxa"/>
          <w:left w:w="112" w:type="dxa"/>
          <w:bottom w:w="0" w:type="dxa"/>
          <w:right w:w="115" w:type="dxa"/>
        </w:tblCellMar>
      </w:tblPr>
      <w:tblGrid>
        <w:gridCol w:w="2306"/>
        <w:gridCol w:w="1795"/>
        <w:gridCol w:w="2964"/>
      </w:tblGrid>
      <w:tr w14:paraId="1153D3D7">
        <w:trPr>
          <w:trHeight w:val="480" w:hRule="atLeast"/>
          <w:jc w:val="center"/>
        </w:trPr>
        <w:tc>
          <w:tcPr>
            <w:tcW w:w="2304" w:type="dxa"/>
            <w:tcBorders>
              <w:top w:val="single" w:color="000000" w:sz="6" w:space="0"/>
              <w:left w:val="single" w:color="000000" w:sz="6" w:space="0"/>
              <w:bottom w:val="single" w:color="000000" w:sz="6" w:space="0"/>
              <w:right w:val="single" w:color="000000" w:sz="6" w:space="0"/>
            </w:tcBorders>
            <w:vAlign w:val="center"/>
          </w:tcPr>
          <w:p w14:paraId="02446CE0">
            <w:pPr>
              <w:pageBreakBefore w:val="0"/>
              <w:kinsoku/>
              <w:wordWrap/>
              <w:overflowPunct/>
              <w:topLinePunct w:val="0"/>
              <w:autoSpaceDE/>
              <w:autoSpaceDN/>
              <w:bidi w:val="0"/>
              <w:spacing w:before="120" w:after="120" w:line="360" w:lineRule="auto"/>
              <w:ind w:firstLine="422"/>
              <w:jc w:val="center"/>
              <w:textAlignment w:val="auto"/>
              <w:rPr>
                <w:b/>
              </w:rPr>
            </w:pPr>
            <w:r>
              <w:rPr>
                <w:rFonts w:hint="eastAsia"/>
                <w:b/>
              </w:rPr>
              <w:t>工具用途</w:t>
            </w:r>
          </w:p>
        </w:tc>
        <w:tc>
          <w:tcPr>
            <w:tcW w:w="1793" w:type="dxa"/>
            <w:tcBorders>
              <w:top w:val="single" w:color="000000" w:sz="6" w:space="0"/>
              <w:left w:val="single" w:color="000000" w:sz="6" w:space="0"/>
              <w:bottom w:val="single" w:color="000000" w:sz="6" w:space="0"/>
              <w:right w:val="single" w:color="000000" w:sz="6" w:space="0"/>
            </w:tcBorders>
            <w:vAlign w:val="center"/>
          </w:tcPr>
          <w:p w14:paraId="57FDDC6B">
            <w:pPr>
              <w:pageBreakBefore w:val="0"/>
              <w:kinsoku/>
              <w:wordWrap/>
              <w:overflowPunct/>
              <w:topLinePunct w:val="0"/>
              <w:autoSpaceDE/>
              <w:autoSpaceDN/>
              <w:bidi w:val="0"/>
              <w:spacing w:before="120" w:after="120" w:line="360" w:lineRule="auto"/>
              <w:ind w:firstLine="422"/>
              <w:jc w:val="center"/>
              <w:textAlignment w:val="auto"/>
              <w:rPr>
                <w:b/>
              </w:rPr>
            </w:pPr>
            <w:r>
              <w:rPr>
                <w:rFonts w:hint="eastAsia"/>
                <w:b/>
              </w:rPr>
              <w:t>工具名称</w:t>
            </w:r>
          </w:p>
        </w:tc>
        <w:tc>
          <w:tcPr>
            <w:tcW w:w="2961" w:type="dxa"/>
            <w:tcBorders>
              <w:top w:val="single" w:color="000000" w:sz="6" w:space="0"/>
              <w:left w:val="single" w:color="000000" w:sz="6" w:space="0"/>
              <w:bottom w:val="single" w:color="000000" w:sz="6" w:space="0"/>
              <w:right w:val="single" w:color="000000" w:sz="6" w:space="0"/>
            </w:tcBorders>
            <w:vAlign w:val="center"/>
          </w:tcPr>
          <w:p w14:paraId="133B83F9">
            <w:pPr>
              <w:pageBreakBefore w:val="0"/>
              <w:kinsoku/>
              <w:wordWrap/>
              <w:overflowPunct/>
              <w:topLinePunct w:val="0"/>
              <w:autoSpaceDE/>
              <w:autoSpaceDN/>
              <w:bidi w:val="0"/>
              <w:spacing w:before="120" w:after="120" w:line="360" w:lineRule="auto"/>
              <w:ind w:firstLine="422"/>
              <w:jc w:val="center"/>
              <w:textAlignment w:val="auto"/>
              <w:rPr>
                <w:b/>
              </w:rPr>
            </w:pPr>
            <w:r>
              <w:rPr>
                <w:rFonts w:hint="eastAsia"/>
                <w:b/>
              </w:rPr>
              <w:t>生产厂商/自产</w:t>
            </w:r>
          </w:p>
        </w:tc>
      </w:tr>
      <w:tr w14:paraId="4174D6C2">
        <w:tblPrEx>
          <w:tblCellMar>
            <w:top w:w="37" w:type="dxa"/>
            <w:left w:w="112" w:type="dxa"/>
            <w:bottom w:w="0" w:type="dxa"/>
            <w:right w:w="115" w:type="dxa"/>
          </w:tblCellMar>
        </w:tblPrEx>
        <w:trPr>
          <w:trHeight w:val="421" w:hRule="atLeast"/>
          <w:jc w:val="center"/>
        </w:trPr>
        <w:tc>
          <w:tcPr>
            <w:tcW w:w="2304" w:type="dxa"/>
            <w:tcBorders>
              <w:top w:val="single" w:color="000000" w:sz="6" w:space="0"/>
              <w:left w:val="single" w:color="000000" w:sz="6" w:space="0"/>
              <w:bottom w:val="single" w:color="000000" w:sz="6" w:space="0"/>
              <w:right w:val="single" w:color="000000" w:sz="6" w:space="0"/>
            </w:tcBorders>
            <w:vAlign w:val="center"/>
          </w:tcPr>
          <w:p w14:paraId="4F0AB4DD">
            <w:pPr>
              <w:pageBreakBefore w:val="0"/>
              <w:kinsoku/>
              <w:wordWrap/>
              <w:overflowPunct/>
              <w:topLinePunct w:val="0"/>
              <w:autoSpaceDE/>
              <w:autoSpaceDN/>
              <w:bidi w:val="0"/>
              <w:spacing w:before="120" w:after="120" w:line="360" w:lineRule="auto"/>
              <w:ind w:firstLine="420"/>
              <w:textAlignment w:val="auto"/>
            </w:pPr>
            <w:r>
              <w:rPr>
                <w:rFonts w:hint="eastAsia"/>
              </w:rPr>
              <w:t>前台功能测试</w:t>
            </w:r>
          </w:p>
        </w:tc>
        <w:tc>
          <w:tcPr>
            <w:tcW w:w="1793" w:type="dxa"/>
            <w:tcBorders>
              <w:top w:val="single" w:color="000000" w:sz="6" w:space="0"/>
              <w:left w:val="single" w:color="000000" w:sz="6" w:space="0"/>
              <w:bottom w:val="single" w:color="000000" w:sz="6" w:space="0"/>
              <w:right w:val="single" w:color="000000" w:sz="6" w:space="0"/>
            </w:tcBorders>
            <w:vAlign w:val="center"/>
          </w:tcPr>
          <w:p w14:paraId="008CD13E">
            <w:pPr>
              <w:pageBreakBefore w:val="0"/>
              <w:kinsoku/>
              <w:wordWrap/>
              <w:overflowPunct/>
              <w:topLinePunct w:val="0"/>
              <w:autoSpaceDE/>
              <w:autoSpaceDN/>
              <w:bidi w:val="0"/>
              <w:spacing w:before="120" w:after="120" w:line="360" w:lineRule="auto"/>
              <w:textAlignment w:val="auto"/>
            </w:pPr>
            <w:r>
              <w:rPr>
                <w:rFonts w:hint="eastAsia"/>
              </w:rPr>
              <w:t>手工测试</w:t>
            </w:r>
          </w:p>
        </w:tc>
        <w:tc>
          <w:tcPr>
            <w:tcW w:w="2961" w:type="dxa"/>
            <w:tcBorders>
              <w:top w:val="single" w:color="000000" w:sz="6" w:space="0"/>
              <w:left w:val="single" w:color="000000" w:sz="6" w:space="0"/>
              <w:bottom w:val="single" w:color="000000" w:sz="6" w:space="0"/>
              <w:right w:val="single" w:color="000000" w:sz="6" w:space="0"/>
            </w:tcBorders>
            <w:vAlign w:val="center"/>
          </w:tcPr>
          <w:p w14:paraId="19C2FA1B">
            <w:pPr>
              <w:pageBreakBefore w:val="0"/>
              <w:kinsoku/>
              <w:wordWrap/>
              <w:overflowPunct/>
              <w:topLinePunct w:val="0"/>
              <w:autoSpaceDE/>
              <w:autoSpaceDN/>
              <w:bidi w:val="0"/>
              <w:spacing w:before="120" w:after="120" w:line="360" w:lineRule="auto"/>
              <w:ind w:firstLine="420"/>
              <w:textAlignment w:val="auto"/>
            </w:pPr>
          </w:p>
        </w:tc>
      </w:tr>
      <w:tr w14:paraId="7CBC96A7">
        <w:tblPrEx>
          <w:tblCellMar>
            <w:top w:w="37" w:type="dxa"/>
            <w:left w:w="112" w:type="dxa"/>
            <w:bottom w:w="0" w:type="dxa"/>
            <w:right w:w="115" w:type="dxa"/>
          </w:tblCellMar>
        </w:tblPrEx>
        <w:trPr>
          <w:trHeight w:val="420" w:hRule="atLeast"/>
          <w:jc w:val="center"/>
        </w:trPr>
        <w:tc>
          <w:tcPr>
            <w:tcW w:w="2304" w:type="dxa"/>
            <w:tcBorders>
              <w:top w:val="single" w:color="000000" w:sz="6" w:space="0"/>
              <w:left w:val="single" w:color="000000" w:sz="6" w:space="0"/>
              <w:bottom w:val="single" w:color="000000" w:sz="6" w:space="0"/>
              <w:right w:val="single" w:color="000000" w:sz="6" w:space="0"/>
            </w:tcBorders>
            <w:vAlign w:val="center"/>
          </w:tcPr>
          <w:p w14:paraId="282A2DD6">
            <w:pPr>
              <w:pageBreakBefore w:val="0"/>
              <w:kinsoku/>
              <w:wordWrap/>
              <w:overflowPunct/>
              <w:topLinePunct w:val="0"/>
              <w:autoSpaceDE/>
              <w:autoSpaceDN/>
              <w:bidi w:val="0"/>
              <w:spacing w:before="120" w:after="120" w:line="360" w:lineRule="auto"/>
              <w:ind w:firstLine="420"/>
              <w:textAlignment w:val="auto"/>
            </w:pPr>
            <w:r>
              <w:rPr>
                <w:rFonts w:hint="eastAsia"/>
              </w:rPr>
              <w:t>前台性能测试</w:t>
            </w:r>
          </w:p>
        </w:tc>
        <w:tc>
          <w:tcPr>
            <w:tcW w:w="1793" w:type="dxa"/>
            <w:tcBorders>
              <w:top w:val="single" w:color="000000" w:sz="6" w:space="0"/>
              <w:left w:val="single" w:color="000000" w:sz="6" w:space="0"/>
              <w:bottom w:val="single" w:color="000000" w:sz="6" w:space="0"/>
              <w:right w:val="single" w:color="000000" w:sz="6" w:space="0"/>
            </w:tcBorders>
            <w:vAlign w:val="center"/>
          </w:tcPr>
          <w:p w14:paraId="184B06DA">
            <w:pPr>
              <w:pageBreakBefore w:val="0"/>
              <w:kinsoku/>
              <w:wordWrap/>
              <w:overflowPunct/>
              <w:topLinePunct w:val="0"/>
              <w:autoSpaceDE/>
              <w:autoSpaceDN/>
              <w:bidi w:val="0"/>
              <w:spacing w:before="120" w:after="120" w:line="360" w:lineRule="auto"/>
              <w:textAlignment w:val="auto"/>
            </w:pPr>
            <w:r>
              <w:rPr>
                <w:rFonts w:hint="eastAsia"/>
              </w:rPr>
              <w:t>LoadRunner</w:t>
            </w:r>
          </w:p>
        </w:tc>
        <w:tc>
          <w:tcPr>
            <w:tcW w:w="2961" w:type="dxa"/>
            <w:tcBorders>
              <w:top w:val="single" w:color="000000" w:sz="6" w:space="0"/>
              <w:left w:val="single" w:color="000000" w:sz="6" w:space="0"/>
              <w:bottom w:val="single" w:color="000000" w:sz="6" w:space="0"/>
              <w:right w:val="single" w:color="000000" w:sz="6" w:space="0"/>
            </w:tcBorders>
            <w:vAlign w:val="center"/>
          </w:tcPr>
          <w:p w14:paraId="5EB646C6">
            <w:pPr>
              <w:pageBreakBefore w:val="0"/>
              <w:kinsoku/>
              <w:wordWrap/>
              <w:overflowPunct/>
              <w:topLinePunct w:val="0"/>
              <w:autoSpaceDE/>
              <w:autoSpaceDN/>
              <w:bidi w:val="0"/>
              <w:spacing w:before="120" w:after="120" w:line="360" w:lineRule="auto"/>
              <w:textAlignment w:val="auto"/>
            </w:pPr>
            <w:r>
              <w:rPr>
                <w:rFonts w:hint="eastAsia"/>
              </w:rPr>
              <w:t>Mercury Interactive Corporation</w:t>
            </w:r>
          </w:p>
        </w:tc>
      </w:tr>
      <w:tr w14:paraId="744590C7">
        <w:tblPrEx>
          <w:tblCellMar>
            <w:top w:w="37" w:type="dxa"/>
            <w:left w:w="112" w:type="dxa"/>
            <w:bottom w:w="0" w:type="dxa"/>
            <w:right w:w="115" w:type="dxa"/>
          </w:tblCellMar>
        </w:tblPrEx>
        <w:trPr>
          <w:trHeight w:val="420" w:hRule="atLeast"/>
          <w:jc w:val="center"/>
        </w:trPr>
        <w:tc>
          <w:tcPr>
            <w:tcW w:w="2304" w:type="dxa"/>
            <w:tcBorders>
              <w:top w:val="single" w:color="000000" w:sz="6" w:space="0"/>
              <w:left w:val="single" w:color="000000" w:sz="6" w:space="0"/>
              <w:bottom w:val="single" w:color="000000" w:sz="6" w:space="0"/>
              <w:right w:val="single" w:color="000000" w:sz="6" w:space="0"/>
            </w:tcBorders>
            <w:vAlign w:val="center"/>
          </w:tcPr>
          <w:p w14:paraId="5F0CDE19">
            <w:pPr>
              <w:pageBreakBefore w:val="0"/>
              <w:kinsoku/>
              <w:wordWrap/>
              <w:overflowPunct/>
              <w:topLinePunct w:val="0"/>
              <w:autoSpaceDE/>
              <w:autoSpaceDN/>
              <w:bidi w:val="0"/>
              <w:spacing w:before="120" w:after="120" w:line="360" w:lineRule="auto"/>
              <w:ind w:firstLine="420"/>
              <w:textAlignment w:val="auto"/>
            </w:pPr>
            <w:r>
              <w:rPr>
                <w:rFonts w:hint="eastAsia"/>
              </w:rPr>
              <w:t>测试管理平台</w:t>
            </w:r>
          </w:p>
        </w:tc>
        <w:tc>
          <w:tcPr>
            <w:tcW w:w="1793" w:type="dxa"/>
            <w:tcBorders>
              <w:top w:val="single" w:color="000000" w:sz="6" w:space="0"/>
              <w:left w:val="single" w:color="000000" w:sz="6" w:space="0"/>
              <w:bottom w:val="single" w:color="000000" w:sz="6" w:space="0"/>
              <w:right w:val="single" w:color="000000" w:sz="6" w:space="0"/>
            </w:tcBorders>
            <w:vAlign w:val="center"/>
          </w:tcPr>
          <w:p w14:paraId="5573A374">
            <w:pPr>
              <w:pageBreakBefore w:val="0"/>
              <w:kinsoku/>
              <w:wordWrap/>
              <w:overflowPunct/>
              <w:topLinePunct w:val="0"/>
              <w:autoSpaceDE/>
              <w:autoSpaceDN/>
              <w:bidi w:val="0"/>
              <w:spacing w:before="120" w:after="120" w:line="360" w:lineRule="auto"/>
              <w:textAlignment w:val="auto"/>
            </w:pPr>
            <w:r>
              <w:rPr>
                <w:rFonts w:hint="eastAsia"/>
              </w:rPr>
              <w:t>DevSuite</w:t>
            </w:r>
          </w:p>
        </w:tc>
        <w:tc>
          <w:tcPr>
            <w:tcW w:w="2961" w:type="dxa"/>
            <w:tcBorders>
              <w:top w:val="single" w:color="000000" w:sz="6" w:space="0"/>
              <w:left w:val="single" w:color="000000" w:sz="6" w:space="0"/>
              <w:bottom w:val="single" w:color="000000" w:sz="6" w:space="0"/>
              <w:right w:val="single" w:color="000000" w:sz="6" w:space="0"/>
            </w:tcBorders>
            <w:vAlign w:val="center"/>
          </w:tcPr>
          <w:p w14:paraId="756D0F56">
            <w:pPr>
              <w:pageBreakBefore w:val="0"/>
              <w:kinsoku/>
              <w:wordWrap/>
              <w:overflowPunct/>
              <w:topLinePunct w:val="0"/>
              <w:autoSpaceDE/>
              <w:autoSpaceDN/>
              <w:bidi w:val="0"/>
              <w:spacing w:before="120" w:after="120" w:line="360" w:lineRule="auto"/>
              <w:textAlignment w:val="auto"/>
            </w:pPr>
            <w:r>
              <w:rPr>
                <w:rFonts w:hint="eastAsia"/>
              </w:rPr>
              <w:t>TechExcel</w:t>
            </w:r>
          </w:p>
        </w:tc>
      </w:tr>
    </w:tbl>
    <w:p w14:paraId="65FFA79E">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测试步骤及日程安排 </w:t>
      </w:r>
    </w:p>
    <w:p w14:paraId="186E6A74">
      <w:pPr>
        <w:pStyle w:val="87"/>
        <w:pageBreakBefore w:val="0"/>
        <w:numPr>
          <w:ilvl w:val="0"/>
          <w:numId w:val="28"/>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系统功能测试</w:t>
      </w:r>
      <w:r>
        <w:rPr>
          <w:b/>
          <w:bCs/>
          <w:sz w:val="24"/>
          <w:szCs w:val="24"/>
        </w:rPr>
        <w:t xml:space="preserve"> </w:t>
      </w:r>
    </w:p>
    <w:p w14:paraId="447C968F">
      <w:pPr>
        <w:pageBreakBefore w:val="0"/>
        <w:kinsoku/>
        <w:wordWrap/>
        <w:overflowPunct/>
        <w:topLinePunct w:val="0"/>
        <w:autoSpaceDE/>
        <w:autoSpaceDN/>
        <w:bidi w:val="0"/>
        <w:spacing w:before="120" w:after="120" w:line="360" w:lineRule="auto"/>
        <w:ind w:firstLine="422"/>
        <w:textAlignment w:val="auto"/>
        <w:rPr>
          <w:b/>
        </w:rPr>
      </w:pPr>
      <w:r>
        <w:rPr>
          <w:rFonts w:hint="eastAsia"/>
          <w:b/>
        </w:rPr>
        <w:t xml:space="preserve">目标： </w:t>
      </w:r>
    </w:p>
    <w:p w14:paraId="1EEA4DA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系统功能测试侧重于系统功能的实现，依据来源于各模块的功能说明书。 </w:t>
      </w:r>
    </w:p>
    <w:p w14:paraId="162CAAE2">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操作步骤： </w:t>
      </w:r>
    </w:p>
    <w:p w14:paraId="18499E38">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测试环境搭建；</w:t>
      </w:r>
      <w:r>
        <w:rPr>
          <w:sz w:val="24"/>
          <w:szCs w:val="24"/>
        </w:rPr>
        <w:t xml:space="preserve"> </w:t>
      </w:r>
    </w:p>
    <w:p w14:paraId="0FF1AC01">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静态数据准备（包括人员、角色等的设置）；</w:t>
      </w:r>
      <w:r>
        <w:rPr>
          <w:sz w:val="24"/>
          <w:szCs w:val="24"/>
        </w:rPr>
        <w:t xml:space="preserve"> </w:t>
      </w:r>
    </w:p>
    <w:p w14:paraId="4E9D5627">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接口测试；</w:t>
      </w:r>
      <w:r>
        <w:rPr>
          <w:sz w:val="24"/>
          <w:szCs w:val="24"/>
        </w:rPr>
        <w:t xml:space="preserve"> </w:t>
      </w:r>
    </w:p>
    <w:p w14:paraId="0DB65C78">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按正常流程流转对各环节进行测试；异常流程的处理测试；测试结果处理。</w:t>
      </w:r>
      <w:r>
        <w:rPr>
          <w:sz w:val="24"/>
          <w:szCs w:val="24"/>
        </w:rPr>
        <w:t xml:space="preserve"> </w:t>
      </w:r>
    </w:p>
    <w:p w14:paraId="6B3F3C73">
      <w:pPr>
        <w:pStyle w:val="87"/>
        <w:pageBreakBefore w:val="0"/>
        <w:numPr>
          <w:ilvl w:val="0"/>
          <w:numId w:val="28"/>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系统集成测试</w:t>
      </w:r>
      <w:r>
        <w:rPr>
          <w:b/>
          <w:bCs/>
          <w:sz w:val="24"/>
          <w:szCs w:val="24"/>
        </w:rPr>
        <w:t xml:space="preserve"> </w:t>
      </w:r>
    </w:p>
    <w:p w14:paraId="0AF02456">
      <w:pPr>
        <w:pageBreakBefore w:val="0"/>
        <w:kinsoku/>
        <w:wordWrap/>
        <w:overflowPunct/>
        <w:topLinePunct w:val="0"/>
        <w:autoSpaceDE/>
        <w:autoSpaceDN/>
        <w:bidi w:val="0"/>
        <w:spacing w:before="120" w:after="120" w:line="360" w:lineRule="auto"/>
        <w:ind w:firstLine="422"/>
        <w:textAlignment w:val="auto"/>
        <w:rPr>
          <w:b/>
        </w:rPr>
      </w:pPr>
      <w:r>
        <w:rPr>
          <w:rFonts w:hint="eastAsia"/>
          <w:b/>
        </w:rPr>
        <w:t xml:space="preserve">目标： </w:t>
      </w:r>
    </w:p>
    <w:p w14:paraId="499628E9">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集成测试建立在系统测试基础之上，主要针对系统的性能进行测试。 </w:t>
      </w:r>
    </w:p>
    <w:p w14:paraId="16CCC702">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操作步骤： </w:t>
      </w:r>
    </w:p>
    <w:p w14:paraId="2015C603">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系统兼容性测试（考查系统对不同平台的适应性）；大数据量访问测试；</w:t>
      </w:r>
      <w:r>
        <w:rPr>
          <w:sz w:val="24"/>
          <w:szCs w:val="24"/>
        </w:rPr>
        <w:t xml:space="preserve"> </w:t>
      </w:r>
    </w:p>
    <w:p w14:paraId="546BCAC3">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系统效率测试（考查和分析影响系统效率的因素，及其影响程度）；异常处理测试（考查系统对各种异常情况的处理能力）；</w:t>
      </w:r>
      <w:r>
        <w:rPr>
          <w:sz w:val="24"/>
          <w:szCs w:val="24"/>
        </w:rPr>
        <w:t xml:space="preserve"> </w:t>
      </w:r>
    </w:p>
    <w:p w14:paraId="6744024B">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测试结果处理。</w:t>
      </w:r>
      <w:r>
        <w:rPr>
          <w:sz w:val="24"/>
          <w:szCs w:val="24"/>
        </w:rPr>
        <w:t xml:space="preserve"> </w:t>
      </w:r>
    </w:p>
    <w:p w14:paraId="5557B6D9">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具体的测试步骤和时间安排，将依据工程的整体进度和实施情况进行制定。 </w:t>
      </w:r>
    </w:p>
    <w:p w14:paraId="33B19C18">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测试数据准备 </w:t>
      </w:r>
    </w:p>
    <w:p w14:paraId="113FF01B">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业务模块的功能测试、性能测试是本次测试的重点。针对每类测试，将根据甲方的实际需求制定测试用例。测试时，将根据测试用例来进行。 </w:t>
      </w:r>
    </w:p>
    <w:p w14:paraId="0453F626">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根据《系统需求规格说明书》和项目需求分析及确认文档，逐项编写测试案例。 </w:t>
      </w:r>
    </w:p>
    <w:p w14:paraId="79697873">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根据系统性能测试和压力测试的需要，准备不同数据量和并发能力级别的测试数据。 </w:t>
      </w:r>
    </w:p>
    <w:p w14:paraId="3A331FA6">
      <w:pPr>
        <w:pStyle w:val="87"/>
        <w:pageBreakBefore w:val="0"/>
        <w:numPr>
          <w:ilvl w:val="0"/>
          <w:numId w:val="29"/>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初始数据</w:t>
      </w:r>
      <w:r>
        <w:rPr>
          <w:sz w:val="24"/>
          <w:szCs w:val="24"/>
        </w:rPr>
        <w:t xml:space="preserve"> </w:t>
      </w:r>
    </w:p>
    <w:p w14:paraId="7A7DE296">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初始数据需保证案例中的业务操作正确完成。 </w:t>
      </w:r>
    </w:p>
    <w:p w14:paraId="29C95F0B">
      <w:pPr>
        <w:pStyle w:val="87"/>
        <w:pageBreakBefore w:val="0"/>
        <w:numPr>
          <w:ilvl w:val="0"/>
          <w:numId w:val="3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业务数据</w:t>
      </w:r>
      <w:r>
        <w:rPr>
          <w:sz w:val="24"/>
          <w:szCs w:val="24"/>
        </w:rPr>
        <w:t xml:space="preserve"> </w:t>
      </w:r>
    </w:p>
    <w:p w14:paraId="066D3962">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查询业务操作记录的数据准备，包括当前数据量，业务扩展预计数据量。 </w:t>
      </w:r>
    </w:p>
    <w:p w14:paraId="1C40AF0F">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测试结果形式及文档 </w:t>
      </w:r>
    </w:p>
    <w:p w14:paraId="030F743F">
      <w:pPr>
        <w:pageBreakBefore w:val="0"/>
        <w:kinsoku/>
        <w:wordWrap/>
        <w:overflowPunct/>
        <w:topLinePunct w:val="0"/>
        <w:autoSpaceDE/>
        <w:autoSpaceDN/>
        <w:bidi w:val="0"/>
        <w:spacing w:before="120" w:after="120" w:line="360" w:lineRule="auto"/>
        <w:ind w:firstLine="420"/>
        <w:textAlignment w:val="auto"/>
      </w:pPr>
      <w:r>
        <w:rPr>
          <w:rFonts w:hint="eastAsia"/>
        </w:rPr>
        <w:t xml:space="preserve">测试的结果为手写的测试报告及测试工具提供的电子测试数据、图表等。 </w:t>
      </w:r>
    </w:p>
    <w:tbl>
      <w:tblPr>
        <w:tblStyle w:val="43"/>
        <w:tblW w:w="3600" w:type="dxa"/>
        <w:jc w:val="center"/>
        <w:tblLayout w:type="fixed"/>
        <w:tblCellMar>
          <w:top w:w="37" w:type="dxa"/>
          <w:left w:w="115" w:type="dxa"/>
          <w:bottom w:w="0" w:type="dxa"/>
          <w:right w:w="115" w:type="dxa"/>
        </w:tblCellMar>
      </w:tblPr>
      <w:tblGrid>
        <w:gridCol w:w="844"/>
        <w:gridCol w:w="2756"/>
      </w:tblGrid>
      <w:tr w14:paraId="7A9C1722">
        <w:tblPrEx>
          <w:tblCellMar>
            <w:top w:w="37" w:type="dxa"/>
            <w:left w:w="115" w:type="dxa"/>
            <w:bottom w:w="0" w:type="dxa"/>
            <w:right w:w="115" w:type="dxa"/>
          </w:tblCellMar>
        </w:tblPrEx>
        <w:trPr>
          <w:trHeight w:val="258" w:hRule="atLeast"/>
          <w:jc w:val="center"/>
        </w:trPr>
        <w:tc>
          <w:tcPr>
            <w:tcW w:w="843" w:type="dxa"/>
            <w:tcBorders>
              <w:top w:val="single" w:color="000000" w:sz="6" w:space="0"/>
              <w:left w:val="single" w:color="000000" w:sz="6" w:space="0"/>
              <w:bottom w:val="single" w:color="000000" w:sz="6" w:space="0"/>
              <w:right w:val="single" w:color="000000" w:sz="6" w:space="0"/>
            </w:tcBorders>
          </w:tcPr>
          <w:p w14:paraId="37CE0099">
            <w:pPr>
              <w:pageBreakBefore w:val="0"/>
              <w:kinsoku/>
              <w:wordWrap/>
              <w:overflowPunct/>
              <w:topLinePunct w:val="0"/>
              <w:autoSpaceDE/>
              <w:autoSpaceDN/>
              <w:bidi w:val="0"/>
              <w:spacing w:before="120" w:after="120" w:line="360" w:lineRule="auto"/>
              <w:textAlignment w:val="auto"/>
              <w:rPr>
                <w:b/>
              </w:rPr>
            </w:pPr>
            <w:r>
              <w:rPr>
                <w:rFonts w:hint="eastAsia"/>
                <w:b/>
              </w:rPr>
              <w:t>序号</w:t>
            </w:r>
          </w:p>
        </w:tc>
        <w:tc>
          <w:tcPr>
            <w:tcW w:w="2753" w:type="dxa"/>
            <w:tcBorders>
              <w:top w:val="single" w:color="000000" w:sz="6" w:space="0"/>
              <w:left w:val="single" w:color="000000" w:sz="6" w:space="0"/>
              <w:bottom w:val="single" w:color="000000" w:sz="6" w:space="0"/>
              <w:right w:val="single" w:color="000000" w:sz="6" w:space="0"/>
            </w:tcBorders>
          </w:tcPr>
          <w:p w14:paraId="5159416F">
            <w:pPr>
              <w:pageBreakBefore w:val="0"/>
              <w:kinsoku/>
              <w:wordWrap/>
              <w:overflowPunct/>
              <w:topLinePunct w:val="0"/>
              <w:autoSpaceDE/>
              <w:autoSpaceDN/>
              <w:bidi w:val="0"/>
              <w:spacing w:before="120" w:after="120" w:line="360" w:lineRule="auto"/>
              <w:ind w:firstLine="422"/>
              <w:jc w:val="center"/>
              <w:textAlignment w:val="auto"/>
              <w:rPr>
                <w:b/>
              </w:rPr>
            </w:pPr>
            <w:r>
              <w:rPr>
                <w:rFonts w:hint="eastAsia"/>
                <w:b/>
              </w:rPr>
              <w:t>测试结果及文档</w:t>
            </w:r>
          </w:p>
        </w:tc>
      </w:tr>
      <w:tr w14:paraId="0FA96F0A">
        <w:tblPrEx>
          <w:tblCellMar>
            <w:top w:w="37" w:type="dxa"/>
            <w:left w:w="115" w:type="dxa"/>
            <w:bottom w:w="0" w:type="dxa"/>
            <w:right w:w="115" w:type="dxa"/>
          </w:tblCellMar>
        </w:tblPrEx>
        <w:trPr>
          <w:trHeight w:val="436" w:hRule="atLeast"/>
          <w:jc w:val="center"/>
        </w:trPr>
        <w:tc>
          <w:tcPr>
            <w:tcW w:w="843" w:type="dxa"/>
            <w:tcBorders>
              <w:top w:val="single" w:color="000000" w:sz="6" w:space="0"/>
              <w:left w:val="single" w:color="000000" w:sz="6" w:space="0"/>
              <w:bottom w:val="single" w:color="000000" w:sz="6" w:space="0"/>
              <w:right w:val="single" w:color="000000" w:sz="6" w:space="0"/>
            </w:tcBorders>
          </w:tcPr>
          <w:p w14:paraId="178A09DA">
            <w:pPr>
              <w:pageBreakBefore w:val="0"/>
              <w:kinsoku/>
              <w:wordWrap/>
              <w:overflowPunct/>
              <w:topLinePunct w:val="0"/>
              <w:autoSpaceDE/>
              <w:autoSpaceDN/>
              <w:bidi w:val="0"/>
              <w:spacing w:before="120" w:after="120" w:line="360" w:lineRule="auto"/>
              <w:textAlignment w:val="auto"/>
            </w:pPr>
            <w:r>
              <w:rPr>
                <w:rFonts w:hint="eastAsia"/>
              </w:rPr>
              <w:t>1</w:t>
            </w:r>
          </w:p>
        </w:tc>
        <w:tc>
          <w:tcPr>
            <w:tcW w:w="2753" w:type="dxa"/>
            <w:tcBorders>
              <w:top w:val="single" w:color="000000" w:sz="6" w:space="0"/>
              <w:left w:val="single" w:color="000000" w:sz="6" w:space="0"/>
              <w:bottom w:val="single" w:color="000000" w:sz="6" w:space="0"/>
              <w:right w:val="single" w:color="000000" w:sz="6" w:space="0"/>
            </w:tcBorders>
          </w:tcPr>
          <w:p w14:paraId="07496670">
            <w:pPr>
              <w:pageBreakBefore w:val="0"/>
              <w:kinsoku/>
              <w:wordWrap/>
              <w:overflowPunct/>
              <w:topLinePunct w:val="0"/>
              <w:autoSpaceDE/>
              <w:autoSpaceDN/>
              <w:bidi w:val="0"/>
              <w:spacing w:before="120" w:after="120" w:line="360" w:lineRule="auto"/>
              <w:ind w:firstLine="420"/>
              <w:jc w:val="center"/>
              <w:textAlignment w:val="auto"/>
            </w:pPr>
            <w:r>
              <w:rPr>
                <w:rFonts w:hint="eastAsia"/>
              </w:rPr>
              <w:t xml:space="preserve">系统测试计划 </w:t>
            </w:r>
          </w:p>
        </w:tc>
      </w:tr>
      <w:tr w14:paraId="029F5F99">
        <w:tblPrEx>
          <w:tblCellMar>
            <w:top w:w="37" w:type="dxa"/>
            <w:left w:w="115" w:type="dxa"/>
            <w:bottom w:w="0" w:type="dxa"/>
            <w:right w:w="115" w:type="dxa"/>
          </w:tblCellMar>
        </w:tblPrEx>
        <w:trPr>
          <w:trHeight w:val="420" w:hRule="atLeast"/>
          <w:jc w:val="center"/>
        </w:trPr>
        <w:tc>
          <w:tcPr>
            <w:tcW w:w="843" w:type="dxa"/>
            <w:tcBorders>
              <w:top w:val="single" w:color="000000" w:sz="6" w:space="0"/>
              <w:left w:val="single" w:color="000000" w:sz="6" w:space="0"/>
              <w:bottom w:val="single" w:color="000000" w:sz="6" w:space="0"/>
              <w:right w:val="single" w:color="000000" w:sz="6" w:space="0"/>
            </w:tcBorders>
          </w:tcPr>
          <w:p w14:paraId="174833C2">
            <w:pPr>
              <w:pageBreakBefore w:val="0"/>
              <w:kinsoku/>
              <w:wordWrap/>
              <w:overflowPunct/>
              <w:topLinePunct w:val="0"/>
              <w:autoSpaceDE/>
              <w:autoSpaceDN/>
              <w:bidi w:val="0"/>
              <w:spacing w:before="120" w:after="120" w:line="360" w:lineRule="auto"/>
              <w:textAlignment w:val="auto"/>
            </w:pPr>
            <w:r>
              <w:rPr>
                <w:rFonts w:hint="eastAsia"/>
              </w:rPr>
              <w:t xml:space="preserve">2 </w:t>
            </w:r>
          </w:p>
        </w:tc>
        <w:tc>
          <w:tcPr>
            <w:tcW w:w="2753" w:type="dxa"/>
            <w:tcBorders>
              <w:top w:val="single" w:color="000000" w:sz="6" w:space="0"/>
              <w:left w:val="single" w:color="000000" w:sz="6" w:space="0"/>
              <w:bottom w:val="single" w:color="000000" w:sz="6" w:space="0"/>
              <w:right w:val="single" w:color="000000" w:sz="6" w:space="0"/>
            </w:tcBorders>
          </w:tcPr>
          <w:p w14:paraId="6D1CEC68">
            <w:pPr>
              <w:pageBreakBefore w:val="0"/>
              <w:kinsoku/>
              <w:wordWrap/>
              <w:overflowPunct/>
              <w:topLinePunct w:val="0"/>
              <w:autoSpaceDE/>
              <w:autoSpaceDN/>
              <w:bidi w:val="0"/>
              <w:spacing w:before="120" w:after="120" w:line="360" w:lineRule="auto"/>
              <w:ind w:firstLine="420"/>
              <w:jc w:val="center"/>
              <w:textAlignment w:val="auto"/>
            </w:pPr>
            <w:r>
              <w:rPr>
                <w:rFonts w:hint="eastAsia"/>
              </w:rPr>
              <w:t xml:space="preserve">系统测试方案 </w:t>
            </w:r>
          </w:p>
        </w:tc>
      </w:tr>
      <w:tr w14:paraId="0AFFC8F2">
        <w:tblPrEx>
          <w:tblCellMar>
            <w:top w:w="37" w:type="dxa"/>
            <w:left w:w="115" w:type="dxa"/>
            <w:bottom w:w="0" w:type="dxa"/>
            <w:right w:w="115" w:type="dxa"/>
          </w:tblCellMar>
        </w:tblPrEx>
        <w:trPr>
          <w:trHeight w:val="436" w:hRule="atLeast"/>
          <w:jc w:val="center"/>
        </w:trPr>
        <w:tc>
          <w:tcPr>
            <w:tcW w:w="843" w:type="dxa"/>
            <w:tcBorders>
              <w:top w:val="single" w:color="000000" w:sz="6" w:space="0"/>
              <w:left w:val="single" w:color="000000" w:sz="6" w:space="0"/>
              <w:bottom w:val="single" w:color="000000" w:sz="6" w:space="0"/>
              <w:right w:val="single" w:color="000000" w:sz="6" w:space="0"/>
            </w:tcBorders>
          </w:tcPr>
          <w:p w14:paraId="0229F22F">
            <w:pPr>
              <w:pageBreakBefore w:val="0"/>
              <w:kinsoku/>
              <w:wordWrap/>
              <w:overflowPunct/>
              <w:topLinePunct w:val="0"/>
              <w:autoSpaceDE/>
              <w:autoSpaceDN/>
              <w:bidi w:val="0"/>
              <w:spacing w:before="120" w:after="120" w:line="360" w:lineRule="auto"/>
              <w:textAlignment w:val="auto"/>
            </w:pPr>
            <w:r>
              <w:rPr>
                <w:rFonts w:hint="eastAsia"/>
              </w:rPr>
              <w:t xml:space="preserve">3 </w:t>
            </w:r>
          </w:p>
        </w:tc>
        <w:tc>
          <w:tcPr>
            <w:tcW w:w="2753" w:type="dxa"/>
            <w:tcBorders>
              <w:top w:val="single" w:color="000000" w:sz="6" w:space="0"/>
              <w:left w:val="single" w:color="000000" w:sz="6" w:space="0"/>
              <w:bottom w:val="single" w:color="000000" w:sz="6" w:space="0"/>
              <w:right w:val="single" w:color="000000" w:sz="6" w:space="0"/>
            </w:tcBorders>
          </w:tcPr>
          <w:p w14:paraId="4DCACBA2">
            <w:pPr>
              <w:pageBreakBefore w:val="0"/>
              <w:kinsoku/>
              <w:wordWrap/>
              <w:overflowPunct/>
              <w:topLinePunct w:val="0"/>
              <w:autoSpaceDE/>
              <w:autoSpaceDN/>
              <w:bidi w:val="0"/>
              <w:spacing w:before="120" w:after="120" w:line="360" w:lineRule="auto"/>
              <w:ind w:firstLine="420"/>
              <w:jc w:val="center"/>
              <w:textAlignment w:val="auto"/>
            </w:pPr>
            <w:r>
              <w:rPr>
                <w:rFonts w:hint="eastAsia"/>
              </w:rPr>
              <w:t xml:space="preserve">系统测试报告 </w:t>
            </w:r>
          </w:p>
        </w:tc>
      </w:tr>
    </w:tbl>
    <w:p w14:paraId="75E1BDE9">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 xml:space="preserve">测试结果分析总结 </w:t>
      </w:r>
    </w:p>
    <w:p w14:paraId="3D507C65">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在测试结果报告中，对功能测试应逐条给出测试结果，包括正确确认和异常表现。对性能和压力测试应给出具体分析报告，如压力测试结果分析报告、中间件应用分析报告、数据库及存储系统性能分析报告等。 </w:t>
      </w:r>
    </w:p>
    <w:p w14:paraId="57D35332">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测试的审核和结果认定方法 </w:t>
      </w:r>
    </w:p>
    <w:p w14:paraId="06046181">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sz w:val="24"/>
          <w:szCs w:val="24"/>
        </w:rPr>
        <w:t>95</w:t>
      </w:r>
      <w:r>
        <w:rPr>
          <w:rFonts w:hint="eastAsia"/>
          <w:sz w:val="24"/>
          <w:szCs w:val="24"/>
        </w:rPr>
        <w:t>％的测试用例被通过；</w:t>
      </w:r>
      <w:r>
        <w:rPr>
          <w:sz w:val="24"/>
          <w:szCs w:val="24"/>
        </w:rPr>
        <w:t xml:space="preserve"> </w:t>
      </w:r>
    </w:p>
    <w:p w14:paraId="10B013D8">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无严重程度为</w:t>
      </w:r>
      <w:r>
        <w:rPr>
          <w:sz w:val="24"/>
          <w:szCs w:val="24"/>
        </w:rPr>
        <w:t>“</w:t>
      </w:r>
      <w:r>
        <w:rPr>
          <w:rFonts w:hint="eastAsia"/>
          <w:sz w:val="24"/>
          <w:szCs w:val="24"/>
        </w:rPr>
        <w:t>严重错误</w:t>
      </w:r>
      <w:r>
        <w:rPr>
          <w:sz w:val="24"/>
          <w:szCs w:val="24"/>
        </w:rPr>
        <w:t>”</w:t>
      </w:r>
      <w:r>
        <w:rPr>
          <w:rFonts w:hint="eastAsia"/>
          <w:sz w:val="24"/>
          <w:szCs w:val="24"/>
        </w:rPr>
        <w:t>或</w:t>
      </w:r>
      <w:r>
        <w:rPr>
          <w:sz w:val="24"/>
          <w:szCs w:val="24"/>
        </w:rPr>
        <w:t>“</w:t>
      </w:r>
      <w:r>
        <w:rPr>
          <w:rFonts w:hint="eastAsia"/>
          <w:sz w:val="24"/>
          <w:szCs w:val="24"/>
        </w:rPr>
        <w:t>一般错误</w:t>
      </w:r>
      <w:r>
        <w:rPr>
          <w:sz w:val="24"/>
          <w:szCs w:val="24"/>
        </w:rPr>
        <w:t>”</w:t>
      </w:r>
      <w:r>
        <w:rPr>
          <w:rFonts w:hint="eastAsia"/>
          <w:sz w:val="24"/>
          <w:szCs w:val="24"/>
        </w:rPr>
        <w:t>的问题或缺陷存在；</w:t>
      </w:r>
      <w:r>
        <w:rPr>
          <w:sz w:val="24"/>
          <w:szCs w:val="24"/>
        </w:rPr>
        <w:t xml:space="preserve"> </w:t>
      </w:r>
    </w:p>
    <w:p w14:paraId="32D32BF7">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整个系统无重大问题或缺陷存在；</w:t>
      </w:r>
      <w:r>
        <w:rPr>
          <w:sz w:val="24"/>
          <w:szCs w:val="24"/>
        </w:rPr>
        <w:t xml:space="preserve"> </w:t>
      </w:r>
    </w:p>
    <w:p w14:paraId="7F7DA7FB">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系统能顺畅运行。</w:t>
      </w:r>
      <w:r>
        <w:rPr>
          <w:sz w:val="24"/>
          <w:szCs w:val="24"/>
        </w:rPr>
        <w:t xml:space="preserve"> </w:t>
      </w:r>
    </w:p>
    <w:p w14:paraId="547A5951">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 xml:space="preserve">如果系统能够到达到上述标准，测试通过，否则为不通过。 </w:t>
      </w:r>
    </w:p>
    <w:p w14:paraId="3615F0DB">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 xml:space="preserve">其中，问题和缺陷按其严重程度分为四个等级： </w:t>
      </w:r>
    </w:p>
    <w:p w14:paraId="364CB6BE">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严重错误：对整个系统功能、模块、应用的影响很大，导致严重后果；</w:t>
      </w:r>
      <w:r>
        <w:rPr>
          <w:sz w:val="24"/>
          <w:szCs w:val="24"/>
        </w:rPr>
        <w:t xml:space="preserve"> </w:t>
      </w:r>
    </w:p>
    <w:p w14:paraId="71BB86B4">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一般错误：系统部分功能没有实现或者由任何原因引起的功能不正确；</w:t>
      </w:r>
      <w:r>
        <w:rPr>
          <w:sz w:val="24"/>
          <w:szCs w:val="24"/>
        </w:rPr>
        <w:t xml:space="preserve"> </w:t>
      </w:r>
    </w:p>
    <w:p w14:paraId="4B93A309">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微小错误：使用不便、界面等不影响系统的功能和正常运行的缺陷；</w:t>
      </w:r>
      <w:r>
        <w:rPr>
          <w:sz w:val="24"/>
          <w:szCs w:val="24"/>
        </w:rPr>
        <w:t xml:space="preserve"> </w:t>
      </w:r>
    </w:p>
    <w:p w14:paraId="01709913">
      <w:pPr>
        <w:pStyle w:val="87"/>
        <w:pageBreakBefore w:val="0"/>
        <w:numPr>
          <w:ilvl w:val="0"/>
          <w:numId w:val="31"/>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建议：不属于缺陷，是对系统进行改善或优化的建议。</w:t>
      </w:r>
      <w:r>
        <w:rPr>
          <w:sz w:val="24"/>
          <w:szCs w:val="24"/>
        </w:rPr>
        <w:t xml:space="preserve"> </w:t>
      </w:r>
    </w:p>
    <w:p w14:paraId="3789D0D1">
      <w:pPr>
        <w:pStyle w:val="12"/>
        <w:pageBreakBefore w:val="0"/>
        <w:numPr>
          <w:ilvl w:val="4"/>
          <w:numId w:val="12"/>
        </w:numPr>
        <w:kinsoku/>
        <w:wordWrap/>
        <w:overflowPunct/>
        <w:topLinePunct w:val="0"/>
        <w:autoSpaceDE/>
        <w:autoSpaceDN/>
        <w:bidi w:val="0"/>
        <w:spacing w:line="360" w:lineRule="auto"/>
        <w:textAlignment w:val="auto"/>
      </w:pPr>
      <w:bookmarkStart w:id="391" w:name="_Toc188875014"/>
      <w:r>
        <w:rPr>
          <w:rFonts w:hint="eastAsia"/>
        </w:rPr>
        <w:t>设备调试方案</w:t>
      </w:r>
      <w:bookmarkEnd w:id="391"/>
    </w:p>
    <w:p w14:paraId="36BF43FE">
      <w:pPr>
        <w:pageBreakBefore w:val="0"/>
        <w:kinsoku/>
        <w:wordWrap/>
        <w:overflowPunct/>
        <w:topLinePunct w:val="0"/>
        <w:autoSpaceDE/>
        <w:autoSpaceDN/>
        <w:bidi w:val="0"/>
        <w:spacing w:before="120" w:after="120" w:line="360" w:lineRule="auto"/>
        <w:ind w:firstLine="420"/>
        <w:textAlignment w:val="auto"/>
      </w:pPr>
      <w:r>
        <w:rPr>
          <w:rFonts w:hint="eastAsia"/>
        </w:rPr>
        <w:t>在包装、运输等物流作业过程中出现问题，影响了产品外包装的外观等特性均为不良。允收标准指客户端到货时外包装强度等物理特性不影响二次存储与运输，对销售包装与产品功能无任何影响的，轻微的外包装外观瑕疵。不良现象超出允收标准的判定为异常，根据异常状况对包装或产品造成影响大小和异常性质，一般分为异常和严重异常两个等级。</w:t>
      </w:r>
    </w:p>
    <w:p w14:paraId="0B97ED34">
      <w:pPr>
        <w:pStyle w:val="13"/>
        <w:pageBreakBefore w:val="0"/>
        <w:numPr>
          <w:ilvl w:val="5"/>
          <w:numId w:val="12"/>
        </w:numPr>
        <w:kinsoku/>
        <w:wordWrap/>
        <w:overflowPunct/>
        <w:topLinePunct w:val="0"/>
        <w:autoSpaceDE/>
        <w:autoSpaceDN/>
        <w:bidi w:val="0"/>
        <w:spacing w:line="360" w:lineRule="auto"/>
        <w:textAlignment w:val="auto"/>
        <w:rPr>
          <w:szCs w:val="24"/>
        </w:rPr>
      </w:pPr>
      <w:bookmarkStart w:id="392" w:name="_Toc69918811"/>
      <w:r>
        <w:rPr>
          <w:rFonts w:hint="eastAsia"/>
          <w:szCs w:val="24"/>
        </w:rPr>
        <w:t>设备签收</w:t>
      </w:r>
      <w:bookmarkEnd w:id="392"/>
      <w:r>
        <w:rPr>
          <w:rFonts w:hint="eastAsia"/>
          <w:szCs w:val="24"/>
        </w:rPr>
        <w:t>标准</w:t>
      </w:r>
    </w:p>
    <w:p w14:paraId="7DD18934">
      <w:pPr>
        <w:pStyle w:val="87"/>
        <w:pageBreakBefore w:val="0"/>
        <w:numPr>
          <w:ilvl w:val="0"/>
          <w:numId w:val="32"/>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正常签收</w:t>
      </w:r>
    </w:p>
    <w:p w14:paraId="36EB4424">
      <w:pPr>
        <w:pageBreakBefore w:val="0"/>
        <w:kinsoku/>
        <w:wordWrap/>
        <w:overflowPunct/>
        <w:topLinePunct w:val="0"/>
        <w:autoSpaceDE/>
        <w:autoSpaceDN/>
        <w:bidi w:val="0"/>
        <w:spacing w:before="120" w:after="120" w:line="360" w:lineRule="auto"/>
        <w:ind w:firstLine="420"/>
        <w:textAlignment w:val="auto"/>
        <w:rPr>
          <w:color w:val="000000"/>
        </w:rPr>
      </w:pPr>
      <w:r>
        <w:rPr>
          <w:rFonts w:hint="eastAsia"/>
          <w:color w:val="000000"/>
        </w:rPr>
        <w:t>运输等物流作业过程中造成外包装局部外观瑕疵不影响产品和销售包装质量的状况，可以直接接收。</w:t>
      </w:r>
    </w:p>
    <w:p w14:paraId="17382BB6">
      <w:pPr>
        <w:pageBreakBefore w:val="0"/>
        <w:numPr>
          <w:ilvl w:val="0"/>
          <w:numId w:val="33"/>
        </w:numPr>
        <w:kinsoku/>
        <w:wordWrap/>
        <w:overflowPunct/>
        <w:topLinePunct w:val="0"/>
        <w:autoSpaceDE/>
        <w:autoSpaceDN/>
        <w:bidi w:val="0"/>
        <w:spacing w:before="120" w:after="120" w:line="360" w:lineRule="auto"/>
        <w:ind w:firstLine="480" w:firstLineChars="200"/>
        <w:textAlignment w:val="auto"/>
      </w:pPr>
      <w:r>
        <w:rPr>
          <w:rFonts w:hint="eastAsia"/>
        </w:rPr>
        <w:t>包装箱表层破损，未出现穿孔现象且破损外接面积&lt;1/8 A4纸 ；</w:t>
      </w:r>
    </w:p>
    <w:p w14:paraId="39CC9BEB">
      <w:pPr>
        <w:pageBreakBefore w:val="0"/>
        <w:numPr>
          <w:ilvl w:val="0"/>
          <w:numId w:val="33"/>
        </w:numPr>
        <w:kinsoku/>
        <w:wordWrap/>
        <w:overflowPunct/>
        <w:topLinePunct w:val="0"/>
        <w:autoSpaceDE/>
        <w:autoSpaceDN/>
        <w:bidi w:val="0"/>
        <w:spacing w:before="120" w:after="120" w:line="360" w:lineRule="auto"/>
        <w:ind w:firstLine="480" w:firstLineChars="200"/>
        <w:textAlignment w:val="auto"/>
      </w:pPr>
      <w:r>
        <w:rPr>
          <w:rFonts w:hint="eastAsia"/>
        </w:rPr>
        <w:t>包装箱表层受潮，无明显水浸痕迹或痕迹&lt;1元人民币面积；</w:t>
      </w:r>
    </w:p>
    <w:p w14:paraId="2F8AB161">
      <w:pPr>
        <w:pageBreakBefore w:val="0"/>
        <w:numPr>
          <w:ilvl w:val="0"/>
          <w:numId w:val="33"/>
        </w:numPr>
        <w:kinsoku/>
        <w:wordWrap/>
        <w:overflowPunct/>
        <w:topLinePunct w:val="0"/>
        <w:autoSpaceDE/>
        <w:autoSpaceDN/>
        <w:bidi w:val="0"/>
        <w:spacing w:before="120" w:after="120" w:line="360" w:lineRule="auto"/>
        <w:ind w:firstLine="480" w:firstLineChars="200"/>
        <w:textAlignment w:val="auto"/>
      </w:pPr>
      <w:r>
        <w:rPr>
          <w:rFonts w:hint="eastAsia"/>
        </w:rPr>
        <w:t>包装箱外表面出现变形、凹陷，凹陷深度&lt;4mm或外观判定瓦棱芯纸未破损，或凹陷区外接面积&lt;1/8 A4纸；</w:t>
      </w:r>
    </w:p>
    <w:p w14:paraId="1DD1FBE1">
      <w:pPr>
        <w:pageBreakBefore w:val="0"/>
        <w:numPr>
          <w:ilvl w:val="0"/>
          <w:numId w:val="33"/>
        </w:numPr>
        <w:kinsoku/>
        <w:wordWrap/>
        <w:overflowPunct/>
        <w:topLinePunct w:val="0"/>
        <w:autoSpaceDE/>
        <w:autoSpaceDN/>
        <w:bidi w:val="0"/>
        <w:spacing w:before="120" w:after="120" w:line="360" w:lineRule="auto"/>
        <w:ind w:firstLine="480" w:firstLineChars="200"/>
        <w:textAlignment w:val="auto"/>
      </w:pPr>
      <w:r>
        <w:rPr>
          <w:rFonts w:hint="eastAsia"/>
        </w:rPr>
        <w:t>包装箱表面划伤，深度&lt;4mm或外观判定瓦棱芯纸未破损，且长度&lt;300mm；</w:t>
      </w:r>
    </w:p>
    <w:p w14:paraId="63E0F49F">
      <w:pPr>
        <w:pageBreakBefore w:val="0"/>
        <w:numPr>
          <w:ilvl w:val="0"/>
          <w:numId w:val="33"/>
        </w:numPr>
        <w:kinsoku/>
        <w:wordWrap/>
        <w:overflowPunct/>
        <w:topLinePunct w:val="0"/>
        <w:autoSpaceDE/>
        <w:autoSpaceDN/>
        <w:bidi w:val="0"/>
        <w:spacing w:before="120" w:after="120" w:line="360" w:lineRule="auto"/>
        <w:ind w:firstLine="480" w:firstLineChars="200"/>
        <w:textAlignment w:val="auto"/>
      </w:pPr>
      <w:r>
        <w:rPr>
          <w:rFonts w:hint="eastAsia"/>
        </w:rPr>
        <w:t>包装箱表面摩损，磨损面积&lt;1/8 A4纸且不影响标签条码的扫描和收货关键信息（编码、数量）识读。</w:t>
      </w:r>
    </w:p>
    <w:p w14:paraId="54CE39AF">
      <w:pPr>
        <w:pageBreakBefore w:val="0"/>
        <w:kinsoku/>
        <w:wordWrap/>
        <w:overflowPunct/>
        <w:topLinePunct w:val="0"/>
        <w:autoSpaceDE/>
        <w:autoSpaceDN/>
        <w:bidi w:val="0"/>
        <w:spacing w:before="120" w:after="120" w:line="360" w:lineRule="auto"/>
        <w:ind w:firstLine="420"/>
        <w:jc w:val="center"/>
        <w:textAlignment w:val="auto"/>
        <w:rPr>
          <w:color w:val="000000"/>
        </w:rPr>
      </w:pPr>
      <w:r>
        <w:fldChar w:fldCharType="begin"/>
      </w:r>
      <w:r>
        <w:instrText xml:space="preserve"> INCLUDEPICTURE  "C:\\Users\\ZENGZH~1\\AppData\\Local\\Temp\\ksohtml2692\\wps10.jpg" \* MERGEFORMATINET </w:instrText>
      </w:r>
      <w:r>
        <w:fldChar w:fldCharType="separate"/>
      </w:r>
      <w:r>
        <w:fldChar w:fldCharType="begin"/>
      </w:r>
      <w:r>
        <w:instrText xml:space="preserve"> INCLUDEPICTURE  "C:\\Users\\ZENGZH~1\\AppData\\Local\\Temp\\ksohtml2692\\wps10.jpg" \* MERGEFORMATINET </w:instrText>
      </w:r>
      <w:r>
        <w:fldChar w:fldCharType="separate"/>
      </w:r>
      <w:r>
        <w:fldChar w:fldCharType="begin"/>
      </w:r>
      <w:r>
        <w:instrText xml:space="preserve"> INCLUDEPICTURE  "C:\\Users\\ZENGZH~1\\AppData\\Local\\Temp\\ksohtml2692\\wps10.jpg" \* MERGEFORMATINET </w:instrText>
      </w:r>
      <w:r>
        <w:fldChar w:fldCharType="separate"/>
      </w:r>
      <w:r>
        <w:fldChar w:fldCharType="begin"/>
      </w:r>
      <w:r>
        <w:instrText xml:space="preserve"> INCLUDEPICTURE  "C:\\Users\\ZENGZH~1\\AppData\\Local\\Temp\\ksohtml2692\\wps10.jpg" \* MERGEFORMATINET </w:instrText>
      </w:r>
      <w:r>
        <w:fldChar w:fldCharType="separate"/>
      </w:r>
      <w:r>
        <w:fldChar w:fldCharType="begin"/>
      </w:r>
      <w:r>
        <w:instrText xml:space="preserve"> INCLUDEPICTURE  "C:\\Users\\ZENGZH~1\\AppData\\Local\\Temp\\ksohtml2692\\wps10.jpg" \* MERGEFORMATINET </w:instrText>
      </w:r>
      <w:r>
        <w:fldChar w:fldCharType="separate"/>
      </w:r>
      <w:r>
        <w:fldChar w:fldCharType="begin"/>
      </w:r>
      <w:r>
        <w:instrText xml:space="preserve"> INCLUDEPICTURE  "C:\\Users\\ZENGZH~1\\AppData\\Local\\Temp\\ksohtml2692\\wps10.jpg" \* MERGEFORMATINET </w:instrText>
      </w:r>
      <w:r>
        <w:fldChar w:fldCharType="separate"/>
      </w:r>
      <w:r>
        <w:fldChar w:fldCharType="begin"/>
      </w:r>
      <w:r>
        <w:instrText xml:space="preserve"> INCLUDEPICTURE  "C:\\Users\\lee\\ZENGZH~1\\AppData\\Local\\Temp\\ksohtml2692\\wps10.jpg" \* MERGEFORMATINET </w:instrText>
      </w:r>
      <w:r>
        <w:fldChar w:fldCharType="separate"/>
      </w:r>
      <w:r>
        <w:fldChar w:fldCharType="begin"/>
      </w:r>
      <w:r>
        <w:instrText xml:space="preserve"> INCLUDEPICTURE  "C:\\Users\\lee\\ZENGZH~1\\AppData\\Local\\Temp\\ksohtml2692\\wps10.jpg" \* MERGEFORMATINET </w:instrText>
      </w:r>
      <w:r>
        <w:fldChar w:fldCharType="separate"/>
      </w:r>
      <w:r>
        <w:fldChar w:fldCharType="begin"/>
      </w:r>
      <w:r>
        <w:instrText xml:space="preserve"> INCLUDEPICTURE  "C:\\Users\\lee\\ZENGZH~1\\AppData\\Local\\Temp\\ksohtml2692\\wps10.jpg" \* MERGEFORMATINET </w:instrText>
      </w:r>
      <w:r>
        <w:fldChar w:fldCharType="separate"/>
      </w:r>
      <w:r>
        <w:fldChar w:fldCharType="begin"/>
      </w:r>
      <w:r>
        <w:instrText xml:space="preserve"> INCLUDEPICTURE  "C:\\Users\\lee\\ZENGZH~1\\AppData\\Local\\Temp\\ksohtml2692\\wps10.jpg" \* MERGEFORMATINET </w:instrText>
      </w:r>
      <w:r>
        <w:fldChar w:fldCharType="separate"/>
      </w:r>
      <w:r>
        <w:fldChar w:fldCharType="begin"/>
      </w:r>
      <w:r>
        <w:instrText xml:space="preserve"> INCLUDEPICTURE  "C:\\Users\\lee\\ZENGZH~1\\AppData\\Local\\Temp\\ksohtml2692\\wps10.jpg" \* MERGEFORMATINET </w:instrText>
      </w:r>
      <w:r>
        <w:fldChar w:fldCharType="separate"/>
      </w:r>
      <w:r>
        <w:drawing>
          <wp:inline distT="0" distB="0" distL="114300" distR="114300">
            <wp:extent cx="1566545" cy="1633855"/>
            <wp:effectExtent l="0" t="0" r="0" b="0"/>
            <wp:docPr id="4" name="图片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96"/>
                    <pic:cNvPicPr>
                      <a:picLocks noChangeAspect="1"/>
                    </pic:cNvPicPr>
                  </pic:nvPicPr>
                  <pic:blipFill>
                    <a:blip r:embed="rId172" r:link="rId173"/>
                    <a:stretch>
                      <a:fillRect/>
                    </a:stretch>
                  </pic:blipFill>
                  <pic:spPr>
                    <a:xfrm>
                      <a:off x="0" y="0"/>
                      <a:ext cx="1566545" cy="163385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hint="eastAsia"/>
          <w:color w:val="000000"/>
        </w:rPr>
        <w:t xml:space="preserve"> </w:t>
      </w:r>
      <w:r>
        <w:fldChar w:fldCharType="begin"/>
      </w:r>
      <w:r>
        <w:instrText xml:space="preserve"> INCLUDEPICTURE  "C:\\Users\\ZENGZH~1\\AppData\\Local\\Temp\\ksohtml2692\\wps11.jpg" \* MERGEFORMATINET </w:instrText>
      </w:r>
      <w:r>
        <w:fldChar w:fldCharType="separate"/>
      </w:r>
      <w:r>
        <w:fldChar w:fldCharType="begin"/>
      </w:r>
      <w:r>
        <w:instrText xml:space="preserve"> INCLUDEPICTURE  "C:\\Users\\ZENGZH~1\\AppData\\Local\\Temp\\ksohtml2692\\wps11.jpg" \* MERGEFORMATINET </w:instrText>
      </w:r>
      <w:r>
        <w:fldChar w:fldCharType="separate"/>
      </w:r>
      <w:r>
        <w:fldChar w:fldCharType="begin"/>
      </w:r>
      <w:r>
        <w:instrText xml:space="preserve"> INCLUDEPICTURE  "C:\\Users\\ZENGZH~1\\AppData\\Local\\Temp\\ksohtml2692\\wps11.jpg" \* MERGEFORMATINET </w:instrText>
      </w:r>
      <w:r>
        <w:fldChar w:fldCharType="separate"/>
      </w:r>
      <w:r>
        <w:fldChar w:fldCharType="begin"/>
      </w:r>
      <w:r>
        <w:instrText xml:space="preserve"> INCLUDEPICTURE  "C:\\Users\\ZENGZH~1\\AppData\\Local\\Temp\\ksohtml2692\\wps11.jpg" \* MERGEFORMATINET </w:instrText>
      </w:r>
      <w:r>
        <w:fldChar w:fldCharType="separate"/>
      </w:r>
      <w:r>
        <w:fldChar w:fldCharType="begin"/>
      </w:r>
      <w:r>
        <w:instrText xml:space="preserve"> INCLUDEPICTURE  "C:\\Users\\ZENGZH~1\\AppData\\Local\\Temp\\ksohtml2692\\wps11.jpg" \* MERGEFORMATINET </w:instrText>
      </w:r>
      <w:r>
        <w:fldChar w:fldCharType="separate"/>
      </w:r>
      <w:r>
        <w:fldChar w:fldCharType="begin"/>
      </w:r>
      <w:r>
        <w:instrText xml:space="preserve"> INCLUDEPICTURE  "C:\\Users\\ZENGZH~1\\AppData\\Local\\Temp\\ksohtml2692\\wps11.jpg" \* MERGEFORMATINET </w:instrText>
      </w:r>
      <w:r>
        <w:fldChar w:fldCharType="separate"/>
      </w:r>
      <w:r>
        <w:fldChar w:fldCharType="begin"/>
      </w:r>
      <w:r>
        <w:instrText xml:space="preserve"> INCLUDEPICTURE  "C:\\Users\\lee\\ZENGZH~1\\AppData\\Local\\Temp\\ksohtml2692\\wps11.jpg" \* MERGEFORMATINET </w:instrText>
      </w:r>
      <w:r>
        <w:fldChar w:fldCharType="separate"/>
      </w:r>
      <w:r>
        <w:fldChar w:fldCharType="begin"/>
      </w:r>
      <w:r>
        <w:instrText xml:space="preserve"> INCLUDEPICTURE  "C:\\Users\\lee\\ZENGZH~1\\AppData\\Local\\Temp\\ksohtml2692\\wps11.jpg" \* MERGEFORMATINET </w:instrText>
      </w:r>
      <w:r>
        <w:fldChar w:fldCharType="separate"/>
      </w:r>
      <w:r>
        <w:fldChar w:fldCharType="begin"/>
      </w:r>
      <w:r>
        <w:instrText xml:space="preserve"> INCLUDEPICTURE  "C:\\Users\\lee\\ZENGZH~1\\AppData\\Local\\Temp\\ksohtml2692\\wps11.jpg" \* MERGEFORMATINET </w:instrText>
      </w:r>
      <w:r>
        <w:fldChar w:fldCharType="separate"/>
      </w:r>
      <w:r>
        <w:fldChar w:fldCharType="begin"/>
      </w:r>
      <w:r>
        <w:instrText xml:space="preserve"> INCLUDEPICTURE  "C:\\Users\\lee\\ZENGZH~1\\AppData\\Local\\Temp\\ksohtml2692\\wps11.jpg" \* MERGEFORMATINET </w:instrText>
      </w:r>
      <w:r>
        <w:fldChar w:fldCharType="separate"/>
      </w:r>
      <w:r>
        <w:fldChar w:fldCharType="begin"/>
      </w:r>
      <w:r>
        <w:instrText xml:space="preserve"> INCLUDEPICTURE  "C:\\Users\\lee\\ZENGZH~1\\AppData\\Local\\Temp\\ksohtml2692\\wps11.jpg" \* MERGEFORMATINET </w:instrText>
      </w:r>
      <w:r>
        <w:fldChar w:fldCharType="separate"/>
      </w:r>
      <w:r>
        <w:drawing>
          <wp:inline distT="0" distB="0" distL="114300" distR="114300">
            <wp:extent cx="1828800" cy="1633855"/>
            <wp:effectExtent l="0" t="0" r="0" b="0"/>
            <wp:docPr id="5" name="图片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897"/>
                    <pic:cNvPicPr>
                      <a:picLocks noChangeAspect="1"/>
                    </pic:cNvPicPr>
                  </pic:nvPicPr>
                  <pic:blipFill>
                    <a:blip r:embed="rId174" r:link="rId175"/>
                    <a:stretch>
                      <a:fillRect/>
                    </a:stretch>
                  </pic:blipFill>
                  <pic:spPr>
                    <a:xfrm>
                      <a:off x="0" y="0"/>
                      <a:ext cx="1828800" cy="163385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hint="eastAsia"/>
          <w:color w:val="000000"/>
        </w:rPr>
        <w:t xml:space="preserve"> </w:t>
      </w:r>
      <w:r>
        <w:fldChar w:fldCharType="begin"/>
      </w:r>
      <w:r>
        <w:instrText xml:space="preserve"> INCLUDEPICTURE  "C:\\Users\\ZENGZH~1\\AppData\\Local\\Temp\\ksohtml2692\\wps12.png" \* MERGEFORMATINET </w:instrText>
      </w:r>
      <w:r>
        <w:fldChar w:fldCharType="separate"/>
      </w:r>
      <w:r>
        <w:fldChar w:fldCharType="begin"/>
      </w:r>
      <w:r>
        <w:instrText xml:space="preserve"> INCLUDEPICTURE  "C:\\Users\\ZENGZH~1\\AppData\\Local\\Temp\\ksohtml2692\\wps12.png" \* MERGEFORMATINET </w:instrText>
      </w:r>
      <w:r>
        <w:fldChar w:fldCharType="separate"/>
      </w:r>
      <w:r>
        <w:fldChar w:fldCharType="begin"/>
      </w:r>
      <w:r>
        <w:instrText xml:space="preserve"> INCLUDEPICTURE  "C:\\Users\\ZENGZH~1\\AppData\\Local\\Temp\\ksohtml2692\\wps12.png" \* MERGEFORMATINET </w:instrText>
      </w:r>
      <w:r>
        <w:fldChar w:fldCharType="separate"/>
      </w:r>
      <w:r>
        <w:fldChar w:fldCharType="begin"/>
      </w:r>
      <w:r>
        <w:instrText xml:space="preserve"> INCLUDEPICTURE  "C:\\Users\\ZENGZH~1\\AppData\\Local\\Temp\\ksohtml2692\\wps12.png" \* MERGEFORMATINET </w:instrText>
      </w:r>
      <w:r>
        <w:fldChar w:fldCharType="separate"/>
      </w:r>
      <w:r>
        <w:fldChar w:fldCharType="begin"/>
      </w:r>
      <w:r>
        <w:instrText xml:space="preserve"> INCLUDEPICTURE  "C:\\Users\\ZENGZH~1\\AppData\\Local\\Temp\\ksohtml2692\\wps12.png" \* MERGEFORMATINET </w:instrText>
      </w:r>
      <w:r>
        <w:fldChar w:fldCharType="separate"/>
      </w:r>
      <w:r>
        <w:fldChar w:fldCharType="begin"/>
      </w:r>
      <w:r>
        <w:instrText xml:space="preserve"> INCLUDEPICTURE  "C:\\Users\\ZENGZH~1\\AppData\\Local\\Temp\\ksohtml2692\\wps12.png" \* MERGEFORMATINET </w:instrText>
      </w:r>
      <w:r>
        <w:fldChar w:fldCharType="separate"/>
      </w:r>
      <w:r>
        <w:fldChar w:fldCharType="begin"/>
      </w:r>
      <w:r>
        <w:instrText xml:space="preserve"> INCLUDEPICTURE  "C:\\Users\\lee\\ZENGZH~1\\AppData\\Local\\Temp\\ksohtml2692\\wps12.png" \* MERGEFORMATINET </w:instrText>
      </w:r>
      <w:r>
        <w:fldChar w:fldCharType="separate"/>
      </w:r>
      <w:r>
        <w:fldChar w:fldCharType="begin"/>
      </w:r>
      <w:r>
        <w:instrText xml:space="preserve"> INCLUDEPICTURE  "C:\\Users\\lee\\ZENGZH~1\\AppData\\Local\\Temp\\ksohtml2692\\wps12.png" \* MERGEFORMATINET </w:instrText>
      </w:r>
      <w:r>
        <w:fldChar w:fldCharType="separate"/>
      </w:r>
      <w:r>
        <w:fldChar w:fldCharType="begin"/>
      </w:r>
      <w:r>
        <w:instrText xml:space="preserve"> INCLUDEPICTURE  "C:\\Users\\lee\\ZENGZH~1\\AppData\\Local\\Temp\\ksohtml2692\\wps12.png" \* MERGEFORMATINET </w:instrText>
      </w:r>
      <w:r>
        <w:fldChar w:fldCharType="separate"/>
      </w:r>
      <w:r>
        <w:fldChar w:fldCharType="begin"/>
      </w:r>
      <w:r>
        <w:instrText xml:space="preserve"> INCLUDEPICTURE  "C:\\Users\\lee\\ZENGZH~1\\AppData\\Local\\Temp\\ksohtml2692\\wps12.png" \* MERGEFORMATINET </w:instrText>
      </w:r>
      <w:r>
        <w:fldChar w:fldCharType="separate"/>
      </w:r>
      <w:r>
        <w:fldChar w:fldCharType="begin"/>
      </w:r>
      <w:r>
        <w:instrText xml:space="preserve"> INCLUDEPICTURE  "C:\\Users\\lee\\ZENGZH~1\\AppData\\Local\\Temp\\ksohtml2692\\wps12.png" \* MERGEFORMATINET </w:instrText>
      </w:r>
      <w:r>
        <w:fldChar w:fldCharType="separate"/>
      </w:r>
      <w:r>
        <w:drawing>
          <wp:inline distT="0" distB="0" distL="114300" distR="114300">
            <wp:extent cx="1765300" cy="1633855"/>
            <wp:effectExtent l="0" t="0" r="0" b="0"/>
            <wp:docPr id="6" name="图片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898"/>
                    <pic:cNvPicPr>
                      <a:picLocks noChangeAspect="1"/>
                    </pic:cNvPicPr>
                  </pic:nvPicPr>
                  <pic:blipFill>
                    <a:blip r:embed="rId176" r:link="rId177"/>
                    <a:stretch>
                      <a:fillRect/>
                    </a:stretch>
                  </pic:blipFill>
                  <pic:spPr>
                    <a:xfrm>
                      <a:off x="0" y="0"/>
                      <a:ext cx="1765300" cy="163385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0B46298">
      <w:pPr>
        <w:pStyle w:val="87"/>
        <w:pageBreakBefore w:val="0"/>
        <w:numPr>
          <w:ilvl w:val="0"/>
          <w:numId w:val="32"/>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一般异常</w:t>
      </w:r>
    </w:p>
    <w:p w14:paraId="394ED474">
      <w:pPr>
        <w:pageBreakBefore w:val="0"/>
        <w:kinsoku/>
        <w:wordWrap/>
        <w:overflowPunct/>
        <w:topLinePunct w:val="0"/>
        <w:autoSpaceDE/>
        <w:autoSpaceDN/>
        <w:bidi w:val="0"/>
        <w:spacing w:before="120" w:after="120" w:line="360" w:lineRule="auto"/>
        <w:ind w:firstLine="420"/>
        <w:textAlignment w:val="auto"/>
        <w:rPr>
          <w:color w:val="000000"/>
        </w:rPr>
      </w:pPr>
      <w:r>
        <w:rPr>
          <w:rFonts w:hint="eastAsia"/>
          <w:color w:val="000000"/>
        </w:rPr>
        <w:t>一般异常，指通过中箱外观不能明确判定内包装是否完好或超出允收标准的情况，主要指标和判定标准如下：</w:t>
      </w:r>
    </w:p>
    <w:p w14:paraId="0FF7B471">
      <w:pPr>
        <w:pageBreakBefore w:val="0"/>
        <w:numPr>
          <w:ilvl w:val="0"/>
          <w:numId w:val="34"/>
        </w:numPr>
        <w:kinsoku/>
        <w:wordWrap/>
        <w:overflowPunct/>
        <w:topLinePunct w:val="0"/>
        <w:autoSpaceDE/>
        <w:autoSpaceDN/>
        <w:bidi w:val="0"/>
        <w:spacing w:before="120" w:after="120" w:line="360" w:lineRule="auto"/>
        <w:ind w:firstLine="480" w:firstLineChars="200"/>
        <w:textAlignment w:val="auto"/>
      </w:pPr>
      <w:r>
        <w:rPr>
          <w:rFonts w:hint="eastAsia"/>
        </w:rPr>
        <w:t>包装箱出现穿孔，面积&lt;1/8 A5纸或从穿孔处可见内包装无明显变形；</w:t>
      </w:r>
    </w:p>
    <w:p w14:paraId="7D039C22">
      <w:pPr>
        <w:pageBreakBefore w:val="0"/>
        <w:numPr>
          <w:ilvl w:val="0"/>
          <w:numId w:val="34"/>
        </w:numPr>
        <w:kinsoku/>
        <w:wordWrap/>
        <w:overflowPunct/>
        <w:topLinePunct w:val="0"/>
        <w:autoSpaceDE/>
        <w:autoSpaceDN/>
        <w:bidi w:val="0"/>
        <w:spacing w:before="120" w:after="120" w:line="360" w:lineRule="auto"/>
        <w:ind w:firstLine="480" w:firstLineChars="200"/>
        <w:textAlignment w:val="auto"/>
      </w:pPr>
      <w:r>
        <w:rPr>
          <w:rFonts w:hint="eastAsia"/>
        </w:rPr>
        <w:t>包装箱出现破损，破损外接面积&gt;1/8 A5纸；</w:t>
      </w:r>
    </w:p>
    <w:p w14:paraId="5934DBFD">
      <w:pPr>
        <w:pageBreakBefore w:val="0"/>
        <w:numPr>
          <w:ilvl w:val="0"/>
          <w:numId w:val="34"/>
        </w:numPr>
        <w:kinsoku/>
        <w:wordWrap/>
        <w:overflowPunct/>
        <w:topLinePunct w:val="0"/>
        <w:autoSpaceDE/>
        <w:autoSpaceDN/>
        <w:bidi w:val="0"/>
        <w:spacing w:before="120" w:after="120" w:line="360" w:lineRule="auto"/>
        <w:ind w:firstLine="480" w:firstLineChars="200"/>
        <w:textAlignment w:val="auto"/>
      </w:pPr>
      <w:r>
        <w:rPr>
          <w:rFonts w:hint="eastAsia"/>
        </w:rPr>
        <w:t>包装箱变形、凹陷，内包装出现任何变形或外包装任一处变形处偏离正常位置≥4毫米；</w:t>
      </w:r>
    </w:p>
    <w:p w14:paraId="1B687DDB">
      <w:pPr>
        <w:pageBreakBefore w:val="0"/>
        <w:numPr>
          <w:ilvl w:val="0"/>
          <w:numId w:val="34"/>
        </w:numPr>
        <w:kinsoku/>
        <w:wordWrap/>
        <w:overflowPunct/>
        <w:topLinePunct w:val="0"/>
        <w:autoSpaceDE/>
        <w:autoSpaceDN/>
        <w:bidi w:val="0"/>
        <w:spacing w:before="120" w:after="120" w:line="360" w:lineRule="auto"/>
        <w:ind w:firstLine="480" w:firstLineChars="200"/>
        <w:textAlignment w:val="auto"/>
      </w:pPr>
      <w:r>
        <w:rPr>
          <w:rFonts w:hint="eastAsia"/>
        </w:rPr>
        <w:t>包装箱水浸，由于受潮造成包装箱整体软化，包装外表面任意出现水浸的面积&gt;1/4  A4纸；或纸箱内包装出现任意水浸痕迹；</w:t>
      </w:r>
    </w:p>
    <w:p w14:paraId="10141678">
      <w:pPr>
        <w:pageBreakBefore w:val="0"/>
        <w:numPr>
          <w:ilvl w:val="0"/>
          <w:numId w:val="34"/>
        </w:numPr>
        <w:kinsoku/>
        <w:wordWrap/>
        <w:overflowPunct/>
        <w:topLinePunct w:val="0"/>
        <w:autoSpaceDE/>
        <w:autoSpaceDN/>
        <w:bidi w:val="0"/>
        <w:spacing w:before="120" w:after="120" w:line="360" w:lineRule="auto"/>
        <w:ind w:firstLine="480" w:firstLineChars="200"/>
        <w:textAlignment w:val="auto"/>
      </w:pPr>
      <w:r>
        <w:rPr>
          <w:rFonts w:hint="eastAsia"/>
        </w:rPr>
        <w:t>包装污损，污损不可直接用手擦除且面积&gt;1/2 A4纸；污渍影响标签条码扫描或关键收货信息（编码、数量等）识别；</w:t>
      </w:r>
    </w:p>
    <w:p w14:paraId="5020925F">
      <w:pPr>
        <w:pageBreakBefore w:val="0"/>
        <w:numPr>
          <w:ilvl w:val="0"/>
          <w:numId w:val="34"/>
        </w:numPr>
        <w:kinsoku/>
        <w:wordWrap/>
        <w:overflowPunct/>
        <w:topLinePunct w:val="0"/>
        <w:autoSpaceDE/>
        <w:autoSpaceDN/>
        <w:bidi w:val="0"/>
        <w:spacing w:before="120" w:after="120" w:line="360" w:lineRule="auto"/>
        <w:ind w:firstLine="480" w:firstLineChars="200"/>
        <w:textAlignment w:val="auto"/>
      </w:pPr>
      <w:r>
        <w:rPr>
          <w:rFonts w:hint="eastAsia"/>
        </w:rPr>
        <w:t>磨损，磨损面积&gt;1/2 A4；磨损影响标签标识中条码的扫描或关键收货信息（编码、数量等）识别。</w:t>
      </w:r>
    </w:p>
    <w:p w14:paraId="4EB64A51">
      <w:pPr>
        <w:pageBreakBefore w:val="0"/>
        <w:kinsoku/>
        <w:wordWrap/>
        <w:overflowPunct/>
        <w:topLinePunct w:val="0"/>
        <w:autoSpaceDE/>
        <w:autoSpaceDN/>
        <w:bidi w:val="0"/>
        <w:spacing w:before="120" w:after="120" w:line="360" w:lineRule="auto"/>
        <w:ind w:firstLine="420"/>
        <w:jc w:val="center"/>
        <w:textAlignment w:val="auto"/>
        <w:rPr>
          <w:color w:val="000000"/>
        </w:rPr>
      </w:pPr>
      <w:r>
        <w:fldChar w:fldCharType="begin"/>
      </w:r>
      <w:r>
        <w:instrText xml:space="preserve"> INCLUDEPICTURE  "C:\\Users\\ZENGZH~1\\AppData\\Local\\Temp\\ksohtml2692\\wps13.png" \* MERGEFORMATINET </w:instrText>
      </w:r>
      <w:r>
        <w:fldChar w:fldCharType="separate"/>
      </w:r>
      <w:r>
        <w:fldChar w:fldCharType="begin"/>
      </w:r>
      <w:r>
        <w:instrText xml:space="preserve"> INCLUDEPICTURE  "C:\\Users\\ZENGZH~1\\AppData\\Local\\Temp\\ksohtml2692\\wps13.png" \* MERGEFORMATINET </w:instrText>
      </w:r>
      <w:r>
        <w:fldChar w:fldCharType="separate"/>
      </w:r>
      <w:r>
        <w:fldChar w:fldCharType="begin"/>
      </w:r>
      <w:r>
        <w:instrText xml:space="preserve"> INCLUDEPICTURE  "C:\\Users\\ZENGZH~1\\AppData\\Local\\Temp\\ksohtml2692\\wps13.png" \* MERGEFORMATINET </w:instrText>
      </w:r>
      <w:r>
        <w:fldChar w:fldCharType="separate"/>
      </w:r>
      <w:r>
        <w:fldChar w:fldCharType="begin"/>
      </w:r>
      <w:r>
        <w:instrText xml:space="preserve"> INCLUDEPICTURE  "C:\\Users\\ZENGZH~1\\AppData\\Local\\Temp\\ksohtml2692\\wps13.png" \* MERGEFORMATINET </w:instrText>
      </w:r>
      <w:r>
        <w:fldChar w:fldCharType="separate"/>
      </w:r>
      <w:r>
        <w:fldChar w:fldCharType="begin"/>
      </w:r>
      <w:r>
        <w:instrText xml:space="preserve"> INCLUDEPICTURE  "C:\\Users\\ZENGZH~1\\AppData\\Local\\Temp\\ksohtml2692\\wps13.png" \* MERGEFORMATINET </w:instrText>
      </w:r>
      <w:r>
        <w:fldChar w:fldCharType="separate"/>
      </w:r>
      <w:r>
        <w:fldChar w:fldCharType="begin"/>
      </w:r>
      <w:r>
        <w:instrText xml:space="preserve"> INCLUDEPICTURE  "C:\\Users\\ZENGZH~1\\AppData\\Local\\Temp\\ksohtml2692\\wps13.png" \* MERGEFORMATINET </w:instrText>
      </w:r>
      <w:r>
        <w:fldChar w:fldCharType="separate"/>
      </w:r>
      <w:r>
        <w:fldChar w:fldCharType="begin"/>
      </w:r>
      <w:r>
        <w:instrText xml:space="preserve"> INCLUDEPICTURE  "C:\\Users\\lee\\ZENGZH~1\\AppData\\Local\\Temp\\ksohtml2692\\wps13.png" \* MERGEFORMATINET </w:instrText>
      </w:r>
      <w:r>
        <w:fldChar w:fldCharType="separate"/>
      </w:r>
      <w:r>
        <w:fldChar w:fldCharType="begin"/>
      </w:r>
      <w:r>
        <w:instrText xml:space="preserve"> INCLUDEPICTURE  "C:\\Users\\lee\\ZENGZH~1\\AppData\\Local\\Temp\\ksohtml2692\\wps13.png" \* MERGEFORMATINET </w:instrText>
      </w:r>
      <w:r>
        <w:fldChar w:fldCharType="separate"/>
      </w:r>
      <w:r>
        <w:fldChar w:fldCharType="begin"/>
      </w:r>
      <w:r>
        <w:instrText xml:space="preserve"> INCLUDEPICTURE  "C:\\Users\\lee\\ZENGZH~1\\AppData\\Local\\Temp\\ksohtml2692\\wps13.png" \* MERGEFORMATINET </w:instrText>
      </w:r>
      <w:r>
        <w:fldChar w:fldCharType="separate"/>
      </w:r>
      <w:r>
        <w:fldChar w:fldCharType="begin"/>
      </w:r>
      <w:r>
        <w:instrText xml:space="preserve"> INCLUDEPICTURE  "C:\\Users\\lee\\ZENGZH~1\\AppData\\Local\\Temp\\ksohtml2692\\wps13.png" \* MERGEFORMATINET </w:instrText>
      </w:r>
      <w:r>
        <w:fldChar w:fldCharType="separate"/>
      </w:r>
      <w:r>
        <w:fldChar w:fldCharType="begin"/>
      </w:r>
      <w:r>
        <w:instrText xml:space="preserve"> INCLUDEPICTURE  "C:\\Users\\lee\\ZENGZH~1\\AppData\\Local\\Temp\\ksohtml2692\\wps13.png" \* MERGEFORMATINET </w:instrText>
      </w:r>
      <w:r>
        <w:fldChar w:fldCharType="separate"/>
      </w:r>
      <w:r>
        <w:drawing>
          <wp:inline distT="0" distB="0" distL="114300" distR="114300">
            <wp:extent cx="2218055" cy="1566545"/>
            <wp:effectExtent l="0" t="0" r="0" b="0"/>
            <wp:docPr id="7" name="图片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99"/>
                    <pic:cNvPicPr>
                      <a:picLocks noChangeAspect="1"/>
                    </pic:cNvPicPr>
                  </pic:nvPicPr>
                  <pic:blipFill>
                    <a:blip r:embed="rId178" r:link="rId179"/>
                    <a:stretch>
                      <a:fillRect/>
                    </a:stretch>
                  </pic:blipFill>
                  <pic:spPr>
                    <a:xfrm>
                      <a:off x="0" y="0"/>
                      <a:ext cx="2218055" cy="156654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hint="eastAsia"/>
          <w:color w:val="000000"/>
        </w:rPr>
        <w:t xml:space="preserve">  </w:t>
      </w:r>
      <w:r>
        <w:fldChar w:fldCharType="begin"/>
      </w:r>
      <w:r>
        <w:instrText xml:space="preserve"> INCLUDEPICTURE  "C:\\Users\\ZENGZH~1\\AppData\\Local\\Temp\\ksohtml2692\\wps14.png" \* MERGEFORMATINET </w:instrText>
      </w:r>
      <w:r>
        <w:fldChar w:fldCharType="separate"/>
      </w:r>
      <w:r>
        <w:fldChar w:fldCharType="begin"/>
      </w:r>
      <w:r>
        <w:instrText xml:space="preserve"> INCLUDEPICTURE  "C:\\Users\\ZENGZH~1\\AppData\\Local\\Temp\\ksohtml2692\\wps14.png" \* MERGEFORMATINET </w:instrText>
      </w:r>
      <w:r>
        <w:fldChar w:fldCharType="separate"/>
      </w:r>
      <w:r>
        <w:fldChar w:fldCharType="begin"/>
      </w:r>
      <w:r>
        <w:instrText xml:space="preserve"> INCLUDEPICTURE  "C:\\Users\\ZENGZH~1\\AppData\\Local\\Temp\\ksohtml2692\\wps14.png" \* MERGEFORMATINET </w:instrText>
      </w:r>
      <w:r>
        <w:fldChar w:fldCharType="separate"/>
      </w:r>
      <w:r>
        <w:fldChar w:fldCharType="begin"/>
      </w:r>
      <w:r>
        <w:instrText xml:space="preserve"> INCLUDEPICTURE  "C:\\Users\\ZENGZH~1\\AppData\\Local\\Temp\\ksohtml2692\\wps14.png" \* MERGEFORMATINET </w:instrText>
      </w:r>
      <w:r>
        <w:fldChar w:fldCharType="separate"/>
      </w:r>
      <w:r>
        <w:fldChar w:fldCharType="begin"/>
      </w:r>
      <w:r>
        <w:instrText xml:space="preserve"> INCLUDEPICTURE  "C:\\Users\\ZENGZH~1\\AppData\\Local\\Temp\\ksohtml2692\\wps14.png" \* MERGEFORMATINET </w:instrText>
      </w:r>
      <w:r>
        <w:fldChar w:fldCharType="separate"/>
      </w:r>
      <w:r>
        <w:fldChar w:fldCharType="begin"/>
      </w:r>
      <w:r>
        <w:instrText xml:space="preserve"> INCLUDEPICTURE  "C:\\Users\\ZENGZH~1\\AppData\\Local\\Temp\\ksohtml2692\\wps14.png" \* MERGEFORMATINET </w:instrText>
      </w:r>
      <w:r>
        <w:fldChar w:fldCharType="separate"/>
      </w:r>
      <w:r>
        <w:fldChar w:fldCharType="begin"/>
      </w:r>
      <w:r>
        <w:instrText xml:space="preserve"> INCLUDEPICTURE  "C:\\Users\\lee\\ZENGZH~1\\AppData\\Local\\Temp\\ksohtml2692\\wps14.png" \* MERGEFORMATINET </w:instrText>
      </w:r>
      <w:r>
        <w:fldChar w:fldCharType="separate"/>
      </w:r>
      <w:r>
        <w:fldChar w:fldCharType="begin"/>
      </w:r>
      <w:r>
        <w:instrText xml:space="preserve"> INCLUDEPICTURE  "C:\\Users\\lee\\ZENGZH~1\\AppData\\Local\\Temp\\ksohtml2692\\wps14.png" \* MERGEFORMATINET </w:instrText>
      </w:r>
      <w:r>
        <w:fldChar w:fldCharType="separate"/>
      </w:r>
      <w:r>
        <w:fldChar w:fldCharType="begin"/>
      </w:r>
      <w:r>
        <w:instrText xml:space="preserve"> INCLUDEPICTURE  "C:\\Users\\lee\\ZENGZH~1\\AppData\\Local\\Temp\\ksohtml2692\\wps14.png" \* MERGEFORMATINET </w:instrText>
      </w:r>
      <w:r>
        <w:fldChar w:fldCharType="separate"/>
      </w:r>
      <w:r>
        <w:fldChar w:fldCharType="begin"/>
      </w:r>
      <w:r>
        <w:instrText xml:space="preserve"> INCLUDEPICTURE  "C:\\Users\\lee\\ZENGZH~1\\AppData\\Local\\Temp\\ksohtml2692\\wps14.png" \* MERGEFORMATINET </w:instrText>
      </w:r>
      <w:r>
        <w:fldChar w:fldCharType="separate"/>
      </w:r>
      <w:r>
        <w:fldChar w:fldCharType="begin"/>
      </w:r>
      <w:r>
        <w:instrText xml:space="preserve"> INCLUDEPICTURE  "C:\\Users\\lee\\ZENGZH~1\\AppData\\Local\\Temp\\ksohtml2692\\wps14.png" \* MERGEFORMATINET </w:instrText>
      </w:r>
      <w:r>
        <w:fldChar w:fldCharType="separate"/>
      </w:r>
      <w:r>
        <w:drawing>
          <wp:inline distT="0" distB="0" distL="114300" distR="114300">
            <wp:extent cx="2222500" cy="1566545"/>
            <wp:effectExtent l="0" t="0" r="0" b="0"/>
            <wp:docPr id="8" name="图片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00"/>
                    <pic:cNvPicPr>
                      <a:picLocks noChangeAspect="1"/>
                    </pic:cNvPicPr>
                  </pic:nvPicPr>
                  <pic:blipFill>
                    <a:blip r:embed="rId180" r:link="rId181"/>
                    <a:stretch>
                      <a:fillRect/>
                    </a:stretch>
                  </pic:blipFill>
                  <pic:spPr>
                    <a:xfrm>
                      <a:off x="0" y="0"/>
                      <a:ext cx="2222500" cy="156654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FECE630">
      <w:pPr>
        <w:pStyle w:val="87"/>
        <w:pageBreakBefore w:val="0"/>
        <w:numPr>
          <w:ilvl w:val="0"/>
          <w:numId w:val="32"/>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严重异常</w:t>
      </w:r>
    </w:p>
    <w:p w14:paraId="075C7C06">
      <w:pPr>
        <w:pageBreakBefore w:val="0"/>
        <w:kinsoku/>
        <w:wordWrap/>
        <w:overflowPunct/>
        <w:topLinePunct w:val="0"/>
        <w:autoSpaceDE/>
        <w:autoSpaceDN/>
        <w:bidi w:val="0"/>
        <w:spacing w:before="120" w:after="120" w:line="360" w:lineRule="auto"/>
        <w:ind w:firstLine="420"/>
        <w:textAlignment w:val="auto"/>
        <w:rPr>
          <w:color w:val="000000"/>
        </w:rPr>
      </w:pPr>
      <w:r>
        <w:rPr>
          <w:rFonts w:hint="eastAsia"/>
          <w:color w:val="000000"/>
        </w:rPr>
        <w:t>异常现象超出一般异常标准，以及产品或销售包装出现货损、货缺或从运输包装外可明确判定出现货损、货缺的均为严重异常，客户端收到此类问题产品直接拒收处理。</w:t>
      </w:r>
    </w:p>
    <w:p w14:paraId="0EB6AF32">
      <w:pPr>
        <w:pageBreakBefore w:val="0"/>
        <w:numPr>
          <w:ilvl w:val="0"/>
          <w:numId w:val="35"/>
        </w:numPr>
        <w:kinsoku/>
        <w:wordWrap/>
        <w:overflowPunct/>
        <w:topLinePunct w:val="0"/>
        <w:autoSpaceDE/>
        <w:autoSpaceDN/>
        <w:bidi w:val="0"/>
        <w:spacing w:before="120" w:after="120" w:line="360" w:lineRule="auto"/>
        <w:ind w:firstLine="480" w:firstLineChars="200"/>
        <w:textAlignment w:val="auto"/>
      </w:pPr>
      <w:r>
        <w:rPr>
          <w:rFonts w:hint="eastAsia"/>
        </w:rPr>
        <w:t>采用非专用封箱胶带封箱或存在明显开箱痕迹；</w:t>
      </w:r>
    </w:p>
    <w:p w14:paraId="06B72639">
      <w:pPr>
        <w:pageBreakBefore w:val="0"/>
        <w:numPr>
          <w:ilvl w:val="0"/>
          <w:numId w:val="35"/>
        </w:numPr>
        <w:kinsoku/>
        <w:wordWrap/>
        <w:overflowPunct/>
        <w:topLinePunct w:val="0"/>
        <w:autoSpaceDE/>
        <w:autoSpaceDN/>
        <w:bidi w:val="0"/>
        <w:spacing w:before="120" w:after="120" w:line="360" w:lineRule="auto"/>
        <w:ind w:firstLine="480" w:firstLineChars="200"/>
        <w:textAlignment w:val="auto"/>
      </w:pPr>
      <w:r>
        <w:rPr>
          <w:rFonts w:hint="eastAsia"/>
        </w:rPr>
        <w:t>防拆标签沿封箱的中缝划开或防拆封签上出现“VOID”等明显破坏防拆的现象；</w:t>
      </w:r>
    </w:p>
    <w:p w14:paraId="6F7563BE">
      <w:pPr>
        <w:pageBreakBefore w:val="0"/>
        <w:numPr>
          <w:ilvl w:val="0"/>
          <w:numId w:val="35"/>
        </w:numPr>
        <w:kinsoku/>
        <w:wordWrap/>
        <w:overflowPunct/>
        <w:topLinePunct w:val="0"/>
        <w:autoSpaceDE/>
        <w:autoSpaceDN/>
        <w:bidi w:val="0"/>
        <w:spacing w:before="120" w:after="120" w:line="360" w:lineRule="auto"/>
        <w:ind w:firstLine="480" w:firstLineChars="200"/>
        <w:textAlignment w:val="auto"/>
      </w:pPr>
      <w:r>
        <w:rPr>
          <w:rFonts w:hint="eastAsia"/>
        </w:rPr>
        <w:t>外包装箱出现明显破损、变形、水浸等异常，现象大于一般异常标准，或可通过外观直接判定异常已影响产品或销售包装；</w:t>
      </w:r>
    </w:p>
    <w:p w14:paraId="1B230F16">
      <w:pPr>
        <w:pageBreakBefore w:val="0"/>
        <w:numPr>
          <w:ilvl w:val="0"/>
          <w:numId w:val="35"/>
        </w:numPr>
        <w:kinsoku/>
        <w:wordWrap/>
        <w:overflowPunct/>
        <w:topLinePunct w:val="0"/>
        <w:autoSpaceDE/>
        <w:autoSpaceDN/>
        <w:bidi w:val="0"/>
        <w:spacing w:before="120" w:after="120" w:line="360" w:lineRule="auto"/>
        <w:ind w:firstLine="480" w:firstLineChars="200"/>
        <w:textAlignment w:val="auto"/>
      </w:pPr>
      <w:r>
        <w:rPr>
          <w:rFonts w:hint="eastAsia"/>
        </w:rPr>
        <w:t>其他任何可直接判定出现丢货、产品/销售包装损坏的情况。</w:t>
      </w:r>
    </w:p>
    <w:p w14:paraId="16C6DA76">
      <w:pPr>
        <w:pageBreakBefore w:val="0"/>
        <w:kinsoku/>
        <w:wordWrap/>
        <w:overflowPunct/>
        <w:topLinePunct w:val="0"/>
        <w:autoSpaceDE/>
        <w:autoSpaceDN/>
        <w:bidi w:val="0"/>
        <w:spacing w:before="120" w:after="120" w:line="360" w:lineRule="auto"/>
        <w:ind w:firstLine="420"/>
        <w:jc w:val="center"/>
        <w:textAlignment w:val="auto"/>
        <w:rPr>
          <w:color w:val="000000"/>
        </w:rPr>
      </w:pPr>
      <w:r>
        <w:fldChar w:fldCharType="begin"/>
      </w:r>
      <w:r>
        <w:instrText xml:space="preserve"> INCLUDEPICTURE  "C:\\Users\\ZENGZH~1\\AppData\\Local\\Temp\\ksohtml2692\\wps15.png" \* MERGEFORMATINET </w:instrText>
      </w:r>
      <w:r>
        <w:fldChar w:fldCharType="separate"/>
      </w:r>
      <w:r>
        <w:fldChar w:fldCharType="begin"/>
      </w:r>
      <w:r>
        <w:instrText xml:space="preserve"> INCLUDEPICTURE  "C:\\Users\\ZENGZH~1\\AppData\\Local\\Temp\\ksohtml2692\\wps15.png" \* MERGEFORMATINET </w:instrText>
      </w:r>
      <w:r>
        <w:fldChar w:fldCharType="separate"/>
      </w:r>
      <w:r>
        <w:fldChar w:fldCharType="begin"/>
      </w:r>
      <w:r>
        <w:instrText xml:space="preserve"> INCLUDEPICTURE  "C:\\Users\\ZENGZH~1\\AppData\\Local\\Temp\\ksohtml2692\\wps15.png" \* MERGEFORMATINET </w:instrText>
      </w:r>
      <w:r>
        <w:fldChar w:fldCharType="separate"/>
      </w:r>
      <w:r>
        <w:fldChar w:fldCharType="begin"/>
      </w:r>
      <w:r>
        <w:instrText xml:space="preserve"> INCLUDEPICTURE  "C:\\Users\\ZENGZH~1\\AppData\\Local\\Temp\\ksohtml2692\\wps15.png" \* MERGEFORMATINET </w:instrText>
      </w:r>
      <w:r>
        <w:fldChar w:fldCharType="separate"/>
      </w:r>
      <w:r>
        <w:fldChar w:fldCharType="begin"/>
      </w:r>
      <w:r>
        <w:instrText xml:space="preserve"> INCLUDEPICTURE  "C:\\Users\\ZENGZH~1\\AppData\\Local\\Temp\\ksohtml2692\\wps15.png" \* MERGEFORMATINET </w:instrText>
      </w:r>
      <w:r>
        <w:fldChar w:fldCharType="separate"/>
      </w:r>
      <w:r>
        <w:fldChar w:fldCharType="begin"/>
      </w:r>
      <w:r>
        <w:instrText xml:space="preserve"> INCLUDEPICTURE  "C:\\Users\\ZENGZH~1\\AppData\\Local\\Temp\\ksohtml2692\\wps15.png" \* MERGEFORMATINET </w:instrText>
      </w:r>
      <w:r>
        <w:fldChar w:fldCharType="separate"/>
      </w:r>
      <w:r>
        <w:fldChar w:fldCharType="begin"/>
      </w:r>
      <w:r>
        <w:instrText xml:space="preserve"> INCLUDEPICTURE  "C:\\Users\\lee\\ZENGZH~1\\AppData\\Local\\Temp\\ksohtml2692\\wps15.png" \* MERGEFORMATINET </w:instrText>
      </w:r>
      <w:r>
        <w:fldChar w:fldCharType="separate"/>
      </w:r>
      <w:r>
        <w:fldChar w:fldCharType="begin"/>
      </w:r>
      <w:r>
        <w:instrText xml:space="preserve"> INCLUDEPICTURE  "C:\\Users\\lee\\ZENGZH~1\\AppData\\Local\\Temp\\ksohtml2692\\wps15.png" \* MERGEFORMATINET </w:instrText>
      </w:r>
      <w:r>
        <w:fldChar w:fldCharType="separate"/>
      </w:r>
      <w:r>
        <w:fldChar w:fldCharType="begin"/>
      </w:r>
      <w:r>
        <w:instrText xml:space="preserve"> INCLUDEPICTURE  "C:\\Users\\lee\\ZENGZH~1\\AppData\\Local\\Temp\\ksohtml2692\\wps15.png" \* MERGEFORMATINET </w:instrText>
      </w:r>
      <w:r>
        <w:fldChar w:fldCharType="separate"/>
      </w:r>
      <w:r>
        <w:fldChar w:fldCharType="begin"/>
      </w:r>
      <w:r>
        <w:instrText xml:space="preserve"> INCLUDEPICTURE  "C:\\Users\\lee\\ZENGZH~1\\AppData\\Local\\Temp\\ksohtml2692\\wps15.png" \* MERGEFORMATINET </w:instrText>
      </w:r>
      <w:r>
        <w:fldChar w:fldCharType="separate"/>
      </w:r>
      <w:r>
        <w:fldChar w:fldCharType="begin"/>
      </w:r>
      <w:r>
        <w:instrText xml:space="preserve"> INCLUDEPICTURE  "C:\\Users\\lee\\ZENGZH~1\\AppData\\Local\\Temp\\ksohtml2692\\wps15.png" \* MERGEFORMATINET </w:instrText>
      </w:r>
      <w:r>
        <w:fldChar w:fldCharType="separate"/>
      </w:r>
      <w:r>
        <w:drawing>
          <wp:inline distT="0" distB="0" distL="114300" distR="114300">
            <wp:extent cx="2286000" cy="1760855"/>
            <wp:effectExtent l="0" t="0" r="0" b="0"/>
            <wp:docPr id="9" name="图片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901"/>
                    <pic:cNvPicPr>
                      <a:picLocks noChangeAspect="1"/>
                    </pic:cNvPicPr>
                  </pic:nvPicPr>
                  <pic:blipFill>
                    <a:blip r:embed="rId182" r:link="rId183"/>
                    <a:stretch>
                      <a:fillRect/>
                    </a:stretch>
                  </pic:blipFill>
                  <pic:spPr>
                    <a:xfrm>
                      <a:off x="0" y="0"/>
                      <a:ext cx="2286000" cy="176085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hint="eastAsia"/>
          <w:color w:val="000000"/>
        </w:rPr>
        <w:t xml:space="preserve">  </w:t>
      </w:r>
      <w:r>
        <w:fldChar w:fldCharType="begin"/>
      </w:r>
      <w:r>
        <w:instrText xml:space="preserve"> INCLUDEPICTURE  "C:\\Users\\ZENGZH~1\\AppData\\Local\\Temp\\ksohtml2692\\wps16.png" \* MERGEFORMATINET </w:instrText>
      </w:r>
      <w:r>
        <w:fldChar w:fldCharType="separate"/>
      </w:r>
      <w:r>
        <w:fldChar w:fldCharType="begin"/>
      </w:r>
      <w:r>
        <w:instrText xml:space="preserve"> INCLUDEPICTURE  "C:\\Users\\ZENGZH~1\\AppData\\Local\\Temp\\ksohtml2692\\wps16.png" \* MERGEFORMATINET </w:instrText>
      </w:r>
      <w:r>
        <w:fldChar w:fldCharType="separate"/>
      </w:r>
      <w:r>
        <w:fldChar w:fldCharType="begin"/>
      </w:r>
      <w:r>
        <w:instrText xml:space="preserve"> INCLUDEPICTURE  "C:\\Users\\ZENGZH~1\\AppData\\Local\\Temp\\ksohtml2692\\wps16.png" \* MERGEFORMATINET </w:instrText>
      </w:r>
      <w:r>
        <w:fldChar w:fldCharType="separate"/>
      </w:r>
      <w:r>
        <w:fldChar w:fldCharType="begin"/>
      </w:r>
      <w:r>
        <w:instrText xml:space="preserve"> INCLUDEPICTURE  "C:\\Users\\ZENGZH~1\\AppData\\Local\\Temp\\ksohtml2692\\wps16.png" \* MERGEFORMATINET </w:instrText>
      </w:r>
      <w:r>
        <w:fldChar w:fldCharType="separate"/>
      </w:r>
      <w:r>
        <w:fldChar w:fldCharType="begin"/>
      </w:r>
      <w:r>
        <w:instrText xml:space="preserve"> INCLUDEPICTURE  "C:\\Users\\ZENGZH~1\\AppData\\Local\\Temp\\ksohtml2692\\wps16.png" \* MERGEFORMATINET </w:instrText>
      </w:r>
      <w:r>
        <w:fldChar w:fldCharType="separate"/>
      </w:r>
      <w:r>
        <w:fldChar w:fldCharType="begin"/>
      </w:r>
      <w:r>
        <w:instrText xml:space="preserve"> INCLUDEPICTURE  "C:\\Users\\ZENGZH~1\\AppData\\Local\\Temp\\ksohtml2692\\wps16.png" \* MERGEFORMATINET </w:instrText>
      </w:r>
      <w:r>
        <w:fldChar w:fldCharType="separate"/>
      </w:r>
      <w:r>
        <w:fldChar w:fldCharType="begin"/>
      </w:r>
      <w:r>
        <w:instrText xml:space="preserve"> INCLUDEPICTURE  "C:\\Users\\lee\\ZENGZH~1\\AppData\\Local\\Temp\\ksohtml2692\\wps16.png" \* MERGEFORMATINET </w:instrText>
      </w:r>
      <w:r>
        <w:fldChar w:fldCharType="separate"/>
      </w:r>
      <w:r>
        <w:fldChar w:fldCharType="begin"/>
      </w:r>
      <w:r>
        <w:instrText xml:space="preserve"> INCLUDEPICTURE  "C:\\Users\\lee\\ZENGZH~1\\AppData\\Local\\Temp\\ksohtml2692\\wps16.png" \* MERGEFORMATINET </w:instrText>
      </w:r>
      <w:r>
        <w:fldChar w:fldCharType="separate"/>
      </w:r>
      <w:r>
        <w:fldChar w:fldCharType="begin"/>
      </w:r>
      <w:r>
        <w:instrText xml:space="preserve"> INCLUDEPICTURE  "C:\\Users\\lee\\ZENGZH~1\\AppData\\Local\\Temp\\ksohtml2692\\wps16.png" \* MERGEFORMATINET </w:instrText>
      </w:r>
      <w:r>
        <w:fldChar w:fldCharType="separate"/>
      </w:r>
      <w:r>
        <w:fldChar w:fldCharType="begin"/>
      </w:r>
      <w:r>
        <w:instrText xml:space="preserve"> INCLUDEPICTURE  "C:\\Users\\lee\\ZENGZH~1\\AppData\\Local\\Temp\\ksohtml2692\\wps16.png" \* MERGEFORMATINET </w:instrText>
      </w:r>
      <w:r>
        <w:fldChar w:fldCharType="separate"/>
      </w:r>
      <w:r>
        <w:fldChar w:fldCharType="begin"/>
      </w:r>
      <w:r>
        <w:instrText xml:space="preserve"> INCLUDEPICTURE  "C:\\Users\\lee\\ZENGZH~1\\AppData\\Local\\Temp\\ksohtml2692\\wps16.png" \* MERGEFORMATINET </w:instrText>
      </w:r>
      <w:r>
        <w:fldChar w:fldCharType="separate"/>
      </w:r>
      <w:r>
        <w:drawing>
          <wp:inline distT="0" distB="0" distL="114300" distR="114300">
            <wp:extent cx="2349500" cy="1760855"/>
            <wp:effectExtent l="0" t="0" r="0" b="0"/>
            <wp:docPr id="10" name="图片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02"/>
                    <pic:cNvPicPr>
                      <a:picLocks noChangeAspect="1"/>
                    </pic:cNvPicPr>
                  </pic:nvPicPr>
                  <pic:blipFill>
                    <a:blip r:embed="rId184" r:link="rId185"/>
                    <a:stretch>
                      <a:fillRect/>
                    </a:stretch>
                  </pic:blipFill>
                  <pic:spPr>
                    <a:xfrm>
                      <a:off x="0" y="0"/>
                      <a:ext cx="2349500" cy="176085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FDC8C6F">
      <w:pPr>
        <w:pStyle w:val="13"/>
        <w:pageBreakBefore w:val="0"/>
        <w:numPr>
          <w:ilvl w:val="5"/>
          <w:numId w:val="12"/>
        </w:numPr>
        <w:kinsoku/>
        <w:wordWrap/>
        <w:overflowPunct/>
        <w:topLinePunct w:val="0"/>
        <w:autoSpaceDE/>
        <w:autoSpaceDN/>
        <w:bidi w:val="0"/>
        <w:spacing w:line="360" w:lineRule="auto"/>
        <w:textAlignment w:val="auto"/>
        <w:rPr>
          <w:szCs w:val="24"/>
        </w:rPr>
      </w:pPr>
      <w:bookmarkStart w:id="393" w:name="_Toc69918812"/>
      <w:r>
        <w:rPr>
          <w:rFonts w:hint="eastAsia"/>
          <w:szCs w:val="24"/>
        </w:rPr>
        <w:t>设备签收流程</w:t>
      </w:r>
      <w:bookmarkEnd w:id="393"/>
    </w:p>
    <w:p w14:paraId="69EE9039">
      <w:pPr>
        <w:pStyle w:val="87"/>
        <w:pageBreakBefore w:val="0"/>
        <w:numPr>
          <w:ilvl w:val="0"/>
          <w:numId w:val="32"/>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设备到货</w:t>
      </w:r>
    </w:p>
    <w:p w14:paraId="67FA99AA">
      <w:pPr>
        <w:pageBreakBefore w:val="0"/>
        <w:kinsoku/>
        <w:wordWrap/>
        <w:overflowPunct/>
        <w:topLinePunct w:val="0"/>
        <w:autoSpaceDE/>
        <w:autoSpaceDN/>
        <w:bidi w:val="0"/>
        <w:spacing w:before="120" w:after="120" w:line="360" w:lineRule="auto"/>
        <w:ind w:firstLine="420"/>
        <w:textAlignment w:val="auto"/>
      </w:pPr>
      <w:r>
        <w:rPr>
          <w:rFonts w:hint="eastAsia"/>
        </w:rPr>
        <w:t>设备按照甲方的要求送至指定位置</w:t>
      </w:r>
      <w:r>
        <w:rPr>
          <w:rFonts w:hint="eastAsia"/>
          <w:b/>
          <w:bCs/>
        </w:rPr>
        <w:t>。</w:t>
      </w:r>
    </w:p>
    <w:p w14:paraId="2BFFFAD3">
      <w:pPr>
        <w:pStyle w:val="87"/>
        <w:pageBreakBefore w:val="0"/>
        <w:numPr>
          <w:ilvl w:val="0"/>
          <w:numId w:val="32"/>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外观检查</w:t>
      </w:r>
    </w:p>
    <w:p w14:paraId="2F4A2BEA">
      <w:pPr>
        <w:pageBreakBefore w:val="0"/>
        <w:kinsoku/>
        <w:wordWrap/>
        <w:overflowPunct/>
        <w:topLinePunct w:val="0"/>
        <w:autoSpaceDE/>
        <w:autoSpaceDN/>
        <w:bidi w:val="0"/>
        <w:spacing w:before="120" w:after="120" w:line="360" w:lineRule="auto"/>
        <w:ind w:firstLine="420"/>
        <w:textAlignment w:val="auto"/>
      </w:pPr>
      <w:r>
        <w:rPr>
          <w:rFonts w:hint="eastAsia"/>
        </w:rPr>
        <w:t>设备到货后，根据项目要求，按照甲方的设备到货验收标准，我司项目经理与用户共同对设备的外包装进行检查，检查设备的外包装是否破损，是否开过箱及是否为原厂包装等。</w:t>
      </w:r>
    </w:p>
    <w:p w14:paraId="1810FFF4">
      <w:pPr>
        <w:pStyle w:val="87"/>
        <w:pageBreakBefore w:val="0"/>
        <w:numPr>
          <w:ilvl w:val="0"/>
          <w:numId w:val="32"/>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设备开箱</w:t>
      </w:r>
    </w:p>
    <w:p w14:paraId="564AC9C0">
      <w:pPr>
        <w:pageBreakBefore w:val="0"/>
        <w:kinsoku/>
        <w:wordWrap/>
        <w:overflowPunct/>
        <w:topLinePunct w:val="0"/>
        <w:autoSpaceDE/>
        <w:autoSpaceDN/>
        <w:bidi w:val="0"/>
        <w:spacing w:before="120" w:after="120" w:line="360" w:lineRule="auto"/>
        <w:ind w:firstLine="420"/>
        <w:textAlignment w:val="auto"/>
      </w:pPr>
      <w:r>
        <w:rPr>
          <w:rFonts w:hint="eastAsia"/>
        </w:rPr>
        <w:t>设备开箱时，要求我司项目经理及用户在场，双方根据装箱单清点其中的设备、随机工具及相关资料，如有不符则在装箱单上注明。设备开箱后检查设备及部件的完好性，如有损伤则拍照取证并在清单上注明，由项目经理联系厂商，安排更换货。</w:t>
      </w:r>
    </w:p>
    <w:p w14:paraId="38831E07">
      <w:pPr>
        <w:pageBreakBefore w:val="0"/>
        <w:kinsoku/>
        <w:wordWrap/>
        <w:overflowPunct/>
        <w:topLinePunct w:val="0"/>
        <w:autoSpaceDE/>
        <w:autoSpaceDN/>
        <w:bidi w:val="0"/>
        <w:spacing w:before="120" w:after="120" w:line="360" w:lineRule="auto"/>
        <w:ind w:firstLine="420"/>
        <w:textAlignment w:val="auto"/>
      </w:pPr>
      <w:r>
        <w:rPr>
          <w:rFonts w:hint="eastAsia"/>
        </w:rPr>
        <w:t>设备开箱检查合格后，双方签字开箱验收单。</w:t>
      </w:r>
    </w:p>
    <w:p w14:paraId="287C93EF">
      <w:pPr>
        <w:pStyle w:val="13"/>
        <w:pageBreakBefore w:val="0"/>
        <w:numPr>
          <w:ilvl w:val="5"/>
          <w:numId w:val="12"/>
        </w:numPr>
        <w:kinsoku/>
        <w:wordWrap/>
        <w:overflowPunct/>
        <w:topLinePunct w:val="0"/>
        <w:autoSpaceDE/>
        <w:autoSpaceDN/>
        <w:bidi w:val="0"/>
        <w:spacing w:line="360" w:lineRule="auto"/>
        <w:textAlignment w:val="auto"/>
        <w:rPr>
          <w:szCs w:val="24"/>
        </w:rPr>
      </w:pPr>
      <w:bookmarkStart w:id="394" w:name="_Toc69918814"/>
      <w:r>
        <w:rPr>
          <w:rFonts w:hint="eastAsia"/>
          <w:szCs w:val="24"/>
        </w:rPr>
        <w:t>设备进场验收</w:t>
      </w:r>
    </w:p>
    <w:p w14:paraId="6D29BE1B">
      <w:pPr>
        <w:pStyle w:val="87"/>
        <w:pageBreakBefore w:val="0"/>
        <w:numPr>
          <w:ilvl w:val="0"/>
          <w:numId w:val="36"/>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系统所使用的线缆（包括电源线、网线和光缆）进行设备材料进场验收，不符合要求的设备材料不得在项目中使用。外护线套完整无损，附有出厂质量检验合格证。</w:t>
      </w:r>
      <w:r>
        <w:rPr>
          <w:sz w:val="24"/>
          <w:szCs w:val="24"/>
        </w:rPr>
        <w:t xml:space="preserve"> </w:t>
      </w:r>
    </w:p>
    <w:p w14:paraId="0775EDD8">
      <w:pPr>
        <w:pStyle w:val="87"/>
        <w:pageBreakBefore w:val="0"/>
        <w:numPr>
          <w:ilvl w:val="0"/>
          <w:numId w:val="36"/>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对线缆敷设的情况进行表格编制，在敷设前做好标签，标签内容齐全、清晰，同时线缆对接设备的接口、安装位置都必须在表格上标注清楚。</w:t>
      </w:r>
    </w:p>
    <w:p w14:paraId="0C7C0841">
      <w:pPr>
        <w:pStyle w:val="87"/>
        <w:pageBreakBefore w:val="0"/>
        <w:numPr>
          <w:ilvl w:val="0"/>
          <w:numId w:val="36"/>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设备在进场的时候进行进场验收，不符合要求的设备材料不得在项目中使用。</w:t>
      </w:r>
    </w:p>
    <w:p w14:paraId="5B936312">
      <w:pPr>
        <w:pStyle w:val="87"/>
        <w:pageBreakBefore w:val="0"/>
        <w:numPr>
          <w:ilvl w:val="0"/>
          <w:numId w:val="36"/>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经检验的设备做好记录，对不合格的设备材料单独存放，以备核查与处理。</w:t>
      </w:r>
      <w:r>
        <w:rPr>
          <w:sz w:val="24"/>
          <w:szCs w:val="24"/>
        </w:rPr>
        <w:t xml:space="preserve"> </w:t>
      </w:r>
    </w:p>
    <w:p w14:paraId="58264C6D">
      <w:pPr>
        <w:pStyle w:val="87"/>
        <w:pageBreakBefore w:val="0"/>
        <w:numPr>
          <w:ilvl w:val="0"/>
          <w:numId w:val="36"/>
        </w:numPr>
        <w:kinsoku/>
        <w:wordWrap/>
        <w:overflowPunct/>
        <w:topLinePunct w:val="0"/>
        <w:autoSpaceDE/>
        <w:autoSpaceDN/>
        <w:bidi w:val="0"/>
        <w:spacing w:line="360" w:lineRule="auto"/>
        <w:ind w:leftChars="0" w:firstLineChars="0"/>
        <w:textAlignment w:val="auto"/>
        <w:rPr>
          <w:sz w:val="24"/>
          <w:szCs w:val="24"/>
        </w:rPr>
      </w:pPr>
      <w:r>
        <w:rPr>
          <w:rFonts w:hint="eastAsia"/>
          <w:sz w:val="24"/>
          <w:szCs w:val="24"/>
        </w:rPr>
        <w:t>所选择的施工辅材准备齐全。</w:t>
      </w:r>
    </w:p>
    <w:p w14:paraId="29F8BB8A">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设备安装调试</w:t>
      </w:r>
    </w:p>
    <w:p w14:paraId="7C765C51">
      <w:pPr>
        <w:pStyle w:val="87"/>
        <w:pageBreakBefore w:val="0"/>
        <w:numPr>
          <w:ilvl w:val="0"/>
          <w:numId w:val="3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线路敷设</w:t>
      </w:r>
    </w:p>
    <w:p w14:paraId="256F0521">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线路的敷设按图纸的要求选择线缆的型号规格，在进行布线前必须注意检查，防止拿错。线缆穿管时用细钢丝或穿线器穿管后将线缆从管中带出，穿管时按照线缆的最大应力范围要求进行穿线，严禁大力拉扯线缆，以免造成线路的损伤。放线前，首先根据图纸计算线路路由长度，再到现场实际勘察，计算线路长度。放线时，打开一箱线，首先放置最长的线路，并记录好所放线的长度，将余下的线放到长度最适宜的地方，避免线缆的浪费。线路前端安装设备处和终端预留长度严格按我司的工艺要求进行，以免造成线路浪费或不便接线。</w:t>
      </w:r>
    </w:p>
    <w:p w14:paraId="7E743F82">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线路放置完毕后，由工程师进行线路测试，在测试无误后。采取外包保护层、合理放置等方法对线路进行防护，避免线路损伤。</w:t>
      </w:r>
    </w:p>
    <w:p w14:paraId="6CBEA763">
      <w:pPr>
        <w:pStyle w:val="87"/>
        <w:pageBreakBefore w:val="0"/>
        <w:numPr>
          <w:ilvl w:val="0"/>
          <w:numId w:val="3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设备安装</w:t>
      </w:r>
    </w:p>
    <w:p w14:paraId="5439CF6D">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项目经理经用户允许，安排项目组实施工程师将设备按照用户需求进行上架安装。在进行设备安装之前实施工程师仔细阅读设备的产品资料、安装说明、注意事项等。在充分了解设备性能之后，进行安装。在安装过程中，严格按照我司质量体系文件要求、有关技术标准和操作规范进行。</w:t>
      </w:r>
    </w:p>
    <w:p w14:paraId="3D5C267E">
      <w:pPr>
        <w:pStyle w:val="87"/>
        <w:pageBreakBefore w:val="0"/>
        <w:numPr>
          <w:ilvl w:val="0"/>
          <w:numId w:val="3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设备的初调</w:t>
      </w:r>
    </w:p>
    <w:p w14:paraId="03E946FE">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设备的初调在设备安装完成无误后进行。在设备通电调试前进行以下检查：</w:t>
      </w:r>
    </w:p>
    <w:p w14:paraId="0D05E42F">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 xml:space="preserve">1)外观检查：检查设备的外观是否的破损、摔伤等现象，若有此类现象不允许通电。 </w:t>
      </w:r>
    </w:p>
    <w:p w14:paraId="6D677E28">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2)绝缘检查：按设备的规范，使用设备进行绝缘检查，不合格者不允许通电。</w:t>
      </w:r>
    </w:p>
    <w:p w14:paraId="2D22D5F1">
      <w:pPr>
        <w:pageBreakBefore w:val="0"/>
        <w:kinsoku/>
        <w:wordWrap/>
        <w:overflowPunct/>
        <w:topLinePunct w:val="0"/>
        <w:autoSpaceDE/>
        <w:autoSpaceDN/>
        <w:bidi w:val="0"/>
        <w:spacing w:before="120" w:after="120" w:line="360" w:lineRule="auto"/>
        <w:ind w:firstLine="420"/>
        <w:textAlignment w:val="auto"/>
      </w:pPr>
      <w:r>
        <w:rPr>
          <w:rFonts w:hint="eastAsia" w:cs="等线"/>
        </w:rPr>
        <w:t>检查无误后方可试通电，通电时注意各设备分开通电，先短时通电，密切注意设备的情况，若出现冒烟、异响、异味等情况，立即断电。通电后</w:t>
      </w:r>
      <w:r>
        <w:rPr>
          <w:rFonts w:hint="eastAsia"/>
        </w:rPr>
        <w:t>主要测试设备能否正常上电和检查设备配置是否与合同相符，如在加电测试中发现问题，由我司项目经理安排技术工程师迅速解决，如果问题不能解决，则联系厂商，安排更换设备。</w:t>
      </w:r>
    </w:p>
    <w:p w14:paraId="088EE053">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rPr>
        <w:t>设备加电测试合格后，双方签字设备加电测试验收单</w:t>
      </w:r>
      <w:r>
        <w:rPr>
          <w:rFonts w:hint="eastAsia" w:cs="等线"/>
        </w:rPr>
        <w:t>，可进行下一步调试</w:t>
      </w:r>
      <w:r>
        <w:rPr>
          <w:rFonts w:hint="eastAsia"/>
        </w:rPr>
        <w:t>。</w:t>
      </w:r>
    </w:p>
    <w:p w14:paraId="6B3215EA">
      <w:pPr>
        <w:pStyle w:val="87"/>
        <w:pageBreakBefore w:val="0"/>
        <w:numPr>
          <w:ilvl w:val="0"/>
          <w:numId w:val="3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系统的调试</w:t>
      </w:r>
    </w:p>
    <w:p w14:paraId="6C7E43FA">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所有设备初调通过后方可进入系统的调试阶段。</w:t>
      </w:r>
    </w:p>
    <w:p w14:paraId="0101A1F7">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系统调试使用专业设备进行，对所有的功能进行逐项检查，全部符合要求则为合格。</w:t>
      </w:r>
    </w:p>
    <w:p w14:paraId="0291A788">
      <w:pPr>
        <w:pStyle w:val="87"/>
        <w:pageBreakBefore w:val="0"/>
        <w:numPr>
          <w:ilvl w:val="0"/>
          <w:numId w:val="3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系统的试运行</w:t>
      </w:r>
    </w:p>
    <w:p w14:paraId="1FA2C35A">
      <w:pPr>
        <w:pageBreakBefore w:val="0"/>
        <w:kinsoku/>
        <w:wordWrap/>
        <w:overflowPunct/>
        <w:topLinePunct w:val="0"/>
        <w:autoSpaceDE/>
        <w:autoSpaceDN/>
        <w:bidi w:val="0"/>
        <w:spacing w:before="120" w:after="120" w:line="360" w:lineRule="auto"/>
        <w:ind w:firstLine="420"/>
        <w:textAlignment w:val="auto"/>
        <w:rPr>
          <w:rFonts w:cs="等线"/>
        </w:rPr>
      </w:pPr>
      <w:r>
        <w:rPr>
          <w:rFonts w:hint="eastAsia" w:cs="等线"/>
        </w:rPr>
        <w:t>系统调试合格后，进入试运行阶段。在试运行阶段，现场技术人员密切注意系统的运行情况，出现问题及时处理。</w:t>
      </w:r>
    </w:p>
    <w:p w14:paraId="4DBDCFC4">
      <w:pPr>
        <w:pStyle w:val="87"/>
        <w:pageBreakBefore w:val="0"/>
        <w:numPr>
          <w:ilvl w:val="0"/>
          <w:numId w:val="37"/>
        </w:numPr>
        <w:kinsoku/>
        <w:wordWrap/>
        <w:overflowPunct/>
        <w:topLinePunct w:val="0"/>
        <w:autoSpaceDE/>
        <w:autoSpaceDN/>
        <w:bidi w:val="0"/>
        <w:spacing w:line="360" w:lineRule="auto"/>
        <w:ind w:leftChars="0" w:firstLineChars="0"/>
        <w:textAlignment w:val="auto"/>
        <w:rPr>
          <w:b/>
          <w:bCs/>
          <w:sz w:val="24"/>
          <w:szCs w:val="24"/>
        </w:rPr>
      </w:pPr>
      <w:r>
        <w:rPr>
          <w:rFonts w:hint="eastAsia"/>
          <w:b/>
          <w:bCs/>
          <w:sz w:val="24"/>
          <w:szCs w:val="24"/>
        </w:rPr>
        <w:t>系统的竣工</w:t>
      </w:r>
    </w:p>
    <w:p w14:paraId="1F0BAA75">
      <w:pPr>
        <w:pageBreakBefore w:val="0"/>
        <w:kinsoku/>
        <w:wordWrap/>
        <w:overflowPunct/>
        <w:topLinePunct w:val="0"/>
        <w:autoSpaceDE/>
        <w:autoSpaceDN/>
        <w:bidi w:val="0"/>
        <w:spacing w:before="120" w:after="120" w:line="360" w:lineRule="auto"/>
        <w:ind w:firstLine="420"/>
        <w:textAlignment w:val="auto"/>
      </w:pPr>
      <w:r>
        <w:rPr>
          <w:rFonts w:hint="eastAsia" w:cs="等线"/>
        </w:rPr>
        <w:t>系统的试运行完成后，我司将提供验收所需系统资料，和系统一起交付业主运行。</w:t>
      </w:r>
    </w:p>
    <w:bookmarkEnd w:id="394"/>
    <w:p w14:paraId="3BBD73E4">
      <w:pPr>
        <w:pStyle w:val="12"/>
        <w:pageBreakBefore w:val="0"/>
        <w:numPr>
          <w:ilvl w:val="4"/>
          <w:numId w:val="12"/>
        </w:numPr>
        <w:kinsoku/>
        <w:wordWrap/>
        <w:overflowPunct/>
        <w:topLinePunct w:val="0"/>
        <w:autoSpaceDE/>
        <w:autoSpaceDN/>
        <w:bidi w:val="0"/>
        <w:spacing w:line="360" w:lineRule="auto"/>
        <w:textAlignment w:val="auto"/>
      </w:pPr>
      <w:bookmarkStart w:id="395" w:name="_Toc1921645285"/>
      <w:r>
        <w:rPr>
          <w:rFonts w:hint="eastAsia"/>
        </w:rPr>
        <w:t>硬件安装调试方案</w:t>
      </w:r>
      <w:bookmarkEnd w:id="395"/>
    </w:p>
    <w:p w14:paraId="2A3BBC1E">
      <w:pPr>
        <w:pageBreakBefore w:val="0"/>
        <w:kinsoku/>
        <w:wordWrap/>
        <w:overflowPunct/>
        <w:topLinePunct w:val="0"/>
        <w:autoSpaceDE/>
        <w:autoSpaceDN/>
        <w:bidi w:val="0"/>
        <w:spacing w:before="120" w:after="120" w:line="360" w:lineRule="auto"/>
        <w:ind w:firstLine="420"/>
        <w:textAlignment w:val="auto"/>
      </w:pPr>
      <w:r>
        <w:rPr>
          <w:rFonts w:hint="eastAsia"/>
        </w:rPr>
        <w:t>1、检测卷接包机台、封箱机机台读码器或工业相机安装支架、安装位置和打孔位置。</w:t>
      </w:r>
    </w:p>
    <w:p w14:paraId="49F767B5">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计算机设备安装</w:t>
      </w:r>
    </w:p>
    <w:p w14:paraId="6E353BBA">
      <w:pPr>
        <w:pageBreakBefore w:val="0"/>
        <w:kinsoku/>
        <w:wordWrap/>
        <w:overflowPunct/>
        <w:topLinePunct w:val="0"/>
        <w:autoSpaceDE/>
        <w:autoSpaceDN/>
        <w:bidi w:val="0"/>
        <w:spacing w:line="360" w:lineRule="auto"/>
        <w:ind w:firstLine="480"/>
        <w:textAlignment w:val="auto"/>
      </w:pPr>
      <w:r>
        <w:rPr>
          <w:rFonts w:hint="eastAsia"/>
        </w:rPr>
        <w:t>1、因计算机设备都是精密设备，其放置房间的温湿度必须符合要求，清洁无尘，达不到要求的房间严禁安装设备，安装前必须经甲方检查合格。</w:t>
      </w:r>
    </w:p>
    <w:p w14:paraId="58FE45FD">
      <w:pPr>
        <w:pageBreakBefore w:val="0"/>
        <w:kinsoku/>
        <w:wordWrap/>
        <w:overflowPunct/>
        <w:topLinePunct w:val="0"/>
        <w:autoSpaceDE/>
        <w:autoSpaceDN/>
        <w:bidi w:val="0"/>
        <w:spacing w:line="360" w:lineRule="auto"/>
        <w:ind w:firstLine="480"/>
        <w:textAlignment w:val="auto"/>
      </w:pPr>
      <w:r>
        <w:rPr>
          <w:rFonts w:hint="eastAsia"/>
        </w:rPr>
        <w:t>2、计算机设备搬运要轻拿轻放，并注意正确方向标志，计算机设备电源的插座要与设备插头相适应。</w:t>
      </w:r>
    </w:p>
    <w:p w14:paraId="1DAF39F3">
      <w:pPr>
        <w:pageBreakBefore w:val="0"/>
        <w:kinsoku/>
        <w:wordWrap/>
        <w:overflowPunct/>
        <w:topLinePunct w:val="0"/>
        <w:autoSpaceDE/>
        <w:autoSpaceDN/>
        <w:bidi w:val="0"/>
        <w:spacing w:line="360" w:lineRule="auto"/>
        <w:ind w:firstLine="480"/>
        <w:textAlignment w:val="auto"/>
      </w:pPr>
      <w:r>
        <w:rPr>
          <w:rFonts w:hint="eastAsia"/>
        </w:rPr>
        <w:t>3、计算机设备的接地必须采用专用接地，接地线采用-25X4镀锌扁钢与桥架接地干线搭接不少于2处（桥架接地干线与原基础桩接地引上点搭接），接地电阻符合要求。</w:t>
      </w:r>
    </w:p>
    <w:p w14:paraId="1FA20338">
      <w:pPr>
        <w:pageBreakBefore w:val="0"/>
        <w:kinsoku/>
        <w:wordWrap/>
        <w:overflowPunct/>
        <w:topLinePunct w:val="0"/>
        <w:autoSpaceDE/>
        <w:autoSpaceDN/>
        <w:bidi w:val="0"/>
        <w:spacing w:line="360" w:lineRule="auto"/>
        <w:ind w:firstLine="480"/>
        <w:textAlignment w:val="auto"/>
      </w:pPr>
      <w:r>
        <w:rPr>
          <w:rFonts w:hint="eastAsia"/>
        </w:rPr>
        <w:t>双绞屏蔽线和光缆敷设</w:t>
      </w:r>
    </w:p>
    <w:p w14:paraId="685491DA">
      <w:pPr>
        <w:pageBreakBefore w:val="0"/>
        <w:kinsoku/>
        <w:wordWrap/>
        <w:overflowPunct/>
        <w:topLinePunct w:val="0"/>
        <w:autoSpaceDE/>
        <w:autoSpaceDN/>
        <w:bidi w:val="0"/>
        <w:spacing w:line="360" w:lineRule="auto"/>
        <w:ind w:firstLine="480"/>
        <w:textAlignment w:val="auto"/>
      </w:pPr>
      <w:r>
        <w:rPr>
          <w:rFonts w:hint="eastAsia"/>
        </w:rPr>
        <w:t>1）在进电缆井口或进管道入口处应加防磨擦得弧形滑板，使用人力在前部（其中有一名熟悉路径的工人）作牵引，中间按一定距离留适当人员照看双绞屏蔽线和光缆。前面和后面人员要互相照应，用力要适当。</w:t>
      </w:r>
    </w:p>
    <w:p w14:paraId="548F0DAC">
      <w:pPr>
        <w:pageBreakBefore w:val="0"/>
        <w:kinsoku/>
        <w:wordWrap/>
        <w:overflowPunct/>
        <w:topLinePunct w:val="0"/>
        <w:autoSpaceDE/>
        <w:autoSpaceDN/>
        <w:bidi w:val="0"/>
        <w:spacing w:line="360" w:lineRule="auto"/>
        <w:ind w:firstLine="480"/>
        <w:textAlignment w:val="auto"/>
      </w:pPr>
      <w:r>
        <w:rPr>
          <w:rFonts w:hint="eastAsia"/>
        </w:rPr>
        <w:t>2）通讯联络应畅通，双绞屏蔽线和光缆盘处看护人员应派遣责任心强的，有经验的人员看守。</w:t>
      </w:r>
    </w:p>
    <w:p w14:paraId="1777E374">
      <w:pPr>
        <w:pageBreakBefore w:val="0"/>
        <w:kinsoku/>
        <w:wordWrap/>
        <w:overflowPunct/>
        <w:topLinePunct w:val="0"/>
        <w:autoSpaceDE/>
        <w:autoSpaceDN/>
        <w:bidi w:val="0"/>
        <w:spacing w:line="360" w:lineRule="auto"/>
        <w:ind w:firstLine="480"/>
        <w:textAlignment w:val="auto"/>
      </w:pPr>
      <w:r>
        <w:rPr>
          <w:rFonts w:hint="eastAsia"/>
        </w:rPr>
        <w:t>3）双绞屏蔽线和光缆敷设原则是认真核对管线表，查清预放电缆型号，绝缘等级，并在电缆敷设前确定电缆敷设路径及电缆桥架等级。不准私自更改型号串用电缆，按图纸规定排序，如无设计时应按上层为通讯、计算机电缆，必按要求布放，在设备旁不管是双绞屏蔽线和光缆始端或者是尾端引出（上）的不可以和动力电缆、控制电缆合穿一个保护管或同用一个固定夹，一定要分别置之，另一个遵循的原则是长距离的先放，在交叉尽量减少和避免重复交叉，敷设完的双绞屏蔽线和光缆始端和尾端应贴好电缆标签，同时应用透明胶带加固保护，充分利用现代化的通讯联络工具以加快敷设速度，保证质量和安全。</w:t>
      </w:r>
    </w:p>
    <w:p w14:paraId="2E647038">
      <w:pPr>
        <w:pageBreakBefore w:val="0"/>
        <w:kinsoku/>
        <w:wordWrap/>
        <w:overflowPunct/>
        <w:topLinePunct w:val="0"/>
        <w:autoSpaceDE/>
        <w:autoSpaceDN/>
        <w:bidi w:val="0"/>
        <w:spacing w:line="360" w:lineRule="auto"/>
        <w:ind w:firstLine="480"/>
        <w:textAlignment w:val="auto"/>
      </w:pPr>
      <w:r>
        <w:rPr>
          <w:rFonts w:hint="eastAsia"/>
        </w:rPr>
        <w:t>4）光缆沿电缆外线井进行跨区域敷设，因电缆都在带电运行中，所以施工时要特别小心不能损坏带电运行的电缆。</w:t>
      </w:r>
    </w:p>
    <w:p w14:paraId="0A6445DA">
      <w:pPr>
        <w:pageBreakBefore w:val="0"/>
        <w:kinsoku/>
        <w:wordWrap/>
        <w:overflowPunct/>
        <w:topLinePunct w:val="0"/>
        <w:autoSpaceDE/>
        <w:autoSpaceDN/>
        <w:bidi w:val="0"/>
        <w:spacing w:line="360" w:lineRule="auto"/>
        <w:ind w:firstLine="480"/>
        <w:textAlignment w:val="auto"/>
      </w:pPr>
      <w:r>
        <w:rPr>
          <w:rFonts w:hint="eastAsia"/>
        </w:rPr>
        <w:t>5）新敷设的双绞屏蔽线和光缆与带电运行的电缆必需接近敷设时，要对带电运行的电缆进行绝缘隔离保护。</w:t>
      </w:r>
    </w:p>
    <w:p w14:paraId="5B2DBD92">
      <w:pPr>
        <w:pageBreakBefore w:val="0"/>
        <w:kinsoku/>
        <w:wordWrap/>
        <w:overflowPunct/>
        <w:topLinePunct w:val="0"/>
        <w:autoSpaceDE/>
        <w:autoSpaceDN/>
        <w:bidi w:val="0"/>
        <w:spacing w:line="360" w:lineRule="auto"/>
        <w:ind w:firstLine="480"/>
        <w:textAlignment w:val="auto"/>
      </w:pPr>
      <w:r>
        <w:rPr>
          <w:rFonts w:hint="eastAsia"/>
        </w:rPr>
        <w:t>6）光缆穿镀锌管敷设时，转弯处设拉线盒或金属软管，光缆沿地下埋管及水泥槽敷设时，需将管路冲洗干净，并先在地下管孔及水泥电缆槽内预穿中硬度塑料套管，然后再将光缆穿于塑料套管中，光缆在电缆桥架中敷设时，应敷设在最上层的通讯或控制电缆的桥架，不得与高压电缆共槽共管。</w:t>
      </w:r>
    </w:p>
    <w:p w14:paraId="26F1149E">
      <w:pPr>
        <w:pageBreakBefore w:val="0"/>
        <w:kinsoku/>
        <w:wordWrap/>
        <w:overflowPunct/>
        <w:topLinePunct w:val="0"/>
        <w:autoSpaceDE/>
        <w:autoSpaceDN/>
        <w:bidi w:val="0"/>
        <w:spacing w:line="360" w:lineRule="auto"/>
        <w:ind w:firstLine="480"/>
        <w:textAlignment w:val="auto"/>
      </w:pPr>
      <w:r>
        <w:rPr>
          <w:rFonts w:hint="eastAsia"/>
        </w:rPr>
        <w:t>7）光缆可采用人工敷设，光缆的牵引拉力不得超过最大拉力的80%，敷设在线槽或电缆桥架中的光缆，应尽量保持成一条直线，减少不必要的弯曲以降低信号在光缆中的折射损耗。超长光缆分段施工时，光缆的过渡堆放采用8字形施工法，防止光缆打结、扭曲。光缆敷设的弯曲半径不小于光缆直径的20倍；敷设光缆用的线槽在转角处安装时，要特制一段过渡线槽，使线槽逐渐转向，以满足光缆敷设半径的要求；在水泥地面上安装的设备，要求从盘箱底部穿入光缆时，施工前应与设计部门联系，采取加装盘箱底座、在连续转角处加装过渡线槽或钢管、桥架，必要时设置盖板等措施，保证敷设光缆的弯曲半径满足施工规范的要求，并符合现场条件及甲方的要求。光缆敷设到两头入户后预留20米长度，以便接线和设备位置调整用。光缆敷设到分支处预留5~10米长度。双绞线敷设到设备后再预留5米长度。敷设完的缆线始端和尾端应贴好标签，同时用透明胶带加固保护。</w:t>
      </w:r>
    </w:p>
    <w:p w14:paraId="0A6E36D1">
      <w:pPr>
        <w:pageBreakBefore w:val="0"/>
        <w:kinsoku/>
        <w:wordWrap/>
        <w:overflowPunct/>
        <w:topLinePunct w:val="0"/>
        <w:autoSpaceDE/>
        <w:autoSpaceDN/>
        <w:bidi w:val="0"/>
        <w:spacing w:line="360" w:lineRule="auto"/>
        <w:ind w:firstLine="480"/>
        <w:textAlignment w:val="auto"/>
      </w:pPr>
      <w:r>
        <w:rPr>
          <w:rFonts w:hint="eastAsia"/>
        </w:rPr>
        <w:t>8）光缆终端头的安装，须按照工艺要求将光缆端部切割修整，然后插入光缆终端。光缆中间头制作采用光纤熔接专用设备。</w:t>
      </w:r>
    </w:p>
    <w:p w14:paraId="71AAD2D2">
      <w:pPr>
        <w:pageBreakBefore w:val="0"/>
        <w:kinsoku/>
        <w:wordWrap/>
        <w:overflowPunct/>
        <w:topLinePunct w:val="0"/>
        <w:autoSpaceDE/>
        <w:autoSpaceDN/>
        <w:bidi w:val="0"/>
        <w:spacing w:before="120" w:after="120" w:line="360" w:lineRule="auto"/>
        <w:ind w:firstLine="480"/>
        <w:textAlignment w:val="auto"/>
      </w:pPr>
      <w:r>
        <w:rPr>
          <w:rFonts w:hint="eastAsia"/>
        </w:rPr>
        <w:t>9）计算机特殊电缆包括多种型式，大致分为两类，一类是同轴电缆，分为不同直径及不同屏蔽方式以及不同护套型式；另一类是双绞线，也分为不同的屏蔽方式及护套型式，特殊电缆均敷设在隧道或电缆室最顶层的带盖槽式桥架内，有些电缆还要去在槽式桥架内再放一路小的金属封闭线槽，将电缆敷设在小线槽内以加强屏蔽效果，这类电缆在穿出桥架后，还要在全路径上穿金属软管进行屏蔽，金属软管之间，软管与线槽之间要进行可靠的连接，并进行可靠接地，特殊电缆在接线时要统一规定接地端，防止屏蔽层两端都作接地。</w:t>
      </w:r>
    </w:p>
    <w:p w14:paraId="6A4F7A6D">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电控安装</w:t>
      </w:r>
    </w:p>
    <w:p w14:paraId="3C4AB29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1.配电柜的安装</w:t>
      </w:r>
    </w:p>
    <w:p w14:paraId="5B756D80">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工艺流程</w:t>
      </w:r>
    </w:p>
    <w:p w14:paraId="26DAA1BF">
      <w:pPr>
        <w:pageBreakBefore w:val="0"/>
        <w:widowControl/>
        <w:numPr>
          <w:ilvl w:val="0"/>
          <w:numId w:val="38"/>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盘柜运搬----吊至各安装位置----设备开箱检查----基础槽钢制安----盘柜安装----基础及盘柜接地安装</w:t>
      </w:r>
    </w:p>
    <w:p w14:paraId="5BEB2330">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1）技术要求</w:t>
      </w:r>
    </w:p>
    <w:p w14:paraId="2AD464D0">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盘柜运搬至现场，在进行运搬提吊过程中要保证其完好、无损，同时提吊所用的机具要满足使用要求，安全系数要可靠，提升过程中在保护好设备的同时，要注意施工人员的安全。</w:t>
      </w:r>
    </w:p>
    <w:p w14:paraId="28B6B150">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基础型钢安装完后，其顶部宜高出抹平地面10mm，且应有可行接地。</w:t>
      </w:r>
    </w:p>
    <w:p w14:paraId="03BB20BC">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盘柜安装其垂直度、水平度偏差及盘柜面偏差和盘柜间允许偏差如下：</w:t>
      </w:r>
    </w:p>
    <w:tbl>
      <w:tblPr>
        <w:tblStyle w:val="43"/>
        <w:tblW w:w="93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0"/>
        <w:gridCol w:w="5065"/>
        <w:gridCol w:w="1430"/>
      </w:tblGrid>
      <w:tr w14:paraId="00EB6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0" w:type="dxa"/>
            <w:tcBorders>
              <w:top w:val="single" w:color="auto" w:sz="4" w:space="0"/>
              <w:left w:val="single" w:color="auto" w:sz="4" w:space="0"/>
              <w:bottom w:val="single" w:color="auto" w:sz="4" w:space="0"/>
              <w:right w:val="single" w:color="auto" w:sz="4" w:space="0"/>
            </w:tcBorders>
            <w:vAlign w:val="center"/>
          </w:tcPr>
          <w:p w14:paraId="72D4A222">
            <w:pPr>
              <w:pageBreakBefore w:val="0"/>
              <w:kinsoku/>
              <w:wordWrap/>
              <w:overflowPunct/>
              <w:topLinePunct w:val="0"/>
              <w:autoSpaceDE/>
              <w:autoSpaceDN/>
              <w:bidi w:val="0"/>
              <w:spacing w:before="120" w:after="120" w:line="360" w:lineRule="auto"/>
              <w:jc w:val="center"/>
              <w:textAlignment w:val="auto"/>
              <w:rPr>
                <w:b/>
              </w:rPr>
            </w:pPr>
            <w:r>
              <w:rPr>
                <w:rFonts w:hint="eastAsia"/>
                <w:b/>
              </w:rPr>
              <w:t>项目</w:t>
            </w:r>
          </w:p>
        </w:tc>
        <w:tc>
          <w:tcPr>
            <w:tcW w:w="5064" w:type="dxa"/>
            <w:tcBorders>
              <w:top w:val="single" w:color="auto" w:sz="4" w:space="0"/>
              <w:left w:val="single" w:color="auto" w:sz="4" w:space="0"/>
              <w:bottom w:val="single" w:color="auto" w:sz="4" w:space="0"/>
              <w:right w:val="single" w:color="auto" w:sz="4" w:space="0"/>
            </w:tcBorders>
            <w:vAlign w:val="center"/>
          </w:tcPr>
          <w:p w14:paraId="2B37709A">
            <w:pPr>
              <w:pageBreakBefore w:val="0"/>
              <w:kinsoku/>
              <w:wordWrap/>
              <w:overflowPunct/>
              <w:topLinePunct w:val="0"/>
              <w:autoSpaceDE/>
              <w:autoSpaceDN/>
              <w:bidi w:val="0"/>
              <w:spacing w:before="120" w:after="120" w:line="360" w:lineRule="auto"/>
              <w:jc w:val="center"/>
              <w:textAlignment w:val="auto"/>
              <w:rPr>
                <w:b/>
              </w:rPr>
            </w:pPr>
            <w:r>
              <w:rPr>
                <w:rFonts w:hint="eastAsia"/>
                <w:b/>
              </w:rPr>
              <w:t>允许偏差（mm）</w:t>
            </w:r>
          </w:p>
        </w:tc>
        <w:tc>
          <w:tcPr>
            <w:tcW w:w="1430" w:type="dxa"/>
            <w:tcBorders>
              <w:top w:val="single" w:color="auto" w:sz="4" w:space="0"/>
              <w:left w:val="single" w:color="auto" w:sz="4" w:space="0"/>
              <w:bottom w:val="single" w:color="auto" w:sz="4" w:space="0"/>
              <w:right w:val="single" w:color="auto" w:sz="4" w:space="0"/>
            </w:tcBorders>
            <w:vAlign w:val="center"/>
          </w:tcPr>
          <w:p w14:paraId="12D71EBF">
            <w:pPr>
              <w:pageBreakBefore w:val="0"/>
              <w:kinsoku/>
              <w:wordWrap/>
              <w:overflowPunct/>
              <w:topLinePunct w:val="0"/>
              <w:autoSpaceDE/>
              <w:autoSpaceDN/>
              <w:bidi w:val="0"/>
              <w:spacing w:before="120" w:after="120" w:line="360" w:lineRule="auto"/>
              <w:jc w:val="center"/>
              <w:textAlignment w:val="auto"/>
              <w:rPr>
                <w:b/>
              </w:rPr>
            </w:pPr>
          </w:p>
        </w:tc>
      </w:tr>
      <w:tr w14:paraId="69736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0" w:type="dxa"/>
            <w:tcBorders>
              <w:top w:val="single" w:color="auto" w:sz="4" w:space="0"/>
              <w:left w:val="single" w:color="auto" w:sz="4" w:space="0"/>
              <w:bottom w:val="single" w:color="auto" w:sz="4" w:space="0"/>
              <w:right w:val="single" w:color="auto" w:sz="4" w:space="0"/>
            </w:tcBorders>
            <w:vAlign w:val="center"/>
          </w:tcPr>
          <w:p w14:paraId="7D9BC193">
            <w:pPr>
              <w:pageBreakBefore w:val="0"/>
              <w:kinsoku/>
              <w:wordWrap/>
              <w:overflowPunct/>
              <w:topLinePunct w:val="0"/>
              <w:autoSpaceDE/>
              <w:autoSpaceDN/>
              <w:bidi w:val="0"/>
              <w:spacing w:before="120" w:after="120" w:line="360" w:lineRule="auto"/>
              <w:jc w:val="center"/>
              <w:textAlignment w:val="auto"/>
            </w:pPr>
            <w:r>
              <w:rPr>
                <w:rFonts w:hint="eastAsia"/>
              </w:rPr>
              <w:t>垂直度</w:t>
            </w:r>
          </w:p>
        </w:tc>
        <w:tc>
          <w:tcPr>
            <w:tcW w:w="5064" w:type="dxa"/>
            <w:tcBorders>
              <w:top w:val="single" w:color="auto" w:sz="4" w:space="0"/>
              <w:left w:val="single" w:color="auto" w:sz="4" w:space="0"/>
              <w:bottom w:val="single" w:color="auto" w:sz="4" w:space="0"/>
              <w:right w:val="single" w:color="auto" w:sz="4" w:space="0"/>
            </w:tcBorders>
            <w:vAlign w:val="center"/>
          </w:tcPr>
          <w:p w14:paraId="128F3EA9">
            <w:pPr>
              <w:pageBreakBefore w:val="0"/>
              <w:kinsoku/>
              <w:wordWrap/>
              <w:overflowPunct/>
              <w:topLinePunct w:val="0"/>
              <w:autoSpaceDE/>
              <w:autoSpaceDN/>
              <w:bidi w:val="0"/>
              <w:spacing w:before="120" w:after="120" w:line="360" w:lineRule="auto"/>
              <w:jc w:val="center"/>
              <w:textAlignment w:val="auto"/>
            </w:pPr>
            <w:r>
              <w:rPr>
                <w:rFonts w:hint="eastAsia"/>
              </w:rPr>
              <w:t>＜1.5</w:t>
            </w:r>
          </w:p>
        </w:tc>
        <w:tc>
          <w:tcPr>
            <w:tcW w:w="1430" w:type="dxa"/>
            <w:tcBorders>
              <w:top w:val="single" w:color="auto" w:sz="4" w:space="0"/>
              <w:left w:val="single" w:color="auto" w:sz="4" w:space="0"/>
              <w:bottom w:val="single" w:color="auto" w:sz="4" w:space="0"/>
              <w:right w:val="single" w:color="auto" w:sz="4" w:space="0"/>
            </w:tcBorders>
            <w:vAlign w:val="center"/>
          </w:tcPr>
          <w:p w14:paraId="4FB1B3AF">
            <w:pPr>
              <w:pageBreakBefore w:val="0"/>
              <w:kinsoku/>
              <w:wordWrap/>
              <w:overflowPunct/>
              <w:topLinePunct w:val="0"/>
              <w:autoSpaceDE/>
              <w:autoSpaceDN/>
              <w:bidi w:val="0"/>
              <w:spacing w:before="120" w:after="120" w:line="360" w:lineRule="auto"/>
              <w:jc w:val="center"/>
              <w:textAlignment w:val="auto"/>
            </w:pPr>
          </w:p>
        </w:tc>
      </w:tr>
      <w:tr w14:paraId="7D036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0" w:type="dxa"/>
            <w:vMerge w:val="restart"/>
            <w:tcBorders>
              <w:top w:val="single" w:color="auto" w:sz="4" w:space="0"/>
              <w:left w:val="single" w:color="auto" w:sz="4" w:space="0"/>
              <w:bottom w:val="single" w:color="auto" w:sz="4" w:space="0"/>
              <w:right w:val="single" w:color="auto" w:sz="4" w:space="0"/>
            </w:tcBorders>
            <w:vAlign w:val="center"/>
          </w:tcPr>
          <w:p w14:paraId="0D6A6917">
            <w:pPr>
              <w:pageBreakBefore w:val="0"/>
              <w:kinsoku/>
              <w:wordWrap/>
              <w:overflowPunct/>
              <w:topLinePunct w:val="0"/>
              <w:autoSpaceDE/>
              <w:autoSpaceDN/>
              <w:bidi w:val="0"/>
              <w:spacing w:before="120" w:after="120" w:line="360" w:lineRule="auto"/>
              <w:jc w:val="center"/>
              <w:textAlignment w:val="auto"/>
            </w:pPr>
            <w:r>
              <w:rPr>
                <w:rFonts w:hint="eastAsia"/>
              </w:rPr>
              <w:t>水平偏差</w:t>
            </w:r>
          </w:p>
        </w:tc>
        <w:tc>
          <w:tcPr>
            <w:tcW w:w="5064" w:type="dxa"/>
            <w:tcBorders>
              <w:top w:val="single" w:color="auto" w:sz="4" w:space="0"/>
              <w:left w:val="single" w:color="auto" w:sz="4" w:space="0"/>
              <w:bottom w:val="single" w:color="auto" w:sz="4" w:space="0"/>
              <w:right w:val="single" w:color="auto" w:sz="4" w:space="0"/>
            </w:tcBorders>
            <w:vAlign w:val="center"/>
          </w:tcPr>
          <w:p w14:paraId="250BBFF9">
            <w:pPr>
              <w:pageBreakBefore w:val="0"/>
              <w:kinsoku/>
              <w:wordWrap/>
              <w:overflowPunct/>
              <w:topLinePunct w:val="0"/>
              <w:autoSpaceDE/>
              <w:autoSpaceDN/>
              <w:bidi w:val="0"/>
              <w:spacing w:before="120" w:after="120" w:line="360" w:lineRule="auto"/>
              <w:jc w:val="center"/>
              <w:textAlignment w:val="auto"/>
            </w:pPr>
            <w:r>
              <w:rPr>
                <w:rFonts w:hint="eastAsia"/>
              </w:rPr>
              <w:t>相邻两盘顶部</w:t>
            </w:r>
          </w:p>
        </w:tc>
        <w:tc>
          <w:tcPr>
            <w:tcW w:w="1430" w:type="dxa"/>
            <w:tcBorders>
              <w:top w:val="single" w:color="auto" w:sz="4" w:space="0"/>
              <w:left w:val="single" w:color="auto" w:sz="4" w:space="0"/>
              <w:bottom w:val="single" w:color="auto" w:sz="4" w:space="0"/>
              <w:right w:val="single" w:color="auto" w:sz="4" w:space="0"/>
            </w:tcBorders>
            <w:vAlign w:val="center"/>
          </w:tcPr>
          <w:p w14:paraId="150F66CF">
            <w:pPr>
              <w:pageBreakBefore w:val="0"/>
              <w:kinsoku/>
              <w:wordWrap/>
              <w:overflowPunct/>
              <w:topLinePunct w:val="0"/>
              <w:autoSpaceDE/>
              <w:autoSpaceDN/>
              <w:bidi w:val="0"/>
              <w:spacing w:before="120" w:after="120" w:line="360" w:lineRule="auto"/>
              <w:jc w:val="center"/>
              <w:textAlignment w:val="auto"/>
            </w:pPr>
            <w:r>
              <w:rPr>
                <w:rFonts w:hint="eastAsia"/>
              </w:rPr>
              <w:t>＜2</w:t>
            </w:r>
          </w:p>
        </w:tc>
      </w:tr>
      <w:tr w14:paraId="06511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4" w:type="dxa"/>
            <w:vMerge w:val="continue"/>
            <w:tcBorders>
              <w:top w:val="single" w:color="auto" w:sz="4" w:space="0"/>
              <w:left w:val="single" w:color="auto" w:sz="4" w:space="0"/>
              <w:bottom w:val="single" w:color="auto" w:sz="4" w:space="0"/>
              <w:right w:val="single" w:color="auto" w:sz="4" w:space="0"/>
            </w:tcBorders>
            <w:vAlign w:val="center"/>
          </w:tcPr>
          <w:p w14:paraId="6BFBACE4">
            <w:pPr>
              <w:pageBreakBefore w:val="0"/>
              <w:widowControl/>
              <w:kinsoku/>
              <w:wordWrap/>
              <w:overflowPunct/>
              <w:topLinePunct w:val="0"/>
              <w:autoSpaceDE/>
              <w:autoSpaceDN/>
              <w:bidi w:val="0"/>
              <w:spacing w:line="360" w:lineRule="auto"/>
              <w:textAlignment w:val="auto"/>
            </w:pPr>
          </w:p>
        </w:tc>
        <w:tc>
          <w:tcPr>
            <w:tcW w:w="5064" w:type="dxa"/>
            <w:tcBorders>
              <w:top w:val="single" w:color="auto" w:sz="4" w:space="0"/>
              <w:left w:val="single" w:color="auto" w:sz="4" w:space="0"/>
              <w:bottom w:val="single" w:color="auto" w:sz="4" w:space="0"/>
              <w:right w:val="single" w:color="auto" w:sz="4" w:space="0"/>
            </w:tcBorders>
            <w:vAlign w:val="center"/>
          </w:tcPr>
          <w:p w14:paraId="076317BD">
            <w:pPr>
              <w:pageBreakBefore w:val="0"/>
              <w:kinsoku/>
              <w:wordWrap/>
              <w:overflowPunct/>
              <w:topLinePunct w:val="0"/>
              <w:autoSpaceDE/>
              <w:autoSpaceDN/>
              <w:bidi w:val="0"/>
              <w:spacing w:before="120" w:after="120" w:line="360" w:lineRule="auto"/>
              <w:jc w:val="center"/>
              <w:textAlignment w:val="auto"/>
            </w:pPr>
            <w:r>
              <w:rPr>
                <w:rFonts w:hint="eastAsia"/>
              </w:rPr>
              <w:t>成列盘顶部</w:t>
            </w:r>
          </w:p>
        </w:tc>
        <w:tc>
          <w:tcPr>
            <w:tcW w:w="1430" w:type="dxa"/>
            <w:tcBorders>
              <w:top w:val="single" w:color="auto" w:sz="4" w:space="0"/>
              <w:left w:val="single" w:color="auto" w:sz="4" w:space="0"/>
              <w:bottom w:val="single" w:color="auto" w:sz="4" w:space="0"/>
              <w:right w:val="single" w:color="auto" w:sz="4" w:space="0"/>
            </w:tcBorders>
            <w:vAlign w:val="center"/>
          </w:tcPr>
          <w:p w14:paraId="0FD6A245">
            <w:pPr>
              <w:pageBreakBefore w:val="0"/>
              <w:kinsoku/>
              <w:wordWrap/>
              <w:overflowPunct/>
              <w:topLinePunct w:val="0"/>
              <w:autoSpaceDE/>
              <w:autoSpaceDN/>
              <w:bidi w:val="0"/>
              <w:spacing w:before="120" w:after="120" w:line="360" w:lineRule="auto"/>
              <w:jc w:val="center"/>
              <w:textAlignment w:val="auto"/>
            </w:pPr>
            <w:r>
              <w:rPr>
                <w:rFonts w:hint="eastAsia"/>
              </w:rPr>
              <w:t>＜5</w:t>
            </w:r>
          </w:p>
        </w:tc>
      </w:tr>
      <w:tr w14:paraId="49EC6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0" w:type="dxa"/>
            <w:vMerge w:val="restart"/>
            <w:tcBorders>
              <w:top w:val="single" w:color="auto" w:sz="4" w:space="0"/>
              <w:left w:val="single" w:color="auto" w:sz="4" w:space="0"/>
              <w:bottom w:val="single" w:color="auto" w:sz="4" w:space="0"/>
              <w:right w:val="single" w:color="auto" w:sz="4" w:space="0"/>
            </w:tcBorders>
            <w:vAlign w:val="center"/>
          </w:tcPr>
          <w:p w14:paraId="03819D61">
            <w:pPr>
              <w:pageBreakBefore w:val="0"/>
              <w:kinsoku/>
              <w:wordWrap/>
              <w:overflowPunct/>
              <w:topLinePunct w:val="0"/>
              <w:autoSpaceDE/>
              <w:autoSpaceDN/>
              <w:bidi w:val="0"/>
              <w:spacing w:before="120" w:after="120" w:line="360" w:lineRule="auto"/>
              <w:jc w:val="center"/>
              <w:textAlignment w:val="auto"/>
            </w:pPr>
            <w:r>
              <w:rPr>
                <w:rFonts w:hint="eastAsia"/>
              </w:rPr>
              <w:t>盘面偏差</w:t>
            </w:r>
          </w:p>
        </w:tc>
        <w:tc>
          <w:tcPr>
            <w:tcW w:w="5064" w:type="dxa"/>
            <w:tcBorders>
              <w:top w:val="single" w:color="auto" w:sz="4" w:space="0"/>
              <w:left w:val="single" w:color="auto" w:sz="4" w:space="0"/>
              <w:bottom w:val="single" w:color="auto" w:sz="4" w:space="0"/>
              <w:right w:val="single" w:color="auto" w:sz="4" w:space="0"/>
            </w:tcBorders>
            <w:vAlign w:val="center"/>
          </w:tcPr>
          <w:p w14:paraId="43E8CB5A">
            <w:pPr>
              <w:pageBreakBefore w:val="0"/>
              <w:kinsoku/>
              <w:wordWrap/>
              <w:overflowPunct/>
              <w:topLinePunct w:val="0"/>
              <w:autoSpaceDE/>
              <w:autoSpaceDN/>
              <w:bidi w:val="0"/>
              <w:spacing w:before="120" w:after="120" w:line="360" w:lineRule="auto"/>
              <w:jc w:val="center"/>
              <w:textAlignment w:val="auto"/>
            </w:pPr>
            <w:r>
              <w:rPr>
                <w:rFonts w:hint="eastAsia"/>
              </w:rPr>
              <w:t>相邻两盘边</w:t>
            </w:r>
          </w:p>
        </w:tc>
        <w:tc>
          <w:tcPr>
            <w:tcW w:w="1430" w:type="dxa"/>
            <w:tcBorders>
              <w:top w:val="single" w:color="auto" w:sz="4" w:space="0"/>
              <w:left w:val="single" w:color="auto" w:sz="4" w:space="0"/>
              <w:bottom w:val="single" w:color="auto" w:sz="4" w:space="0"/>
              <w:right w:val="single" w:color="auto" w:sz="4" w:space="0"/>
            </w:tcBorders>
            <w:vAlign w:val="center"/>
          </w:tcPr>
          <w:p w14:paraId="468AD589">
            <w:pPr>
              <w:pageBreakBefore w:val="0"/>
              <w:kinsoku/>
              <w:wordWrap/>
              <w:overflowPunct/>
              <w:topLinePunct w:val="0"/>
              <w:autoSpaceDE/>
              <w:autoSpaceDN/>
              <w:bidi w:val="0"/>
              <w:spacing w:before="120" w:after="120" w:line="360" w:lineRule="auto"/>
              <w:jc w:val="center"/>
              <w:textAlignment w:val="auto"/>
            </w:pPr>
            <w:r>
              <w:rPr>
                <w:rFonts w:hint="eastAsia"/>
              </w:rPr>
              <w:t>＜1</w:t>
            </w:r>
          </w:p>
        </w:tc>
      </w:tr>
      <w:tr w14:paraId="7D9E0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4" w:type="dxa"/>
            <w:vMerge w:val="continue"/>
            <w:tcBorders>
              <w:top w:val="single" w:color="auto" w:sz="4" w:space="0"/>
              <w:left w:val="single" w:color="auto" w:sz="4" w:space="0"/>
              <w:bottom w:val="single" w:color="auto" w:sz="4" w:space="0"/>
              <w:right w:val="single" w:color="auto" w:sz="4" w:space="0"/>
            </w:tcBorders>
            <w:vAlign w:val="center"/>
          </w:tcPr>
          <w:p w14:paraId="53FB446C">
            <w:pPr>
              <w:pageBreakBefore w:val="0"/>
              <w:widowControl/>
              <w:kinsoku/>
              <w:wordWrap/>
              <w:overflowPunct/>
              <w:topLinePunct w:val="0"/>
              <w:autoSpaceDE/>
              <w:autoSpaceDN/>
              <w:bidi w:val="0"/>
              <w:spacing w:line="360" w:lineRule="auto"/>
              <w:textAlignment w:val="auto"/>
            </w:pPr>
          </w:p>
        </w:tc>
        <w:tc>
          <w:tcPr>
            <w:tcW w:w="5064" w:type="dxa"/>
            <w:tcBorders>
              <w:top w:val="single" w:color="auto" w:sz="4" w:space="0"/>
              <w:left w:val="single" w:color="auto" w:sz="4" w:space="0"/>
              <w:bottom w:val="single" w:color="auto" w:sz="4" w:space="0"/>
              <w:right w:val="single" w:color="auto" w:sz="4" w:space="0"/>
            </w:tcBorders>
            <w:vAlign w:val="center"/>
          </w:tcPr>
          <w:p w14:paraId="6F6655FC">
            <w:pPr>
              <w:pageBreakBefore w:val="0"/>
              <w:kinsoku/>
              <w:wordWrap/>
              <w:overflowPunct/>
              <w:topLinePunct w:val="0"/>
              <w:autoSpaceDE/>
              <w:autoSpaceDN/>
              <w:bidi w:val="0"/>
              <w:spacing w:before="120" w:after="120" w:line="360" w:lineRule="auto"/>
              <w:jc w:val="center"/>
              <w:textAlignment w:val="auto"/>
            </w:pPr>
            <w:r>
              <w:rPr>
                <w:rFonts w:hint="eastAsia"/>
              </w:rPr>
              <w:t>成列盘面</w:t>
            </w:r>
          </w:p>
        </w:tc>
        <w:tc>
          <w:tcPr>
            <w:tcW w:w="1430" w:type="dxa"/>
            <w:tcBorders>
              <w:top w:val="single" w:color="auto" w:sz="4" w:space="0"/>
              <w:left w:val="single" w:color="auto" w:sz="4" w:space="0"/>
              <w:bottom w:val="single" w:color="auto" w:sz="4" w:space="0"/>
              <w:right w:val="single" w:color="auto" w:sz="4" w:space="0"/>
            </w:tcBorders>
            <w:vAlign w:val="center"/>
          </w:tcPr>
          <w:p w14:paraId="0B6ABEB9">
            <w:pPr>
              <w:pageBreakBefore w:val="0"/>
              <w:kinsoku/>
              <w:wordWrap/>
              <w:overflowPunct/>
              <w:topLinePunct w:val="0"/>
              <w:autoSpaceDE/>
              <w:autoSpaceDN/>
              <w:bidi w:val="0"/>
              <w:spacing w:before="120" w:after="120" w:line="360" w:lineRule="auto"/>
              <w:jc w:val="center"/>
              <w:textAlignment w:val="auto"/>
            </w:pPr>
            <w:r>
              <w:rPr>
                <w:rFonts w:hint="eastAsia"/>
              </w:rPr>
              <w:t>＜5</w:t>
            </w:r>
          </w:p>
        </w:tc>
      </w:tr>
      <w:tr w14:paraId="19956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14" w:type="dxa"/>
            <w:gridSpan w:val="2"/>
            <w:tcBorders>
              <w:top w:val="single" w:color="auto" w:sz="4" w:space="0"/>
              <w:left w:val="single" w:color="auto" w:sz="4" w:space="0"/>
              <w:bottom w:val="single" w:color="auto" w:sz="4" w:space="0"/>
              <w:right w:val="single" w:color="auto" w:sz="4" w:space="0"/>
            </w:tcBorders>
            <w:vAlign w:val="center"/>
          </w:tcPr>
          <w:p w14:paraId="2DE11ECF">
            <w:pPr>
              <w:pageBreakBefore w:val="0"/>
              <w:kinsoku/>
              <w:wordWrap/>
              <w:overflowPunct/>
              <w:topLinePunct w:val="0"/>
              <w:autoSpaceDE/>
              <w:autoSpaceDN/>
              <w:bidi w:val="0"/>
              <w:spacing w:before="120" w:after="120" w:line="360" w:lineRule="auto"/>
              <w:jc w:val="center"/>
              <w:textAlignment w:val="auto"/>
            </w:pPr>
            <w:r>
              <w:rPr>
                <w:rFonts w:hint="eastAsia"/>
              </w:rPr>
              <w:t>盘间接缝</w:t>
            </w:r>
          </w:p>
        </w:tc>
        <w:tc>
          <w:tcPr>
            <w:tcW w:w="1430" w:type="dxa"/>
            <w:tcBorders>
              <w:top w:val="single" w:color="auto" w:sz="4" w:space="0"/>
              <w:left w:val="single" w:color="auto" w:sz="4" w:space="0"/>
              <w:bottom w:val="single" w:color="auto" w:sz="4" w:space="0"/>
              <w:right w:val="single" w:color="auto" w:sz="4" w:space="0"/>
            </w:tcBorders>
            <w:vAlign w:val="center"/>
          </w:tcPr>
          <w:p w14:paraId="18913922">
            <w:pPr>
              <w:pageBreakBefore w:val="0"/>
              <w:kinsoku/>
              <w:wordWrap/>
              <w:overflowPunct/>
              <w:topLinePunct w:val="0"/>
              <w:autoSpaceDE/>
              <w:autoSpaceDN/>
              <w:bidi w:val="0"/>
              <w:spacing w:before="120" w:after="120" w:line="360" w:lineRule="auto"/>
              <w:jc w:val="center"/>
              <w:textAlignment w:val="auto"/>
            </w:pPr>
            <w:r>
              <w:rPr>
                <w:rFonts w:hint="eastAsia"/>
              </w:rPr>
              <w:t>＜2</w:t>
            </w:r>
          </w:p>
        </w:tc>
      </w:tr>
    </w:tbl>
    <w:p w14:paraId="49FB1E59">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盘柜安装就位后，可采用扁钢40×4或16mm</w:t>
      </w:r>
      <w:r>
        <w:rPr>
          <w:rFonts w:hint="eastAsia"/>
          <w:vertAlign w:val="superscript"/>
        </w:rPr>
        <w:t>2</w:t>
      </w:r>
      <w:r>
        <w:rPr>
          <w:rFonts w:hint="eastAsia"/>
        </w:rPr>
        <w:t>铜线与基础槽钢可靠连接，确保接地可靠。</w:t>
      </w:r>
    </w:p>
    <w:p w14:paraId="35779EAD">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引入盘柜的电缆应排列整齐，编号清晰，避免交叉，并应可靠固定，不应使所接的端子排受到机械应力，铠装电缆在进入盘柜后，将钢带锯断，切断处的端部应扎紧，并应将钢带接地。</w:t>
      </w:r>
    </w:p>
    <w:p w14:paraId="11C8EF3F">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强弱电回路不应使用同一根电缆，并应分别成束分开排列。</w:t>
      </w:r>
    </w:p>
    <w:p w14:paraId="70AFD9C4">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每个盘柜需要有接地装置。</w:t>
      </w:r>
    </w:p>
    <w:p w14:paraId="0FD03405">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2）电缆头制作安装</w:t>
      </w:r>
    </w:p>
    <w:p w14:paraId="4911C8C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高、低压电缆头制作要按照工艺要求进行操作，高压电缆头采用热缩式电缆头，具体工艺要求如下：</w:t>
      </w:r>
    </w:p>
    <w:p w14:paraId="316CC430">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制作电缆终端与接头，从剥切电缆开始应连续操作至完成，缩短绝缘暴露时间，剥切电缆时不应损伤线芯和保留的绝缘层，附加绝缘的包绕、装配、热缩等应清洁，热缩电缆头具体按其说明书进行操作。</w:t>
      </w:r>
    </w:p>
    <w:p w14:paraId="34771C41">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三芯电力电缆终端处的金属护层必须接地良好，塑料电缆每相铜屏蔽和铠装应锡焊接地线，电缆通过零序电流互感器时，电缆金属护层和接地线应对地绝缘，电缆接地点在互感器以下时，接地线应直接接地，接地点在互感器以上时，接地线应穿过互感器接地。</w:t>
      </w:r>
    </w:p>
    <w:p w14:paraId="403B454F">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电缆终端上应有明显的相色标志，且应与系统的相位一致。</w:t>
      </w:r>
    </w:p>
    <w:p w14:paraId="6019CF39">
      <w:pPr>
        <w:pageBreakBefore w:val="0"/>
        <w:widowControl/>
        <w:numPr>
          <w:ilvl w:val="0"/>
          <w:numId w:val="39"/>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控制电缆终端可采用一般包扎，接头应有防潮措施。</w:t>
      </w:r>
    </w:p>
    <w:p w14:paraId="175F6244">
      <w:pPr>
        <w:pStyle w:val="12"/>
        <w:pageBreakBefore w:val="0"/>
        <w:numPr>
          <w:ilvl w:val="4"/>
          <w:numId w:val="12"/>
        </w:numPr>
        <w:kinsoku/>
        <w:wordWrap/>
        <w:overflowPunct/>
        <w:topLinePunct w:val="0"/>
        <w:autoSpaceDE/>
        <w:autoSpaceDN/>
        <w:bidi w:val="0"/>
        <w:spacing w:line="360" w:lineRule="auto"/>
        <w:textAlignment w:val="auto"/>
      </w:pPr>
      <w:bookmarkStart w:id="396" w:name="_Toc261759040"/>
      <w:r>
        <w:rPr>
          <w:rFonts w:hint="eastAsia"/>
        </w:rPr>
        <w:t>项目验收方案</w:t>
      </w:r>
      <w:bookmarkEnd w:id="396"/>
    </w:p>
    <w:p w14:paraId="52DA117E">
      <w:pPr>
        <w:pageBreakBefore w:val="0"/>
        <w:kinsoku/>
        <w:wordWrap/>
        <w:overflowPunct/>
        <w:topLinePunct w:val="0"/>
        <w:autoSpaceDE/>
        <w:autoSpaceDN/>
        <w:bidi w:val="0"/>
        <w:spacing w:before="120" w:after="120" w:line="360" w:lineRule="auto"/>
        <w:ind w:firstLine="484" w:firstLineChars="202"/>
        <w:textAlignment w:val="auto"/>
      </w:pPr>
      <w:r>
        <w:rPr>
          <w:rFonts w:hint="eastAsia"/>
        </w:rPr>
        <w:t>按照不同的阶段（生产出厂阶段、安装调试阶段），对系统进行验收。生产出厂阶段主要针对单机，考核是否按图生产、是否采用合格的部件、单机性能是否满足性能要求；安装调试阶段主要针对整个系统，考核安装质量是否符合规范要求、调试质量是否达到标准、整个系统能力是否满足设计要求。标准设备在承认产品出厂合格证的基础上，重点进行接口和能力验收；非标设备在设计、外购件选用、加工、组装时严格按照我方通用、专用技术规格书进行作业，现场安调结束，按规范验收合格后，与标准设备一并进行全系统的接口和能力验收。</w:t>
      </w:r>
    </w:p>
    <w:p w14:paraId="509262A0">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验收目的</w:t>
      </w:r>
    </w:p>
    <w:p w14:paraId="26D77420">
      <w:pPr>
        <w:pageBreakBefore w:val="0"/>
        <w:kinsoku/>
        <w:wordWrap/>
        <w:overflowPunct/>
        <w:topLinePunct w:val="0"/>
        <w:autoSpaceDE/>
        <w:autoSpaceDN/>
        <w:bidi w:val="0"/>
        <w:spacing w:before="120" w:after="120" w:line="360" w:lineRule="auto"/>
        <w:ind w:firstLine="420"/>
        <w:textAlignment w:val="auto"/>
      </w:pPr>
      <w:r>
        <w:rPr>
          <w:rFonts w:hint="eastAsia"/>
        </w:rPr>
        <w:t>验收是项目从实施到售后维护的一个过渡阶段，验收通过之后实施的项目正式实施完成，项目进入系统售后维护阶段。验收是项目建设过程的一个里程碑，说明项目建设完成了实施这一过程，进入了下一个阶段。</w:t>
      </w:r>
    </w:p>
    <w:p w14:paraId="2CA9BD99">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验收前提条件</w:t>
      </w:r>
    </w:p>
    <w:p w14:paraId="490D2204">
      <w:pPr>
        <w:pageBreakBefore w:val="0"/>
        <w:kinsoku/>
        <w:wordWrap/>
        <w:overflowPunct/>
        <w:topLinePunct w:val="0"/>
        <w:autoSpaceDE/>
        <w:autoSpaceDN/>
        <w:bidi w:val="0"/>
        <w:spacing w:before="120" w:after="120" w:line="360" w:lineRule="auto"/>
        <w:ind w:firstLine="420"/>
        <w:textAlignment w:val="auto"/>
      </w:pPr>
      <w:r>
        <w:rPr>
          <w:rFonts w:hint="eastAsia"/>
        </w:rPr>
        <w:t>1）从多方的反馈和产品稳定性方面来看，产品的运行已经进入正轨，需求的响应也已基本完成；</w:t>
      </w:r>
    </w:p>
    <w:p w14:paraId="719E89CD">
      <w:pPr>
        <w:pageBreakBefore w:val="0"/>
        <w:kinsoku/>
        <w:wordWrap/>
        <w:overflowPunct/>
        <w:topLinePunct w:val="0"/>
        <w:autoSpaceDE/>
        <w:autoSpaceDN/>
        <w:bidi w:val="0"/>
        <w:spacing w:before="120" w:after="120" w:line="360" w:lineRule="auto"/>
        <w:ind w:firstLine="420"/>
        <w:textAlignment w:val="auto"/>
      </w:pPr>
      <w:r>
        <w:rPr>
          <w:rFonts w:hint="eastAsia"/>
        </w:rPr>
        <w:t>2）需要相关使用科室主要负责人签字；</w:t>
      </w:r>
    </w:p>
    <w:p w14:paraId="390ACFC5">
      <w:pPr>
        <w:pageBreakBefore w:val="0"/>
        <w:kinsoku/>
        <w:wordWrap/>
        <w:overflowPunct/>
        <w:topLinePunct w:val="0"/>
        <w:autoSpaceDE/>
        <w:autoSpaceDN/>
        <w:bidi w:val="0"/>
        <w:spacing w:before="120" w:after="120" w:line="360" w:lineRule="auto"/>
        <w:ind w:firstLine="420"/>
        <w:textAlignment w:val="auto"/>
      </w:pPr>
      <w:r>
        <w:rPr>
          <w:rFonts w:hint="eastAsia"/>
        </w:rPr>
        <w:t>3）按照合同要求全部建成，并满足使用要求；</w:t>
      </w:r>
    </w:p>
    <w:p w14:paraId="12B99987">
      <w:pPr>
        <w:pageBreakBefore w:val="0"/>
        <w:kinsoku/>
        <w:wordWrap/>
        <w:overflowPunct/>
        <w:topLinePunct w:val="0"/>
        <w:autoSpaceDE/>
        <w:autoSpaceDN/>
        <w:bidi w:val="0"/>
        <w:spacing w:before="120" w:after="120" w:line="360" w:lineRule="auto"/>
        <w:ind w:firstLine="420"/>
        <w:textAlignment w:val="auto"/>
      </w:pPr>
      <w:r>
        <w:rPr>
          <w:rFonts w:hint="eastAsia"/>
        </w:rPr>
        <w:t>4）合同或合同附件规定的其他验收条件。</w:t>
      </w:r>
    </w:p>
    <w:p w14:paraId="7C1D1072">
      <w:pPr>
        <w:pStyle w:val="13"/>
        <w:pageBreakBefore w:val="0"/>
        <w:numPr>
          <w:ilvl w:val="5"/>
          <w:numId w:val="12"/>
        </w:numPr>
        <w:kinsoku/>
        <w:wordWrap/>
        <w:overflowPunct/>
        <w:topLinePunct w:val="0"/>
        <w:autoSpaceDE/>
        <w:autoSpaceDN/>
        <w:bidi w:val="0"/>
        <w:spacing w:line="360" w:lineRule="auto"/>
        <w:textAlignment w:val="auto"/>
        <w:rPr>
          <w:szCs w:val="24"/>
        </w:rPr>
      </w:pPr>
      <w:r>
        <w:rPr>
          <w:rFonts w:hint="eastAsia"/>
          <w:szCs w:val="24"/>
        </w:rPr>
        <w:t>验收流程</w:t>
      </w:r>
    </w:p>
    <w:p w14:paraId="1912528A">
      <w:pPr>
        <w:pageBreakBefore w:val="0"/>
        <w:kinsoku/>
        <w:wordWrap/>
        <w:overflowPunct/>
        <w:topLinePunct w:val="0"/>
        <w:autoSpaceDE/>
        <w:autoSpaceDN/>
        <w:bidi w:val="0"/>
        <w:spacing w:before="120" w:after="120" w:line="360" w:lineRule="auto"/>
        <w:ind w:firstLine="422"/>
        <w:textAlignment w:val="auto"/>
        <w:rPr>
          <w:rFonts w:cs="宋体"/>
          <w:b/>
        </w:rPr>
      </w:pPr>
      <w:r>
        <w:rPr>
          <w:rFonts w:hint="eastAsia" w:cs="宋体"/>
          <w:b/>
        </w:rPr>
        <w:t>（一）初验</w:t>
      </w:r>
    </w:p>
    <w:p w14:paraId="56A49DCB">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1、申请：产品后经测试和试运行合格，我司根据合同、计划任务书，检查、总结项目完成情况后向建设方提出初验申请。</w:t>
      </w:r>
    </w:p>
    <w:p w14:paraId="43102CD2">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2、方式：建设方组织人员进行初验。</w:t>
      </w:r>
    </w:p>
    <w:p w14:paraId="7E9CA05F">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3、我司提供材料：初验申请书、完工报告、项目总结，以及要求的验收评审资料。</w:t>
      </w:r>
    </w:p>
    <w:p w14:paraId="3B275823">
      <w:pPr>
        <w:pageBreakBefore w:val="0"/>
        <w:kinsoku/>
        <w:wordWrap/>
        <w:overflowPunct/>
        <w:topLinePunct w:val="0"/>
        <w:autoSpaceDE/>
        <w:autoSpaceDN/>
        <w:bidi w:val="0"/>
        <w:spacing w:before="120" w:after="120" w:line="360" w:lineRule="auto"/>
        <w:ind w:firstLine="422"/>
        <w:textAlignment w:val="auto"/>
        <w:rPr>
          <w:rFonts w:cs="宋体"/>
          <w:b/>
        </w:rPr>
      </w:pPr>
      <w:r>
        <w:rPr>
          <w:rFonts w:hint="eastAsia" w:cs="宋体"/>
          <w:b/>
        </w:rPr>
        <w:t>（二）终验</w:t>
      </w:r>
    </w:p>
    <w:p w14:paraId="44C0F965">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1、申请：初验合格后，供应商根据合同、招标书、任务书，检查、总结项目组织实施和完成情况后向使用方提出验收申请。</w:t>
      </w:r>
    </w:p>
    <w:p w14:paraId="121C46FC">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2、经过审核，材料齐全则由使用方组织验收。验收工作由专家、使用方和我司项目组人员一起组成验收小组进行验收，验收后提交验收报告。</w:t>
      </w:r>
    </w:p>
    <w:p w14:paraId="6E311FD6">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3、验收签字</w:t>
      </w:r>
    </w:p>
    <w:p w14:paraId="26D787BB">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我司提交验收所需的全部文档，经过验收、评审形成的验收报告和评审报告，使用方签字，通过终验。</w:t>
      </w:r>
    </w:p>
    <w:p w14:paraId="79BC2B6C">
      <w:pPr>
        <w:pageBreakBefore w:val="0"/>
        <w:kinsoku/>
        <w:wordWrap/>
        <w:overflowPunct/>
        <w:topLinePunct w:val="0"/>
        <w:autoSpaceDE/>
        <w:autoSpaceDN/>
        <w:bidi w:val="0"/>
        <w:spacing w:before="120" w:after="120" w:line="360" w:lineRule="auto"/>
        <w:ind w:firstLine="422"/>
        <w:textAlignment w:val="auto"/>
        <w:rPr>
          <w:rFonts w:cs="宋体"/>
          <w:b/>
        </w:rPr>
      </w:pPr>
      <w:r>
        <w:rPr>
          <w:rFonts w:hint="eastAsia" w:cs="宋体"/>
          <w:b/>
        </w:rPr>
        <w:t>（三）项目移交</w:t>
      </w:r>
    </w:p>
    <w:p w14:paraId="033DD6B9">
      <w:pPr>
        <w:pageBreakBefore w:val="0"/>
        <w:kinsoku/>
        <w:wordWrap/>
        <w:overflowPunct/>
        <w:topLinePunct w:val="0"/>
        <w:autoSpaceDE/>
        <w:autoSpaceDN/>
        <w:bidi w:val="0"/>
        <w:spacing w:before="120" w:after="120" w:line="360" w:lineRule="auto"/>
        <w:ind w:firstLine="420"/>
        <w:textAlignment w:val="auto"/>
      </w:pPr>
      <w:r>
        <w:rPr>
          <w:rFonts w:hint="eastAsia"/>
        </w:rPr>
        <w:t>项目验收合格后，我司办理项目交接手续，移交我司售后服务部。</w:t>
      </w:r>
    </w:p>
    <w:bookmarkEnd w:id="354"/>
    <w:bookmarkEnd w:id="355"/>
    <w:bookmarkEnd w:id="356"/>
    <w:bookmarkEnd w:id="357"/>
    <w:bookmarkEnd w:id="358"/>
    <w:bookmarkEnd w:id="359"/>
    <w:bookmarkEnd w:id="360"/>
    <w:bookmarkEnd w:id="361"/>
    <w:bookmarkEnd w:id="362"/>
    <w:bookmarkEnd w:id="363"/>
    <w:bookmarkEnd w:id="364"/>
    <w:bookmarkEnd w:id="383"/>
    <w:bookmarkEnd w:id="384"/>
    <w:bookmarkEnd w:id="385"/>
    <w:bookmarkEnd w:id="386"/>
    <w:bookmarkEnd w:id="387"/>
    <w:bookmarkEnd w:id="388"/>
    <w:p w14:paraId="51E6B41E">
      <w:pPr>
        <w:pStyle w:val="10"/>
        <w:pageBreakBefore w:val="0"/>
        <w:numPr>
          <w:ilvl w:val="3"/>
          <w:numId w:val="12"/>
        </w:numPr>
        <w:kinsoku/>
        <w:wordWrap/>
        <w:overflowPunct/>
        <w:topLinePunct w:val="0"/>
        <w:autoSpaceDE/>
        <w:autoSpaceDN/>
        <w:bidi w:val="0"/>
        <w:spacing w:line="360" w:lineRule="auto"/>
        <w:ind w:left="425" w:firstLine="41" w:firstLineChars="17"/>
        <w:textAlignment w:val="auto"/>
      </w:pPr>
      <w:bookmarkStart w:id="397" w:name="_Toc246531968"/>
      <w:bookmarkStart w:id="398" w:name="_Toc866469997"/>
      <w:r>
        <w:rPr>
          <w:rFonts w:hint="eastAsia"/>
        </w:rPr>
        <w:t>项目会议</w:t>
      </w:r>
      <w:bookmarkEnd w:id="397"/>
      <w:bookmarkEnd w:id="398"/>
    </w:p>
    <w:tbl>
      <w:tblPr>
        <w:tblStyle w:val="43"/>
        <w:tblW w:w="9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994"/>
        <w:gridCol w:w="2381"/>
        <w:gridCol w:w="2678"/>
        <w:gridCol w:w="518"/>
      </w:tblGrid>
      <w:tr w14:paraId="4CC78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773" w:type="dxa"/>
            <w:tcBorders>
              <w:top w:val="single" w:color="auto" w:sz="4" w:space="0"/>
              <w:left w:val="single" w:color="auto" w:sz="4" w:space="0"/>
              <w:bottom w:val="single" w:color="auto" w:sz="4" w:space="0"/>
              <w:right w:val="single" w:color="auto" w:sz="4" w:space="0"/>
            </w:tcBorders>
            <w:vAlign w:val="center"/>
          </w:tcPr>
          <w:p w14:paraId="1CAFB7EA">
            <w:pPr>
              <w:pageBreakBefore w:val="0"/>
              <w:kinsoku/>
              <w:wordWrap/>
              <w:overflowPunct/>
              <w:topLinePunct w:val="0"/>
              <w:autoSpaceDE/>
              <w:autoSpaceDN/>
              <w:bidi w:val="0"/>
              <w:spacing w:before="120" w:after="120" w:line="360" w:lineRule="auto"/>
              <w:jc w:val="center"/>
              <w:textAlignment w:val="auto"/>
              <w:rPr>
                <w:b/>
              </w:rPr>
            </w:pPr>
            <w:r>
              <w:rPr>
                <w:rFonts w:hint="eastAsia"/>
                <w:b/>
              </w:rPr>
              <w:t>主题</w:t>
            </w:r>
          </w:p>
        </w:tc>
        <w:tc>
          <w:tcPr>
            <w:tcW w:w="2994" w:type="dxa"/>
            <w:tcBorders>
              <w:top w:val="single" w:color="auto" w:sz="4" w:space="0"/>
              <w:left w:val="single" w:color="auto" w:sz="4" w:space="0"/>
              <w:bottom w:val="single" w:color="auto" w:sz="4" w:space="0"/>
              <w:right w:val="single" w:color="auto" w:sz="4" w:space="0"/>
            </w:tcBorders>
            <w:vAlign w:val="center"/>
          </w:tcPr>
          <w:p w14:paraId="51F8511B">
            <w:pPr>
              <w:pageBreakBefore w:val="0"/>
              <w:kinsoku/>
              <w:wordWrap/>
              <w:overflowPunct/>
              <w:topLinePunct w:val="0"/>
              <w:autoSpaceDE/>
              <w:autoSpaceDN/>
              <w:bidi w:val="0"/>
              <w:spacing w:before="120" w:after="120" w:line="360" w:lineRule="auto"/>
              <w:jc w:val="center"/>
              <w:textAlignment w:val="auto"/>
              <w:rPr>
                <w:b/>
              </w:rPr>
            </w:pPr>
            <w:r>
              <w:rPr>
                <w:rFonts w:hint="eastAsia"/>
                <w:b/>
              </w:rPr>
              <w:t>具体内容</w:t>
            </w:r>
          </w:p>
        </w:tc>
        <w:tc>
          <w:tcPr>
            <w:tcW w:w="2381" w:type="dxa"/>
            <w:tcBorders>
              <w:top w:val="single" w:color="auto" w:sz="4" w:space="0"/>
              <w:left w:val="single" w:color="auto" w:sz="4" w:space="0"/>
              <w:bottom w:val="single" w:color="auto" w:sz="4" w:space="0"/>
              <w:right w:val="single" w:color="auto" w:sz="4" w:space="0"/>
            </w:tcBorders>
            <w:vAlign w:val="center"/>
          </w:tcPr>
          <w:p w14:paraId="616E54D8">
            <w:pPr>
              <w:pageBreakBefore w:val="0"/>
              <w:kinsoku/>
              <w:wordWrap/>
              <w:overflowPunct/>
              <w:topLinePunct w:val="0"/>
              <w:autoSpaceDE/>
              <w:autoSpaceDN/>
              <w:bidi w:val="0"/>
              <w:spacing w:before="120" w:after="120" w:line="360" w:lineRule="auto"/>
              <w:jc w:val="center"/>
              <w:textAlignment w:val="auto"/>
              <w:rPr>
                <w:b/>
              </w:rPr>
            </w:pPr>
            <w:r>
              <w:rPr>
                <w:rFonts w:hint="eastAsia"/>
                <w:b/>
              </w:rPr>
              <w:t>参与人</w:t>
            </w:r>
          </w:p>
        </w:tc>
        <w:tc>
          <w:tcPr>
            <w:tcW w:w="2678" w:type="dxa"/>
            <w:tcBorders>
              <w:top w:val="single" w:color="auto" w:sz="4" w:space="0"/>
              <w:left w:val="single" w:color="auto" w:sz="4" w:space="0"/>
              <w:bottom w:val="single" w:color="auto" w:sz="4" w:space="0"/>
              <w:right w:val="single" w:color="auto" w:sz="4" w:space="0"/>
            </w:tcBorders>
            <w:vAlign w:val="center"/>
          </w:tcPr>
          <w:p w14:paraId="77218185">
            <w:pPr>
              <w:pageBreakBefore w:val="0"/>
              <w:kinsoku/>
              <w:wordWrap/>
              <w:overflowPunct/>
              <w:topLinePunct w:val="0"/>
              <w:autoSpaceDE/>
              <w:autoSpaceDN/>
              <w:bidi w:val="0"/>
              <w:spacing w:before="120" w:after="120" w:line="360" w:lineRule="auto"/>
              <w:jc w:val="center"/>
              <w:textAlignment w:val="auto"/>
              <w:rPr>
                <w:b/>
              </w:rPr>
            </w:pPr>
            <w:r>
              <w:rPr>
                <w:rFonts w:hint="eastAsia"/>
                <w:b/>
              </w:rPr>
              <w:t>形成结果</w:t>
            </w:r>
          </w:p>
        </w:tc>
        <w:tc>
          <w:tcPr>
            <w:tcW w:w="518" w:type="dxa"/>
            <w:tcBorders>
              <w:top w:val="single" w:color="auto" w:sz="4" w:space="0"/>
              <w:left w:val="single" w:color="auto" w:sz="4" w:space="0"/>
              <w:bottom w:val="single" w:color="auto" w:sz="4" w:space="0"/>
              <w:right w:val="single" w:color="auto" w:sz="4" w:space="0"/>
            </w:tcBorders>
            <w:vAlign w:val="center"/>
          </w:tcPr>
          <w:p w14:paraId="3A922A3D">
            <w:pPr>
              <w:pageBreakBefore w:val="0"/>
              <w:kinsoku/>
              <w:wordWrap/>
              <w:overflowPunct/>
              <w:topLinePunct w:val="0"/>
              <w:autoSpaceDE/>
              <w:autoSpaceDN/>
              <w:bidi w:val="0"/>
              <w:spacing w:before="120" w:after="120" w:line="360" w:lineRule="auto"/>
              <w:jc w:val="center"/>
              <w:textAlignment w:val="auto"/>
              <w:rPr>
                <w:b/>
              </w:rPr>
            </w:pPr>
            <w:r>
              <w:rPr>
                <w:rFonts w:hint="eastAsia"/>
                <w:b/>
              </w:rPr>
              <w:t>备注</w:t>
            </w:r>
          </w:p>
        </w:tc>
      </w:tr>
      <w:tr w14:paraId="28D54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tcBorders>
              <w:top w:val="single" w:color="auto" w:sz="4" w:space="0"/>
              <w:left w:val="single" w:color="auto" w:sz="4" w:space="0"/>
              <w:bottom w:val="single" w:color="auto" w:sz="4" w:space="0"/>
              <w:right w:val="single" w:color="auto" w:sz="4" w:space="0"/>
            </w:tcBorders>
            <w:vAlign w:val="center"/>
          </w:tcPr>
          <w:p w14:paraId="2BA713B0">
            <w:pPr>
              <w:pageBreakBefore w:val="0"/>
              <w:kinsoku/>
              <w:wordWrap/>
              <w:overflowPunct/>
              <w:topLinePunct w:val="0"/>
              <w:autoSpaceDE/>
              <w:autoSpaceDN/>
              <w:bidi w:val="0"/>
              <w:spacing w:before="120" w:after="120" w:line="360" w:lineRule="auto"/>
              <w:jc w:val="center"/>
              <w:textAlignment w:val="auto"/>
            </w:pPr>
            <w:r>
              <w:rPr>
                <w:rFonts w:hint="eastAsia"/>
              </w:rPr>
              <w:t>工程开始</w:t>
            </w:r>
          </w:p>
        </w:tc>
        <w:tc>
          <w:tcPr>
            <w:tcW w:w="2994" w:type="dxa"/>
            <w:tcBorders>
              <w:top w:val="single" w:color="auto" w:sz="4" w:space="0"/>
              <w:left w:val="single" w:color="auto" w:sz="4" w:space="0"/>
              <w:bottom w:val="single" w:color="auto" w:sz="4" w:space="0"/>
              <w:right w:val="single" w:color="auto" w:sz="4" w:space="0"/>
            </w:tcBorders>
            <w:vAlign w:val="center"/>
          </w:tcPr>
          <w:p w14:paraId="779B4558">
            <w:pPr>
              <w:pageBreakBefore w:val="0"/>
              <w:kinsoku/>
              <w:wordWrap/>
              <w:overflowPunct/>
              <w:topLinePunct w:val="0"/>
              <w:autoSpaceDE/>
              <w:autoSpaceDN/>
              <w:bidi w:val="0"/>
              <w:spacing w:before="120" w:after="120" w:line="360" w:lineRule="auto"/>
              <w:jc w:val="center"/>
              <w:textAlignment w:val="auto"/>
            </w:pPr>
            <w:r>
              <w:rPr>
                <w:rFonts w:hint="eastAsia"/>
              </w:rPr>
              <w:t>由贵方提出项目要求</w:t>
            </w:r>
          </w:p>
        </w:tc>
        <w:tc>
          <w:tcPr>
            <w:tcW w:w="2381" w:type="dxa"/>
            <w:tcBorders>
              <w:top w:val="single" w:color="auto" w:sz="4" w:space="0"/>
              <w:left w:val="single" w:color="auto" w:sz="4" w:space="0"/>
              <w:bottom w:val="single" w:color="auto" w:sz="4" w:space="0"/>
              <w:right w:val="single" w:color="auto" w:sz="4" w:space="0"/>
            </w:tcBorders>
            <w:vAlign w:val="center"/>
          </w:tcPr>
          <w:p w14:paraId="2F761C11">
            <w:pPr>
              <w:pageBreakBefore w:val="0"/>
              <w:kinsoku/>
              <w:wordWrap/>
              <w:overflowPunct/>
              <w:topLinePunct w:val="0"/>
              <w:autoSpaceDE/>
              <w:autoSpaceDN/>
              <w:bidi w:val="0"/>
              <w:spacing w:before="120" w:after="120" w:line="360" w:lineRule="auto"/>
              <w:jc w:val="center"/>
              <w:textAlignment w:val="auto"/>
            </w:pPr>
            <w:r>
              <w:rPr>
                <w:rFonts w:hint="eastAsia"/>
              </w:rPr>
              <w:t>贵司项目经理及相关人；乙方项目经理及相关人</w:t>
            </w:r>
          </w:p>
        </w:tc>
        <w:tc>
          <w:tcPr>
            <w:tcW w:w="2678" w:type="dxa"/>
            <w:tcBorders>
              <w:top w:val="single" w:color="auto" w:sz="4" w:space="0"/>
              <w:left w:val="single" w:color="auto" w:sz="4" w:space="0"/>
              <w:bottom w:val="single" w:color="auto" w:sz="4" w:space="0"/>
              <w:right w:val="single" w:color="auto" w:sz="4" w:space="0"/>
            </w:tcBorders>
            <w:vAlign w:val="center"/>
          </w:tcPr>
          <w:p w14:paraId="3D304DEE">
            <w:pPr>
              <w:pageBreakBefore w:val="0"/>
              <w:kinsoku/>
              <w:wordWrap/>
              <w:overflowPunct/>
              <w:topLinePunct w:val="0"/>
              <w:autoSpaceDE/>
              <w:autoSpaceDN/>
              <w:bidi w:val="0"/>
              <w:spacing w:before="120" w:after="120" w:line="360" w:lineRule="auto"/>
              <w:jc w:val="center"/>
              <w:textAlignment w:val="auto"/>
            </w:pPr>
            <w:r>
              <w:rPr>
                <w:rFonts w:hint="eastAsia"/>
              </w:rPr>
              <w:t>确定项目工期、质量目标</w:t>
            </w:r>
          </w:p>
        </w:tc>
        <w:tc>
          <w:tcPr>
            <w:tcW w:w="518" w:type="dxa"/>
            <w:tcBorders>
              <w:top w:val="single" w:color="auto" w:sz="4" w:space="0"/>
              <w:left w:val="single" w:color="auto" w:sz="4" w:space="0"/>
              <w:bottom w:val="single" w:color="auto" w:sz="4" w:space="0"/>
              <w:right w:val="single" w:color="auto" w:sz="4" w:space="0"/>
            </w:tcBorders>
            <w:vAlign w:val="center"/>
          </w:tcPr>
          <w:p w14:paraId="598CD3A7">
            <w:pPr>
              <w:pageBreakBefore w:val="0"/>
              <w:kinsoku/>
              <w:wordWrap/>
              <w:overflowPunct/>
              <w:topLinePunct w:val="0"/>
              <w:autoSpaceDE/>
              <w:autoSpaceDN/>
              <w:bidi w:val="0"/>
              <w:spacing w:before="120" w:after="120" w:line="360" w:lineRule="auto"/>
              <w:jc w:val="center"/>
              <w:textAlignment w:val="auto"/>
            </w:pPr>
          </w:p>
        </w:tc>
      </w:tr>
      <w:tr w14:paraId="3E802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4CB7951C">
            <w:pPr>
              <w:pageBreakBefore w:val="0"/>
              <w:kinsoku/>
              <w:wordWrap/>
              <w:overflowPunct/>
              <w:topLinePunct w:val="0"/>
              <w:autoSpaceDE/>
              <w:autoSpaceDN/>
              <w:bidi w:val="0"/>
              <w:spacing w:before="120" w:after="120" w:line="360" w:lineRule="auto"/>
              <w:jc w:val="center"/>
              <w:textAlignment w:val="auto"/>
            </w:pPr>
            <w:r>
              <w:rPr>
                <w:rFonts w:hint="eastAsia"/>
              </w:rPr>
              <w:t>方案细化</w:t>
            </w:r>
          </w:p>
        </w:tc>
        <w:tc>
          <w:tcPr>
            <w:tcW w:w="2994" w:type="dxa"/>
            <w:tcBorders>
              <w:top w:val="single" w:color="auto" w:sz="4" w:space="0"/>
              <w:left w:val="single" w:color="auto" w:sz="4" w:space="0"/>
              <w:bottom w:val="single" w:color="auto" w:sz="4" w:space="0"/>
              <w:right w:val="single" w:color="auto" w:sz="4" w:space="0"/>
            </w:tcBorders>
            <w:vAlign w:val="center"/>
          </w:tcPr>
          <w:p w14:paraId="14A65763">
            <w:pPr>
              <w:pageBreakBefore w:val="0"/>
              <w:kinsoku/>
              <w:wordWrap/>
              <w:overflowPunct/>
              <w:topLinePunct w:val="0"/>
              <w:autoSpaceDE/>
              <w:autoSpaceDN/>
              <w:bidi w:val="0"/>
              <w:spacing w:before="120" w:after="120" w:line="360" w:lineRule="auto"/>
              <w:jc w:val="center"/>
              <w:textAlignment w:val="auto"/>
            </w:pPr>
            <w:r>
              <w:rPr>
                <w:rFonts w:hint="eastAsia"/>
              </w:rPr>
              <w:t>系统布局细化确认</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30553088">
            <w:pPr>
              <w:pageBreakBefore w:val="0"/>
              <w:kinsoku/>
              <w:wordWrap/>
              <w:overflowPunct/>
              <w:topLinePunct w:val="0"/>
              <w:autoSpaceDE/>
              <w:autoSpaceDN/>
              <w:bidi w:val="0"/>
              <w:spacing w:before="120" w:after="120" w:line="360" w:lineRule="auto"/>
              <w:jc w:val="center"/>
              <w:textAlignment w:val="auto"/>
            </w:pPr>
            <w:r>
              <w:rPr>
                <w:rFonts w:hint="eastAsia"/>
              </w:rPr>
              <w:t>贵司项目经理，使用部门负责人，信息主管等；乙方项目经理，技术负责人，软件负责人，电控负责人，规划工程师等</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6D6B0FC5">
            <w:pPr>
              <w:pageBreakBefore w:val="0"/>
              <w:kinsoku/>
              <w:wordWrap/>
              <w:overflowPunct/>
              <w:topLinePunct w:val="0"/>
              <w:autoSpaceDE/>
              <w:autoSpaceDN/>
              <w:bidi w:val="0"/>
              <w:spacing w:before="120" w:after="120" w:line="360" w:lineRule="auto"/>
              <w:jc w:val="center"/>
              <w:textAlignment w:val="auto"/>
            </w:pPr>
            <w:r>
              <w:rPr>
                <w:rFonts w:hint="eastAsia"/>
              </w:rPr>
              <w:t>确定项目实施所需的技术协议，为下阶段的系统设备和软件制造提供原则和依据，明确项目的安装调试进度等</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27DF75CD">
            <w:pPr>
              <w:pageBreakBefore w:val="0"/>
              <w:kinsoku/>
              <w:wordWrap/>
              <w:overflowPunct/>
              <w:topLinePunct w:val="0"/>
              <w:autoSpaceDE/>
              <w:autoSpaceDN/>
              <w:bidi w:val="0"/>
              <w:spacing w:before="120" w:after="120" w:line="360" w:lineRule="auto"/>
              <w:jc w:val="center"/>
              <w:textAlignment w:val="auto"/>
            </w:pPr>
          </w:p>
        </w:tc>
      </w:tr>
      <w:tr w14:paraId="6B5BE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D95850B">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1E7A0A50">
            <w:pPr>
              <w:pageBreakBefore w:val="0"/>
              <w:kinsoku/>
              <w:wordWrap/>
              <w:overflowPunct/>
              <w:topLinePunct w:val="0"/>
              <w:autoSpaceDE/>
              <w:autoSpaceDN/>
              <w:bidi w:val="0"/>
              <w:spacing w:before="120" w:after="120" w:line="360" w:lineRule="auto"/>
              <w:jc w:val="center"/>
              <w:textAlignment w:val="auto"/>
            </w:pPr>
            <w:r>
              <w:rPr>
                <w:rFonts w:hint="eastAsia"/>
              </w:rPr>
              <w:t>系统设备配置细化确认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1E66AAC">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7EDD38F">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1C12600">
            <w:pPr>
              <w:pageBreakBefore w:val="0"/>
              <w:widowControl/>
              <w:kinsoku/>
              <w:wordWrap/>
              <w:overflowPunct/>
              <w:topLinePunct w:val="0"/>
              <w:autoSpaceDE/>
              <w:autoSpaceDN/>
              <w:bidi w:val="0"/>
              <w:spacing w:line="360" w:lineRule="auto"/>
              <w:textAlignment w:val="auto"/>
            </w:pPr>
          </w:p>
        </w:tc>
      </w:tr>
      <w:tr w14:paraId="29E9C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0394D2AB">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34DA55D6">
            <w:pPr>
              <w:pageBreakBefore w:val="0"/>
              <w:kinsoku/>
              <w:wordWrap/>
              <w:overflowPunct/>
              <w:topLinePunct w:val="0"/>
              <w:autoSpaceDE/>
              <w:autoSpaceDN/>
              <w:bidi w:val="0"/>
              <w:spacing w:before="120" w:after="120" w:line="360" w:lineRule="auto"/>
              <w:jc w:val="center"/>
              <w:textAlignment w:val="auto"/>
            </w:pPr>
            <w:r>
              <w:rPr>
                <w:rFonts w:hint="eastAsia"/>
              </w:rPr>
              <w:t>系统流程（操作流程和信息流程）细化确认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248E25B">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D0AB6C3">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3CE041D6">
            <w:pPr>
              <w:pageBreakBefore w:val="0"/>
              <w:widowControl/>
              <w:kinsoku/>
              <w:wordWrap/>
              <w:overflowPunct/>
              <w:topLinePunct w:val="0"/>
              <w:autoSpaceDE/>
              <w:autoSpaceDN/>
              <w:bidi w:val="0"/>
              <w:spacing w:line="360" w:lineRule="auto"/>
              <w:textAlignment w:val="auto"/>
            </w:pPr>
          </w:p>
        </w:tc>
      </w:tr>
      <w:tr w14:paraId="18355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9DE0D49">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84833AE">
            <w:pPr>
              <w:pageBreakBefore w:val="0"/>
              <w:kinsoku/>
              <w:wordWrap/>
              <w:overflowPunct/>
              <w:topLinePunct w:val="0"/>
              <w:autoSpaceDE/>
              <w:autoSpaceDN/>
              <w:bidi w:val="0"/>
              <w:spacing w:before="120" w:after="120" w:line="360" w:lineRule="auto"/>
              <w:jc w:val="center"/>
              <w:textAlignment w:val="auto"/>
            </w:pPr>
            <w:r>
              <w:rPr>
                <w:rFonts w:hint="eastAsia"/>
              </w:rPr>
              <w:t>软件功能细化确认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B1340DF">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35B7118C">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734DBD11">
            <w:pPr>
              <w:pageBreakBefore w:val="0"/>
              <w:widowControl/>
              <w:kinsoku/>
              <w:wordWrap/>
              <w:overflowPunct/>
              <w:topLinePunct w:val="0"/>
              <w:autoSpaceDE/>
              <w:autoSpaceDN/>
              <w:bidi w:val="0"/>
              <w:spacing w:line="360" w:lineRule="auto"/>
              <w:textAlignment w:val="auto"/>
            </w:pPr>
          </w:p>
        </w:tc>
      </w:tr>
      <w:tr w14:paraId="6FEE1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FA5721F">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3A802E48">
            <w:pPr>
              <w:pageBreakBefore w:val="0"/>
              <w:kinsoku/>
              <w:wordWrap/>
              <w:overflowPunct/>
              <w:topLinePunct w:val="0"/>
              <w:autoSpaceDE/>
              <w:autoSpaceDN/>
              <w:bidi w:val="0"/>
              <w:spacing w:before="120" w:after="120" w:line="360" w:lineRule="auto"/>
              <w:jc w:val="center"/>
              <w:textAlignment w:val="auto"/>
            </w:pPr>
            <w:r>
              <w:rPr>
                <w:rFonts w:hint="eastAsia"/>
              </w:rPr>
              <w:t>控制和软件接口细化确认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6349973">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9579CC8">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B4F51DA">
            <w:pPr>
              <w:pageBreakBefore w:val="0"/>
              <w:widowControl/>
              <w:kinsoku/>
              <w:wordWrap/>
              <w:overflowPunct/>
              <w:topLinePunct w:val="0"/>
              <w:autoSpaceDE/>
              <w:autoSpaceDN/>
              <w:bidi w:val="0"/>
              <w:spacing w:line="360" w:lineRule="auto"/>
              <w:textAlignment w:val="auto"/>
            </w:pPr>
          </w:p>
        </w:tc>
      </w:tr>
      <w:tr w14:paraId="51D84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199A6A59">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16A2EF2">
            <w:pPr>
              <w:pageBreakBefore w:val="0"/>
              <w:kinsoku/>
              <w:wordWrap/>
              <w:overflowPunct/>
              <w:topLinePunct w:val="0"/>
              <w:autoSpaceDE/>
              <w:autoSpaceDN/>
              <w:bidi w:val="0"/>
              <w:spacing w:before="120" w:after="120" w:line="360" w:lineRule="auto"/>
              <w:jc w:val="center"/>
              <w:textAlignment w:val="auto"/>
            </w:pPr>
            <w:r>
              <w:rPr>
                <w:rFonts w:hint="eastAsia"/>
              </w:rPr>
              <w:t>监控系统细化确认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6DD257B2">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52D2A743">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70325D51">
            <w:pPr>
              <w:pageBreakBefore w:val="0"/>
              <w:widowControl/>
              <w:kinsoku/>
              <w:wordWrap/>
              <w:overflowPunct/>
              <w:topLinePunct w:val="0"/>
              <w:autoSpaceDE/>
              <w:autoSpaceDN/>
              <w:bidi w:val="0"/>
              <w:spacing w:line="360" w:lineRule="auto"/>
              <w:textAlignment w:val="auto"/>
            </w:pPr>
          </w:p>
        </w:tc>
      </w:tr>
      <w:tr w14:paraId="5AB9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EC2983A">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41E92DF4">
            <w:pPr>
              <w:pageBreakBefore w:val="0"/>
              <w:kinsoku/>
              <w:wordWrap/>
              <w:overflowPunct/>
              <w:topLinePunct w:val="0"/>
              <w:autoSpaceDE/>
              <w:autoSpaceDN/>
              <w:bidi w:val="0"/>
              <w:spacing w:before="120" w:after="120" w:line="360" w:lineRule="auto"/>
              <w:jc w:val="center"/>
              <w:textAlignment w:val="auto"/>
            </w:pPr>
            <w:r>
              <w:rPr>
                <w:rFonts w:hint="eastAsia"/>
              </w:rPr>
              <w:t>项目施工计划细化确认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5474610">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A0A01EA">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6A1B0E94">
            <w:pPr>
              <w:pageBreakBefore w:val="0"/>
              <w:widowControl/>
              <w:kinsoku/>
              <w:wordWrap/>
              <w:overflowPunct/>
              <w:topLinePunct w:val="0"/>
              <w:autoSpaceDE/>
              <w:autoSpaceDN/>
              <w:bidi w:val="0"/>
              <w:spacing w:line="360" w:lineRule="auto"/>
              <w:textAlignment w:val="auto"/>
            </w:pPr>
          </w:p>
        </w:tc>
      </w:tr>
      <w:tr w14:paraId="62FC7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25467C2">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7DBE671D">
            <w:pPr>
              <w:pageBreakBefore w:val="0"/>
              <w:kinsoku/>
              <w:wordWrap/>
              <w:overflowPunct/>
              <w:topLinePunct w:val="0"/>
              <w:autoSpaceDE/>
              <w:autoSpaceDN/>
              <w:bidi w:val="0"/>
              <w:spacing w:before="120" w:after="120" w:line="360" w:lineRule="auto"/>
              <w:jc w:val="center"/>
              <w:textAlignment w:val="auto"/>
            </w:pPr>
            <w:r>
              <w:rPr>
                <w:rFonts w:hint="eastAsia"/>
              </w:rPr>
              <w:t>项目施工队伍细化确认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6657D4B5">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170AC2D5">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9477121">
            <w:pPr>
              <w:pageBreakBefore w:val="0"/>
              <w:widowControl/>
              <w:kinsoku/>
              <w:wordWrap/>
              <w:overflowPunct/>
              <w:topLinePunct w:val="0"/>
              <w:autoSpaceDE/>
              <w:autoSpaceDN/>
              <w:bidi w:val="0"/>
              <w:spacing w:line="360" w:lineRule="auto"/>
              <w:textAlignment w:val="auto"/>
            </w:pPr>
          </w:p>
        </w:tc>
      </w:tr>
      <w:tr w14:paraId="74244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79E62339">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14E893E7">
            <w:pPr>
              <w:pageBreakBefore w:val="0"/>
              <w:kinsoku/>
              <w:wordWrap/>
              <w:overflowPunct/>
              <w:topLinePunct w:val="0"/>
              <w:autoSpaceDE/>
              <w:autoSpaceDN/>
              <w:bidi w:val="0"/>
              <w:spacing w:before="120" w:after="120" w:line="360" w:lineRule="auto"/>
              <w:jc w:val="center"/>
              <w:textAlignment w:val="auto"/>
            </w:pPr>
            <w:r>
              <w:rPr>
                <w:rFonts w:hint="eastAsia"/>
              </w:rPr>
              <w:t>提交设备进场条件</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73DE38A2">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ED89E4B">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5A463D0">
            <w:pPr>
              <w:pageBreakBefore w:val="0"/>
              <w:widowControl/>
              <w:kinsoku/>
              <w:wordWrap/>
              <w:overflowPunct/>
              <w:topLinePunct w:val="0"/>
              <w:autoSpaceDE/>
              <w:autoSpaceDN/>
              <w:bidi w:val="0"/>
              <w:spacing w:line="360" w:lineRule="auto"/>
              <w:textAlignment w:val="auto"/>
            </w:pPr>
          </w:p>
        </w:tc>
      </w:tr>
      <w:tr w14:paraId="5FB28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4972EEB">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24CFCD1E">
            <w:pPr>
              <w:pageBreakBefore w:val="0"/>
              <w:kinsoku/>
              <w:wordWrap/>
              <w:overflowPunct/>
              <w:topLinePunct w:val="0"/>
              <w:autoSpaceDE/>
              <w:autoSpaceDN/>
              <w:bidi w:val="0"/>
              <w:spacing w:before="120" w:after="120" w:line="360" w:lineRule="auto"/>
              <w:jc w:val="center"/>
              <w:textAlignment w:val="auto"/>
            </w:pPr>
            <w:r>
              <w:rPr>
                <w:rFonts w:hint="eastAsia"/>
              </w:rPr>
              <w:t>强弱电系统方案设计确认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63A71867">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398E8048">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918481F">
            <w:pPr>
              <w:pageBreakBefore w:val="0"/>
              <w:widowControl/>
              <w:kinsoku/>
              <w:wordWrap/>
              <w:overflowPunct/>
              <w:topLinePunct w:val="0"/>
              <w:autoSpaceDE/>
              <w:autoSpaceDN/>
              <w:bidi w:val="0"/>
              <w:spacing w:line="360" w:lineRule="auto"/>
              <w:textAlignment w:val="auto"/>
            </w:pPr>
          </w:p>
        </w:tc>
      </w:tr>
      <w:tr w14:paraId="3D48E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7EEE93C7">
            <w:pPr>
              <w:pageBreakBefore w:val="0"/>
              <w:kinsoku/>
              <w:wordWrap/>
              <w:overflowPunct/>
              <w:topLinePunct w:val="0"/>
              <w:autoSpaceDE/>
              <w:autoSpaceDN/>
              <w:bidi w:val="0"/>
              <w:spacing w:before="120" w:after="120" w:line="360" w:lineRule="auto"/>
              <w:jc w:val="center"/>
              <w:textAlignment w:val="auto"/>
            </w:pPr>
            <w:r>
              <w:rPr>
                <w:rFonts w:hint="eastAsia"/>
              </w:rPr>
              <w:t>设备制造</w:t>
            </w:r>
          </w:p>
        </w:tc>
        <w:tc>
          <w:tcPr>
            <w:tcW w:w="2994" w:type="dxa"/>
            <w:tcBorders>
              <w:top w:val="single" w:color="auto" w:sz="4" w:space="0"/>
              <w:left w:val="single" w:color="auto" w:sz="4" w:space="0"/>
              <w:bottom w:val="single" w:color="auto" w:sz="4" w:space="0"/>
              <w:right w:val="single" w:color="auto" w:sz="4" w:space="0"/>
            </w:tcBorders>
            <w:vAlign w:val="center"/>
          </w:tcPr>
          <w:p w14:paraId="20DF1546">
            <w:pPr>
              <w:pageBreakBefore w:val="0"/>
              <w:kinsoku/>
              <w:wordWrap/>
              <w:overflowPunct/>
              <w:topLinePunct w:val="0"/>
              <w:autoSpaceDE/>
              <w:autoSpaceDN/>
              <w:bidi w:val="0"/>
              <w:spacing w:before="120" w:after="120" w:line="360" w:lineRule="auto"/>
              <w:jc w:val="center"/>
              <w:textAlignment w:val="auto"/>
            </w:pPr>
            <w:r>
              <w:rPr>
                <w:rFonts w:hint="eastAsia"/>
              </w:rPr>
              <w:t>设备制造进度跟踪</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2A2FEFE7">
            <w:pPr>
              <w:pageBreakBefore w:val="0"/>
              <w:kinsoku/>
              <w:wordWrap/>
              <w:overflowPunct/>
              <w:topLinePunct w:val="0"/>
              <w:autoSpaceDE/>
              <w:autoSpaceDN/>
              <w:bidi w:val="0"/>
              <w:spacing w:before="120" w:after="120" w:line="360" w:lineRule="auto"/>
              <w:jc w:val="center"/>
              <w:textAlignment w:val="auto"/>
            </w:pPr>
            <w:r>
              <w:rPr>
                <w:rFonts w:hint="eastAsia"/>
              </w:rPr>
              <w:t>乙方项目经理、品控经理</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298116AE">
            <w:pPr>
              <w:pageBreakBefore w:val="0"/>
              <w:kinsoku/>
              <w:wordWrap/>
              <w:overflowPunct/>
              <w:topLinePunct w:val="0"/>
              <w:autoSpaceDE/>
              <w:autoSpaceDN/>
              <w:bidi w:val="0"/>
              <w:spacing w:before="120" w:after="120" w:line="360" w:lineRule="auto"/>
              <w:jc w:val="center"/>
              <w:textAlignment w:val="auto"/>
            </w:pPr>
            <w:r>
              <w:rPr>
                <w:rFonts w:hint="eastAsia"/>
              </w:rPr>
              <w:t>保证设备制造质量和周期</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68D388A8">
            <w:pPr>
              <w:pageBreakBefore w:val="0"/>
              <w:kinsoku/>
              <w:wordWrap/>
              <w:overflowPunct/>
              <w:topLinePunct w:val="0"/>
              <w:autoSpaceDE/>
              <w:autoSpaceDN/>
              <w:bidi w:val="0"/>
              <w:spacing w:before="120" w:after="120" w:line="360" w:lineRule="auto"/>
              <w:jc w:val="center"/>
              <w:textAlignment w:val="auto"/>
            </w:pPr>
          </w:p>
        </w:tc>
      </w:tr>
      <w:tr w14:paraId="17F9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95579B6">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23CC04A1">
            <w:pPr>
              <w:pageBreakBefore w:val="0"/>
              <w:kinsoku/>
              <w:wordWrap/>
              <w:overflowPunct/>
              <w:topLinePunct w:val="0"/>
              <w:autoSpaceDE/>
              <w:autoSpaceDN/>
              <w:bidi w:val="0"/>
              <w:spacing w:before="120" w:after="120" w:line="360" w:lineRule="auto"/>
              <w:jc w:val="center"/>
              <w:textAlignment w:val="auto"/>
            </w:pPr>
            <w:r>
              <w:rPr>
                <w:rFonts w:hint="eastAsia"/>
              </w:rPr>
              <w:t>设备制造质量管理</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0956285D">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320F85D9">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3FEE3F8">
            <w:pPr>
              <w:pageBreakBefore w:val="0"/>
              <w:widowControl/>
              <w:kinsoku/>
              <w:wordWrap/>
              <w:overflowPunct/>
              <w:topLinePunct w:val="0"/>
              <w:autoSpaceDE/>
              <w:autoSpaceDN/>
              <w:bidi w:val="0"/>
              <w:spacing w:line="360" w:lineRule="auto"/>
              <w:textAlignment w:val="auto"/>
            </w:pPr>
          </w:p>
        </w:tc>
      </w:tr>
      <w:tr w14:paraId="1C294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74ABC163">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64B9CE8B">
            <w:pPr>
              <w:pageBreakBefore w:val="0"/>
              <w:kinsoku/>
              <w:wordWrap/>
              <w:overflowPunct/>
              <w:topLinePunct w:val="0"/>
              <w:autoSpaceDE/>
              <w:autoSpaceDN/>
              <w:bidi w:val="0"/>
              <w:spacing w:before="120" w:after="120" w:line="360" w:lineRule="auto"/>
              <w:jc w:val="center"/>
              <w:textAlignment w:val="auto"/>
            </w:pPr>
            <w:r>
              <w:rPr>
                <w:rFonts w:hint="eastAsia"/>
              </w:rPr>
              <w:t>设备出厂检测</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6A2EF6BA">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73119CE8">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6105134D">
            <w:pPr>
              <w:pageBreakBefore w:val="0"/>
              <w:widowControl/>
              <w:kinsoku/>
              <w:wordWrap/>
              <w:overflowPunct/>
              <w:topLinePunct w:val="0"/>
              <w:autoSpaceDE/>
              <w:autoSpaceDN/>
              <w:bidi w:val="0"/>
              <w:spacing w:line="360" w:lineRule="auto"/>
              <w:textAlignment w:val="auto"/>
            </w:pPr>
          </w:p>
        </w:tc>
      </w:tr>
      <w:tr w14:paraId="26387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5510E15D">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4F01465">
            <w:pPr>
              <w:pageBreakBefore w:val="0"/>
              <w:kinsoku/>
              <w:wordWrap/>
              <w:overflowPunct/>
              <w:topLinePunct w:val="0"/>
              <w:autoSpaceDE/>
              <w:autoSpaceDN/>
              <w:bidi w:val="0"/>
              <w:spacing w:before="120" w:after="120" w:line="360" w:lineRule="auto"/>
              <w:jc w:val="center"/>
              <w:textAlignment w:val="auto"/>
            </w:pPr>
            <w:r>
              <w:rPr>
                <w:rFonts w:hint="eastAsia"/>
              </w:rPr>
              <w:t>设备包装运输跟踪</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D0E3212">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1B62BF1B">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3EF5B8A8">
            <w:pPr>
              <w:pageBreakBefore w:val="0"/>
              <w:widowControl/>
              <w:kinsoku/>
              <w:wordWrap/>
              <w:overflowPunct/>
              <w:topLinePunct w:val="0"/>
              <w:autoSpaceDE/>
              <w:autoSpaceDN/>
              <w:bidi w:val="0"/>
              <w:spacing w:line="360" w:lineRule="auto"/>
              <w:textAlignment w:val="auto"/>
            </w:pPr>
          </w:p>
        </w:tc>
      </w:tr>
      <w:tr w14:paraId="12D78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4CA8F006">
            <w:pPr>
              <w:pageBreakBefore w:val="0"/>
              <w:kinsoku/>
              <w:wordWrap/>
              <w:overflowPunct/>
              <w:topLinePunct w:val="0"/>
              <w:autoSpaceDE/>
              <w:autoSpaceDN/>
              <w:bidi w:val="0"/>
              <w:spacing w:before="120" w:after="120" w:line="360" w:lineRule="auto"/>
              <w:jc w:val="center"/>
              <w:textAlignment w:val="auto"/>
            </w:pPr>
            <w:r>
              <w:rPr>
                <w:rFonts w:hint="eastAsia"/>
              </w:rPr>
              <w:t>施工现场交安确认</w:t>
            </w:r>
          </w:p>
        </w:tc>
        <w:tc>
          <w:tcPr>
            <w:tcW w:w="2994" w:type="dxa"/>
            <w:tcBorders>
              <w:top w:val="single" w:color="auto" w:sz="4" w:space="0"/>
              <w:left w:val="single" w:color="auto" w:sz="4" w:space="0"/>
              <w:bottom w:val="single" w:color="auto" w:sz="4" w:space="0"/>
              <w:right w:val="single" w:color="auto" w:sz="4" w:space="0"/>
            </w:tcBorders>
            <w:vAlign w:val="center"/>
          </w:tcPr>
          <w:p w14:paraId="63D65B7F">
            <w:pPr>
              <w:pageBreakBefore w:val="0"/>
              <w:kinsoku/>
              <w:wordWrap/>
              <w:overflowPunct/>
              <w:topLinePunct w:val="0"/>
              <w:autoSpaceDE/>
              <w:autoSpaceDN/>
              <w:bidi w:val="0"/>
              <w:spacing w:before="120" w:after="120" w:line="360" w:lineRule="auto"/>
              <w:jc w:val="center"/>
              <w:textAlignment w:val="auto"/>
            </w:pPr>
            <w:r>
              <w:rPr>
                <w:rFonts w:hint="eastAsia"/>
              </w:rPr>
              <w:t>条件确认</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233439BE">
            <w:pPr>
              <w:pageBreakBefore w:val="0"/>
              <w:kinsoku/>
              <w:wordWrap/>
              <w:overflowPunct/>
              <w:topLinePunct w:val="0"/>
              <w:autoSpaceDE/>
              <w:autoSpaceDN/>
              <w:bidi w:val="0"/>
              <w:spacing w:before="120" w:after="120" w:line="360" w:lineRule="auto"/>
              <w:jc w:val="center"/>
              <w:textAlignment w:val="auto"/>
            </w:pPr>
            <w:r>
              <w:rPr>
                <w:rFonts w:hint="eastAsia"/>
              </w:rPr>
              <w:t>贵司项目经理等；乙方项目经理、现场经理等</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063933B2">
            <w:pPr>
              <w:pageBreakBefore w:val="0"/>
              <w:kinsoku/>
              <w:wordWrap/>
              <w:overflowPunct/>
              <w:topLinePunct w:val="0"/>
              <w:autoSpaceDE/>
              <w:autoSpaceDN/>
              <w:bidi w:val="0"/>
              <w:spacing w:before="120" w:after="120" w:line="360" w:lineRule="auto"/>
              <w:jc w:val="center"/>
              <w:textAlignment w:val="auto"/>
            </w:pPr>
            <w:r>
              <w:rPr>
                <w:rFonts w:hint="eastAsia"/>
              </w:rPr>
              <w:t>确定施工现场是否满足施工条件，并签署</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7B65F476">
            <w:pPr>
              <w:pageBreakBefore w:val="0"/>
              <w:kinsoku/>
              <w:wordWrap/>
              <w:overflowPunct/>
              <w:topLinePunct w:val="0"/>
              <w:autoSpaceDE/>
              <w:autoSpaceDN/>
              <w:bidi w:val="0"/>
              <w:spacing w:before="120" w:after="120" w:line="360" w:lineRule="auto"/>
              <w:jc w:val="center"/>
              <w:textAlignment w:val="auto"/>
            </w:pPr>
          </w:p>
        </w:tc>
      </w:tr>
      <w:tr w14:paraId="1579C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1BDC21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526E382">
            <w:pPr>
              <w:pageBreakBefore w:val="0"/>
              <w:kinsoku/>
              <w:wordWrap/>
              <w:overflowPunct/>
              <w:topLinePunct w:val="0"/>
              <w:autoSpaceDE/>
              <w:autoSpaceDN/>
              <w:bidi w:val="0"/>
              <w:spacing w:before="120" w:after="120" w:line="360" w:lineRule="auto"/>
              <w:jc w:val="center"/>
              <w:textAlignment w:val="auto"/>
            </w:pPr>
            <w:r>
              <w:rPr>
                <w:rFonts w:hint="eastAsia"/>
              </w:rPr>
              <w:t>工作面确认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32683F3A">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119CBC9">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CC1D78B">
            <w:pPr>
              <w:pageBreakBefore w:val="0"/>
              <w:widowControl/>
              <w:kinsoku/>
              <w:wordWrap/>
              <w:overflowPunct/>
              <w:topLinePunct w:val="0"/>
              <w:autoSpaceDE/>
              <w:autoSpaceDN/>
              <w:bidi w:val="0"/>
              <w:spacing w:line="360" w:lineRule="auto"/>
              <w:textAlignment w:val="auto"/>
            </w:pPr>
          </w:p>
        </w:tc>
      </w:tr>
      <w:tr w14:paraId="50A41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43265E5">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EC732A7">
            <w:pPr>
              <w:pageBreakBefore w:val="0"/>
              <w:kinsoku/>
              <w:wordWrap/>
              <w:overflowPunct/>
              <w:topLinePunct w:val="0"/>
              <w:autoSpaceDE/>
              <w:autoSpaceDN/>
              <w:bidi w:val="0"/>
              <w:spacing w:before="120" w:after="120" w:line="360" w:lineRule="auto"/>
              <w:jc w:val="center"/>
              <w:textAlignment w:val="auto"/>
            </w:pPr>
            <w:r>
              <w:rPr>
                <w:rFonts w:hint="eastAsia"/>
              </w:rPr>
              <w:t>临时、正式电确认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35D5EAA6">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348923D6">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D8418A2">
            <w:pPr>
              <w:pageBreakBefore w:val="0"/>
              <w:widowControl/>
              <w:kinsoku/>
              <w:wordWrap/>
              <w:overflowPunct/>
              <w:topLinePunct w:val="0"/>
              <w:autoSpaceDE/>
              <w:autoSpaceDN/>
              <w:bidi w:val="0"/>
              <w:spacing w:line="360" w:lineRule="auto"/>
              <w:textAlignment w:val="auto"/>
            </w:pPr>
          </w:p>
        </w:tc>
      </w:tr>
      <w:tr w14:paraId="6925F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60DFE554">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2CDAA75">
            <w:pPr>
              <w:pageBreakBefore w:val="0"/>
              <w:kinsoku/>
              <w:wordWrap/>
              <w:overflowPunct/>
              <w:topLinePunct w:val="0"/>
              <w:autoSpaceDE/>
              <w:autoSpaceDN/>
              <w:bidi w:val="0"/>
              <w:spacing w:before="120" w:after="120" w:line="360" w:lineRule="auto"/>
              <w:jc w:val="center"/>
              <w:textAlignment w:val="auto"/>
            </w:pPr>
            <w:r>
              <w:rPr>
                <w:rFonts w:hint="eastAsia"/>
              </w:rPr>
              <w:t>气源确认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6E9BA545">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E9D19C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D1C2292">
            <w:pPr>
              <w:pageBreakBefore w:val="0"/>
              <w:widowControl/>
              <w:kinsoku/>
              <w:wordWrap/>
              <w:overflowPunct/>
              <w:topLinePunct w:val="0"/>
              <w:autoSpaceDE/>
              <w:autoSpaceDN/>
              <w:bidi w:val="0"/>
              <w:spacing w:line="360" w:lineRule="auto"/>
              <w:textAlignment w:val="auto"/>
            </w:pPr>
          </w:p>
        </w:tc>
      </w:tr>
      <w:tr w14:paraId="28A3A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1B17D9F6">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37F2EB9D">
            <w:pPr>
              <w:pageBreakBefore w:val="0"/>
              <w:kinsoku/>
              <w:wordWrap/>
              <w:overflowPunct/>
              <w:topLinePunct w:val="0"/>
              <w:autoSpaceDE/>
              <w:autoSpaceDN/>
              <w:bidi w:val="0"/>
              <w:spacing w:before="120" w:after="120" w:line="360" w:lineRule="auto"/>
              <w:jc w:val="center"/>
              <w:textAlignment w:val="auto"/>
            </w:pPr>
            <w:r>
              <w:rPr>
                <w:rFonts w:hint="eastAsia"/>
              </w:rPr>
              <w:t>设备临时存储场地确认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356C6D5A">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141C91F">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3701E82D">
            <w:pPr>
              <w:pageBreakBefore w:val="0"/>
              <w:widowControl/>
              <w:kinsoku/>
              <w:wordWrap/>
              <w:overflowPunct/>
              <w:topLinePunct w:val="0"/>
              <w:autoSpaceDE/>
              <w:autoSpaceDN/>
              <w:bidi w:val="0"/>
              <w:spacing w:line="360" w:lineRule="auto"/>
              <w:textAlignment w:val="auto"/>
            </w:pPr>
          </w:p>
        </w:tc>
      </w:tr>
      <w:tr w14:paraId="0132B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52B1456F">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1C31A695">
            <w:pPr>
              <w:pageBreakBefore w:val="0"/>
              <w:kinsoku/>
              <w:wordWrap/>
              <w:overflowPunct/>
              <w:topLinePunct w:val="0"/>
              <w:autoSpaceDE/>
              <w:autoSpaceDN/>
              <w:bidi w:val="0"/>
              <w:spacing w:before="120" w:after="120" w:line="360" w:lineRule="auto"/>
              <w:jc w:val="center"/>
              <w:textAlignment w:val="auto"/>
            </w:pPr>
            <w:r>
              <w:rPr>
                <w:rFonts w:hint="eastAsia"/>
              </w:rPr>
              <w:t>临时办公条件确认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DFA58F2">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371659DD">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56C4A9B">
            <w:pPr>
              <w:pageBreakBefore w:val="0"/>
              <w:widowControl/>
              <w:kinsoku/>
              <w:wordWrap/>
              <w:overflowPunct/>
              <w:topLinePunct w:val="0"/>
              <w:autoSpaceDE/>
              <w:autoSpaceDN/>
              <w:bidi w:val="0"/>
              <w:spacing w:line="360" w:lineRule="auto"/>
              <w:textAlignment w:val="auto"/>
            </w:pPr>
          </w:p>
        </w:tc>
      </w:tr>
      <w:tr w14:paraId="6DD67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70A97F4">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6D40956D">
            <w:pPr>
              <w:pageBreakBefore w:val="0"/>
              <w:kinsoku/>
              <w:wordWrap/>
              <w:overflowPunct/>
              <w:topLinePunct w:val="0"/>
              <w:autoSpaceDE/>
              <w:autoSpaceDN/>
              <w:bidi w:val="0"/>
              <w:spacing w:before="120" w:after="120" w:line="360" w:lineRule="auto"/>
              <w:jc w:val="center"/>
              <w:textAlignment w:val="auto"/>
            </w:pPr>
            <w:r>
              <w:rPr>
                <w:rFonts w:hint="eastAsia"/>
              </w:rPr>
              <w:t>设备进场搬运通道确认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7F0414E">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52D0BDF5">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3FC9C28">
            <w:pPr>
              <w:pageBreakBefore w:val="0"/>
              <w:widowControl/>
              <w:kinsoku/>
              <w:wordWrap/>
              <w:overflowPunct/>
              <w:topLinePunct w:val="0"/>
              <w:autoSpaceDE/>
              <w:autoSpaceDN/>
              <w:bidi w:val="0"/>
              <w:spacing w:line="360" w:lineRule="auto"/>
              <w:textAlignment w:val="auto"/>
            </w:pPr>
          </w:p>
        </w:tc>
      </w:tr>
      <w:tr w14:paraId="478FA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7733BBC7">
            <w:pPr>
              <w:pageBreakBefore w:val="0"/>
              <w:kinsoku/>
              <w:wordWrap/>
              <w:overflowPunct/>
              <w:topLinePunct w:val="0"/>
              <w:autoSpaceDE/>
              <w:autoSpaceDN/>
              <w:bidi w:val="0"/>
              <w:spacing w:before="120" w:after="120" w:line="360" w:lineRule="auto"/>
              <w:jc w:val="center"/>
              <w:textAlignment w:val="auto"/>
            </w:pPr>
            <w:r>
              <w:rPr>
                <w:rFonts w:hint="eastAsia"/>
              </w:rPr>
              <w:t>开工报告</w:t>
            </w:r>
          </w:p>
        </w:tc>
        <w:tc>
          <w:tcPr>
            <w:tcW w:w="2994" w:type="dxa"/>
            <w:tcBorders>
              <w:top w:val="single" w:color="auto" w:sz="4" w:space="0"/>
              <w:left w:val="single" w:color="auto" w:sz="4" w:space="0"/>
              <w:bottom w:val="single" w:color="auto" w:sz="4" w:space="0"/>
              <w:right w:val="single" w:color="auto" w:sz="4" w:space="0"/>
            </w:tcBorders>
            <w:vAlign w:val="center"/>
          </w:tcPr>
          <w:p w14:paraId="2DBFD822">
            <w:pPr>
              <w:pageBreakBefore w:val="0"/>
              <w:kinsoku/>
              <w:wordWrap/>
              <w:overflowPunct/>
              <w:topLinePunct w:val="0"/>
              <w:autoSpaceDE/>
              <w:autoSpaceDN/>
              <w:bidi w:val="0"/>
              <w:spacing w:before="120" w:after="120" w:line="360" w:lineRule="auto"/>
              <w:jc w:val="center"/>
              <w:textAlignment w:val="auto"/>
            </w:pPr>
            <w:r>
              <w:rPr>
                <w:rFonts w:hint="eastAsia"/>
              </w:rPr>
              <w:t>提出开工申请</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655F67D2">
            <w:pPr>
              <w:pageBreakBefore w:val="0"/>
              <w:kinsoku/>
              <w:wordWrap/>
              <w:overflowPunct/>
              <w:topLinePunct w:val="0"/>
              <w:autoSpaceDE/>
              <w:autoSpaceDN/>
              <w:bidi w:val="0"/>
              <w:spacing w:before="120" w:after="120" w:line="360" w:lineRule="auto"/>
              <w:jc w:val="center"/>
              <w:textAlignment w:val="auto"/>
            </w:pPr>
            <w:r>
              <w:rPr>
                <w:rFonts w:hint="eastAsia"/>
              </w:rPr>
              <w:t>贵司项目经理，监理工程师；乙方项目经理</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0BA55A7D">
            <w:pPr>
              <w:pageBreakBefore w:val="0"/>
              <w:kinsoku/>
              <w:wordWrap/>
              <w:overflowPunct/>
              <w:topLinePunct w:val="0"/>
              <w:autoSpaceDE/>
              <w:autoSpaceDN/>
              <w:bidi w:val="0"/>
              <w:spacing w:before="120" w:after="120" w:line="360" w:lineRule="auto"/>
              <w:jc w:val="center"/>
              <w:textAlignment w:val="auto"/>
            </w:pPr>
            <w:r>
              <w:rPr>
                <w:rFonts w:hint="eastAsia"/>
              </w:rPr>
              <w:t>确定开工时间和《施工组织设计》</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13B4245A">
            <w:pPr>
              <w:pageBreakBefore w:val="0"/>
              <w:kinsoku/>
              <w:wordWrap/>
              <w:overflowPunct/>
              <w:topLinePunct w:val="0"/>
              <w:autoSpaceDE/>
              <w:autoSpaceDN/>
              <w:bidi w:val="0"/>
              <w:spacing w:before="120" w:after="120" w:line="360" w:lineRule="auto"/>
              <w:jc w:val="center"/>
              <w:textAlignment w:val="auto"/>
            </w:pPr>
          </w:p>
        </w:tc>
      </w:tr>
      <w:tr w14:paraId="0531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DB7E20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BC8DD72">
            <w:pPr>
              <w:pageBreakBefore w:val="0"/>
              <w:kinsoku/>
              <w:wordWrap/>
              <w:overflowPunct/>
              <w:topLinePunct w:val="0"/>
              <w:autoSpaceDE/>
              <w:autoSpaceDN/>
              <w:bidi w:val="0"/>
              <w:spacing w:before="120" w:after="120" w:line="360" w:lineRule="auto"/>
              <w:jc w:val="center"/>
              <w:textAlignment w:val="auto"/>
            </w:pPr>
            <w:r>
              <w:rPr>
                <w:rFonts w:hint="eastAsia"/>
              </w:rPr>
              <w:t>乙方项目经理提交</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3A97DF91">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C33A957">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0DD9CA4F">
            <w:pPr>
              <w:pageBreakBefore w:val="0"/>
              <w:widowControl/>
              <w:kinsoku/>
              <w:wordWrap/>
              <w:overflowPunct/>
              <w:topLinePunct w:val="0"/>
              <w:autoSpaceDE/>
              <w:autoSpaceDN/>
              <w:bidi w:val="0"/>
              <w:spacing w:line="360" w:lineRule="auto"/>
              <w:textAlignment w:val="auto"/>
            </w:pPr>
          </w:p>
        </w:tc>
      </w:tr>
      <w:tr w14:paraId="0AB45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435FF89">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371CC361">
            <w:pPr>
              <w:pageBreakBefore w:val="0"/>
              <w:kinsoku/>
              <w:wordWrap/>
              <w:overflowPunct/>
              <w:topLinePunct w:val="0"/>
              <w:autoSpaceDE/>
              <w:autoSpaceDN/>
              <w:bidi w:val="0"/>
              <w:spacing w:before="120" w:after="120" w:line="360" w:lineRule="auto"/>
              <w:jc w:val="center"/>
              <w:textAlignment w:val="auto"/>
            </w:pPr>
            <w:r>
              <w:rPr>
                <w:rFonts w:hint="eastAsia"/>
              </w:rPr>
              <w:t>《施工组织设计》</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733E3F47">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C9E808B">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9963E1B">
            <w:pPr>
              <w:pageBreakBefore w:val="0"/>
              <w:widowControl/>
              <w:kinsoku/>
              <w:wordWrap/>
              <w:overflowPunct/>
              <w:topLinePunct w:val="0"/>
              <w:autoSpaceDE/>
              <w:autoSpaceDN/>
              <w:bidi w:val="0"/>
              <w:spacing w:line="360" w:lineRule="auto"/>
              <w:textAlignment w:val="auto"/>
            </w:pPr>
          </w:p>
        </w:tc>
      </w:tr>
      <w:tr w14:paraId="5F15C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DBD15B4">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AED934B">
            <w:pPr>
              <w:pageBreakBefore w:val="0"/>
              <w:kinsoku/>
              <w:wordWrap/>
              <w:overflowPunct/>
              <w:topLinePunct w:val="0"/>
              <w:autoSpaceDE/>
              <w:autoSpaceDN/>
              <w:bidi w:val="0"/>
              <w:spacing w:before="120" w:after="120" w:line="360" w:lineRule="auto"/>
              <w:jc w:val="center"/>
              <w:textAlignment w:val="auto"/>
            </w:pPr>
            <w:r>
              <w:rPr>
                <w:rFonts w:hint="eastAsia"/>
              </w:rPr>
              <w:t>《施工组织设计》审核</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4F50BD0">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07BF006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4125B4E">
            <w:pPr>
              <w:pageBreakBefore w:val="0"/>
              <w:widowControl/>
              <w:kinsoku/>
              <w:wordWrap/>
              <w:overflowPunct/>
              <w:topLinePunct w:val="0"/>
              <w:autoSpaceDE/>
              <w:autoSpaceDN/>
              <w:bidi w:val="0"/>
              <w:spacing w:line="360" w:lineRule="auto"/>
              <w:textAlignment w:val="auto"/>
            </w:pPr>
          </w:p>
        </w:tc>
      </w:tr>
      <w:tr w14:paraId="2E4F6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03C4A965">
            <w:pPr>
              <w:pageBreakBefore w:val="0"/>
              <w:kinsoku/>
              <w:wordWrap/>
              <w:overflowPunct/>
              <w:topLinePunct w:val="0"/>
              <w:autoSpaceDE/>
              <w:autoSpaceDN/>
              <w:bidi w:val="0"/>
              <w:spacing w:before="120" w:after="120" w:line="360" w:lineRule="auto"/>
              <w:jc w:val="center"/>
              <w:textAlignment w:val="auto"/>
            </w:pPr>
            <w:r>
              <w:rPr>
                <w:rFonts w:hint="eastAsia"/>
              </w:rPr>
              <w:t>开工会议</w:t>
            </w:r>
          </w:p>
        </w:tc>
        <w:tc>
          <w:tcPr>
            <w:tcW w:w="2994" w:type="dxa"/>
            <w:tcBorders>
              <w:top w:val="single" w:color="auto" w:sz="4" w:space="0"/>
              <w:left w:val="single" w:color="auto" w:sz="4" w:space="0"/>
              <w:bottom w:val="single" w:color="auto" w:sz="4" w:space="0"/>
              <w:right w:val="single" w:color="auto" w:sz="4" w:space="0"/>
            </w:tcBorders>
            <w:vAlign w:val="center"/>
          </w:tcPr>
          <w:p w14:paraId="3A9BC5C0">
            <w:pPr>
              <w:pageBreakBefore w:val="0"/>
              <w:kinsoku/>
              <w:wordWrap/>
              <w:overflowPunct/>
              <w:topLinePunct w:val="0"/>
              <w:autoSpaceDE/>
              <w:autoSpaceDN/>
              <w:bidi w:val="0"/>
              <w:spacing w:before="120" w:after="120" w:line="360" w:lineRule="auto"/>
              <w:jc w:val="center"/>
              <w:textAlignment w:val="auto"/>
            </w:pPr>
            <w:r>
              <w:rPr>
                <w:rFonts w:hint="eastAsia"/>
              </w:rPr>
              <w:t>贵司项目经理提出进度要求</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7E781808">
            <w:pPr>
              <w:pageBreakBefore w:val="0"/>
              <w:kinsoku/>
              <w:wordWrap/>
              <w:overflowPunct/>
              <w:topLinePunct w:val="0"/>
              <w:autoSpaceDE/>
              <w:autoSpaceDN/>
              <w:bidi w:val="0"/>
              <w:spacing w:before="120" w:after="120" w:line="360" w:lineRule="auto"/>
              <w:jc w:val="center"/>
              <w:textAlignment w:val="auto"/>
            </w:pPr>
            <w:r>
              <w:rPr>
                <w:rFonts w:hint="eastAsia"/>
              </w:rPr>
              <w:t>贵司项目经理，监理工程师等；乙方项目经理、现场经理、施工队长等</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082623A1">
            <w:pPr>
              <w:pageBreakBefore w:val="0"/>
              <w:kinsoku/>
              <w:wordWrap/>
              <w:overflowPunct/>
              <w:topLinePunct w:val="0"/>
              <w:autoSpaceDE/>
              <w:autoSpaceDN/>
              <w:bidi w:val="0"/>
              <w:spacing w:before="120" w:after="120" w:line="360" w:lineRule="auto"/>
              <w:jc w:val="center"/>
              <w:textAlignment w:val="auto"/>
            </w:pPr>
            <w:r>
              <w:rPr>
                <w:rFonts w:hint="eastAsia"/>
              </w:rPr>
              <w:t>签署会议纪要</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379AFE69">
            <w:pPr>
              <w:pageBreakBefore w:val="0"/>
              <w:kinsoku/>
              <w:wordWrap/>
              <w:overflowPunct/>
              <w:topLinePunct w:val="0"/>
              <w:autoSpaceDE/>
              <w:autoSpaceDN/>
              <w:bidi w:val="0"/>
              <w:spacing w:before="120" w:after="120" w:line="360" w:lineRule="auto"/>
              <w:jc w:val="center"/>
              <w:textAlignment w:val="auto"/>
            </w:pPr>
          </w:p>
        </w:tc>
      </w:tr>
      <w:tr w14:paraId="7889F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7A6A56E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527BA2A">
            <w:pPr>
              <w:pageBreakBefore w:val="0"/>
              <w:kinsoku/>
              <w:wordWrap/>
              <w:overflowPunct/>
              <w:topLinePunct w:val="0"/>
              <w:autoSpaceDE/>
              <w:autoSpaceDN/>
              <w:bidi w:val="0"/>
              <w:spacing w:before="120" w:after="120" w:line="360" w:lineRule="auto"/>
              <w:jc w:val="center"/>
              <w:textAlignment w:val="auto"/>
            </w:pPr>
            <w:r>
              <w:rPr>
                <w:rFonts w:hint="eastAsia"/>
              </w:rPr>
              <w:t>贵司项目经理提出质量要求</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6220B353">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1D143BC8">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6803B77C">
            <w:pPr>
              <w:pageBreakBefore w:val="0"/>
              <w:widowControl/>
              <w:kinsoku/>
              <w:wordWrap/>
              <w:overflowPunct/>
              <w:topLinePunct w:val="0"/>
              <w:autoSpaceDE/>
              <w:autoSpaceDN/>
              <w:bidi w:val="0"/>
              <w:spacing w:line="360" w:lineRule="auto"/>
              <w:textAlignment w:val="auto"/>
            </w:pPr>
          </w:p>
        </w:tc>
      </w:tr>
      <w:tr w14:paraId="59440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1BFFF6DD">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58E2F1A">
            <w:pPr>
              <w:pageBreakBefore w:val="0"/>
              <w:kinsoku/>
              <w:wordWrap/>
              <w:overflowPunct/>
              <w:topLinePunct w:val="0"/>
              <w:autoSpaceDE/>
              <w:autoSpaceDN/>
              <w:bidi w:val="0"/>
              <w:spacing w:before="120" w:after="120" w:line="360" w:lineRule="auto"/>
              <w:jc w:val="center"/>
              <w:textAlignment w:val="auto"/>
            </w:pPr>
            <w:r>
              <w:rPr>
                <w:rFonts w:hint="eastAsia"/>
              </w:rPr>
              <w:t>贵司项目经理提出安全要求</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4BB31845">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0D653699">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09B18B60">
            <w:pPr>
              <w:pageBreakBefore w:val="0"/>
              <w:widowControl/>
              <w:kinsoku/>
              <w:wordWrap/>
              <w:overflowPunct/>
              <w:topLinePunct w:val="0"/>
              <w:autoSpaceDE/>
              <w:autoSpaceDN/>
              <w:bidi w:val="0"/>
              <w:spacing w:line="360" w:lineRule="auto"/>
              <w:textAlignment w:val="auto"/>
            </w:pPr>
          </w:p>
        </w:tc>
      </w:tr>
      <w:tr w14:paraId="68378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7AA551D">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77859736">
            <w:pPr>
              <w:pageBreakBefore w:val="0"/>
              <w:kinsoku/>
              <w:wordWrap/>
              <w:overflowPunct/>
              <w:topLinePunct w:val="0"/>
              <w:autoSpaceDE/>
              <w:autoSpaceDN/>
              <w:bidi w:val="0"/>
              <w:spacing w:before="120" w:after="120" w:line="360" w:lineRule="auto"/>
              <w:jc w:val="center"/>
              <w:textAlignment w:val="auto"/>
            </w:pPr>
            <w:r>
              <w:rPr>
                <w:rFonts w:hint="eastAsia"/>
              </w:rPr>
              <w:t>贵司项目经理提出纪律要求</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610F097">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FC34772">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4142293D">
            <w:pPr>
              <w:pageBreakBefore w:val="0"/>
              <w:widowControl/>
              <w:kinsoku/>
              <w:wordWrap/>
              <w:overflowPunct/>
              <w:topLinePunct w:val="0"/>
              <w:autoSpaceDE/>
              <w:autoSpaceDN/>
              <w:bidi w:val="0"/>
              <w:spacing w:line="360" w:lineRule="auto"/>
              <w:textAlignment w:val="auto"/>
            </w:pPr>
          </w:p>
        </w:tc>
      </w:tr>
      <w:tr w14:paraId="6CEE1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1E4D286E">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61B2C4A8">
            <w:pPr>
              <w:pageBreakBefore w:val="0"/>
              <w:kinsoku/>
              <w:wordWrap/>
              <w:overflowPunct/>
              <w:topLinePunct w:val="0"/>
              <w:autoSpaceDE/>
              <w:autoSpaceDN/>
              <w:bidi w:val="0"/>
              <w:spacing w:before="120" w:after="120" w:line="360" w:lineRule="auto"/>
              <w:jc w:val="center"/>
              <w:textAlignment w:val="auto"/>
            </w:pPr>
            <w:r>
              <w:rPr>
                <w:rFonts w:hint="eastAsia"/>
              </w:rPr>
              <w:t>乙方项目经理提出各相关专业配合要求</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478EE753">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76633B6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2649AEA">
            <w:pPr>
              <w:pageBreakBefore w:val="0"/>
              <w:widowControl/>
              <w:kinsoku/>
              <w:wordWrap/>
              <w:overflowPunct/>
              <w:topLinePunct w:val="0"/>
              <w:autoSpaceDE/>
              <w:autoSpaceDN/>
              <w:bidi w:val="0"/>
              <w:spacing w:line="360" w:lineRule="auto"/>
              <w:textAlignment w:val="auto"/>
            </w:pPr>
          </w:p>
        </w:tc>
      </w:tr>
      <w:tr w14:paraId="63112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68B80CF1">
            <w:pPr>
              <w:pageBreakBefore w:val="0"/>
              <w:kinsoku/>
              <w:wordWrap/>
              <w:overflowPunct/>
              <w:topLinePunct w:val="0"/>
              <w:autoSpaceDE/>
              <w:autoSpaceDN/>
              <w:bidi w:val="0"/>
              <w:spacing w:before="120" w:after="120" w:line="360" w:lineRule="auto"/>
              <w:jc w:val="center"/>
              <w:textAlignment w:val="auto"/>
            </w:pPr>
            <w:r>
              <w:rPr>
                <w:rFonts w:hint="eastAsia"/>
              </w:rPr>
              <w:t>国产设备到货</w:t>
            </w:r>
          </w:p>
        </w:tc>
        <w:tc>
          <w:tcPr>
            <w:tcW w:w="2994" w:type="dxa"/>
            <w:tcBorders>
              <w:top w:val="single" w:color="auto" w:sz="4" w:space="0"/>
              <w:left w:val="single" w:color="auto" w:sz="4" w:space="0"/>
              <w:bottom w:val="single" w:color="auto" w:sz="4" w:space="0"/>
              <w:right w:val="single" w:color="auto" w:sz="4" w:space="0"/>
            </w:tcBorders>
            <w:vAlign w:val="center"/>
          </w:tcPr>
          <w:p w14:paraId="6810747E">
            <w:pPr>
              <w:pageBreakBefore w:val="0"/>
              <w:kinsoku/>
              <w:wordWrap/>
              <w:overflowPunct/>
              <w:topLinePunct w:val="0"/>
              <w:autoSpaceDE/>
              <w:autoSpaceDN/>
              <w:bidi w:val="0"/>
              <w:spacing w:before="120" w:after="120" w:line="360" w:lineRule="auto"/>
              <w:jc w:val="center"/>
              <w:textAlignment w:val="auto"/>
            </w:pPr>
            <w:r>
              <w:rPr>
                <w:rFonts w:hint="eastAsia"/>
              </w:rPr>
              <w:t>乙方现场经理提交《到货确认书》，并共同开箱验货</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089E76A7">
            <w:pPr>
              <w:pageBreakBefore w:val="0"/>
              <w:kinsoku/>
              <w:wordWrap/>
              <w:overflowPunct/>
              <w:topLinePunct w:val="0"/>
              <w:autoSpaceDE/>
              <w:autoSpaceDN/>
              <w:bidi w:val="0"/>
              <w:spacing w:before="120" w:after="120" w:line="360" w:lineRule="auto"/>
              <w:jc w:val="center"/>
              <w:textAlignment w:val="auto"/>
            </w:pPr>
            <w:r>
              <w:rPr>
                <w:rFonts w:hint="eastAsia"/>
              </w:rPr>
              <w:t>贵司项目经理，监理工程师等；乙方现场经理等</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4CF4448E">
            <w:pPr>
              <w:pageBreakBefore w:val="0"/>
              <w:kinsoku/>
              <w:wordWrap/>
              <w:overflowPunct/>
              <w:topLinePunct w:val="0"/>
              <w:autoSpaceDE/>
              <w:autoSpaceDN/>
              <w:bidi w:val="0"/>
              <w:spacing w:before="120" w:after="120" w:line="360" w:lineRule="auto"/>
              <w:jc w:val="center"/>
              <w:textAlignment w:val="auto"/>
            </w:pPr>
            <w:r>
              <w:rPr>
                <w:rFonts w:hint="eastAsia"/>
              </w:rPr>
              <w:t>贵司项目经理签字确认到货，监理工程师签收相关资</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2AA3BC2C">
            <w:pPr>
              <w:pageBreakBefore w:val="0"/>
              <w:kinsoku/>
              <w:wordWrap/>
              <w:overflowPunct/>
              <w:topLinePunct w:val="0"/>
              <w:autoSpaceDE/>
              <w:autoSpaceDN/>
              <w:bidi w:val="0"/>
              <w:spacing w:before="120" w:after="120" w:line="360" w:lineRule="auto"/>
              <w:jc w:val="center"/>
              <w:textAlignment w:val="auto"/>
            </w:pPr>
          </w:p>
        </w:tc>
      </w:tr>
      <w:tr w14:paraId="00E62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1F06B5B">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483FBAA6">
            <w:pPr>
              <w:pageBreakBefore w:val="0"/>
              <w:kinsoku/>
              <w:wordWrap/>
              <w:overflowPunct/>
              <w:topLinePunct w:val="0"/>
              <w:autoSpaceDE/>
              <w:autoSpaceDN/>
              <w:bidi w:val="0"/>
              <w:spacing w:before="120" w:after="120" w:line="360" w:lineRule="auto"/>
              <w:jc w:val="center"/>
              <w:textAlignment w:val="auto"/>
            </w:pPr>
            <w:r>
              <w:rPr>
                <w:rFonts w:hint="eastAsia"/>
              </w:rPr>
              <w:t>乙方现场经理提交《出厂合格证》</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3962FCC">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31204A6E">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98DF373">
            <w:pPr>
              <w:pageBreakBefore w:val="0"/>
              <w:widowControl/>
              <w:kinsoku/>
              <w:wordWrap/>
              <w:overflowPunct/>
              <w:topLinePunct w:val="0"/>
              <w:autoSpaceDE/>
              <w:autoSpaceDN/>
              <w:bidi w:val="0"/>
              <w:spacing w:line="360" w:lineRule="auto"/>
              <w:textAlignment w:val="auto"/>
            </w:pPr>
          </w:p>
        </w:tc>
      </w:tr>
      <w:tr w14:paraId="7E859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57FF07E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0DEA7D4">
            <w:pPr>
              <w:pageBreakBefore w:val="0"/>
              <w:kinsoku/>
              <w:wordWrap/>
              <w:overflowPunct/>
              <w:topLinePunct w:val="0"/>
              <w:autoSpaceDE/>
              <w:autoSpaceDN/>
              <w:bidi w:val="0"/>
              <w:spacing w:before="120" w:after="120" w:line="360" w:lineRule="auto"/>
              <w:jc w:val="center"/>
              <w:textAlignment w:val="auto"/>
            </w:pPr>
            <w:r>
              <w:rPr>
                <w:rFonts w:hint="eastAsia"/>
              </w:rPr>
              <w:t>乙方现场经理提交《装箱清单》</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9F6FA69">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7F26D083">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A0AAC38">
            <w:pPr>
              <w:pageBreakBefore w:val="0"/>
              <w:widowControl/>
              <w:kinsoku/>
              <w:wordWrap/>
              <w:overflowPunct/>
              <w:topLinePunct w:val="0"/>
              <w:autoSpaceDE/>
              <w:autoSpaceDN/>
              <w:bidi w:val="0"/>
              <w:spacing w:line="360" w:lineRule="auto"/>
              <w:textAlignment w:val="auto"/>
            </w:pPr>
          </w:p>
        </w:tc>
      </w:tr>
      <w:tr w14:paraId="32085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775FDC7E">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E307C6E">
            <w:pPr>
              <w:pageBreakBefore w:val="0"/>
              <w:kinsoku/>
              <w:wordWrap/>
              <w:overflowPunct/>
              <w:topLinePunct w:val="0"/>
              <w:autoSpaceDE/>
              <w:autoSpaceDN/>
              <w:bidi w:val="0"/>
              <w:spacing w:before="120" w:after="120" w:line="360" w:lineRule="auto"/>
              <w:jc w:val="center"/>
              <w:textAlignment w:val="auto"/>
            </w:pPr>
            <w:r>
              <w:rPr>
                <w:rFonts w:hint="eastAsia"/>
              </w:rPr>
              <w:t>乙方现场经理提交《随机资料》</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01D74693">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75BDE0B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B42BE13">
            <w:pPr>
              <w:pageBreakBefore w:val="0"/>
              <w:widowControl/>
              <w:kinsoku/>
              <w:wordWrap/>
              <w:overflowPunct/>
              <w:topLinePunct w:val="0"/>
              <w:autoSpaceDE/>
              <w:autoSpaceDN/>
              <w:bidi w:val="0"/>
              <w:spacing w:line="360" w:lineRule="auto"/>
              <w:textAlignment w:val="auto"/>
            </w:pPr>
          </w:p>
        </w:tc>
      </w:tr>
      <w:tr w14:paraId="4160F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337A4BD8">
            <w:pPr>
              <w:pageBreakBefore w:val="0"/>
              <w:kinsoku/>
              <w:wordWrap/>
              <w:overflowPunct/>
              <w:topLinePunct w:val="0"/>
              <w:autoSpaceDE/>
              <w:autoSpaceDN/>
              <w:bidi w:val="0"/>
              <w:spacing w:before="120" w:after="120" w:line="360" w:lineRule="auto"/>
              <w:jc w:val="center"/>
              <w:textAlignment w:val="auto"/>
            </w:pPr>
            <w:r>
              <w:rPr>
                <w:rFonts w:hint="eastAsia"/>
              </w:rPr>
              <w:t>进口设备到货</w:t>
            </w:r>
          </w:p>
        </w:tc>
        <w:tc>
          <w:tcPr>
            <w:tcW w:w="2994" w:type="dxa"/>
            <w:tcBorders>
              <w:top w:val="single" w:color="auto" w:sz="4" w:space="0"/>
              <w:left w:val="single" w:color="auto" w:sz="4" w:space="0"/>
              <w:bottom w:val="single" w:color="auto" w:sz="4" w:space="0"/>
              <w:right w:val="single" w:color="auto" w:sz="4" w:space="0"/>
            </w:tcBorders>
            <w:vAlign w:val="center"/>
          </w:tcPr>
          <w:p w14:paraId="3773F0A5">
            <w:pPr>
              <w:pageBreakBefore w:val="0"/>
              <w:kinsoku/>
              <w:wordWrap/>
              <w:overflowPunct/>
              <w:topLinePunct w:val="0"/>
              <w:autoSpaceDE/>
              <w:autoSpaceDN/>
              <w:bidi w:val="0"/>
              <w:spacing w:before="120" w:after="120" w:line="360" w:lineRule="auto"/>
              <w:jc w:val="center"/>
              <w:textAlignment w:val="auto"/>
            </w:pPr>
            <w:r>
              <w:rPr>
                <w:rFonts w:hint="eastAsia"/>
              </w:rPr>
              <w:t>乙方现场经理提交《到货确认书》，并共同开箱验货</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50B1A6B1">
            <w:pPr>
              <w:pageBreakBefore w:val="0"/>
              <w:kinsoku/>
              <w:wordWrap/>
              <w:overflowPunct/>
              <w:topLinePunct w:val="0"/>
              <w:autoSpaceDE/>
              <w:autoSpaceDN/>
              <w:bidi w:val="0"/>
              <w:spacing w:before="120" w:after="120" w:line="360" w:lineRule="auto"/>
              <w:jc w:val="center"/>
              <w:textAlignment w:val="auto"/>
            </w:pPr>
            <w:r>
              <w:rPr>
                <w:rFonts w:hint="eastAsia"/>
              </w:rPr>
              <w:t>贵司项目经理，监理工程师；清关单位；乙方项目经理等</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2C5CE621">
            <w:pPr>
              <w:pageBreakBefore w:val="0"/>
              <w:kinsoku/>
              <w:wordWrap/>
              <w:overflowPunct/>
              <w:topLinePunct w:val="0"/>
              <w:autoSpaceDE/>
              <w:autoSpaceDN/>
              <w:bidi w:val="0"/>
              <w:spacing w:before="120" w:after="120" w:line="360" w:lineRule="auto"/>
              <w:jc w:val="center"/>
              <w:textAlignment w:val="auto"/>
            </w:pPr>
            <w:r>
              <w:rPr>
                <w:rFonts w:hint="eastAsia"/>
              </w:rPr>
              <w:t>贵司项目经理签字确认到货，监理工程师签收相关资料</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6BDABF8B">
            <w:pPr>
              <w:pageBreakBefore w:val="0"/>
              <w:kinsoku/>
              <w:wordWrap/>
              <w:overflowPunct/>
              <w:topLinePunct w:val="0"/>
              <w:autoSpaceDE/>
              <w:autoSpaceDN/>
              <w:bidi w:val="0"/>
              <w:spacing w:before="120" w:after="120" w:line="360" w:lineRule="auto"/>
              <w:jc w:val="center"/>
              <w:textAlignment w:val="auto"/>
              <w:rPr>
                <w:kern w:val="0"/>
              </w:rPr>
            </w:pPr>
          </w:p>
        </w:tc>
      </w:tr>
      <w:tr w14:paraId="1E7F2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E388AEF">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F4CD09C">
            <w:pPr>
              <w:pageBreakBefore w:val="0"/>
              <w:kinsoku/>
              <w:wordWrap/>
              <w:overflowPunct/>
              <w:topLinePunct w:val="0"/>
              <w:autoSpaceDE/>
              <w:autoSpaceDN/>
              <w:bidi w:val="0"/>
              <w:spacing w:before="120" w:after="120" w:line="360" w:lineRule="auto"/>
              <w:jc w:val="center"/>
              <w:textAlignment w:val="auto"/>
            </w:pPr>
            <w:r>
              <w:rPr>
                <w:rFonts w:hint="eastAsia"/>
              </w:rPr>
              <w:t>乙方现场经理提交《原产地证明》</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4F3F8FA0">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6C7EA4AF">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C722331">
            <w:pPr>
              <w:pageBreakBefore w:val="0"/>
              <w:widowControl/>
              <w:kinsoku/>
              <w:wordWrap/>
              <w:overflowPunct/>
              <w:topLinePunct w:val="0"/>
              <w:autoSpaceDE/>
              <w:autoSpaceDN/>
              <w:bidi w:val="0"/>
              <w:spacing w:line="360" w:lineRule="auto"/>
              <w:textAlignment w:val="auto"/>
              <w:rPr>
                <w:kern w:val="0"/>
              </w:rPr>
            </w:pPr>
          </w:p>
        </w:tc>
      </w:tr>
      <w:tr w14:paraId="00BCF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6D63193">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72DBB4D1">
            <w:pPr>
              <w:pageBreakBefore w:val="0"/>
              <w:kinsoku/>
              <w:wordWrap/>
              <w:overflowPunct/>
              <w:topLinePunct w:val="0"/>
              <w:autoSpaceDE/>
              <w:autoSpaceDN/>
              <w:bidi w:val="0"/>
              <w:spacing w:before="120" w:after="120" w:line="360" w:lineRule="auto"/>
              <w:jc w:val="center"/>
              <w:textAlignment w:val="auto"/>
            </w:pPr>
            <w:r>
              <w:rPr>
                <w:rFonts w:hint="eastAsia"/>
              </w:rPr>
              <w:t>乙方现场经理提交《装箱清单》</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2B1EE5A1">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B5F0353">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29054B7C">
            <w:pPr>
              <w:pageBreakBefore w:val="0"/>
              <w:widowControl/>
              <w:kinsoku/>
              <w:wordWrap/>
              <w:overflowPunct/>
              <w:topLinePunct w:val="0"/>
              <w:autoSpaceDE/>
              <w:autoSpaceDN/>
              <w:bidi w:val="0"/>
              <w:spacing w:line="360" w:lineRule="auto"/>
              <w:textAlignment w:val="auto"/>
              <w:rPr>
                <w:kern w:val="0"/>
              </w:rPr>
            </w:pPr>
          </w:p>
        </w:tc>
      </w:tr>
      <w:tr w14:paraId="2B043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63F3A0A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64E0C6B">
            <w:pPr>
              <w:pageBreakBefore w:val="0"/>
              <w:kinsoku/>
              <w:wordWrap/>
              <w:overflowPunct/>
              <w:topLinePunct w:val="0"/>
              <w:autoSpaceDE/>
              <w:autoSpaceDN/>
              <w:bidi w:val="0"/>
              <w:spacing w:before="120" w:after="120" w:line="360" w:lineRule="auto"/>
              <w:jc w:val="center"/>
              <w:textAlignment w:val="auto"/>
            </w:pPr>
            <w:r>
              <w:rPr>
                <w:rFonts w:hint="eastAsia"/>
              </w:rPr>
              <w:t>乙方现场经理提交《随机资料》</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2EE788C4">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E058AB2">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19D73EEA">
            <w:pPr>
              <w:pageBreakBefore w:val="0"/>
              <w:widowControl/>
              <w:kinsoku/>
              <w:wordWrap/>
              <w:overflowPunct/>
              <w:topLinePunct w:val="0"/>
              <w:autoSpaceDE/>
              <w:autoSpaceDN/>
              <w:bidi w:val="0"/>
              <w:spacing w:line="360" w:lineRule="auto"/>
              <w:textAlignment w:val="auto"/>
              <w:rPr>
                <w:kern w:val="0"/>
              </w:rPr>
            </w:pPr>
          </w:p>
        </w:tc>
      </w:tr>
      <w:tr w14:paraId="2F76B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4D2E3417">
            <w:pPr>
              <w:pageBreakBefore w:val="0"/>
              <w:kinsoku/>
              <w:wordWrap/>
              <w:overflowPunct/>
              <w:topLinePunct w:val="0"/>
              <w:autoSpaceDE/>
              <w:autoSpaceDN/>
              <w:bidi w:val="0"/>
              <w:spacing w:before="120" w:after="120" w:line="360" w:lineRule="auto"/>
              <w:jc w:val="center"/>
              <w:textAlignment w:val="auto"/>
            </w:pPr>
            <w:r>
              <w:rPr>
                <w:rFonts w:hint="eastAsia"/>
              </w:rPr>
              <w:t>工程实施</w:t>
            </w:r>
          </w:p>
        </w:tc>
        <w:tc>
          <w:tcPr>
            <w:tcW w:w="2994" w:type="dxa"/>
            <w:tcBorders>
              <w:top w:val="single" w:color="auto" w:sz="4" w:space="0"/>
              <w:left w:val="single" w:color="auto" w:sz="4" w:space="0"/>
              <w:bottom w:val="single" w:color="auto" w:sz="4" w:space="0"/>
              <w:right w:val="single" w:color="auto" w:sz="4" w:space="0"/>
            </w:tcBorders>
            <w:vAlign w:val="center"/>
          </w:tcPr>
          <w:p w14:paraId="3846D361">
            <w:pPr>
              <w:pageBreakBefore w:val="0"/>
              <w:kinsoku/>
              <w:wordWrap/>
              <w:overflowPunct/>
              <w:topLinePunct w:val="0"/>
              <w:autoSpaceDE/>
              <w:autoSpaceDN/>
              <w:bidi w:val="0"/>
              <w:spacing w:before="120" w:after="120" w:line="360" w:lineRule="auto"/>
              <w:jc w:val="center"/>
              <w:textAlignment w:val="auto"/>
            </w:pPr>
            <w:r>
              <w:rPr>
                <w:rFonts w:hint="eastAsia"/>
              </w:rPr>
              <w:t>设备安装</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2E348F92">
            <w:pPr>
              <w:pageBreakBefore w:val="0"/>
              <w:kinsoku/>
              <w:wordWrap/>
              <w:overflowPunct/>
              <w:topLinePunct w:val="0"/>
              <w:autoSpaceDE/>
              <w:autoSpaceDN/>
              <w:bidi w:val="0"/>
              <w:spacing w:before="120" w:after="120" w:line="360" w:lineRule="auto"/>
              <w:jc w:val="center"/>
              <w:textAlignment w:val="auto"/>
            </w:pPr>
            <w:r>
              <w:rPr>
                <w:rFonts w:hint="eastAsia"/>
              </w:rPr>
              <w:t>监理工程师；现场经理、安装工程师、调试工程师、施工队等</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7430ED72">
            <w:pPr>
              <w:pageBreakBefore w:val="0"/>
              <w:kinsoku/>
              <w:wordWrap/>
              <w:overflowPunct/>
              <w:topLinePunct w:val="0"/>
              <w:autoSpaceDE/>
              <w:autoSpaceDN/>
              <w:bidi w:val="0"/>
              <w:spacing w:before="120" w:after="120" w:line="360" w:lineRule="auto"/>
              <w:jc w:val="center"/>
              <w:textAlignment w:val="auto"/>
            </w:pPr>
            <w:r>
              <w:rPr>
                <w:rFonts w:hint="eastAsia"/>
              </w:rPr>
              <w:t>保证质量，保证工期，保证安全</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1A37D6FF">
            <w:pPr>
              <w:pageBreakBefore w:val="0"/>
              <w:kinsoku/>
              <w:wordWrap/>
              <w:overflowPunct/>
              <w:topLinePunct w:val="0"/>
              <w:autoSpaceDE/>
              <w:autoSpaceDN/>
              <w:bidi w:val="0"/>
              <w:spacing w:before="120" w:after="120" w:line="360" w:lineRule="auto"/>
              <w:jc w:val="center"/>
              <w:textAlignment w:val="auto"/>
              <w:rPr>
                <w:kern w:val="0"/>
              </w:rPr>
            </w:pPr>
          </w:p>
        </w:tc>
      </w:tr>
      <w:tr w14:paraId="508AA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6D5C783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77C3C940">
            <w:pPr>
              <w:pageBreakBefore w:val="0"/>
              <w:kinsoku/>
              <w:wordWrap/>
              <w:overflowPunct/>
              <w:topLinePunct w:val="0"/>
              <w:autoSpaceDE/>
              <w:autoSpaceDN/>
              <w:bidi w:val="0"/>
              <w:spacing w:before="120" w:after="120" w:line="360" w:lineRule="auto"/>
              <w:jc w:val="center"/>
              <w:textAlignment w:val="auto"/>
            </w:pPr>
            <w:r>
              <w:rPr>
                <w:rFonts w:hint="eastAsia"/>
              </w:rPr>
              <w:t>电控安装调试</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5069431">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7A7AB208">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0799B05D">
            <w:pPr>
              <w:pageBreakBefore w:val="0"/>
              <w:widowControl/>
              <w:kinsoku/>
              <w:wordWrap/>
              <w:overflowPunct/>
              <w:topLinePunct w:val="0"/>
              <w:autoSpaceDE/>
              <w:autoSpaceDN/>
              <w:bidi w:val="0"/>
              <w:spacing w:line="360" w:lineRule="auto"/>
              <w:textAlignment w:val="auto"/>
              <w:rPr>
                <w:kern w:val="0"/>
              </w:rPr>
            </w:pPr>
          </w:p>
        </w:tc>
      </w:tr>
      <w:tr w14:paraId="0A38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1BC863FD">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1CA3BD7C">
            <w:pPr>
              <w:pageBreakBefore w:val="0"/>
              <w:kinsoku/>
              <w:wordWrap/>
              <w:overflowPunct/>
              <w:topLinePunct w:val="0"/>
              <w:autoSpaceDE/>
              <w:autoSpaceDN/>
              <w:bidi w:val="0"/>
              <w:spacing w:before="120" w:after="120" w:line="360" w:lineRule="auto"/>
              <w:jc w:val="center"/>
              <w:textAlignment w:val="auto"/>
            </w:pPr>
            <w:r>
              <w:rPr>
                <w:rFonts w:hint="eastAsia"/>
              </w:rPr>
              <w:t>机械安装调试</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03A7FD2A">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19E810F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18184E5B">
            <w:pPr>
              <w:pageBreakBefore w:val="0"/>
              <w:widowControl/>
              <w:kinsoku/>
              <w:wordWrap/>
              <w:overflowPunct/>
              <w:topLinePunct w:val="0"/>
              <w:autoSpaceDE/>
              <w:autoSpaceDN/>
              <w:bidi w:val="0"/>
              <w:spacing w:line="360" w:lineRule="auto"/>
              <w:textAlignment w:val="auto"/>
              <w:rPr>
                <w:kern w:val="0"/>
              </w:rPr>
            </w:pPr>
          </w:p>
        </w:tc>
      </w:tr>
      <w:tr w14:paraId="5B24D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F9452BA">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07A9526">
            <w:pPr>
              <w:pageBreakBefore w:val="0"/>
              <w:kinsoku/>
              <w:wordWrap/>
              <w:overflowPunct/>
              <w:topLinePunct w:val="0"/>
              <w:autoSpaceDE/>
              <w:autoSpaceDN/>
              <w:bidi w:val="0"/>
              <w:spacing w:before="120" w:after="120" w:line="360" w:lineRule="auto"/>
              <w:jc w:val="center"/>
              <w:textAlignment w:val="auto"/>
            </w:pPr>
            <w:r>
              <w:rPr>
                <w:rFonts w:hint="eastAsia"/>
              </w:rPr>
              <w:t>计算机系统安装调试</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514E463E">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951D4DD">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338141A4">
            <w:pPr>
              <w:pageBreakBefore w:val="0"/>
              <w:widowControl/>
              <w:kinsoku/>
              <w:wordWrap/>
              <w:overflowPunct/>
              <w:topLinePunct w:val="0"/>
              <w:autoSpaceDE/>
              <w:autoSpaceDN/>
              <w:bidi w:val="0"/>
              <w:spacing w:line="360" w:lineRule="auto"/>
              <w:textAlignment w:val="auto"/>
              <w:rPr>
                <w:kern w:val="0"/>
              </w:rPr>
            </w:pPr>
          </w:p>
        </w:tc>
      </w:tr>
      <w:tr w14:paraId="434B7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tcBorders>
              <w:top w:val="single" w:color="auto" w:sz="4" w:space="0"/>
              <w:left w:val="single" w:color="auto" w:sz="4" w:space="0"/>
              <w:bottom w:val="single" w:color="auto" w:sz="4" w:space="0"/>
              <w:right w:val="single" w:color="auto" w:sz="4" w:space="0"/>
            </w:tcBorders>
            <w:vAlign w:val="center"/>
          </w:tcPr>
          <w:p w14:paraId="4CFE9851">
            <w:pPr>
              <w:pageBreakBefore w:val="0"/>
              <w:kinsoku/>
              <w:wordWrap/>
              <w:overflowPunct/>
              <w:topLinePunct w:val="0"/>
              <w:autoSpaceDE/>
              <w:autoSpaceDN/>
              <w:bidi w:val="0"/>
              <w:spacing w:before="120" w:after="120" w:line="360" w:lineRule="auto"/>
              <w:jc w:val="center"/>
              <w:textAlignment w:val="auto"/>
            </w:pPr>
            <w:r>
              <w:rPr>
                <w:rFonts w:hint="eastAsia"/>
              </w:rPr>
              <w:t>工程例会</w:t>
            </w:r>
          </w:p>
        </w:tc>
        <w:tc>
          <w:tcPr>
            <w:tcW w:w="2994" w:type="dxa"/>
            <w:tcBorders>
              <w:top w:val="single" w:color="auto" w:sz="4" w:space="0"/>
              <w:left w:val="single" w:color="auto" w:sz="4" w:space="0"/>
              <w:bottom w:val="single" w:color="auto" w:sz="4" w:space="0"/>
              <w:right w:val="single" w:color="auto" w:sz="4" w:space="0"/>
            </w:tcBorders>
            <w:vAlign w:val="center"/>
          </w:tcPr>
          <w:p w14:paraId="0E380822">
            <w:pPr>
              <w:pageBreakBefore w:val="0"/>
              <w:kinsoku/>
              <w:wordWrap/>
              <w:overflowPunct/>
              <w:topLinePunct w:val="0"/>
              <w:autoSpaceDE/>
              <w:autoSpaceDN/>
              <w:bidi w:val="0"/>
              <w:spacing w:before="120" w:after="120" w:line="360" w:lineRule="auto"/>
              <w:jc w:val="center"/>
              <w:textAlignment w:val="auto"/>
            </w:pPr>
            <w:r>
              <w:rPr>
                <w:rFonts w:hint="eastAsia"/>
              </w:rPr>
              <w:t>按项目实施项目情况制定</w:t>
            </w:r>
          </w:p>
        </w:tc>
        <w:tc>
          <w:tcPr>
            <w:tcW w:w="2381" w:type="dxa"/>
            <w:tcBorders>
              <w:top w:val="single" w:color="auto" w:sz="4" w:space="0"/>
              <w:left w:val="single" w:color="auto" w:sz="4" w:space="0"/>
              <w:bottom w:val="single" w:color="auto" w:sz="4" w:space="0"/>
              <w:right w:val="single" w:color="auto" w:sz="4" w:space="0"/>
            </w:tcBorders>
            <w:vAlign w:val="center"/>
          </w:tcPr>
          <w:p w14:paraId="4C1F13B3">
            <w:pPr>
              <w:pageBreakBefore w:val="0"/>
              <w:kinsoku/>
              <w:wordWrap/>
              <w:overflowPunct/>
              <w:topLinePunct w:val="0"/>
              <w:autoSpaceDE/>
              <w:autoSpaceDN/>
              <w:bidi w:val="0"/>
              <w:spacing w:before="120" w:after="120" w:line="360" w:lineRule="auto"/>
              <w:jc w:val="center"/>
              <w:textAlignment w:val="auto"/>
            </w:pPr>
            <w:r>
              <w:rPr>
                <w:rFonts w:hint="eastAsia"/>
              </w:rPr>
              <w:t>监理工程师、现场经理、施工队长</w:t>
            </w:r>
          </w:p>
        </w:tc>
        <w:tc>
          <w:tcPr>
            <w:tcW w:w="2678" w:type="dxa"/>
            <w:tcBorders>
              <w:top w:val="single" w:color="auto" w:sz="4" w:space="0"/>
              <w:left w:val="single" w:color="auto" w:sz="4" w:space="0"/>
              <w:bottom w:val="single" w:color="auto" w:sz="4" w:space="0"/>
              <w:right w:val="single" w:color="auto" w:sz="4" w:space="0"/>
            </w:tcBorders>
            <w:vAlign w:val="center"/>
          </w:tcPr>
          <w:p w14:paraId="26A710F2">
            <w:pPr>
              <w:pageBreakBefore w:val="0"/>
              <w:kinsoku/>
              <w:wordWrap/>
              <w:overflowPunct/>
              <w:topLinePunct w:val="0"/>
              <w:autoSpaceDE/>
              <w:autoSpaceDN/>
              <w:bidi w:val="0"/>
              <w:spacing w:before="120" w:after="120" w:line="360" w:lineRule="auto"/>
              <w:jc w:val="center"/>
              <w:textAlignment w:val="auto"/>
            </w:pPr>
            <w:r>
              <w:rPr>
                <w:rFonts w:hint="eastAsia"/>
              </w:rPr>
              <w:t>提出问题、解决问题</w:t>
            </w:r>
          </w:p>
        </w:tc>
        <w:tc>
          <w:tcPr>
            <w:tcW w:w="518" w:type="dxa"/>
            <w:tcBorders>
              <w:top w:val="single" w:color="auto" w:sz="4" w:space="0"/>
              <w:left w:val="single" w:color="auto" w:sz="4" w:space="0"/>
              <w:bottom w:val="single" w:color="auto" w:sz="4" w:space="0"/>
              <w:right w:val="single" w:color="auto" w:sz="4" w:space="0"/>
            </w:tcBorders>
            <w:vAlign w:val="center"/>
          </w:tcPr>
          <w:p w14:paraId="11B2B1A9">
            <w:pPr>
              <w:pageBreakBefore w:val="0"/>
              <w:kinsoku/>
              <w:wordWrap/>
              <w:overflowPunct/>
              <w:topLinePunct w:val="0"/>
              <w:autoSpaceDE/>
              <w:autoSpaceDN/>
              <w:bidi w:val="0"/>
              <w:spacing w:before="120" w:after="120" w:line="360" w:lineRule="auto"/>
              <w:jc w:val="center"/>
              <w:textAlignment w:val="auto"/>
              <w:rPr>
                <w:kern w:val="0"/>
              </w:rPr>
            </w:pPr>
          </w:p>
        </w:tc>
      </w:tr>
      <w:tr w14:paraId="64965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3B5D4F3F">
            <w:pPr>
              <w:pageBreakBefore w:val="0"/>
              <w:kinsoku/>
              <w:wordWrap/>
              <w:overflowPunct/>
              <w:topLinePunct w:val="0"/>
              <w:autoSpaceDE/>
              <w:autoSpaceDN/>
              <w:bidi w:val="0"/>
              <w:spacing w:before="120" w:after="120" w:line="360" w:lineRule="auto"/>
              <w:jc w:val="center"/>
              <w:textAlignment w:val="auto"/>
            </w:pPr>
            <w:r>
              <w:rPr>
                <w:rFonts w:hint="eastAsia"/>
              </w:rPr>
              <w:t>现场培训</w:t>
            </w:r>
          </w:p>
        </w:tc>
        <w:tc>
          <w:tcPr>
            <w:tcW w:w="2994" w:type="dxa"/>
            <w:tcBorders>
              <w:top w:val="single" w:color="auto" w:sz="4" w:space="0"/>
              <w:left w:val="single" w:color="auto" w:sz="4" w:space="0"/>
              <w:bottom w:val="single" w:color="auto" w:sz="4" w:space="0"/>
              <w:right w:val="single" w:color="auto" w:sz="4" w:space="0"/>
            </w:tcBorders>
            <w:vAlign w:val="center"/>
          </w:tcPr>
          <w:p w14:paraId="7B5066F8">
            <w:pPr>
              <w:pageBreakBefore w:val="0"/>
              <w:kinsoku/>
              <w:wordWrap/>
              <w:overflowPunct/>
              <w:topLinePunct w:val="0"/>
              <w:autoSpaceDE/>
              <w:autoSpaceDN/>
              <w:bidi w:val="0"/>
              <w:spacing w:before="120" w:after="120" w:line="360" w:lineRule="auto"/>
              <w:jc w:val="center"/>
              <w:textAlignment w:val="auto"/>
            </w:pPr>
            <w:r>
              <w:rPr>
                <w:rFonts w:hint="eastAsia"/>
              </w:rPr>
              <w:t>乙方现场经理提交培训资料</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37478FD1">
            <w:pPr>
              <w:pageBreakBefore w:val="0"/>
              <w:kinsoku/>
              <w:wordWrap/>
              <w:overflowPunct/>
              <w:topLinePunct w:val="0"/>
              <w:autoSpaceDE/>
              <w:autoSpaceDN/>
              <w:bidi w:val="0"/>
              <w:spacing w:before="120" w:after="120" w:line="360" w:lineRule="auto"/>
              <w:jc w:val="center"/>
              <w:textAlignment w:val="auto"/>
            </w:pPr>
            <w:r>
              <w:rPr>
                <w:rFonts w:hint="eastAsia"/>
              </w:rPr>
              <w:t>贵司参训人员，监理工程师；乙方培训人员，现场经理</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553F93D9">
            <w:pPr>
              <w:pageBreakBefore w:val="0"/>
              <w:kinsoku/>
              <w:wordWrap/>
              <w:overflowPunct/>
              <w:topLinePunct w:val="0"/>
              <w:autoSpaceDE/>
              <w:autoSpaceDN/>
              <w:bidi w:val="0"/>
              <w:spacing w:before="120" w:after="120" w:line="360" w:lineRule="auto"/>
              <w:jc w:val="center"/>
              <w:textAlignment w:val="auto"/>
            </w:pPr>
            <w:r>
              <w:rPr>
                <w:rFonts w:hint="eastAsia"/>
              </w:rPr>
              <w:t>监理工程师签收资料，参训人员签字</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1B16E395">
            <w:pPr>
              <w:pageBreakBefore w:val="0"/>
              <w:kinsoku/>
              <w:wordWrap/>
              <w:overflowPunct/>
              <w:topLinePunct w:val="0"/>
              <w:autoSpaceDE/>
              <w:autoSpaceDN/>
              <w:bidi w:val="0"/>
              <w:spacing w:before="120" w:after="120" w:line="360" w:lineRule="auto"/>
              <w:jc w:val="center"/>
              <w:textAlignment w:val="auto"/>
              <w:rPr>
                <w:kern w:val="0"/>
              </w:rPr>
            </w:pPr>
          </w:p>
        </w:tc>
      </w:tr>
      <w:tr w14:paraId="0D110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62BB968E">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2BD786F7">
            <w:pPr>
              <w:pageBreakBefore w:val="0"/>
              <w:kinsoku/>
              <w:wordWrap/>
              <w:overflowPunct/>
              <w:topLinePunct w:val="0"/>
              <w:autoSpaceDE/>
              <w:autoSpaceDN/>
              <w:bidi w:val="0"/>
              <w:spacing w:before="120" w:after="120" w:line="360" w:lineRule="auto"/>
              <w:jc w:val="center"/>
              <w:textAlignment w:val="auto"/>
            </w:pPr>
            <w:r>
              <w:rPr>
                <w:rFonts w:hint="eastAsia"/>
              </w:rPr>
              <w:t>乙方机械工程师提供培训</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229B0285">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BF05F4F">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32E45A05">
            <w:pPr>
              <w:pageBreakBefore w:val="0"/>
              <w:widowControl/>
              <w:kinsoku/>
              <w:wordWrap/>
              <w:overflowPunct/>
              <w:topLinePunct w:val="0"/>
              <w:autoSpaceDE/>
              <w:autoSpaceDN/>
              <w:bidi w:val="0"/>
              <w:spacing w:line="360" w:lineRule="auto"/>
              <w:textAlignment w:val="auto"/>
              <w:rPr>
                <w:kern w:val="0"/>
              </w:rPr>
            </w:pPr>
          </w:p>
        </w:tc>
      </w:tr>
      <w:tr w14:paraId="74D0F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053B1E85">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7C92CA53">
            <w:pPr>
              <w:pageBreakBefore w:val="0"/>
              <w:kinsoku/>
              <w:wordWrap/>
              <w:overflowPunct/>
              <w:topLinePunct w:val="0"/>
              <w:autoSpaceDE/>
              <w:autoSpaceDN/>
              <w:bidi w:val="0"/>
              <w:spacing w:before="120" w:after="120" w:line="360" w:lineRule="auto"/>
              <w:jc w:val="center"/>
              <w:textAlignment w:val="auto"/>
            </w:pPr>
            <w:r>
              <w:rPr>
                <w:rFonts w:hint="eastAsia"/>
              </w:rPr>
              <w:t>乙方电气工程师提供培训</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09F2C37F">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1966A84D">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1711CF7E">
            <w:pPr>
              <w:pageBreakBefore w:val="0"/>
              <w:widowControl/>
              <w:kinsoku/>
              <w:wordWrap/>
              <w:overflowPunct/>
              <w:topLinePunct w:val="0"/>
              <w:autoSpaceDE/>
              <w:autoSpaceDN/>
              <w:bidi w:val="0"/>
              <w:spacing w:line="360" w:lineRule="auto"/>
              <w:textAlignment w:val="auto"/>
              <w:rPr>
                <w:kern w:val="0"/>
              </w:rPr>
            </w:pPr>
          </w:p>
        </w:tc>
      </w:tr>
      <w:tr w14:paraId="6A69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3BA84C98">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2A0325F9">
            <w:pPr>
              <w:pageBreakBefore w:val="0"/>
              <w:kinsoku/>
              <w:wordWrap/>
              <w:overflowPunct/>
              <w:topLinePunct w:val="0"/>
              <w:autoSpaceDE/>
              <w:autoSpaceDN/>
              <w:bidi w:val="0"/>
              <w:spacing w:before="120" w:after="120" w:line="360" w:lineRule="auto"/>
              <w:jc w:val="center"/>
              <w:textAlignment w:val="auto"/>
            </w:pPr>
            <w:r>
              <w:rPr>
                <w:rFonts w:hint="eastAsia"/>
              </w:rPr>
              <w:t>乙方软件工程师提供培训</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1D3A67F7">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0A69C3C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C4D6C9E">
            <w:pPr>
              <w:pageBreakBefore w:val="0"/>
              <w:widowControl/>
              <w:kinsoku/>
              <w:wordWrap/>
              <w:overflowPunct/>
              <w:topLinePunct w:val="0"/>
              <w:autoSpaceDE/>
              <w:autoSpaceDN/>
              <w:bidi w:val="0"/>
              <w:spacing w:line="360" w:lineRule="auto"/>
              <w:textAlignment w:val="auto"/>
              <w:rPr>
                <w:kern w:val="0"/>
              </w:rPr>
            </w:pPr>
          </w:p>
        </w:tc>
      </w:tr>
      <w:tr w14:paraId="5CDE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tcBorders>
              <w:top w:val="single" w:color="auto" w:sz="4" w:space="0"/>
              <w:left w:val="single" w:color="auto" w:sz="4" w:space="0"/>
              <w:bottom w:val="single" w:color="auto" w:sz="4" w:space="0"/>
              <w:right w:val="single" w:color="auto" w:sz="4" w:space="0"/>
            </w:tcBorders>
            <w:vAlign w:val="center"/>
          </w:tcPr>
          <w:p w14:paraId="459E2F5E">
            <w:pPr>
              <w:pageBreakBefore w:val="0"/>
              <w:kinsoku/>
              <w:wordWrap/>
              <w:overflowPunct/>
              <w:topLinePunct w:val="0"/>
              <w:autoSpaceDE/>
              <w:autoSpaceDN/>
              <w:bidi w:val="0"/>
              <w:spacing w:before="120" w:after="120" w:line="360" w:lineRule="auto"/>
              <w:jc w:val="center"/>
              <w:textAlignment w:val="auto"/>
            </w:pPr>
            <w:r>
              <w:rPr>
                <w:rFonts w:hint="eastAsia"/>
              </w:rPr>
              <w:t>试运行</w:t>
            </w:r>
          </w:p>
        </w:tc>
        <w:tc>
          <w:tcPr>
            <w:tcW w:w="2994" w:type="dxa"/>
            <w:tcBorders>
              <w:top w:val="single" w:color="auto" w:sz="4" w:space="0"/>
              <w:left w:val="single" w:color="auto" w:sz="4" w:space="0"/>
              <w:bottom w:val="single" w:color="auto" w:sz="4" w:space="0"/>
              <w:right w:val="single" w:color="auto" w:sz="4" w:space="0"/>
            </w:tcBorders>
            <w:vAlign w:val="center"/>
          </w:tcPr>
          <w:p w14:paraId="1653C0F0">
            <w:pPr>
              <w:pageBreakBefore w:val="0"/>
              <w:kinsoku/>
              <w:wordWrap/>
              <w:overflowPunct/>
              <w:topLinePunct w:val="0"/>
              <w:autoSpaceDE/>
              <w:autoSpaceDN/>
              <w:bidi w:val="0"/>
              <w:spacing w:before="120" w:after="120" w:line="360" w:lineRule="auto"/>
              <w:jc w:val="center"/>
              <w:textAlignment w:val="auto"/>
            </w:pPr>
            <w:r>
              <w:rPr>
                <w:rFonts w:hint="eastAsia"/>
              </w:rPr>
              <w:t>乙方人员陪产跟踪</w:t>
            </w:r>
          </w:p>
        </w:tc>
        <w:tc>
          <w:tcPr>
            <w:tcW w:w="2381" w:type="dxa"/>
            <w:tcBorders>
              <w:top w:val="single" w:color="auto" w:sz="4" w:space="0"/>
              <w:left w:val="single" w:color="auto" w:sz="4" w:space="0"/>
              <w:bottom w:val="single" w:color="auto" w:sz="4" w:space="0"/>
              <w:right w:val="single" w:color="auto" w:sz="4" w:space="0"/>
            </w:tcBorders>
            <w:vAlign w:val="center"/>
          </w:tcPr>
          <w:p w14:paraId="5F410510">
            <w:pPr>
              <w:pageBreakBefore w:val="0"/>
              <w:kinsoku/>
              <w:wordWrap/>
              <w:overflowPunct/>
              <w:topLinePunct w:val="0"/>
              <w:autoSpaceDE/>
              <w:autoSpaceDN/>
              <w:bidi w:val="0"/>
              <w:spacing w:before="120" w:after="120" w:line="360" w:lineRule="auto"/>
              <w:jc w:val="center"/>
              <w:textAlignment w:val="auto"/>
            </w:pPr>
            <w:r>
              <w:rPr>
                <w:rFonts w:hint="eastAsia"/>
              </w:rPr>
              <w:t>贵司项目经理、操作人员等；乙方现场经理、技术支持人员等</w:t>
            </w:r>
          </w:p>
        </w:tc>
        <w:tc>
          <w:tcPr>
            <w:tcW w:w="2678" w:type="dxa"/>
            <w:tcBorders>
              <w:top w:val="single" w:color="auto" w:sz="4" w:space="0"/>
              <w:left w:val="single" w:color="auto" w:sz="4" w:space="0"/>
              <w:bottom w:val="single" w:color="auto" w:sz="4" w:space="0"/>
              <w:right w:val="single" w:color="auto" w:sz="4" w:space="0"/>
            </w:tcBorders>
            <w:vAlign w:val="center"/>
          </w:tcPr>
          <w:p w14:paraId="3EADE609">
            <w:pPr>
              <w:pageBreakBefore w:val="0"/>
              <w:kinsoku/>
              <w:wordWrap/>
              <w:overflowPunct/>
              <w:topLinePunct w:val="0"/>
              <w:autoSpaceDE/>
              <w:autoSpaceDN/>
              <w:bidi w:val="0"/>
              <w:spacing w:before="120" w:after="120" w:line="360" w:lineRule="auto"/>
              <w:jc w:val="center"/>
              <w:textAlignment w:val="auto"/>
            </w:pPr>
            <w:r>
              <w:rPr>
                <w:rFonts w:hint="eastAsia"/>
              </w:rPr>
              <w:t>确认系统运行能力</w:t>
            </w:r>
          </w:p>
        </w:tc>
        <w:tc>
          <w:tcPr>
            <w:tcW w:w="518" w:type="dxa"/>
            <w:tcBorders>
              <w:top w:val="single" w:color="auto" w:sz="4" w:space="0"/>
              <w:left w:val="single" w:color="auto" w:sz="4" w:space="0"/>
              <w:bottom w:val="single" w:color="auto" w:sz="4" w:space="0"/>
              <w:right w:val="single" w:color="auto" w:sz="4" w:space="0"/>
            </w:tcBorders>
            <w:vAlign w:val="center"/>
          </w:tcPr>
          <w:p w14:paraId="3A3EF1AA">
            <w:pPr>
              <w:pageBreakBefore w:val="0"/>
              <w:kinsoku/>
              <w:wordWrap/>
              <w:overflowPunct/>
              <w:topLinePunct w:val="0"/>
              <w:autoSpaceDE/>
              <w:autoSpaceDN/>
              <w:bidi w:val="0"/>
              <w:spacing w:before="120" w:after="120" w:line="360" w:lineRule="auto"/>
              <w:jc w:val="center"/>
              <w:textAlignment w:val="auto"/>
              <w:rPr>
                <w:kern w:val="0"/>
              </w:rPr>
            </w:pPr>
          </w:p>
        </w:tc>
      </w:tr>
      <w:tr w14:paraId="26222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restart"/>
            <w:tcBorders>
              <w:top w:val="single" w:color="auto" w:sz="4" w:space="0"/>
              <w:left w:val="single" w:color="auto" w:sz="4" w:space="0"/>
              <w:bottom w:val="single" w:color="auto" w:sz="4" w:space="0"/>
              <w:right w:val="single" w:color="auto" w:sz="4" w:space="0"/>
            </w:tcBorders>
            <w:vAlign w:val="center"/>
          </w:tcPr>
          <w:p w14:paraId="7158E599">
            <w:pPr>
              <w:pageBreakBefore w:val="0"/>
              <w:kinsoku/>
              <w:wordWrap/>
              <w:overflowPunct/>
              <w:topLinePunct w:val="0"/>
              <w:autoSpaceDE/>
              <w:autoSpaceDN/>
              <w:bidi w:val="0"/>
              <w:spacing w:before="120" w:after="120" w:line="360" w:lineRule="auto"/>
              <w:jc w:val="center"/>
              <w:textAlignment w:val="auto"/>
            </w:pPr>
            <w:r>
              <w:rPr>
                <w:rFonts w:hint="eastAsia"/>
              </w:rPr>
              <w:t>验收会议</w:t>
            </w:r>
          </w:p>
        </w:tc>
        <w:tc>
          <w:tcPr>
            <w:tcW w:w="2994" w:type="dxa"/>
            <w:tcBorders>
              <w:top w:val="single" w:color="auto" w:sz="4" w:space="0"/>
              <w:left w:val="single" w:color="auto" w:sz="4" w:space="0"/>
              <w:bottom w:val="single" w:color="auto" w:sz="4" w:space="0"/>
              <w:right w:val="single" w:color="auto" w:sz="4" w:space="0"/>
            </w:tcBorders>
            <w:vAlign w:val="center"/>
          </w:tcPr>
          <w:p w14:paraId="060BEE0A">
            <w:pPr>
              <w:pageBreakBefore w:val="0"/>
              <w:kinsoku/>
              <w:wordWrap/>
              <w:overflowPunct/>
              <w:topLinePunct w:val="0"/>
              <w:autoSpaceDE/>
              <w:autoSpaceDN/>
              <w:bidi w:val="0"/>
              <w:spacing w:before="120" w:after="120" w:line="360" w:lineRule="auto"/>
              <w:jc w:val="center"/>
              <w:textAlignment w:val="auto"/>
            </w:pPr>
            <w:r>
              <w:rPr>
                <w:rFonts w:hint="eastAsia"/>
              </w:rPr>
              <w:t>资料移交（操作手册、维护手册、相关软件、设备机械图纸、电气图纸、培训记录、竣工图等）</w:t>
            </w:r>
          </w:p>
        </w:tc>
        <w:tc>
          <w:tcPr>
            <w:tcW w:w="2381" w:type="dxa"/>
            <w:vMerge w:val="restart"/>
            <w:tcBorders>
              <w:top w:val="single" w:color="auto" w:sz="4" w:space="0"/>
              <w:left w:val="single" w:color="auto" w:sz="4" w:space="0"/>
              <w:bottom w:val="single" w:color="auto" w:sz="4" w:space="0"/>
              <w:right w:val="single" w:color="auto" w:sz="4" w:space="0"/>
            </w:tcBorders>
            <w:vAlign w:val="center"/>
          </w:tcPr>
          <w:p w14:paraId="6FBAF49B">
            <w:pPr>
              <w:pageBreakBefore w:val="0"/>
              <w:kinsoku/>
              <w:wordWrap/>
              <w:overflowPunct/>
              <w:topLinePunct w:val="0"/>
              <w:autoSpaceDE/>
              <w:autoSpaceDN/>
              <w:bidi w:val="0"/>
              <w:spacing w:before="120" w:after="120" w:line="360" w:lineRule="auto"/>
              <w:jc w:val="center"/>
              <w:textAlignment w:val="auto"/>
            </w:pPr>
            <w:r>
              <w:rPr>
                <w:rFonts w:hint="eastAsia"/>
              </w:rPr>
              <w:t>贵司项目经理及相关人员，监理工程师；乙方项目经理及相关人员</w:t>
            </w:r>
          </w:p>
        </w:tc>
        <w:tc>
          <w:tcPr>
            <w:tcW w:w="2678" w:type="dxa"/>
            <w:vMerge w:val="restart"/>
            <w:tcBorders>
              <w:top w:val="single" w:color="auto" w:sz="4" w:space="0"/>
              <w:left w:val="single" w:color="auto" w:sz="4" w:space="0"/>
              <w:bottom w:val="single" w:color="auto" w:sz="4" w:space="0"/>
              <w:right w:val="single" w:color="auto" w:sz="4" w:space="0"/>
            </w:tcBorders>
            <w:vAlign w:val="center"/>
          </w:tcPr>
          <w:p w14:paraId="2363F130">
            <w:pPr>
              <w:pageBreakBefore w:val="0"/>
              <w:kinsoku/>
              <w:wordWrap/>
              <w:overflowPunct/>
              <w:topLinePunct w:val="0"/>
              <w:autoSpaceDE/>
              <w:autoSpaceDN/>
              <w:bidi w:val="0"/>
              <w:spacing w:before="120" w:after="120" w:line="360" w:lineRule="auto"/>
              <w:jc w:val="center"/>
              <w:textAlignment w:val="auto"/>
            </w:pPr>
            <w:r>
              <w:rPr>
                <w:rFonts w:hint="eastAsia"/>
              </w:rPr>
              <w:t>三方共同签署验收证书</w:t>
            </w:r>
          </w:p>
        </w:tc>
        <w:tc>
          <w:tcPr>
            <w:tcW w:w="518" w:type="dxa"/>
            <w:vMerge w:val="restart"/>
            <w:tcBorders>
              <w:top w:val="single" w:color="auto" w:sz="4" w:space="0"/>
              <w:left w:val="single" w:color="auto" w:sz="4" w:space="0"/>
              <w:bottom w:val="single" w:color="auto" w:sz="4" w:space="0"/>
              <w:right w:val="single" w:color="auto" w:sz="4" w:space="0"/>
            </w:tcBorders>
            <w:vAlign w:val="center"/>
          </w:tcPr>
          <w:p w14:paraId="0CAAE6C3">
            <w:pPr>
              <w:pageBreakBefore w:val="0"/>
              <w:kinsoku/>
              <w:wordWrap/>
              <w:overflowPunct/>
              <w:topLinePunct w:val="0"/>
              <w:autoSpaceDE/>
              <w:autoSpaceDN/>
              <w:bidi w:val="0"/>
              <w:spacing w:before="120" w:after="120" w:line="360" w:lineRule="auto"/>
              <w:jc w:val="center"/>
              <w:textAlignment w:val="auto"/>
              <w:rPr>
                <w:kern w:val="0"/>
              </w:rPr>
            </w:pPr>
          </w:p>
        </w:tc>
      </w:tr>
      <w:tr w14:paraId="0750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202F38C5">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DED8424">
            <w:pPr>
              <w:pageBreakBefore w:val="0"/>
              <w:kinsoku/>
              <w:wordWrap/>
              <w:overflowPunct/>
              <w:topLinePunct w:val="0"/>
              <w:autoSpaceDE/>
              <w:autoSpaceDN/>
              <w:bidi w:val="0"/>
              <w:spacing w:before="120" w:after="120" w:line="360" w:lineRule="auto"/>
              <w:jc w:val="center"/>
              <w:textAlignment w:val="auto"/>
            </w:pPr>
            <w:r>
              <w:rPr>
                <w:rFonts w:hint="eastAsia"/>
              </w:rPr>
              <w:t>设备点检</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73C1849B">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700AF293">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CBA3AAF">
            <w:pPr>
              <w:pageBreakBefore w:val="0"/>
              <w:widowControl/>
              <w:kinsoku/>
              <w:wordWrap/>
              <w:overflowPunct/>
              <w:topLinePunct w:val="0"/>
              <w:autoSpaceDE/>
              <w:autoSpaceDN/>
              <w:bidi w:val="0"/>
              <w:spacing w:line="360" w:lineRule="auto"/>
              <w:textAlignment w:val="auto"/>
              <w:rPr>
                <w:kern w:val="0"/>
              </w:rPr>
            </w:pPr>
          </w:p>
        </w:tc>
      </w:tr>
      <w:tr w14:paraId="3CF2B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4132634B">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51F3E8DF">
            <w:pPr>
              <w:pageBreakBefore w:val="0"/>
              <w:kinsoku/>
              <w:wordWrap/>
              <w:overflowPunct/>
              <w:topLinePunct w:val="0"/>
              <w:autoSpaceDE/>
              <w:autoSpaceDN/>
              <w:bidi w:val="0"/>
              <w:spacing w:before="120" w:after="120" w:line="360" w:lineRule="auto"/>
              <w:jc w:val="center"/>
              <w:textAlignment w:val="auto"/>
            </w:pPr>
            <w:r>
              <w:rPr>
                <w:rFonts w:hint="eastAsia"/>
              </w:rPr>
              <w:t>安装质量验收</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2788C286">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4D036C4E">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562996F8">
            <w:pPr>
              <w:pageBreakBefore w:val="0"/>
              <w:widowControl/>
              <w:kinsoku/>
              <w:wordWrap/>
              <w:overflowPunct/>
              <w:topLinePunct w:val="0"/>
              <w:autoSpaceDE/>
              <w:autoSpaceDN/>
              <w:bidi w:val="0"/>
              <w:spacing w:line="360" w:lineRule="auto"/>
              <w:textAlignment w:val="auto"/>
              <w:rPr>
                <w:kern w:val="0"/>
              </w:rPr>
            </w:pPr>
          </w:p>
        </w:tc>
      </w:tr>
      <w:tr w14:paraId="55D09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vMerge w:val="continue"/>
            <w:tcBorders>
              <w:top w:val="single" w:color="auto" w:sz="4" w:space="0"/>
              <w:left w:val="single" w:color="auto" w:sz="4" w:space="0"/>
              <w:bottom w:val="single" w:color="auto" w:sz="4" w:space="0"/>
              <w:right w:val="single" w:color="auto" w:sz="4" w:space="0"/>
            </w:tcBorders>
            <w:vAlign w:val="center"/>
          </w:tcPr>
          <w:p w14:paraId="0B97C003">
            <w:pPr>
              <w:pageBreakBefore w:val="0"/>
              <w:widowControl/>
              <w:kinsoku/>
              <w:wordWrap/>
              <w:overflowPunct/>
              <w:topLinePunct w:val="0"/>
              <w:autoSpaceDE/>
              <w:autoSpaceDN/>
              <w:bidi w:val="0"/>
              <w:spacing w:line="360" w:lineRule="auto"/>
              <w:textAlignment w:val="auto"/>
            </w:pPr>
          </w:p>
        </w:tc>
        <w:tc>
          <w:tcPr>
            <w:tcW w:w="2994" w:type="dxa"/>
            <w:tcBorders>
              <w:top w:val="single" w:color="auto" w:sz="4" w:space="0"/>
              <w:left w:val="single" w:color="auto" w:sz="4" w:space="0"/>
              <w:bottom w:val="single" w:color="auto" w:sz="4" w:space="0"/>
              <w:right w:val="single" w:color="auto" w:sz="4" w:space="0"/>
            </w:tcBorders>
            <w:vAlign w:val="center"/>
          </w:tcPr>
          <w:p w14:paraId="08897715">
            <w:pPr>
              <w:pageBreakBefore w:val="0"/>
              <w:kinsoku/>
              <w:wordWrap/>
              <w:overflowPunct/>
              <w:topLinePunct w:val="0"/>
              <w:autoSpaceDE/>
              <w:autoSpaceDN/>
              <w:bidi w:val="0"/>
              <w:spacing w:before="120" w:after="120" w:line="360" w:lineRule="auto"/>
              <w:jc w:val="center"/>
              <w:textAlignment w:val="auto"/>
            </w:pPr>
            <w:r>
              <w:rPr>
                <w:rFonts w:hint="eastAsia"/>
              </w:rPr>
              <w:t>系统能力验收</w:t>
            </w:r>
          </w:p>
        </w:tc>
        <w:tc>
          <w:tcPr>
            <w:tcW w:w="2381" w:type="dxa"/>
            <w:vMerge w:val="continue"/>
            <w:tcBorders>
              <w:top w:val="single" w:color="auto" w:sz="4" w:space="0"/>
              <w:left w:val="single" w:color="auto" w:sz="4" w:space="0"/>
              <w:bottom w:val="single" w:color="auto" w:sz="4" w:space="0"/>
              <w:right w:val="single" w:color="auto" w:sz="4" w:space="0"/>
            </w:tcBorders>
            <w:vAlign w:val="center"/>
          </w:tcPr>
          <w:p w14:paraId="04B0AB87">
            <w:pPr>
              <w:pageBreakBefore w:val="0"/>
              <w:widowControl/>
              <w:kinsoku/>
              <w:wordWrap/>
              <w:overflowPunct/>
              <w:topLinePunct w:val="0"/>
              <w:autoSpaceDE/>
              <w:autoSpaceDN/>
              <w:bidi w:val="0"/>
              <w:spacing w:line="360" w:lineRule="auto"/>
              <w:textAlignment w:val="auto"/>
            </w:pPr>
          </w:p>
        </w:tc>
        <w:tc>
          <w:tcPr>
            <w:tcW w:w="2678" w:type="dxa"/>
            <w:vMerge w:val="continue"/>
            <w:tcBorders>
              <w:top w:val="single" w:color="auto" w:sz="4" w:space="0"/>
              <w:left w:val="single" w:color="auto" w:sz="4" w:space="0"/>
              <w:bottom w:val="single" w:color="auto" w:sz="4" w:space="0"/>
              <w:right w:val="single" w:color="auto" w:sz="4" w:space="0"/>
            </w:tcBorders>
            <w:vAlign w:val="center"/>
          </w:tcPr>
          <w:p w14:paraId="256492E4">
            <w:pPr>
              <w:pageBreakBefore w:val="0"/>
              <w:widowControl/>
              <w:kinsoku/>
              <w:wordWrap/>
              <w:overflowPunct/>
              <w:topLinePunct w:val="0"/>
              <w:autoSpaceDE/>
              <w:autoSpaceDN/>
              <w:bidi w:val="0"/>
              <w:spacing w:line="360" w:lineRule="auto"/>
              <w:textAlignment w:val="auto"/>
            </w:pPr>
          </w:p>
        </w:tc>
        <w:tc>
          <w:tcPr>
            <w:tcW w:w="518" w:type="dxa"/>
            <w:vMerge w:val="continue"/>
            <w:tcBorders>
              <w:top w:val="single" w:color="auto" w:sz="4" w:space="0"/>
              <w:left w:val="single" w:color="auto" w:sz="4" w:space="0"/>
              <w:bottom w:val="single" w:color="auto" w:sz="4" w:space="0"/>
              <w:right w:val="single" w:color="auto" w:sz="4" w:space="0"/>
            </w:tcBorders>
            <w:vAlign w:val="center"/>
          </w:tcPr>
          <w:p w14:paraId="7820FC73">
            <w:pPr>
              <w:pageBreakBefore w:val="0"/>
              <w:widowControl/>
              <w:kinsoku/>
              <w:wordWrap/>
              <w:overflowPunct/>
              <w:topLinePunct w:val="0"/>
              <w:autoSpaceDE/>
              <w:autoSpaceDN/>
              <w:bidi w:val="0"/>
              <w:spacing w:line="360" w:lineRule="auto"/>
              <w:textAlignment w:val="auto"/>
              <w:rPr>
                <w:kern w:val="0"/>
              </w:rPr>
            </w:pPr>
          </w:p>
        </w:tc>
      </w:tr>
      <w:tr w14:paraId="39378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73" w:type="dxa"/>
            <w:tcBorders>
              <w:top w:val="single" w:color="auto" w:sz="4" w:space="0"/>
              <w:left w:val="single" w:color="auto" w:sz="4" w:space="0"/>
              <w:bottom w:val="single" w:color="auto" w:sz="4" w:space="0"/>
              <w:right w:val="single" w:color="auto" w:sz="4" w:space="0"/>
            </w:tcBorders>
            <w:vAlign w:val="center"/>
          </w:tcPr>
          <w:p w14:paraId="5DAAA881">
            <w:pPr>
              <w:pageBreakBefore w:val="0"/>
              <w:kinsoku/>
              <w:wordWrap/>
              <w:overflowPunct/>
              <w:topLinePunct w:val="0"/>
              <w:autoSpaceDE/>
              <w:autoSpaceDN/>
              <w:bidi w:val="0"/>
              <w:spacing w:before="120" w:after="120" w:line="360" w:lineRule="auto"/>
              <w:jc w:val="center"/>
              <w:textAlignment w:val="auto"/>
            </w:pPr>
            <w:r>
              <w:rPr>
                <w:rFonts w:hint="eastAsia"/>
              </w:rPr>
              <w:t>质量保证</w:t>
            </w:r>
          </w:p>
        </w:tc>
        <w:tc>
          <w:tcPr>
            <w:tcW w:w="2994" w:type="dxa"/>
            <w:tcBorders>
              <w:top w:val="single" w:color="auto" w:sz="4" w:space="0"/>
              <w:left w:val="single" w:color="auto" w:sz="4" w:space="0"/>
              <w:bottom w:val="single" w:color="auto" w:sz="4" w:space="0"/>
              <w:right w:val="single" w:color="auto" w:sz="4" w:space="0"/>
            </w:tcBorders>
            <w:vAlign w:val="center"/>
          </w:tcPr>
          <w:p w14:paraId="10C5EBA8">
            <w:pPr>
              <w:pageBreakBefore w:val="0"/>
              <w:kinsoku/>
              <w:wordWrap/>
              <w:overflowPunct/>
              <w:topLinePunct w:val="0"/>
              <w:autoSpaceDE/>
              <w:autoSpaceDN/>
              <w:bidi w:val="0"/>
              <w:spacing w:before="120" w:after="120" w:line="360" w:lineRule="auto"/>
              <w:jc w:val="center"/>
              <w:textAlignment w:val="auto"/>
            </w:pPr>
            <w:r>
              <w:rPr>
                <w:rFonts w:hint="eastAsia"/>
              </w:rPr>
              <w:t>技术支持和巡检维保</w:t>
            </w:r>
          </w:p>
        </w:tc>
        <w:tc>
          <w:tcPr>
            <w:tcW w:w="2381" w:type="dxa"/>
            <w:tcBorders>
              <w:top w:val="single" w:color="auto" w:sz="4" w:space="0"/>
              <w:left w:val="single" w:color="auto" w:sz="4" w:space="0"/>
              <w:bottom w:val="single" w:color="auto" w:sz="4" w:space="0"/>
              <w:right w:val="single" w:color="auto" w:sz="4" w:space="0"/>
            </w:tcBorders>
            <w:vAlign w:val="center"/>
          </w:tcPr>
          <w:p w14:paraId="2428BB12">
            <w:pPr>
              <w:pageBreakBefore w:val="0"/>
              <w:kinsoku/>
              <w:wordWrap/>
              <w:overflowPunct/>
              <w:topLinePunct w:val="0"/>
              <w:autoSpaceDE/>
              <w:autoSpaceDN/>
              <w:bidi w:val="0"/>
              <w:spacing w:before="120" w:after="120" w:line="360" w:lineRule="auto"/>
              <w:jc w:val="center"/>
              <w:textAlignment w:val="auto"/>
            </w:pPr>
            <w:r>
              <w:rPr>
                <w:rFonts w:hint="eastAsia"/>
              </w:rPr>
              <w:t>售后服务经理等</w:t>
            </w:r>
          </w:p>
        </w:tc>
        <w:tc>
          <w:tcPr>
            <w:tcW w:w="2678" w:type="dxa"/>
            <w:tcBorders>
              <w:top w:val="single" w:color="auto" w:sz="4" w:space="0"/>
              <w:left w:val="single" w:color="auto" w:sz="4" w:space="0"/>
              <w:bottom w:val="single" w:color="auto" w:sz="4" w:space="0"/>
              <w:right w:val="single" w:color="auto" w:sz="4" w:space="0"/>
            </w:tcBorders>
            <w:vAlign w:val="center"/>
          </w:tcPr>
          <w:p w14:paraId="5191719B">
            <w:pPr>
              <w:pageBreakBefore w:val="0"/>
              <w:kinsoku/>
              <w:wordWrap/>
              <w:overflowPunct/>
              <w:topLinePunct w:val="0"/>
              <w:autoSpaceDE/>
              <w:autoSpaceDN/>
              <w:bidi w:val="0"/>
              <w:spacing w:before="120" w:after="120" w:line="360" w:lineRule="auto"/>
              <w:jc w:val="center"/>
              <w:textAlignment w:val="auto"/>
            </w:pPr>
            <w:r>
              <w:rPr>
                <w:rFonts w:hint="eastAsia"/>
              </w:rPr>
              <w:t>保证系统连续稳定运行</w:t>
            </w:r>
          </w:p>
        </w:tc>
        <w:tc>
          <w:tcPr>
            <w:tcW w:w="518" w:type="dxa"/>
            <w:tcBorders>
              <w:top w:val="single" w:color="auto" w:sz="4" w:space="0"/>
              <w:left w:val="single" w:color="auto" w:sz="4" w:space="0"/>
              <w:bottom w:val="single" w:color="auto" w:sz="4" w:space="0"/>
              <w:right w:val="single" w:color="auto" w:sz="4" w:space="0"/>
            </w:tcBorders>
            <w:vAlign w:val="center"/>
          </w:tcPr>
          <w:p w14:paraId="1DBC7584">
            <w:pPr>
              <w:pageBreakBefore w:val="0"/>
              <w:kinsoku/>
              <w:wordWrap/>
              <w:overflowPunct/>
              <w:topLinePunct w:val="0"/>
              <w:autoSpaceDE/>
              <w:autoSpaceDN/>
              <w:bidi w:val="0"/>
              <w:spacing w:before="120" w:after="120" w:line="360" w:lineRule="auto"/>
              <w:jc w:val="center"/>
              <w:textAlignment w:val="auto"/>
            </w:pPr>
          </w:p>
        </w:tc>
      </w:tr>
    </w:tbl>
    <w:p w14:paraId="186EE9C2">
      <w:pPr>
        <w:pageBreakBefore w:val="0"/>
        <w:kinsoku/>
        <w:wordWrap/>
        <w:overflowPunct/>
        <w:topLinePunct w:val="0"/>
        <w:autoSpaceDE/>
        <w:autoSpaceDN/>
        <w:bidi w:val="0"/>
        <w:spacing w:before="120" w:after="120" w:line="360" w:lineRule="auto"/>
        <w:ind w:firstLine="420"/>
        <w:textAlignment w:val="auto"/>
        <w:rPr>
          <w:lang w:eastAsia="zh-Hans"/>
        </w:rPr>
      </w:pPr>
    </w:p>
    <w:p w14:paraId="1AE56A8C">
      <w:pPr>
        <w:pStyle w:val="10"/>
        <w:pageBreakBefore w:val="0"/>
        <w:numPr>
          <w:ilvl w:val="3"/>
          <w:numId w:val="12"/>
        </w:numPr>
        <w:kinsoku/>
        <w:wordWrap/>
        <w:overflowPunct/>
        <w:topLinePunct w:val="0"/>
        <w:autoSpaceDE/>
        <w:autoSpaceDN/>
        <w:bidi w:val="0"/>
        <w:spacing w:line="360" w:lineRule="auto"/>
        <w:textAlignment w:val="auto"/>
      </w:pPr>
      <w:bookmarkStart w:id="399" w:name="_Toc301860941"/>
      <w:bookmarkStart w:id="400" w:name="_Toc1580076834"/>
      <w:r>
        <w:rPr>
          <w:rFonts w:hint="eastAsia"/>
        </w:rPr>
        <w:t>项目质量与应急保障</w:t>
      </w:r>
      <w:bookmarkEnd w:id="399"/>
      <w:bookmarkEnd w:id="400"/>
    </w:p>
    <w:p w14:paraId="6FD240F4">
      <w:pPr>
        <w:pageBreakBefore w:val="0"/>
        <w:numPr>
          <w:ilvl w:val="0"/>
          <w:numId w:val="40"/>
        </w:numPr>
        <w:kinsoku/>
        <w:wordWrap/>
        <w:overflowPunct/>
        <w:topLinePunct w:val="0"/>
        <w:autoSpaceDE/>
        <w:autoSpaceDN/>
        <w:bidi w:val="0"/>
        <w:spacing w:line="360" w:lineRule="auto"/>
        <w:ind w:left="480" w:firstLine="0"/>
        <w:textAlignment w:val="auto"/>
      </w:pPr>
      <w:r>
        <w:rPr>
          <w:rFonts w:hint="eastAsia"/>
        </w:rPr>
        <w:t>我司保证提供的货物符合中华人民共和国国家相关标准、相关行业标准、本合同技术规范以及原厂商质量标准，并在出厂前通过原厂商质量测试和检验。</w:t>
      </w:r>
    </w:p>
    <w:p w14:paraId="5DB9D9DE">
      <w:pPr>
        <w:pageBreakBefore w:val="0"/>
        <w:numPr>
          <w:ilvl w:val="0"/>
          <w:numId w:val="40"/>
        </w:numPr>
        <w:kinsoku/>
        <w:wordWrap/>
        <w:overflowPunct/>
        <w:topLinePunct w:val="0"/>
        <w:autoSpaceDE/>
        <w:autoSpaceDN/>
        <w:bidi w:val="0"/>
        <w:spacing w:line="360" w:lineRule="auto"/>
        <w:ind w:left="480" w:firstLine="0"/>
        <w:textAlignment w:val="auto"/>
      </w:pPr>
      <w:r>
        <w:rPr>
          <w:rFonts w:hint="eastAsia"/>
        </w:rPr>
        <w:t xml:space="preserve">我司保证向招标方提供的合同货物为全新的、完整的、未开封的、未使用过的设备，并且保证其性能和质量与合同规定相符。保证所提供的技术资料是完整、清晰和准确的，且符合本合同及附件的有关规定。。  </w:t>
      </w:r>
    </w:p>
    <w:p w14:paraId="357B30B7">
      <w:pPr>
        <w:pageBreakBefore w:val="0"/>
        <w:numPr>
          <w:ilvl w:val="0"/>
          <w:numId w:val="40"/>
        </w:numPr>
        <w:kinsoku/>
        <w:wordWrap/>
        <w:overflowPunct/>
        <w:topLinePunct w:val="0"/>
        <w:autoSpaceDE/>
        <w:autoSpaceDN/>
        <w:bidi w:val="0"/>
        <w:spacing w:line="360" w:lineRule="auto"/>
        <w:ind w:left="480" w:firstLine="0"/>
        <w:textAlignment w:val="auto"/>
      </w:pPr>
      <w:r>
        <w:rPr>
          <w:rFonts w:hint="eastAsia"/>
        </w:rPr>
        <w:t>我司保证按照招标方要求及时派出合格的技术人员提供准确、充足的技术服务及必要的技术培训，以满足本合同规定的安装、试运行、性能测试、运转及维护的要求。</w:t>
      </w:r>
    </w:p>
    <w:p w14:paraId="486A5A5B">
      <w:pPr>
        <w:pageBreakBefore w:val="0"/>
        <w:numPr>
          <w:ilvl w:val="0"/>
          <w:numId w:val="40"/>
        </w:numPr>
        <w:kinsoku/>
        <w:wordWrap/>
        <w:overflowPunct/>
        <w:topLinePunct w:val="0"/>
        <w:autoSpaceDE/>
        <w:autoSpaceDN/>
        <w:bidi w:val="0"/>
        <w:spacing w:line="360" w:lineRule="auto"/>
        <w:ind w:left="480" w:firstLine="0"/>
        <w:textAlignment w:val="auto"/>
      </w:pPr>
      <w:r>
        <w:rPr>
          <w:rFonts w:hint="eastAsia"/>
        </w:rPr>
        <w:t xml:space="preserve">负责全过程的质量问题处理，并承担相应的责任，确保产品和工程的质量。 </w:t>
      </w:r>
    </w:p>
    <w:p w14:paraId="2039AE27">
      <w:pPr>
        <w:pageBreakBefore w:val="0"/>
        <w:numPr>
          <w:ilvl w:val="0"/>
          <w:numId w:val="40"/>
        </w:numPr>
        <w:kinsoku/>
        <w:wordWrap/>
        <w:overflowPunct/>
        <w:topLinePunct w:val="0"/>
        <w:autoSpaceDE/>
        <w:autoSpaceDN/>
        <w:bidi w:val="0"/>
        <w:spacing w:line="360" w:lineRule="auto"/>
        <w:ind w:left="480" w:firstLine="0"/>
        <w:textAlignment w:val="auto"/>
      </w:pPr>
      <w:r>
        <w:rPr>
          <w:rFonts w:hint="eastAsia"/>
        </w:rPr>
        <w:t>供货质量保障措施：为了完成我司的供货质量承诺，保证项目全过程中的货物质量。本项目建设，特别对所有项目设备、材料、工器具，在运输、存放保管、施工过等过程中，采取必要的保护措施。</w:t>
      </w:r>
    </w:p>
    <w:p w14:paraId="2CDEFB3F">
      <w:pPr>
        <w:pageBreakBefore w:val="0"/>
        <w:kinsoku/>
        <w:wordWrap/>
        <w:overflowPunct/>
        <w:topLinePunct w:val="0"/>
        <w:autoSpaceDE/>
        <w:autoSpaceDN/>
        <w:bidi w:val="0"/>
        <w:spacing w:line="360" w:lineRule="auto"/>
        <w:jc w:val="center"/>
        <w:textAlignment w:val="auto"/>
      </w:pPr>
      <w:bookmarkStart w:id="401" w:name="_Toc69918831"/>
    </w:p>
    <w:p w14:paraId="7C1CEECE">
      <w:pPr>
        <w:pStyle w:val="12"/>
        <w:pageBreakBefore w:val="0"/>
        <w:numPr>
          <w:ilvl w:val="4"/>
          <w:numId w:val="12"/>
        </w:numPr>
        <w:kinsoku/>
        <w:wordWrap/>
        <w:overflowPunct/>
        <w:topLinePunct w:val="0"/>
        <w:autoSpaceDE/>
        <w:autoSpaceDN/>
        <w:bidi w:val="0"/>
        <w:spacing w:line="360" w:lineRule="auto"/>
        <w:textAlignment w:val="auto"/>
      </w:pPr>
      <w:bookmarkStart w:id="402" w:name="_Toc1929021017"/>
      <w:r>
        <w:rPr>
          <w:rFonts w:hint="eastAsia"/>
        </w:rPr>
        <w:t>质量监督管理措施</w:t>
      </w:r>
      <w:bookmarkEnd w:id="401"/>
      <w:bookmarkEnd w:id="402"/>
      <w:r>
        <w:rPr>
          <w:rFonts w:hint="eastAsia"/>
        </w:rPr>
        <w:t xml:space="preserve">  </w:t>
      </w:r>
    </w:p>
    <w:p w14:paraId="29CB1241">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 xml:space="preserve">成立专门的质量管理监督部门，指定项目质量监督的负责人。确定质量方针、质量目标和清晰的职责分工。  </w:t>
      </w:r>
    </w:p>
    <w:p w14:paraId="199A81E8">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严格执行企业质量管理制度、项目质量监督制度。</w:t>
      </w:r>
    </w:p>
    <w:p w14:paraId="2FFB3C47">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 xml:space="preserve">监督和管理购产品和材料的检验评估工作。 </w:t>
      </w:r>
    </w:p>
    <w:p w14:paraId="33D86902">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 xml:space="preserve">监督和管理出厂产品的质量评估、产品资料的审核。 </w:t>
      </w:r>
    </w:p>
    <w:p w14:paraId="0940F92D">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监督和管理产品材料的运输、到货验收、货物更换等全过程的产品质量。</w:t>
      </w:r>
    </w:p>
    <w:p w14:paraId="423CAFB1">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 xml:space="preserve">监督整个供货计划的执行，确保顺利完成施工。 </w:t>
      </w:r>
    </w:p>
    <w:p w14:paraId="1FEE3A6F">
      <w:pPr>
        <w:pageBreakBefore w:val="0"/>
        <w:numPr>
          <w:ilvl w:val="0"/>
          <w:numId w:val="41"/>
        </w:numPr>
        <w:kinsoku/>
        <w:wordWrap/>
        <w:overflowPunct/>
        <w:topLinePunct w:val="0"/>
        <w:autoSpaceDE/>
        <w:autoSpaceDN/>
        <w:bidi w:val="0"/>
        <w:spacing w:line="360" w:lineRule="auto"/>
        <w:ind w:left="0" w:firstLine="425"/>
        <w:textAlignment w:val="auto"/>
      </w:pPr>
      <w:r>
        <w:rPr>
          <w:rFonts w:hint="eastAsia"/>
        </w:rPr>
        <w:t xml:space="preserve">定期参加工作会议，向项目负责人汇报产品质量监督工作成果。   </w:t>
      </w:r>
    </w:p>
    <w:p w14:paraId="6DCEC9EA">
      <w:pPr>
        <w:pStyle w:val="12"/>
        <w:pageBreakBefore w:val="0"/>
        <w:numPr>
          <w:ilvl w:val="4"/>
          <w:numId w:val="12"/>
        </w:numPr>
        <w:kinsoku/>
        <w:wordWrap/>
        <w:overflowPunct/>
        <w:topLinePunct w:val="0"/>
        <w:autoSpaceDE/>
        <w:autoSpaceDN/>
        <w:bidi w:val="0"/>
        <w:spacing w:line="360" w:lineRule="auto"/>
        <w:textAlignment w:val="auto"/>
      </w:pPr>
      <w:bookmarkStart w:id="403" w:name="_Toc304225066"/>
      <w:bookmarkStart w:id="404" w:name="_Toc299376064"/>
      <w:bookmarkStart w:id="405" w:name="_Toc301468592"/>
      <w:bookmarkStart w:id="406" w:name="_Toc294645787"/>
      <w:bookmarkStart w:id="407" w:name="_Toc301447750"/>
      <w:bookmarkStart w:id="408" w:name="_Toc304224898"/>
      <w:bookmarkStart w:id="409" w:name="_Toc304225404"/>
      <w:bookmarkStart w:id="410" w:name="_Toc1440016862"/>
      <w:bookmarkStart w:id="411" w:name="_Toc301359681"/>
      <w:bookmarkStart w:id="412" w:name="_Toc301706730"/>
      <w:bookmarkStart w:id="413" w:name="_Toc301706021"/>
      <w:bookmarkStart w:id="414" w:name="_Toc301706258"/>
      <w:bookmarkStart w:id="415" w:name="_Toc301275529"/>
      <w:bookmarkStart w:id="416" w:name="_Toc301277524"/>
      <w:bookmarkStart w:id="417" w:name="_Toc301707202"/>
      <w:r>
        <w:rPr>
          <w:rFonts w:hint="eastAsia"/>
        </w:rPr>
        <w:t>软件质量保证措施</w:t>
      </w:r>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09CDB78A">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质量保证工程师定期（每两周）通过《质量保证工程师周报告》报告项目经理项目质量保证活动的状态；</w:t>
      </w:r>
    </w:p>
    <w:p w14:paraId="22B70DE6">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质量保证工程师将根据CMMI5质量体系以及项目计划定制过程检查点；</w:t>
      </w:r>
    </w:p>
    <w:p w14:paraId="5A3D32F2">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质量保证工程师按照计划执行审计，并输出审计报告,每个月对本项目进行一次内部审计活动；</w:t>
      </w:r>
    </w:p>
    <w:p w14:paraId="349B1C8D">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质量保证工程师按照计划负责组织配置审计，并输出《配置审计报告》；</w:t>
      </w:r>
    </w:p>
    <w:p w14:paraId="045185F4">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质量保证工程师应将审计报告及时通报给项目经理、部门经理；</w:t>
      </w:r>
    </w:p>
    <w:p w14:paraId="725853C2">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项目经理应确保根据问题制定相应的纠正预防措施并执行。</w:t>
      </w:r>
    </w:p>
    <w:p w14:paraId="5ACEC7C8">
      <w:pPr>
        <w:pStyle w:val="12"/>
        <w:pageBreakBefore w:val="0"/>
        <w:numPr>
          <w:ilvl w:val="4"/>
          <w:numId w:val="12"/>
        </w:numPr>
        <w:kinsoku/>
        <w:wordWrap/>
        <w:overflowPunct/>
        <w:topLinePunct w:val="0"/>
        <w:autoSpaceDE/>
        <w:autoSpaceDN/>
        <w:bidi w:val="0"/>
        <w:spacing w:line="360" w:lineRule="auto"/>
        <w:textAlignment w:val="auto"/>
      </w:pPr>
      <w:bookmarkStart w:id="418" w:name="_Toc1336093019"/>
      <w:bookmarkStart w:id="419" w:name="_Toc304225067"/>
      <w:bookmarkStart w:id="420" w:name="_Toc301706731"/>
      <w:bookmarkStart w:id="421" w:name="_Toc301706022"/>
      <w:bookmarkStart w:id="422" w:name="_Toc301706259"/>
      <w:bookmarkStart w:id="423" w:name="_Toc304225405"/>
      <w:bookmarkStart w:id="424" w:name="_Toc301447751"/>
      <w:bookmarkStart w:id="425" w:name="_Toc304224899"/>
      <w:bookmarkStart w:id="426" w:name="_Toc299376065"/>
      <w:bookmarkStart w:id="427" w:name="_Toc294645788"/>
      <w:bookmarkStart w:id="428" w:name="_Toc301359682"/>
      <w:bookmarkStart w:id="429" w:name="_Toc301468593"/>
      <w:bookmarkStart w:id="430" w:name="_Toc301707203"/>
      <w:bookmarkStart w:id="431" w:name="_Toc301275530"/>
      <w:bookmarkStart w:id="432" w:name="_Toc301277525"/>
      <w:r>
        <w:rPr>
          <w:rFonts w:hint="eastAsia"/>
        </w:rPr>
        <w:t>设备质量保证措施</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p w14:paraId="3C70E4F3">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bookmarkStart w:id="433" w:name="_Toc301706023"/>
      <w:bookmarkStart w:id="434" w:name="_Toc301706732"/>
      <w:bookmarkStart w:id="435" w:name="_Toc301468594"/>
      <w:bookmarkStart w:id="436" w:name="_Toc301706260"/>
      <w:bookmarkStart w:id="437" w:name="_Toc294645789"/>
      <w:bookmarkStart w:id="438" w:name="_Toc301275531"/>
      <w:bookmarkStart w:id="439" w:name="_Toc301359683"/>
      <w:bookmarkStart w:id="440" w:name="_Toc301707204"/>
      <w:bookmarkStart w:id="441" w:name="_Toc304224900"/>
      <w:bookmarkStart w:id="442" w:name="_Toc301447752"/>
      <w:bookmarkStart w:id="443" w:name="_Toc301277526"/>
      <w:r>
        <w:rPr>
          <w:rFonts w:hint="eastAsia"/>
        </w:rPr>
        <w:t>设计阶段</w:t>
      </w:r>
      <w:bookmarkEnd w:id="433"/>
      <w:bookmarkEnd w:id="434"/>
      <w:bookmarkEnd w:id="435"/>
      <w:bookmarkEnd w:id="436"/>
      <w:bookmarkEnd w:id="437"/>
      <w:bookmarkEnd w:id="438"/>
      <w:bookmarkEnd w:id="439"/>
      <w:bookmarkEnd w:id="440"/>
      <w:bookmarkEnd w:id="441"/>
      <w:bookmarkEnd w:id="442"/>
      <w:bookmarkEnd w:id="443"/>
    </w:p>
    <w:p w14:paraId="32E68CF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严格按照国家有关设计规范、技术规格书来设计本项目的施工图和确定产品选型配制方案，设计出一整套既符合有关设计规范又满足用户要求的设计方案。</w:t>
      </w:r>
    </w:p>
    <w:p w14:paraId="76B7F46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项目细化方案完成后，由技术总监组织技术人员进行初步评审，加以修改和完善，并实行项目设计目标责任制，项目设计责任到人。</w:t>
      </w:r>
    </w:p>
    <w:p w14:paraId="638FF0C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内部评审后，及时与项目甲方技术人员、设备使用部门人员进行方案交流，听取意见，弥补不足，使之更加合理，真正从设计时就对项目工程设计质量进行严格把关，确保工程设计的科学性和可靠性。</w:t>
      </w:r>
    </w:p>
    <w:p w14:paraId="3D28A6DC">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bookmarkStart w:id="444" w:name="_Toc301706733"/>
      <w:bookmarkStart w:id="445" w:name="_Toc301707205"/>
      <w:bookmarkStart w:id="446" w:name="_Toc304224901"/>
      <w:bookmarkStart w:id="447" w:name="_Toc301447753"/>
      <w:bookmarkStart w:id="448" w:name="_Toc301706024"/>
      <w:bookmarkStart w:id="449" w:name="_Toc301359684"/>
      <w:bookmarkStart w:id="450" w:name="_Toc301468595"/>
      <w:bookmarkStart w:id="451" w:name="_Toc301706261"/>
      <w:bookmarkStart w:id="452" w:name="_Toc301275532"/>
      <w:bookmarkStart w:id="453" w:name="_Toc294645790"/>
      <w:bookmarkStart w:id="454" w:name="_Toc301277527"/>
      <w:r>
        <w:rPr>
          <w:rFonts w:hint="eastAsia"/>
        </w:rPr>
        <w:t>生产阶段</w:t>
      </w:r>
      <w:bookmarkEnd w:id="444"/>
      <w:bookmarkEnd w:id="445"/>
      <w:bookmarkEnd w:id="446"/>
      <w:bookmarkEnd w:id="447"/>
      <w:bookmarkEnd w:id="448"/>
      <w:bookmarkEnd w:id="449"/>
      <w:bookmarkEnd w:id="450"/>
      <w:bookmarkEnd w:id="451"/>
      <w:bookmarkEnd w:id="452"/>
      <w:bookmarkEnd w:id="453"/>
      <w:bookmarkEnd w:id="454"/>
    </w:p>
    <w:p w14:paraId="4503BD0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制度建设：组织建立健全生产技术管理规程、制度和生产技术工艺标准。</w:t>
      </w:r>
    </w:p>
    <w:p w14:paraId="369E781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技术监督：组织落实设备生产过程中的技术监督。</w:t>
      </w:r>
    </w:p>
    <w:p w14:paraId="37A6B74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出厂检验：出厂前严格把关，质检人员做出厂检验。</w:t>
      </w:r>
    </w:p>
    <w:p w14:paraId="3B489EAE">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bookmarkStart w:id="455" w:name="_Toc304224902"/>
      <w:bookmarkStart w:id="456" w:name="_Toc301359685"/>
      <w:bookmarkStart w:id="457" w:name="_Toc301447754"/>
      <w:bookmarkStart w:id="458" w:name="_Toc301275533"/>
      <w:bookmarkStart w:id="459" w:name="_Toc301706025"/>
      <w:bookmarkStart w:id="460" w:name="_Toc301706262"/>
      <w:bookmarkStart w:id="461" w:name="_Toc294645791"/>
      <w:bookmarkStart w:id="462" w:name="_Toc301707206"/>
      <w:bookmarkStart w:id="463" w:name="_Toc301277528"/>
      <w:bookmarkStart w:id="464" w:name="_Toc301468596"/>
      <w:bookmarkStart w:id="465" w:name="_Toc301706734"/>
      <w:r>
        <w:rPr>
          <w:rFonts w:hint="eastAsia"/>
        </w:rPr>
        <w:t>进厂实施阶段</w:t>
      </w:r>
      <w:bookmarkEnd w:id="455"/>
      <w:bookmarkEnd w:id="456"/>
      <w:bookmarkEnd w:id="457"/>
      <w:bookmarkEnd w:id="458"/>
      <w:bookmarkEnd w:id="459"/>
      <w:bookmarkEnd w:id="460"/>
      <w:bookmarkEnd w:id="461"/>
      <w:bookmarkEnd w:id="462"/>
      <w:bookmarkEnd w:id="463"/>
      <w:bookmarkEnd w:id="464"/>
      <w:bookmarkEnd w:id="465"/>
    </w:p>
    <w:p w14:paraId="78E1ACA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目标考核。对本项目质量实行目标管理，确保工程优良。以此作为项目组的考核目标，公司将根据考核情况对项目组有关人员进行奖惩。</w:t>
      </w:r>
    </w:p>
    <w:p w14:paraId="1BEAC4E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明确管理体系。在项目管理组的领导下，建立以技术总监为首、项目经理为辅的项目质量管理体系，全面检测各供应商设备的质量，确保质量目标的实现。</w:t>
      </w:r>
    </w:p>
    <w:p w14:paraId="6DE4DFD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岗位责任制。质量目标分解，将质量责任层层挂牌，层层落实。由技术总监、项目经理行使质量否决权和奖罚权。</w:t>
      </w:r>
    </w:p>
    <w:p w14:paraId="6E5C7A6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奖罚制度。将合格与不合格的产品严格区分，实行优质重奖，劣质重罚的方法。</w:t>
      </w:r>
    </w:p>
    <w:p w14:paraId="17D27C17">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设备进场检查制。严格执行各项设备的检验制度，加强设备进场的质检和施工过程的检查，各种设备必须接到检验合格通知后，方可使用。不合格的设备不准在工程中使用。</w:t>
      </w:r>
    </w:p>
    <w:p w14:paraId="4C34F78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三检制。质量严格检查，坚持“自检、交接检、专检”三检制。</w:t>
      </w:r>
    </w:p>
    <w:p w14:paraId="2851C9D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成品保护制度。在施工过程中，后插入的工序，应采取切实可行的措施，如覆盖、防护等进行保护，以免污染或破坏上道工序。</w:t>
      </w:r>
    </w:p>
    <w:p w14:paraId="1D5F30D4">
      <w:pPr>
        <w:pageBreakBefore w:val="0"/>
        <w:kinsoku/>
        <w:wordWrap/>
        <w:overflowPunct/>
        <w:topLinePunct w:val="0"/>
        <w:autoSpaceDE/>
        <w:autoSpaceDN/>
        <w:bidi w:val="0"/>
        <w:spacing w:line="360" w:lineRule="auto"/>
        <w:textAlignment w:val="auto"/>
      </w:pPr>
    </w:p>
    <w:p w14:paraId="1FEA1020">
      <w:pPr>
        <w:pStyle w:val="12"/>
        <w:pageBreakBefore w:val="0"/>
        <w:numPr>
          <w:ilvl w:val="4"/>
          <w:numId w:val="12"/>
        </w:numPr>
        <w:kinsoku/>
        <w:wordWrap/>
        <w:overflowPunct/>
        <w:topLinePunct w:val="0"/>
        <w:autoSpaceDE/>
        <w:autoSpaceDN/>
        <w:bidi w:val="0"/>
        <w:spacing w:line="360" w:lineRule="auto"/>
        <w:textAlignment w:val="auto"/>
      </w:pPr>
      <w:bookmarkStart w:id="466" w:name="_Toc69918832"/>
      <w:bookmarkStart w:id="467" w:name="_Toc828136960"/>
      <w:r>
        <w:rPr>
          <w:rFonts w:hint="eastAsia"/>
        </w:rPr>
        <w:t>检测设施的保障措施</w:t>
      </w:r>
      <w:bookmarkEnd w:id="466"/>
      <w:bookmarkEnd w:id="467"/>
      <w:r>
        <w:rPr>
          <w:rFonts w:hint="eastAsia"/>
        </w:rPr>
        <w:t xml:space="preserve"> </w:t>
      </w:r>
    </w:p>
    <w:p w14:paraId="52B83355">
      <w:pPr>
        <w:pageBreakBefore w:val="0"/>
        <w:numPr>
          <w:ilvl w:val="0"/>
          <w:numId w:val="43"/>
        </w:numPr>
        <w:kinsoku/>
        <w:wordWrap/>
        <w:overflowPunct/>
        <w:topLinePunct w:val="0"/>
        <w:autoSpaceDE/>
        <w:autoSpaceDN/>
        <w:bidi w:val="0"/>
        <w:spacing w:line="360" w:lineRule="auto"/>
        <w:ind w:left="0" w:firstLine="426"/>
        <w:textAlignment w:val="auto"/>
      </w:pPr>
      <w:r>
        <w:rPr>
          <w:rFonts w:hint="eastAsia"/>
        </w:rPr>
        <w:t>明确项目所需的检测设施类型和数量清单。</w:t>
      </w:r>
    </w:p>
    <w:p w14:paraId="09FF23A3">
      <w:pPr>
        <w:pageBreakBefore w:val="0"/>
        <w:numPr>
          <w:ilvl w:val="0"/>
          <w:numId w:val="43"/>
        </w:numPr>
        <w:kinsoku/>
        <w:wordWrap/>
        <w:overflowPunct/>
        <w:topLinePunct w:val="0"/>
        <w:autoSpaceDE/>
        <w:autoSpaceDN/>
        <w:bidi w:val="0"/>
        <w:spacing w:line="360" w:lineRule="auto"/>
        <w:ind w:left="0" w:firstLine="426"/>
        <w:textAlignment w:val="auto"/>
      </w:pPr>
      <w:r>
        <w:rPr>
          <w:rFonts w:hint="eastAsia"/>
        </w:rPr>
        <w:t>保障整个工程中的检测设备的安全。</w:t>
      </w:r>
    </w:p>
    <w:p w14:paraId="17C4E4ED">
      <w:pPr>
        <w:pageBreakBefore w:val="0"/>
        <w:numPr>
          <w:ilvl w:val="0"/>
          <w:numId w:val="43"/>
        </w:numPr>
        <w:kinsoku/>
        <w:wordWrap/>
        <w:overflowPunct/>
        <w:topLinePunct w:val="0"/>
        <w:autoSpaceDE/>
        <w:autoSpaceDN/>
        <w:bidi w:val="0"/>
        <w:spacing w:line="360" w:lineRule="auto"/>
        <w:ind w:left="0" w:firstLine="426"/>
        <w:textAlignment w:val="auto"/>
      </w:pPr>
      <w:r>
        <w:rPr>
          <w:rFonts w:hint="eastAsia"/>
        </w:rPr>
        <w:t>检查现有设备和检测设施的存货量及检测记录。确保有足够的数量和合格。</w:t>
      </w:r>
    </w:p>
    <w:p w14:paraId="4F5EEA1E">
      <w:pPr>
        <w:pageBreakBefore w:val="0"/>
        <w:numPr>
          <w:ilvl w:val="0"/>
          <w:numId w:val="43"/>
        </w:numPr>
        <w:kinsoku/>
        <w:wordWrap/>
        <w:overflowPunct/>
        <w:topLinePunct w:val="0"/>
        <w:autoSpaceDE/>
        <w:autoSpaceDN/>
        <w:bidi w:val="0"/>
        <w:spacing w:line="360" w:lineRule="auto"/>
        <w:ind w:left="0" w:firstLine="426"/>
        <w:textAlignment w:val="auto"/>
      </w:pPr>
      <w:r>
        <w:rPr>
          <w:rFonts w:hint="eastAsia"/>
        </w:rPr>
        <w:t>对检测设施进行定期的检测和保养维护。</w:t>
      </w:r>
    </w:p>
    <w:p w14:paraId="12645C60">
      <w:pPr>
        <w:pageBreakBefore w:val="0"/>
        <w:numPr>
          <w:ilvl w:val="0"/>
          <w:numId w:val="43"/>
        </w:numPr>
        <w:kinsoku/>
        <w:wordWrap/>
        <w:overflowPunct/>
        <w:topLinePunct w:val="0"/>
        <w:autoSpaceDE/>
        <w:autoSpaceDN/>
        <w:bidi w:val="0"/>
        <w:spacing w:line="360" w:lineRule="auto"/>
        <w:ind w:left="0" w:firstLine="426"/>
        <w:textAlignment w:val="auto"/>
      </w:pPr>
      <w:r>
        <w:rPr>
          <w:rFonts w:hint="eastAsia"/>
        </w:rPr>
        <w:t>明确检测设施的运输要求、使用技术要求和保管要求。</w:t>
      </w:r>
    </w:p>
    <w:p w14:paraId="463E249B">
      <w:pPr>
        <w:pageBreakBefore w:val="0"/>
        <w:numPr>
          <w:ilvl w:val="0"/>
          <w:numId w:val="43"/>
        </w:numPr>
        <w:kinsoku/>
        <w:wordWrap/>
        <w:overflowPunct/>
        <w:topLinePunct w:val="0"/>
        <w:autoSpaceDE/>
        <w:autoSpaceDN/>
        <w:bidi w:val="0"/>
        <w:spacing w:line="360" w:lineRule="auto"/>
        <w:ind w:left="0" w:firstLine="426"/>
        <w:textAlignment w:val="auto"/>
      </w:pPr>
      <w:r>
        <w:rPr>
          <w:rFonts w:hint="eastAsia"/>
        </w:rPr>
        <w:t xml:space="preserve">派遣专业的技术人员进行现场安装、检查和维护。   </w:t>
      </w:r>
    </w:p>
    <w:p w14:paraId="03A99422">
      <w:pPr>
        <w:pStyle w:val="12"/>
        <w:pageBreakBefore w:val="0"/>
        <w:numPr>
          <w:ilvl w:val="4"/>
          <w:numId w:val="12"/>
        </w:numPr>
        <w:kinsoku/>
        <w:wordWrap/>
        <w:overflowPunct/>
        <w:topLinePunct w:val="0"/>
        <w:autoSpaceDE/>
        <w:autoSpaceDN/>
        <w:bidi w:val="0"/>
        <w:spacing w:line="360" w:lineRule="auto"/>
        <w:textAlignment w:val="auto"/>
      </w:pPr>
      <w:bookmarkStart w:id="468" w:name="_Toc2012414585"/>
      <w:bookmarkStart w:id="469" w:name="_Toc69918833"/>
      <w:r>
        <w:rPr>
          <w:rFonts w:hint="eastAsia"/>
        </w:rPr>
        <w:t>包装、运送过程中的产品质量保障措施</w:t>
      </w:r>
      <w:bookmarkEnd w:id="468"/>
      <w:bookmarkEnd w:id="469"/>
      <w:r>
        <w:rPr>
          <w:rFonts w:hint="eastAsia"/>
        </w:rPr>
        <w:t xml:space="preserve"> </w:t>
      </w:r>
    </w:p>
    <w:p w14:paraId="561AECDD">
      <w:pPr>
        <w:pageBreakBefore w:val="0"/>
        <w:numPr>
          <w:ilvl w:val="0"/>
          <w:numId w:val="44"/>
        </w:numPr>
        <w:kinsoku/>
        <w:wordWrap/>
        <w:overflowPunct/>
        <w:topLinePunct w:val="0"/>
        <w:autoSpaceDE/>
        <w:autoSpaceDN/>
        <w:bidi w:val="0"/>
        <w:spacing w:line="360" w:lineRule="auto"/>
        <w:ind w:left="0" w:firstLine="426"/>
        <w:textAlignment w:val="auto"/>
      </w:pPr>
      <w:r>
        <w:rPr>
          <w:rFonts w:hint="eastAsia"/>
        </w:rPr>
        <w:t>在运送前，按照要求进行必要的包装，包装上要标有运输和搬运记号。</w:t>
      </w:r>
    </w:p>
    <w:p w14:paraId="7901B99B">
      <w:pPr>
        <w:pageBreakBefore w:val="0"/>
        <w:numPr>
          <w:ilvl w:val="0"/>
          <w:numId w:val="44"/>
        </w:numPr>
        <w:kinsoku/>
        <w:wordWrap/>
        <w:overflowPunct/>
        <w:topLinePunct w:val="0"/>
        <w:autoSpaceDE/>
        <w:autoSpaceDN/>
        <w:bidi w:val="0"/>
        <w:spacing w:line="360" w:lineRule="auto"/>
        <w:ind w:left="0" w:firstLine="426"/>
        <w:textAlignment w:val="auto"/>
      </w:pPr>
      <w:r>
        <w:rPr>
          <w:rFonts w:hint="eastAsia"/>
        </w:rPr>
        <w:t xml:space="preserve">选取专线运输。 </w:t>
      </w:r>
    </w:p>
    <w:p w14:paraId="073643AF">
      <w:pPr>
        <w:pStyle w:val="12"/>
        <w:pageBreakBefore w:val="0"/>
        <w:numPr>
          <w:ilvl w:val="4"/>
          <w:numId w:val="12"/>
        </w:numPr>
        <w:kinsoku/>
        <w:wordWrap/>
        <w:overflowPunct/>
        <w:topLinePunct w:val="0"/>
        <w:autoSpaceDE/>
        <w:autoSpaceDN/>
        <w:bidi w:val="0"/>
        <w:spacing w:line="360" w:lineRule="auto"/>
        <w:textAlignment w:val="auto"/>
      </w:pPr>
      <w:bookmarkStart w:id="470" w:name="_Toc69918834"/>
      <w:bookmarkStart w:id="471" w:name="_Toc1296386327"/>
      <w:r>
        <w:rPr>
          <w:rFonts w:hint="eastAsia"/>
        </w:rPr>
        <w:t>到货验收时的质量保障措施</w:t>
      </w:r>
      <w:bookmarkEnd w:id="470"/>
      <w:bookmarkEnd w:id="471"/>
      <w:r>
        <w:rPr>
          <w:rFonts w:hint="eastAsia"/>
        </w:rPr>
        <w:t xml:space="preserve"> </w:t>
      </w:r>
    </w:p>
    <w:p w14:paraId="16FD7BA5">
      <w:pPr>
        <w:pageBreakBefore w:val="0"/>
        <w:numPr>
          <w:ilvl w:val="0"/>
          <w:numId w:val="45"/>
        </w:numPr>
        <w:kinsoku/>
        <w:wordWrap/>
        <w:overflowPunct/>
        <w:topLinePunct w:val="0"/>
        <w:autoSpaceDE/>
        <w:autoSpaceDN/>
        <w:bidi w:val="0"/>
        <w:spacing w:line="360" w:lineRule="auto"/>
        <w:ind w:left="0" w:firstLine="426"/>
        <w:textAlignment w:val="auto"/>
      </w:pPr>
      <w:r>
        <w:rPr>
          <w:rFonts w:hint="eastAsia"/>
        </w:rPr>
        <w:t xml:space="preserve">货物按照计划运送到招标方指定地点之后，招标方负责人和我司工程师共同接收货物并验收。 </w:t>
      </w:r>
    </w:p>
    <w:p w14:paraId="589434BE">
      <w:pPr>
        <w:pageBreakBefore w:val="0"/>
        <w:numPr>
          <w:ilvl w:val="0"/>
          <w:numId w:val="45"/>
        </w:numPr>
        <w:kinsoku/>
        <w:wordWrap/>
        <w:overflowPunct/>
        <w:topLinePunct w:val="0"/>
        <w:autoSpaceDE/>
        <w:autoSpaceDN/>
        <w:bidi w:val="0"/>
        <w:spacing w:line="360" w:lineRule="auto"/>
        <w:ind w:left="0" w:firstLine="426"/>
        <w:textAlignment w:val="auto"/>
      </w:pPr>
      <w:r>
        <w:rPr>
          <w:rFonts w:hint="eastAsia"/>
        </w:rPr>
        <w:t xml:space="preserve">按照供货清单，核对货物名称、规格、数量。 </w:t>
      </w:r>
    </w:p>
    <w:p w14:paraId="4D620529">
      <w:pPr>
        <w:pageBreakBefore w:val="0"/>
        <w:numPr>
          <w:ilvl w:val="0"/>
          <w:numId w:val="45"/>
        </w:numPr>
        <w:kinsoku/>
        <w:wordWrap/>
        <w:overflowPunct/>
        <w:topLinePunct w:val="0"/>
        <w:autoSpaceDE/>
        <w:autoSpaceDN/>
        <w:bidi w:val="0"/>
        <w:spacing w:line="360" w:lineRule="auto"/>
        <w:ind w:left="0" w:firstLine="426"/>
        <w:textAlignment w:val="auto"/>
      </w:pPr>
      <w:r>
        <w:rPr>
          <w:rFonts w:hint="eastAsia"/>
        </w:rPr>
        <w:t xml:space="preserve">进行开箱验收。包括设备外观、安全、说明书等装箱内容。  </w:t>
      </w:r>
    </w:p>
    <w:p w14:paraId="484EAD71">
      <w:pPr>
        <w:pStyle w:val="12"/>
        <w:pageBreakBefore w:val="0"/>
        <w:numPr>
          <w:ilvl w:val="4"/>
          <w:numId w:val="12"/>
        </w:numPr>
        <w:kinsoku/>
        <w:wordWrap/>
        <w:overflowPunct/>
        <w:topLinePunct w:val="0"/>
        <w:autoSpaceDE/>
        <w:autoSpaceDN/>
        <w:bidi w:val="0"/>
        <w:spacing w:line="360" w:lineRule="auto"/>
        <w:textAlignment w:val="auto"/>
      </w:pPr>
      <w:bookmarkStart w:id="472" w:name="_Toc783772222"/>
      <w:bookmarkStart w:id="473" w:name="_Toc69918835"/>
      <w:r>
        <w:rPr>
          <w:rFonts w:hint="eastAsia"/>
        </w:rPr>
        <w:t>安装实施保障措施</w:t>
      </w:r>
      <w:bookmarkEnd w:id="472"/>
      <w:bookmarkEnd w:id="473"/>
    </w:p>
    <w:p w14:paraId="4F268F03">
      <w:pPr>
        <w:pageBreakBefore w:val="0"/>
        <w:numPr>
          <w:ilvl w:val="0"/>
          <w:numId w:val="46"/>
        </w:numPr>
        <w:kinsoku/>
        <w:wordWrap/>
        <w:overflowPunct/>
        <w:topLinePunct w:val="0"/>
        <w:autoSpaceDE/>
        <w:autoSpaceDN/>
        <w:bidi w:val="0"/>
        <w:spacing w:line="360" w:lineRule="auto"/>
        <w:ind w:left="0" w:firstLine="426"/>
        <w:textAlignment w:val="auto"/>
      </w:pPr>
      <w:r>
        <w:rPr>
          <w:rFonts w:hint="eastAsia"/>
        </w:rPr>
        <w:t>设备到达安装现场后，由我公司技术人员和招标方共同清点完毕后，实施小组的工程师将开始设备安装调试工作。 </w:t>
      </w:r>
    </w:p>
    <w:p w14:paraId="50BC10CC">
      <w:pPr>
        <w:pageBreakBefore w:val="0"/>
        <w:numPr>
          <w:ilvl w:val="0"/>
          <w:numId w:val="46"/>
        </w:numPr>
        <w:kinsoku/>
        <w:wordWrap/>
        <w:overflowPunct/>
        <w:topLinePunct w:val="0"/>
        <w:autoSpaceDE/>
        <w:autoSpaceDN/>
        <w:bidi w:val="0"/>
        <w:spacing w:line="360" w:lineRule="auto"/>
        <w:ind w:left="0" w:firstLine="426"/>
        <w:textAlignment w:val="auto"/>
      </w:pPr>
      <w:r>
        <w:rPr>
          <w:rFonts w:hint="eastAsia"/>
        </w:rPr>
        <w:t>项目组将有多名工程师参加项目实施，他们负责现场设备、辅助设备的安装和调试，完成后同时填写项目安装调试报告。 </w:t>
      </w:r>
    </w:p>
    <w:p w14:paraId="7EF60EC5">
      <w:pPr>
        <w:pageBreakBefore w:val="0"/>
        <w:numPr>
          <w:ilvl w:val="0"/>
          <w:numId w:val="46"/>
        </w:numPr>
        <w:kinsoku/>
        <w:wordWrap/>
        <w:overflowPunct/>
        <w:topLinePunct w:val="0"/>
        <w:autoSpaceDE/>
        <w:autoSpaceDN/>
        <w:bidi w:val="0"/>
        <w:spacing w:line="360" w:lineRule="auto"/>
        <w:ind w:left="0" w:firstLine="426"/>
        <w:textAlignment w:val="auto"/>
      </w:pPr>
      <w:r>
        <w:rPr>
          <w:rFonts w:hint="eastAsia"/>
        </w:rPr>
        <w:t>我们在设备安装和调试的同时，将对使用单位的设备操作和维护人员进行现场培训，同时为每个设备及系统提供一套完整的技术资料。</w:t>
      </w:r>
    </w:p>
    <w:p w14:paraId="4BE7F1C4">
      <w:pPr>
        <w:pStyle w:val="12"/>
        <w:pageBreakBefore w:val="0"/>
        <w:numPr>
          <w:ilvl w:val="4"/>
          <w:numId w:val="12"/>
        </w:numPr>
        <w:kinsoku/>
        <w:wordWrap/>
        <w:overflowPunct/>
        <w:topLinePunct w:val="0"/>
        <w:autoSpaceDE/>
        <w:autoSpaceDN/>
        <w:bidi w:val="0"/>
        <w:spacing w:line="360" w:lineRule="auto"/>
        <w:textAlignment w:val="auto"/>
      </w:pPr>
      <w:bookmarkStart w:id="474" w:name="_Toc791046497"/>
      <w:r>
        <w:rPr>
          <w:rFonts w:hint="eastAsia"/>
        </w:rPr>
        <w:t>应急保障措施</w:t>
      </w:r>
      <w:bookmarkEnd w:id="474"/>
    </w:p>
    <w:p w14:paraId="04837873">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结合系统的实际情况，公司设立技术支持领导小组，将有关应急人员的角色和职责进行了明确的划分。保证突发事件发生时，能够迅速召集技术人员，立即制定应急技术方案。对一般性技术故障，可利用电话指导用户自行解决，在用户无法解决的情况下，及时赶赴现场解决问题（见服务响应机制）。一般包括以下人员：应急处理组长、系统关键技术人员、业主方协调人员、运维管理人员、相关系统供应商接口人员等。</w:t>
      </w:r>
    </w:p>
    <w:p w14:paraId="6EAF930A">
      <w:pPr>
        <w:pageBreakBefore w:val="0"/>
        <w:numPr>
          <w:ilvl w:val="0"/>
          <w:numId w:val="47"/>
        </w:numPr>
        <w:kinsoku/>
        <w:wordWrap/>
        <w:overflowPunct/>
        <w:topLinePunct w:val="0"/>
        <w:autoSpaceDE/>
        <w:autoSpaceDN/>
        <w:bidi w:val="0"/>
        <w:spacing w:before="120" w:after="120" w:line="360" w:lineRule="auto"/>
        <w:ind w:left="0" w:firstLine="480" w:firstLineChars="200"/>
        <w:textAlignment w:val="auto"/>
      </w:pPr>
      <w:r>
        <w:rPr>
          <w:rFonts w:hint="eastAsia"/>
        </w:rPr>
        <w:t>建立预警及预防制度</w:t>
      </w:r>
    </w:p>
    <w:p w14:paraId="4CDDB49F">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信息系统的日常管理和维护过程中加强系统应用的监测、分析和预警工作。</w:t>
      </w:r>
    </w:p>
    <w:p w14:paraId="49147666">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发生系统发生故障时，值班人员应当立即向应急处理小组报告，并及时进行故障处理、调查核实、保存相关证据等。</w:t>
      </w:r>
    </w:p>
    <w:p w14:paraId="7CBFF149">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在接到突发事件报告后，应当经初步核实之后，将有关情况及时向应急处理小组领导报告，进一步进行情况综合，研究分析可能造成损害的程度，提出初步行动对策。</w:t>
      </w:r>
    </w:p>
    <w:p w14:paraId="3AB8388D">
      <w:pPr>
        <w:pageBreakBefore w:val="0"/>
        <w:numPr>
          <w:ilvl w:val="0"/>
          <w:numId w:val="47"/>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确定应急处理流程</w:t>
      </w:r>
    </w:p>
    <w:p w14:paraId="1570EBAC">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根据定义的异常事件分级，当系统事件的要素满足启动应急预案要求时，进入相应的应急启动流程：</w:t>
      </w:r>
    </w:p>
    <w:p w14:paraId="2DC27635">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应急处理工作小组从业务人员或值班人员的故障申告、系统监控报告的故障告警中得知信息系统异常事件后，在第一时间赶赴信息系统故障现场。</w:t>
      </w:r>
    </w:p>
    <w:p w14:paraId="5861F752">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应急处理工作小组针对信息系统事件做出初步的分析判断。若是电源接触不好、物理连线松动或者能在最短时间内自行解决的信息系统问题，及时按照有关操作规程进行故障处理，并报领导小组备案；否则，应急处理工作小组将故障大致定性为设备故障、线路故障、软件故障等故障之一，及时告知领导小组和受影响的相关部门，并采取措施避免事件影响范围的扩大。</w:t>
      </w:r>
    </w:p>
    <w:p w14:paraId="124890CE">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应急处理工作小组向领导小组报告，在领导小组的授权后启动相应的应急预案。针对灾难事件和影响重要业务运行的重大事件，还要及时向上级进行报告。</w:t>
      </w:r>
    </w:p>
    <w:p w14:paraId="71B0F527">
      <w:pPr>
        <w:pageBreakBefore w:val="0"/>
        <w:numPr>
          <w:ilvl w:val="0"/>
          <w:numId w:val="47"/>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保障措施</w:t>
      </w:r>
    </w:p>
    <w:p w14:paraId="77CAF516">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为提高信息系统突发事件应急响应水平，信息技术部和相关部门定期或不定期组织应急预案演练。检验应急预案各环节之间的通信、协调、指挥等是否符合快速、高效的要求。通过演习，进一步明确应急响应各岗位责任，对预案中存在的问题和不足及时补充、完善。</w:t>
      </w:r>
    </w:p>
    <w:p w14:paraId="77346CB9">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为了在信息系统设备发生故障时能够尽量降低业务系统的受影响程度，为相应的核心业务信息系统提供必要的备份设备与线缆等硬件资源。</w:t>
      </w:r>
    </w:p>
    <w:p w14:paraId="1BEA1D0F">
      <w:pPr>
        <w:pageBreakBefore w:val="0"/>
        <w:numPr>
          <w:ilvl w:val="0"/>
          <w:numId w:val="47"/>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应急处理措施</w:t>
      </w:r>
    </w:p>
    <w:p w14:paraId="195B70CF">
      <w:pPr>
        <w:pageBreakBefore w:val="0"/>
        <w:kinsoku/>
        <w:wordWrap/>
        <w:overflowPunct/>
        <w:topLinePunct w:val="0"/>
        <w:autoSpaceDE/>
        <w:autoSpaceDN/>
        <w:bidi w:val="0"/>
        <w:spacing w:before="120" w:after="120" w:line="360" w:lineRule="auto"/>
        <w:ind w:firstLine="566" w:firstLineChars="236"/>
        <w:textAlignment w:val="auto"/>
        <w:rPr>
          <w:rFonts w:cs="宋体"/>
        </w:rPr>
      </w:pPr>
      <w:r>
        <w:rPr>
          <w:rFonts w:hint="eastAsia" w:cs="宋体"/>
        </w:rPr>
        <w:t>病毒安全紧急处置措施：</w:t>
      </w:r>
    </w:p>
    <w:p w14:paraId="4290FD77">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当发现有计算机被感染上病毒后，应立即向系统技术人员报告，将该机从信息系统上隔离开来。</w:t>
      </w:r>
    </w:p>
    <w:p w14:paraId="5CBED313">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系统技术人员在接到通知后，应在三十分钟内响应。</w:t>
      </w:r>
    </w:p>
    <w:p w14:paraId="679B20F8">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对该设备的硬盘进行数据备份。用反病毒软件对该机进行杀毒处理，同时通过病毒检测软件对其他机器进行病毒扫描和清除工作。</w:t>
      </w:r>
    </w:p>
    <w:p w14:paraId="2444809D">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如果现行反病毒软件无法清除该病毒，应立即向应急处理工作小组组长报告，并迅速研究解决方案。</w:t>
      </w:r>
    </w:p>
    <w:p w14:paraId="63BB2F89">
      <w:pPr>
        <w:pageBreakBefore w:val="0"/>
        <w:kinsoku/>
        <w:wordWrap/>
        <w:overflowPunct/>
        <w:topLinePunct w:val="0"/>
        <w:autoSpaceDE/>
        <w:autoSpaceDN/>
        <w:bidi w:val="0"/>
        <w:spacing w:before="120" w:after="120" w:line="360" w:lineRule="auto"/>
        <w:ind w:firstLine="566" w:firstLineChars="236"/>
        <w:textAlignment w:val="auto"/>
        <w:rPr>
          <w:rFonts w:cs="宋体"/>
        </w:rPr>
      </w:pPr>
      <w:r>
        <w:rPr>
          <w:rFonts w:hint="eastAsia" w:cs="宋体"/>
        </w:rPr>
        <w:t>数据库安全紧急处置措施：</w:t>
      </w:r>
    </w:p>
    <w:p w14:paraId="691F5ADB">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主要数据库按双机热备/读写分离设置，并至少要准备两个以上数据库备份，平时一个备份放在机房，另一个备份放在另一个安全的场所。</w:t>
      </w:r>
    </w:p>
    <w:p w14:paraId="3D3DB38D">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一旦数据库崩溃，技术人员立即启动备用系统，并向应急处理工作小组组长报告。</w:t>
      </w:r>
    </w:p>
    <w:p w14:paraId="0888F8D3">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在备用系统运行期间，业务系统技术人员应对主机系统进行维修。</w:t>
      </w:r>
    </w:p>
    <w:p w14:paraId="7A748F5C">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果两套系统均崩溃，业务系统技术人员应立即向应急处理工作小组组长报告，应急处理工作小组如认为情况严重，应立即向应急处理领导小组组长汇报。同时通知相关科室部门暂缓使用业务系统和上传上报数据。</w:t>
      </w:r>
    </w:p>
    <w:p w14:paraId="3356D42D">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如果两个备份均无法恢复，应立即向应急处理工作小组组长汇报，并向有关厂商请求紧急支援。</w:t>
      </w:r>
    </w:p>
    <w:p w14:paraId="14B0B240">
      <w:pPr>
        <w:pageBreakBefore w:val="0"/>
        <w:kinsoku/>
        <w:wordWrap/>
        <w:overflowPunct/>
        <w:topLinePunct w:val="0"/>
        <w:autoSpaceDE/>
        <w:autoSpaceDN/>
        <w:bidi w:val="0"/>
        <w:spacing w:before="120" w:after="120" w:line="360" w:lineRule="auto"/>
        <w:ind w:firstLine="566" w:firstLineChars="236"/>
        <w:textAlignment w:val="auto"/>
        <w:rPr>
          <w:rFonts w:cs="宋体"/>
        </w:rPr>
      </w:pPr>
      <w:r>
        <w:rPr>
          <w:rFonts w:hint="eastAsia" w:cs="宋体"/>
        </w:rPr>
        <w:t>网络中断紧急处置措施：</w:t>
      </w:r>
    </w:p>
    <w:p w14:paraId="7F124F7B">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当发现网络中断后，系统管理员立即判断故障节点，查明故障原因，并向应急处理工作小组组长汇报。</w:t>
      </w:r>
    </w:p>
    <w:p w14:paraId="4C80630C">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如属线路故障，重新安装线路。</w:t>
      </w:r>
    </w:p>
    <w:p w14:paraId="12C0BA8A">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如属路由器、交换机等信息系统设备故障，立即通知供应商进行保修。</w:t>
      </w:r>
    </w:p>
    <w:p w14:paraId="06F8D027">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如属路由器、交换机配置文件破坏，迅速按照要求重新配置，并调试通畅</w:t>
      </w:r>
    </w:p>
    <w:p w14:paraId="52305C14">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如有必要，向应急处理领导小组汇报。</w:t>
      </w:r>
    </w:p>
    <w:p w14:paraId="04393534">
      <w:pPr>
        <w:pageBreakBefore w:val="0"/>
        <w:kinsoku/>
        <w:wordWrap/>
        <w:overflowPunct/>
        <w:topLinePunct w:val="0"/>
        <w:autoSpaceDE/>
        <w:autoSpaceDN/>
        <w:bidi w:val="0"/>
        <w:spacing w:before="120" w:after="120" w:line="360" w:lineRule="auto"/>
        <w:ind w:firstLine="566" w:firstLineChars="236"/>
        <w:textAlignment w:val="auto"/>
        <w:rPr>
          <w:rFonts w:cs="宋体"/>
        </w:rPr>
      </w:pPr>
      <w:r>
        <w:rPr>
          <w:rFonts w:hint="eastAsia" w:cs="宋体"/>
        </w:rPr>
        <w:t>设备安全紧急处置措施：</w:t>
      </w:r>
    </w:p>
    <w:p w14:paraId="4B2BBBF8">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 xml:space="preserve">服务器、存储设备等关键设备损坏后，值班人员应立即向应急处理工作小组报告。 </w:t>
      </w:r>
    </w:p>
    <w:p w14:paraId="23FD13AB">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 xml:space="preserve">技术人员立即查明原因。如果能够自行恢复，立即用备件替换受损部件。 </w:t>
      </w:r>
    </w:p>
    <w:p w14:paraId="58F11FFB">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 xml:space="preserve">如属不能自行恢复的，立即与设备提供商联系，请求派维护人员前来维修。 </w:t>
      </w:r>
    </w:p>
    <w:p w14:paraId="01509BBE">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如果设备一时不能修复，向处理工作小组组长汇报，并告之相关部门，暂缓使用受影响的业务系统。</w:t>
      </w:r>
    </w:p>
    <w:p w14:paraId="0493769D">
      <w:pPr>
        <w:pageBreakBefore w:val="0"/>
        <w:kinsoku/>
        <w:wordWrap/>
        <w:overflowPunct/>
        <w:topLinePunct w:val="0"/>
        <w:autoSpaceDE/>
        <w:autoSpaceDN/>
        <w:bidi w:val="0"/>
        <w:spacing w:before="120" w:after="120" w:line="360" w:lineRule="auto"/>
        <w:ind w:firstLine="566" w:firstLineChars="236"/>
        <w:textAlignment w:val="auto"/>
        <w:rPr>
          <w:rFonts w:cs="宋体"/>
        </w:rPr>
      </w:pPr>
      <w:r>
        <w:rPr>
          <w:rFonts w:hint="eastAsia" w:cs="宋体"/>
        </w:rPr>
        <w:t>供电中断后的处理措施：</w:t>
      </w:r>
    </w:p>
    <w:p w14:paraId="7799AE81">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外电中断后，机房值班人员应立即检查是否启用了备用电源。</w:t>
      </w:r>
    </w:p>
    <w:p w14:paraId="7C00617D">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机房值班人员应立即查明原因，并向信应急处理工作小组组长报告。</w:t>
      </w:r>
    </w:p>
    <w:p w14:paraId="0015A3ED">
      <w:pPr>
        <w:pageBreakBefore w:val="0"/>
        <w:numPr>
          <w:ilvl w:val="0"/>
          <w:numId w:val="48"/>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 xml:space="preserve">如因内部线路故障，机房值班人员联系应急处理小组迅速恢复。 </w:t>
      </w:r>
    </w:p>
    <w:p w14:paraId="3A67D9FB">
      <w:pPr>
        <w:pageBreakBefore w:val="0"/>
        <w:numPr>
          <w:ilvl w:val="0"/>
          <w:numId w:val="49"/>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停电30分钟以内，由UPS供电；</w:t>
      </w:r>
    </w:p>
    <w:p w14:paraId="47BE2DFC">
      <w:pPr>
        <w:pageBreakBefore w:val="0"/>
        <w:numPr>
          <w:ilvl w:val="0"/>
          <w:numId w:val="49"/>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 xml:space="preserve">停电30分钟—1小时，关掉非关键设备，确保关键服务器、核心信息系统设备供电； </w:t>
      </w:r>
    </w:p>
    <w:p w14:paraId="168073F7">
      <w:pPr>
        <w:pageBreakBefore w:val="0"/>
        <w:numPr>
          <w:ilvl w:val="0"/>
          <w:numId w:val="49"/>
        </w:numPr>
        <w:kinsoku/>
        <w:wordWrap/>
        <w:overflowPunct/>
        <w:topLinePunct w:val="0"/>
        <w:autoSpaceDE/>
        <w:autoSpaceDN/>
        <w:bidi w:val="0"/>
        <w:spacing w:before="120" w:after="120" w:line="360" w:lineRule="auto"/>
        <w:ind w:left="0" w:firstLine="420"/>
        <w:textAlignment w:val="auto"/>
        <w:rPr>
          <w:rFonts w:cs="宋体"/>
        </w:rPr>
      </w:pPr>
      <w:r>
        <w:rPr>
          <w:rFonts w:hint="eastAsia" w:cs="宋体"/>
        </w:rPr>
        <w:t>停电1小时以上，关闭所有设备；</w:t>
      </w:r>
    </w:p>
    <w:p w14:paraId="3542A59F">
      <w:pPr>
        <w:pageBreakBefore w:val="0"/>
        <w:kinsoku/>
        <w:wordWrap/>
        <w:overflowPunct/>
        <w:topLinePunct w:val="0"/>
        <w:autoSpaceDE/>
        <w:autoSpaceDN/>
        <w:bidi w:val="0"/>
        <w:spacing w:before="120" w:after="120" w:line="360" w:lineRule="auto"/>
        <w:ind w:firstLine="424" w:firstLineChars="177"/>
        <w:textAlignment w:val="auto"/>
        <w:rPr>
          <w:rFonts w:cs="宋体"/>
        </w:rPr>
      </w:pPr>
      <w:r>
        <w:rPr>
          <w:rFonts w:hint="eastAsia" w:cs="宋体"/>
        </w:rPr>
        <w:t>备注：以上应急处理方案为建议方案，具体的方案以项目中标后双方讨论确定的方案为准。</w:t>
      </w:r>
    </w:p>
    <w:p w14:paraId="642F70C7">
      <w:pPr>
        <w:pageBreakBefore w:val="0"/>
        <w:kinsoku/>
        <w:wordWrap/>
        <w:overflowPunct/>
        <w:topLinePunct w:val="0"/>
        <w:autoSpaceDE/>
        <w:autoSpaceDN/>
        <w:bidi w:val="0"/>
        <w:spacing w:before="120" w:after="120" w:line="360" w:lineRule="auto"/>
        <w:ind w:firstLine="420"/>
        <w:textAlignment w:val="auto"/>
      </w:pPr>
    </w:p>
    <w:p w14:paraId="6C90A044">
      <w:pPr>
        <w:pStyle w:val="10"/>
        <w:pageBreakBefore w:val="0"/>
        <w:numPr>
          <w:ilvl w:val="3"/>
          <w:numId w:val="12"/>
        </w:numPr>
        <w:kinsoku/>
        <w:wordWrap/>
        <w:overflowPunct/>
        <w:topLinePunct w:val="0"/>
        <w:autoSpaceDE/>
        <w:autoSpaceDN/>
        <w:bidi w:val="0"/>
        <w:spacing w:line="360" w:lineRule="auto"/>
        <w:ind w:left="425" w:firstLine="41" w:firstLineChars="17"/>
        <w:textAlignment w:val="auto"/>
      </w:pPr>
      <w:bookmarkStart w:id="475" w:name="_Toc496978909"/>
      <w:bookmarkStart w:id="476" w:name="_Toc78544222"/>
      <w:bookmarkStart w:id="477" w:name="_Toc301706714"/>
      <w:bookmarkStart w:id="478" w:name="_Toc310947394"/>
      <w:bookmarkStart w:id="479" w:name="_Toc340758699"/>
      <w:bookmarkStart w:id="480" w:name="_Toc310947888"/>
      <w:bookmarkStart w:id="481" w:name="_Toc405823161"/>
      <w:bookmarkStart w:id="482" w:name="_Toc407723613"/>
      <w:bookmarkStart w:id="483" w:name="_Toc407193030"/>
      <w:bookmarkStart w:id="484" w:name="_Toc304225402"/>
      <w:bookmarkStart w:id="485" w:name="_Toc301359665"/>
      <w:bookmarkStart w:id="486" w:name="_Toc44081186"/>
      <w:bookmarkStart w:id="487" w:name="_Toc305867132"/>
      <w:bookmarkStart w:id="488" w:name="_Toc406148156"/>
      <w:bookmarkStart w:id="489" w:name="_Toc294645771"/>
      <w:bookmarkStart w:id="490" w:name="_Toc299376062"/>
      <w:bookmarkStart w:id="491" w:name="_Toc340758796"/>
      <w:bookmarkStart w:id="492" w:name="_Toc301447734"/>
      <w:bookmarkStart w:id="493" w:name="_Toc304225064"/>
      <w:bookmarkStart w:id="494" w:name="_Toc317536842"/>
      <w:bookmarkStart w:id="495" w:name="_Toc78511889"/>
      <w:bookmarkStart w:id="496" w:name="_Toc340828959"/>
      <w:bookmarkStart w:id="497" w:name="_Toc1846512376"/>
      <w:bookmarkStart w:id="498" w:name="_Toc340824287"/>
      <w:bookmarkStart w:id="499" w:name="_Toc301277508"/>
      <w:bookmarkStart w:id="500" w:name="_Toc340823947"/>
      <w:bookmarkStart w:id="501" w:name="_Toc301706005"/>
      <w:bookmarkStart w:id="502" w:name="_Toc301706242"/>
      <w:bookmarkStart w:id="503" w:name="_Toc301468576"/>
      <w:bookmarkStart w:id="504" w:name="_Toc301707186"/>
      <w:bookmarkStart w:id="505" w:name="_Toc905845047"/>
      <w:bookmarkStart w:id="506" w:name="_Toc514769178"/>
      <w:bookmarkStart w:id="507" w:name="_Toc49550993"/>
      <w:bookmarkStart w:id="508" w:name="_Toc44020326"/>
      <w:bookmarkStart w:id="509" w:name="_Toc304224882"/>
      <w:bookmarkStart w:id="510" w:name="_Toc301275513"/>
      <w:bookmarkStart w:id="511" w:name="_Toc342491163"/>
      <w:r>
        <w:rPr>
          <w:rFonts w:hint="eastAsia"/>
        </w:rPr>
        <w:t>安全保障与控制措施</w:t>
      </w:r>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7F3719B7">
      <w:pPr>
        <w:pStyle w:val="12"/>
        <w:pageBreakBefore w:val="0"/>
        <w:numPr>
          <w:ilvl w:val="4"/>
          <w:numId w:val="12"/>
        </w:numPr>
        <w:kinsoku/>
        <w:wordWrap/>
        <w:overflowPunct/>
        <w:topLinePunct w:val="0"/>
        <w:autoSpaceDE/>
        <w:autoSpaceDN/>
        <w:bidi w:val="0"/>
        <w:spacing w:line="360" w:lineRule="auto"/>
        <w:textAlignment w:val="auto"/>
      </w:pPr>
      <w:bookmarkStart w:id="512" w:name="_Toc301468598"/>
      <w:bookmarkStart w:id="513" w:name="_Toc304224904"/>
      <w:bookmarkStart w:id="514" w:name="_Toc301707208"/>
      <w:bookmarkStart w:id="515" w:name="_Toc301447756"/>
      <w:bookmarkStart w:id="516" w:name="_Toc301706027"/>
      <w:bookmarkStart w:id="517" w:name="_Toc377195744"/>
      <w:bookmarkStart w:id="518" w:name="_Toc301275535"/>
      <w:bookmarkStart w:id="519" w:name="_Toc299376067"/>
      <w:bookmarkStart w:id="520" w:name="_Toc301706264"/>
      <w:bookmarkStart w:id="521" w:name="_Toc304225407"/>
      <w:bookmarkStart w:id="522" w:name="_Toc301277530"/>
      <w:bookmarkStart w:id="523" w:name="_Toc301359687"/>
      <w:bookmarkStart w:id="524" w:name="_Toc301706736"/>
      <w:bookmarkStart w:id="525" w:name="_Toc294645793"/>
      <w:bookmarkStart w:id="526" w:name="_Toc304225069"/>
      <w:bookmarkStart w:id="527" w:name="_Toc304224883"/>
      <w:bookmarkStart w:id="528" w:name="_Toc301706006"/>
      <w:bookmarkStart w:id="529" w:name="_Toc301277509"/>
      <w:bookmarkStart w:id="530" w:name="_Toc301706243"/>
      <w:bookmarkStart w:id="531" w:name="_Toc301468577"/>
      <w:bookmarkStart w:id="532" w:name="_Toc301706715"/>
      <w:bookmarkStart w:id="533" w:name="_Toc301707187"/>
      <w:bookmarkStart w:id="534" w:name="_Toc294645772"/>
      <w:bookmarkStart w:id="535" w:name="_Toc301447735"/>
      <w:bookmarkStart w:id="536" w:name="_Toc301275514"/>
      <w:bookmarkStart w:id="537" w:name="_Toc301359666"/>
      <w:r>
        <w:rPr>
          <w:rFonts w:hint="eastAsia"/>
        </w:rPr>
        <w:t>安全保证措施</w:t>
      </w:r>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p>
    <w:p w14:paraId="61F200B5">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建立安全生产管理体系。项目经理为本工程项目安全生产、文明施工第一责任人。项目组设置专职安全员抓各项安全生产、文明施工管理措施的落实工作。各供应商设立兼职安全员，配合安全员的工作。</w:t>
      </w:r>
    </w:p>
    <w:p w14:paraId="3E02DF73">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明确规章制度。严格执行国家、总包单位以及公司的安全施工规章制度，积极宣传安全施工的有关方针、政策、措施，强化职工的安全意识。</w:t>
      </w:r>
    </w:p>
    <w:p w14:paraId="6A6CD41D">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上岗前教育。对全体施工人员进行安全生产教育，考核合格后方可上岗，特殊工种进行专业培训，考试合格后发给操作证书，坚持持证上岗制度。</w:t>
      </w:r>
    </w:p>
    <w:p w14:paraId="30E0A182">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正确使用安全“三宝”。进入施工现场必须戴安全帽；高空作业必须系好安全带；安全带与固定物的拉结必须加强检查。</w:t>
      </w:r>
    </w:p>
    <w:p w14:paraId="668087A1">
      <w:pPr>
        <w:pStyle w:val="12"/>
        <w:pageBreakBefore w:val="0"/>
        <w:numPr>
          <w:ilvl w:val="4"/>
          <w:numId w:val="12"/>
        </w:numPr>
        <w:kinsoku/>
        <w:wordWrap/>
        <w:overflowPunct/>
        <w:topLinePunct w:val="0"/>
        <w:autoSpaceDE/>
        <w:autoSpaceDN/>
        <w:bidi w:val="0"/>
        <w:spacing w:line="360" w:lineRule="auto"/>
        <w:textAlignment w:val="auto"/>
      </w:pPr>
      <w:bookmarkStart w:id="538" w:name="_Toc1663213449"/>
      <w:r>
        <w:rPr>
          <w:rFonts w:hint="eastAsia"/>
        </w:rPr>
        <w:t>绿色施工保障措施</w:t>
      </w:r>
      <w:bookmarkEnd w:id="527"/>
      <w:bookmarkEnd w:id="528"/>
      <w:bookmarkEnd w:id="529"/>
      <w:bookmarkEnd w:id="530"/>
      <w:bookmarkEnd w:id="531"/>
      <w:bookmarkEnd w:id="532"/>
      <w:bookmarkEnd w:id="533"/>
      <w:bookmarkEnd w:id="534"/>
      <w:bookmarkEnd w:id="535"/>
      <w:bookmarkEnd w:id="536"/>
      <w:bookmarkEnd w:id="537"/>
      <w:bookmarkEnd w:id="538"/>
    </w:p>
    <w:p w14:paraId="0C568F4F">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pPr>
      <w:r>
        <w:rPr>
          <w:rFonts w:hint="eastAsia"/>
        </w:rPr>
        <w:t>在工程建设中，在保证质量、安全等基本要求的前提下，通过科学管理和技术改进，最大限度地节约资源与减少对环境产生负面影响的施工活动，实现节能、节材和环境保护。</w:t>
      </w:r>
    </w:p>
    <w:p w14:paraId="5D2898A7">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pPr>
      <w:r>
        <w:rPr>
          <w:rFonts w:hint="eastAsia"/>
        </w:rPr>
        <w:t>实施绿色施工，依据因地制宜的原则，贯彻执行国家、行业和地方相关的技术经济政策。</w:t>
      </w:r>
    </w:p>
    <w:p w14:paraId="6DB5E33E">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pPr>
      <w:r>
        <w:rPr>
          <w:rFonts w:hint="eastAsia"/>
        </w:rPr>
        <w:t>严格按照环境保护法律、法规、政策执行组织管理、规划管理、实施管理、评价管理和人员安全与健康管理五个方面。</w:t>
      </w:r>
    </w:p>
    <w:p w14:paraId="4B381C3D">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pPr>
      <w:r>
        <w:rPr>
          <w:rFonts w:hint="eastAsia"/>
        </w:rPr>
        <w:t>环境保护</w:t>
      </w:r>
    </w:p>
    <w:p w14:paraId="0BB4C7D2">
      <w:pPr>
        <w:pageBreakBefore w:val="0"/>
        <w:widowControl/>
        <w:numPr>
          <w:ilvl w:val="0"/>
          <w:numId w:val="51"/>
        </w:numPr>
        <w:kinsoku/>
        <w:wordWrap/>
        <w:overflowPunct/>
        <w:topLinePunct w:val="0"/>
        <w:autoSpaceDE/>
        <w:autoSpaceDN/>
        <w:bidi w:val="0"/>
        <w:spacing w:before="156" w:after="156" w:line="360" w:lineRule="auto"/>
        <w:ind w:left="142" w:firstLine="0"/>
        <w:jc w:val="both"/>
        <w:textAlignment w:val="auto"/>
      </w:pPr>
      <w:bookmarkStart w:id="539" w:name="_Toc301275515"/>
      <w:bookmarkStart w:id="540" w:name="_Toc294645773"/>
      <w:bookmarkStart w:id="541" w:name="_Toc301468578"/>
      <w:bookmarkStart w:id="542" w:name="_Toc301447736"/>
      <w:bookmarkStart w:id="543" w:name="_Toc301706007"/>
      <w:bookmarkStart w:id="544" w:name="_Toc301706716"/>
      <w:bookmarkStart w:id="545" w:name="_Toc301706244"/>
      <w:bookmarkStart w:id="546" w:name="_Toc301707188"/>
      <w:bookmarkStart w:id="547" w:name="_Toc304224884"/>
      <w:bookmarkStart w:id="548" w:name="_Toc301277510"/>
      <w:bookmarkStart w:id="549" w:name="_Toc301359667"/>
      <w:r>
        <w:rPr>
          <w:rFonts w:hint="eastAsia"/>
        </w:rPr>
        <w:t>扬尘控制</w:t>
      </w:r>
      <w:bookmarkEnd w:id="539"/>
      <w:bookmarkEnd w:id="540"/>
      <w:bookmarkEnd w:id="541"/>
      <w:bookmarkEnd w:id="542"/>
      <w:bookmarkEnd w:id="543"/>
      <w:bookmarkEnd w:id="544"/>
      <w:bookmarkEnd w:id="545"/>
      <w:bookmarkEnd w:id="546"/>
      <w:bookmarkEnd w:id="547"/>
      <w:bookmarkEnd w:id="548"/>
      <w:bookmarkEnd w:id="549"/>
      <w:r>
        <w:rPr>
          <w:rFonts w:hint="eastAsia"/>
        </w:rPr>
        <w:t>：安装阶段，作业区目测扬尘高度小于0.5m，施工现场非作业区达到目测无扬尘的要求。</w:t>
      </w:r>
    </w:p>
    <w:p w14:paraId="306639F5">
      <w:pPr>
        <w:pageBreakBefore w:val="0"/>
        <w:widowControl/>
        <w:numPr>
          <w:ilvl w:val="0"/>
          <w:numId w:val="51"/>
        </w:numPr>
        <w:kinsoku/>
        <w:wordWrap/>
        <w:overflowPunct/>
        <w:topLinePunct w:val="0"/>
        <w:autoSpaceDE/>
        <w:autoSpaceDN/>
        <w:bidi w:val="0"/>
        <w:spacing w:before="156" w:after="156" w:line="360" w:lineRule="auto"/>
        <w:ind w:left="142" w:firstLine="0"/>
        <w:jc w:val="both"/>
        <w:textAlignment w:val="auto"/>
      </w:pPr>
      <w:bookmarkStart w:id="550" w:name="_Toc301706717"/>
      <w:bookmarkStart w:id="551" w:name="_Toc301275516"/>
      <w:bookmarkStart w:id="552" w:name="_Toc301706008"/>
      <w:bookmarkStart w:id="553" w:name="_Toc301277511"/>
      <w:bookmarkStart w:id="554" w:name="_Toc304224885"/>
      <w:bookmarkStart w:id="555" w:name="_Toc301359668"/>
      <w:bookmarkStart w:id="556" w:name="_Toc301706245"/>
      <w:bookmarkStart w:id="557" w:name="_Toc294645774"/>
      <w:bookmarkStart w:id="558" w:name="_Toc301468579"/>
      <w:bookmarkStart w:id="559" w:name="_Toc301447737"/>
      <w:bookmarkStart w:id="560" w:name="_Toc301707189"/>
      <w:r>
        <w:rPr>
          <w:rFonts w:hint="eastAsia"/>
        </w:rPr>
        <w:t>噪音与振动控制</w:t>
      </w:r>
      <w:bookmarkEnd w:id="550"/>
      <w:bookmarkEnd w:id="551"/>
      <w:bookmarkEnd w:id="552"/>
      <w:bookmarkEnd w:id="553"/>
      <w:bookmarkEnd w:id="554"/>
      <w:bookmarkEnd w:id="555"/>
      <w:bookmarkEnd w:id="556"/>
      <w:bookmarkEnd w:id="557"/>
      <w:bookmarkEnd w:id="558"/>
      <w:bookmarkEnd w:id="559"/>
      <w:bookmarkEnd w:id="560"/>
      <w:r>
        <w:rPr>
          <w:rFonts w:hint="eastAsia"/>
        </w:rPr>
        <w:t>：施工现场噪音排放不得超过国家标准《工业企业厂界环境噪声排放标准》（GB12348-2008）的规定；使用低噪音、低振动的机具，采取隔音与隔振措施，避免或减少施工噪音和振动；合理安排施工时间，避免夜间施工。减小施工噪声对周围环境居民的影响；制定科学的施工计划，合理安排施工平面。</w:t>
      </w:r>
    </w:p>
    <w:p w14:paraId="0BE7C420">
      <w:pPr>
        <w:pageBreakBefore w:val="0"/>
        <w:widowControl/>
        <w:numPr>
          <w:ilvl w:val="0"/>
          <w:numId w:val="51"/>
        </w:numPr>
        <w:kinsoku/>
        <w:wordWrap/>
        <w:overflowPunct/>
        <w:topLinePunct w:val="0"/>
        <w:autoSpaceDE/>
        <w:autoSpaceDN/>
        <w:bidi w:val="0"/>
        <w:spacing w:before="156" w:after="156" w:line="360" w:lineRule="auto"/>
        <w:ind w:left="142" w:firstLine="0"/>
        <w:jc w:val="both"/>
        <w:textAlignment w:val="auto"/>
      </w:pPr>
      <w:bookmarkStart w:id="561" w:name="_Toc301706009"/>
      <w:bookmarkStart w:id="562" w:name="_Toc301359669"/>
      <w:bookmarkStart w:id="563" w:name="_Toc301468580"/>
      <w:bookmarkStart w:id="564" w:name="_Toc301706246"/>
      <w:bookmarkStart w:id="565" w:name="_Toc301275517"/>
      <w:bookmarkStart w:id="566" w:name="_Toc304224886"/>
      <w:bookmarkStart w:id="567" w:name="_Toc301277512"/>
      <w:bookmarkStart w:id="568" w:name="_Toc301447738"/>
      <w:bookmarkStart w:id="569" w:name="_Toc301706718"/>
      <w:bookmarkStart w:id="570" w:name="_Toc301707190"/>
      <w:bookmarkStart w:id="571" w:name="_Toc294645775"/>
      <w:r>
        <w:rPr>
          <w:rFonts w:hint="eastAsia"/>
        </w:rPr>
        <w:t>光污染控制</w:t>
      </w:r>
      <w:bookmarkEnd w:id="561"/>
      <w:bookmarkEnd w:id="562"/>
      <w:bookmarkEnd w:id="563"/>
      <w:bookmarkEnd w:id="564"/>
      <w:bookmarkEnd w:id="565"/>
      <w:bookmarkEnd w:id="566"/>
      <w:bookmarkEnd w:id="567"/>
      <w:bookmarkEnd w:id="568"/>
      <w:bookmarkEnd w:id="569"/>
      <w:bookmarkEnd w:id="570"/>
      <w:bookmarkEnd w:id="571"/>
      <w:r>
        <w:rPr>
          <w:rFonts w:hint="eastAsia"/>
        </w:rPr>
        <w:t>：尽量避免或减少施工过程中的光污染；电焊作业采取遮挡措施，避免电焊弧光外泄。</w:t>
      </w:r>
    </w:p>
    <w:p w14:paraId="1435D4C0">
      <w:pPr>
        <w:pageBreakBefore w:val="0"/>
        <w:widowControl/>
        <w:numPr>
          <w:ilvl w:val="0"/>
          <w:numId w:val="51"/>
        </w:numPr>
        <w:kinsoku/>
        <w:wordWrap/>
        <w:overflowPunct/>
        <w:topLinePunct w:val="0"/>
        <w:autoSpaceDE/>
        <w:autoSpaceDN/>
        <w:bidi w:val="0"/>
        <w:spacing w:before="156" w:after="156" w:line="360" w:lineRule="auto"/>
        <w:ind w:left="142" w:firstLine="0"/>
        <w:jc w:val="both"/>
        <w:textAlignment w:val="auto"/>
      </w:pPr>
      <w:bookmarkStart w:id="572" w:name="_Toc301706010"/>
      <w:bookmarkStart w:id="573" w:name="_Toc301277513"/>
      <w:bookmarkStart w:id="574" w:name="_Toc301447739"/>
      <w:bookmarkStart w:id="575" w:name="_Toc301706247"/>
      <w:bookmarkStart w:id="576" w:name="_Toc301706719"/>
      <w:bookmarkStart w:id="577" w:name="_Toc301275518"/>
      <w:bookmarkStart w:id="578" w:name="_Toc301707191"/>
      <w:bookmarkStart w:id="579" w:name="_Toc294645776"/>
      <w:bookmarkStart w:id="580" w:name="_Toc304224887"/>
      <w:bookmarkStart w:id="581" w:name="_Toc301468581"/>
      <w:bookmarkStart w:id="582" w:name="_Toc301359670"/>
      <w:r>
        <w:rPr>
          <w:rFonts w:hint="eastAsia"/>
        </w:rPr>
        <w:t>水污染控制</w:t>
      </w:r>
      <w:bookmarkEnd w:id="572"/>
      <w:bookmarkEnd w:id="573"/>
      <w:bookmarkEnd w:id="574"/>
      <w:bookmarkEnd w:id="575"/>
      <w:bookmarkEnd w:id="576"/>
      <w:bookmarkEnd w:id="577"/>
      <w:bookmarkEnd w:id="578"/>
      <w:bookmarkEnd w:id="579"/>
      <w:bookmarkEnd w:id="580"/>
      <w:bookmarkEnd w:id="581"/>
      <w:bookmarkEnd w:id="582"/>
      <w:r>
        <w:rPr>
          <w:rFonts w:hint="eastAsia"/>
        </w:rPr>
        <w:t>：施工现场污水排放应达到国家标准《污水综合排放标准》（GB8978-1996）的要求。</w:t>
      </w:r>
    </w:p>
    <w:p w14:paraId="5C0440D0">
      <w:pPr>
        <w:pageBreakBefore w:val="0"/>
        <w:widowControl/>
        <w:numPr>
          <w:ilvl w:val="0"/>
          <w:numId w:val="51"/>
        </w:numPr>
        <w:kinsoku/>
        <w:wordWrap/>
        <w:overflowPunct/>
        <w:topLinePunct w:val="0"/>
        <w:autoSpaceDE/>
        <w:autoSpaceDN/>
        <w:bidi w:val="0"/>
        <w:spacing w:before="156" w:after="156" w:line="360" w:lineRule="auto"/>
        <w:ind w:left="142" w:firstLine="0"/>
        <w:jc w:val="both"/>
        <w:textAlignment w:val="auto"/>
      </w:pPr>
      <w:bookmarkStart w:id="583" w:name="_Toc301707192"/>
      <w:bookmarkStart w:id="584" w:name="_Toc301359671"/>
      <w:bookmarkStart w:id="585" w:name="_Toc301468582"/>
      <w:bookmarkStart w:id="586" w:name="_Toc301706720"/>
      <w:bookmarkStart w:id="587" w:name="_Toc301706011"/>
      <w:bookmarkStart w:id="588" w:name="_Toc301447740"/>
      <w:bookmarkStart w:id="589" w:name="_Toc301277514"/>
      <w:bookmarkStart w:id="590" w:name="_Toc294645777"/>
      <w:bookmarkStart w:id="591" w:name="_Toc301275519"/>
      <w:bookmarkStart w:id="592" w:name="_Toc304224888"/>
      <w:bookmarkStart w:id="593" w:name="_Toc301706248"/>
      <w:r>
        <w:rPr>
          <w:rFonts w:hint="eastAsia"/>
        </w:rPr>
        <w:t>土壤保护</w:t>
      </w:r>
      <w:bookmarkEnd w:id="583"/>
      <w:bookmarkEnd w:id="584"/>
      <w:bookmarkEnd w:id="585"/>
      <w:bookmarkEnd w:id="586"/>
      <w:bookmarkEnd w:id="587"/>
      <w:bookmarkEnd w:id="588"/>
      <w:bookmarkEnd w:id="589"/>
      <w:bookmarkEnd w:id="590"/>
      <w:bookmarkEnd w:id="591"/>
      <w:bookmarkEnd w:id="592"/>
      <w:bookmarkEnd w:id="593"/>
      <w:r>
        <w:rPr>
          <w:rFonts w:hint="eastAsia"/>
        </w:rPr>
        <w:t>：对于有毒有害废弃物如电池、墨盒、油漆、涂料等应回收后交有资质的单位处理，不能作为普通垃圾外运，避免污染土壤和地下水。</w:t>
      </w:r>
    </w:p>
    <w:p w14:paraId="29E8B05A">
      <w:pPr>
        <w:pageBreakBefore w:val="0"/>
        <w:widowControl/>
        <w:numPr>
          <w:ilvl w:val="0"/>
          <w:numId w:val="51"/>
        </w:numPr>
        <w:kinsoku/>
        <w:wordWrap/>
        <w:overflowPunct/>
        <w:topLinePunct w:val="0"/>
        <w:autoSpaceDE/>
        <w:autoSpaceDN/>
        <w:bidi w:val="0"/>
        <w:spacing w:before="156" w:after="156" w:line="360" w:lineRule="auto"/>
        <w:ind w:left="142" w:firstLine="0"/>
        <w:jc w:val="both"/>
        <w:textAlignment w:val="auto"/>
      </w:pPr>
      <w:bookmarkStart w:id="594" w:name="_Toc301359672"/>
      <w:bookmarkStart w:id="595" w:name="_Toc301706721"/>
      <w:bookmarkStart w:id="596" w:name="_Toc301707193"/>
      <w:bookmarkStart w:id="597" w:name="_Toc301468583"/>
      <w:bookmarkStart w:id="598" w:name="_Toc294645778"/>
      <w:bookmarkStart w:id="599" w:name="_Toc301447741"/>
      <w:bookmarkStart w:id="600" w:name="_Toc301277515"/>
      <w:bookmarkStart w:id="601" w:name="_Toc301275520"/>
      <w:bookmarkStart w:id="602" w:name="_Toc304224889"/>
      <w:bookmarkStart w:id="603" w:name="_Toc301706012"/>
      <w:bookmarkStart w:id="604" w:name="_Toc301706249"/>
      <w:r>
        <w:rPr>
          <w:rFonts w:hint="eastAsia"/>
        </w:rPr>
        <w:t>垃圾控制</w:t>
      </w:r>
      <w:bookmarkEnd w:id="594"/>
      <w:bookmarkEnd w:id="595"/>
      <w:bookmarkEnd w:id="596"/>
      <w:bookmarkEnd w:id="597"/>
      <w:bookmarkEnd w:id="598"/>
      <w:bookmarkEnd w:id="599"/>
      <w:bookmarkEnd w:id="600"/>
      <w:bookmarkEnd w:id="601"/>
      <w:bookmarkEnd w:id="602"/>
      <w:bookmarkEnd w:id="603"/>
      <w:bookmarkEnd w:id="604"/>
      <w:r>
        <w:rPr>
          <w:rFonts w:hint="eastAsia"/>
        </w:rPr>
        <w:t>：施工现场生活区设置封闭式垃圾容器，施工场地生活垃圾实行袋装化，及时清运。</w:t>
      </w:r>
    </w:p>
    <w:p w14:paraId="5426116C">
      <w:pPr>
        <w:pStyle w:val="12"/>
        <w:pageBreakBefore w:val="0"/>
        <w:numPr>
          <w:ilvl w:val="4"/>
          <w:numId w:val="12"/>
        </w:numPr>
        <w:kinsoku/>
        <w:wordWrap/>
        <w:overflowPunct/>
        <w:topLinePunct w:val="0"/>
        <w:autoSpaceDE/>
        <w:autoSpaceDN/>
        <w:bidi w:val="0"/>
        <w:spacing w:line="360" w:lineRule="auto"/>
        <w:textAlignment w:val="auto"/>
      </w:pPr>
      <w:bookmarkStart w:id="605" w:name="_Toc1051003058"/>
      <w:r>
        <w:rPr>
          <w:rFonts w:hint="eastAsia"/>
        </w:rPr>
        <w:t>节材与材料资源利用技术</w:t>
      </w:r>
      <w:bookmarkEnd w:id="605"/>
    </w:p>
    <w:p w14:paraId="784242DD">
      <w:pPr>
        <w:pageBreakBefore w:val="0"/>
        <w:widowControl/>
        <w:numPr>
          <w:ilvl w:val="0"/>
          <w:numId w:val="52"/>
        </w:numPr>
        <w:kinsoku/>
        <w:wordWrap/>
        <w:overflowPunct/>
        <w:topLinePunct w:val="0"/>
        <w:autoSpaceDE/>
        <w:autoSpaceDN/>
        <w:bidi w:val="0"/>
        <w:spacing w:before="156" w:after="156" w:line="360" w:lineRule="auto"/>
        <w:ind w:left="142" w:firstLine="0"/>
        <w:jc w:val="both"/>
        <w:textAlignment w:val="auto"/>
        <w:rPr>
          <w:kern w:val="0"/>
        </w:rPr>
      </w:pPr>
      <w:bookmarkStart w:id="606" w:name="_Toc301275521"/>
      <w:bookmarkStart w:id="607" w:name="_Toc301706722"/>
      <w:bookmarkStart w:id="608" w:name="_Toc301707194"/>
      <w:bookmarkStart w:id="609" w:name="_Toc301706250"/>
      <w:bookmarkStart w:id="610" w:name="_Toc301447742"/>
      <w:bookmarkStart w:id="611" w:name="_Toc301277516"/>
      <w:bookmarkStart w:id="612" w:name="_Toc301359673"/>
      <w:bookmarkStart w:id="613" w:name="_Toc301468584"/>
      <w:bookmarkStart w:id="614" w:name="_Toc304224890"/>
      <w:bookmarkStart w:id="615" w:name="_Toc294645779"/>
      <w:bookmarkStart w:id="616" w:name="_Toc301706013"/>
      <w:r>
        <w:rPr>
          <w:rFonts w:hint="eastAsia"/>
          <w:kern w:val="0"/>
        </w:rPr>
        <w:t>节材措施</w:t>
      </w:r>
      <w:bookmarkEnd w:id="606"/>
      <w:bookmarkEnd w:id="607"/>
      <w:bookmarkEnd w:id="608"/>
      <w:bookmarkEnd w:id="609"/>
      <w:bookmarkEnd w:id="610"/>
      <w:bookmarkEnd w:id="611"/>
      <w:bookmarkEnd w:id="612"/>
      <w:bookmarkEnd w:id="613"/>
      <w:bookmarkEnd w:id="614"/>
      <w:bookmarkEnd w:id="615"/>
      <w:bookmarkEnd w:id="616"/>
    </w:p>
    <w:p w14:paraId="2C82BF0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图纸会审时，应审核节材与材料资源利用的相关内容；</w:t>
      </w:r>
    </w:p>
    <w:p w14:paraId="298475E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根据施工进度、库存情况等合理安排材料的采购、进场时间和批次，减少库存；</w:t>
      </w:r>
    </w:p>
    <w:p w14:paraId="640544D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现场材料堆放有序。储存环境适宜，存放措施得当。保管制度健全，责任落实到人；</w:t>
      </w:r>
    </w:p>
    <w:p w14:paraId="05D8F93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材料运输工具适宜，装卸方法得当，防止损坏和遗洒。根据现场平面布置情况就近卸载，避免和减少二次搬运；</w:t>
      </w:r>
    </w:p>
    <w:p w14:paraId="39815A3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优化安装工程的预留、预埋、管线路径等方案。</w:t>
      </w:r>
    </w:p>
    <w:p w14:paraId="0B6AFCB7">
      <w:pPr>
        <w:pageBreakBefore w:val="0"/>
        <w:widowControl/>
        <w:numPr>
          <w:ilvl w:val="0"/>
          <w:numId w:val="52"/>
        </w:numPr>
        <w:kinsoku/>
        <w:wordWrap/>
        <w:overflowPunct/>
        <w:topLinePunct w:val="0"/>
        <w:autoSpaceDE/>
        <w:autoSpaceDN/>
        <w:bidi w:val="0"/>
        <w:spacing w:before="156" w:after="156" w:line="360" w:lineRule="auto"/>
        <w:ind w:left="142" w:firstLine="0"/>
        <w:jc w:val="both"/>
        <w:textAlignment w:val="auto"/>
        <w:rPr>
          <w:kern w:val="0"/>
        </w:rPr>
      </w:pPr>
      <w:bookmarkStart w:id="617" w:name="_Toc301277517"/>
      <w:bookmarkStart w:id="618" w:name="_Toc301706014"/>
      <w:bookmarkStart w:id="619" w:name="_Toc304224891"/>
      <w:bookmarkStart w:id="620" w:name="_Toc301468585"/>
      <w:bookmarkStart w:id="621" w:name="_Toc301707195"/>
      <w:bookmarkStart w:id="622" w:name="_Toc301706251"/>
      <w:bookmarkStart w:id="623" w:name="_Toc294645780"/>
      <w:bookmarkStart w:id="624" w:name="_Toc301706723"/>
      <w:bookmarkStart w:id="625" w:name="_Toc301275522"/>
      <w:bookmarkStart w:id="626" w:name="_Toc301447743"/>
      <w:bookmarkStart w:id="627" w:name="_Toc301359674"/>
      <w:r>
        <w:rPr>
          <w:rFonts w:hint="eastAsia"/>
          <w:kern w:val="0"/>
        </w:rPr>
        <w:t>结构材料</w:t>
      </w:r>
      <w:bookmarkEnd w:id="617"/>
      <w:bookmarkEnd w:id="618"/>
      <w:bookmarkEnd w:id="619"/>
      <w:bookmarkEnd w:id="620"/>
      <w:bookmarkEnd w:id="621"/>
      <w:bookmarkEnd w:id="622"/>
      <w:bookmarkEnd w:id="623"/>
      <w:bookmarkEnd w:id="624"/>
      <w:bookmarkEnd w:id="625"/>
      <w:bookmarkEnd w:id="626"/>
      <w:bookmarkEnd w:id="627"/>
    </w:p>
    <w:p w14:paraId="602ED00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优化钢结构制作和安装方法；</w:t>
      </w:r>
    </w:p>
    <w:p w14:paraId="09C6B97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采取数字化技术，对大跨度结构等专项施工方案进行优化；</w:t>
      </w:r>
    </w:p>
    <w:p w14:paraId="62F8D494">
      <w:pPr>
        <w:pageBreakBefore w:val="0"/>
        <w:widowControl/>
        <w:numPr>
          <w:ilvl w:val="0"/>
          <w:numId w:val="52"/>
        </w:numPr>
        <w:kinsoku/>
        <w:wordWrap/>
        <w:overflowPunct/>
        <w:topLinePunct w:val="0"/>
        <w:autoSpaceDE/>
        <w:autoSpaceDN/>
        <w:bidi w:val="0"/>
        <w:spacing w:before="156" w:after="156" w:line="360" w:lineRule="auto"/>
        <w:ind w:left="142" w:firstLine="0"/>
        <w:jc w:val="both"/>
        <w:textAlignment w:val="auto"/>
        <w:rPr>
          <w:kern w:val="0"/>
        </w:rPr>
      </w:pPr>
      <w:bookmarkStart w:id="628" w:name="_Toc304224892"/>
      <w:bookmarkStart w:id="629" w:name="_Toc294645781"/>
      <w:bookmarkStart w:id="630" w:name="_Toc301275523"/>
      <w:bookmarkStart w:id="631" w:name="_Toc301706252"/>
      <w:bookmarkStart w:id="632" w:name="_Toc301447744"/>
      <w:bookmarkStart w:id="633" w:name="_Toc301706724"/>
      <w:bookmarkStart w:id="634" w:name="_Toc301359675"/>
      <w:bookmarkStart w:id="635" w:name="_Toc301468586"/>
      <w:bookmarkStart w:id="636" w:name="_Toc301706015"/>
      <w:bookmarkStart w:id="637" w:name="_Toc301277518"/>
      <w:bookmarkStart w:id="638" w:name="_Toc301707196"/>
      <w:r>
        <w:rPr>
          <w:rFonts w:hint="eastAsia"/>
          <w:kern w:val="0"/>
        </w:rPr>
        <w:t>周转材料</w:t>
      </w:r>
      <w:bookmarkEnd w:id="628"/>
      <w:bookmarkEnd w:id="629"/>
      <w:bookmarkEnd w:id="630"/>
      <w:bookmarkEnd w:id="631"/>
      <w:bookmarkEnd w:id="632"/>
      <w:bookmarkEnd w:id="633"/>
      <w:bookmarkEnd w:id="634"/>
      <w:bookmarkEnd w:id="635"/>
      <w:bookmarkEnd w:id="636"/>
      <w:bookmarkEnd w:id="637"/>
      <w:bookmarkEnd w:id="638"/>
    </w:p>
    <w:p w14:paraId="7D27DD6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选用耐用、维护与拆卸方便的周转材料和机具；</w:t>
      </w:r>
    </w:p>
    <w:p w14:paraId="0C21E84C">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pPr>
      <w:r>
        <w:rPr>
          <w:rFonts w:hint="eastAsia"/>
        </w:rPr>
        <w:t>节能与能源利用的技术</w:t>
      </w:r>
    </w:p>
    <w:p w14:paraId="21392FA9">
      <w:pPr>
        <w:pageBreakBefore w:val="0"/>
        <w:widowControl/>
        <w:numPr>
          <w:ilvl w:val="0"/>
          <w:numId w:val="53"/>
        </w:numPr>
        <w:kinsoku/>
        <w:wordWrap/>
        <w:overflowPunct/>
        <w:topLinePunct w:val="0"/>
        <w:autoSpaceDE/>
        <w:autoSpaceDN/>
        <w:bidi w:val="0"/>
        <w:spacing w:before="156" w:after="156" w:line="360" w:lineRule="auto"/>
        <w:ind w:left="142" w:firstLine="0"/>
        <w:jc w:val="both"/>
        <w:textAlignment w:val="auto"/>
        <w:rPr>
          <w:kern w:val="0"/>
        </w:rPr>
      </w:pPr>
      <w:bookmarkStart w:id="639" w:name="_Toc301359676"/>
      <w:bookmarkStart w:id="640" w:name="_Toc304224893"/>
      <w:bookmarkStart w:id="641" w:name="_Toc301707197"/>
      <w:bookmarkStart w:id="642" w:name="_Toc301447745"/>
      <w:bookmarkStart w:id="643" w:name="_Toc301277519"/>
      <w:bookmarkStart w:id="644" w:name="_Toc301706725"/>
      <w:bookmarkStart w:id="645" w:name="_Toc294645782"/>
      <w:bookmarkStart w:id="646" w:name="_Toc301468587"/>
      <w:bookmarkStart w:id="647" w:name="_Toc301706253"/>
      <w:bookmarkStart w:id="648" w:name="_Toc301706016"/>
      <w:bookmarkStart w:id="649" w:name="_Toc301275524"/>
      <w:r>
        <w:rPr>
          <w:rFonts w:hint="eastAsia"/>
          <w:kern w:val="0"/>
        </w:rPr>
        <w:t>节能措施</w:t>
      </w:r>
      <w:bookmarkEnd w:id="639"/>
      <w:bookmarkEnd w:id="640"/>
      <w:bookmarkEnd w:id="641"/>
      <w:bookmarkEnd w:id="642"/>
      <w:bookmarkEnd w:id="643"/>
      <w:bookmarkEnd w:id="644"/>
      <w:bookmarkEnd w:id="645"/>
      <w:bookmarkEnd w:id="646"/>
      <w:bookmarkEnd w:id="647"/>
      <w:bookmarkEnd w:id="648"/>
      <w:bookmarkEnd w:id="649"/>
    </w:p>
    <w:p w14:paraId="65A484C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制订合理施工能耗指标，提高施工能源利用率；</w:t>
      </w:r>
    </w:p>
    <w:p w14:paraId="0D53816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优先使用国家、行业推荐的节能、高效、环保的施工设备和机具，如选用变频技术的节能施工设备等；</w:t>
      </w:r>
    </w:p>
    <w:p w14:paraId="1C1A3617">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施工现场分别设定生产、生活、办公和施工设备的用电控制指标；</w:t>
      </w:r>
    </w:p>
    <w:p w14:paraId="042BF14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在施工组织设计中，合理安排施工顺序、工作面，以减少作业区域的机具数量，相邻作业区充分利用共有的机具资源。安排施工工艺时，优先考虑能耗较少的施工工艺。避免设备额定功率远大于使用功率或超负荷使用设备的现象。</w:t>
      </w:r>
    </w:p>
    <w:p w14:paraId="5C823CC1">
      <w:pPr>
        <w:pageBreakBefore w:val="0"/>
        <w:widowControl/>
        <w:numPr>
          <w:ilvl w:val="0"/>
          <w:numId w:val="53"/>
        </w:numPr>
        <w:kinsoku/>
        <w:wordWrap/>
        <w:overflowPunct/>
        <w:topLinePunct w:val="0"/>
        <w:autoSpaceDE/>
        <w:autoSpaceDN/>
        <w:bidi w:val="0"/>
        <w:spacing w:before="156" w:after="156" w:line="360" w:lineRule="auto"/>
        <w:ind w:left="142" w:firstLine="0"/>
        <w:jc w:val="both"/>
        <w:textAlignment w:val="auto"/>
        <w:rPr>
          <w:kern w:val="0"/>
        </w:rPr>
      </w:pPr>
      <w:bookmarkStart w:id="650" w:name="_Toc301275525"/>
      <w:bookmarkStart w:id="651" w:name="_Toc301706726"/>
      <w:bookmarkStart w:id="652" w:name="_Toc301277520"/>
      <w:bookmarkStart w:id="653" w:name="_Toc301468588"/>
      <w:bookmarkStart w:id="654" w:name="_Toc294645783"/>
      <w:bookmarkStart w:id="655" w:name="_Toc301707198"/>
      <w:bookmarkStart w:id="656" w:name="_Toc301706254"/>
      <w:bookmarkStart w:id="657" w:name="_Toc301447746"/>
      <w:bookmarkStart w:id="658" w:name="_Toc304224894"/>
      <w:bookmarkStart w:id="659" w:name="_Toc301706017"/>
      <w:bookmarkStart w:id="660" w:name="_Toc301359677"/>
      <w:r>
        <w:rPr>
          <w:rFonts w:hint="eastAsia"/>
          <w:kern w:val="0"/>
        </w:rPr>
        <w:t>机械设备与机具</w:t>
      </w:r>
      <w:bookmarkEnd w:id="650"/>
      <w:bookmarkEnd w:id="651"/>
      <w:bookmarkEnd w:id="652"/>
      <w:bookmarkEnd w:id="653"/>
      <w:bookmarkEnd w:id="654"/>
      <w:bookmarkEnd w:id="655"/>
      <w:bookmarkEnd w:id="656"/>
      <w:bookmarkEnd w:id="657"/>
      <w:bookmarkEnd w:id="658"/>
      <w:bookmarkEnd w:id="659"/>
      <w:bookmarkEnd w:id="660"/>
    </w:p>
    <w:p w14:paraId="70B3888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选择功率与负载相匹配的施工机械设备，避免大功率施工机械设备低负载长时间运行。安装采用节电型机械设备，机械设备使用节能型油料添加剂，在可能的情况下，考虑回收利用，节约油量；</w:t>
      </w:r>
    </w:p>
    <w:p w14:paraId="01A54E83">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合理安排工序，提高各种机械的使用率和满载率，降低各种设备的单位能耗。</w:t>
      </w:r>
    </w:p>
    <w:p w14:paraId="38488FE7">
      <w:pPr>
        <w:pageBreakBefore w:val="0"/>
        <w:widowControl/>
        <w:numPr>
          <w:ilvl w:val="0"/>
          <w:numId w:val="53"/>
        </w:numPr>
        <w:kinsoku/>
        <w:wordWrap/>
        <w:overflowPunct/>
        <w:topLinePunct w:val="0"/>
        <w:autoSpaceDE/>
        <w:autoSpaceDN/>
        <w:bidi w:val="0"/>
        <w:spacing w:before="156" w:after="156" w:line="360" w:lineRule="auto"/>
        <w:ind w:left="142" w:firstLine="0"/>
        <w:jc w:val="both"/>
        <w:textAlignment w:val="auto"/>
        <w:rPr>
          <w:kern w:val="0"/>
        </w:rPr>
      </w:pPr>
      <w:bookmarkStart w:id="661" w:name="_Toc301706255"/>
      <w:bookmarkStart w:id="662" w:name="_Toc301277521"/>
      <w:bookmarkStart w:id="663" w:name="_Toc301706727"/>
      <w:bookmarkStart w:id="664" w:name="_Toc301707199"/>
      <w:bookmarkStart w:id="665" w:name="_Toc301468589"/>
      <w:bookmarkStart w:id="666" w:name="_Toc301706018"/>
      <w:bookmarkStart w:id="667" w:name="_Toc304224895"/>
      <w:bookmarkStart w:id="668" w:name="_Toc301447747"/>
      <w:bookmarkStart w:id="669" w:name="_Toc301275526"/>
      <w:bookmarkStart w:id="670" w:name="_Toc301359678"/>
      <w:bookmarkStart w:id="671" w:name="_Toc294645784"/>
      <w:r>
        <w:rPr>
          <w:rFonts w:hint="eastAsia"/>
          <w:kern w:val="0"/>
        </w:rPr>
        <w:t>生产、办公临时设施</w:t>
      </w:r>
      <w:bookmarkEnd w:id="661"/>
      <w:bookmarkEnd w:id="662"/>
      <w:bookmarkEnd w:id="663"/>
      <w:bookmarkEnd w:id="664"/>
      <w:bookmarkEnd w:id="665"/>
      <w:bookmarkEnd w:id="666"/>
      <w:bookmarkEnd w:id="667"/>
      <w:bookmarkEnd w:id="668"/>
      <w:bookmarkEnd w:id="669"/>
      <w:bookmarkEnd w:id="670"/>
      <w:bookmarkEnd w:id="671"/>
    </w:p>
    <w:p w14:paraId="063AFB9B">
      <w:pPr>
        <w:pageBreakBefore w:val="0"/>
        <w:kinsoku/>
        <w:wordWrap/>
        <w:overflowPunct/>
        <w:topLinePunct w:val="0"/>
        <w:autoSpaceDE/>
        <w:autoSpaceDN/>
        <w:bidi w:val="0"/>
        <w:spacing w:before="120" w:after="120" w:line="360" w:lineRule="auto"/>
        <w:ind w:firstLine="484" w:firstLineChars="202"/>
        <w:textAlignment w:val="auto"/>
      </w:pPr>
      <w:r>
        <w:rPr>
          <w:rFonts w:hint="eastAsia"/>
        </w:rPr>
        <w:t>合理配置采暖、空调、风扇数量，规定使用时间，实行分段分时使用，节约用电。</w:t>
      </w:r>
    </w:p>
    <w:p w14:paraId="11F3E457">
      <w:pPr>
        <w:pageBreakBefore w:val="0"/>
        <w:widowControl/>
        <w:numPr>
          <w:ilvl w:val="0"/>
          <w:numId w:val="53"/>
        </w:numPr>
        <w:kinsoku/>
        <w:wordWrap/>
        <w:overflowPunct/>
        <w:topLinePunct w:val="0"/>
        <w:autoSpaceDE/>
        <w:autoSpaceDN/>
        <w:bidi w:val="0"/>
        <w:spacing w:before="156" w:after="156" w:line="360" w:lineRule="auto"/>
        <w:ind w:left="142" w:firstLine="0"/>
        <w:jc w:val="both"/>
        <w:textAlignment w:val="auto"/>
        <w:rPr>
          <w:kern w:val="0"/>
        </w:rPr>
      </w:pPr>
      <w:bookmarkStart w:id="672" w:name="_Toc294645785"/>
      <w:bookmarkStart w:id="673" w:name="_Toc301359679"/>
      <w:bookmarkStart w:id="674" w:name="_Toc301707200"/>
      <w:bookmarkStart w:id="675" w:name="_Toc301275527"/>
      <w:bookmarkStart w:id="676" w:name="_Toc301706256"/>
      <w:bookmarkStart w:id="677" w:name="_Toc301468590"/>
      <w:bookmarkStart w:id="678" w:name="_Toc301277522"/>
      <w:bookmarkStart w:id="679" w:name="_Toc301706728"/>
      <w:bookmarkStart w:id="680" w:name="_Toc304224896"/>
      <w:bookmarkStart w:id="681" w:name="_Toc301447748"/>
      <w:bookmarkStart w:id="682" w:name="_Toc301706019"/>
      <w:r>
        <w:rPr>
          <w:rFonts w:hint="eastAsia"/>
          <w:kern w:val="0"/>
        </w:rPr>
        <w:t>施工用电及照明</w:t>
      </w:r>
      <w:bookmarkEnd w:id="672"/>
      <w:bookmarkEnd w:id="673"/>
      <w:bookmarkEnd w:id="674"/>
      <w:bookmarkEnd w:id="675"/>
      <w:bookmarkEnd w:id="676"/>
      <w:bookmarkEnd w:id="677"/>
      <w:bookmarkEnd w:id="678"/>
      <w:bookmarkEnd w:id="679"/>
      <w:bookmarkEnd w:id="680"/>
      <w:bookmarkEnd w:id="681"/>
      <w:bookmarkEnd w:id="682"/>
    </w:p>
    <w:p w14:paraId="7ABED8F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临时用电优先选用节能电线和节能灯具，临电线路设计、布置合理；</w:t>
      </w:r>
    </w:p>
    <w:p w14:paraId="7BFDF22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照明设计以满足最低照度为原则，照度不应超过最低照度的20％。</w:t>
      </w:r>
    </w:p>
    <w:p w14:paraId="20951BD6">
      <w:pPr>
        <w:pStyle w:val="12"/>
        <w:pageBreakBefore w:val="0"/>
        <w:numPr>
          <w:ilvl w:val="4"/>
          <w:numId w:val="12"/>
        </w:numPr>
        <w:kinsoku/>
        <w:wordWrap/>
        <w:overflowPunct/>
        <w:topLinePunct w:val="0"/>
        <w:autoSpaceDE/>
        <w:autoSpaceDN/>
        <w:bidi w:val="0"/>
        <w:spacing w:line="360" w:lineRule="auto"/>
        <w:textAlignment w:val="auto"/>
      </w:pPr>
      <w:bookmarkStart w:id="683" w:name="_Toc294645786"/>
      <w:bookmarkStart w:id="684" w:name="_Toc304224897"/>
      <w:bookmarkStart w:id="685" w:name="_Toc304225403"/>
      <w:bookmarkStart w:id="686" w:name="_Toc304225065"/>
      <w:bookmarkStart w:id="687" w:name="_Toc301706257"/>
      <w:bookmarkStart w:id="688" w:name="_Toc301447749"/>
      <w:bookmarkStart w:id="689" w:name="_Toc299376063"/>
      <w:bookmarkStart w:id="690" w:name="_Toc301707201"/>
      <w:bookmarkStart w:id="691" w:name="_Toc301359680"/>
      <w:bookmarkStart w:id="692" w:name="_Toc301277523"/>
      <w:bookmarkStart w:id="693" w:name="_Toc301706020"/>
      <w:bookmarkStart w:id="694" w:name="_Toc301275528"/>
      <w:bookmarkStart w:id="695" w:name="_Toc301468591"/>
      <w:bookmarkStart w:id="696" w:name="_Toc1335308553"/>
      <w:bookmarkStart w:id="697" w:name="_Toc301706729"/>
      <w:r>
        <w:rPr>
          <w:rFonts w:hint="eastAsia"/>
        </w:rPr>
        <w:t>顺利实施的技术保障措施</w:t>
      </w:r>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14:paraId="7BE0088B">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加强技术交底。加强技术管理，认真贯彻学习国家标准规范、相关行业规范及各项质量管理制度，建立岗位责任制，熟悉各类施工图纸，组织各部门召开技术交底会，通过书面和口头相结合的方法，做好技术交底工作，交底要结合操作部位，务求细致齐全，关键部位、施工难点、安全要求等要进行详细的交底，并对施工难点和重点进行讲解，最终必须以书面形式加以落实；</w:t>
      </w:r>
    </w:p>
    <w:p w14:paraId="6194F7E8">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在项目管理组的领导下，项目组对本项目工程实行全面管理。项目组下设施工管理层和施工作业层，分别配备有丰富经验和高技术水平的工程师；</w:t>
      </w:r>
    </w:p>
    <w:p w14:paraId="40FE4A34">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施工组织设计会审。在原有设计基础上，根据工程特点、使用材料的特点和现场条件，组织工程技术人员认真领会设计师的设计意图，全面掌握施工方案的内容，提出方便施工的合理化建议。</w:t>
      </w:r>
    </w:p>
    <w:p w14:paraId="46EC8055">
      <w:pPr>
        <w:pStyle w:val="12"/>
        <w:pageBreakBefore w:val="0"/>
        <w:numPr>
          <w:ilvl w:val="4"/>
          <w:numId w:val="12"/>
        </w:numPr>
        <w:kinsoku/>
        <w:wordWrap/>
        <w:overflowPunct/>
        <w:topLinePunct w:val="0"/>
        <w:autoSpaceDE/>
        <w:autoSpaceDN/>
        <w:bidi w:val="0"/>
        <w:spacing w:line="360" w:lineRule="auto"/>
        <w:textAlignment w:val="auto"/>
      </w:pPr>
      <w:bookmarkStart w:id="698" w:name="_Toc966912048"/>
      <w:bookmarkStart w:id="699" w:name="_Toc301359688"/>
      <w:bookmarkStart w:id="700" w:name="_Toc301277531"/>
      <w:bookmarkStart w:id="701" w:name="_Toc301706265"/>
      <w:bookmarkStart w:id="702" w:name="_Toc299376068"/>
      <w:bookmarkStart w:id="703" w:name="_Toc301468599"/>
      <w:bookmarkStart w:id="704" w:name="_Toc301707209"/>
      <w:bookmarkStart w:id="705" w:name="_Toc301706028"/>
      <w:bookmarkStart w:id="706" w:name="_Toc301706737"/>
      <w:bookmarkStart w:id="707" w:name="_Toc304225070"/>
      <w:bookmarkStart w:id="708" w:name="_Toc301447757"/>
      <w:bookmarkStart w:id="709" w:name="_Toc294645794"/>
      <w:bookmarkStart w:id="710" w:name="_Toc301275536"/>
      <w:bookmarkStart w:id="711" w:name="_Toc304224905"/>
      <w:bookmarkStart w:id="712" w:name="_Toc304225408"/>
      <w:r>
        <w:rPr>
          <w:rFonts w:hint="eastAsia"/>
        </w:rPr>
        <w:t>文明施工保证措施</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37B1192E">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遵章施工。遵守当地有关市容、场容管理制度，加强现场用水、排污的管理，做到场地整洁，搞好现场清洁卫生。</w:t>
      </w:r>
    </w:p>
    <w:p w14:paraId="59893CB8">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场地整齐。进入施工现场的各种设备，均须按指定位置，堆放整齐，不得随意乱放，以保证道路畅通。</w:t>
      </w:r>
    </w:p>
    <w:p w14:paraId="2CF26933">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工完料清。对施工人员进行教育，做到谁做谁清，工完料清，场地干净。</w:t>
      </w:r>
    </w:p>
    <w:p w14:paraId="06A20CB6">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劳动保护。做好劳动保护，合理安排作息时间，配置预备力量。</w:t>
      </w:r>
    </w:p>
    <w:p w14:paraId="6B790D29">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责任包干。施工现场实行分片包干责任制，划分区域，定期检查，提高现场工作人员文明施工的自觉性。</w:t>
      </w:r>
    </w:p>
    <w:p w14:paraId="7B16C6D0">
      <w:pPr>
        <w:pStyle w:val="12"/>
        <w:pageBreakBefore w:val="0"/>
        <w:numPr>
          <w:ilvl w:val="4"/>
          <w:numId w:val="12"/>
        </w:numPr>
        <w:kinsoku/>
        <w:wordWrap/>
        <w:overflowPunct/>
        <w:topLinePunct w:val="0"/>
        <w:autoSpaceDE/>
        <w:autoSpaceDN/>
        <w:bidi w:val="0"/>
        <w:spacing w:line="360" w:lineRule="auto"/>
        <w:textAlignment w:val="auto"/>
      </w:pPr>
      <w:bookmarkStart w:id="713" w:name="_Toc301468600"/>
      <w:bookmarkStart w:id="714" w:name="_Toc301277532"/>
      <w:bookmarkStart w:id="715" w:name="_Toc304225071"/>
      <w:bookmarkStart w:id="716" w:name="_Toc301275537"/>
      <w:bookmarkStart w:id="717" w:name="_Toc294645795"/>
      <w:bookmarkStart w:id="718" w:name="_Toc301706029"/>
      <w:bookmarkStart w:id="719" w:name="_Toc1191814764"/>
      <w:bookmarkStart w:id="720" w:name="_Toc304224906"/>
      <w:bookmarkStart w:id="721" w:name="_Toc301359689"/>
      <w:bookmarkStart w:id="722" w:name="_Toc301706266"/>
      <w:bookmarkStart w:id="723" w:name="_Toc304225409"/>
      <w:bookmarkStart w:id="724" w:name="_Toc301707210"/>
      <w:bookmarkStart w:id="725" w:name="_Toc301706738"/>
      <w:bookmarkStart w:id="726" w:name="_Toc301447758"/>
      <w:bookmarkStart w:id="727" w:name="_Toc299376069"/>
      <w:r>
        <w:rPr>
          <w:rFonts w:hint="eastAsia"/>
        </w:rPr>
        <w:t>消防保卫保证措施</w:t>
      </w:r>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7DB617F1">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组织明确。由项目经理牵头组成现场消防保卫小组，并定专人负责消防保卫日常检查和监督。</w:t>
      </w:r>
    </w:p>
    <w:p w14:paraId="659CBED8">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建立现场巡逻检查制度。所有施工人员均须佩戴工作卡，闲杂人员不得进入施工现场。</w:t>
      </w:r>
    </w:p>
    <w:p w14:paraId="45596903">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消防设备及通道检查。消防设备应经常检查，保持良好的工作状态；时刻保证消防通道的畅通。</w:t>
      </w:r>
    </w:p>
    <w:p w14:paraId="627C5B74">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慎用明火。严格执行动火审批制度，凡有明火处以及易燃材料存放处，应配备足够的灭火器材，周围无易燃物，并由专人负责管理。</w:t>
      </w:r>
    </w:p>
    <w:p w14:paraId="2361D9E2">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消防培训。学习消防知识，进行岗位练兵，熟悉使用各种消防器材。</w:t>
      </w:r>
    </w:p>
    <w:p w14:paraId="3C83FA64">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pPr>
      <w:r>
        <w:rPr>
          <w:rFonts w:hint="eastAsia"/>
        </w:rPr>
        <w:t>用电安全。办公区的照明电路皆由专业电工按规定架设，任何人不得乱拉电线。办公区严禁使用电炉、电热水器等。</w:t>
      </w:r>
    </w:p>
    <w:p w14:paraId="1CD9BCB3">
      <w:pPr>
        <w:pageBreakBefore w:val="0"/>
        <w:kinsoku/>
        <w:wordWrap/>
        <w:overflowPunct/>
        <w:topLinePunct w:val="0"/>
        <w:autoSpaceDE/>
        <w:autoSpaceDN/>
        <w:bidi w:val="0"/>
        <w:spacing w:before="120" w:after="120" w:line="360" w:lineRule="auto"/>
        <w:ind w:firstLine="420"/>
        <w:textAlignment w:val="auto"/>
      </w:pPr>
      <w:r>
        <w:rPr>
          <w:rFonts w:hint="eastAsia"/>
        </w:rPr>
        <w:br w:type="page"/>
      </w:r>
    </w:p>
    <w:p w14:paraId="04EE248E">
      <w:pPr>
        <w:pStyle w:val="9"/>
        <w:pageBreakBefore w:val="0"/>
        <w:numPr>
          <w:ilvl w:val="2"/>
          <w:numId w:val="12"/>
        </w:numPr>
        <w:tabs>
          <w:tab w:val="left" w:pos="0"/>
        </w:tabs>
        <w:kinsoku/>
        <w:wordWrap/>
        <w:overflowPunct/>
        <w:topLinePunct w:val="0"/>
        <w:autoSpaceDE/>
        <w:autoSpaceDN/>
        <w:bidi w:val="0"/>
        <w:spacing w:line="360" w:lineRule="auto"/>
        <w:textAlignment w:val="auto"/>
      </w:pPr>
      <w:bookmarkStart w:id="728" w:name="_Toc372204434"/>
      <w:bookmarkStart w:id="729" w:name="_Toc1470946472"/>
      <w:bookmarkStart w:id="730" w:name="_Toc1123435081"/>
      <w:r>
        <w:rPr>
          <w:rFonts w:hint="eastAsia"/>
        </w:rPr>
        <w:t>培训组织方案</w:t>
      </w:r>
      <w:bookmarkEnd w:id="728"/>
      <w:bookmarkEnd w:id="729"/>
      <w:bookmarkEnd w:id="730"/>
    </w:p>
    <w:p w14:paraId="21DDCD13">
      <w:pPr>
        <w:pageBreakBefore w:val="0"/>
        <w:kinsoku/>
        <w:wordWrap/>
        <w:overflowPunct/>
        <w:topLinePunct w:val="0"/>
        <w:autoSpaceDE/>
        <w:autoSpaceDN/>
        <w:bidi w:val="0"/>
        <w:spacing w:before="120" w:after="120" w:line="360" w:lineRule="auto"/>
        <w:ind w:firstLine="420"/>
        <w:textAlignment w:val="auto"/>
      </w:pPr>
      <w:r>
        <w:rPr>
          <w:rFonts w:hint="eastAsia"/>
        </w:rPr>
        <w:t>我司为甲方各级用户正确使用本系统提供免费培训和指导，包括系统操作使用培训和操作指导，并有完整的培训手册。培训课程安排在整个项目计划的合适时间段内，针对不同的培训对象开展相应的培训工作，在培训前我司培训导师提前制定培训方案和培训计划，并根据实际情况，合理安排培训时间及地点，适时的开展相关培训和知识转移，对用户提出所有问题包括操作和功能上的问题提供指导。</w:t>
      </w:r>
    </w:p>
    <w:p w14:paraId="08BBC2EA">
      <w:pPr>
        <w:pageBreakBefore w:val="0"/>
        <w:kinsoku/>
        <w:wordWrap/>
        <w:overflowPunct/>
        <w:topLinePunct w:val="0"/>
        <w:autoSpaceDE/>
        <w:autoSpaceDN/>
        <w:bidi w:val="0"/>
        <w:spacing w:before="120" w:after="120" w:line="360" w:lineRule="auto"/>
        <w:ind w:firstLine="420"/>
        <w:textAlignment w:val="auto"/>
      </w:pPr>
      <w:r>
        <w:rPr>
          <w:rFonts w:hint="eastAsia"/>
        </w:rPr>
        <w:t>培训方式可采用线上、线下相结合，线下地点以甲方实际要求为准等。</w:t>
      </w:r>
    </w:p>
    <w:p w14:paraId="11F03D1A">
      <w:pPr>
        <w:pStyle w:val="10"/>
        <w:pageBreakBefore w:val="0"/>
        <w:numPr>
          <w:ilvl w:val="3"/>
          <w:numId w:val="12"/>
        </w:numPr>
        <w:kinsoku/>
        <w:wordWrap/>
        <w:overflowPunct/>
        <w:topLinePunct w:val="0"/>
        <w:autoSpaceDE/>
        <w:autoSpaceDN/>
        <w:bidi w:val="0"/>
        <w:spacing w:line="360" w:lineRule="auto"/>
        <w:textAlignment w:val="auto"/>
      </w:pPr>
      <w:bookmarkStart w:id="731" w:name="_Toc99133932"/>
      <w:bookmarkStart w:id="732" w:name="_Toc1430164824"/>
      <w:r>
        <w:rPr>
          <w:rFonts w:hint="eastAsia"/>
        </w:rPr>
        <w:t>培训目的</w:t>
      </w:r>
      <w:bookmarkEnd w:id="731"/>
      <w:bookmarkEnd w:id="732"/>
    </w:p>
    <w:p w14:paraId="5B0212AF">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我司培训甲方的相关业务、技术人员。使相关人员能够更加清晰、明了的使用我司软硬件系统等并加以维护，同时也让维护人员能够自己处理简单的异常。</w:t>
      </w:r>
    </w:p>
    <w:p w14:paraId="4B12035B">
      <w:pPr>
        <w:pStyle w:val="10"/>
        <w:pageBreakBefore w:val="0"/>
        <w:numPr>
          <w:ilvl w:val="3"/>
          <w:numId w:val="12"/>
        </w:numPr>
        <w:kinsoku/>
        <w:wordWrap/>
        <w:overflowPunct/>
        <w:topLinePunct w:val="0"/>
        <w:autoSpaceDE/>
        <w:autoSpaceDN/>
        <w:bidi w:val="0"/>
        <w:spacing w:line="360" w:lineRule="auto"/>
        <w:textAlignment w:val="auto"/>
        <w:rPr>
          <w:rFonts w:cs="Arial"/>
        </w:rPr>
      </w:pPr>
      <w:bookmarkStart w:id="733" w:name="_Toc1840458193"/>
      <w:bookmarkStart w:id="734" w:name="_Toc1578108119"/>
      <w:r>
        <w:rPr>
          <w:rFonts w:hint="eastAsia"/>
        </w:rPr>
        <w:t>培训内容</w:t>
      </w:r>
      <w:bookmarkEnd w:id="733"/>
      <w:bookmarkEnd w:id="734"/>
    </w:p>
    <w:p w14:paraId="4719E63A">
      <w:pPr>
        <w:pageBreakBefore w:val="0"/>
        <w:kinsoku/>
        <w:wordWrap/>
        <w:overflowPunct/>
        <w:topLinePunct w:val="0"/>
        <w:autoSpaceDE/>
        <w:autoSpaceDN/>
        <w:bidi w:val="0"/>
        <w:spacing w:line="360" w:lineRule="auto"/>
        <w:ind w:firstLine="720" w:firstLineChars="300"/>
        <w:textAlignment w:val="auto"/>
      </w:pPr>
      <w:r>
        <w:rPr>
          <w:rFonts w:hint="eastAsia"/>
        </w:rPr>
        <w:t>针对</w:t>
      </w:r>
      <w:r>
        <w:rPr>
          <w:rFonts w:hint="eastAsia" w:cs="仿宋"/>
        </w:rPr>
        <w:t>“盒条件”关联管理系统，</w:t>
      </w:r>
      <w:r>
        <w:rPr>
          <w:rFonts w:hint="eastAsia"/>
        </w:rPr>
        <w:t>编制培训大纲，对培训课程进行详细设计与说明，包括系统功能培训、安装调试培训、操作规范培训等。</w:t>
      </w:r>
    </w:p>
    <w:p w14:paraId="605303D8">
      <w:pPr>
        <w:pStyle w:val="12"/>
        <w:pageBreakBefore w:val="0"/>
        <w:numPr>
          <w:ilvl w:val="4"/>
          <w:numId w:val="12"/>
        </w:numPr>
        <w:kinsoku/>
        <w:wordWrap/>
        <w:overflowPunct/>
        <w:topLinePunct w:val="0"/>
        <w:autoSpaceDE/>
        <w:autoSpaceDN/>
        <w:bidi w:val="0"/>
        <w:spacing w:line="360" w:lineRule="auto"/>
        <w:textAlignment w:val="auto"/>
        <w:rPr>
          <w:lang w:eastAsia="zh-CN"/>
        </w:rPr>
      </w:pPr>
      <w:bookmarkStart w:id="735" w:name="_Toc1315605165"/>
      <w:r>
        <w:rPr>
          <w:rFonts w:hint="eastAsia"/>
          <w:lang w:eastAsia="zh-CN"/>
        </w:rPr>
        <w:t>整体培训</w:t>
      </w:r>
      <w:bookmarkEnd w:id="735"/>
    </w:p>
    <w:tbl>
      <w:tblPr>
        <w:tblStyle w:val="43"/>
        <w:tblW w:w="8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2474"/>
        <w:gridCol w:w="1302"/>
        <w:gridCol w:w="1195"/>
        <w:gridCol w:w="1592"/>
        <w:gridCol w:w="884"/>
      </w:tblGrid>
      <w:tr w14:paraId="53085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tcBorders>
              <w:top w:val="single" w:color="auto" w:sz="4" w:space="0"/>
              <w:left w:val="single" w:color="auto" w:sz="4" w:space="0"/>
              <w:bottom w:val="single" w:color="auto" w:sz="4" w:space="0"/>
              <w:right w:val="single" w:color="auto" w:sz="4" w:space="0"/>
            </w:tcBorders>
            <w:shd w:val="clear" w:color="auto" w:fill="F1F1F1"/>
            <w:vAlign w:val="center"/>
          </w:tcPr>
          <w:p w14:paraId="79473AF7">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培训</w:t>
            </w:r>
          </w:p>
          <w:p w14:paraId="45FE1CE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项目</w:t>
            </w:r>
          </w:p>
        </w:tc>
        <w:tc>
          <w:tcPr>
            <w:tcW w:w="2474" w:type="dxa"/>
            <w:tcBorders>
              <w:top w:val="single" w:color="auto" w:sz="4" w:space="0"/>
              <w:left w:val="single" w:color="auto" w:sz="4" w:space="0"/>
              <w:bottom w:val="single" w:color="auto" w:sz="4" w:space="0"/>
              <w:right w:val="single" w:color="auto" w:sz="4" w:space="0"/>
            </w:tcBorders>
            <w:shd w:val="clear" w:color="auto" w:fill="F1F1F1"/>
            <w:vAlign w:val="center"/>
          </w:tcPr>
          <w:p w14:paraId="2790818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培训内容</w:t>
            </w:r>
          </w:p>
        </w:tc>
        <w:tc>
          <w:tcPr>
            <w:tcW w:w="1302" w:type="dxa"/>
            <w:tcBorders>
              <w:top w:val="single" w:color="auto" w:sz="4" w:space="0"/>
              <w:left w:val="single" w:color="auto" w:sz="4" w:space="0"/>
              <w:bottom w:val="single" w:color="auto" w:sz="4" w:space="0"/>
              <w:right w:val="single" w:color="auto" w:sz="4" w:space="0"/>
            </w:tcBorders>
            <w:shd w:val="clear" w:color="auto" w:fill="F1F1F1"/>
            <w:vAlign w:val="center"/>
          </w:tcPr>
          <w:p w14:paraId="0809496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教材</w:t>
            </w:r>
          </w:p>
        </w:tc>
        <w:tc>
          <w:tcPr>
            <w:tcW w:w="1195" w:type="dxa"/>
            <w:tcBorders>
              <w:top w:val="single" w:color="auto" w:sz="4" w:space="0"/>
              <w:left w:val="single" w:color="auto" w:sz="4" w:space="0"/>
              <w:bottom w:val="single" w:color="auto" w:sz="4" w:space="0"/>
              <w:right w:val="single" w:color="auto" w:sz="4" w:space="0"/>
            </w:tcBorders>
            <w:shd w:val="clear" w:color="auto" w:fill="F1F1F1"/>
            <w:vAlign w:val="center"/>
          </w:tcPr>
          <w:p w14:paraId="39EE97C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主讲人</w:t>
            </w:r>
          </w:p>
        </w:tc>
        <w:tc>
          <w:tcPr>
            <w:tcW w:w="1592" w:type="dxa"/>
            <w:tcBorders>
              <w:top w:val="single" w:color="auto" w:sz="4" w:space="0"/>
              <w:left w:val="single" w:color="auto" w:sz="4" w:space="0"/>
              <w:bottom w:val="single" w:color="auto" w:sz="4" w:space="0"/>
              <w:right w:val="single" w:color="auto" w:sz="4" w:space="0"/>
            </w:tcBorders>
            <w:shd w:val="clear" w:color="auto" w:fill="F1F1F1"/>
            <w:vAlign w:val="center"/>
          </w:tcPr>
          <w:p w14:paraId="28E8844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参加人员要求</w:t>
            </w:r>
          </w:p>
        </w:tc>
        <w:tc>
          <w:tcPr>
            <w:tcW w:w="884" w:type="dxa"/>
            <w:tcBorders>
              <w:top w:val="single" w:color="auto" w:sz="4" w:space="0"/>
              <w:left w:val="single" w:color="auto" w:sz="4" w:space="0"/>
              <w:bottom w:val="single" w:color="auto" w:sz="4" w:space="0"/>
              <w:right w:val="single" w:color="auto" w:sz="4" w:space="0"/>
            </w:tcBorders>
            <w:shd w:val="clear" w:color="auto" w:fill="F1F1F1"/>
            <w:vAlign w:val="center"/>
          </w:tcPr>
          <w:p w14:paraId="3544D1FB">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备注</w:t>
            </w:r>
          </w:p>
        </w:tc>
      </w:tr>
      <w:tr w14:paraId="07754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restart"/>
            <w:tcBorders>
              <w:top w:val="single" w:color="auto" w:sz="4" w:space="0"/>
              <w:left w:val="single" w:color="auto" w:sz="4" w:space="0"/>
              <w:bottom w:val="single" w:color="auto" w:sz="4" w:space="0"/>
              <w:right w:val="single" w:color="auto" w:sz="4" w:space="0"/>
            </w:tcBorders>
            <w:vAlign w:val="center"/>
          </w:tcPr>
          <w:p w14:paraId="18E06EE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功能</w:t>
            </w:r>
          </w:p>
          <w:p w14:paraId="1AC2DE3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培训</w:t>
            </w:r>
          </w:p>
        </w:tc>
        <w:tc>
          <w:tcPr>
            <w:tcW w:w="2474" w:type="dxa"/>
            <w:tcBorders>
              <w:top w:val="single" w:color="auto" w:sz="4" w:space="0"/>
              <w:left w:val="single" w:color="auto" w:sz="4" w:space="0"/>
              <w:bottom w:val="single" w:color="auto" w:sz="4" w:space="0"/>
              <w:right w:val="single" w:color="auto" w:sz="4" w:space="0"/>
            </w:tcBorders>
            <w:vAlign w:val="center"/>
          </w:tcPr>
          <w:p w14:paraId="1156561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工作原理</w:t>
            </w:r>
          </w:p>
        </w:tc>
        <w:tc>
          <w:tcPr>
            <w:tcW w:w="1302" w:type="dxa"/>
            <w:vMerge w:val="restart"/>
            <w:tcBorders>
              <w:top w:val="single" w:color="auto" w:sz="4" w:space="0"/>
              <w:left w:val="single" w:color="auto" w:sz="4" w:space="0"/>
              <w:bottom w:val="single" w:color="auto" w:sz="4" w:space="0"/>
              <w:right w:val="single" w:color="auto" w:sz="4" w:space="0"/>
            </w:tcBorders>
            <w:vAlign w:val="center"/>
          </w:tcPr>
          <w:p w14:paraId="15590F6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操作手册</w:t>
            </w:r>
          </w:p>
        </w:tc>
        <w:tc>
          <w:tcPr>
            <w:tcW w:w="1195" w:type="dxa"/>
            <w:vMerge w:val="restart"/>
            <w:tcBorders>
              <w:top w:val="single" w:color="auto" w:sz="4" w:space="0"/>
              <w:left w:val="single" w:color="auto" w:sz="4" w:space="0"/>
              <w:bottom w:val="single" w:color="auto" w:sz="4" w:space="0"/>
              <w:right w:val="single" w:color="auto" w:sz="4" w:space="0"/>
            </w:tcBorders>
            <w:vAlign w:val="center"/>
          </w:tcPr>
          <w:p w14:paraId="393961B7">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厂家工程师/研发者</w:t>
            </w:r>
          </w:p>
        </w:tc>
        <w:tc>
          <w:tcPr>
            <w:tcW w:w="1592" w:type="dxa"/>
            <w:vMerge w:val="restart"/>
            <w:tcBorders>
              <w:top w:val="single" w:color="auto" w:sz="4" w:space="0"/>
              <w:left w:val="single" w:color="auto" w:sz="4" w:space="0"/>
              <w:bottom w:val="single" w:color="auto" w:sz="4" w:space="0"/>
              <w:right w:val="single" w:color="auto" w:sz="4" w:space="0"/>
            </w:tcBorders>
            <w:vAlign w:val="center"/>
          </w:tcPr>
          <w:p w14:paraId="3D81006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责任操作者/维修技术员</w:t>
            </w:r>
          </w:p>
        </w:tc>
        <w:tc>
          <w:tcPr>
            <w:tcW w:w="884" w:type="dxa"/>
            <w:vMerge w:val="restart"/>
            <w:tcBorders>
              <w:top w:val="single" w:color="auto" w:sz="4" w:space="0"/>
              <w:left w:val="single" w:color="auto" w:sz="4" w:space="0"/>
              <w:bottom w:val="single" w:color="auto" w:sz="4" w:space="0"/>
              <w:right w:val="single" w:color="auto" w:sz="4" w:space="0"/>
            </w:tcBorders>
            <w:vAlign w:val="center"/>
          </w:tcPr>
          <w:p w14:paraId="5450D834">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技师/大专以上</w:t>
            </w:r>
          </w:p>
        </w:tc>
      </w:tr>
      <w:tr w14:paraId="5C3AB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5714206B">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255C20B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设备配置</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396796C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165E123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6D7DE78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07C8B536">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34B71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3DF1C11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584FFFF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功能应用</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5D1424F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4EB3E49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566490D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68A49B9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603C7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39863F8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660EE9B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故障排除</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3570FA3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7AC914E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1710D18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70718D7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07A18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restart"/>
            <w:tcBorders>
              <w:top w:val="single" w:color="auto" w:sz="4" w:space="0"/>
              <w:left w:val="single" w:color="auto" w:sz="4" w:space="0"/>
              <w:bottom w:val="single" w:color="auto" w:sz="4" w:space="0"/>
              <w:right w:val="single" w:color="auto" w:sz="4" w:space="0"/>
            </w:tcBorders>
            <w:vAlign w:val="center"/>
          </w:tcPr>
          <w:p w14:paraId="05E3540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操作培训</w:t>
            </w:r>
          </w:p>
        </w:tc>
        <w:tc>
          <w:tcPr>
            <w:tcW w:w="2474" w:type="dxa"/>
            <w:tcBorders>
              <w:top w:val="single" w:color="auto" w:sz="4" w:space="0"/>
              <w:left w:val="single" w:color="auto" w:sz="4" w:space="0"/>
              <w:bottom w:val="single" w:color="auto" w:sz="4" w:space="0"/>
              <w:right w:val="single" w:color="auto" w:sz="4" w:space="0"/>
            </w:tcBorders>
            <w:vAlign w:val="center"/>
          </w:tcPr>
          <w:p w14:paraId="50986C47">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流程</w:t>
            </w:r>
          </w:p>
        </w:tc>
        <w:tc>
          <w:tcPr>
            <w:tcW w:w="1302" w:type="dxa"/>
            <w:vMerge w:val="restart"/>
            <w:tcBorders>
              <w:top w:val="single" w:color="auto" w:sz="4" w:space="0"/>
              <w:left w:val="single" w:color="auto" w:sz="4" w:space="0"/>
              <w:bottom w:val="single" w:color="auto" w:sz="4" w:space="0"/>
              <w:right w:val="single" w:color="auto" w:sz="4" w:space="0"/>
            </w:tcBorders>
            <w:vAlign w:val="center"/>
          </w:tcPr>
          <w:p w14:paraId="27A1C1D9">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操作手册</w:t>
            </w:r>
          </w:p>
        </w:tc>
        <w:tc>
          <w:tcPr>
            <w:tcW w:w="1195" w:type="dxa"/>
            <w:vMerge w:val="restart"/>
            <w:tcBorders>
              <w:top w:val="single" w:color="auto" w:sz="4" w:space="0"/>
              <w:left w:val="single" w:color="auto" w:sz="4" w:space="0"/>
              <w:bottom w:val="single" w:color="auto" w:sz="4" w:space="0"/>
              <w:right w:val="single" w:color="auto" w:sz="4" w:space="0"/>
            </w:tcBorders>
            <w:vAlign w:val="center"/>
          </w:tcPr>
          <w:p w14:paraId="6CD7449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厂家工程师/研发者</w:t>
            </w:r>
          </w:p>
        </w:tc>
        <w:tc>
          <w:tcPr>
            <w:tcW w:w="1592" w:type="dxa"/>
            <w:vMerge w:val="restart"/>
            <w:tcBorders>
              <w:top w:val="single" w:color="auto" w:sz="4" w:space="0"/>
              <w:left w:val="single" w:color="auto" w:sz="4" w:space="0"/>
              <w:bottom w:val="single" w:color="auto" w:sz="4" w:space="0"/>
              <w:right w:val="single" w:color="auto" w:sz="4" w:space="0"/>
            </w:tcBorders>
            <w:vAlign w:val="center"/>
          </w:tcPr>
          <w:p w14:paraId="41A5990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责任操作者/维修技术员</w:t>
            </w:r>
          </w:p>
        </w:tc>
        <w:tc>
          <w:tcPr>
            <w:tcW w:w="884" w:type="dxa"/>
            <w:vMerge w:val="restart"/>
            <w:tcBorders>
              <w:top w:val="single" w:color="auto" w:sz="4" w:space="0"/>
              <w:left w:val="single" w:color="auto" w:sz="4" w:space="0"/>
              <w:bottom w:val="single" w:color="auto" w:sz="4" w:space="0"/>
              <w:right w:val="single" w:color="auto" w:sz="4" w:space="0"/>
            </w:tcBorders>
            <w:vAlign w:val="center"/>
          </w:tcPr>
          <w:p w14:paraId="353DFA76">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技师/大专以上</w:t>
            </w:r>
          </w:p>
        </w:tc>
      </w:tr>
      <w:tr w14:paraId="51C45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590B393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30C2A75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软件使用</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16D4D3A4">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0DBD8B5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0BEC18E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27F45AA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3AE00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362EFC0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3B59F6D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设备操作及复原</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12AEBFD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1207D70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5C33F01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2DA4B0C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28485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14350A6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15D0AA2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窗体操作</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2E9AD48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1A0D3C9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0BE86FF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462EC921">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1C811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1029E3D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18F1A05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异常处理</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44BE3EE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2C12AF5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3351E38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570CC5A9">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46344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restart"/>
            <w:tcBorders>
              <w:top w:val="single" w:color="auto" w:sz="4" w:space="0"/>
              <w:left w:val="single" w:color="auto" w:sz="4" w:space="0"/>
              <w:bottom w:val="single" w:color="auto" w:sz="4" w:space="0"/>
              <w:right w:val="single" w:color="auto" w:sz="4" w:space="0"/>
            </w:tcBorders>
            <w:vAlign w:val="center"/>
          </w:tcPr>
          <w:p w14:paraId="03CA9331">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电控培训</w:t>
            </w:r>
          </w:p>
        </w:tc>
        <w:tc>
          <w:tcPr>
            <w:tcW w:w="2474" w:type="dxa"/>
            <w:tcBorders>
              <w:top w:val="single" w:color="auto" w:sz="4" w:space="0"/>
              <w:left w:val="single" w:color="auto" w:sz="4" w:space="0"/>
              <w:bottom w:val="single" w:color="auto" w:sz="4" w:space="0"/>
              <w:right w:val="single" w:color="auto" w:sz="4" w:space="0"/>
            </w:tcBorders>
            <w:vAlign w:val="center"/>
          </w:tcPr>
          <w:p w14:paraId="10B16B4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控制架构介绍</w:t>
            </w:r>
          </w:p>
        </w:tc>
        <w:tc>
          <w:tcPr>
            <w:tcW w:w="1302" w:type="dxa"/>
            <w:vMerge w:val="restart"/>
            <w:tcBorders>
              <w:top w:val="single" w:color="auto" w:sz="4" w:space="0"/>
              <w:left w:val="single" w:color="auto" w:sz="4" w:space="0"/>
              <w:bottom w:val="single" w:color="auto" w:sz="4" w:space="0"/>
              <w:right w:val="single" w:color="auto" w:sz="4" w:space="0"/>
            </w:tcBorders>
            <w:vAlign w:val="center"/>
          </w:tcPr>
          <w:p w14:paraId="73BFC85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restart"/>
            <w:tcBorders>
              <w:top w:val="single" w:color="auto" w:sz="4" w:space="0"/>
              <w:left w:val="single" w:color="auto" w:sz="4" w:space="0"/>
              <w:bottom w:val="single" w:color="auto" w:sz="4" w:space="0"/>
              <w:right w:val="single" w:color="auto" w:sz="4" w:space="0"/>
            </w:tcBorders>
            <w:vAlign w:val="center"/>
          </w:tcPr>
          <w:p w14:paraId="3ED43F9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restart"/>
            <w:tcBorders>
              <w:top w:val="single" w:color="auto" w:sz="4" w:space="0"/>
              <w:left w:val="single" w:color="auto" w:sz="4" w:space="0"/>
              <w:bottom w:val="single" w:color="auto" w:sz="4" w:space="0"/>
              <w:right w:val="single" w:color="auto" w:sz="4" w:space="0"/>
            </w:tcBorders>
            <w:vAlign w:val="center"/>
          </w:tcPr>
          <w:p w14:paraId="7292492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责任维修技术员</w:t>
            </w:r>
          </w:p>
        </w:tc>
        <w:tc>
          <w:tcPr>
            <w:tcW w:w="884" w:type="dxa"/>
            <w:vMerge w:val="restart"/>
            <w:tcBorders>
              <w:top w:val="single" w:color="auto" w:sz="4" w:space="0"/>
              <w:left w:val="single" w:color="auto" w:sz="4" w:space="0"/>
              <w:bottom w:val="single" w:color="auto" w:sz="4" w:space="0"/>
              <w:right w:val="single" w:color="auto" w:sz="4" w:space="0"/>
            </w:tcBorders>
            <w:vAlign w:val="center"/>
          </w:tcPr>
          <w:p w14:paraId="57CEE9C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本科以上</w:t>
            </w:r>
          </w:p>
        </w:tc>
      </w:tr>
      <w:tr w14:paraId="459C4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44F69CC9">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41D576B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操作方式</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4473D25B">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3554771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043E257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72B59AC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2547C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153B257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41AB72F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程序上传、下载</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09B9F3D9">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3F46F84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58B244A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4AA6DF8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7BBD7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3A8DBD9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513125A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异常处理</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25B7A6D6">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1CF956D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1CC19C4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738315A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0325F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restart"/>
            <w:tcBorders>
              <w:top w:val="single" w:color="auto" w:sz="4" w:space="0"/>
              <w:left w:val="single" w:color="auto" w:sz="4" w:space="0"/>
              <w:bottom w:val="single" w:color="auto" w:sz="4" w:space="0"/>
              <w:right w:val="single" w:color="auto" w:sz="4" w:space="0"/>
            </w:tcBorders>
            <w:vAlign w:val="center"/>
          </w:tcPr>
          <w:p w14:paraId="085BB57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维护维修</w:t>
            </w:r>
          </w:p>
        </w:tc>
        <w:tc>
          <w:tcPr>
            <w:tcW w:w="2474" w:type="dxa"/>
            <w:tcBorders>
              <w:top w:val="single" w:color="auto" w:sz="4" w:space="0"/>
              <w:left w:val="single" w:color="auto" w:sz="4" w:space="0"/>
              <w:bottom w:val="single" w:color="auto" w:sz="4" w:space="0"/>
              <w:right w:val="single" w:color="auto" w:sz="4" w:space="0"/>
            </w:tcBorders>
            <w:vAlign w:val="center"/>
          </w:tcPr>
          <w:p w14:paraId="6E432584">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异常判别</w:t>
            </w:r>
          </w:p>
        </w:tc>
        <w:tc>
          <w:tcPr>
            <w:tcW w:w="1302" w:type="dxa"/>
            <w:vMerge w:val="restart"/>
            <w:tcBorders>
              <w:top w:val="single" w:color="auto" w:sz="4" w:space="0"/>
              <w:left w:val="single" w:color="auto" w:sz="4" w:space="0"/>
              <w:bottom w:val="single" w:color="auto" w:sz="4" w:space="0"/>
              <w:right w:val="single" w:color="auto" w:sz="4" w:space="0"/>
            </w:tcBorders>
            <w:vAlign w:val="center"/>
          </w:tcPr>
          <w:p w14:paraId="5110FB97">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维护手册</w:t>
            </w:r>
          </w:p>
        </w:tc>
        <w:tc>
          <w:tcPr>
            <w:tcW w:w="1195" w:type="dxa"/>
            <w:vMerge w:val="restart"/>
            <w:tcBorders>
              <w:top w:val="single" w:color="auto" w:sz="4" w:space="0"/>
              <w:left w:val="single" w:color="auto" w:sz="4" w:space="0"/>
              <w:bottom w:val="single" w:color="auto" w:sz="4" w:space="0"/>
              <w:right w:val="single" w:color="auto" w:sz="4" w:space="0"/>
            </w:tcBorders>
            <w:vAlign w:val="center"/>
          </w:tcPr>
          <w:p w14:paraId="14FB3C6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restart"/>
            <w:tcBorders>
              <w:top w:val="single" w:color="auto" w:sz="4" w:space="0"/>
              <w:left w:val="single" w:color="auto" w:sz="4" w:space="0"/>
              <w:bottom w:val="single" w:color="auto" w:sz="4" w:space="0"/>
              <w:right w:val="single" w:color="auto" w:sz="4" w:space="0"/>
            </w:tcBorders>
            <w:vAlign w:val="center"/>
          </w:tcPr>
          <w:p w14:paraId="60D55F01">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责任维修技术员</w:t>
            </w:r>
          </w:p>
        </w:tc>
        <w:tc>
          <w:tcPr>
            <w:tcW w:w="884" w:type="dxa"/>
            <w:vMerge w:val="restart"/>
            <w:tcBorders>
              <w:top w:val="single" w:color="auto" w:sz="4" w:space="0"/>
              <w:left w:val="single" w:color="auto" w:sz="4" w:space="0"/>
              <w:bottom w:val="single" w:color="auto" w:sz="4" w:space="0"/>
              <w:right w:val="single" w:color="auto" w:sz="4" w:space="0"/>
            </w:tcBorders>
            <w:vAlign w:val="center"/>
          </w:tcPr>
          <w:p w14:paraId="135C596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技师/大专以上</w:t>
            </w:r>
          </w:p>
        </w:tc>
      </w:tr>
      <w:tr w14:paraId="03CFC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2D3376F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365371A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各单元结构说明</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0110FCAB">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4F703EC9">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113C6C6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3648269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6190E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5689B2E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1DB90EE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单元保养操作</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6BD218C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245AEB31">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1798662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165BD787">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7B0F9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tcBorders>
              <w:top w:val="single" w:color="auto" w:sz="4" w:space="0"/>
              <w:left w:val="single" w:color="auto" w:sz="4" w:space="0"/>
              <w:bottom w:val="single" w:color="auto" w:sz="4" w:space="0"/>
              <w:right w:val="single" w:color="auto" w:sz="4" w:space="0"/>
            </w:tcBorders>
            <w:vAlign w:val="center"/>
          </w:tcPr>
          <w:p w14:paraId="688A46C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2474" w:type="dxa"/>
            <w:tcBorders>
              <w:top w:val="single" w:color="auto" w:sz="4" w:space="0"/>
              <w:left w:val="single" w:color="auto" w:sz="4" w:space="0"/>
              <w:bottom w:val="single" w:color="auto" w:sz="4" w:space="0"/>
              <w:right w:val="single" w:color="auto" w:sz="4" w:space="0"/>
            </w:tcBorders>
            <w:vAlign w:val="center"/>
          </w:tcPr>
          <w:p w14:paraId="33BB223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零件更换</w:t>
            </w:r>
          </w:p>
        </w:tc>
        <w:tc>
          <w:tcPr>
            <w:tcW w:w="1302" w:type="dxa"/>
            <w:vMerge w:val="continue"/>
            <w:tcBorders>
              <w:top w:val="single" w:color="auto" w:sz="4" w:space="0"/>
              <w:left w:val="single" w:color="auto" w:sz="4" w:space="0"/>
              <w:bottom w:val="single" w:color="auto" w:sz="4" w:space="0"/>
              <w:right w:val="single" w:color="auto" w:sz="4" w:space="0"/>
            </w:tcBorders>
            <w:vAlign w:val="center"/>
          </w:tcPr>
          <w:p w14:paraId="2CFBAE2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195" w:type="dxa"/>
            <w:vMerge w:val="continue"/>
            <w:tcBorders>
              <w:top w:val="single" w:color="auto" w:sz="4" w:space="0"/>
              <w:left w:val="single" w:color="auto" w:sz="4" w:space="0"/>
              <w:bottom w:val="single" w:color="auto" w:sz="4" w:space="0"/>
              <w:right w:val="single" w:color="auto" w:sz="4" w:space="0"/>
            </w:tcBorders>
            <w:vAlign w:val="center"/>
          </w:tcPr>
          <w:p w14:paraId="1365D496">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vMerge w:val="continue"/>
            <w:tcBorders>
              <w:top w:val="single" w:color="auto" w:sz="4" w:space="0"/>
              <w:left w:val="single" w:color="auto" w:sz="4" w:space="0"/>
              <w:bottom w:val="single" w:color="auto" w:sz="4" w:space="0"/>
              <w:right w:val="single" w:color="auto" w:sz="4" w:space="0"/>
            </w:tcBorders>
            <w:vAlign w:val="center"/>
          </w:tcPr>
          <w:p w14:paraId="50C687C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14:paraId="1FDE4C3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r>
      <w:tr w14:paraId="68152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tcBorders>
              <w:top w:val="single" w:color="auto" w:sz="4" w:space="0"/>
              <w:left w:val="single" w:color="auto" w:sz="4" w:space="0"/>
              <w:bottom w:val="single" w:color="auto" w:sz="4" w:space="0"/>
              <w:right w:val="single" w:color="auto" w:sz="4" w:space="0"/>
            </w:tcBorders>
            <w:vAlign w:val="center"/>
          </w:tcPr>
          <w:p w14:paraId="6BA3A2CB">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上位系统培训</w:t>
            </w:r>
          </w:p>
        </w:tc>
        <w:tc>
          <w:tcPr>
            <w:tcW w:w="2474" w:type="dxa"/>
            <w:tcBorders>
              <w:top w:val="single" w:color="auto" w:sz="4" w:space="0"/>
              <w:left w:val="single" w:color="auto" w:sz="4" w:space="0"/>
              <w:bottom w:val="single" w:color="auto" w:sz="4" w:space="0"/>
              <w:right w:val="single" w:color="auto" w:sz="4" w:space="0"/>
            </w:tcBorders>
            <w:vAlign w:val="center"/>
          </w:tcPr>
          <w:p w14:paraId="0CFB5034">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通讯接口讯息表达，如错误警告、回报等</w:t>
            </w:r>
          </w:p>
        </w:tc>
        <w:tc>
          <w:tcPr>
            <w:tcW w:w="1302" w:type="dxa"/>
            <w:tcBorders>
              <w:top w:val="single" w:color="auto" w:sz="4" w:space="0"/>
              <w:left w:val="single" w:color="auto" w:sz="4" w:space="0"/>
              <w:bottom w:val="single" w:color="auto" w:sz="4" w:space="0"/>
              <w:right w:val="single" w:color="auto" w:sz="4" w:space="0"/>
            </w:tcBorders>
            <w:vAlign w:val="center"/>
          </w:tcPr>
          <w:p w14:paraId="529D3381">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操作手册</w:t>
            </w:r>
          </w:p>
        </w:tc>
        <w:tc>
          <w:tcPr>
            <w:tcW w:w="1195" w:type="dxa"/>
            <w:tcBorders>
              <w:top w:val="single" w:color="auto" w:sz="4" w:space="0"/>
              <w:left w:val="single" w:color="auto" w:sz="4" w:space="0"/>
              <w:bottom w:val="single" w:color="auto" w:sz="4" w:space="0"/>
              <w:right w:val="single" w:color="auto" w:sz="4" w:space="0"/>
            </w:tcBorders>
            <w:vAlign w:val="center"/>
          </w:tcPr>
          <w:p w14:paraId="5E1C8E3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p>
        </w:tc>
        <w:tc>
          <w:tcPr>
            <w:tcW w:w="1592" w:type="dxa"/>
            <w:tcBorders>
              <w:top w:val="single" w:color="auto" w:sz="4" w:space="0"/>
              <w:left w:val="single" w:color="auto" w:sz="4" w:space="0"/>
              <w:bottom w:val="single" w:color="auto" w:sz="4" w:space="0"/>
              <w:right w:val="single" w:color="auto" w:sz="4" w:space="0"/>
            </w:tcBorders>
            <w:vAlign w:val="center"/>
          </w:tcPr>
          <w:p w14:paraId="6900117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责任计算机技术员</w:t>
            </w:r>
          </w:p>
        </w:tc>
        <w:tc>
          <w:tcPr>
            <w:tcW w:w="884" w:type="dxa"/>
            <w:tcBorders>
              <w:top w:val="single" w:color="auto" w:sz="4" w:space="0"/>
              <w:left w:val="single" w:color="auto" w:sz="4" w:space="0"/>
              <w:bottom w:val="single" w:color="auto" w:sz="4" w:space="0"/>
              <w:right w:val="single" w:color="auto" w:sz="4" w:space="0"/>
            </w:tcBorders>
            <w:vAlign w:val="center"/>
          </w:tcPr>
          <w:p w14:paraId="099C5066">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本科以上</w:t>
            </w:r>
          </w:p>
        </w:tc>
      </w:tr>
    </w:tbl>
    <w:p w14:paraId="1D0CDA71">
      <w:pPr>
        <w:pageBreakBefore w:val="0"/>
        <w:kinsoku/>
        <w:wordWrap/>
        <w:overflowPunct/>
        <w:topLinePunct w:val="0"/>
        <w:autoSpaceDE/>
        <w:autoSpaceDN/>
        <w:bidi w:val="0"/>
        <w:spacing w:line="360" w:lineRule="auto"/>
        <w:textAlignment w:val="auto"/>
      </w:pPr>
    </w:p>
    <w:p w14:paraId="44A9FDE4">
      <w:pPr>
        <w:pStyle w:val="12"/>
        <w:pageBreakBefore w:val="0"/>
        <w:numPr>
          <w:ilvl w:val="4"/>
          <w:numId w:val="12"/>
        </w:numPr>
        <w:kinsoku/>
        <w:wordWrap/>
        <w:overflowPunct/>
        <w:topLinePunct w:val="0"/>
        <w:autoSpaceDE/>
        <w:autoSpaceDN/>
        <w:bidi w:val="0"/>
        <w:spacing w:line="360" w:lineRule="auto"/>
        <w:textAlignment w:val="auto"/>
        <w:rPr>
          <w:lang w:eastAsia="zh-CN"/>
        </w:rPr>
      </w:pPr>
      <w:bookmarkStart w:id="736" w:name="_Toc499349023"/>
      <w:r>
        <w:rPr>
          <w:rFonts w:hint="eastAsia"/>
          <w:lang w:eastAsia="zh-CN"/>
        </w:rPr>
        <w:t>安装调试培训</w:t>
      </w:r>
      <w:bookmarkEnd w:id="736"/>
    </w:p>
    <w:p w14:paraId="590DB108">
      <w:pPr>
        <w:pageBreakBefore w:val="0"/>
        <w:kinsoku/>
        <w:wordWrap/>
        <w:overflowPunct/>
        <w:topLinePunct w:val="0"/>
        <w:autoSpaceDE/>
        <w:autoSpaceDN/>
        <w:bidi w:val="0"/>
        <w:spacing w:line="360" w:lineRule="auto"/>
        <w:ind w:firstLine="420"/>
        <w:textAlignment w:val="auto"/>
      </w:pPr>
      <w:r>
        <w:rPr>
          <w:rFonts w:hint="eastAsia"/>
        </w:rPr>
        <w:t>1）设备安装调试</w:t>
      </w:r>
    </w:p>
    <w:tbl>
      <w:tblPr>
        <w:tblStyle w:val="43"/>
        <w:tblW w:w="8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2125"/>
        <w:gridCol w:w="1135"/>
        <w:gridCol w:w="1447"/>
        <w:gridCol w:w="1548"/>
        <w:gridCol w:w="909"/>
      </w:tblGrid>
      <w:tr w14:paraId="3554F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tcBorders>
              <w:top w:val="single" w:color="auto" w:sz="4" w:space="0"/>
              <w:left w:val="single" w:color="auto" w:sz="4" w:space="0"/>
              <w:bottom w:val="single" w:color="auto" w:sz="4" w:space="0"/>
              <w:right w:val="single" w:color="auto" w:sz="4" w:space="0"/>
            </w:tcBorders>
            <w:shd w:val="clear" w:color="auto" w:fill="F1F1F1"/>
            <w:vAlign w:val="center"/>
          </w:tcPr>
          <w:p w14:paraId="5D4ED8A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培训</w:t>
            </w:r>
          </w:p>
          <w:p w14:paraId="31202DE3">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项目</w:t>
            </w:r>
          </w:p>
        </w:tc>
        <w:tc>
          <w:tcPr>
            <w:tcW w:w="2125" w:type="dxa"/>
            <w:tcBorders>
              <w:top w:val="single" w:color="auto" w:sz="4" w:space="0"/>
              <w:left w:val="single" w:color="auto" w:sz="4" w:space="0"/>
              <w:bottom w:val="single" w:color="auto" w:sz="4" w:space="0"/>
              <w:right w:val="single" w:color="auto" w:sz="4" w:space="0"/>
            </w:tcBorders>
            <w:shd w:val="clear" w:color="auto" w:fill="F1F1F1"/>
            <w:vAlign w:val="center"/>
          </w:tcPr>
          <w:p w14:paraId="385B49E9">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培训内容</w:t>
            </w:r>
          </w:p>
        </w:tc>
        <w:tc>
          <w:tcPr>
            <w:tcW w:w="1135" w:type="dxa"/>
            <w:tcBorders>
              <w:top w:val="single" w:color="auto" w:sz="4" w:space="0"/>
              <w:left w:val="single" w:color="auto" w:sz="4" w:space="0"/>
              <w:bottom w:val="single" w:color="auto" w:sz="4" w:space="0"/>
              <w:right w:val="single" w:color="auto" w:sz="4" w:space="0"/>
            </w:tcBorders>
            <w:shd w:val="clear" w:color="auto" w:fill="F1F1F1"/>
            <w:vAlign w:val="center"/>
          </w:tcPr>
          <w:p w14:paraId="7BAAA6DB">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教材</w:t>
            </w:r>
          </w:p>
        </w:tc>
        <w:tc>
          <w:tcPr>
            <w:tcW w:w="1447" w:type="dxa"/>
            <w:tcBorders>
              <w:top w:val="single" w:color="auto" w:sz="4" w:space="0"/>
              <w:left w:val="single" w:color="auto" w:sz="4" w:space="0"/>
              <w:bottom w:val="single" w:color="auto" w:sz="4" w:space="0"/>
              <w:right w:val="single" w:color="auto" w:sz="4" w:space="0"/>
            </w:tcBorders>
            <w:shd w:val="clear" w:color="auto" w:fill="F1F1F1"/>
            <w:vAlign w:val="center"/>
          </w:tcPr>
          <w:p w14:paraId="71F36BDC">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主讲人</w:t>
            </w:r>
          </w:p>
        </w:tc>
        <w:tc>
          <w:tcPr>
            <w:tcW w:w="1548" w:type="dxa"/>
            <w:tcBorders>
              <w:top w:val="single" w:color="auto" w:sz="4" w:space="0"/>
              <w:left w:val="single" w:color="auto" w:sz="4" w:space="0"/>
              <w:bottom w:val="single" w:color="auto" w:sz="4" w:space="0"/>
              <w:right w:val="single" w:color="auto" w:sz="4" w:space="0"/>
            </w:tcBorders>
            <w:shd w:val="clear" w:color="auto" w:fill="F1F1F1"/>
            <w:vAlign w:val="center"/>
          </w:tcPr>
          <w:p w14:paraId="56E55DA7">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参加人要求</w:t>
            </w:r>
          </w:p>
        </w:tc>
        <w:tc>
          <w:tcPr>
            <w:tcW w:w="909" w:type="dxa"/>
            <w:tcBorders>
              <w:top w:val="single" w:color="auto" w:sz="4" w:space="0"/>
              <w:left w:val="single" w:color="auto" w:sz="4" w:space="0"/>
              <w:bottom w:val="single" w:color="auto" w:sz="4" w:space="0"/>
              <w:right w:val="single" w:color="auto" w:sz="4" w:space="0"/>
            </w:tcBorders>
            <w:shd w:val="clear" w:color="auto" w:fill="F1F1F1"/>
            <w:vAlign w:val="center"/>
          </w:tcPr>
          <w:p w14:paraId="1BEC0E24">
            <w:pPr>
              <w:pStyle w:val="140"/>
              <w:pageBreakBefore w:val="0"/>
              <w:kinsoku/>
              <w:wordWrap/>
              <w:overflowPunct/>
              <w:topLinePunct w:val="0"/>
              <w:autoSpaceDE/>
              <w:autoSpaceDN/>
              <w:bidi w:val="0"/>
              <w:spacing w:before="156" w:after="156" w:line="360" w:lineRule="auto"/>
              <w:jc w:val="both"/>
              <w:textAlignment w:val="auto"/>
              <w:rPr>
                <w:rFonts w:ascii="宋体" w:hAnsi="宋体" w:eastAsia="宋体" w:cs="仿宋"/>
                <w:b/>
                <w:sz w:val="24"/>
                <w:szCs w:val="24"/>
              </w:rPr>
            </w:pPr>
            <w:r>
              <w:rPr>
                <w:rFonts w:hint="eastAsia" w:ascii="宋体" w:hAnsi="宋体" w:eastAsia="宋体" w:cs="仿宋"/>
                <w:sz w:val="24"/>
                <w:szCs w:val="24"/>
              </w:rPr>
              <w:t>备注</w:t>
            </w:r>
          </w:p>
        </w:tc>
      </w:tr>
      <w:tr w14:paraId="0FF8A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vMerge w:val="restart"/>
            <w:tcBorders>
              <w:top w:val="single" w:color="auto" w:sz="4" w:space="0"/>
              <w:left w:val="single" w:color="auto" w:sz="4" w:space="0"/>
              <w:bottom w:val="single" w:color="auto" w:sz="4" w:space="0"/>
              <w:right w:val="single" w:color="auto" w:sz="4" w:space="0"/>
            </w:tcBorders>
            <w:vAlign w:val="center"/>
          </w:tcPr>
          <w:p w14:paraId="3B0C208F">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安装调试培训</w:t>
            </w:r>
          </w:p>
        </w:tc>
        <w:tc>
          <w:tcPr>
            <w:tcW w:w="2125" w:type="dxa"/>
            <w:tcBorders>
              <w:top w:val="single" w:color="auto" w:sz="4" w:space="0"/>
              <w:left w:val="single" w:color="auto" w:sz="4" w:space="0"/>
              <w:bottom w:val="single" w:color="auto" w:sz="4" w:space="0"/>
              <w:right w:val="single" w:color="auto" w:sz="4" w:space="0"/>
            </w:tcBorders>
            <w:vAlign w:val="center"/>
          </w:tcPr>
          <w:p w14:paraId="59C8E158">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设备清单</w:t>
            </w:r>
          </w:p>
        </w:tc>
        <w:tc>
          <w:tcPr>
            <w:tcW w:w="1135" w:type="dxa"/>
            <w:vMerge w:val="restart"/>
            <w:tcBorders>
              <w:top w:val="single" w:color="auto" w:sz="4" w:space="0"/>
              <w:left w:val="single" w:color="auto" w:sz="4" w:space="0"/>
              <w:bottom w:val="single" w:color="auto" w:sz="4" w:space="0"/>
              <w:right w:val="single" w:color="auto" w:sz="4" w:space="0"/>
            </w:tcBorders>
            <w:vAlign w:val="center"/>
          </w:tcPr>
          <w:p w14:paraId="0C6BE6C5">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培训手册</w:t>
            </w:r>
          </w:p>
        </w:tc>
        <w:tc>
          <w:tcPr>
            <w:tcW w:w="1447" w:type="dxa"/>
            <w:vMerge w:val="restart"/>
            <w:tcBorders>
              <w:top w:val="single" w:color="auto" w:sz="4" w:space="0"/>
              <w:left w:val="single" w:color="auto" w:sz="4" w:space="0"/>
              <w:bottom w:val="single" w:color="auto" w:sz="4" w:space="0"/>
              <w:right w:val="single" w:color="auto" w:sz="4" w:space="0"/>
            </w:tcBorders>
            <w:vAlign w:val="center"/>
          </w:tcPr>
          <w:p w14:paraId="78428B1E">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乙方电气工程师</w:t>
            </w:r>
          </w:p>
        </w:tc>
        <w:tc>
          <w:tcPr>
            <w:tcW w:w="1548" w:type="dxa"/>
            <w:vMerge w:val="restart"/>
            <w:tcBorders>
              <w:top w:val="single" w:color="auto" w:sz="4" w:space="0"/>
              <w:left w:val="single" w:color="auto" w:sz="4" w:space="0"/>
              <w:bottom w:val="single" w:color="auto" w:sz="4" w:space="0"/>
              <w:right w:val="single" w:color="auto" w:sz="4" w:space="0"/>
            </w:tcBorders>
            <w:vAlign w:val="center"/>
          </w:tcPr>
          <w:p w14:paraId="33B0E5DA">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相关管理及维护人员</w:t>
            </w:r>
          </w:p>
        </w:tc>
        <w:tc>
          <w:tcPr>
            <w:tcW w:w="909" w:type="dxa"/>
            <w:vMerge w:val="restart"/>
            <w:tcBorders>
              <w:top w:val="single" w:color="auto" w:sz="4" w:space="0"/>
              <w:left w:val="single" w:color="auto" w:sz="4" w:space="0"/>
              <w:bottom w:val="single" w:color="auto" w:sz="4" w:space="0"/>
              <w:right w:val="single" w:color="auto" w:sz="4" w:space="0"/>
            </w:tcBorders>
            <w:vAlign w:val="center"/>
          </w:tcPr>
          <w:p w14:paraId="0F752AE3">
            <w:pPr>
              <w:pStyle w:val="140"/>
              <w:pageBreakBefore w:val="0"/>
              <w:kinsoku/>
              <w:wordWrap/>
              <w:overflowPunct/>
              <w:topLinePunct w:val="0"/>
              <w:autoSpaceDE/>
              <w:autoSpaceDN/>
              <w:bidi w:val="0"/>
              <w:spacing w:before="156" w:after="156" w:line="360" w:lineRule="auto"/>
              <w:jc w:val="both"/>
              <w:textAlignment w:val="auto"/>
              <w:rPr>
                <w:rFonts w:ascii="宋体" w:hAnsi="宋体" w:eastAsia="宋体" w:cs="仿宋"/>
                <w:bCs/>
                <w:sz w:val="24"/>
                <w:szCs w:val="24"/>
              </w:rPr>
            </w:pPr>
          </w:p>
        </w:tc>
      </w:tr>
      <w:tr w14:paraId="3AB10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vMerge w:val="continue"/>
            <w:tcBorders>
              <w:top w:val="single" w:color="auto" w:sz="4" w:space="0"/>
              <w:left w:val="single" w:color="auto" w:sz="4" w:space="0"/>
              <w:bottom w:val="single" w:color="auto" w:sz="4" w:space="0"/>
              <w:right w:val="single" w:color="auto" w:sz="4" w:space="0"/>
            </w:tcBorders>
            <w:vAlign w:val="center"/>
          </w:tcPr>
          <w:p w14:paraId="3DD01F3D">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2125" w:type="dxa"/>
            <w:tcBorders>
              <w:top w:val="single" w:color="auto" w:sz="4" w:space="0"/>
              <w:left w:val="single" w:color="auto" w:sz="4" w:space="0"/>
              <w:bottom w:val="single" w:color="auto" w:sz="4" w:space="0"/>
              <w:right w:val="single" w:color="auto" w:sz="4" w:space="0"/>
            </w:tcBorders>
            <w:vAlign w:val="center"/>
          </w:tcPr>
          <w:p w14:paraId="3EFE6D1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电气接线</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14:paraId="7F5BCF82">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447" w:type="dxa"/>
            <w:vMerge w:val="continue"/>
            <w:tcBorders>
              <w:top w:val="single" w:color="auto" w:sz="4" w:space="0"/>
              <w:left w:val="single" w:color="auto" w:sz="4" w:space="0"/>
              <w:bottom w:val="single" w:color="auto" w:sz="4" w:space="0"/>
              <w:right w:val="single" w:color="auto" w:sz="4" w:space="0"/>
            </w:tcBorders>
            <w:vAlign w:val="center"/>
          </w:tcPr>
          <w:p w14:paraId="1045EB93">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548" w:type="dxa"/>
            <w:vMerge w:val="continue"/>
            <w:tcBorders>
              <w:top w:val="single" w:color="auto" w:sz="4" w:space="0"/>
              <w:left w:val="single" w:color="auto" w:sz="4" w:space="0"/>
              <w:bottom w:val="single" w:color="auto" w:sz="4" w:space="0"/>
              <w:right w:val="single" w:color="auto" w:sz="4" w:space="0"/>
            </w:tcBorders>
            <w:vAlign w:val="center"/>
          </w:tcPr>
          <w:p w14:paraId="2307B0A7">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909" w:type="dxa"/>
            <w:vMerge w:val="continue"/>
            <w:tcBorders>
              <w:top w:val="single" w:color="auto" w:sz="4" w:space="0"/>
              <w:left w:val="single" w:color="auto" w:sz="4" w:space="0"/>
              <w:bottom w:val="single" w:color="auto" w:sz="4" w:space="0"/>
              <w:right w:val="single" w:color="auto" w:sz="4" w:space="0"/>
            </w:tcBorders>
            <w:vAlign w:val="center"/>
          </w:tcPr>
          <w:p w14:paraId="2AE960F1">
            <w:pPr>
              <w:pageBreakBefore w:val="0"/>
              <w:widowControl/>
              <w:kinsoku/>
              <w:wordWrap/>
              <w:overflowPunct/>
              <w:topLinePunct w:val="0"/>
              <w:autoSpaceDE/>
              <w:autoSpaceDN/>
              <w:bidi w:val="0"/>
              <w:spacing w:line="360" w:lineRule="auto"/>
              <w:textAlignment w:val="auto"/>
              <w:rPr>
                <w:rFonts w:cs="仿宋"/>
                <w:b/>
                <w:bCs/>
                <w:kern w:val="0"/>
                <w:position w:val="-10"/>
              </w:rPr>
            </w:pPr>
          </w:p>
        </w:tc>
      </w:tr>
      <w:tr w14:paraId="56556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vMerge w:val="continue"/>
            <w:tcBorders>
              <w:top w:val="single" w:color="auto" w:sz="4" w:space="0"/>
              <w:left w:val="single" w:color="auto" w:sz="4" w:space="0"/>
              <w:bottom w:val="single" w:color="auto" w:sz="4" w:space="0"/>
              <w:right w:val="single" w:color="auto" w:sz="4" w:space="0"/>
            </w:tcBorders>
            <w:vAlign w:val="center"/>
          </w:tcPr>
          <w:p w14:paraId="22759227">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2125" w:type="dxa"/>
            <w:tcBorders>
              <w:top w:val="single" w:color="auto" w:sz="4" w:space="0"/>
              <w:left w:val="single" w:color="auto" w:sz="4" w:space="0"/>
              <w:bottom w:val="single" w:color="auto" w:sz="4" w:space="0"/>
              <w:right w:val="single" w:color="auto" w:sz="4" w:space="0"/>
            </w:tcBorders>
            <w:vAlign w:val="center"/>
          </w:tcPr>
          <w:p w14:paraId="06D82F7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参数配置</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14:paraId="3911FE97">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447" w:type="dxa"/>
            <w:vMerge w:val="continue"/>
            <w:tcBorders>
              <w:top w:val="single" w:color="auto" w:sz="4" w:space="0"/>
              <w:left w:val="single" w:color="auto" w:sz="4" w:space="0"/>
              <w:bottom w:val="single" w:color="auto" w:sz="4" w:space="0"/>
              <w:right w:val="single" w:color="auto" w:sz="4" w:space="0"/>
            </w:tcBorders>
            <w:vAlign w:val="center"/>
          </w:tcPr>
          <w:p w14:paraId="6D1A037A">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548" w:type="dxa"/>
            <w:vMerge w:val="continue"/>
            <w:tcBorders>
              <w:top w:val="single" w:color="auto" w:sz="4" w:space="0"/>
              <w:left w:val="single" w:color="auto" w:sz="4" w:space="0"/>
              <w:bottom w:val="single" w:color="auto" w:sz="4" w:space="0"/>
              <w:right w:val="single" w:color="auto" w:sz="4" w:space="0"/>
            </w:tcBorders>
            <w:vAlign w:val="center"/>
          </w:tcPr>
          <w:p w14:paraId="2894EE41">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909" w:type="dxa"/>
            <w:vMerge w:val="continue"/>
            <w:tcBorders>
              <w:top w:val="single" w:color="auto" w:sz="4" w:space="0"/>
              <w:left w:val="single" w:color="auto" w:sz="4" w:space="0"/>
              <w:bottom w:val="single" w:color="auto" w:sz="4" w:space="0"/>
              <w:right w:val="single" w:color="auto" w:sz="4" w:space="0"/>
            </w:tcBorders>
            <w:vAlign w:val="center"/>
          </w:tcPr>
          <w:p w14:paraId="395CC354">
            <w:pPr>
              <w:pageBreakBefore w:val="0"/>
              <w:widowControl/>
              <w:kinsoku/>
              <w:wordWrap/>
              <w:overflowPunct/>
              <w:topLinePunct w:val="0"/>
              <w:autoSpaceDE/>
              <w:autoSpaceDN/>
              <w:bidi w:val="0"/>
              <w:spacing w:line="360" w:lineRule="auto"/>
              <w:textAlignment w:val="auto"/>
              <w:rPr>
                <w:rFonts w:cs="仿宋"/>
                <w:b/>
                <w:bCs/>
                <w:kern w:val="0"/>
                <w:position w:val="-10"/>
              </w:rPr>
            </w:pPr>
          </w:p>
        </w:tc>
      </w:tr>
      <w:tr w14:paraId="4BDD5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vMerge w:val="continue"/>
            <w:tcBorders>
              <w:top w:val="single" w:color="auto" w:sz="4" w:space="0"/>
              <w:left w:val="single" w:color="auto" w:sz="4" w:space="0"/>
              <w:bottom w:val="single" w:color="auto" w:sz="4" w:space="0"/>
              <w:right w:val="single" w:color="auto" w:sz="4" w:space="0"/>
            </w:tcBorders>
            <w:vAlign w:val="center"/>
          </w:tcPr>
          <w:p w14:paraId="2C8FFE57">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2125" w:type="dxa"/>
            <w:tcBorders>
              <w:top w:val="single" w:color="auto" w:sz="4" w:space="0"/>
              <w:left w:val="single" w:color="auto" w:sz="4" w:space="0"/>
              <w:bottom w:val="single" w:color="auto" w:sz="4" w:space="0"/>
              <w:right w:val="single" w:color="auto" w:sz="4" w:space="0"/>
            </w:tcBorders>
            <w:vAlign w:val="center"/>
          </w:tcPr>
          <w:p w14:paraId="1043E4E2">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功能调试</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14:paraId="3108BA0A">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447" w:type="dxa"/>
            <w:vMerge w:val="continue"/>
            <w:tcBorders>
              <w:top w:val="single" w:color="auto" w:sz="4" w:space="0"/>
              <w:left w:val="single" w:color="auto" w:sz="4" w:space="0"/>
              <w:bottom w:val="single" w:color="auto" w:sz="4" w:space="0"/>
              <w:right w:val="single" w:color="auto" w:sz="4" w:space="0"/>
            </w:tcBorders>
            <w:vAlign w:val="center"/>
          </w:tcPr>
          <w:p w14:paraId="4B527AF7">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548" w:type="dxa"/>
            <w:vMerge w:val="continue"/>
            <w:tcBorders>
              <w:top w:val="single" w:color="auto" w:sz="4" w:space="0"/>
              <w:left w:val="single" w:color="auto" w:sz="4" w:space="0"/>
              <w:bottom w:val="single" w:color="auto" w:sz="4" w:space="0"/>
              <w:right w:val="single" w:color="auto" w:sz="4" w:space="0"/>
            </w:tcBorders>
            <w:vAlign w:val="center"/>
          </w:tcPr>
          <w:p w14:paraId="250B03DD">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909" w:type="dxa"/>
            <w:vMerge w:val="continue"/>
            <w:tcBorders>
              <w:top w:val="single" w:color="auto" w:sz="4" w:space="0"/>
              <w:left w:val="single" w:color="auto" w:sz="4" w:space="0"/>
              <w:bottom w:val="single" w:color="auto" w:sz="4" w:space="0"/>
              <w:right w:val="single" w:color="auto" w:sz="4" w:space="0"/>
            </w:tcBorders>
            <w:vAlign w:val="center"/>
          </w:tcPr>
          <w:p w14:paraId="6F7596A0">
            <w:pPr>
              <w:pageBreakBefore w:val="0"/>
              <w:widowControl/>
              <w:kinsoku/>
              <w:wordWrap/>
              <w:overflowPunct/>
              <w:topLinePunct w:val="0"/>
              <w:autoSpaceDE/>
              <w:autoSpaceDN/>
              <w:bidi w:val="0"/>
              <w:spacing w:line="360" w:lineRule="auto"/>
              <w:textAlignment w:val="auto"/>
              <w:rPr>
                <w:rFonts w:cs="仿宋"/>
                <w:b/>
                <w:bCs/>
                <w:kern w:val="0"/>
                <w:position w:val="-10"/>
              </w:rPr>
            </w:pPr>
          </w:p>
        </w:tc>
      </w:tr>
      <w:tr w14:paraId="73D7F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vMerge w:val="continue"/>
            <w:tcBorders>
              <w:top w:val="single" w:color="auto" w:sz="4" w:space="0"/>
              <w:left w:val="single" w:color="auto" w:sz="4" w:space="0"/>
              <w:bottom w:val="single" w:color="auto" w:sz="4" w:space="0"/>
              <w:right w:val="single" w:color="auto" w:sz="4" w:space="0"/>
            </w:tcBorders>
            <w:vAlign w:val="center"/>
          </w:tcPr>
          <w:p w14:paraId="338CD4F0">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2125" w:type="dxa"/>
            <w:tcBorders>
              <w:top w:val="single" w:color="auto" w:sz="4" w:space="0"/>
              <w:left w:val="single" w:color="auto" w:sz="4" w:space="0"/>
              <w:bottom w:val="single" w:color="auto" w:sz="4" w:space="0"/>
              <w:right w:val="single" w:color="auto" w:sz="4" w:space="0"/>
            </w:tcBorders>
            <w:vAlign w:val="center"/>
          </w:tcPr>
          <w:p w14:paraId="4E471240">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设备操作</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14:paraId="3B633C3B">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447" w:type="dxa"/>
            <w:vMerge w:val="continue"/>
            <w:tcBorders>
              <w:top w:val="single" w:color="auto" w:sz="4" w:space="0"/>
              <w:left w:val="single" w:color="auto" w:sz="4" w:space="0"/>
              <w:bottom w:val="single" w:color="auto" w:sz="4" w:space="0"/>
              <w:right w:val="single" w:color="auto" w:sz="4" w:space="0"/>
            </w:tcBorders>
            <w:vAlign w:val="center"/>
          </w:tcPr>
          <w:p w14:paraId="4221F185">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548" w:type="dxa"/>
            <w:vMerge w:val="continue"/>
            <w:tcBorders>
              <w:top w:val="single" w:color="auto" w:sz="4" w:space="0"/>
              <w:left w:val="single" w:color="auto" w:sz="4" w:space="0"/>
              <w:bottom w:val="single" w:color="auto" w:sz="4" w:space="0"/>
              <w:right w:val="single" w:color="auto" w:sz="4" w:space="0"/>
            </w:tcBorders>
            <w:vAlign w:val="center"/>
          </w:tcPr>
          <w:p w14:paraId="36560125">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909" w:type="dxa"/>
            <w:vMerge w:val="continue"/>
            <w:tcBorders>
              <w:top w:val="single" w:color="auto" w:sz="4" w:space="0"/>
              <w:left w:val="single" w:color="auto" w:sz="4" w:space="0"/>
              <w:bottom w:val="single" w:color="auto" w:sz="4" w:space="0"/>
              <w:right w:val="single" w:color="auto" w:sz="4" w:space="0"/>
            </w:tcBorders>
            <w:vAlign w:val="center"/>
          </w:tcPr>
          <w:p w14:paraId="5830A2F7">
            <w:pPr>
              <w:pageBreakBefore w:val="0"/>
              <w:widowControl/>
              <w:kinsoku/>
              <w:wordWrap/>
              <w:overflowPunct/>
              <w:topLinePunct w:val="0"/>
              <w:autoSpaceDE/>
              <w:autoSpaceDN/>
              <w:bidi w:val="0"/>
              <w:spacing w:line="360" w:lineRule="auto"/>
              <w:textAlignment w:val="auto"/>
              <w:rPr>
                <w:rFonts w:cs="仿宋"/>
                <w:b/>
                <w:bCs/>
                <w:kern w:val="0"/>
                <w:position w:val="-10"/>
              </w:rPr>
            </w:pPr>
          </w:p>
        </w:tc>
      </w:tr>
      <w:tr w14:paraId="18AF0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2" w:type="dxa"/>
            <w:vMerge w:val="continue"/>
            <w:tcBorders>
              <w:top w:val="single" w:color="auto" w:sz="4" w:space="0"/>
              <w:left w:val="single" w:color="auto" w:sz="4" w:space="0"/>
              <w:bottom w:val="single" w:color="auto" w:sz="4" w:space="0"/>
              <w:right w:val="single" w:color="auto" w:sz="4" w:space="0"/>
            </w:tcBorders>
            <w:vAlign w:val="center"/>
          </w:tcPr>
          <w:p w14:paraId="4E8440A4">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2125" w:type="dxa"/>
            <w:tcBorders>
              <w:top w:val="single" w:color="auto" w:sz="4" w:space="0"/>
              <w:left w:val="single" w:color="auto" w:sz="4" w:space="0"/>
              <w:bottom w:val="single" w:color="auto" w:sz="4" w:space="0"/>
              <w:right w:val="single" w:color="auto" w:sz="4" w:space="0"/>
            </w:tcBorders>
            <w:vAlign w:val="center"/>
          </w:tcPr>
          <w:p w14:paraId="6E46A94D">
            <w:pPr>
              <w:pStyle w:val="140"/>
              <w:pageBreakBefore w:val="0"/>
              <w:kinsoku/>
              <w:wordWrap/>
              <w:overflowPunct/>
              <w:topLinePunct w:val="0"/>
              <w:autoSpaceDE/>
              <w:autoSpaceDN/>
              <w:bidi w:val="0"/>
              <w:spacing w:before="156" w:after="156" w:line="360" w:lineRule="auto"/>
              <w:ind w:left="0" w:firstLine="0"/>
              <w:jc w:val="center"/>
              <w:textAlignment w:val="auto"/>
              <w:rPr>
                <w:rFonts w:ascii="宋体" w:hAnsi="宋体" w:eastAsia="宋体" w:cs="仿宋"/>
                <w:sz w:val="24"/>
                <w:szCs w:val="24"/>
              </w:rPr>
            </w:pPr>
            <w:r>
              <w:rPr>
                <w:rFonts w:hint="eastAsia" w:ascii="宋体" w:hAnsi="宋体" w:eastAsia="宋体" w:cs="仿宋"/>
                <w:sz w:val="24"/>
                <w:szCs w:val="24"/>
              </w:rPr>
              <w:t>异常处理</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14:paraId="4A594D18">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447" w:type="dxa"/>
            <w:vMerge w:val="continue"/>
            <w:tcBorders>
              <w:top w:val="single" w:color="auto" w:sz="4" w:space="0"/>
              <w:left w:val="single" w:color="auto" w:sz="4" w:space="0"/>
              <w:bottom w:val="single" w:color="auto" w:sz="4" w:space="0"/>
              <w:right w:val="single" w:color="auto" w:sz="4" w:space="0"/>
            </w:tcBorders>
            <w:vAlign w:val="center"/>
          </w:tcPr>
          <w:p w14:paraId="4D2A9AF6">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1548" w:type="dxa"/>
            <w:vMerge w:val="continue"/>
            <w:tcBorders>
              <w:top w:val="single" w:color="auto" w:sz="4" w:space="0"/>
              <w:left w:val="single" w:color="auto" w:sz="4" w:space="0"/>
              <w:bottom w:val="single" w:color="auto" w:sz="4" w:space="0"/>
              <w:right w:val="single" w:color="auto" w:sz="4" w:space="0"/>
            </w:tcBorders>
            <w:vAlign w:val="center"/>
          </w:tcPr>
          <w:p w14:paraId="0806CA54">
            <w:pPr>
              <w:pageBreakBefore w:val="0"/>
              <w:widowControl/>
              <w:kinsoku/>
              <w:wordWrap/>
              <w:overflowPunct/>
              <w:topLinePunct w:val="0"/>
              <w:autoSpaceDE/>
              <w:autoSpaceDN/>
              <w:bidi w:val="0"/>
              <w:spacing w:line="360" w:lineRule="auto"/>
              <w:textAlignment w:val="auto"/>
              <w:rPr>
                <w:rFonts w:cs="仿宋"/>
                <w:b/>
                <w:bCs/>
                <w:kern w:val="0"/>
                <w:position w:val="-10"/>
              </w:rPr>
            </w:pPr>
          </w:p>
        </w:tc>
        <w:tc>
          <w:tcPr>
            <w:tcW w:w="909" w:type="dxa"/>
            <w:vMerge w:val="continue"/>
            <w:tcBorders>
              <w:top w:val="single" w:color="auto" w:sz="4" w:space="0"/>
              <w:left w:val="single" w:color="auto" w:sz="4" w:space="0"/>
              <w:bottom w:val="single" w:color="auto" w:sz="4" w:space="0"/>
              <w:right w:val="single" w:color="auto" w:sz="4" w:space="0"/>
            </w:tcBorders>
            <w:vAlign w:val="center"/>
          </w:tcPr>
          <w:p w14:paraId="6B758CC9">
            <w:pPr>
              <w:pageBreakBefore w:val="0"/>
              <w:widowControl/>
              <w:kinsoku/>
              <w:wordWrap/>
              <w:overflowPunct/>
              <w:topLinePunct w:val="0"/>
              <w:autoSpaceDE/>
              <w:autoSpaceDN/>
              <w:bidi w:val="0"/>
              <w:spacing w:line="360" w:lineRule="auto"/>
              <w:textAlignment w:val="auto"/>
              <w:rPr>
                <w:rFonts w:cs="仿宋"/>
                <w:b/>
                <w:bCs/>
                <w:kern w:val="0"/>
                <w:position w:val="-10"/>
              </w:rPr>
            </w:pPr>
          </w:p>
        </w:tc>
      </w:tr>
    </w:tbl>
    <w:p w14:paraId="6584E7BF">
      <w:pPr>
        <w:pageBreakBefore w:val="0"/>
        <w:kinsoku/>
        <w:wordWrap/>
        <w:overflowPunct/>
        <w:topLinePunct w:val="0"/>
        <w:autoSpaceDE/>
        <w:autoSpaceDN/>
        <w:bidi w:val="0"/>
        <w:spacing w:line="360" w:lineRule="auto"/>
        <w:ind w:firstLine="720" w:firstLineChars="300"/>
        <w:textAlignment w:val="auto"/>
      </w:pPr>
    </w:p>
    <w:p w14:paraId="48F9A1E6">
      <w:pPr>
        <w:pageBreakBefore w:val="0"/>
        <w:kinsoku/>
        <w:wordWrap/>
        <w:overflowPunct/>
        <w:topLinePunct w:val="0"/>
        <w:autoSpaceDE/>
        <w:autoSpaceDN/>
        <w:bidi w:val="0"/>
        <w:spacing w:line="360" w:lineRule="auto"/>
        <w:ind w:firstLine="420"/>
        <w:textAlignment w:val="auto"/>
      </w:pPr>
      <w:r>
        <w:rPr>
          <w:rFonts w:hint="eastAsia"/>
        </w:rPr>
        <w:t>2）软件系统安装调试</w:t>
      </w:r>
    </w:p>
    <w:tbl>
      <w:tblPr>
        <w:tblStyle w:val="43"/>
        <w:tblW w:w="92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6"/>
        <w:gridCol w:w="2530"/>
        <w:gridCol w:w="1418"/>
        <w:gridCol w:w="1417"/>
        <w:gridCol w:w="1560"/>
        <w:gridCol w:w="814"/>
      </w:tblGrid>
      <w:tr w14:paraId="2BF3A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tcBorders>
              <w:top w:val="single" w:color="auto" w:sz="4" w:space="0"/>
              <w:left w:val="single" w:color="auto" w:sz="4" w:space="0"/>
              <w:bottom w:val="single" w:color="auto" w:sz="4" w:space="0"/>
              <w:right w:val="single" w:color="auto" w:sz="4" w:space="0"/>
            </w:tcBorders>
            <w:vAlign w:val="center"/>
          </w:tcPr>
          <w:p w14:paraId="1D788F69">
            <w:pPr>
              <w:pageBreakBefore w:val="0"/>
              <w:kinsoku/>
              <w:wordWrap/>
              <w:overflowPunct/>
              <w:topLinePunct w:val="0"/>
              <w:autoSpaceDE/>
              <w:autoSpaceDN/>
              <w:bidi w:val="0"/>
              <w:spacing w:line="360" w:lineRule="auto"/>
              <w:jc w:val="center"/>
              <w:textAlignment w:val="auto"/>
            </w:pPr>
            <w:r>
              <w:rPr>
                <w:rFonts w:hint="eastAsia" w:cs="仿宋"/>
              </w:rPr>
              <w:t>培训项目</w:t>
            </w:r>
          </w:p>
        </w:tc>
        <w:tc>
          <w:tcPr>
            <w:tcW w:w="2530" w:type="dxa"/>
            <w:tcBorders>
              <w:top w:val="single" w:color="auto" w:sz="4" w:space="0"/>
              <w:left w:val="single" w:color="auto" w:sz="4" w:space="0"/>
              <w:bottom w:val="single" w:color="auto" w:sz="4" w:space="0"/>
              <w:right w:val="single" w:color="auto" w:sz="4" w:space="0"/>
            </w:tcBorders>
            <w:vAlign w:val="center"/>
          </w:tcPr>
          <w:p w14:paraId="6DBD188D">
            <w:pPr>
              <w:pageBreakBefore w:val="0"/>
              <w:kinsoku/>
              <w:wordWrap/>
              <w:overflowPunct/>
              <w:topLinePunct w:val="0"/>
              <w:autoSpaceDE/>
              <w:autoSpaceDN/>
              <w:bidi w:val="0"/>
              <w:spacing w:line="360" w:lineRule="auto"/>
              <w:jc w:val="center"/>
              <w:textAlignment w:val="auto"/>
            </w:pPr>
            <w:r>
              <w:rPr>
                <w:rFonts w:hint="eastAsia" w:cs="仿宋"/>
              </w:rPr>
              <w:t>培训内容</w:t>
            </w:r>
          </w:p>
        </w:tc>
        <w:tc>
          <w:tcPr>
            <w:tcW w:w="1418" w:type="dxa"/>
            <w:tcBorders>
              <w:top w:val="single" w:color="auto" w:sz="4" w:space="0"/>
              <w:left w:val="single" w:color="auto" w:sz="4" w:space="0"/>
              <w:bottom w:val="single" w:color="auto" w:sz="4" w:space="0"/>
              <w:right w:val="single" w:color="auto" w:sz="4" w:space="0"/>
            </w:tcBorders>
            <w:vAlign w:val="center"/>
          </w:tcPr>
          <w:p w14:paraId="3816F760">
            <w:pPr>
              <w:pageBreakBefore w:val="0"/>
              <w:kinsoku/>
              <w:wordWrap/>
              <w:overflowPunct/>
              <w:topLinePunct w:val="0"/>
              <w:autoSpaceDE/>
              <w:autoSpaceDN/>
              <w:bidi w:val="0"/>
              <w:spacing w:line="360" w:lineRule="auto"/>
              <w:jc w:val="center"/>
              <w:textAlignment w:val="auto"/>
            </w:pPr>
            <w:r>
              <w:rPr>
                <w:rFonts w:hint="eastAsia" w:cs="仿宋"/>
              </w:rPr>
              <w:t>教材</w:t>
            </w:r>
          </w:p>
        </w:tc>
        <w:tc>
          <w:tcPr>
            <w:tcW w:w="1417" w:type="dxa"/>
            <w:tcBorders>
              <w:top w:val="single" w:color="auto" w:sz="4" w:space="0"/>
              <w:left w:val="single" w:color="auto" w:sz="4" w:space="0"/>
              <w:bottom w:val="single" w:color="auto" w:sz="4" w:space="0"/>
              <w:right w:val="single" w:color="auto" w:sz="4" w:space="0"/>
            </w:tcBorders>
            <w:vAlign w:val="center"/>
          </w:tcPr>
          <w:p w14:paraId="21E6F1E2">
            <w:pPr>
              <w:pageBreakBefore w:val="0"/>
              <w:kinsoku/>
              <w:wordWrap/>
              <w:overflowPunct/>
              <w:topLinePunct w:val="0"/>
              <w:autoSpaceDE/>
              <w:autoSpaceDN/>
              <w:bidi w:val="0"/>
              <w:spacing w:line="360" w:lineRule="auto"/>
              <w:textAlignment w:val="auto"/>
            </w:pPr>
            <w:r>
              <w:rPr>
                <w:rFonts w:hint="eastAsia" w:cs="仿宋"/>
              </w:rPr>
              <w:t>主讲人</w:t>
            </w:r>
          </w:p>
        </w:tc>
        <w:tc>
          <w:tcPr>
            <w:tcW w:w="1560" w:type="dxa"/>
            <w:tcBorders>
              <w:top w:val="single" w:color="auto" w:sz="4" w:space="0"/>
              <w:left w:val="single" w:color="auto" w:sz="4" w:space="0"/>
              <w:bottom w:val="single" w:color="auto" w:sz="4" w:space="0"/>
              <w:right w:val="single" w:color="auto" w:sz="4" w:space="0"/>
            </w:tcBorders>
            <w:vAlign w:val="center"/>
          </w:tcPr>
          <w:p w14:paraId="3ED1825C">
            <w:pPr>
              <w:pageBreakBefore w:val="0"/>
              <w:kinsoku/>
              <w:wordWrap/>
              <w:overflowPunct/>
              <w:topLinePunct w:val="0"/>
              <w:autoSpaceDE/>
              <w:autoSpaceDN/>
              <w:bidi w:val="0"/>
              <w:spacing w:line="360" w:lineRule="auto"/>
              <w:textAlignment w:val="auto"/>
            </w:pPr>
            <w:r>
              <w:rPr>
                <w:rFonts w:hint="eastAsia" w:cs="仿宋"/>
              </w:rPr>
              <w:t>参加人要求</w:t>
            </w:r>
          </w:p>
        </w:tc>
        <w:tc>
          <w:tcPr>
            <w:tcW w:w="814" w:type="dxa"/>
            <w:tcBorders>
              <w:top w:val="single" w:color="auto" w:sz="4" w:space="0"/>
              <w:left w:val="single" w:color="auto" w:sz="4" w:space="0"/>
              <w:bottom w:val="single" w:color="auto" w:sz="4" w:space="0"/>
              <w:right w:val="single" w:color="auto" w:sz="4" w:space="0"/>
            </w:tcBorders>
            <w:vAlign w:val="center"/>
          </w:tcPr>
          <w:p w14:paraId="1F6C41A4">
            <w:pPr>
              <w:pageBreakBefore w:val="0"/>
              <w:kinsoku/>
              <w:wordWrap/>
              <w:overflowPunct/>
              <w:topLinePunct w:val="0"/>
              <w:autoSpaceDE/>
              <w:autoSpaceDN/>
              <w:bidi w:val="0"/>
              <w:spacing w:line="360" w:lineRule="auto"/>
              <w:textAlignment w:val="auto"/>
            </w:pPr>
            <w:r>
              <w:rPr>
                <w:rFonts w:hint="eastAsia" w:cs="仿宋"/>
              </w:rPr>
              <w:t>备注</w:t>
            </w:r>
          </w:p>
        </w:tc>
      </w:tr>
      <w:tr w14:paraId="15FFD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restart"/>
            <w:tcBorders>
              <w:top w:val="single" w:color="auto" w:sz="4" w:space="0"/>
              <w:left w:val="single" w:color="auto" w:sz="4" w:space="0"/>
              <w:bottom w:val="single" w:color="auto" w:sz="4" w:space="0"/>
              <w:right w:val="single" w:color="auto" w:sz="4" w:space="0"/>
            </w:tcBorders>
          </w:tcPr>
          <w:p w14:paraId="0904CA5E">
            <w:pPr>
              <w:pageBreakBefore w:val="0"/>
              <w:kinsoku/>
              <w:wordWrap/>
              <w:overflowPunct/>
              <w:topLinePunct w:val="0"/>
              <w:autoSpaceDE/>
              <w:autoSpaceDN/>
              <w:bidi w:val="0"/>
              <w:spacing w:line="360" w:lineRule="auto"/>
              <w:jc w:val="center"/>
              <w:textAlignment w:val="auto"/>
            </w:pPr>
            <w:r>
              <w:rPr>
                <w:rFonts w:hint="eastAsia"/>
              </w:rPr>
              <w:t>系统培训</w:t>
            </w:r>
          </w:p>
          <w:p w14:paraId="427765B0">
            <w:pPr>
              <w:pageBreakBefore w:val="0"/>
              <w:kinsoku/>
              <w:wordWrap/>
              <w:overflowPunct/>
              <w:topLinePunct w:val="0"/>
              <w:autoSpaceDE/>
              <w:autoSpaceDN/>
              <w:bidi w:val="0"/>
              <w:spacing w:line="360" w:lineRule="auto"/>
              <w:jc w:val="center"/>
              <w:textAlignment w:val="auto"/>
            </w:pPr>
          </w:p>
        </w:tc>
        <w:tc>
          <w:tcPr>
            <w:tcW w:w="2530" w:type="dxa"/>
            <w:tcBorders>
              <w:top w:val="single" w:color="auto" w:sz="4" w:space="0"/>
              <w:left w:val="single" w:color="auto" w:sz="4" w:space="0"/>
              <w:bottom w:val="single" w:color="auto" w:sz="4" w:space="0"/>
              <w:right w:val="single" w:color="auto" w:sz="4" w:space="0"/>
            </w:tcBorders>
          </w:tcPr>
          <w:p w14:paraId="3390B6FE">
            <w:pPr>
              <w:pageBreakBefore w:val="0"/>
              <w:kinsoku/>
              <w:wordWrap/>
              <w:overflowPunct/>
              <w:topLinePunct w:val="0"/>
              <w:autoSpaceDE/>
              <w:autoSpaceDN/>
              <w:bidi w:val="0"/>
              <w:spacing w:line="360" w:lineRule="auto"/>
              <w:jc w:val="center"/>
              <w:textAlignment w:val="auto"/>
            </w:pPr>
            <w:r>
              <w:rPr>
                <w:rFonts w:hint="eastAsia"/>
              </w:rPr>
              <w:t>系统安装调试</w:t>
            </w:r>
          </w:p>
        </w:tc>
        <w:tc>
          <w:tcPr>
            <w:tcW w:w="1418" w:type="dxa"/>
            <w:vMerge w:val="restart"/>
            <w:tcBorders>
              <w:top w:val="single" w:color="auto" w:sz="4" w:space="0"/>
              <w:left w:val="single" w:color="auto" w:sz="4" w:space="0"/>
              <w:bottom w:val="single" w:color="auto" w:sz="4" w:space="0"/>
              <w:right w:val="single" w:color="auto" w:sz="4" w:space="0"/>
            </w:tcBorders>
          </w:tcPr>
          <w:p w14:paraId="6149A003">
            <w:pPr>
              <w:pageBreakBefore w:val="0"/>
              <w:kinsoku/>
              <w:wordWrap/>
              <w:overflowPunct/>
              <w:topLinePunct w:val="0"/>
              <w:autoSpaceDE/>
              <w:autoSpaceDN/>
              <w:bidi w:val="0"/>
              <w:spacing w:line="360" w:lineRule="auto"/>
              <w:jc w:val="center"/>
              <w:textAlignment w:val="auto"/>
            </w:pPr>
          </w:p>
          <w:p w14:paraId="2BBC2E54">
            <w:pPr>
              <w:pageBreakBefore w:val="0"/>
              <w:kinsoku/>
              <w:wordWrap/>
              <w:overflowPunct/>
              <w:topLinePunct w:val="0"/>
              <w:autoSpaceDE/>
              <w:autoSpaceDN/>
              <w:bidi w:val="0"/>
              <w:spacing w:line="360" w:lineRule="auto"/>
              <w:jc w:val="center"/>
              <w:textAlignment w:val="auto"/>
            </w:pPr>
          </w:p>
          <w:p w14:paraId="02F7B568">
            <w:pPr>
              <w:pageBreakBefore w:val="0"/>
              <w:kinsoku/>
              <w:wordWrap/>
              <w:overflowPunct/>
              <w:topLinePunct w:val="0"/>
              <w:autoSpaceDE/>
              <w:autoSpaceDN/>
              <w:bidi w:val="0"/>
              <w:spacing w:line="360" w:lineRule="auto"/>
              <w:jc w:val="center"/>
              <w:textAlignment w:val="auto"/>
            </w:pPr>
            <w:r>
              <w:rPr>
                <w:rFonts w:hint="eastAsia"/>
              </w:rPr>
              <w:t>操作手册</w:t>
            </w:r>
          </w:p>
        </w:tc>
        <w:tc>
          <w:tcPr>
            <w:tcW w:w="1417" w:type="dxa"/>
            <w:vMerge w:val="restart"/>
            <w:tcBorders>
              <w:top w:val="single" w:color="auto" w:sz="4" w:space="0"/>
              <w:left w:val="single" w:color="auto" w:sz="4" w:space="0"/>
              <w:bottom w:val="single" w:color="auto" w:sz="4" w:space="0"/>
              <w:right w:val="single" w:color="auto" w:sz="4" w:space="0"/>
            </w:tcBorders>
          </w:tcPr>
          <w:p w14:paraId="43D5E42A">
            <w:pPr>
              <w:pageBreakBefore w:val="0"/>
              <w:kinsoku/>
              <w:wordWrap/>
              <w:overflowPunct/>
              <w:topLinePunct w:val="0"/>
              <w:autoSpaceDE/>
              <w:autoSpaceDN/>
              <w:bidi w:val="0"/>
              <w:spacing w:line="360" w:lineRule="auto"/>
              <w:jc w:val="center"/>
              <w:textAlignment w:val="auto"/>
            </w:pPr>
          </w:p>
          <w:p w14:paraId="60F1012E">
            <w:pPr>
              <w:pageBreakBefore w:val="0"/>
              <w:kinsoku/>
              <w:wordWrap/>
              <w:overflowPunct/>
              <w:topLinePunct w:val="0"/>
              <w:autoSpaceDE/>
              <w:autoSpaceDN/>
              <w:bidi w:val="0"/>
              <w:spacing w:line="360" w:lineRule="auto"/>
              <w:jc w:val="center"/>
              <w:textAlignment w:val="auto"/>
            </w:pPr>
          </w:p>
          <w:p w14:paraId="3B22ACCD">
            <w:pPr>
              <w:pageBreakBefore w:val="0"/>
              <w:kinsoku/>
              <w:wordWrap/>
              <w:overflowPunct/>
              <w:topLinePunct w:val="0"/>
              <w:autoSpaceDE/>
              <w:autoSpaceDN/>
              <w:bidi w:val="0"/>
              <w:spacing w:line="360" w:lineRule="auto"/>
              <w:jc w:val="center"/>
              <w:textAlignment w:val="auto"/>
            </w:pPr>
            <w:r>
              <w:rPr>
                <w:rFonts w:hint="eastAsia"/>
              </w:rPr>
              <w:t>乙方工程师</w:t>
            </w:r>
          </w:p>
        </w:tc>
        <w:tc>
          <w:tcPr>
            <w:tcW w:w="1560" w:type="dxa"/>
            <w:vMerge w:val="restart"/>
            <w:tcBorders>
              <w:top w:val="single" w:color="auto" w:sz="4" w:space="0"/>
              <w:left w:val="single" w:color="auto" w:sz="4" w:space="0"/>
              <w:bottom w:val="single" w:color="auto" w:sz="4" w:space="0"/>
              <w:right w:val="single" w:color="auto" w:sz="4" w:space="0"/>
            </w:tcBorders>
          </w:tcPr>
          <w:p w14:paraId="6CA2A4C0">
            <w:pPr>
              <w:pageBreakBefore w:val="0"/>
              <w:kinsoku/>
              <w:wordWrap/>
              <w:overflowPunct/>
              <w:topLinePunct w:val="0"/>
              <w:autoSpaceDE/>
              <w:autoSpaceDN/>
              <w:bidi w:val="0"/>
              <w:spacing w:line="360" w:lineRule="auto"/>
              <w:textAlignment w:val="auto"/>
            </w:pPr>
          </w:p>
          <w:p w14:paraId="2ED3341B">
            <w:pPr>
              <w:pageBreakBefore w:val="0"/>
              <w:kinsoku/>
              <w:wordWrap/>
              <w:overflowPunct/>
              <w:topLinePunct w:val="0"/>
              <w:autoSpaceDE/>
              <w:autoSpaceDN/>
              <w:bidi w:val="0"/>
              <w:spacing w:line="360" w:lineRule="auto"/>
              <w:textAlignment w:val="auto"/>
            </w:pPr>
            <w:r>
              <w:rPr>
                <w:rFonts w:hint="eastAsia"/>
              </w:rPr>
              <w:t>参与操作管理的相关人员</w:t>
            </w:r>
          </w:p>
        </w:tc>
        <w:tc>
          <w:tcPr>
            <w:tcW w:w="814" w:type="dxa"/>
            <w:vMerge w:val="restart"/>
            <w:tcBorders>
              <w:top w:val="single" w:color="auto" w:sz="4" w:space="0"/>
              <w:left w:val="single" w:color="auto" w:sz="4" w:space="0"/>
              <w:bottom w:val="single" w:color="auto" w:sz="4" w:space="0"/>
              <w:right w:val="single" w:color="auto" w:sz="4" w:space="0"/>
            </w:tcBorders>
          </w:tcPr>
          <w:p w14:paraId="6E546F53">
            <w:pPr>
              <w:pageBreakBefore w:val="0"/>
              <w:kinsoku/>
              <w:wordWrap/>
              <w:overflowPunct/>
              <w:topLinePunct w:val="0"/>
              <w:autoSpaceDE/>
              <w:autoSpaceDN/>
              <w:bidi w:val="0"/>
              <w:spacing w:line="360" w:lineRule="auto"/>
              <w:textAlignment w:val="auto"/>
            </w:pPr>
          </w:p>
        </w:tc>
      </w:tr>
      <w:tr w14:paraId="40A76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35338F36">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441F4A83">
            <w:pPr>
              <w:pageBreakBefore w:val="0"/>
              <w:kinsoku/>
              <w:wordWrap/>
              <w:overflowPunct/>
              <w:topLinePunct w:val="0"/>
              <w:autoSpaceDE/>
              <w:autoSpaceDN/>
              <w:bidi w:val="0"/>
              <w:spacing w:line="360" w:lineRule="auto"/>
              <w:jc w:val="center"/>
              <w:textAlignment w:val="auto"/>
            </w:pPr>
            <w:r>
              <w:rPr>
                <w:rFonts w:hint="eastAsia"/>
              </w:rPr>
              <w:t>数据初始化</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68FC7A2C">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091DA064">
            <w:pPr>
              <w:pageBreakBefore w:val="0"/>
              <w:widowControl/>
              <w:kinsoku/>
              <w:wordWrap/>
              <w:overflowPunct/>
              <w:topLinePunct w:val="0"/>
              <w:autoSpaceDE/>
              <w:autoSpaceDN/>
              <w:bidi w:val="0"/>
              <w:spacing w:line="360" w:lineRule="auto"/>
              <w:textAlignment w:val="auto"/>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5B7F6C9A">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1B74A752">
            <w:pPr>
              <w:pageBreakBefore w:val="0"/>
              <w:widowControl/>
              <w:kinsoku/>
              <w:wordWrap/>
              <w:overflowPunct/>
              <w:topLinePunct w:val="0"/>
              <w:autoSpaceDE/>
              <w:autoSpaceDN/>
              <w:bidi w:val="0"/>
              <w:spacing w:line="360" w:lineRule="auto"/>
              <w:textAlignment w:val="auto"/>
            </w:pPr>
          </w:p>
        </w:tc>
      </w:tr>
      <w:tr w14:paraId="263AE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5BF836D9">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58F5F30F">
            <w:pPr>
              <w:pageBreakBefore w:val="0"/>
              <w:kinsoku/>
              <w:wordWrap/>
              <w:overflowPunct/>
              <w:topLinePunct w:val="0"/>
              <w:autoSpaceDE/>
              <w:autoSpaceDN/>
              <w:bidi w:val="0"/>
              <w:spacing w:line="360" w:lineRule="auto"/>
              <w:jc w:val="center"/>
              <w:textAlignment w:val="auto"/>
            </w:pPr>
            <w:r>
              <w:rPr>
                <w:rFonts w:hint="eastAsia"/>
              </w:rPr>
              <w:t>业务培训</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2BC3A5B6">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53E1F2B7">
            <w:pPr>
              <w:pageBreakBefore w:val="0"/>
              <w:widowControl/>
              <w:kinsoku/>
              <w:wordWrap/>
              <w:overflowPunct/>
              <w:topLinePunct w:val="0"/>
              <w:autoSpaceDE/>
              <w:autoSpaceDN/>
              <w:bidi w:val="0"/>
              <w:spacing w:line="360" w:lineRule="auto"/>
              <w:textAlignment w:val="auto"/>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4C66A8DC">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3EA62515">
            <w:pPr>
              <w:pageBreakBefore w:val="0"/>
              <w:widowControl/>
              <w:kinsoku/>
              <w:wordWrap/>
              <w:overflowPunct/>
              <w:topLinePunct w:val="0"/>
              <w:autoSpaceDE/>
              <w:autoSpaceDN/>
              <w:bidi w:val="0"/>
              <w:spacing w:line="360" w:lineRule="auto"/>
              <w:textAlignment w:val="auto"/>
            </w:pPr>
          </w:p>
        </w:tc>
      </w:tr>
      <w:tr w14:paraId="2984C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7320A881">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6CDDD73B">
            <w:pPr>
              <w:pageBreakBefore w:val="0"/>
              <w:kinsoku/>
              <w:wordWrap/>
              <w:overflowPunct/>
              <w:topLinePunct w:val="0"/>
              <w:autoSpaceDE/>
              <w:autoSpaceDN/>
              <w:bidi w:val="0"/>
              <w:spacing w:line="360" w:lineRule="auto"/>
              <w:jc w:val="center"/>
              <w:textAlignment w:val="auto"/>
            </w:pPr>
            <w:r>
              <w:rPr>
                <w:rFonts w:hint="eastAsia"/>
              </w:rPr>
              <w:t>异常处理</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12D166FA">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30A71DFD">
            <w:pPr>
              <w:pageBreakBefore w:val="0"/>
              <w:widowControl/>
              <w:kinsoku/>
              <w:wordWrap/>
              <w:overflowPunct/>
              <w:topLinePunct w:val="0"/>
              <w:autoSpaceDE/>
              <w:autoSpaceDN/>
              <w:bidi w:val="0"/>
              <w:spacing w:line="360" w:lineRule="auto"/>
              <w:textAlignment w:val="auto"/>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4FFA649C">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1625A175">
            <w:pPr>
              <w:pageBreakBefore w:val="0"/>
              <w:widowControl/>
              <w:kinsoku/>
              <w:wordWrap/>
              <w:overflowPunct/>
              <w:topLinePunct w:val="0"/>
              <w:autoSpaceDE/>
              <w:autoSpaceDN/>
              <w:bidi w:val="0"/>
              <w:spacing w:line="360" w:lineRule="auto"/>
              <w:textAlignment w:val="auto"/>
            </w:pPr>
          </w:p>
        </w:tc>
      </w:tr>
      <w:tr w14:paraId="0112E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restart"/>
            <w:tcBorders>
              <w:top w:val="single" w:color="auto" w:sz="4" w:space="0"/>
              <w:left w:val="single" w:color="auto" w:sz="4" w:space="0"/>
              <w:bottom w:val="single" w:color="auto" w:sz="4" w:space="0"/>
              <w:right w:val="single" w:color="auto" w:sz="4" w:space="0"/>
            </w:tcBorders>
          </w:tcPr>
          <w:p w14:paraId="68D256D8">
            <w:pPr>
              <w:pageBreakBefore w:val="0"/>
              <w:kinsoku/>
              <w:wordWrap/>
              <w:overflowPunct/>
              <w:topLinePunct w:val="0"/>
              <w:autoSpaceDE/>
              <w:autoSpaceDN/>
              <w:bidi w:val="0"/>
              <w:spacing w:line="360" w:lineRule="auto"/>
              <w:jc w:val="center"/>
              <w:textAlignment w:val="auto"/>
            </w:pPr>
            <w:r>
              <w:rPr>
                <w:rFonts w:hint="eastAsia"/>
              </w:rPr>
              <w:t>设备监控培训</w:t>
            </w:r>
          </w:p>
          <w:p w14:paraId="31301359">
            <w:pPr>
              <w:pageBreakBefore w:val="0"/>
              <w:kinsoku/>
              <w:wordWrap/>
              <w:overflowPunct/>
              <w:topLinePunct w:val="0"/>
              <w:autoSpaceDE/>
              <w:autoSpaceDN/>
              <w:bidi w:val="0"/>
              <w:spacing w:line="360" w:lineRule="auto"/>
              <w:jc w:val="center"/>
              <w:textAlignment w:val="auto"/>
            </w:pPr>
          </w:p>
        </w:tc>
        <w:tc>
          <w:tcPr>
            <w:tcW w:w="2530" w:type="dxa"/>
            <w:tcBorders>
              <w:top w:val="single" w:color="auto" w:sz="4" w:space="0"/>
              <w:left w:val="single" w:color="auto" w:sz="4" w:space="0"/>
              <w:bottom w:val="single" w:color="auto" w:sz="4" w:space="0"/>
              <w:right w:val="single" w:color="auto" w:sz="4" w:space="0"/>
            </w:tcBorders>
          </w:tcPr>
          <w:p w14:paraId="5ACBED93">
            <w:pPr>
              <w:pageBreakBefore w:val="0"/>
              <w:kinsoku/>
              <w:wordWrap/>
              <w:overflowPunct/>
              <w:topLinePunct w:val="0"/>
              <w:autoSpaceDE/>
              <w:autoSpaceDN/>
              <w:bidi w:val="0"/>
              <w:spacing w:line="360" w:lineRule="auto"/>
              <w:jc w:val="center"/>
              <w:textAlignment w:val="auto"/>
            </w:pPr>
            <w:r>
              <w:rPr>
                <w:rFonts w:hint="eastAsia"/>
              </w:rPr>
              <w:t>系统安装调试</w:t>
            </w:r>
          </w:p>
        </w:tc>
        <w:tc>
          <w:tcPr>
            <w:tcW w:w="1418" w:type="dxa"/>
            <w:vMerge w:val="restart"/>
            <w:tcBorders>
              <w:top w:val="single" w:color="auto" w:sz="4" w:space="0"/>
              <w:left w:val="single" w:color="auto" w:sz="4" w:space="0"/>
              <w:bottom w:val="single" w:color="auto" w:sz="4" w:space="0"/>
              <w:right w:val="single" w:color="auto" w:sz="4" w:space="0"/>
            </w:tcBorders>
          </w:tcPr>
          <w:p w14:paraId="2E4DABF7">
            <w:pPr>
              <w:pageBreakBefore w:val="0"/>
              <w:kinsoku/>
              <w:wordWrap/>
              <w:overflowPunct/>
              <w:topLinePunct w:val="0"/>
              <w:autoSpaceDE/>
              <w:autoSpaceDN/>
              <w:bidi w:val="0"/>
              <w:spacing w:line="360" w:lineRule="auto"/>
              <w:textAlignment w:val="auto"/>
            </w:pPr>
          </w:p>
          <w:p w14:paraId="0E583C6A">
            <w:pPr>
              <w:pageBreakBefore w:val="0"/>
              <w:kinsoku/>
              <w:wordWrap/>
              <w:overflowPunct/>
              <w:topLinePunct w:val="0"/>
              <w:autoSpaceDE/>
              <w:autoSpaceDN/>
              <w:bidi w:val="0"/>
              <w:spacing w:line="360" w:lineRule="auto"/>
              <w:textAlignment w:val="auto"/>
            </w:pPr>
          </w:p>
          <w:p w14:paraId="57730146">
            <w:pPr>
              <w:pageBreakBefore w:val="0"/>
              <w:kinsoku/>
              <w:wordWrap/>
              <w:overflowPunct/>
              <w:topLinePunct w:val="0"/>
              <w:autoSpaceDE/>
              <w:autoSpaceDN/>
              <w:bidi w:val="0"/>
              <w:spacing w:line="360" w:lineRule="auto"/>
              <w:textAlignment w:val="auto"/>
            </w:pPr>
            <w:r>
              <w:rPr>
                <w:rFonts w:hint="eastAsia"/>
              </w:rPr>
              <w:t>操作手册</w:t>
            </w:r>
          </w:p>
          <w:p w14:paraId="7F43E6D8">
            <w:pPr>
              <w:pageBreakBefore w:val="0"/>
              <w:kinsoku/>
              <w:wordWrap/>
              <w:overflowPunct/>
              <w:topLinePunct w:val="0"/>
              <w:autoSpaceDE/>
              <w:autoSpaceDN/>
              <w:bidi w:val="0"/>
              <w:spacing w:line="360" w:lineRule="auto"/>
              <w:jc w:val="center"/>
              <w:textAlignment w:val="auto"/>
            </w:pPr>
          </w:p>
        </w:tc>
        <w:tc>
          <w:tcPr>
            <w:tcW w:w="1417" w:type="dxa"/>
            <w:vMerge w:val="restart"/>
            <w:tcBorders>
              <w:top w:val="single" w:color="auto" w:sz="4" w:space="0"/>
              <w:left w:val="single" w:color="auto" w:sz="4" w:space="0"/>
              <w:bottom w:val="single" w:color="auto" w:sz="4" w:space="0"/>
              <w:right w:val="single" w:color="auto" w:sz="4" w:space="0"/>
            </w:tcBorders>
          </w:tcPr>
          <w:p w14:paraId="293999F0">
            <w:pPr>
              <w:pageBreakBefore w:val="0"/>
              <w:kinsoku/>
              <w:wordWrap/>
              <w:overflowPunct/>
              <w:topLinePunct w:val="0"/>
              <w:autoSpaceDE/>
              <w:autoSpaceDN/>
              <w:bidi w:val="0"/>
              <w:spacing w:line="360" w:lineRule="auto"/>
              <w:textAlignment w:val="auto"/>
            </w:pPr>
          </w:p>
          <w:p w14:paraId="7E7E48FC">
            <w:pPr>
              <w:pageBreakBefore w:val="0"/>
              <w:kinsoku/>
              <w:wordWrap/>
              <w:overflowPunct/>
              <w:topLinePunct w:val="0"/>
              <w:autoSpaceDE/>
              <w:autoSpaceDN/>
              <w:bidi w:val="0"/>
              <w:spacing w:line="360" w:lineRule="auto"/>
              <w:textAlignment w:val="auto"/>
            </w:pPr>
          </w:p>
          <w:p w14:paraId="246F133D">
            <w:pPr>
              <w:pageBreakBefore w:val="0"/>
              <w:kinsoku/>
              <w:wordWrap/>
              <w:overflowPunct/>
              <w:topLinePunct w:val="0"/>
              <w:autoSpaceDE/>
              <w:autoSpaceDN/>
              <w:bidi w:val="0"/>
              <w:spacing w:line="360" w:lineRule="auto"/>
              <w:textAlignment w:val="auto"/>
            </w:pPr>
            <w:r>
              <w:rPr>
                <w:rFonts w:hint="eastAsia"/>
              </w:rPr>
              <w:t>乙方工程师</w:t>
            </w:r>
          </w:p>
          <w:p w14:paraId="53236D8D">
            <w:pPr>
              <w:pageBreakBefore w:val="0"/>
              <w:kinsoku/>
              <w:wordWrap/>
              <w:overflowPunct/>
              <w:topLinePunct w:val="0"/>
              <w:autoSpaceDE/>
              <w:autoSpaceDN/>
              <w:bidi w:val="0"/>
              <w:spacing w:line="360" w:lineRule="auto"/>
              <w:textAlignment w:val="auto"/>
            </w:pPr>
          </w:p>
        </w:tc>
        <w:tc>
          <w:tcPr>
            <w:tcW w:w="1560" w:type="dxa"/>
            <w:vMerge w:val="restart"/>
            <w:tcBorders>
              <w:top w:val="single" w:color="auto" w:sz="4" w:space="0"/>
              <w:left w:val="single" w:color="auto" w:sz="4" w:space="0"/>
              <w:bottom w:val="single" w:color="auto" w:sz="4" w:space="0"/>
              <w:right w:val="single" w:color="auto" w:sz="4" w:space="0"/>
            </w:tcBorders>
          </w:tcPr>
          <w:p w14:paraId="28862BF8">
            <w:pPr>
              <w:pageBreakBefore w:val="0"/>
              <w:kinsoku/>
              <w:wordWrap/>
              <w:overflowPunct/>
              <w:topLinePunct w:val="0"/>
              <w:autoSpaceDE/>
              <w:autoSpaceDN/>
              <w:bidi w:val="0"/>
              <w:spacing w:line="360" w:lineRule="auto"/>
              <w:textAlignment w:val="auto"/>
            </w:pPr>
          </w:p>
          <w:p w14:paraId="1184DAC2">
            <w:pPr>
              <w:pageBreakBefore w:val="0"/>
              <w:kinsoku/>
              <w:wordWrap/>
              <w:overflowPunct/>
              <w:topLinePunct w:val="0"/>
              <w:autoSpaceDE/>
              <w:autoSpaceDN/>
              <w:bidi w:val="0"/>
              <w:spacing w:before="120" w:after="120" w:line="360" w:lineRule="auto"/>
              <w:textAlignment w:val="auto"/>
            </w:pPr>
            <w:r>
              <w:rPr>
                <w:rFonts w:hint="eastAsia" w:cs="仿宋"/>
              </w:rPr>
              <w:t>调度系统维护相关人员</w:t>
            </w:r>
          </w:p>
        </w:tc>
        <w:tc>
          <w:tcPr>
            <w:tcW w:w="814" w:type="dxa"/>
            <w:vMerge w:val="restart"/>
            <w:tcBorders>
              <w:top w:val="single" w:color="auto" w:sz="4" w:space="0"/>
              <w:left w:val="single" w:color="auto" w:sz="4" w:space="0"/>
              <w:bottom w:val="single" w:color="auto" w:sz="4" w:space="0"/>
              <w:right w:val="single" w:color="auto" w:sz="4" w:space="0"/>
            </w:tcBorders>
          </w:tcPr>
          <w:p w14:paraId="0884148D">
            <w:pPr>
              <w:pageBreakBefore w:val="0"/>
              <w:kinsoku/>
              <w:wordWrap/>
              <w:overflowPunct/>
              <w:topLinePunct w:val="0"/>
              <w:autoSpaceDE/>
              <w:autoSpaceDN/>
              <w:bidi w:val="0"/>
              <w:spacing w:line="360" w:lineRule="auto"/>
              <w:textAlignment w:val="auto"/>
            </w:pPr>
          </w:p>
        </w:tc>
      </w:tr>
      <w:tr w14:paraId="610A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7BC1395F">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5C126FF3">
            <w:pPr>
              <w:pageBreakBefore w:val="0"/>
              <w:kinsoku/>
              <w:wordWrap/>
              <w:overflowPunct/>
              <w:topLinePunct w:val="0"/>
              <w:autoSpaceDE/>
              <w:autoSpaceDN/>
              <w:bidi w:val="0"/>
              <w:spacing w:line="360" w:lineRule="auto"/>
              <w:jc w:val="center"/>
              <w:textAlignment w:val="auto"/>
            </w:pPr>
            <w:r>
              <w:rPr>
                <w:rFonts w:hint="eastAsia"/>
              </w:rPr>
              <w:t>数据初始化</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4972D9EC">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0537CBCF">
            <w:pPr>
              <w:pageBreakBefore w:val="0"/>
              <w:widowControl/>
              <w:kinsoku/>
              <w:wordWrap/>
              <w:overflowPunct/>
              <w:topLinePunct w:val="0"/>
              <w:autoSpaceDE/>
              <w:autoSpaceDN/>
              <w:bidi w:val="0"/>
              <w:spacing w:line="360" w:lineRule="auto"/>
              <w:textAlignment w:val="auto"/>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34D09C75">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72D7037B">
            <w:pPr>
              <w:pageBreakBefore w:val="0"/>
              <w:widowControl/>
              <w:kinsoku/>
              <w:wordWrap/>
              <w:overflowPunct/>
              <w:topLinePunct w:val="0"/>
              <w:autoSpaceDE/>
              <w:autoSpaceDN/>
              <w:bidi w:val="0"/>
              <w:spacing w:line="360" w:lineRule="auto"/>
              <w:textAlignment w:val="auto"/>
            </w:pPr>
          </w:p>
        </w:tc>
      </w:tr>
      <w:tr w14:paraId="05D38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7C1036DD">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2C632206">
            <w:pPr>
              <w:pageBreakBefore w:val="0"/>
              <w:kinsoku/>
              <w:wordWrap/>
              <w:overflowPunct/>
              <w:topLinePunct w:val="0"/>
              <w:autoSpaceDE/>
              <w:autoSpaceDN/>
              <w:bidi w:val="0"/>
              <w:spacing w:line="360" w:lineRule="auto"/>
              <w:jc w:val="center"/>
              <w:textAlignment w:val="auto"/>
            </w:pPr>
            <w:r>
              <w:rPr>
                <w:rFonts w:hint="eastAsia"/>
              </w:rPr>
              <w:t>设备监控等业务处理</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7E01E407">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18849025">
            <w:pPr>
              <w:pageBreakBefore w:val="0"/>
              <w:widowControl/>
              <w:kinsoku/>
              <w:wordWrap/>
              <w:overflowPunct/>
              <w:topLinePunct w:val="0"/>
              <w:autoSpaceDE/>
              <w:autoSpaceDN/>
              <w:bidi w:val="0"/>
              <w:spacing w:line="360" w:lineRule="auto"/>
              <w:textAlignment w:val="auto"/>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10E48845">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0CF28432">
            <w:pPr>
              <w:pageBreakBefore w:val="0"/>
              <w:widowControl/>
              <w:kinsoku/>
              <w:wordWrap/>
              <w:overflowPunct/>
              <w:topLinePunct w:val="0"/>
              <w:autoSpaceDE/>
              <w:autoSpaceDN/>
              <w:bidi w:val="0"/>
              <w:spacing w:line="360" w:lineRule="auto"/>
              <w:textAlignment w:val="auto"/>
            </w:pPr>
          </w:p>
        </w:tc>
      </w:tr>
      <w:tr w14:paraId="36383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17CDBE12">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2DE62CD3">
            <w:pPr>
              <w:pageBreakBefore w:val="0"/>
              <w:kinsoku/>
              <w:wordWrap/>
              <w:overflowPunct/>
              <w:topLinePunct w:val="0"/>
              <w:autoSpaceDE/>
              <w:autoSpaceDN/>
              <w:bidi w:val="0"/>
              <w:spacing w:line="360" w:lineRule="auto"/>
              <w:jc w:val="center"/>
              <w:textAlignment w:val="auto"/>
            </w:pPr>
            <w:r>
              <w:rPr>
                <w:rFonts w:hint="eastAsia"/>
              </w:rPr>
              <w:t>异常处理</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23FBD0CE">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34DB7E6A">
            <w:pPr>
              <w:pageBreakBefore w:val="0"/>
              <w:widowControl/>
              <w:kinsoku/>
              <w:wordWrap/>
              <w:overflowPunct/>
              <w:topLinePunct w:val="0"/>
              <w:autoSpaceDE/>
              <w:autoSpaceDN/>
              <w:bidi w:val="0"/>
              <w:spacing w:line="360" w:lineRule="auto"/>
              <w:textAlignment w:val="auto"/>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1B1494C1">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64C0D54C">
            <w:pPr>
              <w:pageBreakBefore w:val="0"/>
              <w:widowControl/>
              <w:kinsoku/>
              <w:wordWrap/>
              <w:overflowPunct/>
              <w:topLinePunct w:val="0"/>
              <w:autoSpaceDE/>
              <w:autoSpaceDN/>
              <w:bidi w:val="0"/>
              <w:spacing w:line="360" w:lineRule="auto"/>
              <w:textAlignment w:val="auto"/>
            </w:pPr>
          </w:p>
        </w:tc>
      </w:tr>
      <w:tr w14:paraId="15F33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47" w:type="dxa"/>
            <w:vMerge w:val="restart"/>
            <w:tcBorders>
              <w:top w:val="single" w:color="auto" w:sz="4" w:space="0"/>
              <w:left w:val="single" w:color="auto" w:sz="4" w:space="0"/>
              <w:bottom w:val="single" w:color="auto" w:sz="4" w:space="0"/>
              <w:right w:val="single" w:color="auto" w:sz="4" w:space="0"/>
            </w:tcBorders>
          </w:tcPr>
          <w:p w14:paraId="07E51D7D">
            <w:pPr>
              <w:pageBreakBefore w:val="0"/>
              <w:kinsoku/>
              <w:wordWrap/>
              <w:overflowPunct/>
              <w:topLinePunct w:val="0"/>
              <w:autoSpaceDE/>
              <w:autoSpaceDN/>
              <w:bidi w:val="0"/>
              <w:spacing w:before="120" w:after="120" w:line="360" w:lineRule="auto"/>
              <w:ind w:firstLine="480"/>
              <w:jc w:val="center"/>
              <w:textAlignment w:val="auto"/>
            </w:pPr>
            <w:r>
              <w:rPr>
                <w:rFonts w:hint="eastAsia" w:cs="仿宋"/>
              </w:rPr>
              <w:t>服务器维护培训</w:t>
            </w:r>
          </w:p>
          <w:p w14:paraId="072BEBD6">
            <w:pPr>
              <w:pageBreakBefore w:val="0"/>
              <w:kinsoku/>
              <w:wordWrap/>
              <w:overflowPunct/>
              <w:topLinePunct w:val="0"/>
              <w:autoSpaceDE/>
              <w:autoSpaceDN/>
              <w:bidi w:val="0"/>
              <w:spacing w:line="360" w:lineRule="auto"/>
              <w:jc w:val="center"/>
              <w:textAlignment w:val="auto"/>
            </w:pPr>
          </w:p>
        </w:tc>
        <w:tc>
          <w:tcPr>
            <w:tcW w:w="2530" w:type="dxa"/>
            <w:tcBorders>
              <w:top w:val="single" w:color="auto" w:sz="4" w:space="0"/>
              <w:left w:val="single" w:color="auto" w:sz="4" w:space="0"/>
              <w:bottom w:val="single" w:color="auto" w:sz="4" w:space="0"/>
              <w:right w:val="single" w:color="auto" w:sz="4" w:space="0"/>
            </w:tcBorders>
          </w:tcPr>
          <w:p w14:paraId="1E914D4A">
            <w:pPr>
              <w:pageBreakBefore w:val="0"/>
              <w:kinsoku/>
              <w:wordWrap/>
              <w:overflowPunct/>
              <w:topLinePunct w:val="0"/>
              <w:autoSpaceDE/>
              <w:autoSpaceDN/>
              <w:bidi w:val="0"/>
              <w:spacing w:line="360" w:lineRule="auto"/>
              <w:jc w:val="center"/>
              <w:textAlignment w:val="auto"/>
            </w:pPr>
            <w:r>
              <w:rPr>
                <w:rFonts w:hint="eastAsia"/>
              </w:rPr>
              <w:t>异常判别</w:t>
            </w:r>
          </w:p>
        </w:tc>
        <w:tc>
          <w:tcPr>
            <w:tcW w:w="1418" w:type="dxa"/>
            <w:vMerge w:val="restart"/>
            <w:tcBorders>
              <w:top w:val="single" w:color="auto" w:sz="4" w:space="0"/>
              <w:left w:val="single" w:color="auto" w:sz="4" w:space="0"/>
              <w:bottom w:val="single" w:color="auto" w:sz="4" w:space="0"/>
              <w:right w:val="single" w:color="auto" w:sz="4" w:space="0"/>
            </w:tcBorders>
          </w:tcPr>
          <w:p w14:paraId="677F42FE">
            <w:pPr>
              <w:pageBreakBefore w:val="0"/>
              <w:kinsoku/>
              <w:wordWrap/>
              <w:overflowPunct/>
              <w:topLinePunct w:val="0"/>
              <w:autoSpaceDE/>
              <w:autoSpaceDN/>
              <w:bidi w:val="0"/>
              <w:spacing w:before="120" w:after="120" w:line="360" w:lineRule="auto"/>
              <w:textAlignment w:val="auto"/>
              <w:rPr>
                <w:rFonts w:cs="仿宋"/>
              </w:rPr>
            </w:pPr>
          </w:p>
          <w:p w14:paraId="552561FD">
            <w:pPr>
              <w:pageBreakBefore w:val="0"/>
              <w:kinsoku/>
              <w:wordWrap/>
              <w:overflowPunct/>
              <w:topLinePunct w:val="0"/>
              <w:autoSpaceDE/>
              <w:autoSpaceDN/>
              <w:bidi w:val="0"/>
              <w:spacing w:before="120" w:after="120" w:line="360" w:lineRule="auto"/>
              <w:textAlignment w:val="auto"/>
            </w:pPr>
            <w:r>
              <w:rPr>
                <w:rFonts w:hint="eastAsia" w:cs="仿宋"/>
              </w:rPr>
              <w:t>维护手册</w:t>
            </w:r>
          </w:p>
        </w:tc>
        <w:tc>
          <w:tcPr>
            <w:tcW w:w="1417" w:type="dxa"/>
            <w:vMerge w:val="restart"/>
            <w:tcBorders>
              <w:top w:val="single" w:color="auto" w:sz="4" w:space="0"/>
              <w:left w:val="single" w:color="auto" w:sz="4" w:space="0"/>
              <w:bottom w:val="single" w:color="auto" w:sz="4" w:space="0"/>
              <w:right w:val="single" w:color="auto" w:sz="4" w:space="0"/>
            </w:tcBorders>
          </w:tcPr>
          <w:p w14:paraId="28E421EA">
            <w:pPr>
              <w:pageBreakBefore w:val="0"/>
              <w:kinsoku/>
              <w:wordWrap/>
              <w:overflowPunct/>
              <w:topLinePunct w:val="0"/>
              <w:autoSpaceDE/>
              <w:autoSpaceDN/>
              <w:bidi w:val="0"/>
              <w:spacing w:before="120" w:after="120" w:line="360" w:lineRule="auto"/>
              <w:jc w:val="center"/>
              <w:textAlignment w:val="auto"/>
              <w:rPr>
                <w:rFonts w:cs="仿宋"/>
              </w:rPr>
            </w:pPr>
          </w:p>
          <w:p w14:paraId="46C17C6C">
            <w:pPr>
              <w:pageBreakBefore w:val="0"/>
              <w:kinsoku/>
              <w:wordWrap/>
              <w:overflowPunct/>
              <w:topLinePunct w:val="0"/>
              <w:autoSpaceDE/>
              <w:autoSpaceDN/>
              <w:bidi w:val="0"/>
              <w:spacing w:before="120" w:after="120" w:line="360" w:lineRule="auto"/>
              <w:textAlignment w:val="auto"/>
              <w:rPr>
                <w:rFonts w:cs="仿宋"/>
              </w:rPr>
            </w:pPr>
            <w:r>
              <w:rPr>
                <w:rFonts w:hint="eastAsia" w:cs="仿宋"/>
              </w:rPr>
              <w:t>乙方工程师</w:t>
            </w:r>
          </w:p>
        </w:tc>
        <w:tc>
          <w:tcPr>
            <w:tcW w:w="1560" w:type="dxa"/>
            <w:vMerge w:val="restart"/>
            <w:tcBorders>
              <w:top w:val="single" w:color="auto" w:sz="4" w:space="0"/>
              <w:left w:val="single" w:color="auto" w:sz="4" w:space="0"/>
              <w:bottom w:val="single" w:color="auto" w:sz="4" w:space="0"/>
              <w:right w:val="single" w:color="auto" w:sz="4" w:space="0"/>
            </w:tcBorders>
          </w:tcPr>
          <w:p w14:paraId="47EED996">
            <w:pPr>
              <w:pageBreakBefore w:val="0"/>
              <w:kinsoku/>
              <w:wordWrap/>
              <w:overflowPunct/>
              <w:topLinePunct w:val="0"/>
              <w:autoSpaceDE/>
              <w:autoSpaceDN/>
              <w:bidi w:val="0"/>
              <w:spacing w:before="120" w:after="120" w:line="360" w:lineRule="auto"/>
              <w:textAlignment w:val="auto"/>
            </w:pPr>
            <w:r>
              <w:rPr>
                <w:rFonts w:hint="eastAsia" w:cs="仿宋"/>
              </w:rPr>
              <w:t>计算机机房管理人员</w:t>
            </w:r>
          </w:p>
          <w:p w14:paraId="09DBAB27">
            <w:pPr>
              <w:pageBreakBefore w:val="0"/>
              <w:kinsoku/>
              <w:wordWrap/>
              <w:overflowPunct/>
              <w:topLinePunct w:val="0"/>
              <w:autoSpaceDE/>
              <w:autoSpaceDN/>
              <w:bidi w:val="0"/>
              <w:spacing w:line="360" w:lineRule="auto"/>
              <w:textAlignment w:val="auto"/>
            </w:pPr>
          </w:p>
        </w:tc>
        <w:tc>
          <w:tcPr>
            <w:tcW w:w="814" w:type="dxa"/>
            <w:vMerge w:val="restart"/>
            <w:tcBorders>
              <w:top w:val="single" w:color="auto" w:sz="4" w:space="0"/>
              <w:left w:val="single" w:color="auto" w:sz="4" w:space="0"/>
              <w:bottom w:val="single" w:color="auto" w:sz="4" w:space="0"/>
              <w:right w:val="single" w:color="auto" w:sz="4" w:space="0"/>
            </w:tcBorders>
          </w:tcPr>
          <w:p w14:paraId="1ACAF485">
            <w:pPr>
              <w:pageBreakBefore w:val="0"/>
              <w:kinsoku/>
              <w:wordWrap/>
              <w:overflowPunct/>
              <w:topLinePunct w:val="0"/>
              <w:autoSpaceDE/>
              <w:autoSpaceDN/>
              <w:bidi w:val="0"/>
              <w:spacing w:line="360" w:lineRule="auto"/>
              <w:textAlignment w:val="auto"/>
            </w:pPr>
          </w:p>
        </w:tc>
      </w:tr>
      <w:tr w14:paraId="2680B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5018A1B7">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71DAD465">
            <w:pPr>
              <w:pageBreakBefore w:val="0"/>
              <w:kinsoku/>
              <w:wordWrap/>
              <w:overflowPunct/>
              <w:topLinePunct w:val="0"/>
              <w:autoSpaceDE/>
              <w:autoSpaceDN/>
              <w:bidi w:val="0"/>
              <w:spacing w:line="360" w:lineRule="auto"/>
              <w:jc w:val="center"/>
              <w:textAlignment w:val="auto"/>
            </w:pPr>
            <w:r>
              <w:rPr>
                <w:rFonts w:hint="eastAsia"/>
              </w:rPr>
              <w:t>各单元结构说明</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5C3B681A">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61C78C1F">
            <w:pPr>
              <w:pageBreakBefore w:val="0"/>
              <w:widowControl/>
              <w:kinsoku/>
              <w:wordWrap/>
              <w:overflowPunct/>
              <w:topLinePunct w:val="0"/>
              <w:autoSpaceDE/>
              <w:autoSpaceDN/>
              <w:bidi w:val="0"/>
              <w:spacing w:line="360" w:lineRule="auto"/>
              <w:textAlignment w:val="auto"/>
              <w:rPr>
                <w:rFonts w:cs="仿宋"/>
              </w:rPr>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4555E884">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2E5DE7C5">
            <w:pPr>
              <w:pageBreakBefore w:val="0"/>
              <w:widowControl/>
              <w:kinsoku/>
              <w:wordWrap/>
              <w:overflowPunct/>
              <w:topLinePunct w:val="0"/>
              <w:autoSpaceDE/>
              <w:autoSpaceDN/>
              <w:bidi w:val="0"/>
              <w:spacing w:line="360" w:lineRule="auto"/>
              <w:textAlignment w:val="auto"/>
            </w:pPr>
          </w:p>
        </w:tc>
      </w:tr>
      <w:tr w14:paraId="256D4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0DAECC91">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2985EF3C">
            <w:pPr>
              <w:pageBreakBefore w:val="0"/>
              <w:kinsoku/>
              <w:wordWrap/>
              <w:overflowPunct/>
              <w:topLinePunct w:val="0"/>
              <w:autoSpaceDE/>
              <w:autoSpaceDN/>
              <w:bidi w:val="0"/>
              <w:spacing w:line="360" w:lineRule="auto"/>
              <w:jc w:val="center"/>
              <w:textAlignment w:val="auto"/>
            </w:pPr>
            <w:r>
              <w:rPr>
                <w:rFonts w:hint="eastAsia"/>
              </w:rPr>
              <w:t>单元保养操作</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6F81B871">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36DD836A">
            <w:pPr>
              <w:pageBreakBefore w:val="0"/>
              <w:widowControl/>
              <w:kinsoku/>
              <w:wordWrap/>
              <w:overflowPunct/>
              <w:topLinePunct w:val="0"/>
              <w:autoSpaceDE/>
              <w:autoSpaceDN/>
              <w:bidi w:val="0"/>
              <w:spacing w:line="360" w:lineRule="auto"/>
              <w:textAlignment w:val="auto"/>
              <w:rPr>
                <w:rFonts w:cs="仿宋"/>
              </w:rPr>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3B1F4AEC">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1F7A7A32">
            <w:pPr>
              <w:pageBreakBefore w:val="0"/>
              <w:widowControl/>
              <w:kinsoku/>
              <w:wordWrap/>
              <w:overflowPunct/>
              <w:topLinePunct w:val="0"/>
              <w:autoSpaceDE/>
              <w:autoSpaceDN/>
              <w:bidi w:val="0"/>
              <w:spacing w:line="360" w:lineRule="auto"/>
              <w:textAlignment w:val="auto"/>
            </w:pPr>
          </w:p>
        </w:tc>
      </w:tr>
      <w:tr w14:paraId="1BD5A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dxa"/>
            <w:vMerge w:val="continue"/>
            <w:tcBorders>
              <w:top w:val="single" w:color="auto" w:sz="4" w:space="0"/>
              <w:left w:val="single" w:color="auto" w:sz="4" w:space="0"/>
              <w:bottom w:val="single" w:color="auto" w:sz="4" w:space="0"/>
              <w:right w:val="single" w:color="auto" w:sz="4" w:space="0"/>
            </w:tcBorders>
            <w:vAlign w:val="center"/>
          </w:tcPr>
          <w:p w14:paraId="14E71014">
            <w:pPr>
              <w:pageBreakBefore w:val="0"/>
              <w:widowControl/>
              <w:kinsoku/>
              <w:wordWrap/>
              <w:overflowPunct/>
              <w:topLinePunct w:val="0"/>
              <w:autoSpaceDE/>
              <w:autoSpaceDN/>
              <w:bidi w:val="0"/>
              <w:spacing w:line="360" w:lineRule="auto"/>
              <w:textAlignment w:val="auto"/>
            </w:pPr>
          </w:p>
        </w:tc>
        <w:tc>
          <w:tcPr>
            <w:tcW w:w="2530" w:type="dxa"/>
            <w:tcBorders>
              <w:top w:val="single" w:color="auto" w:sz="4" w:space="0"/>
              <w:left w:val="single" w:color="auto" w:sz="4" w:space="0"/>
              <w:bottom w:val="single" w:color="auto" w:sz="4" w:space="0"/>
              <w:right w:val="single" w:color="auto" w:sz="4" w:space="0"/>
            </w:tcBorders>
          </w:tcPr>
          <w:p w14:paraId="012FC330">
            <w:pPr>
              <w:pageBreakBefore w:val="0"/>
              <w:kinsoku/>
              <w:wordWrap/>
              <w:overflowPunct/>
              <w:topLinePunct w:val="0"/>
              <w:autoSpaceDE/>
              <w:autoSpaceDN/>
              <w:bidi w:val="0"/>
              <w:spacing w:line="360" w:lineRule="auto"/>
              <w:jc w:val="center"/>
              <w:textAlignment w:val="auto"/>
            </w:pPr>
            <w:r>
              <w:rPr>
                <w:rFonts w:hint="eastAsia"/>
              </w:rPr>
              <w:t>零件更换</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6E6A1059">
            <w:pPr>
              <w:pageBreakBefore w:val="0"/>
              <w:widowControl/>
              <w:kinsoku/>
              <w:wordWrap/>
              <w:overflowPunct/>
              <w:topLinePunct w:val="0"/>
              <w:autoSpaceDE/>
              <w:autoSpaceDN/>
              <w:bidi w:val="0"/>
              <w:spacing w:line="360" w:lineRule="auto"/>
              <w:textAlignment w:val="auto"/>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1884F9F6">
            <w:pPr>
              <w:pageBreakBefore w:val="0"/>
              <w:widowControl/>
              <w:kinsoku/>
              <w:wordWrap/>
              <w:overflowPunct/>
              <w:topLinePunct w:val="0"/>
              <w:autoSpaceDE/>
              <w:autoSpaceDN/>
              <w:bidi w:val="0"/>
              <w:spacing w:line="360" w:lineRule="auto"/>
              <w:textAlignment w:val="auto"/>
              <w:rPr>
                <w:rFonts w:cs="仿宋"/>
              </w:rPr>
            </w:pPr>
          </w:p>
        </w:tc>
        <w:tc>
          <w:tcPr>
            <w:tcW w:w="1560" w:type="dxa"/>
            <w:vMerge w:val="continue"/>
            <w:tcBorders>
              <w:top w:val="single" w:color="auto" w:sz="4" w:space="0"/>
              <w:left w:val="single" w:color="auto" w:sz="4" w:space="0"/>
              <w:bottom w:val="single" w:color="auto" w:sz="4" w:space="0"/>
              <w:right w:val="single" w:color="auto" w:sz="4" w:space="0"/>
            </w:tcBorders>
            <w:vAlign w:val="center"/>
          </w:tcPr>
          <w:p w14:paraId="56E9D093">
            <w:pPr>
              <w:pageBreakBefore w:val="0"/>
              <w:widowControl/>
              <w:kinsoku/>
              <w:wordWrap/>
              <w:overflowPunct/>
              <w:topLinePunct w:val="0"/>
              <w:autoSpaceDE/>
              <w:autoSpaceDN/>
              <w:bidi w:val="0"/>
              <w:spacing w:line="360" w:lineRule="auto"/>
              <w:textAlignment w:val="auto"/>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4D540679">
            <w:pPr>
              <w:pageBreakBefore w:val="0"/>
              <w:widowControl/>
              <w:kinsoku/>
              <w:wordWrap/>
              <w:overflowPunct/>
              <w:topLinePunct w:val="0"/>
              <w:autoSpaceDE/>
              <w:autoSpaceDN/>
              <w:bidi w:val="0"/>
              <w:spacing w:line="360" w:lineRule="auto"/>
              <w:textAlignment w:val="auto"/>
            </w:pPr>
          </w:p>
        </w:tc>
      </w:tr>
    </w:tbl>
    <w:p w14:paraId="2D1F0290">
      <w:pPr>
        <w:pStyle w:val="10"/>
        <w:pageBreakBefore w:val="0"/>
        <w:numPr>
          <w:ilvl w:val="3"/>
          <w:numId w:val="12"/>
        </w:numPr>
        <w:kinsoku/>
        <w:wordWrap/>
        <w:overflowPunct/>
        <w:topLinePunct w:val="0"/>
        <w:autoSpaceDE/>
        <w:autoSpaceDN/>
        <w:bidi w:val="0"/>
        <w:spacing w:line="360" w:lineRule="auto"/>
        <w:textAlignment w:val="auto"/>
      </w:pPr>
      <w:bookmarkStart w:id="737" w:name="_Toc522060614"/>
      <w:bookmarkStart w:id="738" w:name="_Toc2038601669"/>
      <w:r>
        <w:rPr>
          <w:rFonts w:hint="eastAsia"/>
        </w:rPr>
        <w:t>培训方式方法</w:t>
      </w:r>
      <w:bookmarkEnd w:id="737"/>
      <w:bookmarkEnd w:id="738"/>
    </w:p>
    <w:p w14:paraId="76A40D7E">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为打造客户专业技术团队提供合适的培训方案和知识转移计划，全面提升相关业务、技术人员等岗位各角色综合素质和业务能力。</w:t>
      </w:r>
    </w:p>
    <w:p w14:paraId="66A17911">
      <w:pPr>
        <w:pStyle w:val="12"/>
        <w:pageBreakBefore w:val="0"/>
        <w:numPr>
          <w:ilvl w:val="4"/>
          <w:numId w:val="12"/>
        </w:numPr>
        <w:kinsoku/>
        <w:wordWrap/>
        <w:overflowPunct/>
        <w:topLinePunct w:val="0"/>
        <w:autoSpaceDE/>
        <w:autoSpaceDN/>
        <w:bidi w:val="0"/>
        <w:spacing w:line="360" w:lineRule="auto"/>
        <w:textAlignment w:val="auto"/>
        <w:rPr>
          <w:rFonts w:cs="Arial"/>
          <w:lang w:eastAsia="zh-CN"/>
        </w:rPr>
      </w:pPr>
      <w:bookmarkStart w:id="739" w:name="_Toc1432674991"/>
      <w:r>
        <w:rPr>
          <w:rFonts w:hint="eastAsia" w:cs="Arial"/>
          <w:lang w:eastAsia="zh-CN"/>
        </w:rPr>
        <w:t>培训方式</w:t>
      </w:r>
      <w:bookmarkEnd w:id="739"/>
    </w:p>
    <w:p w14:paraId="5F41CF8D">
      <w:pPr>
        <w:pageBreakBefore w:val="0"/>
        <w:kinsoku/>
        <w:wordWrap/>
        <w:overflowPunct/>
        <w:topLinePunct w:val="0"/>
        <w:autoSpaceDE/>
        <w:autoSpaceDN/>
        <w:bidi w:val="0"/>
        <w:spacing w:line="360" w:lineRule="auto"/>
        <w:ind w:firstLine="420"/>
        <w:textAlignment w:val="auto"/>
        <w:rPr>
          <w:rFonts w:cs="Arial"/>
        </w:rPr>
      </w:pPr>
      <w:r>
        <w:rPr>
          <w:rFonts w:hint="eastAsia" w:cs="Arial"/>
        </w:rPr>
        <w:t>综合考虑客户培训需求、培训对象、培训时间安排，可采用现场培训和远程视频培训两种培训方式；针对不同层级人员即培训需求可灵活采用集中培训或一对一培训方式。</w:t>
      </w:r>
    </w:p>
    <w:p w14:paraId="4AA321B3">
      <w:pPr>
        <w:pageBreakBefore w:val="0"/>
        <w:kinsoku/>
        <w:wordWrap/>
        <w:overflowPunct/>
        <w:topLinePunct w:val="0"/>
        <w:autoSpaceDE/>
        <w:autoSpaceDN/>
        <w:bidi w:val="0"/>
        <w:spacing w:line="360" w:lineRule="auto"/>
        <w:ind w:firstLine="420"/>
        <w:textAlignment w:val="auto"/>
        <w:rPr>
          <w:rFonts w:cs="Arial"/>
        </w:rPr>
      </w:pPr>
    </w:p>
    <w:p w14:paraId="7F03E82D">
      <w:pPr>
        <w:pStyle w:val="12"/>
        <w:pageBreakBefore w:val="0"/>
        <w:numPr>
          <w:ilvl w:val="4"/>
          <w:numId w:val="12"/>
        </w:numPr>
        <w:kinsoku/>
        <w:wordWrap/>
        <w:overflowPunct/>
        <w:topLinePunct w:val="0"/>
        <w:autoSpaceDE/>
        <w:autoSpaceDN/>
        <w:bidi w:val="0"/>
        <w:spacing w:line="360" w:lineRule="auto"/>
        <w:textAlignment w:val="auto"/>
        <w:rPr>
          <w:rFonts w:cs="Arial"/>
        </w:rPr>
      </w:pPr>
      <w:bookmarkStart w:id="740" w:name="_Toc601902688"/>
      <w:r>
        <w:rPr>
          <w:rFonts w:hint="eastAsia" w:cs="Arial"/>
        </w:rPr>
        <w:t>培训需求分析</w:t>
      </w:r>
      <w:bookmarkEnd w:id="740"/>
    </w:p>
    <w:p w14:paraId="67D92305">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目的在于提高系统维护、管理、操作使用人员的综合运用能力。根据本项目的设计目标和设计难点，由项目组梳理培训总体规划与需求。包括：</w:t>
      </w:r>
    </w:p>
    <w:p w14:paraId="39F10FB8">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专业技能：软件系统基础操作、扩展需求实现方法、系统部署等方面知识。</w:t>
      </w:r>
    </w:p>
    <w:p w14:paraId="2EB8543C">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业务技能：业务功能使用、业务流程、业务相关人员岗位职责、系统流程和操作、系统软件异常处理等。</w:t>
      </w:r>
    </w:p>
    <w:p w14:paraId="2DF7DE95">
      <w:pPr>
        <w:pStyle w:val="12"/>
        <w:pageBreakBefore w:val="0"/>
        <w:numPr>
          <w:ilvl w:val="4"/>
          <w:numId w:val="12"/>
        </w:numPr>
        <w:kinsoku/>
        <w:wordWrap/>
        <w:overflowPunct/>
        <w:topLinePunct w:val="0"/>
        <w:autoSpaceDE/>
        <w:autoSpaceDN/>
        <w:bidi w:val="0"/>
        <w:spacing w:line="360" w:lineRule="auto"/>
        <w:textAlignment w:val="auto"/>
        <w:rPr>
          <w:rFonts w:cs="Arial"/>
        </w:rPr>
      </w:pPr>
      <w:bookmarkStart w:id="741" w:name="_Toc2003976604"/>
      <w:r>
        <w:rPr>
          <w:rFonts w:hint="eastAsia" w:cs="Arial"/>
        </w:rPr>
        <w:t>任务分析</w:t>
      </w:r>
      <w:bookmarkEnd w:id="741"/>
    </w:p>
    <w:p w14:paraId="5992832A">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由于各类工作岗位的任务内容不同，因而对培训的要求也就不同。有些工作任务可能要求培训提供专业知识方面的支持，有些工作任务可能要求培训提供解决某种问题的方法。因此要想为某项工作任务选择切实可行的培训方法，就需要采用特定的方式，对岗位工作任务的培训需求进行分析。</w:t>
      </w:r>
    </w:p>
    <w:p w14:paraId="7F6D1751">
      <w:pPr>
        <w:pStyle w:val="12"/>
        <w:pageBreakBefore w:val="0"/>
        <w:numPr>
          <w:ilvl w:val="4"/>
          <w:numId w:val="12"/>
        </w:numPr>
        <w:kinsoku/>
        <w:wordWrap/>
        <w:overflowPunct/>
        <w:topLinePunct w:val="0"/>
        <w:autoSpaceDE/>
        <w:autoSpaceDN/>
        <w:bidi w:val="0"/>
        <w:spacing w:line="360" w:lineRule="auto"/>
        <w:textAlignment w:val="auto"/>
        <w:rPr>
          <w:rFonts w:cs="Arial"/>
        </w:rPr>
      </w:pPr>
      <w:bookmarkStart w:id="742" w:name="_Toc1553879262"/>
      <w:r>
        <w:rPr>
          <w:rFonts w:hint="eastAsia" w:cs="Arial"/>
        </w:rPr>
        <w:t>制定培训策略</w:t>
      </w:r>
      <w:bookmarkEnd w:id="742"/>
    </w:p>
    <w:p w14:paraId="31488AC3">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制定培训策略就是根据培训面临的问题环境，来选择、制定相应的策略。在培训过程中，我们一般采用体验式培训法和教学式培训法两种策略。体验式培训法是在测试的环境中，以用户为主，通过操作体验、操作分享、答疑交流、意见归纳、实际应用的流程步骤，推动各岗位各角色人员逐步掌握平台使用和运维技能。</w:t>
      </w:r>
    </w:p>
    <w:p w14:paraId="3F64CC85">
      <w:pPr>
        <w:pStyle w:val="12"/>
        <w:pageBreakBefore w:val="0"/>
        <w:numPr>
          <w:ilvl w:val="4"/>
          <w:numId w:val="12"/>
        </w:numPr>
        <w:kinsoku/>
        <w:wordWrap/>
        <w:overflowPunct/>
        <w:topLinePunct w:val="0"/>
        <w:autoSpaceDE/>
        <w:autoSpaceDN/>
        <w:bidi w:val="0"/>
        <w:spacing w:line="360" w:lineRule="auto"/>
        <w:textAlignment w:val="auto"/>
        <w:rPr>
          <w:rFonts w:cs="Arial"/>
        </w:rPr>
      </w:pPr>
      <w:bookmarkStart w:id="743" w:name="_Toc1903236673"/>
      <w:r>
        <w:rPr>
          <w:rFonts w:hint="eastAsia" w:cs="Arial"/>
        </w:rPr>
        <w:t>讲解答疑</w:t>
      </w:r>
      <w:bookmarkEnd w:id="743"/>
    </w:p>
    <w:p w14:paraId="6B141075">
      <w:pPr>
        <w:pageBreakBefore w:val="0"/>
        <w:kinsoku/>
        <w:wordWrap/>
        <w:overflowPunct/>
        <w:topLinePunct w:val="0"/>
        <w:autoSpaceDE/>
        <w:autoSpaceDN/>
        <w:bidi w:val="0"/>
        <w:spacing w:before="120" w:after="120" w:line="360" w:lineRule="auto"/>
        <w:ind w:firstLine="420"/>
        <w:textAlignment w:val="auto"/>
      </w:pPr>
      <w:r>
        <w:rPr>
          <w:rFonts w:hint="eastAsia" w:cs="Arial"/>
        </w:rPr>
        <w:t xml:space="preserve">根据制定的课程，由项目组各专业领域讲师授课，用户提交在培训工作中遇到的问题,由培训讲师解答。 </w:t>
      </w:r>
    </w:p>
    <w:p w14:paraId="1D47B257">
      <w:pPr>
        <w:pStyle w:val="10"/>
        <w:pageBreakBefore w:val="0"/>
        <w:numPr>
          <w:ilvl w:val="3"/>
          <w:numId w:val="12"/>
        </w:numPr>
        <w:kinsoku/>
        <w:wordWrap/>
        <w:overflowPunct/>
        <w:topLinePunct w:val="0"/>
        <w:autoSpaceDE/>
        <w:autoSpaceDN/>
        <w:bidi w:val="0"/>
        <w:spacing w:line="360" w:lineRule="auto"/>
        <w:textAlignment w:val="auto"/>
      </w:pPr>
      <w:bookmarkStart w:id="744" w:name="_Toc45367970"/>
      <w:bookmarkStart w:id="745" w:name="_Toc917705799"/>
      <w:r>
        <w:rPr>
          <w:rFonts w:hint="eastAsia"/>
        </w:rPr>
        <w:t>培训对象</w:t>
      </w:r>
      <w:bookmarkEnd w:id="744"/>
      <w:bookmarkEnd w:id="745"/>
    </w:p>
    <w:p w14:paraId="5E6ADAE1">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我司将对招标单位技术人员进行必要的技术培训，使招标单位具备独立使用和维护整个系统的能力。此外，我司提供本系统相应的应用软件操作等方面的培训，有关应用软件的操作培训课程，在系统正式运行前基本完成。</w:t>
      </w:r>
    </w:p>
    <w:p w14:paraId="09CBA3F8">
      <w:pPr>
        <w:pStyle w:val="12"/>
        <w:pageBreakBefore w:val="0"/>
        <w:numPr>
          <w:ilvl w:val="4"/>
          <w:numId w:val="12"/>
        </w:numPr>
        <w:kinsoku/>
        <w:wordWrap/>
        <w:overflowPunct/>
        <w:topLinePunct w:val="0"/>
        <w:autoSpaceDE/>
        <w:autoSpaceDN/>
        <w:bidi w:val="0"/>
        <w:spacing w:line="360" w:lineRule="auto"/>
        <w:textAlignment w:val="auto"/>
      </w:pPr>
      <w:bookmarkStart w:id="746" w:name="_Toc1328040899"/>
      <w:r>
        <w:rPr>
          <w:rFonts w:hint="eastAsia"/>
        </w:rPr>
        <w:t>管理层</w:t>
      </w:r>
      <w:bookmarkEnd w:id="746"/>
    </w:p>
    <w:p w14:paraId="21E29115">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培训侧重于系统所包含的管理理念及其在系统中的体现，并使其具备熟悉系统报表制作、数据分析、利用系统处理业务能力。</w:t>
      </w:r>
    </w:p>
    <w:p w14:paraId="0305E6E7">
      <w:pPr>
        <w:pStyle w:val="12"/>
        <w:pageBreakBefore w:val="0"/>
        <w:numPr>
          <w:ilvl w:val="4"/>
          <w:numId w:val="12"/>
        </w:numPr>
        <w:kinsoku/>
        <w:wordWrap/>
        <w:overflowPunct/>
        <w:topLinePunct w:val="0"/>
        <w:autoSpaceDE/>
        <w:autoSpaceDN/>
        <w:bidi w:val="0"/>
        <w:spacing w:line="360" w:lineRule="auto"/>
        <w:textAlignment w:val="auto"/>
      </w:pPr>
      <w:bookmarkStart w:id="747" w:name="_Toc17512065"/>
      <w:r>
        <w:rPr>
          <w:rFonts w:hint="eastAsia"/>
        </w:rPr>
        <w:t>核心技术人员</w:t>
      </w:r>
      <w:bookmarkEnd w:id="747"/>
    </w:p>
    <w:p w14:paraId="1582DAD8">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维护管理层：针对系统维护人员，使其具备在我方免费维护期结束后具备独立承担系统的日常维护（如系统应用、故障排除、数据备份和恢复、系统重新部署等）的能力。</w:t>
      </w:r>
    </w:p>
    <w:p w14:paraId="2855B0A4">
      <w:pPr>
        <w:pStyle w:val="12"/>
        <w:pageBreakBefore w:val="0"/>
        <w:numPr>
          <w:ilvl w:val="4"/>
          <w:numId w:val="12"/>
        </w:numPr>
        <w:kinsoku/>
        <w:wordWrap/>
        <w:overflowPunct/>
        <w:topLinePunct w:val="0"/>
        <w:autoSpaceDE/>
        <w:autoSpaceDN/>
        <w:bidi w:val="0"/>
        <w:spacing w:line="360" w:lineRule="auto"/>
        <w:textAlignment w:val="auto"/>
      </w:pPr>
      <w:bookmarkStart w:id="748" w:name="_Toc911837967"/>
      <w:r>
        <w:rPr>
          <w:rFonts w:hint="eastAsia"/>
        </w:rPr>
        <w:t>系统操作人员</w:t>
      </w:r>
      <w:bookmarkEnd w:id="748"/>
    </w:p>
    <w:p w14:paraId="4AE3EEBE">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培训侧重于系统各功能模块所具备的功能及其使用方法，使其具备熟悉系统、利用系统开展工作的能力。</w:t>
      </w:r>
    </w:p>
    <w:p w14:paraId="676AB080">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我方提供详细的培训计划，说明培训的详细内容，包括时间、地点、参加人数、课程安排等。将详细的培训课程以及时间表交给用户。</w:t>
      </w:r>
    </w:p>
    <w:p w14:paraId="6676FEDA">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系统培训时提供系统涉及的管理、技术系列培训课件，培训课件为中文书写。</w:t>
      </w:r>
    </w:p>
    <w:p w14:paraId="41E3FDEC">
      <w:pPr>
        <w:pStyle w:val="10"/>
        <w:pageBreakBefore w:val="0"/>
        <w:numPr>
          <w:ilvl w:val="3"/>
          <w:numId w:val="12"/>
        </w:numPr>
        <w:kinsoku/>
        <w:wordWrap/>
        <w:overflowPunct/>
        <w:topLinePunct w:val="0"/>
        <w:autoSpaceDE/>
        <w:autoSpaceDN/>
        <w:bidi w:val="0"/>
        <w:spacing w:line="360" w:lineRule="auto"/>
        <w:textAlignment w:val="auto"/>
      </w:pPr>
      <w:bookmarkStart w:id="749" w:name="_Toc760634085"/>
      <w:bookmarkStart w:id="750" w:name="_Toc723461690"/>
      <w:r>
        <w:rPr>
          <w:rFonts w:hint="eastAsia"/>
        </w:rPr>
        <w:t>培训计划</w:t>
      </w:r>
      <w:bookmarkEnd w:id="749"/>
      <w:bookmarkEnd w:id="750"/>
    </w:p>
    <w:p w14:paraId="716A7231">
      <w:pPr>
        <w:pageBreakBefore w:val="0"/>
        <w:kinsoku/>
        <w:wordWrap/>
        <w:overflowPunct/>
        <w:topLinePunct w:val="0"/>
        <w:autoSpaceDE/>
        <w:autoSpaceDN/>
        <w:bidi w:val="0"/>
        <w:spacing w:before="120" w:after="120" w:line="360" w:lineRule="auto"/>
        <w:ind w:firstLine="420"/>
        <w:textAlignment w:val="auto"/>
      </w:pPr>
      <w:r>
        <w:rPr>
          <w:rFonts w:hint="eastAsia"/>
        </w:rPr>
        <w:t xml:space="preserve">培训科目主要包括以下内容：系统基础操作、扩展需求实现方法、系统部署、系统功能使用培训、系统业务流程培训、业务相关人员岗位职责培训、系统流程和操作培训、系统异常处理培训，具体培训安排如下： </w:t>
      </w:r>
    </w:p>
    <w:tbl>
      <w:tblPr>
        <w:tblStyle w:val="43"/>
        <w:tblW w:w="84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9"/>
        <w:gridCol w:w="860"/>
        <w:gridCol w:w="1300"/>
        <w:gridCol w:w="980"/>
        <w:gridCol w:w="980"/>
        <w:gridCol w:w="2279"/>
        <w:gridCol w:w="978"/>
        <w:gridCol w:w="539"/>
      </w:tblGrid>
      <w:tr w14:paraId="4F8B6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047F0A69">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序号</w:t>
            </w:r>
          </w:p>
        </w:tc>
        <w:tc>
          <w:tcPr>
            <w:tcW w:w="860" w:type="dxa"/>
            <w:tcBorders>
              <w:top w:val="single" w:color="auto" w:sz="4" w:space="0"/>
              <w:left w:val="single" w:color="auto" w:sz="4" w:space="0"/>
              <w:bottom w:val="single" w:color="auto" w:sz="4" w:space="0"/>
              <w:right w:val="single" w:color="auto" w:sz="4" w:space="0"/>
            </w:tcBorders>
            <w:vAlign w:val="center"/>
          </w:tcPr>
          <w:p w14:paraId="07E92B6D">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培训讲师</w:t>
            </w:r>
          </w:p>
        </w:tc>
        <w:tc>
          <w:tcPr>
            <w:tcW w:w="1300" w:type="dxa"/>
            <w:tcBorders>
              <w:top w:val="single" w:color="auto" w:sz="4" w:space="0"/>
              <w:left w:val="single" w:color="auto" w:sz="4" w:space="0"/>
              <w:bottom w:val="single" w:color="auto" w:sz="4" w:space="0"/>
              <w:right w:val="single" w:color="auto" w:sz="4" w:space="0"/>
            </w:tcBorders>
            <w:vAlign w:val="center"/>
          </w:tcPr>
          <w:p w14:paraId="57D6C6F1">
            <w:pPr>
              <w:pageBreakBefore w:val="0"/>
              <w:kinsoku/>
              <w:wordWrap/>
              <w:overflowPunct/>
              <w:topLinePunct w:val="0"/>
              <w:autoSpaceDE/>
              <w:autoSpaceDN/>
              <w:bidi w:val="0"/>
              <w:spacing w:before="120" w:after="120" w:line="360" w:lineRule="auto"/>
              <w:jc w:val="both"/>
              <w:textAlignment w:val="auto"/>
              <w:rPr>
                <w:rFonts w:cs="宋体"/>
                <w:b/>
                <w:bCs/>
                <w:sz w:val="22"/>
                <w:szCs w:val="22"/>
              </w:rPr>
            </w:pPr>
            <w:r>
              <w:rPr>
                <w:rFonts w:hint="eastAsia" w:cs="宋体"/>
                <w:b/>
                <w:bCs/>
                <w:sz w:val="22"/>
                <w:szCs w:val="22"/>
              </w:rPr>
              <w:t>培训对象</w:t>
            </w:r>
          </w:p>
        </w:tc>
        <w:tc>
          <w:tcPr>
            <w:tcW w:w="980" w:type="dxa"/>
            <w:tcBorders>
              <w:top w:val="single" w:color="auto" w:sz="4" w:space="0"/>
              <w:left w:val="single" w:color="auto" w:sz="4" w:space="0"/>
              <w:bottom w:val="single" w:color="auto" w:sz="4" w:space="0"/>
              <w:right w:val="single" w:color="auto" w:sz="4" w:space="0"/>
            </w:tcBorders>
            <w:vAlign w:val="center"/>
          </w:tcPr>
          <w:p w14:paraId="62CF6107">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培训地点</w:t>
            </w:r>
          </w:p>
        </w:tc>
        <w:tc>
          <w:tcPr>
            <w:tcW w:w="980" w:type="dxa"/>
            <w:tcBorders>
              <w:top w:val="single" w:color="auto" w:sz="4" w:space="0"/>
              <w:left w:val="single" w:color="auto" w:sz="4" w:space="0"/>
              <w:bottom w:val="single" w:color="auto" w:sz="4" w:space="0"/>
              <w:right w:val="single" w:color="auto" w:sz="4" w:space="0"/>
            </w:tcBorders>
            <w:vAlign w:val="center"/>
          </w:tcPr>
          <w:p w14:paraId="19C42F91">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培训</w:t>
            </w:r>
          </w:p>
          <w:p w14:paraId="7BC90C72">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方式</w:t>
            </w:r>
          </w:p>
        </w:tc>
        <w:tc>
          <w:tcPr>
            <w:tcW w:w="2280" w:type="dxa"/>
            <w:tcBorders>
              <w:top w:val="single" w:color="auto" w:sz="4" w:space="0"/>
              <w:left w:val="single" w:color="auto" w:sz="4" w:space="0"/>
              <w:bottom w:val="single" w:color="auto" w:sz="4" w:space="0"/>
              <w:right w:val="single" w:color="auto" w:sz="4" w:space="0"/>
            </w:tcBorders>
            <w:vAlign w:val="center"/>
          </w:tcPr>
          <w:p w14:paraId="6CBAC4A4">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培训科目</w:t>
            </w:r>
          </w:p>
        </w:tc>
        <w:tc>
          <w:tcPr>
            <w:tcW w:w="978" w:type="dxa"/>
            <w:tcBorders>
              <w:top w:val="single" w:color="auto" w:sz="4" w:space="0"/>
              <w:left w:val="single" w:color="auto" w:sz="4" w:space="0"/>
              <w:bottom w:val="single" w:color="auto" w:sz="4" w:space="0"/>
              <w:right w:val="single" w:color="auto" w:sz="4" w:space="0"/>
            </w:tcBorders>
            <w:vAlign w:val="center"/>
          </w:tcPr>
          <w:p w14:paraId="2A87AD1E">
            <w:pPr>
              <w:pageBreakBefore w:val="0"/>
              <w:kinsoku/>
              <w:wordWrap/>
              <w:overflowPunct/>
              <w:topLinePunct w:val="0"/>
              <w:autoSpaceDE/>
              <w:autoSpaceDN/>
              <w:bidi w:val="0"/>
              <w:spacing w:before="120" w:after="120" w:line="360" w:lineRule="auto"/>
              <w:jc w:val="center"/>
              <w:textAlignment w:val="auto"/>
              <w:rPr>
                <w:rFonts w:cs="宋体"/>
                <w:b/>
                <w:bCs/>
                <w:sz w:val="22"/>
                <w:szCs w:val="22"/>
              </w:rPr>
            </w:pPr>
            <w:r>
              <w:rPr>
                <w:rFonts w:hint="eastAsia" w:cs="宋体"/>
                <w:b/>
                <w:bCs/>
                <w:sz w:val="22"/>
                <w:szCs w:val="22"/>
              </w:rPr>
              <w:t>培训时间安排</w:t>
            </w:r>
          </w:p>
        </w:tc>
        <w:tc>
          <w:tcPr>
            <w:tcW w:w="539" w:type="dxa"/>
            <w:tcBorders>
              <w:top w:val="single" w:color="auto" w:sz="4" w:space="0"/>
              <w:left w:val="single" w:color="auto" w:sz="4" w:space="0"/>
              <w:bottom w:val="single" w:color="auto" w:sz="4" w:space="0"/>
              <w:right w:val="single" w:color="auto" w:sz="4" w:space="0"/>
            </w:tcBorders>
            <w:vAlign w:val="center"/>
          </w:tcPr>
          <w:p w14:paraId="3941A8AF">
            <w:pPr>
              <w:pageBreakBefore w:val="0"/>
              <w:kinsoku/>
              <w:wordWrap/>
              <w:overflowPunct/>
              <w:topLinePunct w:val="0"/>
              <w:autoSpaceDE/>
              <w:autoSpaceDN/>
              <w:bidi w:val="0"/>
              <w:spacing w:before="120" w:after="120" w:line="360" w:lineRule="auto"/>
              <w:textAlignment w:val="auto"/>
              <w:rPr>
                <w:rFonts w:cs="宋体"/>
                <w:b/>
                <w:bCs/>
                <w:sz w:val="22"/>
                <w:szCs w:val="22"/>
              </w:rPr>
            </w:pPr>
            <w:r>
              <w:rPr>
                <w:rFonts w:hint="eastAsia" w:cs="宋体"/>
                <w:b/>
                <w:bCs/>
                <w:sz w:val="22"/>
                <w:szCs w:val="22"/>
              </w:rPr>
              <w:t>备注</w:t>
            </w:r>
          </w:p>
        </w:tc>
      </w:tr>
      <w:tr w14:paraId="7CA6D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08624BB6">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1</w:t>
            </w:r>
          </w:p>
        </w:tc>
        <w:tc>
          <w:tcPr>
            <w:tcW w:w="860" w:type="dxa"/>
            <w:vMerge w:val="restart"/>
            <w:tcBorders>
              <w:top w:val="single" w:color="auto" w:sz="4" w:space="0"/>
              <w:left w:val="single" w:color="auto" w:sz="4" w:space="0"/>
              <w:bottom w:val="single" w:color="auto" w:sz="4" w:space="0"/>
              <w:right w:val="single" w:color="auto" w:sz="4" w:space="0"/>
            </w:tcBorders>
            <w:vAlign w:val="center"/>
          </w:tcPr>
          <w:p w14:paraId="3EDEC09D">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乙方工程师</w:t>
            </w:r>
          </w:p>
        </w:tc>
        <w:tc>
          <w:tcPr>
            <w:tcW w:w="1300" w:type="dxa"/>
            <w:tcBorders>
              <w:top w:val="single" w:color="auto" w:sz="4" w:space="0"/>
              <w:left w:val="single" w:color="auto" w:sz="4" w:space="0"/>
              <w:bottom w:val="single" w:color="auto" w:sz="4" w:space="0"/>
              <w:right w:val="single" w:color="auto" w:sz="4" w:space="0"/>
            </w:tcBorders>
            <w:vAlign w:val="center"/>
          </w:tcPr>
          <w:p w14:paraId="2562CE42">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核心技术成员</w:t>
            </w:r>
          </w:p>
        </w:tc>
        <w:tc>
          <w:tcPr>
            <w:tcW w:w="980" w:type="dxa"/>
            <w:vMerge w:val="restart"/>
            <w:tcBorders>
              <w:top w:val="single" w:color="auto" w:sz="4" w:space="0"/>
              <w:left w:val="single" w:color="auto" w:sz="4" w:space="0"/>
              <w:bottom w:val="single" w:color="auto" w:sz="4" w:space="0"/>
              <w:right w:val="single" w:color="auto" w:sz="4" w:space="0"/>
            </w:tcBorders>
            <w:vAlign w:val="center"/>
          </w:tcPr>
          <w:p w14:paraId="4CC8E766">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甲方指定地点</w:t>
            </w:r>
          </w:p>
        </w:tc>
        <w:tc>
          <w:tcPr>
            <w:tcW w:w="980" w:type="dxa"/>
            <w:vMerge w:val="restart"/>
            <w:tcBorders>
              <w:top w:val="single" w:color="auto" w:sz="4" w:space="0"/>
              <w:left w:val="single" w:color="auto" w:sz="4" w:space="0"/>
              <w:bottom w:val="single" w:color="auto" w:sz="4" w:space="0"/>
              <w:right w:val="single" w:color="auto" w:sz="4" w:space="0"/>
            </w:tcBorders>
            <w:vAlign w:val="center"/>
          </w:tcPr>
          <w:p w14:paraId="75EAADAD">
            <w:pPr>
              <w:pageBreakBefore w:val="0"/>
              <w:kinsoku/>
              <w:wordWrap/>
              <w:overflowPunct/>
              <w:topLinePunct w:val="0"/>
              <w:autoSpaceDE/>
              <w:autoSpaceDN/>
              <w:bidi w:val="0"/>
              <w:spacing w:before="120" w:after="120" w:line="360" w:lineRule="auto"/>
              <w:jc w:val="center"/>
              <w:textAlignment w:val="auto"/>
              <w:rPr>
                <w:rFonts w:cs="宋体"/>
                <w:sz w:val="22"/>
                <w:szCs w:val="22"/>
              </w:rPr>
            </w:pPr>
            <w:r>
              <w:rPr>
                <w:rFonts w:hint="eastAsia" w:cs="宋体"/>
                <w:sz w:val="22"/>
                <w:szCs w:val="22"/>
              </w:rPr>
              <w:t>现场集中培训</w:t>
            </w:r>
          </w:p>
          <w:p w14:paraId="60BB2615">
            <w:pPr>
              <w:pageBreakBefore w:val="0"/>
              <w:kinsoku/>
              <w:wordWrap/>
              <w:overflowPunct/>
              <w:topLinePunct w:val="0"/>
              <w:autoSpaceDE/>
              <w:autoSpaceDN/>
              <w:bidi w:val="0"/>
              <w:spacing w:before="120" w:after="120" w:line="360" w:lineRule="auto"/>
              <w:jc w:val="center"/>
              <w:textAlignment w:val="auto"/>
              <w:rPr>
                <w:rFonts w:cs="宋体"/>
                <w:sz w:val="22"/>
                <w:szCs w:val="22"/>
              </w:rPr>
            </w:pPr>
            <w:r>
              <w:rPr>
                <w:rFonts w:hint="eastAsia" w:cs="宋体"/>
                <w:sz w:val="22"/>
                <w:szCs w:val="22"/>
              </w:rPr>
              <w:t>或</w:t>
            </w:r>
          </w:p>
          <w:p w14:paraId="437996C9">
            <w:pPr>
              <w:pageBreakBefore w:val="0"/>
              <w:kinsoku/>
              <w:wordWrap/>
              <w:overflowPunct/>
              <w:topLinePunct w:val="0"/>
              <w:autoSpaceDE/>
              <w:autoSpaceDN/>
              <w:bidi w:val="0"/>
              <w:spacing w:before="120" w:after="120" w:line="360" w:lineRule="auto"/>
              <w:jc w:val="center"/>
              <w:textAlignment w:val="auto"/>
              <w:rPr>
                <w:rFonts w:cs="宋体"/>
                <w:sz w:val="22"/>
                <w:szCs w:val="22"/>
              </w:rPr>
            </w:pPr>
            <w:r>
              <w:rPr>
                <w:rFonts w:hint="eastAsia" w:cs="宋体"/>
                <w:sz w:val="22"/>
                <w:szCs w:val="22"/>
              </w:rPr>
              <w:t>远程视频培训</w:t>
            </w:r>
          </w:p>
        </w:tc>
        <w:tc>
          <w:tcPr>
            <w:tcW w:w="2280" w:type="dxa"/>
            <w:tcBorders>
              <w:top w:val="single" w:color="auto" w:sz="4" w:space="0"/>
              <w:left w:val="single" w:color="auto" w:sz="4" w:space="0"/>
              <w:bottom w:val="single" w:color="auto" w:sz="4" w:space="0"/>
              <w:right w:val="single" w:color="auto" w:sz="4" w:space="0"/>
            </w:tcBorders>
            <w:vAlign w:val="center"/>
          </w:tcPr>
          <w:p w14:paraId="47B3C069">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系统基础操作</w:t>
            </w:r>
          </w:p>
        </w:tc>
        <w:tc>
          <w:tcPr>
            <w:tcW w:w="978" w:type="dxa"/>
            <w:tcBorders>
              <w:top w:val="single" w:color="auto" w:sz="4" w:space="0"/>
              <w:left w:val="single" w:color="auto" w:sz="4" w:space="0"/>
              <w:bottom w:val="single" w:color="auto" w:sz="4" w:space="0"/>
              <w:right w:val="single" w:color="auto" w:sz="4" w:space="0"/>
            </w:tcBorders>
            <w:vAlign w:val="center"/>
          </w:tcPr>
          <w:p w14:paraId="2F098931">
            <w:pPr>
              <w:pageBreakBefore w:val="0"/>
              <w:kinsoku/>
              <w:wordWrap/>
              <w:overflowPunct/>
              <w:topLinePunct w:val="0"/>
              <w:autoSpaceDE/>
              <w:autoSpaceDN/>
              <w:bidi w:val="0"/>
              <w:spacing w:before="120" w:after="120" w:line="360" w:lineRule="auto"/>
              <w:textAlignment w:val="auto"/>
              <w:rPr>
                <w:rFonts w:hint="eastAsia" w:eastAsia="宋体" w:cs="宋体"/>
                <w:sz w:val="22"/>
                <w:szCs w:val="22"/>
                <w:lang w:eastAsia="zh-CN"/>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1CE77C7D">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51331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7DE2822F">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2</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14ADC764">
            <w:pPr>
              <w:pageBreakBefore w:val="0"/>
              <w:kinsoku/>
              <w:wordWrap/>
              <w:overflowPunct/>
              <w:topLinePunct w:val="0"/>
              <w:autoSpaceDE/>
              <w:autoSpaceDN/>
              <w:bidi w:val="0"/>
              <w:spacing w:before="120" w:after="120"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062861C9">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核心技术成员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409BAB77">
            <w:pPr>
              <w:pageBreakBefore w:val="0"/>
              <w:kinsoku/>
              <w:wordWrap/>
              <w:overflowPunct/>
              <w:topLinePunct w:val="0"/>
              <w:autoSpaceDE/>
              <w:autoSpaceDN/>
              <w:bidi w:val="0"/>
              <w:spacing w:before="120" w:after="120"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3DEBE132">
            <w:pPr>
              <w:pageBreakBefore w:val="0"/>
              <w:kinsoku/>
              <w:wordWrap/>
              <w:overflowPunct/>
              <w:topLinePunct w:val="0"/>
              <w:autoSpaceDE/>
              <w:autoSpaceDN/>
              <w:bidi w:val="0"/>
              <w:spacing w:before="120" w:after="120"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04FB61F5">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扩展需求实现方法</w:t>
            </w:r>
          </w:p>
        </w:tc>
        <w:tc>
          <w:tcPr>
            <w:tcW w:w="978" w:type="dxa"/>
            <w:tcBorders>
              <w:top w:val="single" w:color="auto" w:sz="4" w:space="0"/>
              <w:left w:val="single" w:color="auto" w:sz="4" w:space="0"/>
              <w:bottom w:val="single" w:color="auto" w:sz="4" w:space="0"/>
              <w:right w:val="single" w:color="auto" w:sz="4" w:space="0"/>
            </w:tcBorders>
            <w:vAlign w:val="center"/>
          </w:tcPr>
          <w:p w14:paraId="1CB6AD03">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466F0B04">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04D32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74532966">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3</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0F48B55B">
            <w:pPr>
              <w:pageBreakBefore w:val="0"/>
              <w:kinsoku/>
              <w:wordWrap/>
              <w:overflowPunct/>
              <w:topLinePunct w:val="0"/>
              <w:autoSpaceDE/>
              <w:autoSpaceDN/>
              <w:bidi w:val="0"/>
              <w:spacing w:before="120" w:after="120"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17A46163">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核心技术成员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23C39C58">
            <w:pPr>
              <w:pageBreakBefore w:val="0"/>
              <w:kinsoku/>
              <w:wordWrap/>
              <w:overflowPunct/>
              <w:topLinePunct w:val="0"/>
              <w:autoSpaceDE/>
              <w:autoSpaceDN/>
              <w:bidi w:val="0"/>
              <w:spacing w:before="120" w:after="120"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247FFF4B">
            <w:pPr>
              <w:pageBreakBefore w:val="0"/>
              <w:kinsoku/>
              <w:wordWrap/>
              <w:overflowPunct/>
              <w:topLinePunct w:val="0"/>
              <w:autoSpaceDE/>
              <w:autoSpaceDN/>
              <w:bidi w:val="0"/>
              <w:spacing w:before="120" w:after="120"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39F80E55">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系统安装培训</w:t>
            </w:r>
          </w:p>
        </w:tc>
        <w:tc>
          <w:tcPr>
            <w:tcW w:w="978" w:type="dxa"/>
            <w:tcBorders>
              <w:top w:val="single" w:color="auto" w:sz="4" w:space="0"/>
              <w:left w:val="single" w:color="auto" w:sz="4" w:space="0"/>
              <w:bottom w:val="single" w:color="auto" w:sz="4" w:space="0"/>
              <w:right w:val="single" w:color="auto" w:sz="4" w:space="0"/>
            </w:tcBorders>
            <w:vAlign w:val="center"/>
          </w:tcPr>
          <w:p w14:paraId="70D232B1">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6993E45A">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28C6F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540F9AE5">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4</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2E1CBA6B">
            <w:pPr>
              <w:pageBreakBefore w:val="0"/>
              <w:kinsoku/>
              <w:wordWrap/>
              <w:overflowPunct/>
              <w:topLinePunct w:val="0"/>
              <w:autoSpaceDE/>
              <w:autoSpaceDN/>
              <w:bidi w:val="0"/>
              <w:spacing w:before="120" w:after="120"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3AE49058">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核心技术成员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31A5F2BD">
            <w:pPr>
              <w:pageBreakBefore w:val="0"/>
              <w:kinsoku/>
              <w:wordWrap/>
              <w:overflowPunct/>
              <w:topLinePunct w:val="0"/>
              <w:autoSpaceDE/>
              <w:autoSpaceDN/>
              <w:bidi w:val="0"/>
              <w:spacing w:before="120" w:after="120"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05FEB40B">
            <w:pPr>
              <w:pageBreakBefore w:val="0"/>
              <w:kinsoku/>
              <w:wordWrap/>
              <w:overflowPunct/>
              <w:topLinePunct w:val="0"/>
              <w:autoSpaceDE/>
              <w:autoSpaceDN/>
              <w:bidi w:val="0"/>
              <w:spacing w:before="120" w:after="120"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4FE29805">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系统调试配置</w:t>
            </w:r>
          </w:p>
        </w:tc>
        <w:tc>
          <w:tcPr>
            <w:tcW w:w="978" w:type="dxa"/>
            <w:tcBorders>
              <w:top w:val="single" w:color="auto" w:sz="4" w:space="0"/>
              <w:left w:val="single" w:color="auto" w:sz="4" w:space="0"/>
              <w:bottom w:val="single" w:color="auto" w:sz="4" w:space="0"/>
              <w:right w:val="single" w:color="auto" w:sz="4" w:space="0"/>
            </w:tcBorders>
            <w:vAlign w:val="center"/>
          </w:tcPr>
          <w:p w14:paraId="12F82413">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60DC0393">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p>
        </w:tc>
      </w:tr>
      <w:tr w14:paraId="7D34F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79385C3B">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5</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4029F51A">
            <w:pPr>
              <w:pageBreakBefore w:val="0"/>
              <w:widowControl/>
              <w:kinsoku/>
              <w:wordWrap/>
              <w:overflowPunct/>
              <w:topLinePunct w:val="0"/>
              <w:autoSpaceDE/>
              <w:autoSpaceDN/>
              <w:bidi w:val="0"/>
              <w:spacing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11C31209">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系统操作人员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1E528A75">
            <w:pPr>
              <w:pageBreakBefore w:val="0"/>
              <w:widowControl/>
              <w:kinsoku/>
              <w:wordWrap/>
              <w:overflowPunct/>
              <w:topLinePunct w:val="0"/>
              <w:autoSpaceDE/>
              <w:autoSpaceDN/>
              <w:bidi w:val="0"/>
              <w:spacing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6AB6611B">
            <w:pPr>
              <w:pageBreakBefore w:val="0"/>
              <w:widowControl/>
              <w:kinsoku/>
              <w:wordWrap/>
              <w:overflowPunct/>
              <w:topLinePunct w:val="0"/>
              <w:autoSpaceDE/>
              <w:autoSpaceDN/>
              <w:bidi w:val="0"/>
              <w:spacing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21698BE8">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系统原理及功能</w:t>
            </w:r>
          </w:p>
        </w:tc>
        <w:tc>
          <w:tcPr>
            <w:tcW w:w="978" w:type="dxa"/>
            <w:tcBorders>
              <w:top w:val="single" w:color="auto" w:sz="4" w:space="0"/>
              <w:left w:val="single" w:color="auto" w:sz="4" w:space="0"/>
              <w:bottom w:val="single" w:color="auto" w:sz="4" w:space="0"/>
              <w:right w:val="single" w:color="auto" w:sz="4" w:space="0"/>
            </w:tcBorders>
            <w:vAlign w:val="center"/>
          </w:tcPr>
          <w:p w14:paraId="1D50B30A">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6AD8BE2C">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3CA64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117D28DB">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6</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47B03547">
            <w:pPr>
              <w:pageBreakBefore w:val="0"/>
              <w:widowControl/>
              <w:kinsoku/>
              <w:wordWrap/>
              <w:overflowPunct/>
              <w:topLinePunct w:val="0"/>
              <w:autoSpaceDE/>
              <w:autoSpaceDN/>
              <w:bidi w:val="0"/>
              <w:spacing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181E375C">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系统操作人员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5D20BF73">
            <w:pPr>
              <w:pageBreakBefore w:val="0"/>
              <w:widowControl/>
              <w:kinsoku/>
              <w:wordWrap/>
              <w:overflowPunct/>
              <w:topLinePunct w:val="0"/>
              <w:autoSpaceDE/>
              <w:autoSpaceDN/>
              <w:bidi w:val="0"/>
              <w:spacing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0E525CE1">
            <w:pPr>
              <w:pageBreakBefore w:val="0"/>
              <w:widowControl/>
              <w:kinsoku/>
              <w:wordWrap/>
              <w:overflowPunct/>
              <w:topLinePunct w:val="0"/>
              <w:autoSpaceDE/>
              <w:autoSpaceDN/>
              <w:bidi w:val="0"/>
              <w:spacing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7730B04E">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系统业务流程培训</w:t>
            </w:r>
          </w:p>
        </w:tc>
        <w:tc>
          <w:tcPr>
            <w:tcW w:w="978" w:type="dxa"/>
            <w:tcBorders>
              <w:top w:val="single" w:color="auto" w:sz="4" w:space="0"/>
              <w:left w:val="single" w:color="auto" w:sz="4" w:space="0"/>
              <w:bottom w:val="single" w:color="auto" w:sz="4" w:space="0"/>
              <w:right w:val="single" w:color="auto" w:sz="4" w:space="0"/>
            </w:tcBorders>
            <w:vAlign w:val="center"/>
          </w:tcPr>
          <w:p w14:paraId="66CDE38C">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719B426D">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54D0C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3E50CC1D">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7</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768318F1">
            <w:pPr>
              <w:pageBreakBefore w:val="0"/>
              <w:widowControl/>
              <w:kinsoku/>
              <w:wordWrap/>
              <w:overflowPunct/>
              <w:topLinePunct w:val="0"/>
              <w:autoSpaceDE/>
              <w:autoSpaceDN/>
              <w:bidi w:val="0"/>
              <w:spacing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39A1F45E">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系统操作人员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5B5FF377">
            <w:pPr>
              <w:pageBreakBefore w:val="0"/>
              <w:widowControl/>
              <w:kinsoku/>
              <w:wordWrap/>
              <w:overflowPunct/>
              <w:topLinePunct w:val="0"/>
              <w:autoSpaceDE/>
              <w:autoSpaceDN/>
              <w:bidi w:val="0"/>
              <w:spacing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290D5D35">
            <w:pPr>
              <w:pageBreakBefore w:val="0"/>
              <w:widowControl/>
              <w:kinsoku/>
              <w:wordWrap/>
              <w:overflowPunct/>
              <w:topLinePunct w:val="0"/>
              <w:autoSpaceDE/>
              <w:autoSpaceDN/>
              <w:bidi w:val="0"/>
              <w:spacing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5705B036">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业务相关人员岗位职责培训</w:t>
            </w:r>
          </w:p>
        </w:tc>
        <w:tc>
          <w:tcPr>
            <w:tcW w:w="978" w:type="dxa"/>
            <w:tcBorders>
              <w:top w:val="single" w:color="auto" w:sz="4" w:space="0"/>
              <w:left w:val="single" w:color="auto" w:sz="4" w:space="0"/>
              <w:bottom w:val="single" w:color="auto" w:sz="4" w:space="0"/>
              <w:right w:val="single" w:color="auto" w:sz="4" w:space="0"/>
            </w:tcBorders>
            <w:vAlign w:val="center"/>
          </w:tcPr>
          <w:p w14:paraId="5E932F0A">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529E5886">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6982D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323EEBFC">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8</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0886DB4C">
            <w:pPr>
              <w:pageBreakBefore w:val="0"/>
              <w:widowControl/>
              <w:kinsoku/>
              <w:wordWrap/>
              <w:overflowPunct/>
              <w:topLinePunct w:val="0"/>
              <w:autoSpaceDE/>
              <w:autoSpaceDN/>
              <w:bidi w:val="0"/>
              <w:spacing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6FF1FF09">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系统操作人员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1BF2E7A0">
            <w:pPr>
              <w:pageBreakBefore w:val="0"/>
              <w:widowControl/>
              <w:kinsoku/>
              <w:wordWrap/>
              <w:overflowPunct/>
              <w:topLinePunct w:val="0"/>
              <w:autoSpaceDE/>
              <w:autoSpaceDN/>
              <w:bidi w:val="0"/>
              <w:spacing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2461D7BD">
            <w:pPr>
              <w:pageBreakBefore w:val="0"/>
              <w:widowControl/>
              <w:kinsoku/>
              <w:wordWrap/>
              <w:overflowPunct/>
              <w:topLinePunct w:val="0"/>
              <w:autoSpaceDE/>
              <w:autoSpaceDN/>
              <w:bidi w:val="0"/>
              <w:spacing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4AAA3E05">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系统流程和操作规范</w:t>
            </w:r>
          </w:p>
        </w:tc>
        <w:tc>
          <w:tcPr>
            <w:tcW w:w="978" w:type="dxa"/>
            <w:tcBorders>
              <w:top w:val="single" w:color="auto" w:sz="4" w:space="0"/>
              <w:left w:val="single" w:color="auto" w:sz="4" w:space="0"/>
              <w:bottom w:val="single" w:color="auto" w:sz="4" w:space="0"/>
              <w:right w:val="single" w:color="auto" w:sz="4" w:space="0"/>
            </w:tcBorders>
            <w:vAlign w:val="center"/>
          </w:tcPr>
          <w:p w14:paraId="3047E887">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2F0AFC37">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r w14:paraId="458B7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560" w:type="dxa"/>
            <w:tcBorders>
              <w:top w:val="single" w:color="auto" w:sz="4" w:space="0"/>
              <w:left w:val="single" w:color="auto" w:sz="4" w:space="0"/>
              <w:bottom w:val="single" w:color="auto" w:sz="4" w:space="0"/>
              <w:right w:val="single" w:color="auto" w:sz="4" w:space="0"/>
            </w:tcBorders>
            <w:vAlign w:val="center"/>
          </w:tcPr>
          <w:p w14:paraId="661940AC">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9</w:t>
            </w:r>
          </w:p>
        </w:tc>
        <w:tc>
          <w:tcPr>
            <w:tcW w:w="860" w:type="dxa"/>
            <w:vMerge w:val="continue"/>
            <w:tcBorders>
              <w:top w:val="single" w:color="auto" w:sz="4" w:space="0"/>
              <w:left w:val="single" w:color="auto" w:sz="4" w:space="0"/>
              <w:bottom w:val="single" w:color="auto" w:sz="4" w:space="0"/>
              <w:right w:val="single" w:color="auto" w:sz="4" w:space="0"/>
            </w:tcBorders>
            <w:vAlign w:val="center"/>
          </w:tcPr>
          <w:p w14:paraId="1DDCF306">
            <w:pPr>
              <w:pageBreakBefore w:val="0"/>
              <w:widowControl/>
              <w:kinsoku/>
              <w:wordWrap/>
              <w:overflowPunct/>
              <w:topLinePunct w:val="0"/>
              <w:autoSpaceDE/>
              <w:autoSpaceDN/>
              <w:bidi w:val="0"/>
              <w:spacing w:line="360" w:lineRule="auto"/>
              <w:textAlignment w:val="auto"/>
              <w:rPr>
                <w:rFonts w:cs="宋体"/>
                <w:sz w:val="22"/>
                <w:szCs w:val="22"/>
              </w:rPr>
            </w:pPr>
          </w:p>
        </w:tc>
        <w:tc>
          <w:tcPr>
            <w:tcW w:w="1300" w:type="dxa"/>
            <w:tcBorders>
              <w:top w:val="single" w:color="auto" w:sz="4" w:space="0"/>
              <w:left w:val="single" w:color="auto" w:sz="4" w:space="0"/>
              <w:bottom w:val="single" w:color="auto" w:sz="4" w:space="0"/>
              <w:right w:val="single" w:color="auto" w:sz="4" w:space="0"/>
            </w:tcBorders>
            <w:vAlign w:val="center"/>
          </w:tcPr>
          <w:p w14:paraId="0BB4918E">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系统操作人员</w:t>
            </w: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1FF47763">
            <w:pPr>
              <w:pageBreakBefore w:val="0"/>
              <w:widowControl/>
              <w:kinsoku/>
              <w:wordWrap/>
              <w:overflowPunct/>
              <w:topLinePunct w:val="0"/>
              <w:autoSpaceDE/>
              <w:autoSpaceDN/>
              <w:bidi w:val="0"/>
              <w:spacing w:line="360" w:lineRule="auto"/>
              <w:textAlignment w:val="auto"/>
              <w:rPr>
                <w:rFonts w:cs="宋体"/>
                <w:sz w:val="22"/>
                <w:szCs w:val="22"/>
              </w:rPr>
            </w:pPr>
          </w:p>
        </w:tc>
        <w:tc>
          <w:tcPr>
            <w:tcW w:w="980" w:type="dxa"/>
            <w:vMerge w:val="continue"/>
            <w:tcBorders>
              <w:top w:val="single" w:color="auto" w:sz="4" w:space="0"/>
              <w:left w:val="single" w:color="auto" w:sz="4" w:space="0"/>
              <w:bottom w:val="single" w:color="auto" w:sz="4" w:space="0"/>
              <w:right w:val="single" w:color="auto" w:sz="4" w:space="0"/>
            </w:tcBorders>
            <w:vAlign w:val="center"/>
          </w:tcPr>
          <w:p w14:paraId="0F0A7261">
            <w:pPr>
              <w:pageBreakBefore w:val="0"/>
              <w:widowControl/>
              <w:kinsoku/>
              <w:wordWrap/>
              <w:overflowPunct/>
              <w:topLinePunct w:val="0"/>
              <w:autoSpaceDE/>
              <w:autoSpaceDN/>
              <w:bidi w:val="0"/>
              <w:spacing w:line="360" w:lineRule="auto"/>
              <w:textAlignment w:val="auto"/>
              <w:rPr>
                <w:rFonts w:cs="宋体"/>
                <w:sz w:val="22"/>
                <w:szCs w:val="22"/>
              </w:rPr>
            </w:pPr>
          </w:p>
        </w:tc>
        <w:tc>
          <w:tcPr>
            <w:tcW w:w="2280" w:type="dxa"/>
            <w:tcBorders>
              <w:top w:val="single" w:color="auto" w:sz="4" w:space="0"/>
              <w:left w:val="single" w:color="auto" w:sz="4" w:space="0"/>
              <w:bottom w:val="single" w:color="auto" w:sz="4" w:space="0"/>
              <w:right w:val="single" w:color="auto" w:sz="4" w:space="0"/>
            </w:tcBorders>
            <w:vAlign w:val="center"/>
          </w:tcPr>
          <w:p w14:paraId="0ED18DC5">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rPr>
              <w:t>系统异常处理培训</w:t>
            </w:r>
          </w:p>
        </w:tc>
        <w:tc>
          <w:tcPr>
            <w:tcW w:w="978" w:type="dxa"/>
            <w:tcBorders>
              <w:top w:val="single" w:color="auto" w:sz="4" w:space="0"/>
              <w:left w:val="single" w:color="auto" w:sz="4" w:space="0"/>
              <w:bottom w:val="single" w:color="auto" w:sz="4" w:space="0"/>
              <w:right w:val="single" w:color="auto" w:sz="4" w:space="0"/>
            </w:tcBorders>
            <w:vAlign w:val="center"/>
          </w:tcPr>
          <w:p w14:paraId="17E39CC9">
            <w:pPr>
              <w:pageBreakBefore w:val="0"/>
              <w:kinsoku/>
              <w:wordWrap/>
              <w:overflowPunct/>
              <w:topLinePunct w:val="0"/>
              <w:autoSpaceDE/>
              <w:autoSpaceDN/>
              <w:bidi w:val="0"/>
              <w:spacing w:before="120" w:after="120" w:line="360" w:lineRule="auto"/>
              <w:textAlignment w:val="auto"/>
              <w:rPr>
                <w:rFonts w:cs="宋体"/>
                <w:sz w:val="22"/>
                <w:szCs w:val="22"/>
              </w:rPr>
            </w:pPr>
            <w:r>
              <w:rPr>
                <w:rFonts w:hint="eastAsia" w:cs="宋体"/>
                <w:sz w:val="22"/>
                <w:szCs w:val="22"/>
                <w:lang w:eastAsia="zh-CN"/>
              </w:rPr>
              <w:t>按需</w:t>
            </w:r>
          </w:p>
        </w:tc>
        <w:tc>
          <w:tcPr>
            <w:tcW w:w="539" w:type="dxa"/>
            <w:tcBorders>
              <w:top w:val="single" w:color="auto" w:sz="4" w:space="0"/>
              <w:left w:val="single" w:color="auto" w:sz="4" w:space="0"/>
              <w:bottom w:val="single" w:color="auto" w:sz="4" w:space="0"/>
              <w:right w:val="single" w:color="auto" w:sz="4" w:space="0"/>
            </w:tcBorders>
            <w:vAlign w:val="center"/>
          </w:tcPr>
          <w:p w14:paraId="52146A28">
            <w:pPr>
              <w:pageBreakBefore w:val="0"/>
              <w:kinsoku/>
              <w:wordWrap/>
              <w:overflowPunct/>
              <w:topLinePunct w:val="0"/>
              <w:autoSpaceDE/>
              <w:autoSpaceDN/>
              <w:bidi w:val="0"/>
              <w:spacing w:before="120" w:after="120" w:line="360" w:lineRule="auto"/>
              <w:ind w:firstLine="420"/>
              <w:jc w:val="center"/>
              <w:textAlignment w:val="auto"/>
              <w:rPr>
                <w:rFonts w:cs="宋体"/>
                <w:sz w:val="22"/>
                <w:szCs w:val="22"/>
              </w:rPr>
            </w:pPr>
            <w:r>
              <w:rPr>
                <w:rFonts w:hint="eastAsia" w:cs="宋体"/>
                <w:sz w:val="22"/>
                <w:szCs w:val="22"/>
              </w:rPr>
              <w:t>　</w:t>
            </w:r>
          </w:p>
        </w:tc>
      </w:tr>
    </w:tbl>
    <w:p w14:paraId="29A734F8">
      <w:pPr>
        <w:pageBreakBefore w:val="0"/>
        <w:kinsoku/>
        <w:wordWrap/>
        <w:overflowPunct/>
        <w:topLinePunct w:val="0"/>
        <w:autoSpaceDE/>
        <w:autoSpaceDN/>
        <w:bidi w:val="0"/>
        <w:spacing w:before="120" w:after="120" w:line="360" w:lineRule="auto"/>
        <w:ind w:firstLine="420"/>
        <w:textAlignment w:val="auto"/>
      </w:pPr>
      <w:r>
        <w:rPr>
          <w:rFonts w:hint="eastAsia"/>
        </w:rPr>
        <w:t>我司在本系统实施过程中将知识转移有效的融入，以期取得较好的效果。确保达到如下目标：</w:t>
      </w:r>
    </w:p>
    <w:p w14:paraId="006A731A">
      <w:pPr>
        <w:pageBreakBefore w:val="0"/>
        <w:kinsoku/>
        <w:wordWrap/>
        <w:overflowPunct/>
        <w:topLinePunct w:val="0"/>
        <w:autoSpaceDE/>
        <w:autoSpaceDN/>
        <w:bidi w:val="0"/>
        <w:spacing w:before="120" w:after="120" w:line="360" w:lineRule="auto"/>
        <w:ind w:firstLine="420"/>
        <w:textAlignment w:val="auto"/>
      </w:pPr>
      <w:r>
        <w:rPr>
          <w:rFonts w:hint="eastAsia"/>
        </w:rPr>
        <w:t>1）保证通用业务流程、系统核心功能及其它知识能以统一的标准方式有效地传授给实施、运维小组及相关人员；</w:t>
      </w:r>
    </w:p>
    <w:p w14:paraId="2D9CD1DB">
      <w:pPr>
        <w:pageBreakBefore w:val="0"/>
        <w:kinsoku/>
        <w:wordWrap/>
        <w:overflowPunct/>
        <w:topLinePunct w:val="0"/>
        <w:autoSpaceDE/>
        <w:autoSpaceDN/>
        <w:bidi w:val="0"/>
        <w:spacing w:before="120" w:after="120" w:line="360" w:lineRule="auto"/>
        <w:ind w:firstLine="420"/>
        <w:textAlignment w:val="auto"/>
      </w:pPr>
      <w:r>
        <w:rPr>
          <w:rFonts w:hint="eastAsia"/>
        </w:rPr>
        <w:t>2）确保项目组成员和最终用户对总体业务流程和系统集成性有较好理解；</w:t>
      </w:r>
    </w:p>
    <w:p w14:paraId="37A23A3D">
      <w:pPr>
        <w:pageBreakBefore w:val="0"/>
        <w:kinsoku/>
        <w:wordWrap/>
        <w:overflowPunct/>
        <w:topLinePunct w:val="0"/>
        <w:autoSpaceDE/>
        <w:autoSpaceDN/>
        <w:bidi w:val="0"/>
        <w:spacing w:before="120" w:after="120" w:line="360" w:lineRule="auto"/>
        <w:ind w:firstLine="420"/>
        <w:textAlignment w:val="auto"/>
      </w:pPr>
      <w:r>
        <w:rPr>
          <w:rFonts w:hint="eastAsia"/>
        </w:rPr>
        <w:t>3）培养招标单位关键用户和内部运维队伍，使其掌握系统的核心功能以及项目实施、推广的方法和步骤，具备未来独立维护系统的能力及配合实施顾问推进项目的能力；</w:t>
      </w:r>
    </w:p>
    <w:p w14:paraId="21DE44A2">
      <w:pPr>
        <w:pageBreakBefore w:val="0"/>
        <w:kinsoku/>
        <w:wordWrap/>
        <w:overflowPunct/>
        <w:topLinePunct w:val="0"/>
        <w:autoSpaceDE/>
        <w:autoSpaceDN/>
        <w:bidi w:val="0"/>
        <w:spacing w:before="120" w:after="120" w:line="360" w:lineRule="auto"/>
        <w:ind w:firstLine="420"/>
        <w:textAlignment w:val="auto"/>
      </w:pPr>
      <w:r>
        <w:rPr>
          <w:rFonts w:hint="eastAsia"/>
        </w:rPr>
        <w:t>4）对内部运维队伍，按项目阶段制定知识转移的目标，并制定具体的执行计划，阶段结束后进行考评。</w:t>
      </w:r>
    </w:p>
    <w:p w14:paraId="74E829A8">
      <w:pPr>
        <w:pStyle w:val="10"/>
        <w:pageBreakBefore w:val="0"/>
        <w:numPr>
          <w:ilvl w:val="3"/>
          <w:numId w:val="12"/>
        </w:numPr>
        <w:kinsoku/>
        <w:wordWrap/>
        <w:overflowPunct/>
        <w:topLinePunct w:val="0"/>
        <w:autoSpaceDE/>
        <w:autoSpaceDN/>
        <w:bidi w:val="0"/>
        <w:spacing w:line="360" w:lineRule="auto"/>
        <w:textAlignment w:val="auto"/>
      </w:pPr>
      <w:bookmarkStart w:id="751" w:name="_Toc1245334719"/>
      <w:bookmarkStart w:id="752" w:name="_Toc1946533083"/>
      <w:r>
        <w:rPr>
          <w:rFonts w:hint="eastAsia"/>
        </w:rPr>
        <w:t>培训效果</w:t>
      </w:r>
      <w:bookmarkEnd w:id="751"/>
      <w:bookmarkEnd w:id="752"/>
    </w:p>
    <w:p w14:paraId="409D6E6E">
      <w:pPr>
        <w:pageBreakBefore w:val="0"/>
        <w:kinsoku/>
        <w:wordWrap/>
        <w:overflowPunct/>
        <w:topLinePunct w:val="0"/>
        <w:autoSpaceDE/>
        <w:autoSpaceDN/>
        <w:bidi w:val="0"/>
        <w:spacing w:before="120" w:after="120" w:line="360" w:lineRule="auto"/>
        <w:ind w:firstLine="420"/>
        <w:textAlignment w:val="auto"/>
      </w:pPr>
      <w:r>
        <w:rPr>
          <w:rFonts w:hint="eastAsia"/>
        </w:rPr>
        <w:t>提供的每次培训需要双方签署培训表，签署表中需招标单位培训人员填写每次培训实际效果，根据招标单位学员的实际效果组织不同层次和深度的培训，最终将保证在相关岗位人员培训操作使用上达到客户满意的效果。</w:t>
      </w:r>
    </w:p>
    <w:p w14:paraId="0D1D3C9A">
      <w:pPr>
        <w:pStyle w:val="10"/>
        <w:pageBreakBefore w:val="0"/>
        <w:numPr>
          <w:ilvl w:val="3"/>
          <w:numId w:val="12"/>
        </w:numPr>
        <w:kinsoku/>
        <w:wordWrap/>
        <w:overflowPunct/>
        <w:topLinePunct w:val="0"/>
        <w:autoSpaceDE/>
        <w:autoSpaceDN/>
        <w:bidi w:val="0"/>
        <w:spacing w:line="360" w:lineRule="auto"/>
        <w:textAlignment w:val="auto"/>
      </w:pPr>
      <w:bookmarkStart w:id="753" w:name="_Toc204371182"/>
      <w:bookmarkStart w:id="754" w:name="_Toc752341590"/>
      <w:r>
        <w:rPr>
          <w:rFonts w:hint="eastAsia"/>
        </w:rPr>
        <w:t>培训考评及反馈</w:t>
      </w:r>
      <w:bookmarkEnd w:id="753"/>
      <w:bookmarkEnd w:id="754"/>
    </w:p>
    <w:p w14:paraId="5B0B8F9C">
      <w:pPr>
        <w:pageBreakBefore w:val="0"/>
        <w:kinsoku/>
        <w:wordWrap/>
        <w:overflowPunct/>
        <w:topLinePunct w:val="0"/>
        <w:autoSpaceDE/>
        <w:autoSpaceDN/>
        <w:bidi w:val="0"/>
        <w:spacing w:before="120" w:after="120" w:line="360" w:lineRule="auto"/>
        <w:ind w:firstLine="420"/>
        <w:textAlignment w:val="auto"/>
        <w:rPr>
          <w:rFonts w:cs="Arial"/>
        </w:rPr>
      </w:pPr>
      <w:r>
        <w:rPr>
          <w:rFonts w:hint="eastAsia" w:cs="Arial"/>
        </w:rPr>
        <w:t>培训规划设计最终要对培训的结果进行评估。因此，提供可靠的和有效地测评工具。在培训过程中，根据制定的策略，提供技能测评和使用方法测评表，了解用户知识掌握情况和深度。根据用户的掌握情况，针对性调整和制定培训内容，保证培训和知识转移效果。培训调查表样本如下：</w:t>
      </w:r>
    </w:p>
    <w:p w14:paraId="7A07F294">
      <w:pPr>
        <w:pageBreakBefore w:val="0"/>
        <w:kinsoku/>
        <w:wordWrap/>
        <w:overflowPunct/>
        <w:topLinePunct w:val="0"/>
        <w:autoSpaceDE/>
        <w:autoSpaceDN/>
        <w:bidi w:val="0"/>
        <w:spacing w:before="120" w:after="120" w:line="360" w:lineRule="auto"/>
        <w:jc w:val="center"/>
        <w:textAlignment w:val="auto"/>
        <w:rPr>
          <w:rFonts w:cs="宋体"/>
        </w:rPr>
      </w:pPr>
      <w:r>
        <mc:AlternateContent>
          <mc:Choice Requires="wps">
            <w:drawing>
              <wp:anchor distT="0" distB="0" distL="114300" distR="114300" simplePos="0" relativeHeight="251660288" behindDoc="0" locked="0" layoutInCell="1" allowOverlap="1">
                <wp:simplePos x="0" y="0"/>
                <wp:positionH relativeFrom="column">
                  <wp:posOffset>3766820</wp:posOffset>
                </wp:positionH>
                <wp:positionV relativeFrom="paragraph">
                  <wp:posOffset>3553460</wp:posOffset>
                </wp:positionV>
                <wp:extent cx="798195" cy="457200"/>
                <wp:effectExtent l="0" t="0" r="0" b="0"/>
                <wp:wrapNone/>
                <wp:docPr id="20" name="矩形 20"/>
                <wp:cNvGraphicFramePr/>
                <a:graphic xmlns:a="http://schemas.openxmlformats.org/drawingml/2006/main">
                  <a:graphicData uri="http://schemas.microsoft.com/office/word/2010/wordprocessingShape">
                    <wps:wsp>
                      <wps:cNvSpPr/>
                      <wps:spPr>
                        <a:xfrm rot="20409445">
                          <a:off x="0" y="0"/>
                          <a:ext cx="798195" cy="457200"/>
                        </a:xfrm>
                        <a:prstGeom prst="rect">
                          <a:avLst/>
                        </a:prstGeom>
                        <a:noFill/>
                        <a:ln w="12700" cap="flat" cmpd="sng" algn="ctr">
                          <a:solidFill>
                            <a:srgbClr val="FF0000"/>
                          </a:solidFill>
                          <a:prstDash val="solid"/>
                          <a:miter lim="800000"/>
                        </a:ln>
                        <a:effectLst/>
                      </wps:spPr>
                      <wps:txbx>
                        <w:txbxContent>
                          <w:p w14:paraId="551A8BA1">
                            <w:pPr>
                              <w:spacing w:before="120" w:after="120"/>
                              <w:rPr>
                                <w:color w:val="FF0000"/>
                                <w:sz w:val="44"/>
                                <w:szCs w:val="44"/>
                              </w:rPr>
                            </w:pPr>
                            <w:r>
                              <w:rPr>
                                <w:rFonts w:hint="eastAsia"/>
                                <w:color w:val="FF0000"/>
                                <w:sz w:val="44"/>
                                <w:szCs w:val="44"/>
                              </w:rPr>
                              <w:t>例图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6pt;margin-top:279.8pt;height:36pt;width:62.85pt;rotation:-1300404f;z-index:251660288;v-text-anchor:middle;mso-width-relative:page;mso-height-relative:page;" filled="f" stroked="t" coordsize="21600,21600" o:gfxdata="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eoAGY2wAAAAsBAAAPAAAAAAAA&#10;AAEAIAAAACIAAABkcnMvZG93bnJldi54bWxQSwECFAAUAAAACACHTuJAww4oj4ECAAD0BAAADgAA&#10;AAAAAAABACAAAAAqAQAAZHJzL2Uyb0RvYy54bWxQSwUGAAAAAAYABgBZAQAAHQYAAAAA&#10;">
                <v:fill on="f" focussize="0,0"/>
                <v:stroke weight="1pt" color="#FF0000" miterlimit="8" joinstyle="miter"/>
                <v:imagedata o:title=""/>
                <o:lock v:ext="edit" aspectratio="f"/>
                <v:textbox>
                  <w:txbxContent>
                    <w:p w14:paraId="551A8BA1">
                      <w:pPr>
                        <w:spacing w:before="120" w:after="120"/>
                        <w:rPr>
                          <w:color w:val="FF0000"/>
                          <w:sz w:val="44"/>
                          <w:szCs w:val="44"/>
                        </w:rPr>
                      </w:pPr>
                      <w:r>
                        <w:rPr>
                          <w:rFonts w:hint="eastAsia"/>
                          <w:color w:val="FF0000"/>
                          <w:sz w:val="44"/>
                          <w:szCs w:val="44"/>
                        </w:rPr>
                        <w:t>例图</w:t>
                      </w:r>
                    </w:p>
                  </w:txbxContent>
                </v:textbox>
              </v:rect>
            </w:pict>
          </mc:Fallback>
        </mc:AlternateContent>
      </w:r>
      <w:r>
        <w:rPr>
          <w:rFonts w:cs="宋体"/>
        </w:rPr>
        <w:drawing>
          <wp:inline distT="0" distB="0" distL="114300" distR="114300">
            <wp:extent cx="5658485" cy="5744210"/>
            <wp:effectExtent l="0" t="0" r="18415" b="8890"/>
            <wp:docPr id="11" name="图片 1914" descr="2728798421_17227660319_722B96F0-CCB2-4cc2-9BC3-974B1EC9C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914" descr="2728798421_17227660319_722B96F0-CCB2-4cc2-9BC3-974B1EC9C103"/>
                    <pic:cNvPicPr>
                      <a:picLocks noChangeAspect="1"/>
                    </pic:cNvPicPr>
                  </pic:nvPicPr>
                  <pic:blipFill>
                    <a:blip r:embed="rId186"/>
                    <a:stretch>
                      <a:fillRect/>
                    </a:stretch>
                  </pic:blipFill>
                  <pic:spPr>
                    <a:xfrm>
                      <a:off x="0" y="0"/>
                      <a:ext cx="5658485" cy="5744210"/>
                    </a:xfrm>
                    <a:prstGeom prst="rect">
                      <a:avLst/>
                    </a:prstGeom>
                    <a:noFill/>
                    <a:ln>
                      <a:noFill/>
                    </a:ln>
                  </pic:spPr>
                </pic:pic>
              </a:graphicData>
            </a:graphic>
          </wp:inline>
        </w:drawing>
      </w:r>
    </w:p>
    <w:p w14:paraId="3576B658">
      <w:pPr>
        <w:pageBreakBefore w:val="0"/>
        <w:kinsoku/>
        <w:wordWrap/>
        <w:overflowPunct/>
        <w:topLinePunct w:val="0"/>
        <w:autoSpaceDE/>
        <w:autoSpaceDN/>
        <w:bidi w:val="0"/>
        <w:spacing w:line="360" w:lineRule="auto"/>
        <w:textAlignment w:val="auto"/>
      </w:pPr>
    </w:p>
    <w:p w14:paraId="1DED235A">
      <w:pPr>
        <w:pStyle w:val="9"/>
        <w:pageBreakBefore w:val="0"/>
        <w:numPr>
          <w:ilvl w:val="2"/>
          <w:numId w:val="12"/>
        </w:numPr>
        <w:tabs>
          <w:tab w:val="left" w:pos="0"/>
        </w:tabs>
        <w:kinsoku/>
        <w:wordWrap/>
        <w:overflowPunct/>
        <w:topLinePunct w:val="0"/>
        <w:autoSpaceDE/>
        <w:autoSpaceDN/>
        <w:bidi w:val="0"/>
        <w:spacing w:line="360" w:lineRule="auto"/>
        <w:textAlignment w:val="auto"/>
      </w:pPr>
      <w:bookmarkStart w:id="755" w:name="_Toc2096727104"/>
      <w:bookmarkStart w:id="756" w:name="_Toc718140228"/>
      <w:bookmarkStart w:id="757" w:name="_Toc82273842"/>
      <w:r>
        <w:rPr>
          <w:rFonts w:hint="eastAsia"/>
        </w:rPr>
        <w:t>风险分析与控制</w:t>
      </w:r>
      <w:bookmarkEnd w:id="755"/>
      <w:bookmarkEnd w:id="756"/>
      <w:bookmarkEnd w:id="757"/>
    </w:p>
    <w:p w14:paraId="62B5ECA1">
      <w:pPr>
        <w:pageBreakBefore w:val="0"/>
        <w:kinsoku/>
        <w:wordWrap/>
        <w:overflowPunct/>
        <w:topLinePunct w:val="0"/>
        <w:autoSpaceDE/>
        <w:autoSpaceDN/>
        <w:bidi w:val="0"/>
        <w:spacing w:before="120" w:after="120" w:line="360" w:lineRule="auto"/>
        <w:ind w:firstLine="480"/>
        <w:textAlignment w:val="auto"/>
      </w:pPr>
      <w:r>
        <w:rPr>
          <w:rFonts w:hint="eastAsia"/>
        </w:rPr>
        <w:t>我司充分考虑项目实施过程中</w:t>
      </w:r>
      <w:r>
        <w:rPr>
          <w:rFonts w:hint="eastAsia" w:cs="仿宋"/>
        </w:rPr>
        <w:t>不同</w:t>
      </w:r>
      <w:r>
        <w:rPr>
          <w:rFonts w:hint="eastAsia"/>
        </w:rPr>
        <w:t>阶段存在的技术、实施、管理、保障等方面的风险，提出应对方法，保证项目按进度要求规范、安全、有序开展。</w:t>
      </w:r>
    </w:p>
    <w:p w14:paraId="259C27E5">
      <w:pPr>
        <w:pStyle w:val="10"/>
        <w:pageBreakBefore w:val="0"/>
        <w:numPr>
          <w:ilvl w:val="3"/>
          <w:numId w:val="12"/>
        </w:numPr>
        <w:kinsoku/>
        <w:wordWrap/>
        <w:overflowPunct/>
        <w:topLinePunct w:val="0"/>
        <w:autoSpaceDE/>
        <w:autoSpaceDN/>
        <w:bidi w:val="0"/>
        <w:spacing w:line="360" w:lineRule="auto"/>
        <w:textAlignment w:val="auto"/>
      </w:pPr>
      <w:bookmarkStart w:id="758" w:name="_Toc627186395"/>
      <w:bookmarkStart w:id="759" w:name="_Toc1735325941"/>
      <w:r>
        <w:rPr>
          <w:rFonts w:hint="eastAsia"/>
        </w:rPr>
        <w:t>实施阶段风险分析</w:t>
      </w:r>
      <w:bookmarkEnd w:id="758"/>
      <w:bookmarkEnd w:id="759"/>
    </w:p>
    <w:p w14:paraId="3C3ED978">
      <w:pPr>
        <w:pStyle w:val="12"/>
        <w:pageBreakBefore w:val="0"/>
        <w:numPr>
          <w:ilvl w:val="4"/>
          <w:numId w:val="12"/>
        </w:numPr>
        <w:kinsoku/>
        <w:wordWrap/>
        <w:overflowPunct/>
        <w:topLinePunct w:val="0"/>
        <w:autoSpaceDE/>
        <w:autoSpaceDN/>
        <w:bidi w:val="0"/>
        <w:spacing w:line="360" w:lineRule="auto"/>
        <w:textAlignment w:val="auto"/>
      </w:pPr>
      <w:bookmarkStart w:id="760" w:name="_Toc69302119"/>
      <w:r>
        <w:rPr>
          <w:rFonts w:hint="eastAsia"/>
          <w:lang w:eastAsia="zh-CN"/>
        </w:rPr>
        <w:t>实施时间紧、</w:t>
      </w:r>
      <w:r>
        <w:rPr>
          <w:rFonts w:hint="eastAsia"/>
        </w:rPr>
        <w:t>任务</w:t>
      </w:r>
      <w:r>
        <w:rPr>
          <w:rFonts w:hint="eastAsia"/>
          <w:lang w:eastAsia="zh-CN"/>
        </w:rPr>
        <w:t>重</w:t>
      </w:r>
      <w:bookmarkEnd w:id="760"/>
    </w:p>
    <w:p w14:paraId="4899A39C">
      <w:pPr>
        <w:pStyle w:val="13"/>
        <w:pageBreakBefore w:val="0"/>
        <w:numPr>
          <w:ilvl w:val="5"/>
          <w:numId w:val="12"/>
        </w:numPr>
        <w:kinsoku/>
        <w:wordWrap/>
        <w:overflowPunct/>
        <w:topLinePunct w:val="0"/>
        <w:autoSpaceDE/>
        <w:autoSpaceDN/>
        <w:bidi w:val="0"/>
        <w:spacing w:line="360" w:lineRule="auto"/>
        <w:textAlignment w:val="auto"/>
      </w:pPr>
      <w:r>
        <w:rPr>
          <w:rFonts w:hint="eastAsia"/>
        </w:rPr>
        <w:t>应对措施</w:t>
      </w:r>
    </w:p>
    <w:p w14:paraId="08146691">
      <w:pPr>
        <w:pageBreakBefore w:val="0"/>
        <w:tabs>
          <w:tab w:val="left" w:pos="1080"/>
        </w:tabs>
        <w:kinsoku/>
        <w:wordWrap/>
        <w:overflowPunct/>
        <w:topLinePunct w:val="0"/>
        <w:autoSpaceDE/>
        <w:autoSpaceDN/>
        <w:bidi w:val="0"/>
        <w:spacing w:before="120" w:after="120" w:line="360" w:lineRule="auto"/>
        <w:ind w:firstLine="420" w:firstLineChars="175"/>
        <w:textAlignment w:val="auto"/>
        <w:rPr>
          <w:rFonts w:cs="仿宋"/>
        </w:rPr>
      </w:pPr>
      <w:r>
        <w:rPr>
          <w:rFonts w:hint="eastAsia" w:cs="仿宋"/>
        </w:rPr>
        <w:t>1、项目管理</w:t>
      </w:r>
    </w:p>
    <w:p w14:paraId="7577A042">
      <w:pPr>
        <w:pageBreakBefore w:val="0"/>
        <w:tabs>
          <w:tab w:val="left" w:pos="1080"/>
        </w:tabs>
        <w:kinsoku/>
        <w:wordWrap/>
        <w:overflowPunct/>
        <w:topLinePunct w:val="0"/>
        <w:autoSpaceDE/>
        <w:autoSpaceDN/>
        <w:bidi w:val="0"/>
        <w:spacing w:before="120" w:after="120" w:line="360" w:lineRule="auto"/>
        <w:ind w:firstLine="420" w:firstLineChars="175"/>
        <w:textAlignment w:val="auto"/>
        <w:rPr>
          <w:rFonts w:cs="仿宋"/>
        </w:rPr>
      </w:pPr>
      <w:r>
        <w:rPr>
          <w:rFonts w:hint="eastAsia" w:cs="仿宋"/>
        </w:rPr>
        <w:t>项目管理组（公司级）根据合同组建一个由高层管理者及资深项目经理领导的专门项目组，实行项目经理负责制，管理本项目工程管理组、集成组、电控组、软件组、采购组和品控组，积极与贵方沟通、合作，共同达成合同目标。为此，希望贵方能成立一个与之对应的工作小组，并任命负责人，自项目的计划阶段开始与我方一起工作。在整个系统调测期间，我方提供现场指导和技术服务，并请贵方指派技术人员参加。项目质量是企业素质的综合反映和衡量项目管理水平的重要标志，也将最终体现我们的价值。</w:t>
      </w:r>
    </w:p>
    <w:p w14:paraId="2B9F121B">
      <w:pPr>
        <w:pageBreakBefore w:val="0"/>
        <w:tabs>
          <w:tab w:val="left" w:pos="1080"/>
        </w:tabs>
        <w:kinsoku/>
        <w:wordWrap/>
        <w:overflowPunct/>
        <w:topLinePunct w:val="0"/>
        <w:autoSpaceDE/>
        <w:autoSpaceDN/>
        <w:bidi w:val="0"/>
        <w:spacing w:before="120" w:after="120" w:line="360" w:lineRule="auto"/>
        <w:ind w:firstLine="420" w:firstLineChars="175"/>
        <w:textAlignment w:val="auto"/>
        <w:rPr>
          <w:rFonts w:cs="仿宋"/>
        </w:rPr>
      </w:pPr>
      <w:r>
        <w:rPr>
          <w:rFonts w:hint="eastAsia" w:cs="仿宋"/>
        </w:rPr>
        <w:t>项目管理机构如下图所示：</w:t>
      </w:r>
    </w:p>
    <w:p w14:paraId="1F8AC05B">
      <w:pPr>
        <w:pStyle w:val="140"/>
        <w:pageBreakBefore w:val="0"/>
        <w:kinsoku/>
        <w:wordWrap/>
        <w:overflowPunct/>
        <w:topLinePunct w:val="0"/>
        <w:autoSpaceDE/>
        <w:autoSpaceDN/>
        <w:bidi w:val="0"/>
        <w:spacing w:before="156" w:after="156" w:line="360" w:lineRule="auto"/>
        <w:ind w:left="-324" w:leftChars="-135" w:firstLine="420"/>
        <w:jc w:val="center"/>
        <w:textAlignment w:val="auto"/>
        <w:rPr>
          <w:rFonts w:ascii="宋体" w:hAnsi="宋体" w:eastAsia="宋体" w:cs="仿宋"/>
        </w:rPr>
      </w:pPr>
      <w:r>
        <w:rPr>
          <w:rFonts w:ascii="宋体" w:hAnsi="宋体" w:eastAsia="宋体" w:cs="仿宋"/>
        </w:rPr>
        <w:drawing>
          <wp:inline distT="0" distB="0" distL="114300" distR="114300">
            <wp:extent cx="5160645" cy="2679700"/>
            <wp:effectExtent l="0" t="0" r="0" b="0"/>
            <wp:docPr id="12" name="图片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916"/>
                    <pic:cNvPicPr>
                      <a:picLocks noChangeAspect="1"/>
                    </pic:cNvPicPr>
                  </pic:nvPicPr>
                  <pic:blipFill>
                    <a:blip r:embed="rId187"/>
                    <a:stretch>
                      <a:fillRect/>
                    </a:stretch>
                  </pic:blipFill>
                  <pic:spPr>
                    <a:xfrm>
                      <a:off x="0" y="0"/>
                      <a:ext cx="5160645" cy="2679700"/>
                    </a:xfrm>
                    <a:prstGeom prst="rect">
                      <a:avLst/>
                    </a:prstGeom>
                    <a:noFill/>
                    <a:ln>
                      <a:noFill/>
                    </a:ln>
                  </pic:spPr>
                </pic:pic>
              </a:graphicData>
            </a:graphic>
          </wp:inline>
        </w:drawing>
      </w:r>
    </w:p>
    <w:p w14:paraId="2198BEE5">
      <w:pPr>
        <w:pageBreakBefore w:val="0"/>
        <w:tabs>
          <w:tab w:val="left" w:pos="1080"/>
        </w:tabs>
        <w:kinsoku/>
        <w:wordWrap/>
        <w:overflowPunct/>
        <w:topLinePunct w:val="0"/>
        <w:autoSpaceDE/>
        <w:autoSpaceDN/>
        <w:bidi w:val="0"/>
        <w:spacing w:before="120" w:after="120" w:line="360" w:lineRule="auto"/>
        <w:ind w:firstLine="420" w:firstLineChars="175"/>
        <w:textAlignment w:val="auto"/>
        <w:rPr>
          <w:rFonts w:cs="仿宋"/>
        </w:rPr>
      </w:pPr>
      <w:r>
        <w:rPr>
          <w:rFonts w:hint="eastAsia" w:cs="仿宋"/>
        </w:rPr>
        <w:t>1）组织机构/人员的职能、职责</w:t>
      </w:r>
    </w:p>
    <w:p w14:paraId="4831B8B0">
      <w:pPr>
        <w:pageBreakBefore w:val="0"/>
        <w:widowControl/>
        <w:kinsoku/>
        <w:wordWrap/>
        <w:overflowPunct/>
        <w:topLinePunct w:val="0"/>
        <w:autoSpaceDE/>
        <w:autoSpaceDN/>
        <w:bidi w:val="0"/>
        <w:spacing w:before="156" w:after="156" w:line="360" w:lineRule="auto"/>
        <w:textAlignment w:val="auto"/>
        <w:rPr>
          <w:rFonts w:cs="仿宋"/>
          <w:b/>
        </w:rPr>
      </w:pPr>
      <w:r>
        <w:rPr>
          <w:rFonts w:hint="eastAsia" w:cs="仿宋"/>
        </w:rPr>
        <w:t>（1）项目管理组（公司级）</w:t>
      </w:r>
    </w:p>
    <w:p w14:paraId="7905381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批准“项目管理组织机构”的组建；</w:t>
      </w:r>
    </w:p>
    <w:p w14:paraId="02CB2DE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决策项目全生命周期中的重大事项；</w:t>
      </w:r>
    </w:p>
    <w:p w14:paraId="4B42D83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任命项目经理，并授权项目经理管理日常事务。</w:t>
      </w:r>
    </w:p>
    <w:p w14:paraId="207C6113">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（2）项目经理</w:t>
      </w:r>
    </w:p>
    <w:p w14:paraId="113E5B49">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系我方在本项目执行中的唯一对外联络授权人，职责是：</w:t>
      </w:r>
    </w:p>
    <w:p w14:paraId="5E8BA52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代表我方负责合同的全面执行；</w:t>
      </w:r>
    </w:p>
    <w:p w14:paraId="64025AB7">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贵我双方的沟通和协调；</w:t>
      </w:r>
    </w:p>
    <w:p w14:paraId="54A01E0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指导我方其他参与项目实施的各专业工程师/人员的工作；</w:t>
      </w:r>
    </w:p>
    <w:p w14:paraId="282AA17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有权对涉及合同的商务、进度、技术、质量等事宜代表我方作出解释并提出处理意见，其解释和处理意见具有法律效力。</w:t>
      </w:r>
    </w:p>
    <w:p w14:paraId="55184FB0">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（3）工程管理组</w:t>
      </w:r>
    </w:p>
    <w:p w14:paraId="7BEF362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编制进度计划并对计划的执行加以监督控制；</w:t>
      </w:r>
    </w:p>
    <w:p w14:paraId="4FE5C83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负责与贵方的“交安确认”；</w:t>
      </w:r>
    </w:p>
    <w:p w14:paraId="00779AE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工程节点控制，召集现场例会，周而复始地使“布置、执行、检查、整改、达成”五个阶段均处在良好的受控状态下；</w:t>
      </w:r>
    </w:p>
    <w:p w14:paraId="145D14A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供应商管理：保证合同货物技术标准、质量、按时交付，组织安调队伍，辅材工具齐备，规范按期保质施工；</w:t>
      </w:r>
    </w:p>
    <w:p w14:paraId="091F16D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依据合同技术协议，动态反馈并监督工程质量；</w:t>
      </w:r>
    </w:p>
    <w:p w14:paraId="44EC856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合理安排相关方作业方式和时间段，及时协调解决交叉作业矛盾，提升（高）施工效率；</w:t>
      </w:r>
    </w:p>
    <w:p w14:paraId="0CF28CC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对关键设备（如:堆垛机）进行专项重点管理；</w:t>
      </w:r>
    </w:p>
    <w:p w14:paraId="5A1868A0">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设备运行初期，现场跟进，全程爬坡支持；</w:t>
      </w:r>
    </w:p>
    <w:p w14:paraId="0AA34B1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组织各专业工程师对客户进行系统管理、使用、维护培训；</w:t>
      </w:r>
    </w:p>
    <w:p w14:paraId="6F61D35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资料整理、交付贵方；</w:t>
      </w:r>
    </w:p>
    <w:p w14:paraId="70585FF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完成设备基本验收，与贵方联合对系统进行能力验收；</w:t>
      </w:r>
    </w:p>
    <w:p w14:paraId="0D30D07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与贵方签署竣工验收报告书。同时，移交乙方售后服务部。</w:t>
      </w:r>
    </w:p>
    <w:p w14:paraId="28B936FF">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（4）集成组</w:t>
      </w:r>
    </w:p>
    <w:p w14:paraId="590CC5E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根据技术规格书，进行集成和细化设计；</w:t>
      </w:r>
    </w:p>
    <w:p w14:paraId="5BC1AD80">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提供设计任务书和最终施工方案图；</w:t>
      </w:r>
    </w:p>
    <w:p w14:paraId="0FC650B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提出设备制造技术条款及关键设备专用条款，作为设备制造的技术依据；</w:t>
      </w:r>
    </w:p>
    <w:p w14:paraId="300F3B6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提交合同设备细化清单，并对采购提供技术支持；</w:t>
      </w:r>
    </w:p>
    <w:p w14:paraId="3834384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审查、会签供应商最终技术资料和制造图纸；</w:t>
      </w:r>
    </w:p>
    <w:p w14:paraId="2111B2E0">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提出主要单机设备机械设计参数及标准；</w:t>
      </w:r>
    </w:p>
    <w:p w14:paraId="55F0AAD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编写操作流程手册；</w:t>
      </w:r>
    </w:p>
    <w:p w14:paraId="0B6A2D4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项目全生命周期内技术监控，保证标准和规范的严格执行，及时处理施工中出现的技术问题和技术争议；</w:t>
      </w:r>
    </w:p>
    <w:p w14:paraId="6020C84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审核项目技术资料，对用户培训提供支持；</w:t>
      </w:r>
    </w:p>
    <w:p w14:paraId="64B28EA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核准全套竣工资料。</w:t>
      </w:r>
    </w:p>
    <w:p w14:paraId="72DAFC7D">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（5）电控组</w:t>
      </w:r>
    </w:p>
    <w:p w14:paraId="64E59E0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根据集成组提供的设计任务书和整体规划图进行电控设计，包括布点图设计、电控柜设计；</w:t>
      </w:r>
    </w:p>
    <w:p w14:paraId="1508B12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根据技术规格书中规定的国际/内相关机电技术标准,对电器元器件选型；</w:t>
      </w:r>
    </w:p>
    <w:p w14:paraId="6DF80F0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负责审查图纸；</w:t>
      </w:r>
    </w:p>
    <w:p w14:paraId="0660C19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列出合同电控细化清单，经电控组和集成组审核通过后，提交采购；</w:t>
      </w:r>
    </w:p>
    <w:p w14:paraId="6EE99DC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负责电控程序编写；</w:t>
      </w:r>
    </w:p>
    <w:p w14:paraId="1D91795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现场安装指导，电控调试，并参与试运行；</w:t>
      </w:r>
    </w:p>
    <w:p w14:paraId="06D6471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对用户进行相关电控培训；</w:t>
      </w:r>
    </w:p>
    <w:p w14:paraId="7A7EEBF7">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编制全套电控竣工资料。</w:t>
      </w:r>
    </w:p>
    <w:p w14:paraId="442268B3">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（6）软件组</w:t>
      </w:r>
    </w:p>
    <w:p w14:paraId="056FAC4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软件需求调研，制作“软件需求规格书”；</w:t>
      </w:r>
    </w:p>
    <w:p w14:paraId="0EE611C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按“软件需求规格书”，展开软件功能架构设计、详细设计、代码编写及测试；</w:t>
      </w:r>
    </w:p>
    <w:p w14:paraId="222FF01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负责与软硬件相关系统及设备的整体集成；</w:t>
      </w:r>
    </w:p>
    <w:p w14:paraId="17F4509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负责客户上位系统接口开发；</w:t>
      </w:r>
    </w:p>
    <w:p w14:paraId="640AA2A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严格依据国际/内及公司内部相关软件技术标准/规范进行开发、模拟运行和出厂测试；</w:t>
      </w:r>
    </w:p>
    <w:p w14:paraId="46897570">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现场安装、调试，并参与试运行；</w:t>
      </w:r>
    </w:p>
    <w:p w14:paraId="415A2D4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对用户就相关软硬件进行培训；</w:t>
      </w:r>
    </w:p>
    <w:p w14:paraId="0C5FAA3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编制全套软件竣工资料。</w:t>
      </w:r>
    </w:p>
    <w:p w14:paraId="0B07A781">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（7）采购组</w:t>
      </w:r>
    </w:p>
    <w:p w14:paraId="582DDA6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制定采购计划；</w:t>
      </w:r>
    </w:p>
    <w:p w14:paraId="0492B28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根据合同审核设备清单并采购；</w:t>
      </w:r>
    </w:p>
    <w:p w14:paraId="03D63CA7">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根据合同审核电控清单并采购；</w:t>
      </w:r>
    </w:p>
    <w:p w14:paraId="450F83D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根据合同审核软硬件清单并采购；</w:t>
      </w:r>
    </w:p>
    <w:p w14:paraId="7B1623CC">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制定收付款计划；</w:t>
      </w:r>
    </w:p>
    <w:p w14:paraId="3BE0163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运输计划及保险；</w:t>
      </w:r>
    </w:p>
    <w:p w14:paraId="7992636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进口设备清关。</w:t>
      </w:r>
    </w:p>
    <w:p w14:paraId="2F468C84">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（8）品控组</w:t>
      </w:r>
    </w:p>
    <w:p w14:paraId="76578462">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我公司已经通过ISO9001：2008质量体系认证，并取得英国UKAS证书。对于每个项目我方均按ISO 9001标准的要求建立健全了质量保证体系，并通过质量控制组具体实施。质量控制组的职责是：</w:t>
      </w:r>
    </w:p>
    <w:p w14:paraId="2B0052C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保证项目按规定的标准要求执行；</w:t>
      </w:r>
    </w:p>
    <w:p w14:paraId="15ED38FC">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制定项目项下软件、电控、设备的品控计划；</w:t>
      </w:r>
    </w:p>
    <w:p w14:paraId="562C1F0C">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按照合同、技术规格书中各技术标准的规定，控制产品质量和工程质量关；</w:t>
      </w:r>
    </w:p>
    <w:p w14:paraId="031AB61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对设备进行监造；</w:t>
      </w:r>
    </w:p>
    <w:p w14:paraId="78DFF30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设备出厂检验；</w:t>
      </w:r>
    </w:p>
    <w:p w14:paraId="64E2D9BD">
      <w:pPr>
        <w:pageBreakBefore w:val="0"/>
        <w:tabs>
          <w:tab w:val="left" w:pos="1080"/>
        </w:tabs>
        <w:kinsoku/>
        <w:wordWrap/>
        <w:overflowPunct/>
        <w:topLinePunct w:val="0"/>
        <w:autoSpaceDE/>
        <w:autoSpaceDN/>
        <w:bidi w:val="0"/>
        <w:spacing w:before="120" w:after="120" w:line="360" w:lineRule="auto"/>
        <w:ind w:firstLine="420" w:firstLineChars="175"/>
        <w:textAlignment w:val="auto"/>
        <w:rPr>
          <w:rFonts w:cs="仿宋"/>
        </w:rPr>
      </w:pPr>
      <w:r>
        <w:rPr>
          <w:rFonts w:hint="eastAsia" w:cs="仿宋"/>
        </w:rPr>
        <w:t>在项目的全过程中实行自检、互检、交接检等的质检工作制度。</w:t>
      </w:r>
    </w:p>
    <w:p w14:paraId="33957828">
      <w:pPr>
        <w:pageBreakBefore w:val="0"/>
        <w:tabs>
          <w:tab w:val="left" w:pos="1080"/>
        </w:tabs>
        <w:kinsoku/>
        <w:wordWrap/>
        <w:overflowPunct/>
        <w:topLinePunct w:val="0"/>
        <w:autoSpaceDE/>
        <w:autoSpaceDN/>
        <w:bidi w:val="0"/>
        <w:spacing w:before="120" w:after="120" w:line="360" w:lineRule="auto"/>
        <w:ind w:firstLine="420" w:firstLineChars="175"/>
        <w:textAlignment w:val="auto"/>
        <w:rPr>
          <w:rFonts w:cs="仿宋"/>
        </w:rPr>
      </w:pPr>
      <w:r>
        <w:rPr>
          <w:rFonts w:hint="eastAsia" w:cs="仿宋"/>
        </w:rPr>
        <w:t>2、项目执行</w:t>
      </w:r>
    </w:p>
    <w:p w14:paraId="562BAD8A">
      <w:pPr>
        <w:pageBreakBefore w:val="0"/>
        <w:kinsoku/>
        <w:wordWrap/>
        <w:overflowPunct/>
        <w:topLinePunct w:val="0"/>
        <w:autoSpaceDE/>
        <w:autoSpaceDN/>
        <w:bidi w:val="0"/>
        <w:spacing w:before="120" w:after="120" w:line="360" w:lineRule="auto"/>
        <w:ind w:firstLine="424" w:firstLineChars="177"/>
        <w:textAlignment w:val="auto"/>
        <w:rPr>
          <w:rFonts w:cs="仿宋"/>
        </w:rPr>
      </w:pPr>
      <w:r>
        <w:rPr>
          <w:rFonts w:hint="eastAsia" w:cs="仿宋"/>
        </w:rPr>
        <w:t>项目合同条款和技术规格书是项目执行的核心及目标。成功的项目实施必须通过双方精诚合作、充分沟通、相互配合才能得以实现，我们深刻理解系统只是客户整体项目中的一个环节，期间必然需要与客户的整体实施计划相配合，包括但不限于土建、共用工程、消防、卷烟工艺设备等方面的工作，我们将根据项目的进度计划要求，提交一系列的工作计划清单，这些清单可能包括各类型会议的名称、内容、时间及各方与会人员要求。这些工作内容和计划，将明确各方的工作范围和职责。在整个项目周期，关键节点会议是必不可缺的，这些会议必须由我方或贵方的项目经理主持以及双方相关职能部门或第三方的代表参与，共同讨论确定并签署会议纪要；特别是在合同签订至设备进场前的阶段，经各方充分讨论并有序执行项目规定的计划内容，才能有效地保证项目的顺利实施。按照我方项目管理标准，将项目执行分为项目启动、系统集成、项目采购、设备制造、运输清关、进场准备、培训、设备安装、设备调试、试运行、项目验收等十一个部份，而信息沟通、必要的项目变更以及财务管理将贯穿整个项目周期。</w:t>
      </w:r>
    </w:p>
    <w:p w14:paraId="0D4D2D45">
      <w:pPr>
        <w:pageBreakBefore w:val="0"/>
        <w:widowControl/>
        <w:kinsoku/>
        <w:wordWrap/>
        <w:overflowPunct/>
        <w:topLinePunct w:val="0"/>
        <w:autoSpaceDE/>
        <w:autoSpaceDN/>
        <w:bidi w:val="0"/>
        <w:spacing w:before="156" w:after="156" w:line="360" w:lineRule="auto"/>
        <w:textAlignment w:val="auto"/>
        <w:rPr>
          <w:rFonts w:cs="仿宋"/>
          <w:b/>
        </w:rPr>
      </w:pPr>
      <w:r>
        <w:rPr>
          <w:rFonts w:hint="eastAsia" w:cs="仿宋"/>
        </w:rPr>
        <w:t>（1）项目启动</w:t>
      </w:r>
    </w:p>
    <w:p w14:paraId="095722CD">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合同签订后，项目正式启动，并成立项目组。</w:t>
      </w:r>
    </w:p>
    <w:p w14:paraId="154BEF1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正式委任项目经理，组建项目团队；</w:t>
      </w:r>
    </w:p>
    <w:p w14:paraId="38939F5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项目组对项目进行分析并制定总体执行计划；</w:t>
      </w:r>
    </w:p>
    <w:p w14:paraId="45F8CC4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分配各项目小组具体工作内容；</w:t>
      </w:r>
    </w:p>
    <w:p w14:paraId="38889BF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制定细化项目计划和资金配置计划；</w:t>
      </w:r>
    </w:p>
    <w:p w14:paraId="0078DB0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由项目经理与贵方项目经理就项目计划、进度、安全保障、配合要求等进行充分沟通后确定。</w:t>
      </w:r>
    </w:p>
    <w:p w14:paraId="3B9565D4">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（2）系统集成</w:t>
      </w:r>
    </w:p>
    <w:p w14:paraId="6ACDA751">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主要任务是系统总体架构的细化设计，包括设备集成、电控集成、软件集成。</w:t>
      </w:r>
    </w:p>
    <w:p w14:paraId="54A5581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设备集成包括总体布局图、集成计划、技术协议、施工图；</w:t>
      </w:r>
    </w:p>
    <w:p w14:paraId="54CEDCF9">
      <w:pPr>
        <w:pageBreakBefore w:val="0"/>
        <w:kinsoku/>
        <w:wordWrap/>
        <w:overflowPunct/>
        <w:topLinePunct w:val="0"/>
        <w:autoSpaceDE/>
        <w:autoSpaceDN/>
        <w:bidi w:val="0"/>
        <w:spacing w:before="120" w:after="120" w:line="360" w:lineRule="auto"/>
        <w:ind w:left="844"/>
        <w:textAlignment w:val="auto"/>
        <w:rPr>
          <w:rFonts w:cs="仿宋"/>
        </w:rPr>
      </w:pPr>
      <w:r>
        <w:rPr>
          <w:rFonts w:hint="eastAsia" w:cs="仿宋"/>
        </w:rPr>
        <w:t>优化总体流程及图纸；</w:t>
      </w:r>
    </w:p>
    <w:p w14:paraId="181B87FE">
      <w:pPr>
        <w:pageBreakBefore w:val="0"/>
        <w:kinsoku/>
        <w:wordWrap/>
        <w:overflowPunct/>
        <w:topLinePunct w:val="0"/>
        <w:autoSpaceDE/>
        <w:autoSpaceDN/>
        <w:bidi w:val="0"/>
        <w:spacing w:before="120" w:after="120" w:line="360" w:lineRule="auto"/>
        <w:ind w:left="844"/>
        <w:textAlignment w:val="auto"/>
        <w:rPr>
          <w:rFonts w:cs="仿宋"/>
        </w:rPr>
      </w:pPr>
      <w:r>
        <w:rPr>
          <w:rFonts w:hint="eastAsia" w:cs="仿宋"/>
        </w:rPr>
        <w:t>确定各设备接口；</w:t>
      </w:r>
    </w:p>
    <w:p w14:paraId="294EE1FE">
      <w:pPr>
        <w:pageBreakBefore w:val="0"/>
        <w:kinsoku/>
        <w:wordWrap/>
        <w:overflowPunct/>
        <w:topLinePunct w:val="0"/>
        <w:autoSpaceDE/>
        <w:autoSpaceDN/>
        <w:bidi w:val="0"/>
        <w:spacing w:before="120" w:after="120" w:line="360" w:lineRule="auto"/>
        <w:ind w:left="844"/>
        <w:textAlignment w:val="auto"/>
        <w:rPr>
          <w:rFonts w:cs="仿宋"/>
        </w:rPr>
      </w:pPr>
      <w:r>
        <w:rPr>
          <w:rFonts w:hint="eastAsia" w:cs="仿宋"/>
        </w:rPr>
        <w:t>完成技术协议；</w:t>
      </w:r>
    </w:p>
    <w:p w14:paraId="619A6651">
      <w:pPr>
        <w:pageBreakBefore w:val="0"/>
        <w:kinsoku/>
        <w:wordWrap/>
        <w:overflowPunct/>
        <w:topLinePunct w:val="0"/>
        <w:autoSpaceDE/>
        <w:autoSpaceDN/>
        <w:bidi w:val="0"/>
        <w:spacing w:before="120" w:after="120" w:line="360" w:lineRule="auto"/>
        <w:ind w:left="844"/>
        <w:textAlignment w:val="auto"/>
        <w:rPr>
          <w:rFonts w:cs="仿宋"/>
        </w:rPr>
      </w:pPr>
      <w:r>
        <w:rPr>
          <w:rFonts w:hint="eastAsia" w:cs="仿宋"/>
        </w:rPr>
        <w:t>完成设备采购清单；</w:t>
      </w:r>
    </w:p>
    <w:p w14:paraId="3CD995AC">
      <w:pPr>
        <w:pageBreakBefore w:val="0"/>
        <w:kinsoku/>
        <w:wordWrap/>
        <w:overflowPunct/>
        <w:topLinePunct w:val="0"/>
        <w:autoSpaceDE/>
        <w:autoSpaceDN/>
        <w:bidi w:val="0"/>
        <w:spacing w:before="120" w:after="120" w:line="360" w:lineRule="auto"/>
        <w:ind w:left="844"/>
        <w:textAlignment w:val="auto"/>
        <w:rPr>
          <w:rFonts w:cs="仿宋"/>
        </w:rPr>
      </w:pPr>
      <w:r>
        <w:rPr>
          <w:rFonts w:hint="eastAsia" w:cs="仿宋"/>
        </w:rPr>
        <w:t>完成设备施工图。</w:t>
      </w:r>
    </w:p>
    <w:p w14:paraId="71416AA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电控集成包括电控计划、电控架构、布点图、通讯协议、电控柜图纸、桥架走线图、电控清单、施工图。</w:t>
      </w:r>
    </w:p>
    <w:p w14:paraId="31FB38E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软件集成包括研发计划、软件架构、通讯协议、软硬件清单。</w:t>
      </w:r>
    </w:p>
    <w:p w14:paraId="201E2D23">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（3）项目采购</w:t>
      </w:r>
    </w:p>
    <w:p w14:paraId="49F53498">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根据接收到的采购清单与合同进行核对，制定采购计划，并根据计划进行采购。</w:t>
      </w:r>
    </w:p>
    <w:p w14:paraId="086547B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核对采购清单；</w:t>
      </w:r>
    </w:p>
    <w:p w14:paraId="3D5B651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按计划采购。</w:t>
      </w:r>
    </w:p>
    <w:p w14:paraId="6A82427A">
      <w:pPr>
        <w:pageBreakBefore w:val="0"/>
        <w:widowControl/>
        <w:kinsoku/>
        <w:wordWrap/>
        <w:overflowPunct/>
        <w:topLinePunct w:val="0"/>
        <w:autoSpaceDE/>
        <w:autoSpaceDN/>
        <w:bidi w:val="0"/>
        <w:spacing w:before="156" w:after="156" w:line="360" w:lineRule="auto"/>
        <w:textAlignment w:val="auto"/>
        <w:rPr>
          <w:rFonts w:cs="仿宋"/>
          <w:b/>
        </w:rPr>
      </w:pPr>
      <w:r>
        <w:rPr>
          <w:rFonts w:hint="eastAsia" w:cs="仿宋"/>
        </w:rPr>
        <w:t>（4）设备制造</w:t>
      </w:r>
    </w:p>
    <w:p w14:paraId="6C6EC71C">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供应商根据项目整体计划制定生产制造计划，并进行生产、测试及相关质量检查。</w:t>
      </w:r>
    </w:p>
    <w:p w14:paraId="00F83E5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制定生产制造计划；</w:t>
      </w:r>
    </w:p>
    <w:p w14:paraId="3E36525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原材料采购；</w:t>
      </w:r>
    </w:p>
    <w:p w14:paraId="0676DF8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生产制造；</w:t>
      </w:r>
    </w:p>
    <w:p w14:paraId="71378F4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组装测试；</w:t>
      </w:r>
    </w:p>
    <w:p w14:paraId="450AE557">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质量检查。</w:t>
      </w:r>
    </w:p>
    <w:p w14:paraId="7E328E40">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（5）运输清关</w:t>
      </w:r>
    </w:p>
    <w:p w14:paraId="5D9F9555">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工程管理组根据项目整体计划制定各设备运输/清关计划，并组织运输、清关。</w:t>
      </w:r>
    </w:p>
    <w:p w14:paraId="221519C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制定运输清关计划；</w:t>
      </w:r>
    </w:p>
    <w:p w14:paraId="5D2259C3">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根据计划组织运输；</w:t>
      </w:r>
    </w:p>
    <w:p w14:paraId="496A392C">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准备清关资料；</w:t>
      </w:r>
    </w:p>
    <w:p w14:paraId="56C079F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进口设备清关。</w:t>
      </w:r>
    </w:p>
    <w:p w14:paraId="0DF346EF">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（6）进场准备</w:t>
      </w:r>
    </w:p>
    <w:p w14:paraId="4D026274">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设备进场安装前，由工程管理组进行进场条件确认，并进行施工人员、施工机具、施工图纸等准备，然后根据项目整体实施计划按照各系统安装的先后顺序组织设备到场。</w:t>
      </w:r>
    </w:p>
    <w:p w14:paraId="6BE8E62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现场条件确认，包括库区土建、施工场地的清洁状况、周边道路完成情况、货物临时存放区域、安装调试用电、安全保障、现场办公室、电话、网络等；</w:t>
      </w:r>
    </w:p>
    <w:p w14:paraId="6219613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施工人员进场前的培训工作，包括技术交底、施工要求、规章制度、安全等；</w:t>
      </w:r>
    </w:p>
    <w:p w14:paraId="1BAA4997">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组织施工机具进场；</w:t>
      </w:r>
    </w:p>
    <w:p w14:paraId="3FE356A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施工资料准备，包括施工图纸汇总、提交施工组织设计、提交开工申请、提交开工报告、提交施工预算、制定施工安全守则；</w:t>
      </w:r>
    </w:p>
    <w:p w14:paraId="75E1CCC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培训计划及人员要求；</w:t>
      </w:r>
    </w:p>
    <w:p w14:paraId="5E74C1F3">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组织设备进场。</w:t>
      </w:r>
    </w:p>
    <w:p w14:paraId="3012ED2C">
      <w:pPr>
        <w:pageBreakBefore w:val="0"/>
        <w:widowControl/>
        <w:kinsoku/>
        <w:wordWrap/>
        <w:overflowPunct/>
        <w:topLinePunct w:val="0"/>
        <w:autoSpaceDE/>
        <w:autoSpaceDN/>
        <w:bidi w:val="0"/>
        <w:spacing w:before="156" w:after="156" w:line="360" w:lineRule="auto"/>
        <w:textAlignment w:val="auto"/>
        <w:rPr>
          <w:rFonts w:cs="仿宋"/>
          <w:b/>
        </w:rPr>
      </w:pPr>
      <w:r>
        <w:rPr>
          <w:rFonts w:hint="eastAsia" w:cs="仿宋"/>
        </w:rPr>
        <w:t>（7）培训</w:t>
      </w:r>
    </w:p>
    <w:p w14:paraId="26DF30D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培训计划及内容</w:t>
      </w:r>
    </w:p>
    <w:p w14:paraId="2AEDCAE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培训教材</w:t>
      </w:r>
    </w:p>
    <w:p w14:paraId="3E14D4C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培训讲师</w:t>
      </w:r>
    </w:p>
    <w:p w14:paraId="375E391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参训人员要求</w:t>
      </w:r>
    </w:p>
    <w:p w14:paraId="511F52D5">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（8）设备安装</w:t>
      </w:r>
    </w:p>
    <w:p w14:paraId="419B45A5">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根据项目整体实施计划，制定安装计划，并根据不同设备的安装顺序按序施工。</w:t>
      </w:r>
    </w:p>
    <w:p w14:paraId="50CCEE2C">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制定安装计划；</w:t>
      </w:r>
    </w:p>
    <w:p w14:paraId="433D207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按序进行机械设备安装；</w:t>
      </w:r>
    </w:p>
    <w:p w14:paraId="5B1EE58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按序进行电气安装；</w:t>
      </w:r>
    </w:p>
    <w:p w14:paraId="62BE154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软硬件设备安装；</w:t>
      </w:r>
    </w:p>
    <w:p w14:paraId="7DDDB0A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安装完成后的检验。</w:t>
      </w:r>
    </w:p>
    <w:p w14:paraId="6CAB2B26">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（9）设备调试</w:t>
      </w:r>
    </w:p>
    <w:p w14:paraId="2D3F18DF">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根据项目整体实施计划，制定调试计划，并分阶段进行单机调试、系统联调。</w:t>
      </w:r>
    </w:p>
    <w:p w14:paraId="20E5529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制定调试计划；</w:t>
      </w:r>
    </w:p>
    <w:p w14:paraId="62B2D9E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单机调试条件确认；</w:t>
      </w:r>
    </w:p>
    <w:p w14:paraId="0B2F0B8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单机调试；</w:t>
      </w:r>
    </w:p>
    <w:p w14:paraId="4A95AD3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单机调试报告；</w:t>
      </w:r>
    </w:p>
    <w:p w14:paraId="52D4D3E3">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系统联调条件确认；</w:t>
      </w:r>
    </w:p>
    <w:p w14:paraId="6F8FDA9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系统联调；</w:t>
      </w:r>
    </w:p>
    <w:p w14:paraId="08469FB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联调报告；</w:t>
      </w:r>
    </w:p>
    <w:p w14:paraId="1ABA494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爬坡测试；</w:t>
      </w:r>
    </w:p>
    <w:p w14:paraId="7DF7AD1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爬坡测试报告。</w:t>
      </w:r>
    </w:p>
    <w:p w14:paraId="3564F9E3">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（10）试运行</w:t>
      </w:r>
    </w:p>
    <w:p w14:paraId="71611D90">
      <w:pPr>
        <w:pageBreakBefore w:val="0"/>
        <w:kinsoku/>
        <w:wordWrap/>
        <w:overflowPunct/>
        <w:topLinePunct w:val="0"/>
        <w:autoSpaceDE/>
        <w:autoSpaceDN/>
        <w:bidi w:val="0"/>
        <w:spacing w:before="120" w:after="120" w:line="360" w:lineRule="auto"/>
        <w:ind w:firstLine="484" w:firstLineChars="202"/>
        <w:textAlignment w:val="auto"/>
        <w:rPr>
          <w:rFonts w:cs="仿宋"/>
          <w:strike/>
        </w:rPr>
      </w:pPr>
      <w:r>
        <w:rPr>
          <w:rFonts w:hint="eastAsia" w:cs="仿宋"/>
        </w:rPr>
        <w:t>爬坡结束后，我方将出具合格报告，并提请贵方进行系统试运行。</w:t>
      </w:r>
    </w:p>
    <w:p w14:paraId="4BBF9BD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制定试运行应急方案；</w:t>
      </w:r>
    </w:p>
    <w:p w14:paraId="1C61734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向贵方申请试运行；</w:t>
      </w:r>
    </w:p>
    <w:p w14:paraId="791A8A2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试运行条件确认；</w:t>
      </w:r>
    </w:p>
    <w:p w14:paraId="1A53E03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试运行跟踪；</w:t>
      </w:r>
    </w:p>
    <w:p w14:paraId="638A5740">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项目资料汇编、移交。</w:t>
      </w:r>
    </w:p>
    <w:p w14:paraId="43AE93D6">
      <w:pPr>
        <w:pageBreakBefore w:val="0"/>
        <w:widowControl/>
        <w:kinsoku/>
        <w:wordWrap/>
        <w:overflowPunct/>
        <w:topLinePunct w:val="0"/>
        <w:autoSpaceDE/>
        <w:autoSpaceDN/>
        <w:bidi w:val="0"/>
        <w:spacing w:before="156" w:after="156" w:line="360" w:lineRule="auto"/>
        <w:textAlignment w:val="auto"/>
        <w:rPr>
          <w:rFonts w:cs="仿宋"/>
        </w:rPr>
      </w:pPr>
      <w:r>
        <w:rPr>
          <w:rFonts w:hint="eastAsia" w:cs="仿宋"/>
        </w:rPr>
        <w:t>（11）项目验收</w:t>
      </w:r>
    </w:p>
    <w:p w14:paraId="10E510FD">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试运行完成后，即提请项目验收申请。</w:t>
      </w:r>
    </w:p>
    <w:p w14:paraId="52E99FB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提交验收规范并由用户批准；</w:t>
      </w:r>
    </w:p>
    <w:p w14:paraId="1B604EE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申请验收；</w:t>
      </w:r>
    </w:p>
    <w:p w14:paraId="46ECE44B">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按照程序，根据验收规范对系统进行测试、检验；</w:t>
      </w:r>
    </w:p>
    <w:p w14:paraId="2AC9F7C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验收完成；</w:t>
      </w:r>
    </w:p>
    <w:p w14:paraId="25F07E0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系统移交；</w:t>
      </w:r>
    </w:p>
    <w:p w14:paraId="6783FCB4">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项目资料归档；</w:t>
      </w:r>
    </w:p>
    <w:p w14:paraId="2B3F3A16">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移交我方售后服务中心。</w:t>
      </w:r>
    </w:p>
    <w:p w14:paraId="2E44853F">
      <w:pPr>
        <w:pStyle w:val="13"/>
        <w:pageBreakBefore w:val="0"/>
        <w:numPr>
          <w:ilvl w:val="5"/>
          <w:numId w:val="12"/>
        </w:numPr>
        <w:kinsoku/>
        <w:wordWrap/>
        <w:overflowPunct/>
        <w:topLinePunct w:val="0"/>
        <w:autoSpaceDE/>
        <w:autoSpaceDN/>
        <w:bidi w:val="0"/>
        <w:spacing w:line="360" w:lineRule="auto"/>
        <w:textAlignment w:val="auto"/>
      </w:pPr>
      <w:r>
        <w:rPr>
          <w:rFonts w:hint="eastAsia"/>
        </w:rPr>
        <w:t>施工工期保障</w:t>
      </w:r>
    </w:p>
    <w:p w14:paraId="12BA70EC">
      <w:pPr>
        <w:pageBreakBefore w:val="0"/>
        <w:numPr>
          <w:ilvl w:val="0"/>
          <w:numId w:val="54"/>
        </w:numPr>
        <w:kinsoku/>
        <w:wordWrap/>
        <w:overflowPunct/>
        <w:topLinePunct w:val="0"/>
        <w:autoSpaceDE/>
        <w:autoSpaceDN/>
        <w:bidi w:val="0"/>
        <w:spacing w:before="120" w:after="120" w:line="360" w:lineRule="auto"/>
        <w:ind w:left="0" w:firstLine="480" w:firstLineChars="200"/>
        <w:textAlignment w:val="auto"/>
        <w:rPr>
          <w:kern w:val="0"/>
          <w:szCs w:val="22"/>
        </w:rPr>
      </w:pPr>
      <w:r>
        <w:rPr>
          <w:rFonts w:hint="eastAsia"/>
          <w:kern w:val="0"/>
          <w:szCs w:val="22"/>
        </w:rPr>
        <w:t>强化组织结构。建立强有力的项目组，配置高效项目管理层。本工程施工项目经理、现场经理、工程技术人员、质检员、安全员均由经验丰富的人员担任，由项目经理主抓安全、质量、工期、文明施工、设备到货和后勤保障等工作。</w:t>
      </w:r>
    </w:p>
    <w:p w14:paraId="1066381D">
      <w:pPr>
        <w:pageBreakBefore w:val="0"/>
        <w:numPr>
          <w:ilvl w:val="0"/>
          <w:numId w:val="54"/>
        </w:numPr>
        <w:kinsoku/>
        <w:wordWrap/>
        <w:overflowPunct/>
        <w:topLinePunct w:val="0"/>
        <w:autoSpaceDE/>
        <w:autoSpaceDN/>
        <w:bidi w:val="0"/>
        <w:spacing w:before="120" w:after="120" w:line="360" w:lineRule="auto"/>
        <w:ind w:left="0" w:firstLine="480" w:firstLineChars="200"/>
        <w:textAlignment w:val="auto"/>
        <w:rPr>
          <w:kern w:val="0"/>
          <w:szCs w:val="22"/>
        </w:rPr>
      </w:pPr>
      <w:r>
        <w:rPr>
          <w:rFonts w:hint="eastAsia"/>
          <w:kern w:val="0"/>
          <w:szCs w:val="22"/>
        </w:rPr>
        <w:t>加强施工进度计划管理。项目经理负责制定和下达每周施工进度计划，各供应商根据施工计划进行设备安装、调试及配合试运行。各供应商按每周施工进度要求制订保证工期措施，按照客观规律和实际条件，进行科学管理，确保计划如期实现。</w:t>
      </w:r>
    </w:p>
    <w:p w14:paraId="596EE4EE">
      <w:pPr>
        <w:pageBreakBefore w:val="0"/>
        <w:numPr>
          <w:ilvl w:val="0"/>
          <w:numId w:val="54"/>
        </w:numPr>
        <w:kinsoku/>
        <w:wordWrap/>
        <w:overflowPunct/>
        <w:topLinePunct w:val="0"/>
        <w:autoSpaceDE/>
        <w:autoSpaceDN/>
        <w:bidi w:val="0"/>
        <w:spacing w:before="120" w:after="120" w:line="360" w:lineRule="auto"/>
        <w:ind w:left="0" w:firstLine="480" w:firstLineChars="200"/>
        <w:textAlignment w:val="auto"/>
        <w:rPr>
          <w:kern w:val="0"/>
          <w:szCs w:val="22"/>
        </w:rPr>
      </w:pPr>
      <w:r>
        <w:rPr>
          <w:rFonts w:hint="eastAsia"/>
          <w:kern w:val="0"/>
          <w:szCs w:val="22"/>
        </w:rPr>
        <w:t>强化工期的严肃性。在各个供应商施工之间，确定相互衔接的日期和方式，各供应商保证工程进度不在本部分造成延误。通过对各道工序完成的质量与时间的控制达到保证各分部工程进度的实现。如未能按节点工期完成计划，要即时检查，分析原因，对其负责人进行处罚，责令其迅速采取补救措施。</w:t>
      </w:r>
    </w:p>
    <w:p w14:paraId="5AB055E8">
      <w:pPr>
        <w:pageBreakBefore w:val="0"/>
        <w:numPr>
          <w:ilvl w:val="0"/>
          <w:numId w:val="54"/>
        </w:numPr>
        <w:kinsoku/>
        <w:wordWrap/>
        <w:overflowPunct/>
        <w:topLinePunct w:val="0"/>
        <w:autoSpaceDE/>
        <w:autoSpaceDN/>
        <w:bidi w:val="0"/>
        <w:spacing w:before="120" w:after="120" w:line="360" w:lineRule="auto"/>
        <w:ind w:left="0" w:firstLine="480" w:firstLineChars="200"/>
        <w:textAlignment w:val="auto"/>
        <w:rPr>
          <w:kern w:val="0"/>
          <w:szCs w:val="22"/>
        </w:rPr>
      </w:pPr>
      <w:r>
        <w:rPr>
          <w:rFonts w:hint="eastAsia"/>
          <w:kern w:val="0"/>
          <w:szCs w:val="22"/>
        </w:rPr>
        <w:t>保证施工队伍的人员配置。在设备到场、各专业具备工作面的条件下，配备足够的安装人员、安装指导人员、调试人员。</w:t>
      </w:r>
    </w:p>
    <w:p w14:paraId="63F90A53">
      <w:pPr>
        <w:pageBreakBefore w:val="0"/>
        <w:numPr>
          <w:ilvl w:val="0"/>
          <w:numId w:val="54"/>
        </w:numPr>
        <w:kinsoku/>
        <w:wordWrap/>
        <w:overflowPunct/>
        <w:topLinePunct w:val="0"/>
        <w:autoSpaceDE/>
        <w:autoSpaceDN/>
        <w:bidi w:val="0"/>
        <w:spacing w:before="120" w:after="120" w:line="360" w:lineRule="auto"/>
        <w:ind w:left="0" w:firstLine="480" w:firstLineChars="200"/>
        <w:textAlignment w:val="auto"/>
        <w:rPr>
          <w:kern w:val="0"/>
          <w:szCs w:val="22"/>
        </w:rPr>
      </w:pPr>
      <w:r>
        <w:rPr>
          <w:rFonts w:hint="eastAsia"/>
          <w:kern w:val="0"/>
          <w:szCs w:val="22"/>
        </w:rPr>
        <w:t>设备进场。按照施工进度计划要求及时进货，做到满足施工要求，以便有计划、有序施工。</w:t>
      </w:r>
    </w:p>
    <w:p w14:paraId="3B571BEF">
      <w:pPr>
        <w:pStyle w:val="12"/>
        <w:pageBreakBefore w:val="0"/>
        <w:numPr>
          <w:ilvl w:val="4"/>
          <w:numId w:val="12"/>
        </w:numPr>
        <w:kinsoku/>
        <w:wordWrap/>
        <w:overflowPunct/>
        <w:topLinePunct w:val="0"/>
        <w:autoSpaceDE/>
        <w:autoSpaceDN/>
        <w:bidi w:val="0"/>
        <w:spacing w:line="360" w:lineRule="auto"/>
        <w:textAlignment w:val="auto"/>
      </w:pPr>
      <w:bookmarkStart w:id="761" w:name="_Toc1245629784"/>
      <w:r>
        <w:rPr>
          <w:rFonts w:hint="eastAsia"/>
        </w:rPr>
        <w:t>质量</w:t>
      </w:r>
      <w:r>
        <w:rPr>
          <w:rFonts w:hint="eastAsia"/>
          <w:lang w:eastAsia="zh-CN"/>
        </w:rPr>
        <w:t>要求高</w:t>
      </w:r>
      <w:r>
        <w:rPr>
          <w:rFonts w:hint="eastAsia"/>
        </w:rPr>
        <w:t>，确保</w:t>
      </w:r>
      <w:r>
        <w:rPr>
          <w:rFonts w:hint="eastAsia"/>
          <w:lang w:eastAsia="zh-CN"/>
        </w:rPr>
        <w:t>数据安全、施工</w:t>
      </w:r>
      <w:r>
        <w:rPr>
          <w:rFonts w:hint="eastAsia"/>
        </w:rPr>
        <w:t>安全</w:t>
      </w:r>
      <w:bookmarkEnd w:id="761"/>
    </w:p>
    <w:p w14:paraId="64F5D01D">
      <w:pPr>
        <w:pStyle w:val="13"/>
        <w:pageBreakBefore w:val="0"/>
        <w:numPr>
          <w:ilvl w:val="5"/>
          <w:numId w:val="12"/>
        </w:numPr>
        <w:kinsoku/>
        <w:wordWrap/>
        <w:overflowPunct/>
        <w:topLinePunct w:val="0"/>
        <w:autoSpaceDE/>
        <w:autoSpaceDN/>
        <w:bidi w:val="0"/>
        <w:spacing w:line="360" w:lineRule="auto"/>
        <w:textAlignment w:val="auto"/>
      </w:pPr>
      <w:r>
        <w:rPr>
          <w:rFonts w:hint="eastAsia"/>
        </w:rPr>
        <w:t>风险</w:t>
      </w:r>
      <w:r>
        <w:rPr>
          <w:rFonts w:hint="eastAsia"/>
          <w:lang w:eastAsia="zh-CN"/>
        </w:rPr>
        <w:t>分析</w:t>
      </w:r>
    </w:p>
    <w:p w14:paraId="3E475EF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卷烟二维码关联管理系统实施</w:t>
      </w:r>
      <w:r>
        <w:rPr>
          <w:rFonts w:hint="eastAsia" w:cs="仿宋"/>
          <w:lang w:eastAsia="zh-CN"/>
        </w:rPr>
        <w:t>，</w:t>
      </w:r>
      <w:r>
        <w:rPr>
          <w:rFonts w:hint="eastAsia" w:cs="仿宋"/>
        </w:rPr>
        <w:t>要妥善处理发展创新与保障安全的关系，强化安全意识，注重运维管理，加强系统安全管理，做好系统安全测评、风险评估和安全防护工作。在项目实施质量保障，以及系统持续安全稳定运行方面存在很大挑战。</w:t>
      </w:r>
    </w:p>
    <w:p w14:paraId="124CCFAE">
      <w:pPr>
        <w:pStyle w:val="13"/>
        <w:pageBreakBefore w:val="0"/>
        <w:numPr>
          <w:ilvl w:val="5"/>
          <w:numId w:val="12"/>
        </w:numPr>
        <w:kinsoku/>
        <w:wordWrap/>
        <w:overflowPunct/>
        <w:topLinePunct w:val="0"/>
        <w:autoSpaceDE/>
        <w:autoSpaceDN/>
        <w:bidi w:val="0"/>
        <w:spacing w:line="360" w:lineRule="auto"/>
        <w:textAlignment w:val="auto"/>
      </w:pPr>
      <w:r>
        <w:rPr>
          <w:rFonts w:hint="eastAsia"/>
        </w:rPr>
        <w:t>应对措施</w:t>
      </w:r>
    </w:p>
    <w:p w14:paraId="7D857AD0">
      <w:pPr>
        <w:pageBreakBefore w:val="0"/>
        <w:kinsoku/>
        <w:wordWrap/>
        <w:overflowPunct/>
        <w:topLinePunct w:val="0"/>
        <w:autoSpaceDE/>
        <w:autoSpaceDN/>
        <w:bidi w:val="0"/>
        <w:spacing w:before="120" w:after="120" w:line="360" w:lineRule="auto"/>
        <w:ind w:firstLine="420"/>
        <w:textAlignment w:val="auto"/>
        <w:rPr>
          <w:lang w:eastAsia="zh-Hans"/>
        </w:rPr>
      </w:pPr>
      <w:r>
        <w:rPr>
          <w:rFonts w:hint="eastAsia"/>
        </w:rPr>
        <w:t>1、</w:t>
      </w:r>
      <w:r>
        <w:rPr>
          <w:rFonts w:hint="eastAsia"/>
          <w:lang w:eastAsia="zh-Hans"/>
        </w:rPr>
        <w:t>系统安全防护方案设计</w:t>
      </w:r>
    </w:p>
    <w:p w14:paraId="0DEA5D32">
      <w:pPr>
        <w:pageBreakBefore w:val="0"/>
        <w:kinsoku/>
        <w:wordWrap/>
        <w:overflowPunct/>
        <w:topLinePunct w:val="0"/>
        <w:autoSpaceDE/>
        <w:autoSpaceDN/>
        <w:bidi w:val="0"/>
        <w:adjustRightInd w:val="0"/>
        <w:snapToGrid w:val="0"/>
        <w:spacing w:line="360" w:lineRule="auto"/>
        <w:ind w:firstLine="480" w:firstLineChars="200"/>
        <w:textAlignment w:val="auto"/>
        <w:rPr>
          <w:lang w:eastAsia="zh-Hans"/>
        </w:rPr>
      </w:pPr>
      <w:r>
        <w:rPr>
          <w:rFonts w:hint="eastAsia"/>
        </w:rPr>
        <w:t>1）</w:t>
      </w:r>
      <w:r>
        <w:rPr>
          <w:rFonts w:hint="eastAsia"/>
          <w:lang w:eastAsia="zh-Hans"/>
        </w:rPr>
        <w:t>通信网络安全</w:t>
      </w:r>
    </w:p>
    <w:p w14:paraId="22CF2E4F">
      <w:pPr>
        <w:pageBreakBefore w:val="0"/>
        <w:kinsoku/>
        <w:wordWrap/>
        <w:overflowPunct/>
        <w:topLinePunct w:val="0"/>
        <w:autoSpaceDE/>
        <w:autoSpaceDN/>
        <w:bidi w:val="0"/>
        <w:adjustRightInd w:val="0"/>
        <w:snapToGrid w:val="0"/>
        <w:spacing w:line="360" w:lineRule="auto"/>
        <w:ind w:firstLine="480" w:firstLineChars="200"/>
        <w:textAlignment w:val="auto"/>
        <w:rPr>
          <w:rFonts w:cs="仿宋"/>
        </w:rPr>
      </w:pPr>
      <w:r>
        <w:rPr>
          <w:rFonts w:hint="eastAsia" w:cs="仿宋"/>
        </w:rPr>
        <w:t>网络是承载系统和应用的基础资源，在已有安全防护基础上，采用新一代防火墙、大规模入侵检测与防御设备、网络认证技术、云计算安全查杀工具、桌面虚拟化等网络安全新技术和新设备，进一步提升网络入口访问控制能力和入侵攻击防护能力。完善防病毒网关、统一威胁管理、流量清洗，尤其是针对大规模DDoS攻击、APT攻击等新兴安全威胁的应对措施，实现省域网、局域网及不同安全域之间的可信网络互联。</w:t>
      </w:r>
    </w:p>
    <w:p w14:paraId="415DC84A">
      <w:pPr>
        <w:pageBreakBefore w:val="0"/>
        <w:kinsoku/>
        <w:wordWrap/>
        <w:overflowPunct/>
        <w:topLinePunct w:val="0"/>
        <w:autoSpaceDE/>
        <w:autoSpaceDN/>
        <w:bidi w:val="0"/>
        <w:adjustRightInd w:val="0"/>
        <w:snapToGrid w:val="0"/>
        <w:spacing w:line="360" w:lineRule="auto"/>
        <w:ind w:firstLine="480" w:firstLineChars="200"/>
        <w:textAlignment w:val="auto"/>
        <w:rPr>
          <w:lang w:eastAsia="zh-Hans"/>
        </w:rPr>
      </w:pPr>
      <w:r>
        <w:rPr>
          <w:rFonts w:hint="eastAsia"/>
        </w:rPr>
        <w:t>2）</w:t>
      </w:r>
      <w:r>
        <w:rPr>
          <w:rFonts w:hint="eastAsia"/>
          <w:lang w:eastAsia="zh-Hans"/>
        </w:rPr>
        <w:t>系统架构安全</w:t>
      </w:r>
    </w:p>
    <w:p w14:paraId="6E9F8A3D">
      <w:pPr>
        <w:pageBreakBefore w:val="0"/>
        <w:kinsoku/>
        <w:wordWrap/>
        <w:overflowPunct/>
        <w:topLinePunct w:val="0"/>
        <w:autoSpaceDE/>
        <w:autoSpaceDN/>
        <w:bidi w:val="0"/>
        <w:adjustRightInd w:val="0"/>
        <w:snapToGrid w:val="0"/>
        <w:spacing w:line="360" w:lineRule="auto"/>
        <w:ind w:firstLine="480" w:firstLineChars="200"/>
        <w:textAlignment w:val="auto"/>
        <w:rPr>
          <w:rFonts w:cs="仿宋"/>
        </w:rPr>
      </w:pPr>
      <w:r>
        <w:rPr>
          <w:rFonts w:hint="eastAsia" w:cs="仿宋"/>
        </w:rPr>
        <w:t>由于大部分系统攻击行为是通过获取系统控制权限来实现的，因此完善系统安全内容访问控制、本地数据与日志备份、远程数据与日志备份等工作至关重要。完善安全防护技术体系架构，通过合理的安全区域划分，完善边界防护、安全计算环境防护，主动防御外来攻击，建立自防御式信息安全保障体系。具体方案详见本章节系统防护方案设计。</w:t>
      </w:r>
    </w:p>
    <w:p w14:paraId="7ECAF01A">
      <w:pPr>
        <w:pageBreakBefore w:val="0"/>
        <w:kinsoku/>
        <w:wordWrap/>
        <w:overflowPunct/>
        <w:topLinePunct w:val="0"/>
        <w:autoSpaceDE/>
        <w:autoSpaceDN/>
        <w:bidi w:val="0"/>
        <w:spacing w:line="360" w:lineRule="auto"/>
        <w:textAlignment w:val="auto"/>
        <w:rPr>
          <w:lang w:eastAsia="zh-Hans"/>
        </w:rPr>
      </w:pPr>
      <w:r>
        <w:rPr>
          <w:rFonts w:hint="eastAsia"/>
        </w:rPr>
        <w:t>3）</w:t>
      </w:r>
      <w:r>
        <w:rPr>
          <w:rFonts w:hint="eastAsia"/>
          <w:lang w:eastAsia="zh-Hans"/>
        </w:rPr>
        <w:t>应用数据安全</w:t>
      </w:r>
    </w:p>
    <w:p w14:paraId="37AF0C6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1、数据存储技术</w:t>
      </w:r>
    </w:p>
    <w:p w14:paraId="3FC6AFC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(1)对数据进行分类</w:t>
      </w:r>
    </w:p>
    <w:p w14:paraId="37C67ED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应用程序数据可以归为下述三种类型之一：结构化、半结构化和非结构化。这里介绍如何将数据归类，以便选择正确的存储解决方案。</w:t>
      </w:r>
    </w:p>
    <w:p w14:paraId="12E80C4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结构化数据（有时称为关系数据），是遵循某种严格架构的数据，因此所有数据都具有相同的字段或属性。 共享架构允许使用 SQL（结构化查询语言）等查询语言轻松搜索此类数据。 此功能使此数据样式非常适合 CRM 系统、预留和库存管理等应用程序。</w:t>
      </w:r>
    </w:p>
    <w:p w14:paraId="6A1BB8A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 xml:space="preserve">结构化数据通常存储在具有行和列的数据库表中，其中键列指示表中的一行与另一个表的另一行中的数据之间的关系。 </w:t>
      </w:r>
    </w:p>
    <w:p w14:paraId="6AD9957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结构化数据很简单，易于输入、查询和分析。所有数据都遵循相同的格式。但强制采用一致的结构也意味着数据演变会更加困难，因为必须更新每个记录才能符合新结构。</w:t>
      </w:r>
    </w:p>
    <w:p w14:paraId="202B323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半结构化数据的组织条理性与结构化数据相比要弱，且由于字段并不完全符合表、行和列的结构，不会以关系格式存储。半结构化数据包含突显数据的组织和层次结构的标记，例如键/值对。 半结构化数据也称为非关系数据或 NoSQL 数据。此样式的数据的表达式和结构由序列化语言定义。</w:t>
      </w:r>
    </w:p>
    <w:p w14:paraId="521E767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对于系统开发人员来说，数据序列化语言非常重要，因为它们可用于将存储在内存中的数据写入文件，并发送到另一个系统进行分析和读取。发送方和接收方无需知道有关另一个系统的详细信息，只要使用同样的序列化语言，这两个系统便可以理解数据。</w:t>
      </w:r>
    </w:p>
    <w:p w14:paraId="0846498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目前，我们会遇到三种常见的序列化语言，分别是：</w:t>
      </w:r>
    </w:p>
    <w:p w14:paraId="52C5739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XML，即“可扩展标记语言”(extensible markup language)，是首先获得广泛支持的一种数据语言。它是基于文本的，这使得它很容易被人和机器阅读。此外，几乎所有常用开发平台都可以找到它的分析程序。XML 使我们可以表达关系，并具有架构、转换甚至在 Web 上显示的标准。XML 非常灵活，可以轻松表达复杂数据。 但是，它往往更加冗长，从而使存储、处理或通过网络传递的规模更大。 因此，其他格式变得更加热门。</w:t>
      </w:r>
    </w:p>
    <w:p w14:paraId="3110B41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JSON，即“JavaScript 对象表示法”(JavaScript Object Notation)，具有轻型规范，并依赖大括号来表示数据结构。它没有 XML 那么冗长，且更易于阅读。Web 服务经常使用 JSON 返回数据。</w:t>
      </w:r>
    </w:p>
    <w:p w14:paraId="4A707D5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YAML，即“YAML 不是一种标记语言”(YAML Ain’t Markup Language)，是一种比较新式的数据语言，因为它比较人性化，所以人气迅速上涨。数据结构由分行和缩进定义，并减少了对结构化字符（如圆括号、逗号和方括号）的依赖。这种格式比 JSON 更具可读性，通常用于需要由人编写但由程序分析的配置文件。然而，YAML 是最新的数据格式，在编程语言中没有 JSON 和 XML 那么多的支持。</w:t>
      </w:r>
    </w:p>
    <w:p w14:paraId="401C4CD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非结构化数据的组织结构难以发现。非结构化数据通常以文件形式提供，例如照片或视频。视频文件本身可具有整体结构并且具有半结构化元数据，但是包括视频本身在内的数据是非结构化数据。因此，将照片、视频和其他类似文件归类为非结构化数据。</w:t>
      </w:r>
    </w:p>
    <w:p w14:paraId="677CAEB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非结构化数据示例包括：</w:t>
      </w:r>
    </w:p>
    <w:p w14:paraId="1965D5A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媒体文件（如照片、视频和音频文件）</w:t>
      </w:r>
    </w:p>
    <w:p w14:paraId="2D2171B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Office 文件（如 Word 文档）</w:t>
      </w:r>
    </w:p>
    <w:p w14:paraId="7B7F107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文本文件</w:t>
      </w:r>
    </w:p>
    <w:p w14:paraId="481CDCA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日志文件</w:t>
      </w:r>
    </w:p>
    <w:p w14:paraId="1FE403F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(2)确定操作需求</w:t>
      </w:r>
    </w:p>
    <w:p w14:paraId="218E132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确定所处理数据的类型（结构化、半结构化或非结构化）后，下一步是确定如何使用该数据。研究这些需求并将数据分类考虑进去以后，即可开始计划数据存储解决方案。</w:t>
      </w:r>
    </w:p>
    <w:p w14:paraId="38AB9F9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在这里，需要了解在确定如何处理数据时应该询问的一些问题。</w:t>
      </w:r>
    </w:p>
    <w:p w14:paraId="755CF72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将针对每种数据类型完成哪些主要操作以及性能要求是什么？</w:t>
      </w:r>
    </w:p>
    <w:p w14:paraId="738D905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询问自己以下问题：</w:t>
      </w:r>
    </w:p>
    <w:p w14:paraId="0E426B9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是否要通过 ID 进行简单查找？</w:t>
      </w:r>
    </w:p>
    <w:p w14:paraId="4974B24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是否需要在数据库中查询一个或多个字段？</w:t>
      </w:r>
    </w:p>
    <w:p w14:paraId="42E4032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预期执行多少创建、更新和删除操作？</w:t>
      </w:r>
    </w:p>
    <w:p w14:paraId="0E0920D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是否需要运行复杂的分析查询？</w:t>
      </w:r>
    </w:p>
    <w:p w14:paraId="743F486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这些操作需要多快完成？</w:t>
      </w:r>
    </w:p>
    <w:p w14:paraId="27F7934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例如业务数据：对于业务数据，所有分析均针对历史数据进行。无法根据分析对原始数据进行更新，因此业务数据为只读数据。 用户并不需要立即运行复杂分析，允许结果存在一定延迟。此外，业务数据将存储在多个数据集中，因为用户需要通过不同的访问权限来写入各个数据集。但是，业务分析师能读取所有数据库。</w:t>
      </w:r>
    </w:p>
    <w:p w14:paraId="6E4671F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(3)将多个操作分组到一个事务中</w:t>
      </w:r>
    </w:p>
    <w:p w14:paraId="47F1F83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应用程序可能需要将一系列数据更新组合在一起，因为更改一个数据后，另一个数据也需更改。可以借助事务来组合这些更新，以便在一系列更新中的某一事件失败时，可以回退或撤消整个系列。</w:t>
      </w:r>
    </w:p>
    <w:p w14:paraId="3AD8618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w:t>
      </w:r>
    </w:p>
    <w:p w14:paraId="3A426C5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事务是要捆绑执行的一组有逻辑关系的数据库操作。</w:t>
      </w:r>
    </w:p>
    <w:p w14:paraId="20D6F68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关于是否需要在应用程序中使用事务，需询问自己以下问题：对数据集中某一数据的更改是否会影响另一数据？ 如果会造成影响，则数据库服务中需要事务支持。</w:t>
      </w:r>
    </w:p>
    <w:p w14:paraId="5451F82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事务通常由一组四项要求定义，称为 ACID 保证。ACID 代表原子性、一致性、隔离性和持久性：</w:t>
      </w:r>
    </w:p>
    <w:p w14:paraId="5B3E667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原子性是指一个事务只能执行一次且必须是原子的；即要不所有工作均已完成，要不任何工作都没完成。事务中的操作通常共享一个共同的意图且相互依赖。</w:t>
      </w:r>
    </w:p>
    <w:p w14:paraId="37A00E0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一致性可确保数据在事务之前和之后都保持一致。</w:t>
      </w:r>
    </w:p>
    <w:p w14:paraId="655BEAC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隔离性可确保一个事务不受另一个事务影响。</w:t>
      </w:r>
    </w:p>
    <w:p w14:paraId="4C8D5C4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持久性意味着因事务所做的更改将永久保存在系统中。 系统保存已提交的数据，因此即使发生故障和系统重启，数据也能以正确的状态存在。</w:t>
      </w:r>
    </w:p>
    <w:p w14:paraId="3C021E3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如果数据库提供 ACID 保证，则会以一致的方式将这些原则应用到任何事务中。</w:t>
      </w:r>
    </w:p>
    <w:p w14:paraId="1CD661E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OLTP 与 OLAP</w:t>
      </w:r>
    </w:p>
    <w:p w14:paraId="2176ED9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事务数据库通常称为 OLTP（联机事务处理）系统。OLTP 系统通常支持大量用户、响应时间短并且可处理大量数据。它们还是高度可用的（这意味着其停机时间非常短），通常处理小型或相对简单的事务。</w:t>
      </w:r>
    </w:p>
    <w:p w14:paraId="15A18E8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OLAP（联机分析处理）与之相反，该系统通常支持的用户更少，响应时间更长，可用性更低，并且常用于处理大型的复杂事务。</w:t>
      </w:r>
    </w:p>
    <w:p w14:paraId="06C4354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例如：对于业务数据，由于所有数据都是历史数据且不会改变，因此不需要事务性支持。 处理数据的业务分析师也有独特的需求，他们经常需要在查询中使用聚合，以便处理其他较小数据点的总和。</w:t>
      </w:r>
    </w:p>
    <w:p w14:paraId="4E81AAD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确保数据处于正确状态并非易事。事务可以用来对数据强制实施数据完整性要求。 如果数据受益于 ACID 原则，则请选择支持事务的存储解决方案。</w:t>
      </w:r>
    </w:p>
    <w:p w14:paraId="5FF19C4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(4)数据存储解决方案</w:t>
      </w:r>
    </w:p>
    <w:p w14:paraId="0A9A1A3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选择正确的存储解决方案可以改进性能、成本节省情况和可管理性。</w:t>
      </w:r>
    </w:p>
    <w:p w14:paraId="62A0022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1、半结构化数据，因为需要扩展或修改产品的架构</w:t>
      </w:r>
    </w:p>
    <w:p w14:paraId="46EEFED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操作：</w:t>
      </w:r>
    </w:p>
    <w:p w14:paraId="1C1EBD7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客户需要大量读取操作，并且需要能够查询数据库中的多个字段。</w:t>
      </w:r>
    </w:p>
    <w:p w14:paraId="56292F5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业务需要大量写入操作，跟踪不断变化的库存信息。</w:t>
      </w:r>
    </w:p>
    <w:p w14:paraId="0088308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延迟和吞吐量： 高吞吐量和低延迟</w:t>
      </w:r>
    </w:p>
    <w:p w14:paraId="3879013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事务支持： 必需</w:t>
      </w:r>
    </w:p>
    <w:p w14:paraId="0696EC5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建议选择支持半结构化数据或NoSQL 数据的数据库。</w:t>
      </w:r>
    </w:p>
    <w:p w14:paraId="4311E05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2、非结构化数据</w:t>
      </w:r>
    </w:p>
    <w:p w14:paraId="6BA3213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操作：</w:t>
      </w:r>
    </w:p>
    <w:p w14:paraId="62B7517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只需按 ID 检索。</w:t>
      </w:r>
    </w:p>
    <w:p w14:paraId="10AAE21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客户需要大量低延迟的读取操作。</w:t>
      </w:r>
    </w:p>
    <w:p w14:paraId="78DC511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创建和更新操作的延迟可以比读取操作的更高。</w:t>
      </w:r>
    </w:p>
    <w:p w14:paraId="5CF8618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延迟和吞吐量： 按ID 检索需要支持低延迟和高吞吐量。创建和更新操作的延迟可能比读取操作的更高。</w:t>
      </w:r>
    </w:p>
    <w:p w14:paraId="1F36599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事务支持： 不是必需</w:t>
      </w:r>
    </w:p>
    <w:p w14:paraId="2CF33AA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建议选择支持非结构化数据的数据库。</w:t>
      </w:r>
    </w:p>
    <w:p w14:paraId="1D45CBB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3、结构化数据</w:t>
      </w:r>
    </w:p>
    <w:p w14:paraId="7ABFC94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操作： 跨多个数据库的只读复杂分析查询</w:t>
      </w:r>
    </w:p>
    <w:p w14:paraId="6753CDC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延迟和吞吐量： 根据查询的复杂性，预计结果会出现一定延迟。</w:t>
      </w:r>
    </w:p>
    <w:p w14:paraId="0767A83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事务支持： 必需</w:t>
      </w:r>
    </w:p>
    <w:p w14:paraId="1F5A382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建议选择支持结构化数据的关系型数据库，例如：mysql,oracle,sqlserver,postgresql等。</w:t>
      </w:r>
    </w:p>
    <w:p w14:paraId="1C4FB58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每一类数据都有不同的存储需求，我们需要考虑数据类型、所需操作、预期的延迟以及是否需要事务支持。</w:t>
      </w:r>
    </w:p>
    <w:p w14:paraId="5232426F">
      <w:pPr>
        <w:pageBreakBefore w:val="0"/>
        <w:kinsoku/>
        <w:wordWrap/>
        <w:overflowPunct/>
        <w:topLinePunct w:val="0"/>
        <w:autoSpaceDE/>
        <w:autoSpaceDN/>
        <w:bidi w:val="0"/>
        <w:spacing w:before="120" w:after="120" w:line="360" w:lineRule="auto"/>
        <w:ind w:firstLine="199" w:firstLineChars="83"/>
        <w:textAlignment w:val="auto"/>
        <w:rPr>
          <w:rFonts w:cs="仿宋"/>
        </w:rPr>
      </w:pPr>
      <w:r>
        <w:rPr>
          <w:rFonts w:hint="eastAsia" w:cs="仿宋"/>
        </w:rPr>
        <w:t>2、数据备份策略</w:t>
      </w:r>
    </w:p>
    <w:p w14:paraId="69AE16B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通过数据备份软件来实现数据的存储备份，首先需要确定数据备份的策略。备份策略指确定需备份的内容、备份时间及备份方式。根据不同项目的实际情况来制定不同的备份策略。</w:t>
      </w:r>
    </w:p>
    <w:p w14:paraId="388DD50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目前被采用最多的备份策略主要有以下三种，分别是：完全备份、增量备份、差分备份。</w:t>
      </w:r>
    </w:p>
    <w:p w14:paraId="799B1DC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(1)完全备份</w:t>
      </w:r>
    </w:p>
    <w:p w14:paraId="7CA0F3B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每天/每周/每月固定时间对信息系统进行完全备份，例如，每周周末通过磁带库对整个系统进行备份，完全备份策略的好处是：当发生数据丢失的灾难时，通过磁带库就可以恢复丢失的数据。然而它亦有不足之处，首先，由于每周都对整个系统进行完全备份，造成备份的数据大量重复。这些重复的数据占用了大量的磁带空间，这对用户来说就意味着增加成本。其次，由于需要备份的数据量较大，因此备份所需的时间也就较长。对于那些业务繁忙、备份时间有限的单位来说，选择这种备份策略是不明智的。</w:t>
      </w:r>
    </w:p>
    <w:p w14:paraId="2428301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(2)增量备份</w:t>
      </w:r>
    </w:p>
    <w:p w14:paraId="1906700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每月月初进行一次系统完全备份，然后在接下来的每天只对当天新的或被修改过的数据进行备份。这种备份策略的优点是节省了磁带空间，缩短了备份时间。但它的缺点在于，当灾难发生时，数据的恢复比较麻烦。例如，系统在次月15号的早晨发生故障，丢失了大量的数据，那么现在就要将系统恢复到14号晚上时的状态。这时系统管理员就要首先找出当月月初的完全备份磁带进行系统恢复，然后再找出当月1~14号晚上的增量备份数据进行恢复。很明显，这种方式很繁琐。另外，这种备份的可靠性也很差。在这种备份方式下，各盘磁带间的关系就象链子一样，一环套一环，其中任何一盘磁带出了问题都会导致整条链子脱节。</w:t>
      </w:r>
    </w:p>
    <w:p w14:paraId="71688F3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(3)差分备份</w:t>
      </w:r>
    </w:p>
    <w:p w14:paraId="475A9C4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 xml:space="preserve">每月月初进行一次系统完全备份，然后在接下来的一个月内，管理员再将当天所有与月初不同的数据（新的或修改过的）备份到磁带上。差分备份策略在避免了以上两种策略的缺陷的同时，又具有了它们的所有优点。首先，它无需每天/每周/每月都对系统做完全备份，因此备份所需时间短，并节省了磁带空间，其次，它的灾难恢复也很方便。系统管理员只需两盘磁带，即每月月初初磁带与灾难发生前一天的磁带，就可以将系统恢复。 </w:t>
      </w:r>
    </w:p>
    <w:p w14:paraId="1B1F215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在实际应用中，备份策略通常是以上三种的结合。例如每周一至周六进行一次增量备份或差分备份，每周日进行全备份，每月底进行一次全备份，每年底进行一次全备份。</w:t>
      </w:r>
    </w:p>
    <w:p w14:paraId="4425359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3、灾难恢复策略</w:t>
      </w:r>
    </w:p>
    <w:p w14:paraId="047A06F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灾难恢复是指在发生导致停机和数据丢失的高影响性事件后进行恢复。灾难是单一的严重事件，其影响和持续时间超出了应用程序通过其设计中的高用性部分进行缓解的能力。</w:t>
      </w:r>
    </w:p>
    <w:p w14:paraId="6F91666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“灾难”一词通常会让我们想到自然灾难和外力事件（地震、洪水、热带风暴，等等），但现实中也存在其他许多类型的灾难。部署或升级失败都可能会使应用处于不可识别的状态。 恶意黑客可能会加密或删除数据并造成其他类型的损害，导致应用脱机或者丧失其部分功能。</w:t>
      </w:r>
    </w:p>
    <w:p w14:paraId="3FB1400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不管灾难的原因是什么，最好的补救措施就是创建一个完善定义且经过测试的灾难恢复计划，并通过设计使应用程序主动支持灾难恢复功能。</w:t>
      </w:r>
    </w:p>
    <w:p w14:paraId="54581AD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(1)创建灾难恢复计划</w:t>
      </w:r>
    </w:p>
    <w:p w14:paraId="40ABF4C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灾难恢复计划是单个文档，其中详细描述了在灾难导致数据丢失和停机后进行恢复所要执行的过程，并确定这些过程的负责人。发生灾难后，操作员应该能够使用该计划作为指导书来还原应用程序连接和恢复数据。专用于灾难恢复的详细书面计划对于确保良好的结果至关重要。创建计划的过程将有助于组装应用程序的完整蓝图。生成的书面步骤将促进良好决策的制定并在发生灾难事件后在惊慌失措的混乱局面中平稳度过。</w:t>
      </w:r>
    </w:p>
    <w:p w14:paraId="15CE9A3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(2)风险评估和过程盘点</w:t>
      </w:r>
    </w:p>
    <w:p w14:paraId="2ADC23A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创建灾难恢复计划的第一步是执行风险分析，以探讨不同类型的灾难对应用程序的影响。 相比于灾难造成数据丢失和应用故障时间所带来的潜在影响，灾难的确切性质对风险分析并不那么重要。探索各种类型的假设灾难并尽量具体地考虑其影响。例如，有针对性的恶意攻击可能会修改代码或数据，从而导致不同类型的影响，而地震只是中断网络连接和数据中心的可用性。</w:t>
      </w:r>
    </w:p>
    <w:p w14:paraId="74E63C1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风险评估需要考虑到每个不能承受无限故障时间的进程，以及每个不能承受无限丢失的数据类别。发生影响多个应用程序组件的灾难时，计划所有者应该能够使用计划来全面盘点需要关注的问题，以及如何确定每个项的优先级，这一点非常关键。</w:t>
      </w:r>
    </w:p>
    <w:p w14:paraId="2F69BE3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某些应用可能只是构成了单个过程或数据分类。这仍是一个要注意的要点，因为应用程序可能是包含组织中多个应用程序的较大灾难恢复计划的一个组成部分。</w:t>
      </w:r>
    </w:p>
    <w:p w14:paraId="76D96C6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(3)灾难恢复目标</w:t>
      </w:r>
    </w:p>
    <w:p w14:paraId="30C8959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完整的计划需要为应用程序实施的每个进程指定两项关键业务要求：</w:t>
      </w:r>
    </w:p>
    <w:p w14:paraId="52553F9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恢复点目标 (RPO)：可接受数据丢失的最长持续时间。RPO以时间单位进行度量，而不以数量进行度量：“30分钟的数据”、“4个小时的数据”等。 RPO 与限制数据丢失以及从中恢复相关，与数据失窃无关。</w:t>
      </w:r>
    </w:p>
    <w:p w14:paraId="23CA45C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恢复时间目标 (RTO)：可接受停机的最长持续时间，其中“停机”需根据规范进行定义。 例如，如果发生灾难时可接受的停机持续时间为 8 小时，则RTO为8小时。</w:t>
      </w:r>
    </w:p>
    <w:p w14:paraId="15365C2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应用实现的每个主要过程或工作负载应具有独立的RPO和RTO值。即使不同的过程达到了相同的值，也应该通过单独的分析来生成每个值。该分析探讨灾难场景的风险，以及每个相关过程的潜在恢复策略。</w:t>
      </w:r>
    </w:p>
    <w:p w14:paraId="3C5ACAE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指定RPO和RTO的过程实际上是为应用程序创建灾难恢复要求的过程。它需要确立每个工作负荷的优先级和数据的类别并执行成本效益分析。分析包括关注点，例如实现和维护成本、操作费用、流程开销、性能影响，以及停机和丢失数据的影响。需要明确定义“停机”对应用程序意味着什么，在某些情况下，可以针对不同的功能级别建立不同的RPO和RTO值。指定RPO和RTO不仅仅是选择任意值。 灾难恢复计划中的许多值来自调查和分析，这包括对灾难的潜在影响以及缓解风险产生的成本的深入分析。</w:t>
      </w:r>
    </w:p>
    <w:p w14:paraId="0068D3E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(4)灾难恢复步骤</w:t>
      </w:r>
    </w:p>
    <w:p w14:paraId="433B021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最终的计划应该详细描述需采取哪些确切的步骤来还原已丢失的数据和应用程序连接，步骤通常包含以下信息：</w:t>
      </w:r>
    </w:p>
    <w:p w14:paraId="02335B4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备份：创建备份的频率、备份的位置，以及如何从中还原数据。</w:t>
      </w:r>
    </w:p>
    <w:p w14:paraId="6CEC26F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数据副本：副本的数量和位置、已复制数据的性质和一致性特征，以及如何切换到另一个副本。</w:t>
      </w:r>
    </w:p>
    <w:p w14:paraId="2EFC768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部署：如何执行部署、如何回滚以及部署的失败方案。</w:t>
      </w:r>
    </w:p>
    <w:p w14:paraId="571EEC5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基础结构：本地和云资源、网络基础结构，以及硬件库存。</w:t>
      </w:r>
    </w:p>
    <w:p w14:paraId="0C6C823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依赖项：应用程序使用的外部服务，包括 SLA 和联系人信息。</w:t>
      </w:r>
    </w:p>
    <w:p w14:paraId="57143FD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配置和通知：经设置可用于正常降级应用程序的标志或选项，以及用于向用户通知应用程序的影响的服务。</w:t>
      </w:r>
    </w:p>
    <w:p w14:paraId="7628630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需要执行的确切步骤在很大程度上取决于应用的实施详细信息，因此，保持计划的更新状态非常重要。 定期测试计划有助于发现差距和已过时部分。</w:t>
      </w:r>
    </w:p>
    <w:p w14:paraId="09FDF9F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(5)灾难恢复设计</w:t>
      </w:r>
    </w:p>
    <w:p w14:paraId="0D1355B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灾难恢复不是自动化功能。必须对其进行设计、生成并测试。对于需要支持可靠灾难恢复策略的应用，在其整个开发周期中都要考虑到灾难恢复。通过灾难恢复软件提供所需的服务、功能和指导来帮助进行灾难恢复。</w:t>
      </w:r>
    </w:p>
    <w:p w14:paraId="3BD11CB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设计灾难恢复时，需要考虑到两个主要因素：</w:t>
      </w:r>
    </w:p>
    <w:p w14:paraId="4A02EC9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数据恢复：使用备份和复制来还原已丢失的数据。</w:t>
      </w:r>
    </w:p>
    <w:p w14:paraId="0FD5138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过程恢复：恢复服务并部署代码，以便在服务中断后进行恢复。</w:t>
      </w:r>
    </w:p>
    <w:p w14:paraId="3DB3CBF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4、数据恢复和复制</w:t>
      </w:r>
    </w:p>
    <w:p w14:paraId="4E7AF70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复制功能在多个数据存储副本之间复制已存储的数据。复制功能会创建实时数据的实时或准实时副本，这与备份不同，后者会创建数据的长期保留只读快照用于恢复。复制目标是使副本以尽可能低的延迟保持同步，同时保持应用程序的响应能力。复制是设计高可用性和灾难恢复时的一个关键组成部分，并且是生产级应用程序的一个常用功能。</w:t>
      </w:r>
    </w:p>
    <w:p w14:paraId="572C872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使用复制可以通过执行故障转移来缓解有故障或不可访问数据存储：更改应用程序配置，以将数据请求路由到正常工作的副本。故障转移通常是自动化的，由数据存储产品中内置的错误检测功能，或者通过监视解决方案实施的检测功能来触发。根据具体的实施方式和方案，故障转移可能需要由系统操作员手动执行。</w:t>
      </w:r>
    </w:p>
    <w:p w14:paraId="31660CF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复制不是一项最初就可以实施的功能。由于功能和性能方面的要求，大多数全功能数据库系统和其他数据存储产品与服务都以紧密集成式功能的形式包含了某种类型的复制。 但是，由你自行决定是否要在应用程序设计中包含这些功能并适当利用它们。</w:t>
      </w:r>
    </w:p>
    <w:p w14:paraId="3CA60FA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有许多不同的复制设计针对数据一致性、性能和成本指定了不同的优先级。主动复制需要同时对多个副本执行更新，这可以保证一致性，代价是吞吐量会降低。相比之下，被动复制在后台执行同步，这消除了复制给应用程序的性能带来的约束，但增大了RPO。 借助“主动-主动”或“多主数据库”复制，可同时使用多个副本，从而实现负载均衡，但代价是数据一致性实现起来更复杂；而“主动-被动”复制则仅在故障转移期间保留副本以供实时使用。</w:t>
      </w:r>
    </w:p>
    <w:p w14:paraId="4DEC67B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5、过程恢复</w:t>
      </w:r>
    </w:p>
    <w:p w14:paraId="4CBA80D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发生灾难后，业务数据并不是唯一需要恢复的资产。此外，灾难场景通常会导致停机，不管原因是网络连接问题、数据中心服务中断，还是逊尼基实例或软件部署受损。应用程序的设计需要允许将其还原到正常工作状态。</w:t>
      </w:r>
    </w:p>
    <w:p w14:paraId="3FE37B8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在大多数情况下，进程还原涉及故障转移到正常工作的独立部署。地理位置可能是一个重要的因素，具体取决于场景。应用程序的灾难恢复要求（尤其是RTO）应该推动你的设计，并帮助你确定要部署多少个复制环境、这些环境的所在位置，以及是要将它们维持一种随时可运行的状态，还是使它们在发生灾难时随时可接受部署。</w:t>
      </w:r>
    </w:p>
    <w:p w14:paraId="32CA223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(6)测试灾难恢复计划</w:t>
      </w:r>
    </w:p>
    <w:p w14:paraId="2C629C2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制定完一个计划后，灾难恢复的规划工作并未结束。测试计划是灾难恢复的一个至关重要的步骤，它可以确保方针和阐述清晰且符合当前局势。</w:t>
      </w:r>
    </w:p>
    <w:p w14:paraId="314862B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选择用于执行不同类型和范围测试的时间间隔，如每月测试一次备份和故障转移机制，每六个月执行一次全面灾难恢复模拟。始终遵循计划中明确阐述的步骤和详细信息，并考虑让某个不熟悉计划的人针对任何内容发表看法，让计划变得更明确。在执行测试时，请确定差距、改进的领域以及要自动化的环节，然后将这些增强功能添加到计划中。</w:t>
      </w:r>
    </w:p>
    <w:p w14:paraId="0CEEACE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此外，还请务必在测试中添加监视系统。例如，如果应用支持自动故障转移，请在依赖项或其他关键组件中引入故障，以确保应用自始至终行为都正常，包括检测故障并触发自动故障转移。</w:t>
      </w:r>
    </w:p>
    <w:p w14:paraId="0C0A0E9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认真确定要求并布置计划后，便可以确定需要使用哪些类型的服务来符合恢复目标。</w:t>
      </w:r>
    </w:p>
    <w:p w14:paraId="7F91E2C4">
      <w:pPr>
        <w:pageBreakBefore w:val="0"/>
        <w:kinsoku/>
        <w:wordWrap/>
        <w:overflowPunct/>
        <w:topLinePunct w:val="0"/>
        <w:autoSpaceDE/>
        <w:autoSpaceDN/>
        <w:bidi w:val="0"/>
        <w:spacing w:line="360" w:lineRule="auto"/>
        <w:textAlignment w:val="auto"/>
        <w:rPr>
          <w:lang w:eastAsia="zh-Hans"/>
        </w:rPr>
      </w:pPr>
      <w:r>
        <w:rPr>
          <w:rFonts w:hint="eastAsia"/>
        </w:rPr>
        <w:t>4）</w:t>
      </w:r>
      <w:r>
        <w:rPr>
          <w:rFonts w:hint="eastAsia"/>
          <w:lang w:eastAsia="zh-Hans"/>
        </w:rPr>
        <w:t>访问控制权限</w:t>
      </w:r>
    </w:p>
    <w:p w14:paraId="7A20BAC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系统设计中遵循严格身份认证和有限授权原则、全面确认原则和安全跟踪原则，采用严格的安全体系，保证数据在处理和传输全过程的安全性。支持在系统实体对象级别上针对不同用户设置独立系统和对象访问权限，也可以支持访问权限的分组（角色）分级管理，系统和对象访问权限可以以组为单位进行授权。</w:t>
      </w:r>
    </w:p>
    <w:p w14:paraId="3E62448A">
      <w:pPr>
        <w:pageBreakBefore w:val="0"/>
        <w:kinsoku/>
        <w:wordWrap/>
        <w:overflowPunct/>
        <w:topLinePunct w:val="0"/>
        <w:autoSpaceDE/>
        <w:autoSpaceDN/>
        <w:bidi w:val="0"/>
        <w:spacing w:line="360" w:lineRule="auto"/>
        <w:textAlignment w:val="auto"/>
        <w:rPr>
          <w:lang w:eastAsia="zh-Hans"/>
        </w:rPr>
      </w:pPr>
      <w:r>
        <w:rPr>
          <w:rFonts w:hint="eastAsia"/>
        </w:rPr>
        <w:t>5）</w:t>
      </w:r>
      <w:r>
        <w:rPr>
          <w:rFonts w:hint="eastAsia"/>
          <w:lang w:eastAsia="zh-Hans"/>
        </w:rPr>
        <w:t>工控安全</w:t>
      </w:r>
    </w:p>
    <w:p w14:paraId="0AB13C40">
      <w:pPr>
        <w:pageBreakBefore w:val="0"/>
        <w:numPr>
          <w:ilvl w:val="0"/>
          <w:numId w:val="55"/>
        </w:numPr>
        <w:kinsoku/>
        <w:wordWrap/>
        <w:overflowPunct/>
        <w:topLinePunct w:val="0"/>
        <w:autoSpaceDE/>
        <w:autoSpaceDN/>
        <w:bidi w:val="0"/>
        <w:adjustRightInd w:val="0"/>
        <w:spacing w:line="360" w:lineRule="auto"/>
        <w:textAlignment w:val="auto"/>
        <w:rPr>
          <w:lang w:eastAsia="zh-Hans"/>
        </w:rPr>
      </w:pPr>
      <w:r>
        <w:rPr>
          <w:rFonts w:hint="eastAsia"/>
          <w:lang w:eastAsia="zh-Hans"/>
        </w:rPr>
        <w:t>安全架构</w:t>
      </w:r>
    </w:p>
    <w:p w14:paraId="7DF1721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本方案中信息系统遵循《网络安全法》互联网应用相关要求，系统按照信息安全等级保护三级系统建设开发。根据招标单位提供的专有云安全中心、数据库审计、信息防火墙、Web应用防火墙、堡垒机、SSL证书、DDos高防、VPC、工业防火墙、主机安全卫士等进行本项目的安全设计。</w:t>
      </w:r>
    </w:p>
    <w:p w14:paraId="707A63B2">
      <w:pPr>
        <w:pageBreakBefore w:val="0"/>
        <w:numPr>
          <w:ilvl w:val="0"/>
          <w:numId w:val="55"/>
        </w:numPr>
        <w:kinsoku/>
        <w:wordWrap/>
        <w:overflowPunct/>
        <w:topLinePunct w:val="0"/>
        <w:autoSpaceDE/>
        <w:autoSpaceDN/>
        <w:bidi w:val="0"/>
        <w:adjustRightInd w:val="0"/>
        <w:spacing w:line="360" w:lineRule="auto"/>
        <w:textAlignment w:val="auto"/>
        <w:rPr>
          <w:lang w:eastAsia="zh-Hans"/>
        </w:rPr>
      </w:pPr>
      <w:r>
        <w:rPr>
          <w:rFonts w:hint="eastAsia"/>
          <w:lang w:eastAsia="zh-Hans"/>
        </w:rPr>
        <w:t>防护建设方案</w:t>
      </w:r>
    </w:p>
    <w:p w14:paraId="16EF08F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一、专有云安全中心</w:t>
      </w:r>
    </w:p>
    <w:p w14:paraId="448272E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统一安全管理，自动收集专有云上各种资产，高达十四种日志数据，实现安全威胁实时管控，让安全没有死角。</w:t>
      </w:r>
    </w:p>
    <w:p w14:paraId="32D0444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1、安全预防</w:t>
      </w:r>
    </w:p>
    <w:p w14:paraId="15120F3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漏洞管理与修复，主流系统、软件漏洞识别，并支持漏洞一键修复；</w:t>
      </w:r>
    </w:p>
    <w:p w14:paraId="4F0C021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云平台配置检查，基于云平台安全实践，联动云产品能力形成安全闭环；</w:t>
      </w:r>
    </w:p>
    <w:p w14:paraId="27CAE67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2、主动防御</w:t>
      </w:r>
    </w:p>
    <w:p w14:paraId="09A53A9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支持主流的勒索病毒、挖矿程序、后门程序、蠕虫木马、恶意程序、DDoS木马、木马程序的主动查杀；</w:t>
      </w:r>
    </w:p>
    <w:p w14:paraId="35AA31C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防止网站被恶意植入涉恐涉政、暗链、木马、后门等行为，保障网页信息正常运行；</w:t>
      </w:r>
    </w:p>
    <w:p w14:paraId="5985880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应用白名单，防止未经授权的应用异常启动，影响业务正常运行。</w:t>
      </w:r>
    </w:p>
    <w:p w14:paraId="090563E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3、威胁检测</w:t>
      </w:r>
    </w:p>
    <w:p w14:paraId="1BC26EE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告警自动化分析关联，自动关联告警、识别低危异常形成的入侵，提升运营效率；</w:t>
      </w:r>
    </w:p>
    <w:p w14:paraId="4B16822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自定义告警，第三方数据实时分析关联聚合，自定义告警规则；</w:t>
      </w:r>
    </w:p>
    <w:p w14:paraId="5F3EDDD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安全态势，安全大屏知己、知彼、知威胁多维度展现网络安全态势。</w:t>
      </w:r>
    </w:p>
    <w:p w14:paraId="615A96A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4、调查&amp;响应</w:t>
      </w:r>
    </w:p>
    <w:p w14:paraId="0461A5B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自动溯源攻击源和原因，帮用户了解入侵威胁，快速响应；</w:t>
      </w:r>
    </w:p>
    <w:p w14:paraId="791D69E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日志分析&amp;审计，提供日志审计、分析能力，提供攻击追溯、合规的平台。</w:t>
      </w:r>
    </w:p>
    <w:p w14:paraId="260AEB1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二、数据库审计</w:t>
      </w:r>
    </w:p>
    <w:p w14:paraId="2B0F13B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数据库审计，符合等级保护三级标准，帮助用户满足合规性，同时满足等保要求中安全审计要求。相关功能如下：</w:t>
      </w:r>
    </w:p>
    <w:p w14:paraId="668AD12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1、用户审计</w:t>
      </w:r>
    </w:p>
    <w:p w14:paraId="1D6559F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关联应用层和数据库层的访问操作；</w:t>
      </w:r>
    </w:p>
    <w:p w14:paraId="724A190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可溯源到应用者的身份和行为；</w:t>
      </w:r>
    </w:p>
    <w:p w14:paraId="6159023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 xml:space="preserve">2、多角度线索 </w:t>
      </w:r>
    </w:p>
    <w:p w14:paraId="36D9E39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风险和危害线索：高中低的风险等级、SQL注入、黑名单语句、违反授权策略的SQL行为</w:t>
      </w:r>
    </w:p>
    <w:p w14:paraId="35E7FE4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会话线索：根据时间、用户、IP、应用程序、和客户端多角度分析</w:t>
      </w:r>
    </w:p>
    <w:p w14:paraId="75F998C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详细语句线索：提供用户、IP、客户端工具、访问时间、操作对象、SQL操作类型、成功与否、访问时长、影响行数等多种检索条件</w:t>
      </w:r>
    </w:p>
    <w:p w14:paraId="5C6A15D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3、实时告警</w:t>
      </w:r>
    </w:p>
    <w:p w14:paraId="291924A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异常操作风险：通过IP、用户、数据库客户端工具、时间、敏感对象、返回行数、系统对象、高危操作等多种元素细粒度定义要求监控的风险访问行为</w:t>
      </w:r>
    </w:p>
    <w:p w14:paraId="48819BB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SQL注入：系统提供了系统性的SQL注入库，以及基于正则表达式或语法抽象的SQL注入描述，发现异常立即告警</w:t>
      </w:r>
    </w:p>
    <w:p w14:paraId="213391C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黑白名单：提供准确而抽象的方式，对系统中的特定访问SQL语句进行描述，使这些SQL语句出现时能够迅速报警。</w:t>
      </w:r>
    </w:p>
    <w:p w14:paraId="3167853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三、信息防火墙</w:t>
      </w:r>
    </w:p>
    <w:p w14:paraId="675E850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集中管理访问策略，内置威胁入侵防御模块(IPS)，支持失陷主机检测、主动外联行为的阻断、业务间访问关系可视，留存网络流量日志。满足等保要求中的边界防护和访问控制等要求。</w:t>
      </w:r>
    </w:p>
    <w:p w14:paraId="20BBBCC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1、支持统一管理IP：通过防火墙统一管控IP的访问策略，仅放开必要的端口，缩小攻击面；分析主动外联的流量，是否存在主动外联恶意域名和恶意IP等高风险事件。</w:t>
      </w:r>
    </w:p>
    <w:p w14:paraId="4C63632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2、支持入侵检测引擎（IPS）：实时同步全网威胁情报，全面阻断威胁；通过特定应用的虚拟补丁，精准阻断攻击。</w:t>
      </w:r>
    </w:p>
    <w:p w14:paraId="451B0D3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3、支持全网流量可视：全网网络流量可视，业务间访问关系可视，失陷主机的主动外联活动可视。</w:t>
      </w:r>
    </w:p>
    <w:p w14:paraId="3B1ACEA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四、Web应用防火墙</w:t>
      </w:r>
    </w:p>
    <w:p w14:paraId="6303D6D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可防护应用攻击、CC攻击等，可根据网站实际防护场景需求实现精准防护，多种防护算法结合防御，实现业务风控，并可快速更新漏洞补丁，保障业务不被侵害受损。满足行业自身的安全需求且满足等保要求中的入侵防范等要求。相关功能如下：</w:t>
      </w:r>
    </w:p>
    <w:p w14:paraId="3861BB8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1、Web应用攻击防护：通用Web攻击防护、漏洞虚拟补丁、网站隐身。</w:t>
      </w:r>
    </w:p>
    <w:p w14:paraId="60C0FE4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2、缓解恶意CC攻击：过滤恶意的Bot流量，保障服务器性能正常低误杀的防护算法。</w:t>
      </w:r>
    </w:p>
    <w:p w14:paraId="20A475B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3、业务安全保障：提供业务风控方案，解决接口防刷、防爬等业务安全风险。</w:t>
      </w:r>
    </w:p>
    <w:p w14:paraId="2B86370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4、HTTPS优化：网站一键HTTPS、HTTP回源降低源站负载压力。</w:t>
      </w:r>
    </w:p>
    <w:p w14:paraId="667096E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5、HTTP/HTTPS 访问控制：多维度进行流量的精准控制。</w:t>
      </w:r>
    </w:p>
    <w:p w14:paraId="7DE386E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6、日志服务：支持超长时长的全量日志实时存储、分析和自定义报告服务，支持日志线上同步第三方平台，助力等保合规合法；</w:t>
      </w:r>
    </w:p>
    <w:p w14:paraId="75B5E8B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五、堡垒机</w:t>
      </w:r>
    </w:p>
    <w:p w14:paraId="05F98D9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实现专有云服务器的操作运维审计和账号权限管理，满足等保要求中身份鉴别、访问控制和安全审计等要求。相关功能如下：</w:t>
      </w:r>
    </w:p>
    <w:p w14:paraId="21D7BE7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1、操作审计</w:t>
      </w:r>
    </w:p>
    <w:p w14:paraId="58C4125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多面记录运维人员的操作行为，作为追溯的保障和事故分析的依据。</w:t>
      </w:r>
    </w:p>
    <w:p w14:paraId="59CA064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2、职权管控</w:t>
      </w:r>
    </w:p>
    <w:p w14:paraId="3AFE8B3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进行账号管控和权限组管理，分职权进行人员和资产管理。</w:t>
      </w:r>
    </w:p>
    <w:p w14:paraId="3B35ADB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3、安全认证</w:t>
      </w:r>
    </w:p>
    <w:p w14:paraId="6C4BD73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引入双因子认证机制，防止运维人员身份冒用和复用。</w:t>
      </w:r>
    </w:p>
    <w:p w14:paraId="5BBCAB4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4、高效运维</w:t>
      </w:r>
    </w:p>
    <w:p w14:paraId="46FD5D0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从架构、工具等多方面提升运维效率。</w:t>
      </w:r>
    </w:p>
    <w:p w14:paraId="450D837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六、SSL证书</w:t>
      </w:r>
    </w:p>
    <w:p w14:paraId="4BCEF10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为网站和移动应用（APP）提供HTTPS保护，对Web流量加密，防止数据遭窃取和篡改。提供完善的运维功能，支持将第三方证书上传管理，支持一键部署证书，轻松集中运维大量证书。向访客证明网站和APP可靠和值得信赖。Globalsign通配符域名证书，满足等保要求中数据完整性和数据保密性的要求。</w:t>
      </w:r>
    </w:p>
    <w:p w14:paraId="7C7767E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七、DDos高防</w:t>
      </w:r>
    </w:p>
    <w:p w14:paraId="16D86445">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提供网络链路可用性保证，提升DDoS防护阈值，提升业务连续性。满足等保网络安全中访问控制和机构安全的要求，20G以上防护。</w:t>
      </w:r>
    </w:p>
    <w:p w14:paraId="15C93FE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八、VPC</w:t>
      </w:r>
    </w:p>
    <w:p w14:paraId="21A76EC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专有网络，可以实现VLAN级隔离，并自定义IP地址分配。满足等保要求中的网络架构、边界防护和访问控制等要求。</w:t>
      </w:r>
    </w:p>
    <w:p w14:paraId="07963FAD">
      <w:pPr>
        <w:pageBreakBefore w:val="0"/>
        <w:kinsoku/>
        <w:wordWrap/>
        <w:overflowPunct/>
        <w:topLinePunct w:val="0"/>
        <w:autoSpaceDE/>
        <w:autoSpaceDN/>
        <w:bidi w:val="0"/>
        <w:spacing w:before="120" w:after="120" w:line="360" w:lineRule="auto"/>
        <w:ind w:firstLine="439" w:firstLineChars="183"/>
        <w:textAlignment w:val="auto"/>
        <w:rPr>
          <w:rFonts w:cs="仿宋"/>
        </w:rPr>
      </w:pPr>
      <w:r>
        <w:rPr>
          <w:rFonts w:hint="eastAsia" w:cs="仿宋"/>
        </w:rPr>
        <w:t>九、工业防火墙</w:t>
      </w:r>
    </w:p>
    <w:p w14:paraId="4ADE6AC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在现场作业层PLC出口处部署工业防火墙，现场作业层与信息执行层之间通过工业防火墙进行数据流控制、流量过滤。</w:t>
      </w:r>
    </w:p>
    <w:p w14:paraId="6AA58EA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通过部署工业防火墙可以解决以下问题：</w:t>
      </w:r>
    </w:p>
    <w:p w14:paraId="2D7934A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（1）访问控制</w:t>
      </w:r>
    </w:p>
    <w:p w14:paraId="52ABEF5A">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工业防火墙在工控协议方面做了深度的解析，可以对操作人员和外网非法访问进行基于IP、MAC、工控协议或任意组合方式的访问进行控制，另外，用户可以根据具体需求设置更细粒度的策略，如对某个工控协议的只读、读写或者禁用，防止数据被篡改或信息外泄。支持通用防火墙会话状态检测、包过滤机制及工控协议的深度访问控制，阻止各类非授权访问行为。</w:t>
      </w:r>
    </w:p>
    <w:p w14:paraId="6274DF7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（2）恶意攻击</w:t>
      </w:r>
    </w:p>
    <w:p w14:paraId="7D3B881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由于工控网络的封闭性和工控网络中运行的软件和程序一般情况下都是很固定的，基于工控网络的这一特点，在工业防火墙上启用白名单功能，将工控网络中可信的软件或程序放入白名单，只有白名单中的软件或程序才能被安装和运行，可以有效阻止恶意病毒和木马的入侵或非法程序的运行。防火墙可以进行正常通信行为建模，通过对正常通信行为学习后，对工控指令攻击、控制参数修改、病毒和蠕虫等恶意代码等攻击行为进行有效防护，减少恶意攻击行为给工业控制系统带来的安全风险。</w:t>
      </w:r>
    </w:p>
    <w:p w14:paraId="3C09CA66">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（3）Dos攻击防护</w:t>
      </w:r>
    </w:p>
    <w:p w14:paraId="1A6A3C3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工控系统对网络的实时性和响应速度有很高的要求，为了保证工控系统的可用性和高效性，在防火墙上开启异常报文检测与异常流量检测功能，防止land攻击、Teardrop攻击、Ping of death以及各种Flood攻击导致的网络或工控系统的瘫痪。</w:t>
      </w:r>
    </w:p>
    <w:p w14:paraId="70368A21">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（4）重点设备的安全防护</w:t>
      </w:r>
    </w:p>
    <w:p w14:paraId="45CC0D2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通过在重点工控设备前加装工业防火墙，通过防火墙的工控协议深度解析及“白名单”安全管理机制，充分保护重要工控设备的信息安全，提升整个工业控制系统的安全防护等级。</w:t>
      </w:r>
    </w:p>
    <w:p w14:paraId="2855A8B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十、主机安全卫士</w:t>
      </w:r>
    </w:p>
    <w:p w14:paraId="3DE4D0D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 xml:space="preserve">由于在工业现场大部分的电脑设备以及工控机使用的系统是微软的Windows操作系统，由于生产网工控系统相对封闭及控制系统对业务实时性要求较高，无法对操作系统及应用软件系统进行正常的系统漏洞升级，导致使用的微软操作系统、应用软件系统存在大量安全漏洞；同时，运维人员为了保证生产的稳定运行，不会轻易对操作系统、应用软件进行升级。所以这些主机一旦遭受到恶意程序攻击，很容易致使整体生产网络瘫痪。 </w:t>
      </w:r>
    </w:p>
    <w:p w14:paraId="60FDBC1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lang w:eastAsia="zh-Hans"/>
        </w:rPr>
        <w:t>可以在</w:t>
      </w:r>
      <w:r>
        <w:rPr>
          <w:rFonts w:hint="eastAsia" w:cs="仿宋"/>
        </w:rPr>
        <w:t>系统服务器、操作员站、管理终端上部署主机防病毒软件，保护这些设备的操作系统安全。主机防病毒软件采用白名单机制，可以有效阻止包Flame、Havex、BlackEnergy等在内的工控恶意程序或代码在主机上的感染、执行和扩散；同时主机防病毒软件还可以通过对底层驱动的接管，对主机外设端口进行管控，避免控制系统因移动存储介质的随意使用感染恶意代码，或引起关键信息的扩散。通过对用户口令、进程、端口等进行统一管理，提升操作系统的安全防护能力。</w:t>
      </w:r>
    </w:p>
    <w:p w14:paraId="09A41834">
      <w:pPr>
        <w:pageBreakBefore w:val="0"/>
        <w:kinsoku/>
        <w:wordWrap/>
        <w:overflowPunct/>
        <w:topLinePunct w:val="0"/>
        <w:autoSpaceDE/>
        <w:autoSpaceDN/>
        <w:bidi w:val="0"/>
        <w:spacing w:line="360" w:lineRule="auto"/>
        <w:textAlignment w:val="auto"/>
        <w:rPr>
          <w:lang w:eastAsia="zh-Hans"/>
        </w:rPr>
      </w:pPr>
      <w:r>
        <w:rPr>
          <w:rFonts w:hint="eastAsia"/>
        </w:rPr>
        <w:t>2、</w:t>
      </w:r>
      <w:r>
        <w:rPr>
          <w:rFonts w:hint="eastAsia"/>
          <w:lang w:eastAsia="zh-Hans"/>
        </w:rPr>
        <w:t>实施安全管理</w:t>
      </w:r>
    </w:p>
    <w:p w14:paraId="07A6EE15">
      <w:pPr>
        <w:pageBreakBefore w:val="0"/>
        <w:kinsoku/>
        <w:wordWrap/>
        <w:overflowPunct/>
        <w:topLinePunct w:val="0"/>
        <w:autoSpaceDE/>
        <w:autoSpaceDN/>
        <w:bidi w:val="0"/>
        <w:spacing w:line="360" w:lineRule="auto"/>
        <w:textAlignment w:val="auto"/>
      </w:pPr>
      <w:r>
        <w:rPr>
          <w:rFonts w:hint="eastAsia"/>
        </w:rPr>
        <w:t>1）实施安全保证措施</w:t>
      </w:r>
    </w:p>
    <w:p w14:paraId="52E47D04">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建立安全生产管理体系。项目经理为本工程项目安全生产、文明施工第一责任人。项目组设置专职安全员抓各项安全生产、文明施工管理措施的落实工作。各供应商设立兼职安全员，配合安全员的工作。</w:t>
      </w:r>
    </w:p>
    <w:p w14:paraId="1C606451">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明确规章制度。严格执行国家、总包单位以及公司的安全施工规章制度，积极宣传安全施工的有关方针、政策、措施，强化职工的安全意识。</w:t>
      </w:r>
    </w:p>
    <w:p w14:paraId="131ED9C6">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上岗前教育。对全体施工人员进行安全生产教育，考核合格后方可上岗，特殊工种进行专业培训，考试合格后发给操作证书，坚持持证上岗制度。</w:t>
      </w:r>
    </w:p>
    <w:p w14:paraId="67E916FE">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正确使用安全“三宝”。进入施工现场必须戴安全帽；高空作业必须系好安全带；安全带与固定物的拉结必须加强检查。</w:t>
      </w:r>
    </w:p>
    <w:p w14:paraId="522E6042">
      <w:pPr>
        <w:pageBreakBefore w:val="0"/>
        <w:kinsoku/>
        <w:wordWrap/>
        <w:overflowPunct/>
        <w:topLinePunct w:val="0"/>
        <w:autoSpaceDE/>
        <w:autoSpaceDN/>
        <w:bidi w:val="0"/>
        <w:spacing w:line="360" w:lineRule="auto"/>
        <w:textAlignment w:val="auto"/>
      </w:pPr>
      <w:r>
        <w:rPr>
          <w:rFonts w:hint="eastAsia"/>
        </w:rPr>
        <w:t>2）绿色施工保障措施</w:t>
      </w:r>
    </w:p>
    <w:p w14:paraId="62C9E1A7">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在工程建设中，在保证质量、安全等基本要求的前提下，通过科学管理和技术改进，最大限度地节约资源与减少对环境产生负面影响的施工活动，实现节能、节材和环境保护。</w:t>
      </w:r>
    </w:p>
    <w:p w14:paraId="4EDD9B22">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实施绿色施工，依据因地制宜的原则，贯彻执行国家、行业和地方相关的技术经济政策。</w:t>
      </w:r>
    </w:p>
    <w:p w14:paraId="61677894">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严格按照环境保护法律、法规、政策执行组织管理、规划管理、实施管理、评价管理和人员安全与健康管理五个方面。</w:t>
      </w:r>
    </w:p>
    <w:p w14:paraId="582976FB">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环境保护</w:t>
      </w:r>
    </w:p>
    <w:p w14:paraId="4D5072DC">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扬尘控制：安装阶段，作业区目测扬尘高度小于0.5m，施工现场非作业区达到目测无扬尘的要求。</w:t>
      </w:r>
    </w:p>
    <w:p w14:paraId="4426E1FF">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噪音与振动控制：施工现场噪音排放不得超过国家标准《工业企业厂界环境噪声排放标准》（GB12348-2008）的规定；使用低噪音、低振动的机具，采取隔音与隔振措施，避免或减少施工噪音和振动；合理安排施工时间，避免夜间施工。减小施工噪声对周围环境居民的影响；制定科学的施工计划，合理安排施工平面。</w:t>
      </w:r>
    </w:p>
    <w:p w14:paraId="3037C4B7">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光污染控制：尽量避免或减少施工过程中的光污染；电焊作业采取遮挡措施，避免电焊弧光外泄。</w:t>
      </w:r>
    </w:p>
    <w:p w14:paraId="1AB51BA3">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水污染控制：施工现场污水排放应达到国家标准《污水综合排放标准》（GB8978-1996）的要求。</w:t>
      </w:r>
    </w:p>
    <w:p w14:paraId="3D211E92">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土壤保护：对于有毒有害废弃物如电池、墨盒、油漆、涂料等应回收后交有资质的单位处理，不能作为普通垃圾外运，避免污染土壤和地下水。</w:t>
      </w:r>
    </w:p>
    <w:p w14:paraId="080FEF1C">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垃圾控制：施工现场生活区设置封闭式垃圾容器，施工场地生活垃圾实行袋装化，及时清运。</w:t>
      </w:r>
    </w:p>
    <w:p w14:paraId="0E9925D4">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kern w:val="0"/>
        </w:rPr>
      </w:pPr>
      <w:r>
        <w:rPr>
          <w:rFonts w:hint="eastAsia" w:cs="仿宋"/>
        </w:rPr>
        <w:t>节材与材料资源利用技术</w:t>
      </w:r>
    </w:p>
    <w:p w14:paraId="391A29D7">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lang w:eastAsia="zh-Hans"/>
        </w:rPr>
        <w:t>（</w:t>
      </w:r>
      <w:r>
        <w:rPr>
          <w:rFonts w:hint="eastAsia" w:cs="仿宋"/>
        </w:rPr>
        <w:t>1</w:t>
      </w:r>
      <w:r>
        <w:rPr>
          <w:rFonts w:hint="eastAsia" w:cs="仿宋"/>
          <w:lang w:eastAsia="zh-Hans"/>
        </w:rPr>
        <w:t>）节材措施</w:t>
      </w:r>
    </w:p>
    <w:p w14:paraId="069B733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图纸会审时，应审核节材与材料资源利用的相关内容；</w:t>
      </w:r>
    </w:p>
    <w:p w14:paraId="255AB4E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根据施工进度、库存情况等合理安排材料的采购、进场时间和批次，减少库存；</w:t>
      </w:r>
    </w:p>
    <w:p w14:paraId="1445D21C">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现场材料堆放有序。储存环境适宜，存放措施得当。保管制度健全，责任落实到人；</w:t>
      </w:r>
    </w:p>
    <w:p w14:paraId="7A47896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材料运输工具适宜，装卸方法得当，防止损坏和遗洒。根据现场平面布置情况就近卸载，避免和减少二次搬运；</w:t>
      </w:r>
    </w:p>
    <w:p w14:paraId="681F71A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优化安装工程的预留、预埋、管线路径等方案。</w:t>
      </w:r>
    </w:p>
    <w:p w14:paraId="1AF08040">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rPr>
        <w:t>（2）</w:t>
      </w:r>
      <w:r>
        <w:rPr>
          <w:rFonts w:hint="eastAsia" w:cs="仿宋"/>
          <w:lang w:eastAsia="zh-Hans"/>
        </w:rPr>
        <w:t>结构材料</w:t>
      </w:r>
    </w:p>
    <w:p w14:paraId="1CD173C0">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优化钢结构制作和安装方法；</w:t>
      </w:r>
    </w:p>
    <w:p w14:paraId="610FB06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采取数字化技术，对大跨度结构等专项施工方案进行优化；</w:t>
      </w:r>
    </w:p>
    <w:p w14:paraId="5438F94B">
      <w:pPr>
        <w:pageBreakBefore w:val="0"/>
        <w:kinsoku/>
        <w:wordWrap/>
        <w:overflowPunct/>
        <w:topLinePunct w:val="0"/>
        <w:autoSpaceDE/>
        <w:autoSpaceDN/>
        <w:bidi w:val="0"/>
        <w:spacing w:before="120" w:after="120" w:line="360" w:lineRule="auto"/>
        <w:ind w:firstLine="480"/>
        <w:textAlignment w:val="auto"/>
        <w:rPr>
          <w:rFonts w:cs="仿宋"/>
          <w:lang w:eastAsia="zh-Hans"/>
        </w:rPr>
      </w:pPr>
      <w:r>
        <w:rPr>
          <w:rFonts w:hint="eastAsia" w:cs="仿宋"/>
        </w:rPr>
        <w:t>（3）</w:t>
      </w:r>
      <w:r>
        <w:rPr>
          <w:rFonts w:hint="eastAsia" w:cs="仿宋"/>
          <w:lang w:eastAsia="zh-Hans"/>
        </w:rPr>
        <w:t>周转材料</w:t>
      </w:r>
    </w:p>
    <w:p w14:paraId="481A4DC5">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选用耐用、维护与拆卸方便的周转材料和机具；</w:t>
      </w:r>
    </w:p>
    <w:p w14:paraId="3B320187">
      <w:pPr>
        <w:pageBreakBefore w:val="0"/>
        <w:widowControl/>
        <w:numPr>
          <w:ilvl w:val="0"/>
          <w:numId w:val="50"/>
        </w:numPr>
        <w:kinsoku/>
        <w:wordWrap/>
        <w:overflowPunct/>
        <w:topLinePunct w:val="0"/>
        <w:autoSpaceDE/>
        <w:autoSpaceDN/>
        <w:bidi w:val="0"/>
        <w:spacing w:before="156" w:after="156" w:line="360" w:lineRule="auto"/>
        <w:ind w:left="0" w:firstLine="480"/>
        <w:jc w:val="both"/>
        <w:textAlignment w:val="auto"/>
        <w:rPr>
          <w:rFonts w:cs="仿宋"/>
        </w:rPr>
      </w:pPr>
      <w:r>
        <w:rPr>
          <w:rFonts w:hint="eastAsia" w:cs="仿宋"/>
        </w:rPr>
        <w:t>节能与能源利用的技术</w:t>
      </w:r>
    </w:p>
    <w:p w14:paraId="68D2D25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（4）节能措施</w:t>
      </w:r>
    </w:p>
    <w:p w14:paraId="0B65E4F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制订合理施工能耗指标，提高施工能源利用率；</w:t>
      </w:r>
    </w:p>
    <w:p w14:paraId="5FFED42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优先使用国家、行业推荐的节能、高效、环保的施工设备和机具，如选用变频技术的节能施工设备等；</w:t>
      </w:r>
    </w:p>
    <w:p w14:paraId="1B2CD5A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施工现场分别设定生产、生活、办公和施工设备的用电控制指标；</w:t>
      </w:r>
    </w:p>
    <w:p w14:paraId="4AF481E8">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在施工组织设计中，合理安排施工顺序、工作面，以减少作业区域的机具数量，相邻作业区充分利用共有的机具资源。安排施工工艺时，优先考虑能耗较少的施工工艺。避免设备额定功率远大于使用功率或超负荷使用设备的现象。</w:t>
      </w:r>
    </w:p>
    <w:p w14:paraId="478930FF">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（5）机械设备与机具</w:t>
      </w:r>
    </w:p>
    <w:p w14:paraId="3679F52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选择功率与负载相匹配的施工机械设备，避免大功率施工机械设备低负载长时间运行。安装采用节电型机械设备，机械设备使用节能型油料添加剂，在可能的情况下，考虑回收利用，节约油量；</w:t>
      </w:r>
    </w:p>
    <w:p w14:paraId="1EE4D53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合理安排工序，提高各种机械的使用率和满载率，降低各种设备的单位能耗。</w:t>
      </w:r>
    </w:p>
    <w:p w14:paraId="4000A5E4">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（6）生产、办公临时设施</w:t>
      </w:r>
    </w:p>
    <w:p w14:paraId="0CAD284A">
      <w:pPr>
        <w:pageBreakBefore w:val="0"/>
        <w:kinsoku/>
        <w:wordWrap/>
        <w:overflowPunct/>
        <w:topLinePunct w:val="0"/>
        <w:autoSpaceDE/>
        <w:autoSpaceDN/>
        <w:bidi w:val="0"/>
        <w:spacing w:before="120" w:after="120" w:line="360" w:lineRule="auto"/>
        <w:ind w:firstLine="484" w:firstLineChars="202"/>
        <w:textAlignment w:val="auto"/>
        <w:rPr>
          <w:rFonts w:cs="仿宋"/>
        </w:rPr>
      </w:pPr>
      <w:r>
        <w:rPr>
          <w:rFonts w:hint="eastAsia" w:cs="仿宋"/>
        </w:rPr>
        <w:t>合理配置采暖、空调、风扇数量，规定使用时间，实行分段分时使用，节约用电。</w:t>
      </w:r>
    </w:p>
    <w:p w14:paraId="2013039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（7）施工用电及照明</w:t>
      </w:r>
    </w:p>
    <w:p w14:paraId="71AC9E5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临时用电优先选用节能电线和节能灯具，临电线路设计、布置合理；</w:t>
      </w:r>
    </w:p>
    <w:p w14:paraId="501FAD9A">
      <w:pPr>
        <w:pageBreakBefore w:val="0"/>
        <w:widowControl/>
        <w:numPr>
          <w:ilvl w:val="0"/>
          <w:numId w:val="22"/>
        </w:numPr>
        <w:kinsoku/>
        <w:wordWrap/>
        <w:overflowPunct/>
        <w:topLinePunct w:val="0"/>
        <w:autoSpaceDE/>
        <w:autoSpaceDN/>
        <w:bidi w:val="0"/>
        <w:spacing w:before="120" w:after="120" w:line="360" w:lineRule="auto"/>
        <w:ind w:left="484" w:leftChars="0" w:hanging="4" w:firstLineChars="0"/>
        <w:jc w:val="both"/>
        <w:textAlignment w:val="auto"/>
        <w:rPr>
          <w:rFonts w:cs="仿宋"/>
        </w:rPr>
      </w:pPr>
      <w:r>
        <w:rPr>
          <w:rFonts w:hint="eastAsia" w:cs="仿宋"/>
        </w:rPr>
        <w:t>照明设计以满足最低照度为原则，照度不应超过最低照度的20％。</w:t>
      </w:r>
    </w:p>
    <w:p w14:paraId="56B30F5E">
      <w:pPr>
        <w:pageBreakBefore w:val="0"/>
        <w:kinsoku/>
        <w:wordWrap/>
        <w:overflowPunct/>
        <w:topLinePunct w:val="0"/>
        <w:autoSpaceDE/>
        <w:autoSpaceDN/>
        <w:bidi w:val="0"/>
        <w:spacing w:line="360" w:lineRule="auto"/>
        <w:textAlignment w:val="auto"/>
        <w:rPr>
          <w:lang w:eastAsia="zh-Hans"/>
        </w:rPr>
      </w:pPr>
      <w:r>
        <w:rPr>
          <w:rFonts w:hint="eastAsia"/>
          <w:lang w:eastAsia="zh-Hans"/>
        </w:rPr>
        <w:t>3、顺利实施的技术保障措施</w:t>
      </w:r>
    </w:p>
    <w:p w14:paraId="3071444E">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加强技术交底。加强技术管理，认真贯彻学习国家标准规范、相关行业规范及各项质量管理制度，建立岗位责任制，熟悉各类施工图纸，组织各部门召开技术交底会，通过书面和口头相结合的方法，做好技术交底工作，交底要结合操作部位，务求细致齐全，关键部位、施工难点、安全要求等要进行详细的交底，并对施工难点和重点进行讲解，最终必须以书面形式加以落实；</w:t>
      </w:r>
    </w:p>
    <w:p w14:paraId="1776BDED">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在项目管理组的领导下，项目组对本项目工程实行全面管理。项目组下设施工管理层和施工作业层，分别配备有丰富经验和高技术水平的工程师；</w:t>
      </w:r>
    </w:p>
    <w:p w14:paraId="5D3DD732">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施工组织设计会审。在原有设计基础上，根据工程特点、使用材料的特点和现场条件，组织工程技术人员认真领会设计师的设计意图，全面掌握施工方案的内容，提出方便施工的合理化建议。</w:t>
      </w:r>
    </w:p>
    <w:p w14:paraId="55D2036D">
      <w:pPr>
        <w:pageBreakBefore w:val="0"/>
        <w:kinsoku/>
        <w:wordWrap/>
        <w:overflowPunct/>
        <w:topLinePunct w:val="0"/>
        <w:autoSpaceDE/>
        <w:autoSpaceDN/>
        <w:bidi w:val="0"/>
        <w:spacing w:line="360" w:lineRule="auto"/>
        <w:textAlignment w:val="auto"/>
      </w:pPr>
      <w:r>
        <w:rPr>
          <w:rFonts w:hint="eastAsia"/>
        </w:rPr>
        <w:t>1）软件质量保证措施</w:t>
      </w:r>
    </w:p>
    <w:p w14:paraId="5BD71430">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bookmarkStart w:id="762" w:name="_Hlk83235461"/>
      <w:r>
        <w:rPr>
          <w:rFonts w:hint="eastAsia" w:cs="仿宋"/>
        </w:rPr>
        <w:t>质量保证工程师定期（每两周）通过《质量保证工程师周报告》报告项目经理项目质量保证活动的状态；</w:t>
      </w:r>
    </w:p>
    <w:p w14:paraId="7CF7A7CE">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质量保证工程师将根据CMMI5质量体系以及项目计划定制过程检查点；</w:t>
      </w:r>
    </w:p>
    <w:p w14:paraId="2CABF275">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质量保证工程师按照计划执行审计，并输出审计报告,每个月对本项目进行一次内部审计活动；</w:t>
      </w:r>
    </w:p>
    <w:p w14:paraId="33504BDC">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质量保证工程师按照计划负责组织配置审计，并输出《配置审计报告》；</w:t>
      </w:r>
    </w:p>
    <w:p w14:paraId="2555CD3C">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质量保证工程师应将审计报告及时通报给项目经理、部门经理；</w:t>
      </w:r>
    </w:p>
    <w:p w14:paraId="4D1282C9">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项目经理应确保根据问题制定相应的纠正预防措施并执行。</w:t>
      </w:r>
      <w:bookmarkEnd w:id="762"/>
    </w:p>
    <w:p w14:paraId="7C39B587">
      <w:pPr>
        <w:pageBreakBefore w:val="0"/>
        <w:kinsoku/>
        <w:wordWrap/>
        <w:overflowPunct/>
        <w:topLinePunct w:val="0"/>
        <w:autoSpaceDE/>
        <w:autoSpaceDN/>
        <w:bidi w:val="0"/>
        <w:spacing w:line="360" w:lineRule="auto"/>
        <w:textAlignment w:val="auto"/>
      </w:pPr>
      <w:r>
        <w:rPr>
          <w:rFonts w:hint="eastAsia"/>
        </w:rPr>
        <w:t>2）设备质量保证措施</w:t>
      </w:r>
    </w:p>
    <w:p w14:paraId="31546C3D">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设计阶段</w:t>
      </w:r>
    </w:p>
    <w:p w14:paraId="6A13CBB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严格按照国家有关设计规范、技术规格书来设计本项目的施工图和确定产品选型配制方案，设计出一整套既符合有关设计规范又满足用户要求的设计方案。</w:t>
      </w:r>
    </w:p>
    <w:p w14:paraId="2EEBD18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项目细化方案完成后，由技术总监组织技术人员进行初步评审，加以修改和完善，并实行项目设计目标责任制，项目设计责任到人。</w:t>
      </w:r>
    </w:p>
    <w:p w14:paraId="2CBDB8AE">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内部评审后，及时与项目甲方技术人员、设备使用部门人员进行方案交流，听取意见，弥补不足，使之更加合理，真正从设计时就对项目工程设计质量进行严格把关，确保工程设计的科学性和可靠性。</w:t>
      </w:r>
    </w:p>
    <w:p w14:paraId="144C3ECC">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生产阶段</w:t>
      </w:r>
    </w:p>
    <w:p w14:paraId="47813B1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制度建设：组织建立健全生产技术管理规程、制度和生产技术工艺标准。</w:t>
      </w:r>
    </w:p>
    <w:p w14:paraId="2C173B19">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技术监督：组织落实设备生产过程中的技术监督。</w:t>
      </w:r>
    </w:p>
    <w:p w14:paraId="3190654F">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出厂检验：出厂前严格把关，质检人员做出厂检验。</w:t>
      </w:r>
    </w:p>
    <w:p w14:paraId="5E96C470">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进厂实施阶段</w:t>
      </w:r>
    </w:p>
    <w:p w14:paraId="4007436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目标考核。对本项目质量实行目标管理，确保工程优良。以此作为项目组的考核目标，公司将根据考核情况对项目组有关人员进行奖惩。</w:t>
      </w:r>
    </w:p>
    <w:p w14:paraId="602AF61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明确管理体系。在项目管理组的领导下，建立以技术总监为首、项目经理为辅的项目质量管理体系，全面检测各供应商设备的质量，确保质量目标的实现。</w:t>
      </w:r>
    </w:p>
    <w:p w14:paraId="1CF1DD3A">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岗位责任制。质量目标分解，将质量责任层层挂牌，层层落实。由技术总监、项目经理行使质量否决权和奖罚权。</w:t>
      </w:r>
    </w:p>
    <w:p w14:paraId="104943C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奖罚制度。将合格与不合格的产品严格区分，实行优质重奖，劣质重罚的方法。</w:t>
      </w:r>
    </w:p>
    <w:p w14:paraId="75046A8D">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设备进场检查制。严格执行各项设备的检验制度，加强设备进场的质检和施工过程的检查，各种设备必须接到检验合格通知后，方可使用。不合格的设备不准在工程中使用。</w:t>
      </w:r>
    </w:p>
    <w:p w14:paraId="223E1621">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三检制。质量严格检查，坚持“自检、交接检、专检”三检制。</w:t>
      </w:r>
    </w:p>
    <w:p w14:paraId="2689FCA2">
      <w:pPr>
        <w:pageBreakBefore w:val="0"/>
        <w:widowControl/>
        <w:numPr>
          <w:ilvl w:val="0"/>
          <w:numId w:val="22"/>
        </w:numPr>
        <w:kinsoku/>
        <w:wordWrap/>
        <w:overflowPunct/>
        <w:topLinePunct w:val="0"/>
        <w:autoSpaceDE/>
        <w:autoSpaceDN/>
        <w:bidi w:val="0"/>
        <w:spacing w:before="156" w:after="156" w:line="360" w:lineRule="auto"/>
        <w:jc w:val="both"/>
        <w:textAlignment w:val="auto"/>
        <w:rPr>
          <w:rFonts w:cs="仿宋"/>
        </w:rPr>
      </w:pPr>
      <w:r>
        <w:rPr>
          <w:rFonts w:hint="eastAsia" w:cs="仿宋"/>
        </w:rPr>
        <w:t>成品保护制度。在施工过程中，后插入的工序，应采取切实可行的措施，如覆盖、防护等进行保护，以免污染或破坏上道工序。</w:t>
      </w:r>
    </w:p>
    <w:p w14:paraId="0BC179CA">
      <w:pPr>
        <w:pageBreakBefore w:val="0"/>
        <w:kinsoku/>
        <w:wordWrap/>
        <w:overflowPunct/>
        <w:topLinePunct w:val="0"/>
        <w:autoSpaceDE/>
        <w:autoSpaceDN/>
        <w:bidi w:val="0"/>
        <w:spacing w:line="360" w:lineRule="auto"/>
        <w:textAlignment w:val="auto"/>
      </w:pPr>
      <w:r>
        <w:rPr>
          <w:rFonts w:hint="eastAsia"/>
        </w:rPr>
        <w:t>3）总体项目进度计划的工期控制措施</w:t>
      </w:r>
    </w:p>
    <w:p w14:paraId="6CBCA9F4">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强化组织结构。建立强有力的项目组，配置高效项目管理层。本工程施工项目经理、现场经理、工程技术人员、质检员、安全员均由经验丰富的人员担任，由项目经理主抓安全、质量、工期、文明施工、设备到货和后勤保障等工作。</w:t>
      </w:r>
    </w:p>
    <w:p w14:paraId="1F3EE688">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加强施工进度计划管理。项目经理负责制定和下达每周施工进度计划，各供应商根据施工计划进行设备安装、调试及配合试运行。各供应商按每周施工进度要求制订保证工期措施，按照客观规律和实际条件，进行科学管理，确保计划如期实现。</w:t>
      </w:r>
    </w:p>
    <w:p w14:paraId="0B8B61EA">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积极参加工程例会。由贵方、监理部门、总承包单位组织的各协作单位参加的工程例会必须参加，及时通报并处理施工中的各种问题，确保现场按计划施工。</w:t>
      </w:r>
    </w:p>
    <w:p w14:paraId="31666ADB">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加强各供应商的协调配合。服从总包单位的统一指挥，为各供应商创造更大的工作面，从而为缩短总工期做出努力。</w:t>
      </w:r>
    </w:p>
    <w:p w14:paraId="229CD779">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强化工期的严肃性。在各个供应商施工之间，确定相互衔接的日期和方式，各供应商保证工程进度不在本部分造成延误。通过对各道工序完成的质量与时间的控制达到保证各分部工程进度的实现。如未能按节点工期完成计划，要即时检查，分析原因，对其负责人进行处罚，责令其迅速采取补救措施。</w:t>
      </w:r>
    </w:p>
    <w:p w14:paraId="4E3BFEF0">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严格执行奖罚制度。对各个供应商制定严格的奖罚制度，对工期有重大影响的供应商实行重罚。</w:t>
      </w:r>
    </w:p>
    <w:p w14:paraId="5776F8B7">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保证施工队伍的人员配置。在设备到场、各专业具备工作面的条件下，配备足够的安装人员、安装指导人员、调试人员。</w:t>
      </w:r>
    </w:p>
    <w:p w14:paraId="165FDB5D">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设备进场。按照施工进度计划要求及时进货，做到满足施工要求，以便有计划、有序施工。</w:t>
      </w:r>
    </w:p>
    <w:p w14:paraId="277D3F2B">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资金配备。准备足够的施工资金，将资金合理分配，保证资金的专款专用，使施工能顺利进行。</w:t>
      </w:r>
    </w:p>
    <w:p w14:paraId="763E058C">
      <w:pPr>
        <w:pageBreakBefore w:val="0"/>
        <w:kinsoku/>
        <w:wordWrap/>
        <w:overflowPunct/>
        <w:topLinePunct w:val="0"/>
        <w:autoSpaceDE/>
        <w:autoSpaceDN/>
        <w:bidi w:val="0"/>
        <w:spacing w:line="360" w:lineRule="auto"/>
        <w:textAlignment w:val="auto"/>
      </w:pPr>
      <w:r>
        <w:rPr>
          <w:rFonts w:hint="eastAsia"/>
        </w:rPr>
        <w:t>4）文明施工保证措施</w:t>
      </w:r>
    </w:p>
    <w:p w14:paraId="61E9268A">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遵章施工。遵守当地有关市容、场容管理制度，加强现场用水、排污的管理，做到场地整洁，搞好现场清洁卫生。</w:t>
      </w:r>
    </w:p>
    <w:p w14:paraId="3631F713">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场地整齐。进入施工现场的各种设备，均须按指定位置，堆放整齐，不得随意乱放，以保证道路畅通。</w:t>
      </w:r>
    </w:p>
    <w:p w14:paraId="28C1E08D">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工完料清。对施工人员进行教育，做到谁做谁清，工完料清，场地干净。</w:t>
      </w:r>
    </w:p>
    <w:p w14:paraId="1252F4D8">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劳动保护。做好劳动保护，合理安排作息时间，配置预备力量。</w:t>
      </w:r>
    </w:p>
    <w:p w14:paraId="5A308217">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责任包干。施工现场实行分片包干责任制，划分区域，定期检查，提高现场工作人员文明施工的自觉性。</w:t>
      </w:r>
    </w:p>
    <w:p w14:paraId="4A43F20C">
      <w:pPr>
        <w:pageBreakBefore w:val="0"/>
        <w:kinsoku/>
        <w:wordWrap/>
        <w:overflowPunct/>
        <w:topLinePunct w:val="0"/>
        <w:autoSpaceDE/>
        <w:autoSpaceDN/>
        <w:bidi w:val="0"/>
        <w:spacing w:line="360" w:lineRule="auto"/>
        <w:textAlignment w:val="auto"/>
      </w:pPr>
      <w:r>
        <w:rPr>
          <w:rFonts w:hint="eastAsia"/>
        </w:rPr>
        <w:t>5）消防保卫保证措施</w:t>
      </w:r>
    </w:p>
    <w:p w14:paraId="44AABF67">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组织明确。由项目经理牵头组成现场消防保卫小组，并定专人负责消防保卫日常检查和监督。</w:t>
      </w:r>
    </w:p>
    <w:p w14:paraId="43D0B297">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建立现场巡逻检查制度。所有施工人员均须佩戴工作卡，闲杂人员不得进入施工现场。</w:t>
      </w:r>
    </w:p>
    <w:p w14:paraId="2BDC773A">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消防设备及通道检查。消防设备应经常检查，保持良好的工作状态；时刻保证消防通道的畅通。</w:t>
      </w:r>
    </w:p>
    <w:p w14:paraId="3E6EF3C2">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慎用明火。严格执行动火审批制度，凡有明火处以及易燃材料存放处，应配备足够的灭火器材，周围无易燃物，并由专人负责管理。</w:t>
      </w:r>
    </w:p>
    <w:p w14:paraId="1BFA9847">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消防培训。学习消防知识，进行岗位练兵，熟悉使用各种消防器材。</w:t>
      </w:r>
    </w:p>
    <w:p w14:paraId="4A0635EB">
      <w:pPr>
        <w:pageBreakBefore w:val="0"/>
        <w:widowControl/>
        <w:numPr>
          <w:ilvl w:val="0"/>
          <w:numId w:val="42"/>
        </w:numPr>
        <w:kinsoku/>
        <w:wordWrap/>
        <w:overflowPunct/>
        <w:topLinePunct w:val="0"/>
        <w:autoSpaceDE/>
        <w:autoSpaceDN/>
        <w:bidi w:val="0"/>
        <w:spacing w:before="156" w:after="156" w:line="360" w:lineRule="auto"/>
        <w:ind w:left="840"/>
        <w:jc w:val="both"/>
        <w:textAlignment w:val="auto"/>
        <w:rPr>
          <w:rFonts w:cs="仿宋"/>
        </w:rPr>
      </w:pPr>
      <w:r>
        <w:rPr>
          <w:rFonts w:hint="eastAsia" w:cs="仿宋"/>
        </w:rPr>
        <w:t>用电安全。办公区的照明电路皆由专业电工按规定架设，任何人不得乱拉电线。办公区严禁使用电炉、电热水器等。</w:t>
      </w:r>
    </w:p>
    <w:p w14:paraId="65D28D65">
      <w:pPr>
        <w:pStyle w:val="12"/>
        <w:pageBreakBefore w:val="0"/>
        <w:numPr>
          <w:ilvl w:val="4"/>
          <w:numId w:val="12"/>
        </w:numPr>
        <w:kinsoku/>
        <w:wordWrap/>
        <w:overflowPunct/>
        <w:topLinePunct w:val="0"/>
        <w:autoSpaceDE/>
        <w:autoSpaceDN/>
        <w:bidi w:val="0"/>
        <w:spacing w:line="360" w:lineRule="auto"/>
        <w:textAlignment w:val="auto"/>
        <w:rPr>
          <w:lang w:eastAsia="zh-CN"/>
        </w:rPr>
      </w:pPr>
      <w:bookmarkStart w:id="763" w:name="_Toc1410958618"/>
      <w:r>
        <w:rPr>
          <w:rFonts w:hint="eastAsia"/>
          <w:lang w:eastAsia="zh-CN"/>
        </w:rPr>
        <w:t>实施过程风险分析和控制</w:t>
      </w:r>
      <w:bookmarkEnd w:id="763"/>
    </w:p>
    <w:p w14:paraId="464A670B">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风险评估</w:t>
      </w:r>
    </w:p>
    <w:p w14:paraId="5119DB96">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项目风险评估是以降低施工风险、避免安全事故为原则，实现可靠推广施工为目的。通过风险评估达到以下效果：  </w:t>
      </w:r>
    </w:p>
    <w:p w14:paraId="08A3F422">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 xml:space="preserve">项目开工前对施工中可能存在的危险源进行全面普查，对施工风险作定性或定量的估测，研究事故发生的可能性（概率）及其产生后果的严重程度，确定项目总体和各施工专项的风险级别，增强施工安全风险意识，有针对性地采取防范措施，确保项目施工安全。  </w:t>
      </w:r>
    </w:p>
    <w:p w14:paraId="30899868">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通过施工风险估测的结论和建议，作为项目施工过程的安全技术和安全管理工作的重要参考依据，以起到尽早辨识潜在施工风险，优化项目施工方案，完善施工风险控制措施，规范预案预警预控管理，以及对重点部位加强安全管理的作用。</w:t>
      </w:r>
    </w:p>
    <w:p w14:paraId="43C0D6D2">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sz w:val="24"/>
          <w:szCs w:val="24"/>
        </w:rPr>
        <w:t>1</w:t>
      </w:r>
      <w:r>
        <w:rPr>
          <w:rFonts w:hint="eastAsia"/>
          <w:sz w:val="24"/>
          <w:szCs w:val="24"/>
        </w:rPr>
        <w:t>、会上讨论</w:t>
      </w:r>
    </w:p>
    <w:p w14:paraId="3A10A137">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组织经验丰富且对现场环境熟悉的各个部门开会讨论施工事项。</w:t>
      </w:r>
    </w:p>
    <w:p w14:paraId="63A72ADF">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sz w:val="24"/>
          <w:szCs w:val="24"/>
        </w:rPr>
        <w:t>2</w:t>
      </w:r>
      <w:r>
        <w:rPr>
          <w:rFonts w:hint="eastAsia"/>
          <w:sz w:val="24"/>
          <w:szCs w:val="24"/>
        </w:rPr>
        <w:t>、收集资料和勘查现场</w:t>
      </w:r>
      <w:r>
        <w:rPr>
          <w:sz w:val="24"/>
          <w:szCs w:val="24"/>
        </w:rPr>
        <w:t xml:space="preserve"> </w:t>
      </w:r>
    </w:p>
    <w:p w14:paraId="39C9500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收集本项目设计文件、设计阶段的安全评估、项目施工总体规划等文件资料。</w:t>
      </w:r>
    </w:p>
    <w:p w14:paraId="02BB40C5">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实地勘查，了解现场综合施工环境。</w:t>
      </w:r>
    </w:p>
    <w:p w14:paraId="4B23CBCE">
      <w:pPr>
        <w:pStyle w:val="13"/>
        <w:pageBreakBefore w:val="0"/>
        <w:numPr>
          <w:ilvl w:val="5"/>
          <w:numId w:val="12"/>
        </w:numPr>
        <w:kinsoku/>
        <w:wordWrap/>
        <w:overflowPunct/>
        <w:topLinePunct w:val="0"/>
        <w:autoSpaceDE/>
        <w:autoSpaceDN/>
        <w:bidi w:val="0"/>
        <w:spacing w:line="360" w:lineRule="auto"/>
        <w:textAlignment w:val="auto"/>
      </w:pPr>
      <w:r>
        <w:rPr>
          <w:rFonts w:hint="eastAsia"/>
        </w:rPr>
        <w:t>安全防护控制</w:t>
      </w:r>
    </w:p>
    <w:p w14:paraId="4BE0048C">
      <w:pPr>
        <w:pageBreakBefore w:val="0"/>
        <w:widowControl/>
        <w:numPr>
          <w:ilvl w:val="0"/>
          <w:numId w:val="56"/>
        </w:numPr>
        <w:kinsoku/>
        <w:wordWrap/>
        <w:overflowPunct/>
        <w:topLinePunct w:val="0"/>
        <w:autoSpaceDE/>
        <w:autoSpaceDN/>
        <w:bidi w:val="0"/>
        <w:spacing w:before="120" w:after="120" w:line="360" w:lineRule="auto"/>
        <w:ind w:firstLine="420"/>
        <w:textAlignment w:val="auto"/>
      </w:pPr>
      <w:r>
        <w:rPr>
          <w:rFonts w:hint="eastAsia"/>
        </w:rPr>
        <w:t xml:space="preserve">我司为本项目实施的主体责任单位，对本项目涉及施工安全、人员健康安全、环境保护负责。 </w:t>
      </w:r>
    </w:p>
    <w:p w14:paraId="6FC8B67C">
      <w:pPr>
        <w:pageBreakBefore w:val="0"/>
        <w:widowControl/>
        <w:numPr>
          <w:ilvl w:val="0"/>
          <w:numId w:val="56"/>
        </w:numPr>
        <w:kinsoku/>
        <w:wordWrap/>
        <w:overflowPunct/>
        <w:topLinePunct w:val="0"/>
        <w:autoSpaceDE/>
        <w:autoSpaceDN/>
        <w:bidi w:val="0"/>
        <w:spacing w:before="120" w:after="120" w:line="360" w:lineRule="auto"/>
        <w:ind w:firstLine="420"/>
        <w:textAlignment w:val="auto"/>
      </w:pPr>
      <w:r>
        <w:rPr>
          <w:rFonts w:hint="eastAsia"/>
        </w:rPr>
        <w:t xml:space="preserve">我司认真贯彻落实国家有关安全生产、环境保护、职业卫生、疫情防控的方针、政策。 </w:t>
      </w:r>
    </w:p>
    <w:p w14:paraId="1320A812">
      <w:pPr>
        <w:pageBreakBefore w:val="0"/>
        <w:widowControl/>
        <w:numPr>
          <w:ilvl w:val="0"/>
          <w:numId w:val="56"/>
        </w:numPr>
        <w:kinsoku/>
        <w:wordWrap/>
        <w:overflowPunct/>
        <w:topLinePunct w:val="0"/>
        <w:autoSpaceDE/>
        <w:autoSpaceDN/>
        <w:bidi w:val="0"/>
        <w:spacing w:before="120" w:after="120" w:line="360" w:lineRule="auto"/>
        <w:ind w:firstLine="420"/>
        <w:textAlignment w:val="auto"/>
      </w:pPr>
      <w:r>
        <w:rPr>
          <w:rFonts w:hint="eastAsia"/>
        </w:rPr>
        <w:t xml:space="preserve">我司负责本单位从业人员的安全生产、疫情防控、文明施工教育培训，保证从业人员具备必要的安全生产知识、事故防范能力和环境保护意识，掌握本岗位风险管控和应急避险措施，熟悉本项目相关的安全生产规章制度和安全操作规程，杜绝各类安全、环保、疫情事件发生。 </w:t>
      </w:r>
    </w:p>
    <w:p w14:paraId="39476F22">
      <w:pPr>
        <w:pStyle w:val="13"/>
        <w:pageBreakBefore w:val="0"/>
        <w:numPr>
          <w:ilvl w:val="5"/>
          <w:numId w:val="12"/>
        </w:numPr>
        <w:kinsoku/>
        <w:wordWrap/>
        <w:overflowPunct/>
        <w:topLinePunct w:val="0"/>
        <w:autoSpaceDE/>
        <w:autoSpaceDN/>
        <w:bidi w:val="0"/>
        <w:spacing w:line="360" w:lineRule="auto"/>
        <w:textAlignment w:val="auto"/>
      </w:pPr>
      <w:r>
        <w:rPr>
          <w:rFonts w:hint="eastAsia"/>
        </w:rPr>
        <w:t>文明施工措施</w:t>
      </w:r>
    </w:p>
    <w:p w14:paraId="08E1BDF0">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遵章施工。遵守项目现场有关市容、场容管理制度，加强现场用水、排污的管理，做到场地整洁，搞好现场清洁卫生。</w:t>
      </w:r>
    </w:p>
    <w:p w14:paraId="38130FFE">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场地整齐。进入施工现场的各种设备，均须按指定位置，堆放整齐，不得随意乱放，以保证道路畅通。</w:t>
      </w:r>
    </w:p>
    <w:p w14:paraId="290DBF55">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工完料清。对施工人员进行教育，做到谁做谁清，工完料清，场地干净。</w:t>
      </w:r>
    </w:p>
    <w:p w14:paraId="612B7660">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劳动保护。做好劳动保护，合理安排作息时间，配置预备力量。</w:t>
      </w:r>
    </w:p>
    <w:p w14:paraId="30B3B791">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责任包干。施工现场实行分片包干责任制，划分区域，定期检查，提高现场工作人员文明施工的自觉性。</w:t>
      </w:r>
    </w:p>
    <w:p w14:paraId="1B6D29A6">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组织明确。由项目经理牵头组成现场消防保卫小组，并定专人负责消防保卫日常检查和监督。</w:t>
      </w:r>
    </w:p>
    <w:p w14:paraId="1648EE4D">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建立现场巡逻检查制度。所有施工人员均须佩戴工作卡，闲杂人员不得进入施工现场。</w:t>
      </w:r>
    </w:p>
    <w:p w14:paraId="081EA504">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消防设备及通道检查。消防设备应经常检查，保持良好的工作状态；时刻保证消防通道的畅通。</w:t>
      </w:r>
    </w:p>
    <w:p w14:paraId="736D91E8">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慎用明火。严格执行动火审批制度，凡有明火处以及易燃材料存放处，应配备足够的灭火器材，周围无易燃物，并由专人负责管理。</w:t>
      </w:r>
    </w:p>
    <w:p w14:paraId="26CF4B2B">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消防培训。学习消防知识，进行岗位练兵，熟悉使用各种消防器材。</w:t>
      </w:r>
    </w:p>
    <w:p w14:paraId="4D76C67B">
      <w:pPr>
        <w:pStyle w:val="87"/>
        <w:pageBreakBefore w:val="0"/>
        <w:numPr>
          <w:ilvl w:val="0"/>
          <w:numId w:val="57"/>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用电安全。办公区的照明电路皆由专业电工按规定架设，任何人不得乱拉电线。办公区严禁使用电炉、电热水器等。</w:t>
      </w:r>
    </w:p>
    <w:p w14:paraId="3F7732F3">
      <w:pPr>
        <w:pStyle w:val="13"/>
        <w:pageBreakBefore w:val="0"/>
        <w:numPr>
          <w:ilvl w:val="5"/>
          <w:numId w:val="12"/>
        </w:numPr>
        <w:kinsoku/>
        <w:wordWrap/>
        <w:overflowPunct/>
        <w:topLinePunct w:val="0"/>
        <w:autoSpaceDE/>
        <w:autoSpaceDN/>
        <w:bidi w:val="0"/>
        <w:spacing w:line="360" w:lineRule="auto"/>
        <w:textAlignment w:val="auto"/>
      </w:pPr>
      <w:r>
        <w:rPr>
          <w:rFonts w:hint="eastAsia"/>
        </w:rPr>
        <w:t>环境保护措施</w:t>
      </w:r>
    </w:p>
    <w:p w14:paraId="402417A9">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扬尘控制：安装阶段，作业区目测扬尘高度小于</w:t>
      </w:r>
      <w:r>
        <w:rPr>
          <w:sz w:val="24"/>
          <w:szCs w:val="24"/>
        </w:rPr>
        <w:t>0.5m</w:t>
      </w:r>
      <w:r>
        <w:rPr>
          <w:rFonts w:hint="eastAsia"/>
          <w:sz w:val="24"/>
          <w:szCs w:val="24"/>
        </w:rPr>
        <w:t>，施工现场非作业区达到目测无扬尘的要求；</w:t>
      </w:r>
    </w:p>
    <w:p w14:paraId="380733A8">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噪音与振动控制：施工现场噪音排放不得超过国家标准的规定；</w:t>
      </w:r>
    </w:p>
    <w:p w14:paraId="67B09F05">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使用低噪音、低振动的机具，采取隔音与隔振措施，避免或减少施工噪音和振动；</w:t>
      </w:r>
    </w:p>
    <w:p w14:paraId="56AB1F39">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合理安排施工时间，避免夜间施工。减小施工噪声对周围环境居民的影响；</w:t>
      </w:r>
    </w:p>
    <w:p w14:paraId="6B800B6B">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制定科学的施工计划，合理安排施工平面。</w:t>
      </w:r>
    </w:p>
    <w:p w14:paraId="0A63AEB2">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光污染控制：尽量避免或减少施工过程中的光污染；</w:t>
      </w:r>
    </w:p>
    <w:p w14:paraId="2E5C59FC">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水污染控制：施工现场污水排放应达到国家标准的要求。</w:t>
      </w:r>
    </w:p>
    <w:p w14:paraId="18D17ABE">
      <w:pPr>
        <w:pStyle w:val="87"/>
        <w:pageBreakBefore w:val="0"/>
        <w:numPr>
          <w:ilvl w:val="0"/>
          <w:numId w:val="58"/>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垃圾控制：施工现场生活区设置封闭式垃圾容器，施工场地生活垃圾实行袋装化，及时清运。</w:t>
      </w:r>
    </w:p>
    <w:p w14:paraId="49E9C587">
      <w:pPr>
        <w:pStyle w:val="13"/>
        <w:pageBreakBefore w:val="0"/>
        <w:numPr>
          <w:ilvl w:val="5"/>
          <w:numId w:val="12"/>
        </w:numPr>
        <w:kinsoku/>
        <w:wordWrap/>
        <w:overflowPunct/>
        <w:topLinePunct w:val="0"/>
        <w:autoSpaceDE/>
        <w:autoSpaceDN/>
        <w:bidi w:val="0"/>
        <w:spacing w:line="360" w:lineRule="auto"/>
        <w:textAlignment w:val="auto"/>
      </w:pPr>
      <w:r>
        <w:rPr>
          <w:rFonts w:hint="eastAsia"/>
        </w:rPr>
        <w:t>疫情防控措施</w:t>
      </w:r>
    </w:p>
    <w:p w14:paraId="4B332C20">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指导思想</w:t>
      </w:r>
    </w:p>
    <w:p w14:paraId="713080A3">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坚持“加强领导、密切配合，依靠科学、依法防治，群防群控、果断处置”的方针，强化病毒防疫工作责任制和责任追究制，层层落实病毒防疫目标责任，以有效防控新型冠状病毒，积极推行以强制防疫为主的综合防控措施，狠抓各项措施的落实，确保项目保质保量完成进度计划。</w:t>
      </w:r>
    </w:p>
    <w:p w14:paraId="5D373CDA">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提高认识，明确责任</w:t>
      </w:r>
    </w:p>
    <w:p w14:paraId="72C4F1AD">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针对疫情充分做好群防群控的准备，病毒防疫是保证本工程顺利实施的重要工作。按照公司负责人是第一负责人，项目经理是本项目第一责任人的防疫工作总体要求，做好对疫情的防控、报告、处置等工作。</w:t>
      </w:r>
    </w:p>
    <w:p w14:paraId="572F4668">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强化管理</w:t>
      </w:r>
    </w:p>
    <w:p w14:paraId="46E7EC94">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bCs/>
          <w:sz w:val="24"/>
          <w:szCs w:val="24"/>
        </w:rPr>
      </w:pPr>
      <w:r>
        <w:rPr>
          <w:rFonts w:hint="eastAsia"/>
          <w:bCs/>
          <w:sz w:val="24"/>
          <w:szCs w:val="24"/>
        </w:rPr>
        <w:t>针对疫情成立以项目经理为</w:t>
      </w:r>
      <w:r>
        <w:rPr>
          <w:rFonts w:hint="eastAsia"/>
          <w:sz w:val="24"/>
          <w:szCs w:val="24"/>
        </w:rPr>
        <w:t>组长</w:t>
      </w:r>
      <w:r>
        <w:rPr>
          <w:rFonts w:hint="eastAsia"/>
          <w:bCs/>
          <w:sz w:val="24"/>
          <w:szCs w:val="24"/>
        </w:rPr>
        <w:t>的疫情防疫小组，对进场的从业人员进行体检、建档、观察、报告等工作。对从业人员的生活用品、餐具、工具、劳保用品等统一发放，对保管、使用、报损等出入库记录并做全面的清理，规范出入库记录。</w:t>
      </w:r>
    </w:p>
    <w:p w14:paraId="31248686">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统一标识管理，规范人员档案</w:t>
      </w:r>
    </w:p>
    <w:p w14:paraId="18B294FA">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对体检合格人员发放体检合格标识牌，对从业人员从何处来，到场时间、离场时间建立专项档案。</w:t>
      </w:r>
    </w:p>
    <w:p w14:paraId="1EEE9BB8">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完善新的工作机制</w:t>
      </w:r>
    </w:p>
    <w:p w14:paraId="1C5B92E1">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从业人员体检合格后方可进场作业，但每天项目部仍需做好从业人员进行体温检测、防控药品发放等工作。针对本次疫情，组织专项交底，从业人员相互监督。如发现疑似人员，立即送医检查，并将当日与该人员接触的人员一并送医检查，并建档保存，以备检查。</w:t>
      </w:r>
    </w:p>
    <w:p w14:paraId="465136FF">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强化组织领导</w:t>
      </w:r>
    </w:p>
    <w:p w14:paraId="08FE8047">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为确保防疫工作顺利进行，项目经理要进一步加强防控工作，精心安排，周密布置，统一行动，有力有序有效地做好防控工作。将疫情防控任务和责任层层分解，落实到岗到人，全面落实防疫措施，确保防疫密度和质量。</w:t>
      </w:r>
    </w:p>
    <w:p w14:paraId="07B6A82E">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加强督查工作</w:t>
      </w:r>
    </w:p>
    <w:p w14:paraId="1301891C">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项目经理实施痕迹化管理，对完成的工具一定要有书面记录，需要整改的出具书面限期整改通知书。对疫情防疫工作进度督查，对督查中发现防疫空白和盲区，要限期整改。不按期整改的，要追究责任，严肃处理。</w:t>
      </w:r>
    </w:p>
    <w:p w14:paraId="33392493">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加强经费保障</w:t>
      </w:r>
    </w:p>
    <w:p w14:paraId="0B196163">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保证防疫工作的经费需要，重点解决好防疫人员的补助，并确保各类防疫药品、物品的充足，确保防疫工作顺利开展。</w:t>
      </w:r>
    </w:p>
    <w:p w14:paraId="2FBD9016">
      <w:pPr>
        <w:pStyle w:val="87"/>
        <w:pageBreakBefore w:val="0"/>
        <w:numPr>
          <w:ilvl w:val="0"/>
          <w:numId w:val="59"/>
        </w:numPr>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重视宣传工作</w:t>
      </w:r>
    </w:p>
    <w:p w14:paraId="6DE47941">
      <w:pPr>
        <w:pStyle w:val="87"/>
        <w:pageBreakBefore w:val="0"/>
        <w:kinsoku/>
        <w:wordWrap/>
        <w:overflowPunct/>
        <w:topLinePunct w:val="0"/>
        <w:autoSpaceDE/>
        <w:autoSpaceDN/>
        <w:bidi w:val="0"/>
        <w:spacing w:before="0" w:beforeLines="0" w:after="0" w:afterLines="0" w:line="360" w:lineRule="auto"/>
        <w:ind w:left="0" w:leftChars="0" w:firstLine="480" w:firstLineChars="200"/>
        <w:textAlignment w:val="auto"/>
        <w:rPr>
          <w:sz w:val="24"/>
          <w:szCs w:val="24"/>
        </w:rPr>
      </w:pPr>
      <w:r>
        <w:rPr>
          <w:rFonts w:hint="eastAsia"/>
          <w:sz w:val="24"/>
          <w:szCs w:val="24"/>
        </w:rPr>
        <w:t>加强宣传工作，充分发挥宣传作用。宣传防疫工作对本次疫情的重要性和必要性，普及相关防疫知识，全方位、多渠道加大宣传力度，使每一名从业人员明白防疫措施的重要性，减少防疫工作中的阻力，有效开展好防疫工作。</w:t>
      </w:r>
    </w:p>
    <w:p w14:paraId="31C72D97">
      <w:pPr>
        <w:pStyle w:val="12"/>
        <w:pageBreakBefore w:val="0"/>
        <w:numPr>
          <w:ilvl w:val="4"/>
          <w:numId w:val="12"/>
        </w:numPr>
        <w:kinsoku/>
        <w:wordWrap/>
        <w:overflowPunct/>
        <w:topLinePunct w:val="0"/>
        <w:autoSpaceDE/>
        <w:autoSpaceDN/>
        <w:bidi w:val="0"/>
        <w:spacing w:line="360" w:lineRule="auto"/>
        <w:textAlignment w:val="auto"/>
      </w:pPr>
      <w:bookmarkStart w:id="764" w:name="_Toc860348617"/>
      <w:r>
        <w:rPr>
          <w:rFonts w:hint="eastAsia"/>
          <w:lang w:eastAsia="zh-CN"/>
        </w:rPr>
        <w:t>应急能力与其他风险</w:t>
      </w:r>
      <w:r>
        <w:rPr>
          <w:rFonts w:hint="eastAsia"/>
        </w:rPr>
        <w:t>保障</w:t>
      </w:r>
      <w:bookmarkEnd w:id="764"/>
    </w:p>
    <w:p w14:paraId="21E46F93">
      <w:pPr>
        <w:pStyle w:val="13"/>
        <w:pageBreakBefore w:val="0"/>
        <w:numPr>
          <w:ilvl w:val="5"/>
          <w:numId w:val="12"/>
        </w:numPr>
        <w:kinsoku/>
        <w:wordWrap/>
        <w:overflowPunct/>
        <w:topLinePunct w:val="0"/>
        <w:autoSpaceDE/>
        <w:autoSpaceDN/>
        <w:bidi w:val="0"/>
        <w:spacing w:line="360" w:lineRule="auto"/>
        <w:textAlignment w:val="auto"/>
      </w:pPr>
      <w:r>
        <w:rPr>
          <w:rFonts w:hint="eastAsia"/>
        </w:rPr>
        <w:t>应用集成异常情况应急预案</w:t>
      </w:r>
    </w:p>
    <w:p w14:paraId="532A431D">
      <w:pPr>
        <w:pStyle w:val="87"/>
        <w:pageBreakBefore w:val="0"/>
        <w:numPr>
          <w:ilvl w:val="0"/>
          <w:numId w:val="6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定期对数据库进行备份，可以采用增量备份和完全备份结合的模式，同时可以采用本地与远程保存备份文件的方式，以方便在数据库出现故障后恢复到最近时间。</w:t>
      </w:r>
    </w:p>
    <w:p w14:paraId="064B51AE">
      <w:pPr>
        <w:pStyle w:val="87"/>
        <w:pageBreakBefore w:val="0"/>
        <w:numPr>
          <w:ilvl w:val="0"/>
          <w:numId w:val="6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使用双机热备</w:t>
      </w:r>
      <w:r>
        <w:rPr>
          <w:sz w:val="24"/>
          <w:szCs w:val="24"/>
        </w:rPr>
        <w:t>/</w:t>
      </w:r>
      <w:r>
        <w:rPr>
          <w:rFonts w:hint="eastAsia"/>
          <w:sz w:val="24"/>
          <w:szCs w:val="24"/>
        </w:rPr>
        <w:t>负载均衡方案，保证服务的高可用。</w:t>
      </w:r>
    </w:p>
    <w:p w14:paraId="18E02B57">
      <w:pPr>
        <w:pStyle w:val="87"/>
        <w:pageBreakBefore w:val="0"/>
        <w:numPr>
          <w:ilvl w:val="0"/>
          <w:numId w:val="6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定期备份应用程序配置，或在应用程序配置发生变更时进行备份。</w:t>
      </w:r>
    </w:p>
    <w:p w14:paraId="635E36F4">
      <w:pPr>
        <w:pStyle w:val="87"/>
        <w:pageBreakBefore w:val="0"/>
        <w:numPr>
          <w:ilvl w:val="0"/>
          <w:numId w:val="6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对于数据交换的异常、将提供手工处理相应的</w:t>
      </w:r>
      <w:r>
        <w:rPr>
          <w:sz w:val="24"/>
          <w:szCs w:val="24"/>
        </w:rPr>
        <w:t>XML</w:t>
      </w:r>
      <w:r>
        <w:rPr>
          <w:rFonts w:hint="eastAsia"/>
          <w:sz w:val="24"/>
          <w:szCs w:val="24"/>
        </w:rPr>
        <w:t>文件；</w:t>
      </w:r>
    </w:p>
    <w:p w14:paraId="41B0F54A">
      <w:pPr>
        <w:pStyle w:val="87"/>
        <w:pageBreakBefore w:val="0"/>
        <w:numPr>
          <w:ilvl w:val="0"/>
          <w:numId w:val="6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对于系统之间出现数据交换异常的需确保双方有相对应的接口日志；</w:t>
      </w:r>
    </w:p>
    <w:p w14:paraId="1BB856F0">
      <w:pPr>
        <w:pStyle w:val="87"/>
        <w:pageBreakBefore w:val="0"/>
        <w:numPr>
          <w:ilvl w:val="0"/>
          <w:numId w:val="60"/>
        </w:numPr>
        <w:kinsoku/>
        <w:wordWrap/>
        <w:overflowPunct/>
        <w:topLinePunct w:val="0"/>
        <w:autoSpaceDE/>
        <w:autoSpaceDN/>
        <w:bidi w:val="0"/>
        <w:spacing w:before="0" w:beforeLines="0" w:after="0" w:afterLines="0" w:line="360" w:lineRule="auto"/>
        <w:ind w:leftChars="0" w:firstLineChars="0"/>
        <w:textAlignment w:val="auto"/>
        <w:rPr>
          <w:sz w:val="24"/>
          <w:szCs w:val="24"/>
        </w:rPr>
      </w:pPr>
      <w:r>
        <w:rPr>
          <w:rFonts w:hint="eastAsia"/>
          <w:sz w:val="24"/>
          <w:szCs w:val="24"/>
        </w:rPr>
        <w:t>对于会影响业务生产的系统应用集成出现问题将给出异常处理解决方案以便后续系统管理员更好的维护；</w:t>
      </w:r>
    </w:p>
    <w:p w14:paraId="431D64B3">
      <w:pPr>
        <w:pStyle w:val="13"/>
        <w:pageBreakBefore w:val="0"/>
        <w:numPr>
          <w:ilvl w:val="5"/>
          <w:numId w:val="12"/>
        </w:numPr>
        <w:kinsoku/>
        <w:wordWrap/>
        <w:overflowPunct/>
        <w:topLinePunct w:val="0"/>
        <w:autoSpaceDE/>
        <w:autoSpaceDN/>
        <w:bidi w:val="0"/>
        <w:spacing w:line="360" w:lineRule="auto"/>
        <w:textAlignment w:val="auto"/>
      </w:pPr>
      <w:r>
        <w:rPr>
          <w:rFonts w:hint="eastAsia"/>
        </w:rPr>
        <w:t>应用安装、调试异常情况应急预案</w:t>
      </w:r>
    </w:p>
    <w:p w14:paraId="005C0BED">
      <w:pPr>
        <w:pageBreakBefore w:val="0"/>
        <w:numPr>
          <w:ilvl w:val="0"/>
          <w:numId w:val="61"/>
        </w:numPr>
        <w:kinsoku/>
        <w:wordWrap/>
        <w:overflowPunct/>
        <w:topLinePunct w:val="0"/>
        <w:autoSpaceDE/>
        <w:autoSpaceDN/>
        <w:bidi w:val="0"/>
        <w:adjustRightInd w:val="0"/>
        <w:snapToGrid w:val="0"/>
        <w:spacing w:line="360" w:lineRule="auto"/>
        <w:ind w:left="0" w:firstLine="480" w:firstLineChars="200"/>
        <w:textAlignment w:val="auto"/>
        <w:rPr>
          <w:rFonts w:cs="宋体"/>
        </w:rPr>
      </w:pPr>
      <w:r>
        <w:rPr>
          <w:rFonts w:hint="eastAsia" w:cs="宋体"/>
        </w:rPr>
        <w:t>项目开工前提供施工组织设计，编制现场施工过程中各种紧急情况的处理预案。</w:t>
      </w:r>
    </w:p>
    <w:p w14:paraId="792F8E42">
      <w:pPr>
        <w:pageBreakBefore w:val="0"/>
        <w:numPr>
          <w:ilvl w:val="0"/>
          <w:numId w:val="61"/>
        </w:numPr>
        <w:kinsoku/>
        <w:wordWrap/>
        <w:overflowPunct/>
        <w:topLinePunct w:val="0"/>
        <w:autoSpaceDE/>
        <w:autoSpaceDN/>
        <w:bidi w:val="0"/>
        <w:adjustRightInd w:val="0"/>
        <w:snapToGrid w:val="0"/>
        <w:spacing w:line="360" w:lineRule="auto"/>
        <w:ind w:left="0" w:firstLine="480" w:firstLineChars="200"/>
        <w:textAlignment w:val="auto"/>
        <w:rPr>
          <w:rFonts w:cs="宋体"/>
        </w:rPr>
      </w:pPr>
      <w:r>
        <w:rPr>
          <w:rFonts w:hint="eastAsia" w:cs="宋体"/>
        </w:rPr>
        <w:t>建立现场应急预案处理小组，项目经理任负责人，各部门负责人任组员，应对异常情况。</w:t>
      </w:r>
    </w:p>
    <w:p w14:paraId="3DEE2D61">
      <w:pPr>
        <w:pageBreakBefore w:val="0"/>
        <w:numPr>
          <w:ilvl w:val="0"/>
          <w:numId w:val="61"/>
        </w:numPr>
        <w:kinsoku/>
        <w:wordWrap/>
        <w:overflowPunct/>
        <w:topLinePunct w:val="0"/>
        <w:autoSpaceDE/>
        <w:autoSpaceDN/>
        <w:bidi w:val="0"/>
        <w:adjustRightInd w:val="0"/>
        <w:snapToGrid w:val="0"/>
        <w:spacing w:line="360" w:lineRule="auto"/>
        <w:ind w:left="0" w:firstLine="480" w:firstLineChars="200"/>
        <w:textAlignment w:val="auto"/>
      </w:pPr>
      <w:r>
        <w:rPr>
          <w:rFonts w:hint="eastAsia" w:cs="宋体"/>
        </w:rPr>
        <w:t>项目经理及项目各部门主要负责人保证24小时开机，应对紧急情况的发生。</w:t>
      </w:r>
    </w:p>
    <w:p w14:paraId="43BAA217">
      <w:pPr>
        <w:pageBreakBefore w:val="0"/>
        <w:numPr>
          <w:ilvl w:val="0"/>
          <w:numId w:val="61"/>
        </w:numPr>
        <w:kinsoku/>
        <w:wordWrap/>
        <w:overflowPunct/>
        <w:topLinePunct w:val="0"/>
        <w:autoSpaceDE/>
        <w:autoSpaceDN/>
        <w:bidi w:val="0"/>
        <w:adjustRightInd w:val="0"/>
        <w:snapToGrid w:val="0"/>
        <w:spacing w:line="360" w:lineRule="auto"/>
        <w:ind w:left="0" w:firstLine="480" w:firstLineChars="200"/>
        <w:textAlignment w:val="auto"/>
        <w:rPr>
          <w:rFonts w:cs="宋体"/>
        </w:rPr>
      </w:pPr>
      <w:r>
        <w:rPr>
          <w:rFonts w:hint="eastAsia" w:cs="宋体"/>
        </w:rPr>
        <w:t>严格按照测试大纲的要求开展项目，积极做好各应急预案的准备工作。</w:t>
      </w:r>
    </w:p>
    <w:p w14:paraId="4CF34A22">
      <w:pPr>
        <w:pageBreakBefore w:val="0"/>
        <w:numPr>
          <w:ilvl w:val="0"/>
          <w:numId w:val="61"/>
        </w:numPr>
        <w:kinsoku/>
        <w:wordWrap/>
        <w:overflowPunct/>
        <w:topLinePunct w:val="0"/>
        <w:autoSpaceDE/>
        <w:autoSpaceDN/>
        <w:bidi w:val="0"/>
        <w:adjustRightInd w:val="0"/>
        <w:snapToGrid w:val="0"/>
        <w:spacing w:line="360" w:lineRule="auto"/>
        <w:ind w:left="0" w:firstLine="480" w:firstLineChars="200"/>
        <w:textAlignment w:val="auto"/>
        <w:rPr>
          <w:rFonts w:cs="宋体"/>
        </w:rPr>
      </w:pPr>
      <w:r>
        <w:rPr>
          <w:rFonts w:hint="eastAsia" w:cs="宋体"/>
        </w:rPr>
        <w:t>明确各测试人员在测试过程中的岗位职责，制定突发事件时各岗位应采取的应对措施。</w:t>
      </w:r>
    </w:p>
    <w:p w14:paraId="49EDEFF9">
      <w:pPr>
        <w:pageBreakBefore w:val="0"/>
        <w:numPr>
          <w:ilvl w:val="0"/>
          <w:numId w:val="61"/>
        </w:numPr>
        <w:kinsoku/>
        <w:wordWrap/>
        <w:overflowPunct/>
        <w:topLinePunct w:val="0"/>
        <w:autoSpaceDE/>
        <w:autoSpaceDN/>
        <w:bidi w:val="0"/>
        <w:adjustRightInd w:val="0"/>
        <w:snapToGrid w:val="0"/>
        <w:spacing w:line="360" w:lineRule="auto"/>
        <w:ind w:left="0" w:firstLine="480" w:firstLineChars="200"/>
        <w:textAlignment w:val="auto"/>
        <w:rPr>
          <w:rFonts w:cs="宋体"/>
        </w:rPr>
      </w:pPr>
      <w:r>
        <w:rPr>
          <w:rFonts w:hint="eastAsia" w:cs="宋体"/>
        </w:rPr>
        <w:t>异常情况发生后，除按照应急预案开展善后处理工作外，还应积极保护好故障时的数据，为查明事故原因做出努力。</w:t>
      </w:r>
    </w:p>
    <w:p w14:paraId="33EBA410">
      <w:pPr>
        <w:pStyle w:val="13"/>
        <w:pageBreakBefore w:val="0"/>
        <w:numPr>
          <w:ilvl w:val="5"/>
          <w:numId w:val="12"/>
        </w:numPr>
        <w:kinsoku/>
        <w:wordWrap/>
        <w:overflowPunct/>
        <w:topLinePunct w:val="0"/>
        <w:autoSpaceDE/>
        <w:autoSpaceDN/>
        <w:bidi w:val="0"/>
        <w:spacing w:line="360" w:lineRule="auto"/>
        <w:textAlignment w:val="auto"/>
      </w:pPr>
      <w:r>
        <w:rPr>
          <w:rFonts w:hint="eastAsia"/>
        </w:rPr>
        <w:t>节材与材料资源利用技术</w:t>
      </w:r>
    </w:p>
    <w:p w14:paraId="59F41990">
      <w:pPr>
        <w:pageBreakBefore w:val="0"/>
        <w:numPr>
          <w:ilvl w:val="0"/>
          <w:numId w:val="62"/>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节材措施</w:t>
      </w:r>
    </w:p>
    <w:p w14:paraId="4BCC4391">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图纸会审时，应审核节材与材料资源利用的相关内容。</w:t>
      </w:r>
    </w:p>
    <w:p w14:paraId="3E5617C8">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根据施工进度、库存情况等合理安排材料的采购、进场时间和批次，减少库存。</w:t>
      </w:r>
    </w:p>
    <w:p w14:paraId="7054DD66">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现场材料堆放有序。储存环境适宜，存放措施得当。保管制度健全，责任落实到人。</w:t>
      </w:r>
    </w:p>
    <w:p w14:paraId="47A906C6">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材料运输工具适宜，装卸方法得当，防止损坏和遗洒。根据现场平面布置情况就近卸载，避免和减少二次搬运。</w:t>
      </w:r>
    </w:p>
    <w:p w14:paraId="45191618">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优化安装工程的预留、预埋、管线路径等方案。</w:t>
      </w:r>
    </w:p>
    <w:p w14:paraId="2BCF1D86">
      <w:pPr>
        <w:pageBreakBefore w:val="0"/>
        <w:numPr>
          <w:ilvl w:val="0"/>
          <w:numId w:val="62"/>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结构材料</w:t>
      </w:r>
    </w:p>
    <w:p w14:paraId="1F6C540E">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优化钢结构制作和安装方法。</w:t>
      </w:r>
    </w:p>
    <w:p w14:paraId="1D05F92E">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采取数字化技术，对大跨度结构等专项施工方案进行优化。</w:t>
      </w:r>
    </w:p>
    <w:p w14:paraId="0246866A">
      <w:pPr>
        <w:pageBreakBefore w:val="0"/>
        <w:numPr>
          <w:ilvl w:val="0"/>
          <w:numId w:val="62"/>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周转材料</w:t>
      </w:r>
    </w:p>
    <w:p w14:paraId="3E09880A">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选用耐用、维护与拆卸方便的周转材料和机具。</w:t>
      </w:r>
    </w:p>
    <w:p w14:paraId="05CF8891">
      <w:pPr>
        <w:pStyle w:val="13"/>
        <w:pageBreakBefore w:val="0"/>
        <w:numPr>
          <w:ilvl w:val="5"/>
          <w:numId w:val="12"/>
        </w:numPr>
        <w:kinsoku/>
        <w:wordWrap/>
        <w:overflowPunct/>
        <w:topLinePunct w:val="0"/>
        <w:autoSpaceDE/>
        <w:autoSpaceDN/>
        <w:bidi w:val="0"/>
        <w:spacing w:line="360" w:lineRule="auto"/>
        <w:textAlignment w:val="auto"/>
      </w:pPr>
      <w:r>
        <w:rPr>
          <w:rFonts w:hint="eastAsia"/>
        </w:rPr>
        <w:t>节能与能源利用的技术保障措施</w:t>
      </w:r>
    </w:p>
    <w:p w14:paraId="0680E0C4">
      <w:pPr>
        <w:pageBreakBefore w:val="0"/>
        <w:numPr>
          <w:ilvl w:val="0"/>
          <w:numId w:val="64"/>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节能措施</w:t>
      </w:r>
    </w:p>
    <w:p w14:paraId="58C284C3">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制订合理施工能耗指标，提高施工能源利用率。</w:t>
      </w:r>
    </w:p>
    <w:p w14:paraId="0F2EC2AD">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优先使用国家、行业推荐的节能、高效、环保的施工设备和机具，如选用变频技术的节能施工设备等。</w:t>
      </w:r>
    </w:p>
    <w:p w14:paraId="77C63F77">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施工现场分别设定生产、生活、办公和施工设备的用电控制指标。</w:t>
      </w:r>
    </w:p>
    <w:p w14:paraId="46557E7D">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在施工组织设计中，合理安排施工顺序、工作面，以减少作业区域的机具数量，相邻作业区充分利用共有的机具资源。安排施工工艺时，优先考虑能耗较少的施工工艺。避免设备额定功率远大于使用功率或超负荷使用设备的现象。</w:t>
      </w:r>
    </w:p>
    <w:p w14:paraId="43F7B480">
      <w:pPr>
        <w:pageBreakBefore w:val="0"/>
        <w:numPr>
          <w:ilvl w:val="0"/>
          <w:numId w:val="64"/>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机械设备与机具</w:t>
      </w:r>
    </w:p>
    <w:p w14:paraId="737E707C">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选择功率与负载相匹配的施工机械设备，避免大功率施工机械设备低负载长时间运行。安装采用节电型机械设备，机械设备使用节能型油料添加剂，在可能的情况下，考虑回收利用，节约油量。</w:t>
      </w:r>
    </w:p>
    <w:p w14:paraId="1BBDC51F">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合理安排工序，提高各种机械的使用率和满载率，降低各种设备的单位能耗。</w:t>
      </w:r>
    </w:p>
    <w:p w14:paraId="3900282B">
      <w:pPr>
        <w:pageBreakBefore w:val="0"/>
        <w:numPr>
          <w:ilvl w:val="0"/>
          <w:numId w:val="64"/>
        </w:numPr>
        <w:kinsoku/>
        <w:wordWrap/>
        <w:overflowPunct/>
        <w:topLinePunct w:val="0"/>
        <w:autoSpaceDE/>
        <w:autoSpaceDN/>
        <w:bidi w:val="0"/>
        <w:spacing w:before="120" w:after="120" w:line="360" w:lineRule="auto"/>
        <w:ind w:left="0" w:firstLine="480" w:firstLineChars="200"/>
        <w:textAlignment w:val="auto"/>
        <w:rPr>
          <w:rFonts w:cs="宋体"/>
        </w:rPr>
      </w:pPr>
      <w:r>
        <w:rPr>
          <w:rFonts w:hint="eastAsia" w:cs="宋体"/>
        </w:rPr>
        <w:t>生产、办公临时设施</w:t>
      </w:r>
    </w:p>
    <w:p w14:paraId="1EB30838">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合理配置采暖、空调、风扇数量，规定使用时间，实行分段分时使用，节约用电。</w:t>
      </w:r>
    </w:p>
    <w:p w14:paraId="39071ED4">
      <w:pPr>
        <w:pageBreakBefore w:val="0"/>
        <w:numPr>
          <w:ilvl w:val="0"/>
          <w:numId w:val="64"/>
        </w:numPr>
        <w:kinsoku/>
        <w:wordWrap/>
        <w:overflowPunct/>
        <w:topLinePunct w:val="0"/>
        <w:autoSpaceDE/>
        <w:autoSpaceDN/>
        <w:bidi w:val="0"/>
        <w:spacing w:before="120" w:after="120" w:line="360" w:lineRule="auto"/>
        <w:ind w:left="0" w:firstLine="480" w:firstLineChars="200"/>
        <w:textAlignment w:val="auto"/>
        <w:rPr>
          <w:kern w:val="0"/>
          <w:szCs w:val="22"/>
        </w:rPr>
      </w:pPr>
      <w:r>
        <w:rPr>
          <w:rFonts w:hint="eastAsia"/>
          <w:kern w:val="0"/>
          <w:szCs w:val="22"/>
        </w:rPr>
        <w:t>施工用电及照明</w:t>
      </w:r>
    </w:p>
    <w:p w14:paraId="5C738D92">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临时用电优先选用节能电线和节能灯具，临电线路设计、布置合理。</w:t>
      </w:r>
    </w:p>
    <w:p w14:paraId="3B9BFF6E">
      <w:pPr>
        <w:pageBreakBefore w:val="0"/>
        <w:numPr>
          <w:ilvl w:val="0"/>
          <w:numId w:val="63"/>
        </w:numPr>
        <w:kinsoku/>
        <w:wordWrap/>
        <w:overflowPunct/>
        <w:topLinePunct w:val="0"/>
        <w:autoSpaceDE/>
        <w:autoSpaceDN/>
        <w:bidi w:val="0"/>
        <w:spacing w:before="120" w:after="120" w:line="360" w:lineRule="auto"/>
        <w:ind w:left="0" w:right="240" w:rightChars="100" w:firstLine="420"/>
        <w:textAlignment w:val="auto"/>
        <w:rPr>
          <w:kern w:val="0"/>
          <w:szCs w:val="22"/>
        </w:rPr>
      </w:pPr>
      <w:r>
        <w:rPr>
          <w:rFonts w:hint="eastAsia"/>
          <w:kern w:val="0"/>
          <w:szCs w:val="22"/>
        </w:rPr>
        <w:t>照明设计以满足最低照度为原则，照度不应超过最低照度的20％。</w:t>
      </w:r>
    </w:p>
    <w:p w14:paraId="70C7D8A6">
      <w:pPr>
        <w:pStyle w:val="10"/>
        <w:pageBreakBefore w:val="0"/>
        <w:numPr>
          <w:ilvl w:val="3"/>
          <w:numId w:val="12"/>
        </w:numPr>
        <w:kinsoku/>
        <w:wordWrap/>
        <w:overflowPunct/>
        <w:topLinePunct w:val="0"/>
        <w:autoSpaceDE/>
        <w:autoSpaceDN/>
        <w:bidi w:val="0"/>
        <w:spacing w:line="360" w:lineRule="auto"/>
        <w:textAlignment w:val="auto"/>
      </w:pPr>
      <w:bookmarkStart w:id="765" w:name="_Toc944658512"/>
      <w:bookmarkStart w:id="766" w:name="_Toc1655010002"/>
      <w:r>
        <w:rPr>
          <w:rFonts w:hint="eastAsia"/>
        </w:rPr>
        <w:t>运维保障阶段风险分析</w:t>
      </w:r>
      <w:bookmarkEnd w:id="765"/>
      <w:bookmarkEnd w:id="766"/>
    </w:p>
    <w:p w14:paraId="395F9D06">
      <w:pPr>
        <w:pStyle w:val="13"/>
        <w:pageBreakBefore w:val="0"/>
        <w:numPr>
          <w:ilvl w:val="5"/>
          <w:numId w:val="12"/>
        </w:numPr>
        <w:kinsoku/>
        <w:wordWrap/>
        <w:overflowPunct/>
        <w:topLinePunct w:val="0"/>
        <w:autoSpaceDE/>
        <w:autoSpaceDN/>
        <w:bidi w:val="0"/>
        <w:spacing w:line="360" w:lineRule="auto"/>
        <w:textAlignment w:val="auto"/>
      </w:pPr>
      <w:r>
        <w:rPr>
          <w:rFonts w:hint="eastAsia"/>
        </w:rPr>
        <w:t>风险</w:t>
      </w:r>
      <w:r>
        <w:rPr>
          <w:rFonts w:hint="eastAsia"/>
          <w:lang w:eastAsia="zh-CN"/>
        </w:rPr>
        <w:t>分析</w:t>
      </w:r>
    </w:p>
    <w:p w14:paraId="6AEF022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卷烟二维码“盒条件”关联管理系统部署、集成和运维集中完成，项目实行边部署、边运维、边服务。为确保项目实施阶段以及后续运行阶段的持续安全稳定运行，需要建立完善的运维保障及售后服务体系。</w:t>
      </w:r>
    </w:p>
    <w:p w14:paraId="7D727CC6">
      <w:pPr>
        <w:pStyle w:val="13"/>
        <w:pageBreakBefore w:val="0"/>
        <w:numPr>
          <w:ilvl w:val="5"/>
          <w:numId w:val="12"/>
        </w:numPr>
        <w:kinsoku/>
        <w:wordWrap/>
        <w:overflowPunct/>
        <w:topLinePunct w:val="0"/>
        <w:autoSpaceDE/>
        <w:autoSpaceDN/>
        <w:bidi w:val="0"/>
        <w:spacing w:line="360" w:lineRule="auto"/>
        <w:textAlignment w:val="auto"/>
      </w:pPr>
      <w:r>
        <w:rPr>
          <w:rFonts w:hint="eastAsia"/>
          <w:lang w:eastAsia="zh-CN"/>
        </w:rPr>
        <w:t>运维</w:t>
      </w:r>
      <w:r>
        <w:rPr>
          <w:rFonts w:hint="eastAsia"/>
        </w:rPr>
        <w:t>服务措施</w:t>
      </w:r>
    </w:p>
    <w:p w14:paraId="128228C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遵循“本地化技术支持”策略，我司在行业业务覆盖省份或直辖市，可提供就近的服务保障，力求解决操作层问题和设备层问题。为保证及时有效快速地为客户提供应急抢修服务，保障就近技术支持。以确保客户自动化物流系统出现故障后能够及时得到解决，保障生产的顺利进行。</w:t>
      </w:r>
    </w:p>
    <w:p w14:paraId="7974989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全方位的技术支持。系统交付后，根据系统使用实际情况，分阶段安排现场巡视，通过多种方式提供故障报修服务，提供设备预防性保养工作。设立服务直线，强化构建“一站式服务中心”，推进故障一体解决的“简易”体验。</w:t>
      </w:r>
    </w:p>
    <w:p w14:paraId="20C9A847">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为保证高效、持续提供售后服务质量与客户设备稳定运行，我司自建备件库，同时根据全国项目现场需求，实时灵活管理增加库存。同时与众多客户也建立了战略合作关系，最终实现了“公司备件库+供应商备件库+客户备件库”制度。我司备件库所暂无备件，达成战略合作关系的原供应商优先保证供应我司所需备件。同时，对客户设备故障导致停机的应急急件更换，优先协调借用，快速恢复系统运行。</w:t>
      </w:r>
    </w:p>
    <w:p w14:paraId="2775B0A0">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“预防性维护”概念的推广，根据设备生产厂家的设计数据和</w:t>
      </w:r>
      <w:r>
        <w:rPr>
          <w:rFonts w:hint="eastAsia" w:cs="仿宋"/>
          <w:lang w:eastAsia="zh-CN"/>
        </w:rPr>
        <w:t>我方</w:t>
      </w:r>
      <w:r>
        <w:rPr>
          <w:rFonts w:hint="eastAsia" w:cs="仿宋"/>
        </w:rPr>
        <w:t>智能运维平台同类设备不同应用的大数据分析，精准、快速、及时的定位设备潜在风险点，对工控机、电控等零件的运行寿命周期精准预测，通过 “预防性维护”的方式，降低系统突发/重大故障的几率，为持续生产服务，产品工艺质量保证保驾护航。</w:t>
      </w:r>
    </w:p>
    <w:p w14:paraId="652342E9">
      <w:pPr>
        <w:pageBreakBefore w:val="0"/>
        <w:kinsoku/>
        <w:wordWrap/>
        <w:overflowPunct/>
        <w:topLinePunct w:val="0"/>
        <w:autoSpaceDE/>
        <w:autoSpaceDN/>
        <w:bidi w:val="0"/>
        <w:spacing w:before="120" w:after="120" w:line="360" w:lineRule="auto"/>
        <w:ind w:firstLine="480"/>
        <w:textAlignment w:val="auto"/>
        <w:rPr>
          <w:rFonts w:cs="仿宋"/>
          <w:b/>
          <w:bCs/>
        </w:rPr>
      </w:pPr>
      <w:r>
        <w:rPr>
          <w:rFonts w:hint="eastAsia" w:cs="仿宋"/>
        </w:rPr>
        <w:t>客户集中交流机制的推广，根据行业应用，针对客户使用年限、管理需求、行业发展等方面的情况，每年召集客户集中交流物流系统运行经验、感受、创新，同时根据过往客户需求提炼系统优化升级方向，更加贴近客户的使用情况。</w:t>
      </w:r>
    </w:p>
    <w:p w14:paraId="01F4BDE8">
      <w:pPr>
        <w:pStyle w:val="13"/>
        <w:pageBreakBefore w:val="0"/>
        <w:numPr>
          <w:ilvl w:val="5"/>
          <w:numId w:val="12"/>
        </w:numPr>
        <w:kinsoku/>
        <w:wordWrap/>
        <w:overflowPunct/>
        <w:topLinePunct w:val="0"/>
        <w:autoSpaceDE/>
        <w:autoSpaceDN/>
        <w:bidi w:val="0"/>
        <w:spacing w:line="360" w:lineRule="auto"/>
        <w:textAlignment w:val="auto"/>
      </w:pPr>
      <w:r>
        <w:rPr>
          <w:rFonts w:hint="eastAsia"/>
          <w:lang w:eastAsia="zh-CN"/>
        </w:rPr>
        <w:t>运维</w:t>
      </w:r>
      <w:r>
        <w:rPr>
          <w:rFonts w:hint="eastAsia"/>
        </w:rPr>
        <w:t>服务计划</w:t>
      </w:r>
    </w:p>
    <w:p w14:paraId="2D91CACA">
      <w:pPr>
        <w:pageBreakBefore w:val="0"/>
        <w:widowControl/>
        <w:kinsoku/>
        <w:wordWrap/>
        <w:overflowPunct/>
        <w:topLinePunct w:val="0"/>
        <w:autoSpaceDE/>
        <w:autoSpaceDN/>
        <w:bidi w:val="0"/>
        <w:spacing w:before="156" w:after="156" w:line="360" w:lineRule="auto"/>
        <w:ind w:left="420"/>
        <w:textAlignment w:val="auto"/>
        <w:rPr>
          <w:rFonts w:cs="仿宋"/>
        </w:rPr>
      </w:pPr>
      <w:r>
        <w:rPr>
          <w:rFonts w:hint="eastAsia" w:cs="仿宋"/>
        </w:rPr>
        <w:t>1）完备的现场技术支持</w:t>
      </w:r>
    </w:p>
    <w:p w14:paraId="611AE79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年度巡检服务的重要意义在于通过对系统和设备进行定期巡查诊断，并针对性的进行调整修复，提早预判设备与系统故障、或存在问题，避免偏离正常运行，造成停机或故障，影响设备系统正常使用，提前管理维护及备件储备计划。为保障设备系统的稳定运行提供每年四次的现场技术巡检支持服务。由维护服务专业工程师现场巡查客户设备与系统的运行状况，每季度进行一次巡访，每次持续三日，具体日程计划安排如下：</w:t>
      </w:r>
    </w:p>
    <w:p w14:paraId="7FFC228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硬件设备巡检服务：</w:t>
      </w:r>
    </w:p>
    <w:p w14:paraId="764E8689">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第一日：了解和检视。检查设备故障记录及系统的整体运行状况；检查现场的安全设施；全面检查预防性保养的执行情况；对于需要更换的备件指导协助客户进行更换，备件由客户提供。</w:t>
      </w:r>
    </w:p>
    <w:p w14:paraId="16796D6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第二日：设备关键部件运行精度微调与培训。侧重巡查中发现的问题，解决后对客户技术人员进行培训。</w:t>
      </w:r>
    </w:p>
    <w:p w14:paraId="57620C62">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第三日：报告和总结。向客户提交系统的详细报告，总结巡访发现的问题并提供改善建议；制定技术培训内容；在年度养护服务开始执行之前向客户提交实施计划方案。</w:t>
      </w:r>
    </w:p>
    <w:p w14:paraId="69135040">
      <w:pPr>
        <w:pageBreakBefore w:val="0"/>
        <w:widowControl/>
        <w:kinsoku/>
        <w:wordWrap/>
        <w:overflowPunct/>
        <w:topLinePunct w:val="0"/>
        <w:autoSpaceDE/>
        <w:autoSpaceDN/>
        <w:bidi w:val="0"/>
        <w:spacing w:before="156" w:after="156" w:line="360" w:lineRule="auto"/>
        <w:ind w:left="420"/>
        <w:textAlignment w:val="auto"/>
        <w:rPr>
          <w:rFonts w:cs="仿宋"/>
        </w:rPr>
      </w:pPr>
      <w:r>
        <w:rPr>
          <w:rFonts w:hint="eastAsia" w:cs="仿宋"/>
        </w:rPr>
        <w:t>2）设备预防性保养</w:t>
      </w:r>
    </w:p>
    <w:p w14:paraId="11EEE7CE">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按照保养规范，为系统硬件提供标准预防性保养服务。在现场维保完成后一周内，向贵司提交书面维护报告，其中应包含：所进行的服务内容、实施过程中所发现的问题、改善合同设备运行状况和预防故障的建议等，以便让贵司了解其自行检查保养重点事项或注意事项。</w:t>
      </w:r>
    </w:p>
    <w:p w14:paraId="2DF4D834">
      <w:pPr>
        <w:pStyle w:val="13"/>
        <w:pageBreakBefore w:val="0"/>
        <w:numPr>
          <w:ilvl w:val="5"/>
          <w:numId w:val="12"/>
        </w:numPr>
        <w:kinsoku/>
        <w:wordWrap/>
        <w:overflowPunct/>
        <w:topLinePunct w:val="0"/>
        <w:autoSpaceDE/>
        <w:autoSpaceDN/>
        <w:bidi w:val="0"/>
        <w:spacing w:line="360" w:lineRule="auto"/>
        <w:textAlignment w:val="auto"/>
      </w:pPr>
      <w:r>
        <w:rPr>
          <w:rFonts w:hint="eastAsia"/>
          <w:lang w:eastAsia="zh-CN"/>
        </w:rPr>
        <w:t>运维</w:t>
      </w:r>
      <w:r>
        <w:rPr>
          <w:rFonts w:hint="eastAsia"/>
        </w:rPr>
        <w:t>服务内容及范围</w:t>
      </w:r>
    </w:p>
    <w:p w14:paraId="7E9C6ECD">
      <w:pPr>
        <w:pageBreakBefore w:val="0"/>
        <w:numPr>
          <w:ilvl w:val="0"/>
          <w:numId w:val="65"/>
        </w:numPr>
        <w:kinsoku/>
        <w:wordWrap/>
        <w:overflowPunct/>
        <w:topLinePunct w:val="0"/>
        <w:autoSpaceDE/>
        <w:autoSpaceDN/>
        <w:bidi w:val="0"/>
        <w:adjustRightInd w:val="0"/>
        <w:spacing w:line="360" w:lineRule="auto"/>
        <w:textAlignment w:val="auto"/>
      </w:pPr>
      <w:r>
        <w:rPr>
          <w:rFonts w:hint="eastAsia"/>
        </w:rPr>
        <w:t>质保期内服务</w:t>
      </w:r>
    </w:p>
    <w:p w14:paraId="08DD9BA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（1）质保期内正常操作出现系统故障/瘫痪，确保在接到贵司通知24小时内到达贵司现场，我司予以排除，其间的差旅、人工、备件、材料等全部费用由我司承担。</w:t>
      </w:r>
    </w:p>
    <w:p w14:paraId="35BE25AB">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（2）质保期内因非正常操作原因出现系统故障/瘫痪，我司确保在接到贵司通知24小时内到达贵司现场，其间的差旅、人工费用由我司承担，更换零部件、材料费用由贵司承担。</w:t>
      </w:r>
    </w:p>
    <w:p w14:paraId="1D834613">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3）我方提供的应用软件应达到国内烟草行业先进水平，在质保期内为达到先进水平进行的修改、完善、提高的所需费用由乙方负责。质保期内因设备机组增加、部分流程调整改变，乙方应免费负责应用软件的升级维护修改。</w:t>
      </w:r>
    </w:p>
    <w:p w14:paraId="256CDA6D">
      <w:pPr>
        <w:pageBreakBefore w:val="0"/>
        <w:numPr>
          <w:ilvl w:val="0"/>
          <w:numId w:val="65"/>
        </w:numPr>
        <w:kinsoku/>
        <w:wordWrap/>
        <w:overflowPunct/>
        <w:topLinePunct w:val="0"/>
        <w:autoSpaceDE/>
        <w:autoSpaceDN/>
        <w:bidi w:val="0"/>
        <w:adjustRightInd w:val="0"/>
        <w:spacing w:line="360" w:lineRule="auto"/>
        <w:textAlignment w:val="auto"/>
      </w:pPr>
      <w:r>
        <w:rPr>
          <w:rFonts w:hint="eastAsia"/>
        </w:rPr>
        <w:t>质保期外服务</w:t>
      </w:r>
    </w:p>
    <w:p w14:paraId="59E81718">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质保期外出现系统故障/瘫痪，我司确保在接到贵司通知24小时内到达贵司现场尽快予以排除，其间的合理的人工费用和更换零部件费用由贵司承担。我司可另外提出质保期外人工费用标准备查。备品备件按投标书“正常使用两年内所需备品、备件分项价格表”的价格提供。</w:t>
      </w:r>
    </w:p>
    <w:p w14:paraId="30B64A70">
      <w:pPr>
        <w:pageBreakBefore w:val="0"/>
        <w:kinsoku/>
        <w:wordWrap/>
        <w:overflowPunct/>
        <w:topLinePunct w:val="0"/>
        <w:autoSpaceDE/>
        <w:autoSpaceDN/>
        <w:bidi w:val="0"/>
        <w:spacing w:line="360" w:lineRule="auto"/>
        <w:textAlignment w:val="auto"/>
      </w:pPr>
      <w:r>
        <w:rPr>
          <w:rFonts w:hint="eastAsia" w:cs="仿宋"/>
        </w:rPr>
        <w:t>（2）质保期满后，我司仍有责任和义务为贵司实行</w:t>
      </w:r>
      <w:r>
        <w:rPr>
          <w:rFonts w:hint="eastAsia" w:cs="仿宋"/>
          <w:lang w:eastAsia="zh-CN"/>
        </w:rPr>
        <w:t>有偿</w:t>
      </w:r>
      <w:r>
        <w:rPr>
          <w:rFonts w:hint="eastAsia" w:cs="仿宋"/>
        </w:rPr>
        <w:t>技术服务。设备（包括软件）实行终身服务，并定期对用户进行走访，对设备（包括软件）进行跟踪服务。</w:t>
      </w:r>
    </w:p>
    <w:p w14:paraId="490F43D6">
      <w:pPr>
        <w:pageBreakBefore w:val="0"/>
        <w:numPr>
          <w:ilvl w:val="0"/>
          <w:numId w:val="65"/>
        </w:numPr>
        <w:kinsoku/>
        <w:wordWrap/>
        <w:overflowPunct/>
        <w:topLinePunct w:val="0"/>
        <w:autoSpaceDE/>
        <w:autoSpaceDN/>
        <w:bidi w:val="0"/>
        <w:adjustRightInd w:val="0"/>
        <w:spacing w:line="360" w:lineRule="auto"/>
        <w:textAlignment w:val="auto"/>
      </w:pPr>
      <w:r>
        <w:rPr>
          <w:rFonts w:hint="eastAsia"/>
        </w:rPr>
        <w:t>备品备件及专业维修工具</w:t>
      </w:r>
    </w:p>
    <w:p w14:paraId="6657AA2D">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（1）我司设有备件仓库，常用的备品备件、易损件有储备，外购件也有储备。</w:t>
      </w:r>
    </w:p>
    <w:p w14:paraId="11A4112C">
      <w:pPr>
        <w:pageBreakBefore w:val="0"/>
        <w:kinsoku/>
        <w:wordWrap/>
        <w:overflowPunct/>
        <w:topLinePunct w:val="0"/>
        <w:autoSpaceDE/>
        <w:autoSpaceDN/>
        <w:bidi w:val="0"/>
        <w:spacing w:before="120" w:after="120" w:line="360" w:lineRule="auto"/>
        <w:ind w:firstLine="480"/>
        <w:textAlignment w:val="auto"/>
        <w:rPr>
          <w:rFonts w:cs="仿宋"/>
        </w:rPr>
      </w:pPr>
      <w:r>
        <w:rPr>
          <w:rFonts w:hint="eastAsia" w:cs="仿宋"/>
        </w:rPr>
        <w:t>（2）我司保证系统设备的一切零配件供应。若发生备件升级或停产情况，我司将在第一时间通知贵司该备件的升级或停产计划，以供贵司有充足时间采购备件；同时，我司将提供升级或停产备件的替代品清单，保证一切零部件的正常供应及系统的正常运行。</w:t>
      </w:r>
    </w:p>
    <w:p w14:paraId="70B11142">
      <w:pPr>
        <w:pageBreakBefore w:val="0"/>
        <w:numPr>
          <w:ilvl w:val="0"/>
          <w:numId w:val="66"/>
        </w:numPr>
        <w:kinsoku/>
        <w:wordWrap/>
        <w:overflowPunct/>
        <w:topLinePunct w:val="0"/>
        <w:autoSpaceDE/>
        <w:autoSpaceDN/>
        <w:bidi w:val="0"/>
        <w:adjustRightInd w:val="0"/>
        <w:spacing w:line="360" w:lineRule="auto"/>
        <w:textAlignment w:val="auto"/>
      </w:pPr>
      <w:r>
        <w:rPr>
          <w:rFonts w:hint="eastAsia"/>
        </w:rPr>
        <w:t>服务保障相应程序</w:t>
      </w:r>
    </w:p>
    <w:p w14:paraId="107ADBCF">
      <w:pPr>
        <w:pageBreakBefore w:val="0"/>
        <w:kinsoku/>
        <w:wordWrap/>
        <w:overflowPunct/>
        <w:topLinePunct w:val="0"/>
        <w:autoSpaceDE/>
        <w:autoSpaceDN/>
        <w:bidi w:val="0"/>
        <w:spacing w:line="360" w:lineRule="auto"/>
        <w:jc w:val="center"/>
        <w:textAlignment w:val="auto"/>
      </w:pPr>
      <w:r>
        <w:rPr>
          <w:rFonts w:cs="仿宋"/>
        </w:rPr>
        <w:drawing>
          <wp:inline distT="0" distB="0" distL="114300" distR="114300">
            <wp:extent cx="5291455" cy="7577455"/>
            <wp:effectExtent l="0" t="0" r="0" b="0"/>
            <wp:docPr id="13" name="图片 1919" descr="系统故障处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19" descr="系统故障处理"/>
                    <pic:cNvPicPr>
                      <a:picLocks noChangeAspect="1"/>
                    </pic:cNvPicPr>
                  </pic:nvPicPr>
                  <pic:blipFill>
                    <a:blip r:embed="rId188"/>
                    <a:stretch>
                      <a:fillRect/>
                    </a:stretch>
                  </pic:blipFill>
                  <pic:spPr>
                    <a:xfrm>
                      <a:off x="0" y="0"/>
                      <a:ext cx="5291455" cy="7577455"/>
                    </a:xfrm>
                    <a:prstGeom prst="rect">
                      <a:avLst/>
                    </a:prstGeom>
                    <a:noFill/>
                    <a:ln>
                      <a:noFill/>
                    </a:ln>
                  </pic:spPr>
                </pic:pic>
              </a:graphicData>
            </a:graphic>
          </wp:inline>
        </w:drawing>
      </w:r>
    </w:p>
    <w:p w14:paraId="605830A5">
      <w:pPr>
        <w:pageBreakBefore w:val="0"/>
        <w:numPr>
          <w:ilvl w:val="0"/>
          <w:numId w:val="66"/>
        </w:numPr>
        <w:kinsoku/>
        <w:wordWrap/>
        <w:overflowPunct/>
        <w:topLinePunct w:val="0"/>
        <w:autoSpaceDE/>
        <w:autoSpaceDN/>
        <w:bidi w:val="0"/>
        <w:adjustRightInd w:val="0"/>
        <w:spacing w:line="360" w:lineRule="auto"/>
        <w:textAlignment w:val="auto"/>
      </w:pPr>
      <w:r>
        <w:rPr>
          <w:rFonts w:hint="eastAsia"/>
        </w:rPr>
        <w:t>服务抢修、正常维护流程</w:t>
      </w:r>
    </w:p>
    <w:p w14:paraId="7F3421B1">
      <w:pPr>
        <w:pageBreakBefore w:val="0"/>
        <w:kinsoku/>
        <w:wordWrap/>
        <w:overflowPunct/>
        <w:topLinePunct w:val="0"/>
        <w:autoSpaceDE/>
        <w:autoSpaceDN/>
        <w:bidi w:val="0"/>
        <w:spacing w:line="360" w:lineRule="auto"/>
        <w:textAlignment w:val="auto"/>
        <w:rPr>
          <w:szCs w:val="22"/>
        </w:rPr>
      </w:pPr>
      <w:r>
        <w:rPr>
          <w:rFonts w:cs="仿宋"/>
        </w:rPr>
        <w:drawing>
          <wp:inline distT="0" distB="0" distL="114300" distR="114300">
            <wp:extent cx="5291455" cy="7708900"/>
            <wp:effectExtent l="0" t="0" r="0" b="0"/>
            <wp:docPr id="14" name="图片 1920" descr="质保期内备件质量问题更换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20" descr="质保期内备件质量问题更换流程"/>
                    <pic:cNvPicPr>
                      <a:picLocks noChangeAspect="1"/>
                    </pic:cNvPicPr>
                  </pic:nvPicPr>
                  <pic:blipFill>
                    <a:blip r:embed="rId189"/>
                    <a:srcRect l="3418" t="2580" r="4141" b="3265"/>
                    <a:stretch>
                      <a:fillRect/>
                    </a:stretch>
                  </pic:blipFill>
                  <pic:spPr>
                    <a:xfrm>
                      <a:off x="0" y="0"/>
                      <a:ext cx="5291455" cy="7708900"/>
                    </a:xfrm>
                    <a:prstGeom prst="rect">
                      <a:avLst/>
                    </a:prstGeom>
                    <a:noFill/>
                    <a:ln>
                      <a:noFill/>
                    </a:ln>
                  </pic:spPr>
                </pic:pic>
              </a:graphicData>
            </a:graphic>
          </wp:inline>
        </w:drawing>
      </w:r>
    </w:p>
    <w:p w14:paraId="488C8A2E">
      <w:pPr>
        <w:pStyle w:val="9"/>
        <w:pageBreakBefore w:val="0"/>
        <w:numPr>
          <w:ilvl w:val="2"/>
          <w:numId w:val="12"/>
        </w:numPr>
        <w:tabs>
          <w:tab w:val="left" w:pos="0"/>
        </w:tabs>
        <w:kinsoku/>
        <w:wordWrap/>
        <w:overflowPunct/>
        <w:topLinePunct w:val="0"/>
        <w:autoSpaceDE/>
        <w:autoSpaceDN/>
        <w:bidi w:val="0"/>
        <w:spacing w:line="360" w:lineRule="auto"/>
        <w:textAlignment w:val="auto"/>
      </w:pPr>
      <w:bookmarkStart w:id="767" w:name="_Toc1788154362"/>
      <w:bookmarkStart w:id="768" w:name="_Toc1887638243"/>
      <w:bookmarkStart w:id="769" w:name="_Toc897779861"/>
      <w:r>
        <w:rPr>
          <w:rFonts w:hint="eastAsia"/>
          <w:lang w:eastAsia="zh-CN"/>
        </w:rPr>
        <w:t>团队</w:t>
      </w:r>
      <w:r>
        <w:rPr>
          <w:rFonts w:hint="eastAsia"/>
        </w:rPr>
        <w:t>资源配置方案</w:t>
      </w:r>
      <w:bookmarkEnd w:id="767"/>
      <w:bookmarkEnd w:id="768"/>
      <w:bookmarkEnd w:id="769"/>
    </w:p>
    <w:p w14:paraId="5B5BB379">
      <w:pPr>
        <w:pStyle w:val="10"/>
        <w:pageBreakBefore w:val="0"/>
        <w:numPr>
          <w:ilvl w:val="3"/>
          <w:numId w:val="12"/>
        </w:numPr>
        <w:kinsoku/>
        <w:wordWrap/>
        <w:overflowPunct/>
        <w:topLinePunct w:val="0"/>
        <w:autoSpaceDE/>
        <w:autoSpaceDN/>
        <w:bidi w:val="0"/>
        <w:spacing w:line="360" w:lineRule="auto"/>
        <w:textAlignment w:val="auto"/>
      </w:pPr>
      <w:bookmarkStart w:id="770" w:name="_Toc376078418"/>
      <w:bookmarkStart w:id="771" w:name="_Toc639249862"/>
      <w:r>
        <w:rPr>
          <w:rFonts w:hint="eastAsia"/>
        </w:rPr>
        <w:t>组织架构方案</w:t>
      </w:r>
      <w:bookmarkEnd w:id="770"/>
      <w:bookmarkEnd w:id="771"/>
    </w:p>
    <w:p w14:paraId="68FF6994">
      <w:pPr>
        <w:pageBreakBefore w:val="0"/>
        <w:kinsoku/>
        <w:wordWrap/>
        <w:overflowPunct/>
        <w:topLinePunct w:val="0"/>
        <w:autoSpaceDE/>
        <w:autoSpaceDN/>
        <w:bidi w:val="0"/>
        <w:spacing w:line="360" w:lineRule="auto"/>
        <w:ind w:firstLine="420"/>
        <w:textAlignment w:val="auto"/>
      </w:pPr>
      <w:r>
        <w:rPr>
          <w:rFonts w:hint="eastAsia"/>
        </w:rPr>
        <w:t>我司将会成立专门的项目管理组，负责开发、测试、推广、实施。</w:t>
      </w:r>
    </w:p>
    <w:p w14:paraId="2553F1FB">
      <w:pPr>
        <w:pageBreakBefore w:val="0"/>
        <w:kinsoku/>
        <w:wordWrap/>
        <w:overflowPunct/>
        <w:topLinePunct w:val="0"/>
        <w:autoSpaceDE/>
        <w:autoSpaceDN/>
        <w:bidi w:val="0"/>
        <w:spacing w:line="360" w:lineRule="auto"/>
        <w:ind w:firstLine="420"/>
        <w:textAlignment w:val="auto"/>
      </w:pPr>
      <w:r>
        <w:rPr>
          <w:rFonts w:hint="eastAsia"/>
        </w:rPr>
        <w:t>按照不同工作分工下设六个</w:t>
      </w:r>
      <w:r>
        <w:rPr>
          <w:rFonts w:hint="eastAsia"/>
          <w:lang w:eastAsia="zh-CN"/>
        </w:rPr>
        <w:t>小组</w:t>
      </w:r>
      <w:r>
        <w:rPr>
          <w:rFonts w:hint="eastAsia"/>
        </w:rPr>
        <w:t>，分别为工程管理组、集成组、电控组、软件组、采购组、品控组。组织架构图如下图所示。</w:t>
      </w:r>
    </w:p>
    <w:p w14:paraId="6CC0F05F">
      <w:pPr>
        <w:pStyle w:val="12"/>
        <w:pageBreakBefore w:val="0"/>
        <w:numPr>
          <w:ilvl w:val="4"/>
          <w:numId w:val="12"/>
        </w:numPr>
        <w:kinsoku/>
        <w:wordWrap/>
        <w:overflowPunct/>
        <w:topLinePunct w:val="0"/>
        <w:autoSpaceDE/>
        <w:autoSpaceDN/>
        <w:bidi w:val="0"/>
        <w:spacing w:line="360" w:lineRule="auto"/>
        <w:textAlignment w:val="auto"/>
      </w:pPr>
      <w:bookmarkStart w:id="772" w:name="_Toc1995661570"/>
      <w:r>
        <w:rPr>
          <w:rFonts w:hint="eastAsia"/>
          <w:lang w:eastAsia="zh-CN"/>
        </w:rPr>
        <w:t>工作部门架构</w:t>
      </w:r>
      <w:bookmarkEnd w:id="772"/>
    </w:p>
    <w:p w14:paraId="2E6EBF9B">
      <w:pPr>
        <w:pageBreakBefore w:val="0"/>
        <w:kinsoku/>
        <w:wordWrap/>
        <w:overflowPunct/>
        <w:topLinePunct w:val="0"/>
        <w:autoSpaceDE/>
        <w:autoSpaceDN/>
        <w:bidi w:val="0"/>
        <w:spacing w:line="360" w:lineRule="auto"/>
        <w:ind w:firstLine="420"/>
        <w:textAlignment w:val="auto"/>
      </w:pPr>
      <w:r>
        <w:rPr>
          <w:rFonts w:hint="eastAsia"/>
        </w:rPr>
        <w:t>按照不同工作分工下设工程管理组、集成组、电控组、软件组、采购组、品控组。组织架构图如下图所示。</w:t>
      </w:r>
    </w:p>
    <w:p w14:paraId="7ED8A165">
      <w:pPr>
        <w:pageBreakBefore w:val="0"/>
        <w:kinsoku/>
        <w:wordWrap/>
        <w:overflowPunct/>
        <w:topLinePunct w:val="0"/>
        <w:autoSpaceDE/>
        <w:autoSpaceDN/>
        <w:bidi w:val="0"/>
        <w:spacing w:before="120" w:after="120" w:line="360" w:lineRule="auto"/>
        <w:jc w:val="center"/>
        <w:textAlignment w:val="auto"/>
      </w:pPr>
      <w:r>
        <w:drawing>
          <wp:inline distT="0" distB="0" distL="114300" distR="114300">
            <wp:extent cx="5744210" cy="3005455"/>
            <wp:effectExtent l="0" t="0" r="0" b="0"/>
            <wp:docPr id="15" name="图片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21"/>
                    <pic:cNvPicPr>
                      <a:picLocks noChangeAspect="1"/>
                    </pic:cNvPicPr>
                  </pic:nvPicPr>
                  <pic:blipFill>
                    <a:blip r:embed="rId169"/>
                    <a:stretch>
                      <a:fillRect/>
                    </a:stretch>
                  </pic:blipFill>
                  <pic:spPr>
                    <a:xfrm>
                      <a:off x="0" y="0"/>
                      <a:ext cx="5744210" cy="3005455"/>
                    </a:xfrm>
                    <a:prstGeom prst="rect">
                      <a:avLst/>
                    </a:prstGeom>
                    <a:noFill/>
                    <a:ln>
                      <a:noFill/>
                    </a:ln>
                  </pic:spPr>
                </pic:pic>
              </a:graphicData>
            </a:graphic>
          </wp:inline>
        </w:drawing>
      </w:r>
    </w:p>
    <w:p w14:paraId="67603FBD">
      <w:pPr>
        <w:pageBreakBefore w:val="0"/>
        <w:kinsoku/>
        <w:wordWrap/>
        <w:overflowPunct/>
        <w:topLinePunct w:val="0"/>
        <w:autoSpaceDE/>
        <w:autoSpaceDN/>
        <w:bidi w:val="0"/>
        <w:spacing w:before="120" w:after="120" w:line="360" w:lineRule="auto"/>
        <w:ind w:firstLine="480" w:firstLineChars="200"/>
        <w:textAlignment w:val="auto"/>
        <w:rPr>
          <w:color w:val="191F25"/>
          <w:shd w:val="clear" w:color="auto" w:fill="FFFFFF"/>
        </w:rPr>
      </w:pPr>
      <w:r>
        <w:rPr>
          <w:rFonts w:hint="eastAsia"/>
        </w:rPr>
        <w:t>我司将针对本项目组建一个由具有丰富同类项目管理经验的项目负责人领导的项目组，并保证项目团队稳定性，项目组下设若干个专业项目小组，在项目负责人领导下完成各种专业职能。</w:t>
      </w:r>
      <w:r>
        <w:rPr>
          <w:rFonts w:hint="eastAsia"/>
          <w:color w:val="191F25"/>
          <w:shd w:val="clear" w:color="auto" w:fill="FFFFFF"/>
        </w:rPr>
        <w:t>以项目的质量和安全为主要目标，保障项目安全、顺畅、高效、准确的实施</w:t>
      </w:r>
      <w:r>
        <w:rPr>
          <w:rFonts w:hint="eastAsia"/>
        </w:rPr>
        <w:t>。</w:t>
      </w:r>
    </w:p>
    <w:p w14:paraId="33DE6E69">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项目管理组</w:t>
      </w:r>
    </w:p>
    <w:p w14:paraId="3A40CBE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批准“项目管理组织机构”的组建；</w:t>
      </w:r>
    </w:p>
    <w:p w14:paraId="2CA1898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决策项目全生命周期中的重大事项；</w:t>
      </w:r>
    </w:p>
    <w:p w14:paraId="471D60E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任命项目经理，并授权项目经理管理日常事务。</w:t>
      </w:r>
    </w:p>
    <w:p w14:paraId="0ECFBC44">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项目经理</w:t>
      </w:r>
    </w:p>
    <w:p w14:paraId="404CA073">
      <w:pPr>
        <w:pageBreakBefore w:val="0"/>
        <w:kinsoku/>
        <w:wordWrap/>
        <w:overflowPunct/>
        <w:topLinePunct w:val="0"/>
        <w:autoSpaceDE/>
        <w:autoSpaceDN/>
        <w:bidi w:val="0"/>
        <w:spacing w:before="120" w:after="120" w:line="360" w:lineRule="auto"/>
        <w:ind w:firstLine="484" w:firstLineChars="202"/>
        <w:textAlignment w:val="auto"/>
      </w:pPr>
      <w:r>
        <w:rPr>
          <w:rFonts w:hint="eastAsia"/>
        </w:rPr>
        <w:t>系我方在本项目执行中的唯一对外联络授权人，职责是：</w:t>
      </w:r>
    </w:p>
    <w:p w14:paraId="2C86B75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代表我方负责合同的全面执行；</w:t>
      </w:r>
    </w:p>
    <w:p w14:paraId="46E698E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贵我双方的沟通和协调；</w:t>
      </w:r>
    </w:p>
    <w:p w14:paraId="3A4180F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指导我方其他参与项目实施的各专业工程师/人员的工作；</w:t>
      </w:r>
    </w:p>
    <w:p w14:paraId="4D9DB7D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有权对涉及合同的商务、进度、技术、质量等事宜代表我方作出解释并提出处理意见，其解释和处理意见具有法律效力。</w:t>
      </w:r>
    </w:p>
    <w:p w14:paraId="0CF3BF9F">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工程管理组</w:t>
      </w:r>
    </w:p>
    <w:p w14:paraId="00104747">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编制进度计划并对计划的执行加以监督控制；</w:t>
      </w:r>
    </w:p>
    <w:p w14:paraId="46DE8583">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负责与贵方的“交安确认”；</w:t>
      </w:r>
    </w:p>
    <w:p w14:paraId="29B1050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工程节点控制，召集现场例会，周而复始地使“布置、执行、检查、整改、达成”五个阶段均处在良好的受控状态下；</w:t>
      </w:r>
    </w:p>
    <w:p w14:paraId="5DF68B8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供应商管理：保证合同货物技术标准、质量、按时交付，组织安调队伍，辅材工具齐备，规范按期保质施工；</w:t>
      </w:r>
    </w:p>
    <w:p w14:paraId="66E04FE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依据合同技术协议，动态反馈并监督工程质量；</w:t>
      </w:r>
    </w:p>
    <w:p w14:paraId="3C5F4695">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合理安排相关方作业方式和时间段，及时协调解决交叉作业矛盾，提升（高）施工效率；</w:t>
      </w:r>
    </w:p>
    <w:p w14:paraId="13BBEF6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对关键设备（如:堆垛机）进行专项重点管理；</w:t>
      </w:r>
    </w:p>
    <w:p w14:paraId="6564B45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设备运行初期，现场跟进，全程爬坡支持；</w:t>
      </w:r>
    </w:p>
    <w:p w14:paraId="4A31A46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组织各专业工程师对客户进行系统管理、使用、维护培训；</w:t>
      </w:r>
    </w:p>
    <w:p w14:paraId="3698755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资料整理、交付贵方；</w:t>
      </w:r>
    </w:p>
    <w:p w14:paraId="254FBCB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完成设备基本验收，与贵方联合对系统进行能力验收；</w:t>
      </w:r>
    </w:p>
    <w:p w14:paraId="136269F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与贵方签署竣工验收报告书。同时，移交乙方售后服务部。</w:t>
      </w:r>
    </w:p>
    <w:p w14:paraId="5FF04A5F">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集成组</w:t>
      </w:r>
    </w:p>
    <w:p w14:paraId="196E6B48">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根据技术规格书，进行集成和细化设计；</w:t>
      </w:r>
    </w:p>
    <w:p w14:paraId="325E040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提供设计任务书和最终施工方案图；</w:t>
      </w:r>
    </w:p>
    <w:p w14:paraId="68A6F6F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提出设备制造技术条款及关键设备专用条款，作为设备制造的技术依据；</w:t>
      </w:r>
    </w:p>
    <w:p w14:paraId="46CC575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提交合同设备细化清单，并对采购提供技术支持；</w:t>
      </w:r>
    </w:p>
    <w:p w14:paraId="4EC32A2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审查、会签供应商最终技术资料和制造图纸；</w:t>
      </w:r>
    </w:p>
    <w:p w14:paraId="6CB61FB4">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提出主要单机设备机械设计参数及标准；</w:t>
      </w:r>
    </w:p>
    <w:p w14:paraId="28577C7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编写操作流程手册；</w:t>
      </w:r>
    </w:p>
    <w:p w14:paraId="3DE295B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项目全生命周期内技术监控，保证标准和规范的严格执行，及时处理施工中出现的技术问题和技术争议；</w:t>
      </w:r>
    </w:p>
    <w:p w14:paraId="244A157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审核项目技术资料，对用户培训提供支持；</w:t>
      </w:r>
    </w:p>
    <w:p w14:paraId="54AFCE4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核准全套竣工资料。</w:t>
      </w:r>
    </w:p>
    <w:p w14:paraId="64225667">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电控组</w:t>
      </w:r>
    </w:p>
    <w:p w14:paraId="486523F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根据集成组提供的设计任务书和整体规划图进行电控设计，包括布点图设计、电控柜设计；</w:t>
      </w:r>
    </w:p>
    <w:p w14:paraId="6223657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根据技术规格书中规定的国际/内相关机电技术标准,对电器元器件选型；</w:t>
      </w:r>
    </w:p>
    <w:p w14:paraId="6637222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负责审查图纸；</w:t>
      </w:r>
    </w:p>
    <w:p w14:paraId="43450D5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列出合同电控细化清单，经电控组和集成组审核通过后，提交采购；</w:t>
      </w:r>
    </w:p>
    <w:p w14:paraId="260C9DA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负责电控程序编写；</w:t>
      </w:r>
    </w:p>
    <w:p w14:paraId="0B6DD89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现场安装指导，电控调试，并参与试运行；</w:t>
      </w:r>
    </w:p>
    <w:p w14:paraId="4D9D9EC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对用户进行相关电控培训；</w:t>
      </w:r>
    </w:p>
    <w:p w14:paraId="6DACAE56">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编制全套电控竣工资料。</w:t>
      </w:r>
    </w:p>
    <w:p w14:paraId="326F17E8">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软件组</w:t>
      </w:r>
    </w:p>
    <w:p w14:paraId="148388D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软件需求调研，制作“软件需求规格书”；</w:t>
      </w:r>
    </w:p>
    <w:p w14:paraId="55EC3183">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按“软件需求规格书”，展开软件功能架构设计、详细设计、代码编写及测试；</w:t>
      </w:r>
    </w:p>
    <w:p w14:paraId="181C1B4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负责与软硬件相关系统及设备的整体集成；</w:t>
      </w:r>
    </w:p>
    <w:p w14:paraId="76AB793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负责客户上位系统接口开发；</w:t>
      </w:r>
    </w:p>
    <w:p w14:paraId="2E75663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严格依据国际/内及公司内部相关软件技术标准/规范进行开发、模拟运行和出厂测试；</w:t>
      </w:r>
    </w:p>
    <w:p w14:paraId="2F04C252">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现场安装、调试，并参与试运行；</w:t>
      </w:r>
    </w:p>
    <w:p w14:paraId="61CB395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对用户就相关软硬件进行培训；</w:t>
      </w:r>
    </w:p>
    <w:p w14:paraId="051C74B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编制全套软件竣工资料。</w:t>
      </w:r>
    </w:p>
    <w:p w14:paraId="1DF7083B">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采购组</w:t>
      </w:r>
    </w:p>
    <w:p w14:paraId="4A1C972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制定采购计划；</w:t>
      </w:r>
    </w:p>
    <w:p w14:paraId="2BD0A9AC">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根据合同审核设备清单并采购；</w:t>
      </w:r>
    </w:p>
    <w:p w14:paraId="502A3C8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根据合同审核电控清单并采购；</w:t>
      </w:r>
    </w:p>
    <w:p w14:paraId="16B1428B">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根据合同审核软硬件清单并采购；</w:t>
      </w:r>
    </w:p>
    <w:p w14:paraId="1B8A6847">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制定收付款计划；</w:t>
      </w:r>
    </w:p>
    <w:p w14:paraId="0AE14930">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运输计划及保险；</w:t>
      </w:r>
    </w:p>
    <w:p w14:paraId="538E75C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进口设备清关。</w:t>
      </w:r>
    </w:p>
    <w:p w14:paraId="2C88C8FE">
      <w:pPr>
        <w:pStyle w:val="13"/>
        <w:pageBreakBefore w:val="0"/>
        <w:numPr>
          <w:ilvl w:val="5"/>
          <w:numId w:val="12"/>
        </w:numPr>
        <w:kinsoku/>
        <w:wordWrap/>
        <w:overflowPunct/>
        <w:topLinePunct w:val="0"/>
        <w:autoSpaceDE/>
        <w:autoSpaceDN/>
        <w:bidi w:val="0"/>
        <w:spacing w:line="360" w:lineRule="auto"/>
        <w:textAlignment w:val="auto"/>
        <w:rPr>
          <w:lang w:eastAsia="zh-CN"/>
        </w:rPr>
      </w:pPr>
      <w:r>
        <w:rPr>
          <w:rFonts w:hint="eastAsia"/>
          <w:lang w:eastAsia="zh-CN"/>
        </w:rPr>
        <w:t>品控组</w:t>
      </w:r>
    </w:p>
    <w:p w14:paraId="00C09FAD">
      <w:pPr>
        <w:pageBreakBefore w:val="0"/>
        <w:kinsoku/>
        <w:wordWrap/>
        <w:overflowPunct/>
        <w:topLinePunct w:val="0"/>
        <w:autoSpaceDE/>
        <w:autoSpaceDN/>
        <w:bidi w:val="0"/>
        <w:spacing w:before="120" w:after="120" w:line="360" w:lineRule="auto"/>
        <w:ind w:firstLine="484" w:firstLineChars="202"/>
        <w:textAlignment w:val="auto"/>
      </w:pPr>
      <w:r>
        <w:rPr>
          <w:rFonts w:hint="eastAsia"/>
        </w:rPr>
        <w:t>我公司已经通过ISO9001：2008质量体系认证，并取得英国UKAS证书。对于每个项目我方均按ISO 9001标准的要求建立健全了质量保证体系，并通过质量控制组具体实施。质量控制组的职责是：</w:t>
      </w:r>
    </w:p>
    <w:p w14:paraId="620C150E">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保证项目按规定的标准要求执行；</w:t>
      </w:r>
    </w:p>
    <w:p w14:paraId="7EA953EA">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制定项目项下软件、电控、设备的品控计划；</w:t>
      </w:r>
    </w:p>
    <w:p w14:paraId="60D23141">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按照合同、技术规格书中各技术标准的规定，控制产品质量和工程质量关；</w:t>
      </w:r>
    </w:p>
    <w:p w14:paraId="7B1F8C3D">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对设备进行监造；</w:t>
      </w:r>
    </w:p>
    <w:p w14:paraId="2A2967EF">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设备出厂检验；</w:t>
      </w:r>
    </w:p>
    <w:p w14:paraId="0FF2FED9">
      <w:pPr>
        <w:pageBreakBefore w:val="0"/>
        <w:widowControl/>
        <w:numPr>
          <w:ilvl w:val="0"/>
          <w:numId w:val="22"/>
        </w:numPr>
        <w:kinsoku/>
        <w:wordWrap/>
        <w:overflowPunct/>
        <w:topLinePunct w:val="0"/>
        <w:autoSpaceDE/>
        <w:autoSpaceDN/>
        <w:bidi w:val="0"/>
        <w:spacing w:before="156" w:after="156" w:line="360" w:lineRule="auto"/>
        <w:jc w:val="both"/>
        <w:textAlignment w:val="auto"/>
      </w:pPr>
      <w:r>
        <w:rPr>
          <w:rFonts w:hint="eastAsia"/>
        </w:rPr>
        <w:t>在项目的全过程中实行自检、互检、交接检等的质检工作制度。</w:t>
      </w:r>
    </w:p>
    <w:p w14:paraId="35314AEE">
      <w:pPr>
        <w:pStyle w:val="10"/>
        <w:pageBreakBefore w:val="0"/>
        <w:numPr>
          <w:ilvl w:val="3"/>
          <w:numId w:val="12"/>
        </w:numPr>
        <w:kinsoku/>
        <w:wordWrap/>
        <w:overflowPunct/>
        <w:topLinePunct w:val="0"/>
        <w:autoSpaceDE/>
        <w:autoSpaceDN/>
        <w:bidi w:val="0"/>
        <w:spacing w:line="360" w:lineRule="auto"/>
        <w:textAlignment w:val="auto"/>
      </w:pPr>
      <w:bookmarkStart w:id="773" w:name="_Toc801163374"/>
      <w:bookmarkStart w:id="774" w:name="_Toc975979267"/>
      <w:r>
        <w:rPr>
          <w:rFonts w:hint="eastAsia"/>
        </w:rPr>
        <w:t>人力资源保障策略</w:t>
      </w:r>
      <w:bookmarkEnd w:id="773"/>
      <w:bookmarkEnd w:id="774"/>
    </w:p>
    <w:p w14:paraId="5153BC31">
      <w:pPr>
        <w:pageBreakBefore w:val="0"/>
        <w:kinsoku/>
        <w:wordWrap/>
        <w:overflowPunct/>
        <w:topLinePunct w:val="0"/>
        <w:autoSpaceDE/>
        <w:autoSpaceDN/>
        <w:bidi w:val="0"/>
        <w:spacing w:before="120" w:after="120" w:line="360" w:lineRule="auto"/>
        <w:ind w:firstLine="424" w:firstLineChars="177"/>
        <w:textAlignment w:val="auto"/>
      </w:pPr>
      <w:r>
        <w:rPr>
          <w:rFonts w:hint="eastAsia"/>
        </w:rPr>
        <w:t>1、在我公司范围内，选派具有同类项目建设经验丰富的实施队伍。他们专业过硬，善于打硬仗打苦仗，能够顾全大局，把业主的利益永远放在第一位。</w:t>
      </w:r>
    </w:p>
    <w:p w14:paraId="019C4205">
      <w:pPr>
        <w:pageBreakBefore w:val="0"/>
        <w:kinsoku/>
        <w:wordWrap/>
        <w:overflowPunct/>
        <w:topLinePunct w:val="0"/>
        <w:autoSpaceDE/>
        <w:autoSpaceDN/>
        <w:bidi w:val="0"/>
        <w:spacing w:before="120" w:after="120" w:line="360" w:lineRule="auto"/>
        <w:ind w:firstLine="424" w:firstLineChars="177"/>
        <w:textAlignment w:val="auto"/>
      </w:pPr>
      <w:r>
        <w:rPr>
          <w:rFonts w:hint="eastAsia"/>
        </w:rPr>
        <w:t>2、根据施工方案实施要求及施工进度计划和劳动力配置计划的要求，提前落实组织劳动力进场的准备工作，并建立相应的组织领导体系和管理保证制度。</w:t>
      </w:r>
    </w:p>
    <w:p w14:paraId="53B8ECD1">
      <w:pPr>
        <w:pageBreakBefore w:val="0"/>
        <w:kinsoku/>
        <w:wordWrap/>
        <w:overflowPunct/>
        <w:topLinePunct w:val="0"/>
        <w:autoSpaceDE/>
        <w:autoSpaceDN/>
        <w:bidi w:val="0"/>
        <w:spacing w:before="120" w:after="120" w:line="360" w:lineRule="auto"/>
        <w:ind w:firstLine="424" w:firstLineChars="177"/>
        <w:textAlignment w:val="auto"/>
      </w:pPr>
      <w:r>
        <w:rPr>
          <w:rFonts w:hint="eastAsia"/>
        </w:rPr>
        <w:t>3、在做好上述计划落实工作后，应另外做好施工劳动力安排预备计划，以备在必要时能够随时召集调用，作为确保合同工期的一项必要措施。</w:t>
      </w:r>
    </w:p>
    <w:p w14:paraId="3833AEE0">
      <w:pPr>
        <w:pageBreakBefore w:val="0"/>
        <w:kinsoku/>
        <w:wordWrap/>
        <w:overflowPunct/>
        <w:topLinePunct w:val="0"/>
        <w:autoSpaceDE/>
        <w:autoSpaceDN/>
        <w:bidi w:val="0"/>
        <w:spacing w:before="120" w:after="120" w:line="360" w:lineRule="auto"/>
        <w:ind w:firstLine="424" w:firstLineChars="177"/>
        <w:textAlignment w:val="auto"/>
      </w:pPr>
      <w:r>
        <w:rPr>
          <w:rFonts w:hint="eastAsia"/>
        </w:rPr>
        <w:t>4、根据班组所承担的施工项目要求及其劳动力技术、质量、施工管理协作能力等，以公司内部施工管理目标为依据，与其签订本工程具体的施工协议、施工安全协议书及其它有关承诺和保证文件，明确其工作项目和范围、工作目标施工要求、奖罚措施等事项，以满足本工程项目整体的要求。</w:t>
      </w:r>
    </w:p>
    <w:p w14:paraId="124A828B">
      <w:pPr>
        <w:pageBreakBefore w:val="0"/>
        <w:kinsoku/>
        <w:wordWrap/>
        <w:overflowPunct/>
        <w:topLinePunct w:val="0"/>
        <w:autoSpaceDE/>
        <w:autoSpaceDN/>
        <w:bidi w:val="0"/>
        <w:spacing w:before="120" w:after="120" w:line="360" w:lineRule="auto"/>
        <w:ind w:firstLine="424" w:firstLineChars="177"/>
        <w:textAlignment w:val="auto"/>
      </w:pPr>
      <w:r>
        <w:rPr>
          <w:rFonts w:hint="eastAsia"/>
        </w:rPr>
        <w:t>5、充分发挥我公司在施工组织管理方面的优势，将有关施工队、班组由项目经理部级其管理人员按工序、分区域、交叉施工做出详细安排，并将其它专业劳务分包单位一-并纳入项目经理部的管理体系，确保工期、质量目标实现。</w:t>
      </w:r>
    </w:p>
    <w:p w14:paraId="157A6F9B">
      <w:pPr>
        <w:pageBreakBefore w:val="0"/>
        <w:kinsoku/>
        <w:wordWrap/>
        <w:overflowPunct/>
        <w:topLinePunct w:val="0"/>
        <w:autoSpaceDE/>
        <w:autoSpaceDN/>
        <w:bidi w:val="0"/>
        <w:spacing w:before="120" w:after="120" w:line="360" w:lineRule="auto"/>
        <w:ind w:firstLine="424" w:firstLineChars="177"/>
        <w:textAlignment w:val="auto"/>
      </w:pPr>
      <w:r>
        <w:rPr>
          <w:rFonts w:hint="eastAsia"/>
        </w:rPr>
        <w:t>6、对施工人员所需的生活后勤条件做出充分的考虑安排，包括通信、饮食、清洁卫生、季节变化适应等方面，以保证他们无后顾之忧，全力投入施工工作，确保施工进度和管理的需要。</w:t>
      </w:r>
    </w:p>
    <w:p w14:paraId="25A95B4D">
      <w:pPr>
        <w:pageBreakBefore w:val="0"/>
        <w:kinsoku/>
        <w:wordWrap/>
        <w:overflowPunct/>
        <w:topLinePunct w:val="0"/>
        <w:autoSpaceDE/>
        <w:autoSpaceDN/>
        <w:bidi w:val="0"/>
        <w:spacing w:before="120" w:after="120" w:line="360" w:lineRule="auto"/>
        <w:ind w:firstLine="424" w:firstLineChars="177"/>
        <w:textAlignment w:val="auto"/>
      </w:pPr>
      <w:r>
        <w:rPr>
          <w:rFonts w:hint="eastAsia"/>
        </w:rPr>
        <w:t>7、在本工程施工期间，根据工程进度需要，本工程项目经理部及所属施工人员取消节假日、休息日，在必要时采取双班制施工方法，以确保施工工期。</w:t>
      </w:r>
    </w:p>
    <w:p w14:paraId="0B4C1200">
      <w:pPr>
        <w:pageBreakBefore w:val="0"/>
        <w:kinsoku/>
        <w:wordWrap/>
        <w:overflowPunct/>
        <w:topLinePunct w:val="0"/>
        <w:autoSpaceDE/>
        <w:autoSpaceDN/>
        <w:bidi w:val="0"/>
        <w:spacing w:before="120" w:after="120" w:line="360" w:lineRule="auto"/>
        <w:ind w:firstLine="424" w:firstLineChars="177"/>
        <w:textAlignment w:val="auto"/>
      </w:pPr>
      <w:r>
        <w:rPr>
          <w:rFonts w:hint="eastAsia"/>
        </w:rPr>
        <w:t>8、对现场的施工队伍进行严格的资格审查，对审查合格的也必须做好技术安全交底、职业道德教育等方面的工作。</w:t>
      </w:r>
    </w:p>
    <w:p w14:paraId="100C5056">
      <w:pPr>
        <w:pageBreakBefore w:val="0"/>
        <w:kinsoku/>
        <w:wordWrap/>
        <w:overflowPunct/>
        <w:topLinePunct w:val="0"/>
        <w:autoSpaceDE/>
        <w:autoSpaceDN/>
        <w:bidi w:val="0"/>
        <w:spacing w:before="120" w:after="120" w:line="360" w:lineRule="auto"/>
        <w:ind w:firstLine="424" w:firstLineChars="177"/>
        <w:textAlignment w:val="auto"/>
      </w:pPr>
      <w:r>
        <w:rPr>
          <w:rFonts w:hint="eastAsia"/>
        </w:rPr>
        <w:t>9、对已进场的队伍实施动态管理，不允许其擅自护充和随意抽调，以确保施工队伍的素质和人员相对稳定。</w:t>
      </w:r>
    </w:p>
    <w:p w14:paraId="7CDD5EBB">
      <w:pPr>
        <w:pageBreakBefore w:val="0"/>
        <w:kinsoku/>
        <w:wordWrap/>
        <w:overflowPunct/>
        <w:topLinePunct w:val="0"/>
        <w:autoSpaceDE/>
        <w:autoSpaceDN/>
        <w:bidi w:val="0"/>
        <w:spacing w:before="120" w:after="120" w:line="360" w:lineRule="auto"/>
        <w:ind w:firstLine="424" w:firstLineChars="177"/>
        <w:textAlignment w:val="auto"/>
      </w:pPr>
      <w:r>
        <w:rPr>
          <w:rFonts w:hint="eastAsia"/>
        </w:rPr>
        <w:t>10、未经项目经理部质量、安全培训的操作工人不允许上岗。</w:t>
      </w:r>
    </w:p>
    <w:p w14:paraId="483A243F">
      <w:pPr>
        <w:pageBreakBefore w:val="0"/>
        <w:kinsoku/>
        <w:wordWrap/>
        <w:overflowPunct/>
        <w:topLinePunct w:val="0"/>
        <w:autoSpaceDE/>
        <w:autoSpaceDN/>
        <w:bidi w:val="0"/>
        <w:spacing w:before="120" w:after="120" w:line="360" w:lineRule="auto"/>
        <w:ind w:firstLine="424" w:firstLineChars="177"/>
        <w:textAlignment w:val="auto"/>
      </w:pPr>
      <w:r>
        <w:rPr>
          <w:rFonts w:hint="eastAsia"/>
        </w:rPr>
        <w:t>11、加强对施工班组的管理，凡进场的施工班组必须配备一定数量的专职质量、安全的管理人员。</w:t>
      </w:r>
    </w:p>
    <w:p w14:paraId="0E827484">
      <w:pPr>
        <w:pStyle w:val="12"/>
        <w:pageBreakBefore w:val="0"/>
        <w:numPr>
          <w:ilvl w:val="4"/>
          <w:numId w:val="12"/>
        </w:numPr>
        <w:kinsoku/>
        <w:wordWrap/>
        <w:overflowPunct/>
        <w:topLinePunct w:val="0"/>
        <w:autoSpaceDE/>
        <w:autoSpaceDN/>
        <w:bidi w:val="0"/>
        <w:spacing w:line="360" w:lineRule="auto"/>
        <w:textAlignment w:val="auto"/>
      </w:pPr>
      <w:bookmarkStart w:id="775" w:name="_Toc1342990466"/>
      <w:r>
        <w:rPr>
          <w:rFonts w:hint="eastAsia"/>
        </w:rPr>
        <w:t>硬件保障</w:t>
      </w:r>
      <w:bookmarkEnd w:id="775"/>
    </w:p>
    <w:p w14:paraId="5B064111">
      <w:pPr>
        <w:pageBreakBefore w:val="0"/>
        <w:kinsoku/>
        <w:wordWrap/>
        <w:overflowPunct/>
        <w:topLinePunct w:val="0"/>
        <w:autoSpaceDE/>
        <w:autoSpaceDN/>
        <w:bidi w:val="0"/>
        <w:spacing w:before="120" w:after="120" w:line="360" w:lineRule="auto"/>
        <w:ind w:firstLine="420"/>
        <w:textAlignment w:val="auto"/>
      </w:pPr>
      <w:r>
        <w:rPr>
          <w:rFonts w:hint="eastAsia"/>
        </w:rPr>
        <w:t>提高人力资源管理的信息化程度，规划方案中的很多评价需要大量的数据分析作为保障，没有信息化的辅助很难保证工作质量和工作效率。对于卷烟二维码统一应用项目开发的人力资源管理系统要设法提高利用率对于无法满足人力资源管理的需要的功能应组织力量进行软件的开发。一方面，充足、广泛的信息对正确判断企业人力资源问题、合理制定企业人力资源规划方案至关重要。另一方面，外部环境在不断的变化，公司的内部环境也随之不断变化，滚装公司制定的发展战略必须根据环境变化进行修正。需要跟踪和获取及时地、充足的信息并迅速筛选、分析、整理。因此人力资源规划方案在其实施过程中及时、正确的进行调整需要一套功能强大的人力资源信息系统的支持和保证。</w:t>
      </w:r>
    </w:p>
    <w:p w14:paraId="11C008C5">
      <w:pPr>
        <w:pageBreakBefore w:val="0"/>
        <w:kinsoku/>
        <w:wordWrap/>
        <w:overflowPunct/>
        <w:topLinePunct w:val="0"/>
        <w:autoSpaceDE/>
        <w:autoSpaceDN/>
        <w:bidi w:val="0"/>
        <w:spacing w:before="120" w:after="120" w:line="360" w:lineRule="auto"/>
        <w:ind w:firstLine="420"/>
        <w:textAlignment w:val="auto"/>
      </w:pPr>
      <w:r>
        <w:rPr>
          <w:rFonts w:hint="eastAsia"/>
        </w:rPr>
        <w:t>建立人力资源信息系统，事先要进行周密的筹划，包括清楚地阐明目标，充分地分析系统的要求，认真研究细节。结合实际情况，下面对我司人力资源信息系统的编制思路叙述如下：</w:t>
      </w:r>
    </w:p>
    <w:p w14:paraId="26A1DDA5">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根据我司人力资源发展战略及高层决策者的需求，确定该系统要实现的功能；</w:t>
      </w:r>
    </w:p>
    <w:p w14:paraId="640D5396">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将我司进行人力资源开发与管理所需要或借鉴的信息、资料进行分析、归纳、整理，并将它们提炼成精练的计算机语言；</w:t>
      </w:r>
    </w:p>
    <w:p w14:paraId="669F4FC0">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建立我司人力资源数据库结构，编制应用软件；</w:t>
      </w:r>
    </w:p>
    <w:p w14:paraId="78540508">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收集、积累相应数据并录入数据库；</w:t>
      </w:r>
    </w:p>
    <w:p w14:paraId="07B6B8C4">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进行人力资源信息系统的试运行，找出存在的问题、不断修改直至达到目标；</w:t>
      </w:r>
    </w:p>
    <w:p w14:paraId="4462007B">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配备一名专职或兼职人力资源管理员，要求他既有计算机软件的日常维护能力又有人力资源管理的工作经验。</w:t>
      </w:r>
    </w:p>
    <w:p w14:paraId="15A188D8">
      <w:pPr>
        <w:pageBreakBefore w:val="0"/>
        <w:kinsoku/>
        <w:wordWrap/>
        <w:overflowPunct/>
        <w:topLinePunct w:val="0"/>
        <w:autoSpaceDE/>
        <w:autoSpaceDN/>
        <w:bidi w:val="0"/>
        <w:spacing w:before="120" w:after="120" w:line="360" w:lineRule="auto"/>
        <w:ind w:firstLine="420"/>
        <w:textAlignment w:val="auto"/>
      </w:pPr>
      <w:r>
        <w:rPr>
          <w:rFonts w:hint="eastAsia"/>
        </w:rPr>
        <w:t>人力资源数据库具体内容主要包括以下模块：</w:t>
      </w:r>
    </w:p>
    <w:p w14:paraId="5FCB29E9">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建立员工基本信息管理模块。包括职员基本人事信息和人事变动信息两部分。</w:t>
      </w:r>
    </w:p>
    <w:p w14:paraId="58C5B4D5">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绩效评估模块。影响和决定绩效的因素包括员工自身的主观因素和员工工作所处的客观环境因素两类，该模块主要用于对员工工作职责和内容、工作绩效进行管理和评价，对绩效要素进行量化，形成综合评价模型，为薪酬、奖惩、培训开发提供依据。</w:t>
      </w:r>
    </w:p>
    <w:p w14:paraId="0AD1122D">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建立教育、培训模块。将员工进入该项目以前的受教育情况以及在岗培训情况录入。</w:t>
      </w:r>
    </w:p>
    <w:p w14:paraId="77D87D0C">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建立劳动合同管理模块。</w:t>
      </w:r>
    </w:p>
    <w:p w14:paraId="0604D87E">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建立劳动报酬模块。</w:t>
      </w:r>
    </w:p>
    <w:p w14:paraId="0F2ED11C">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建立人员招聘管理模块。该模块可根据人力资源计划以及职位信息，对编制招聘计划、发布招聘信息、采集应聘信息、甄选、面试、录用全过程进行自动化管理。</w:t>
      </w:r>
    </w:p>
    <w:p w14:paraId="3519C3F9">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职位评价、管理模块。该模块包括职位分析、职位控制两部分通过职务分析，对岗位要素进行定量化，建立综合分析模型，评价岗位设置的必要性和重要性程度，形成岗位规范和职位说明书，管理各职位的任职情况，空缺情况，将按部门提供职位表和空缺职位表</w:t>
      </w:r>
    </w:p>
    <w:p w14:paraId="3991A762">
      <w:pPr>
        <w:pageBreakBefore w:val="0"/>
        <w:numPr>
          <w:ilvl w:val="0"/>
          <w:numId w:val="67"/>
        </w:numPr>
        <w:kinsoku/>
        <w:wordWrap/>
        <w:overflowPunct/>
        <w:topLinePunct w:val="0"/>
        <w:autoSpaceDE/>
        <w:autoSpaceDN/>
        <w:bidi w:val="0"/>
        <w:spacing w:before="120" w:after="120" w:line="360" w:lineRule="auto"/>
        <w:ind w:firstLine="420"/>
        <w:textAlignment w:val="auto"/>
      </w:pPr>
      <w:r>
        <w:rPr>
          <w:rFonts w:hint="eastAsia"/>
        </w:rPr>
        <w:t>薪酬与保险福利管理模块。</w:t>
      </w:r>
    </w:p>
    <w:p w14:paraId="7CEC984E">
      <w:pPr>
        <w:pageBreakBefore w:val="0"/>
        <w:kinsoku/>
        <w:wordWrap/>
        <w:overflowPunct/>
        <w:topLinePunct w:val="0"/>
        <w:autoSpaceDE/>
        <w:autoSpaceDN/>
        <w:bidi w:val="0"/>
        <w:spacing w:before="120" w:after="120" w:line="360" w:lineRule="auto"/>
        <w:ind w:firstLine="420"/>
        <w:textAlignment w:val="auto"/>
      </w:pPr>
      <w:r>
        <w:rPr>
          <w:rFonts w:hint="eastAsia"/>
        </w:rPr>
        <w:t>进行人力资源管理工作，需要频繁使用相关人力资源信息，通常情况下，在公司内部调配所需人力的成本是最低的，在项目组现在有人员可供使用的情况下，招募新人是不经济的行为，因而，现有人力资源是企业资源供给的主要方面。因此，为保证项目组未来3-5年人力资源规划的顺利实施和战略目标的实现，首先应着手建设人力资源信息系统，以便对现有的人力资源进行整体把握。另外，此信息系统的建立还可为企业管理效果的评估提供反馈信息。同时应该定期根据企业人力信息的变化对系统内容进行更新，只有这样才能真正起到节省劳动力成本、减少人力资源部门工作压力的目的。</w:t>
      </w:r>
    </w:p>
    <w:p w14:paraId="3414633F">
      <w:pPr>
        <w:pStyle w:val="12"/>
        <w:pageBreakBefore w:val="0"/>
        <w:numPr>
          <w:ilvl w:val="4"/>
          <w:numId w:val="12"/>
        </w:numPr>
        <w:kinsoku/>
        <w:wordWrap/>
        <w:overflowPunct/>
        <w:topLinePunct w:val="0"/>
        <w:autoSpaceDE/>
        <w:autoSpaceDN/>
        <w:bidi w:val="0"/>
        <w:spacing w:line="360" w:lineRule="auto"/>
        <w:textAlignment w:val="auto"/>
      </w:pPr>
      <w:bookmarkStart w:id="776" w:name="_Toc1039992687"/>
      <w:r>
        <w:rPr>
          <w:rFonts w:hint="eastAsia"/>
        </w:rPr>
        <w:t>软件保障</w:t>
      </w:r>
      <w:bookmarkEnd w:id="776"/>
    </w:p>
    <w:p w14:paraId="461A9F72">
      <w:pPr>
        <w:pageBreakBefore w:val="0"/>
        <w:kinsoku/>
        <w:wordWrap/>
        <w:overflowPunct/>
        <w:topLinePunct w:val="0"/>
        <w:autoSpaceDE/>
        <w:autoSpaceDN/>
        <w:bidi w:val="0"/>
        <w:spacing w:before="120" w:after="120" w:line="360" w:lineRule="auto"/>
        <w:ind w:firstLine="420"/>
        <w:textAlignment w:val="auto"/>
      </w:pPr>
      <w:r>
        <w:rPr>
          <w:rFonts w:hint="eastAsia"/>
        </w:rPr>
        <w:t>加强软件保障关键在于打造一支高素质的人力资源管理人员队伍。从传统的行政支持转变为企业经营管理的合作者，要求人力资源部门本身要懂得重点管理的原则，对日常事件能授权则授权，而把大部分精力放在研究、预测、分析、沟通并制定计划方面。从目前的趋势来看越来越多的行政事务将由专业化的公司来运作比如说员工的招聘、各种培训、薪资设计等等，这些渠道的出现也为人力资源部门的角色转变提供了有利的机遇，作为公司的人力资源部门关键是要能够有效地驾驭这些资源，从烟草行业发展战略的高度，选择有利的资源提供商，提高效率。</w:t>
      </w:r>
    </w:p>
    <w:p w14:paraId="79576753">
      <w:pPr>
        <w:pageBreakBefore w:val="0"/>
        <w:kinsoku/>
        <w:wordWrap/>
        <w:overflowPunct/>
        <w:topLinePunct w:val="0"/>
        <w:autoSpaceDE/>
        <w:autoSpaceDN/>
        <w:bidi w:val="0"/>
        <w:spacing w:before="120" w:after="120" w:line="360" w:lineRule="auto"/>
        <w:ind w:firstLine="420"/>
        <w:textAlignment w:val="auto"/>
      </w:pPr>
      <w:r>
        <w:rPr>
          <w:rFonts w:hint="eastAsia"/>
        </w:rPr>
        <w:t>此外人力资源部门从以往的“行政支持”转变为“策略的筹划及执行者”，为业务部门提供增值服务，就需要了解的企业的经营目标，了解各业务部门需求，要多方面了解企业职能、产品、生产、销售、企业使命、价值观、企业文化，并围绕目标实现的高度来设计对员工的基本技能和知识、态度的要求，深入公司的各个环节来调动和开发人的潜能。</w:t>
      </w:r>
    </w:p>
    <w:p w14:paraId="1E767A97">
      <w:pPr>
        <w:pStyle w:val="12"/>
        <w:pageBreakBefore w:val="0"/>
        <w:numPr>
          <w:ilvl w:val="4"/>
          <w:numId w:val="12"/>
        </w:numPr>
        <w:kinsoku/>
        <w:wordWrap/>
        <w:overflowPunct/>
        <w:topLinePunct w:val="0"/>
        <w:autoSpaceDE/>
        <w:autoSpaceDN/>
        <w:bidi w:val="0"/>
        <w:spacing w:line="360" w:lineRule="auto"/>
        <w:textAlignment w:val="auto"/>
      </w:pPr>
      <w:bookmarkStart w:id="777" w:name="_Toc299442092"/>
      <w:r>
        <w:rPr>
          <w:rFonts w:hint="eastAsia"/>
        </w:rPr>
        <w:t>制度保障</w:t>
      </w:r>
      <w:bookmarkEnd w:id="777"/>
    </w:p>
    <w:p w14:paraId="168C876F">
      <w:pPr>
        <w:pageBreakBefore w:val="0"/>
        <w:kinsoku/>
        <w:wordWrap/>
        <w:overflowPunct/>
        <w:topLinePunct w:val="0"/>
        <w:autoSpaceDE/>
        <w:autoSpaceDN/>
        <w:bidi w:val="0"/>
        <w:spacing w:line="360" w:lineRule="auto"/>
        <w:textAlignment w:val="auto"/>
        <w:rPr>
          <w:b/>
          <w:bCs/>
        </w:rPr>
      </w:pPr>
      <w:r>
        <w:rPr>
          <w:rFonts w:hint="eastAsia"/>
          <w:b/>
          <w:bCs/>
        </w:rPr>
        <w:t xml:space="preserve"> </w:t>
      </w:r>
      <w:r>
        <w:rPr>
          <w:rFonts w:hint="eastAsia"/>
        </w:rPr>
        <w:t xml:space="preserve">   人力资源规划方案的具体落实，必须有与之适应的人力资源配置与开发、激励机制、绩效评价、薪酬福利等一系列人力资源管理制度并且相互配合予以保障。在这方面公司已经制定了相关配套完善措施，并在选编入新编制的员工手册中配发到每名员工手中，是值得肯定的一项工作。未来需要在实践中检验制度的科学性、合理性、保障性，并依据需要进行调整。</w:t>
      </w:r>
    </w:p>
    <w:p w14:paraId="4E21D1F5">
      <w:pPr>
        <w:pStyle w:val="10"/>
        <w:pageBreakBefore w:val="0"/>
        <w:numPr>
          <w:ilvl w:val="3"/>
          <w:numId w:val="12"/>
        </w:numPr>
        <w:kinsoku/>
        <w:wordWrap/>
        <w:overflowPunct/>
        <w:topLinePunct w:val="0"/>
        <w:autoSpaceDE/>
        <w:autoSpaceDN/>
        <w:bidi w:val="0"/>
        <w:spacing w:line="360" w:lineRule="auto"/>
        <w:textAlignment w:val="auto"/>
      </w:pPr>
      <w:bookmarkStart w:id="778" w:name="_Toc1791455548"/>
      <w:bookmarkStart w:id="779" w:name="_Toc1442124398"/>
      <w:r>
        <w:rPr>
          <w:rFonts w:hint="eastAsia"/>
        </w:rPr>
        <w:t>人员稳定性管理方案</w:t>
      </w:r>
      <w:bookmarkEnd w:id="778"/>
      <w:bookmarkEnd w:id="779"/>
    </w:p>
    <w:p w14:paraId="2A2CEA72">
      <w:pPr>
        <w:pStyle w:val="12"/>
        <w:pageBreakBefore w:val="0"/>
        <w:numPr>
          <w:ilvl w:val="4"/>
          <w:numId w:val="12"/>
        </w:numPr>
        <w:kinsoku/>
        <w:wordWrap/>
        <w:overflowPunct/>
        <w:topLinePunct w:val="0"/>
        <w:autoSpaceDE/>
        <w:autoSpaceDN/>
        <w:bidi w:val="0"/>
        <w:spacing w:line="360" w:lineRule="auto"/>
        <w:textAlignment w:val="auto"/>
      </w:pPr>
      <w:bookmarkStart w:id="780" w:name="_Toc732967232"/>
      <w:r>
        <w:rPr>
          <w:rFonts w:hint="eastAsia"/>
        </w:rPr>
        <w:t>建立项目专项产品组</w:t>
      </w:r>
      <w:bookmarkEnd w:id="780"/>
    </w:p>
    <w:p w14:paraId="1F7C822D">
      <w:pPr>
        <w:pageBreakBefore w:val="0"/>
        <w:kinsoku/>
        <w:wordWrap/>
        <w:overflowPunct/>
        <w:topLinePunct w:val="0"/>
        <w:autoSpaceDE/>
        <w:autoSpaceDN/>
        <w:bidi w:val="0"/>
        <w:spacing w:before="120" w:after="120" w:line="360" w:lineRule="auto"/>
        <w:ind w:firstLine="420"/>
        <w:textAlignment w:val="auto"/>
      </w:pPr>
      <w:r>
        <w:rPr>
          <w:rFonts w:hint="eastAsia"/>
        </w:rPr>
        <w:t>我司以提升产品质量、项目稳定服务目标，在2021年7月成立二维码统一应用专项小组，专项小组独立于项目之外的组织机构，为物流项目提供服务支持。专项产品组角色涵盖了需求、软件研发、电气设计、实施、质量管理、运维支持等，确保高质量的项目交付。</w:t>
      </w:r>
    </w:p>
    <w:p w14:paraId="049DB822">
      <w:pPr>
        <w:pStyle w:val="12"/>
        <w:pageBreakBefore w:val="0"/>
        <w:numPr>
          <w:ilvl w:val="4"/>
          <w:numId w:val="12"/>
        </w:numPr>
        <w:kinsoku/>
        <w:wordWrap/>
        <w:overflowPunct/>
        <w:topLinePunct w:val="0"/>
        <w:autoSpaceDE/>
        <w:autoSpaceDN/>
        <w:bidi w:val="0"/>
        <w:spacing w:line="360" w:lineRule="auto"/>
        <w:textAlignment w:val="auto"/>
      </w:pPr>
      <w:bookmarkStart w:id="781" w:name="_Toc1615047257"/>
      <w:r>
        <w:rPr>
          <w:rFonts w:hint="eastAsia"/>
        </w:rPr>
        <w:t>激励措施</w:t>
      </w:r>
      <w:bookmarkEnd w:id="781"/>
    </w:p>
    <w:p w14:paraId="41248551">
      <w:pPr>
        <w:pageBreakBefore w:val="0"/>
        <w:kinsoku/>
        <w:wordWrap/>
        <w:overflowPunct/>
        <w:topLinePunct w:val="0"/>
        <w:autoSpaceDE/>
        <w:autoSpaceDN/>
        <w:bidi w:val="0"/>
        <w:spacing w:before="120" w:after="120" w:line="360" w:lineRule="auto"/>
        <w:ind w:firstLine="424" w:firstLineChars="177"/>
        <w:textAlignment w:val="auto"/>
      </w:pPr>
      <w:r>
        <w:rPr>
          <w:rFonts w:hint="eastAsia"/>
        </w:rPr>
        <w:t>人是项目运作过程中的主体，是影响完成任务的关键，我司建立健全的项目激励措施与制度，去调动员工的积极性和创造性，使员工努力完成项目任务，实现高质、高效、安全、稳定的项目运作目标。</w:t>
      </w:r>
    </w:p>
    <w:p w14:paraId="69E706EA">
      <w:pPr>
        <w:pStyle w:val="14"/>
        <w:pageBreakBefore w:val="0"/>
        <w:numPr>
          <w:ilvl w:val="6"/>
          <w:numId w:val="12"/>
        </w:numPr>
        <w:kinsoku/>
        <w:wordWrap/>
        <w:overflowPunct/>
        <w:topLinePunct w:val="0"/>
        <w:autoSpaceDE/>
        <w:autoSpaceDN/>
        <w:bidi w:val="0"/>
        <w:spacing w:line="360" w:lineRule="auto"/>
        <w:textAlignment w:val="auto"/>
        <w:rPr>
          <w:rFonts w:ascii="宋体" w:hAnsi="宋体"/>
        </w:rPr>
      </w:pPr>
      <w:r>
        <w:rPr>
          <w:rFonts w:hint="eastAsia" w:ascii="宋体" w:hAnsi="宋体"/>
        </w:rPr>
        <w:t>员工绩效考核</w:t>
      </w:r>
    </w:p>
    <w:p w14:paraId="50EEFFB2">
      <w:pPr>
        <w:pageBreakBefore w:val="0"/>
        <w:kinsoku/>
        <w:wordWrap/>
        <w:overflowPunct/>
        <w:topLinePunct w:val="0"/>
        <w:autoSpaceDE/>
        <w:autoSpaceDN/>
        <w:bidi w:val="0"/>
        <w:spacing w:before="120" w:after="120" w:line="360" w:lineRule="auto"/>
        <w:ind w:firstLine="420"/>
        <w:jc w:val="left"/>
        <w:textAlignment w:val="auto"/>
      </w:pPr>
      <w:r>
        <w:rPr>
          <w:rFonts w:hint="eastAsia"/>
        </w:rPr>
        <w:t>为调动员工工作积极性和创造性，加强员工自我管理，提高员工工作效率，客观评价员工个人业绩，充分发挥绩效管理的指引、评价、沟通和改进作用，特制定《员工绩效考核管理制度》。</w:t>
      </w:r>
    </w:p>
    <w:p w14:paraId="5FFEDE7D">
      <w:pPr>
        <w:pStyle w:val="14"/>
        <w:pageBreakBefore w:val="0"/>
        <w:numPr>
          <w:ilvl w:val="6"/>
          <w:numId w:val="12"/>
        </w:numPr>
        <w:kinsoku/>
        <w:wordWrap/>
        <w:overflowPunct/>
        <w:topLinePunct w:val="0"/>
        <w:autoSpaceDE/>
        <w:autoSpaceDN/>
        <w:bidi w:val="0"/>
        <w:spacing w:line="360" w:lineRule="auto"/>
        <w:textAlignment w:val="auto"/>
        <w:rPr>
          <w:rFonts w:ascii="宋体" w:hAnsi="宋体"/>
        </w:rPr>
      </w:pPr>
      <w:r>
        <w:rPr>
          <w:rFonts w:hint="eastAsia" w:ascii="宋体" w:hAnsi="宋体"/>
        </w:rPr>
        <w:t>优化薪酬体系</w:t>
      </w:r>
    </w:p>
    <w:p w14:paraId="7A41F1AD">
      <w:pPr>
        <w:pageBreakBefore w:val="0"/>
        <w:kinsoku/>
        <w:wordWrap/>
        <w:overflowPunct/>
        <w:topLinePunct w:val="0"/>
        <w:autoSpaceDE/>
        <w:autoSpaceDN/>
        <w:bidi w:val="0"/>
        <w:spacing w:line="360" w:lineRule="auto"/>
        <w:ind w:firstLine="480"/>
        <w:textAlignment w:val="auto"/>
      </w:pPr>
      <w:r>
        <w:rPr>
          <w:rFonts w:hint="eastAsia"/>
        </w:rPr>
        <w:t>企业给每个岗位的员工定薪酬之前需要进行人力资源市场调研，调研项目包括企业所在行业的发展情况及前景、企业所在区域的经济发展水平、国家工资管理政策、相同企业相似岗位的工资水平等等，通过人力资源市场调研为本企业相应岗位定一个合理的、有竞争力的薪酬。</w:t>
      </w:r>
    </w:p>
    <w:p w14:paraId="475C45E0">
      <w:pPr>
        <w:pageBreakBefore w:val="0"/>
        <w:kinsoku/>
        <w:wordWrap/>
        <w:overflowPunct/>
        <w:topLinePunct w:val="0"/>
        <w:autoSpaceDE/>
        <w:autoSpaceDN/>
        <w:bidi w:val="0"/>
        <w:spacing w:line="360" w:lineRule="auto"/>
        <w:ind w:firstLine="480"/>
        <w:textAlignment w:val="auto"/>
      </w:pPr>
      <w:r>
        <w:rPr>
          <w:rFonts w:hint="eastAsia"/>
        </w:rPr>
        <w:t>在进行薪酬优化时坚持“三定原则”，即定岗、定编和定员。将员工的岗位职责、部门编制和人员配置都用制度予以明确规定，并根据不同的编制不同的岗位制定清晰的薪酬待遇以及晋升级别相应需要提升的薪酬标准。并坚持薪酬竞争性原则。竞争性原则即指企业给出的薪酬待遇和同行业企业相比、和当地的人才市场上相同岗位的其他企业给出的薪酬相比具有吸引力和竞争力，这样才能为企业招到需要的人才，而不至于使人才都远离企业。</w:t>
      </w:r>
    </w:p>
    <w:p w14:paraId="3DCE651B">
      <w:pPr>
        <w:pageBreakBefore w:val="0"/>
        <w:kinsoku/>
        <w:wordWrap/>
        <w:overflowPunct/>
        <w:topLinePunct w:val="0"/>
        <w:autoSpaceDE/>
        <w:autoSpaceDN/>
        <w:bidi w:val="0"/>
        <w:spacing w:line="360" w:lineRule="auto"/>
        <w:ind w:firstLine="480"/>
        <w:textAlignment w:val="auto"/>
      </w:pPr>
      <w:r>
        <w:rPr>
          <w:rFonts w:hint="eastAsia"/>
        </w:rPr>
        <w:t>在薪酬优化的过程中要制定规范的明确的绩效考核制度，并按照不同级别的员工进行月度绩效考核、季度绩效考核和年度绩效考核，以绩效考核结果为依据进行工资发放，这样绩效的好坏就直接决定了工资的高低，会激励员工更好的完成工作任务。</w:t>
      </w:r>
    </w:p>
    <w:p w14:paraId="488EE88B">
      <w:pPr>
        <w:pStyle w:val="14"/>
        <w:pageBreakBefore w:val="0"/>
        <w:numPr>
          <w:ilvl w:val="6"/>
          <w:numId w:val="12"/>
        </w:numPr>
        <w:kinsoku/>
        <w:wordWrap/>
        <w:overflowPunct/>
        <w:topLinePunct w:val="0"/>
        <w:autoSpaceDE/>
        <w:autoSpaceDN/>
        <w:bidi w:val="0"/>
        <w:spacing w:line="360" w:lineRule="auto"/>
        <w:textAlignment w:val="auto"/>
        <w:rPr>
          <w:rFonts w:ascii="宋体" w:hAnsi="宋体"/>
        </w:rPr>
      </w:pPr>
      <w:r>
        <w:rPr>
          <w:rFonts w:hint="eastAsia" w:ascii="宋体" w:hAnsi="宋体"/>
        </w:rPr>
        <w:t>管理效益提升激励</w:t>
      </w:r>
    </w:p>
    <w:p w14:paraId="36B9782E">
      <w:pPr>
        <w:pageBreakBefore w:val="0"/>
        <w:kinsoku/>
        <w:wordWrap/>
        <w:overflowPunct/>
        <w:topLinePunct w:val="0"/>
        <w:autoSpaceDE/>
        <w:autoSpaceDN/>
        <w:bidi w:val="0"/>
        <w:spacing w:before="120" w:after="120" w:line="360" w:lineRule="auto"/>
        <w:ind w:firstLine="424" w:firstLineChars="177"/>
        <w:textAlignment w:val="auto"/>
      </w:pPr>
      <w:r>
        <w:rPr>
          <w:rFonts w:hint="eastAsia"/>
        </w:rPr>
        <w:t>为激励全体员工在各岗位上发挥的积极主动性，塑造高效率、高绩效、高目标的团队，特制定《管理效益提升奖励制度》。</w:t>
      </w:r>
    </w:p>
    <w:p w14:paraId="4CC07F4F">
      <w:pPr>
        <w:pageBreakBefore w:val="0"/>
        <w:kinsoku/>
        <w:wordWrap/>
        <w:overflowPunct/>
        <w:topLinePunct w:val="0"/>
        <w:autoSpaceDE/>
        <w:autoSpaceDN/>
        <w:bidi w:val="0"/>
        <w:spacing w:line="360" w:lineRule="auto"/>
        <w:jc w:val="center"/>
        <w:textAlignment w:val="auto"/>
      </w:pPr>
    </w:p>
    <w:p w14:paraId="038EAC78">
      <w:pPr>
        <w:pStyle w:val="14"/>
        <w:pageBreakBefore w:val="0"/>
        <w:numPr>
          <w:ilvl w:val="6"/>
          <w:numId w:val="12"/>
        </w:numPr>
        <w:kinsoku/>
        <w:wordWrap/>
        <w:overflowPunct/>
        <w:topLinePunct w:val="0"/>
        <w:autoSpaceDE/>
        <w:autoSpaceDN/>
        <w:bidi w:val="0"/>
        <w:spacing w:line="360" w:lineRule="auto"/>
        <w:textAlignment w:val="auto"/>
        <w:rPr>
          <w:rFonts w:ascii="宋体" w:hAnsi="宋体"/>
        </w:rPr>
      </w:pPr>
      <w:r>
        <w:rPr>
          <w:rFonts w:hint="eastAsia" w:ascii="宋体" w:hAnsi="宋体"/>
        </w:rPr>
        <w:t>项目实施激励</w:t>
      </w:r>
    </w:p>
    <w:p w14:paraId="270E013C">
      <w:pPr>
        <w:pageBreakBefore w:val="0"/>
        <w:kinsoku/>
        <w:wordWrap/>
        <w:overflowPunct/>
        <w:topLinePunct w:val="0"/>
        <w:autoSpaceDE/>
        <w:autoSpaceDN/>
        <w:bidi w:val="0"/>
        <w:spacing w:line="360" w:lineRule="auto"/>
        <w:jc w:val="center"/>
        <w:textAlignment w:val="auto"/>
      </w:pPr>
      <w:r>
        <w:rPr>
          <w:rFonts w:hint="eastAsia"/>
        </w:rPr>
        <w:t>为适应公司考核和激励项目实施需要，激励项目实施团队更积极有效开展和推动项目实施工作，保障项目实施质量稳定、安全，特制定《项目实施激励制度》。</w:t>
      </w:r>
    </w:p>
    <w:p w14:paraId="260DF80C">
      <w:pPr>
        <w:pStyle w:val="14"/>
        <w:pageBreakBefore w:val="0"/>
        <w:numPr>
          <w:ilvl w:val="6"/>
          <w:numId w:val="12"/>
        </w:numPr>
        <w:kinsoku/>
        <w:wordWrap/>
        <w:overflowPunct/>
        <w:topLinePunct w:val="0"/>
        <w:autoSpaceDE/>
        <w:autoSpaceDN/>
        <w:bidi w:val="0"/>
        <w:spacing w:line="360" w:lineRule="auto"/>
        <w:textAlignment w:val="auto"/>
        <w:rPr>
          <w:rFonts w:ascii="宋体" w:hAnsi="宋体"/>
        </w:rPr>
      </w:pPr>
      <w:r>
        <w:rPr>
          <w:rFonts w:hint="eastAsia" w:ascii="宋体" w:hAnsi="宋体"/>
        </w:rPr>
        <w:t>研发创新激励</w:t>
      </w:r>
    </w:p>
    <w:p w14:paraId="2B1DF5B6">
      <w:pPr>
        <w:pageBreakBefore w:val="0"/>
        <w:kinsoku/>
        <w:wordWrap/>
        <w:overflowPunct/>
        <w:topLinePunct w:val="0"/>
        <w:autoSpaceDE/>
        <w:autoSpaceDN/>
        <w:bidi w:val="0"/>
        <w:spacing w:line="360" w:lineRule="auto"/>
        <w:jc w:val="center"/>
        <w:textAlignment w:val="auto"/>
      </w:pPr>
      <w:r>
        <w:rPr>
          <w:rFonts w:hint="eastAsia"/>
        </w:rPr>
        <w:t>我司为充分调动员工开展科学研究、技术创新的积极性和创造性，提升公司技术实力，对研发中做出贡献的团队和成员给予奖励，特制定《研发创新奖励制度》。</w:t>
      </w:r>
    </w:p>
    <w:p w14:paraId="78FE97A2">
      <w:pPr>
        <w:pStyle w:val="12"/>
        <w:pageBreakBefore w:val="0"/>
        <w:numPr>
          <w:ilvl w:val="4"/>
          <w:numId w:val="12"/>
        </w:numPr>
        <w:kinsoku/>
        <w:wordWrap/>
        <w:overflowPunct/>
        <w:topLinePunct w:val="0"/>
        <w:autoSpaceDE/>
        <w:autoSpaceDN/>
        <w:bidi w:val="0"/>
        <w:spacing w:line="360" w:lineRule="auto"/>
        <w:textAlignment w:val="auto"/>
      </w:pPr>
      <w:bookmarkStart w:id="782" w:name="_Toc1941473421"/>
      <w:r>
        <w:rPr>
          <w:rFonts w:hint="eastAsia"/>
        </w:rPr>
        <w:t>项目团队建设</w:t>
      </w:r>
      <w:bookmarkEnd w:id="782"/>
    </w:p>
    <w:p w14:paraId="52812C5C">
      <w:pPr>
        <w:pageBreakBefore w:val="0"/>
        <w:kinsoku/>
        <w:wordWrap/>
        <w:overflowPunct/>
        <w:topLinePunct w:val="0"/>
        <w:autoSpaceDE/>
        <w:autoSpaceDN/>
        <w:bidi w:val="0"/>
        <w:spacing w:line="360" w:lineRule="auto"/>
        <w:ind w:firstLine="480"/>
        <w:textAlignment w:val="auto"/>
      </w:pPr>
      <w:r>
        <w:rPr>
          <w:rFonts w:hint="eastAsia"/>
        </w:rPr>
        <w:t>项目队伍是项目的基本工作单元，队伍的作用非常重要，是顺利实施项目的基础，为更好的组建和管理团队，最大限度地提高工作效率、团队稳定与服务满意度，项目团队建设合理的开发流程及工作计划，有效地计划、协调和管理各自的工作以至完成明确的目标。</w:t>
      </w:r>
    </w:p>
    <w:p w14:paraId="17862AEB">
      <w:pPr>
        <w:pageBreakBefore w:val="0"/>
        <w:numPr>
          <w:ilvl w:val="0"/>
          <w:numId w:val="68"/>
        </w:numPr>
        <w:kinsoku/>
        <w:wordWrap/>
        <w:overflowPunct/>
        <w:topLinePunct w:val="0"/>
        <w:autoSpaceDE/>
        <w:autoSpaceDN/>
        <w:bidi w:val="0"/>
        <w:spacing w:line="360" w:lineRule="auto"/>
        <w:ind w:left="0" w:firstLine="426"/>
        <w:jc w:val="both"/>
        <w:textAlignment w:val="auto"/>
      </w:pPr>
      <w:r>
        <w:rPr>
          <w:rFonts w:hint="eastAsia"/>
          <w:b/>
        </w:rPr>
        <w:t>建立明确清晰的目标。</w:t>
      </w:r>
      <w:r>
        <w:rPr>
          <w:rFonts w:hint="eastAsia"/>
        </w:rPr>
        <w:t>项目团队对计划目标清晰的理解，并知道目标的重大意义和价值，清晰明确的目标会激励团队成员把个人目标升华到群体目标，共同努力实现目标。</w:t>
      </w:r>
    </w:p>
    <w:p w14:paraId="02DE4042">
      <w:pPr>
        <w:pageBreakBefore w:val="0"/>
        <w:numPr>
          <w:ilvl w:val="0"/>
          <w:numId w:val="68"/>
        </w:numPr>
        <w:kinsoku/>
        <w:wordWrap/>
        <w:overflowPunct/>
        <w:topLinePunct w:val="0"/>
        <w:autoSpaceDE/>
        <w:autoSpaceDN/>
        <w:bidi w:val="0"/>
        <w:spacing w:line="360" w:lineRule="auto"/>
        <w:ind w:left="0" w:firstLine="426"/>
        <w:jc w:val="both"/>
        <w:textAlignment w:val="auto"/>
      </w:pPr>
      <w:r>
        <w:rPr>
          <w:rFonts w:hint="eastAsia"/>
          <w:b/>
        </w:rPr>
        <w:t>建立团队成员相互信任，精诚合作氛围。</w:t>
      </w:r>
      <w:r>
        <w:rPr>
          <w:rFonts w:hint="eastAsia"/>
        </w:rPr>
        <w:t>成员之间相互信任、相互交流、相互支持，共享工作成果，能够围绕项目开展紧密的合作，能够相互指出工作中存在的不足，从而减少相互推卸责任、相互指责，增加团队的凝聚力，提高项目开发的效率；精诚合作是项目成员强烈的意识到个人和团队的力量，充分了解团队合作的重要性，视彼此合作的对象是团队智慧和力量的源泉，而不仅限于完成自己的任务。</w:t>
      </w:r>
    </w:p>
    <w:p w14:paraId="3E15217C">
      <w:pPr>
        <w:pageBreakBefore w:val="0"/>
        <w:numPr>
          <w:ilvl w:val="0"/>
          <w:numId w:val="68"/>
        </w:numPr>
        <w:kinsoku/>
        <w:wordWrap/>
        <w:overflowPunct/>
        <w:topLinePunct w:val="0"/>
        <w:autoSpaceDE/>
        <w:autoSpaceDN/>
        <w:bidi w:val="0"/>
        <w:spacing w:line="360" w:lineRule="auto"/>
        <w:ind w:left="0" w:firstLine="426"/>
        <w:jc w:val="both"/>
        <w:textAlignment w:val="auto"/>
        <w:rPr>
          <w:b/>
        </w:rPr>
      </w:pPr>
      <w:r>
        <w:rPr>
          <w:rFonts w:hint="eastAsia"/>
          <w:b/>
        </w:rPr>
        <w:t>建立融洽的关系及通畅的沟通平台。</w:t>
      </w:r>
      <w:r>
        <w:rPr>
          <w:rFonts w:hint="eastAsia"/>
        </w:rPr>
        <w:t>项目团队成员之间相互尊重，即关注工作本身，更珍惜彼此之间的友谊，项目组中营造和谐、有爱的工作环境，让项目每一位成员在团队中有归属感与自豪感。项目团队致力于进行开放性的信息交流与沟通，承认彼此存在差异，鼓励不同意见，并允许自由的表达出来，团队成员大胆提出可能争议或冲突的问题，而不用担心遭到打击，每个成员不仅仅是热情的表达，同时也是忠实的听众，团队成员不同的意见和观点得到尊重和包容。</w:t>
      </w:r>
    </w:p>
    <w:p w14:paraId="083C8D34">
      <w:pPr>
        <w:pageBreakBefore w:val="0"/>
        <w:numPr>
          <w:ilvl w:val="0"/>
          <w:numId w:val="68"/>
        </w:numPr>
        <w:kinsoku/>
        <w:wordWrap/>
        <w:overflowPunct/>
        <w:topLinePunct w:val="0"/>
        <w:autoSpaceDE/>
        <w:autoSpaceDN/>
        <w:bidi w:val="0"/>
        <w:spacing w:line="360" w:lineRule="auto"/>
        <w:ind w:left="0" w:firstLine="426"/>
        <w:jc w:val="both"/>
        <w:textAlignment w:val="auto"/>
        <w:rPr>
          <w:b/>
        </w:rPr>
      </w:pPr>
      <w:r>
        <w:rPr>
          <w:rFonts w:hint="eastAsia"/>
          <w:b/>
        </w:rPr>
        <w:t>建立项目工作规范和框架。</w:t>
      </w:r>
      <w:r>
        <w:rPr>
          <w:rFonts w:hint="eastAsia"/>
        </w:rPr>
        <w:t>建立规范使项目各项工作有标准进行执行，建立一定的纪律约束性保证项目计划的有效执行。</w:t>
      </w:r>
    </w:p>
    <w:p w14:paraId="796FB976">
      <w:pPr>
        <w:pStyle w:val="12"/>
        <w:pageBreakBefore w:val="0"/>
        <w:numPr>
          <w:ilvl w:val="4"/>
          <w:numId w:val="12"/>
        </w:numPr>
        <w:kinsoku/>
        <w:wordWrap/>
        <w:overflowPunct/>
        <w:topLinePunct w:val="0"/>
        <w:autoSpaceDE/>
        <w:autoSpaceDN/>
        <w:bidi w:val="0"/>
        <w:spacing w:line="360" w:lineRule="auto"/>
        <w:textAlignment w:val="auto"/>
      </w:pPr>
      <w:bookmarkStart w:id="783" w:name="_Toc624085254"/>
      <w:r>
        <w:rPr>
          <w:rFonts w:hint="eastAsia"/>
        </w:rPr>
        <w:t>良好的工作氛围</w:t>
      </w:r>
      <w:bookmarkEnd w:id="783"/>
    </w:p>
    <w:p w14:paraId="5FB7768C">
      <w:pPr>
        <w:pageBreakBefore w:val="0"/>
        <w:kinsoku/>
        <w:wordWrap/>
        <w:overflowPunct/>
        <w:topLinePunct w:val="0"/>
        <w:autoSpaceDE/>
        <w:autoSpaceDN/>
        <w:bidi w:val="0"/>
        <w:spacing w:line="360" w:lineRule="auto"/>
        <w:ind w:firstLine="480"/>
        <w:textAlignment w:val="auto"/>
      </w:pPr>
      <w:r>
        <w:rPr>
          <w:rFonts w:hint="eastAsia"/>
        </w:rPr>
        <w:t>为团队创造一种良好的、轻松的工作氛围，鼓励员工勇于发表个人建议或看法，鼓励尝试、挑战现状、着眼机会，形成一个共同学习、自我超越的学习型团队。良好的民主氛围才能调动成员的工作积极性。团队中重大决策应该采取民主决策，一个开放心态的项目经理能听到更多的声音。</w:t>
      </w:r>
    </w:p>
    <w:p w14:paraId="4B90D3BD">
      <w:pPr>
        <w:pStyle w:val="12"/>
        <w:pageBreakBefore w:val="0"/>
        <w:numPr>
          <w:ilvl w:val="4"/>
          <w:numId w:val="12"/>
        </w:numPr>
        <w:kinsoku/>
        <w:wordWrap/>
        <w:overflowPunct/>
        <w:topLinePunct w:val="0"/>
        <w:autoSpaceDE/>
        <w:autoSpaceDN/>
        <w:bidi w:val="0"/>
        <w:spacing w:line="360" w:lineRule="auto"/>
        <w:textAlignment w:val="auto"/>
      </w:pPr>
      <w:bookmarkStart w:id="784" w:name="_Toc900238600"/>
      <w:r>
        <w:rPr>
          <w:rFonts w:hint="eastAsia"/>
        </w:rPr>
        <w:t>高效的沟通</w:t>
      </w:r>
      <w:bookmarkEnd w:id="784"/>
    </w:p>
    <w:p w14:paraId="0F623BD2">
      <w:pPr>
        <w:pageBreakBefore w:val="0"/>
        <w:kinsoku/>
        <w:wordWrap/>
        <w:overflowPunct/>
        <w:topLinePunct w:val="0"/>
        <w:autoSpaceDE/>
        <w:autoSpaceDN/>
        <w:bidi w:val="0"/>
        <w:spacing w:before="120" w:after="120" w:line="360" w:lineRule="auto"/>
        <w:ind w:firstLine="420"/>
        <w:textAlignment w:val="auto"/>
      </w:pPr>
      <w:r>
        <w:rPr>
          <w:rFonts w:hint="eastAsia"/>
        </w:rPr>
        <w:t>沟通是情绪的转移，信息的传递。作为一名专业的职场人，不仅要有应对问题和挫折的能力，还要与客户、同事、合作伙伴、供应商等建立良好的人际关系。提升沟通艺术、掌握沟通的技巧，有利于提升竞争力。</w:t>
      </w:r>
    </w:p>
    <w:p w14:paraId="4380DF7B">
      <w:pPr>
        <w:pageBreakBefore w:val="0"/>
        <w:kinsoku/>
        <w:wordWrap/>
        <w:overflowPunct/>
        <w:topLinePunct w:val="0"/>
        <w:autoSpaceDE/>
        <w:autoSpaceDN/>
        <w:bidi w:val="0"/>
        <w:spacing w:line="360" w:lineRule="auto"/>
        <w:ind w:firstLine="480"/>
        <w:textAlignment w:val="auto"/>
      </w:pPr>
      <w:r>
        <w:rPr>
          <w:rFonts w:hint="eastAsia"/>
        </w:rPr>
        <w:t>加强沟通，是领导主体与组织内的上级、同级、下级或组织外的个人、组织、群体乃至社会，进行思想、观点、信念意见、感情、愿望交流的过程，目的是形成相互理解、相互信任的和谐人际关系。</w:t>
      </w:r>
    </w:p>
    <w:p w14:paraId="26E1697E">
      <w:pPr>
        <w:pageBreakBefore w:val="0"/>
        <w:kinsoku/>
        <w:wordWrap/>
        <w:overflowPunct/>
        <w:topLinePunct w:val="0"/>
        <w:autoSpaceDE/>
        <w:autoSpaceDN/>
        <w:bidi w:val="0"/>
        <w:spacing w:line="360" w:lineRule="auto"/>
        <w:ind w:firstLine="480"/>
        <w:textAlignment w:val="auto"/>
      </w:pPr>
      <w:r>
        <w:rPr>
          <w:rFonts w:hint="eastAsia"/>
        </w:rPr>
        <w:t>高效协调，是领导主体为了更好地实现领导目标而采取不同的方法、手段,协同各方面的力量和步调,以达到相互配合，以形成最大合力和支持力的具体过程。沟通是协调的主要手段。</w:t>
      </w:r>
    </w:p>
    <w:p w14:paraId="5FA55364">
      <w:pPr>
        <w:pageBreakBefore w:val="0"/>
        <w:kinsoku/>
        <w:wordWrap/>
        <w:overflowPunct/>
        <w:topLinePunct w:val="0"/>
        <w:autoSpaceDE/>
        <w:autoSpaceDN/>
        <w:bidi w:val="0"/>
        <w:spacing w:before="120" w:after="120" w:line="360" w:lineRule="auto"/>
        <w:ind w:firstLine="420"/>
        <w:jc w:val="center"/>
        <w:textAlignment w:val="auto"/>
      </w:pPr>
      <w:r>
        <w:drawing>
          <wp:inline distT="0" distB="0" distL="114300" distR="114300">
            <wp:extent cx="5278120" cy="3200400"/>
            <wp:effectExtent l="0" t="0" r="0" b="0"/>
            <wp:docPr id="16" name="图片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959"/>
                    <pic:cNvPicPr>
                      <a:picLocks noChangeAspect="1"/>
                    </pic:cNvPicPr>
                  </pic:nvPicPr>
                  <pic:blipFill>
                    <a:blip r:embed="rId190"/>
                    <a:stretch>
                      <a:fillRect/>
                    </a:stretch>
                  </pic:blipFill>
                  <pic:spPr>
                    <a:xfrm>
                      <a:off x="0" y="0"/>
                      <a:ext cx="5278120" cy="3200400"/>
                    </a:xfrm>
                    <a:prstGeom prst="rect">
                      <a:avLst/>
                    </a:prstGeom>
                    <a:noFill/>
                    <a:ln>
                      <a:noFill/>
                    </a:ln>
                  </pic:spPr>
                </pic:pic>
              </a:graphicData>
            </a:graphic>
          </wp:inline>
        </w:drawing>
      </w:r>
    </w:p>
    <w:p w14:paraId="7A9C21A8">
      <w:pPr>
        <w:pStyle w:val="12"/>
        <w:pageBreakBefore w:val="0"/>
        <w:numPr>
          <w:ilvl w:val="4"/>
          <w:numId w:val="12"/>
        </w:numPr>
        <w:kinsoku/>
        <w:wordWrap/>
        <w:overflowPunct/>
        <w:topLinePunct w:val="0"/>
        <w:autoSpaceDE/>
        <w:autoSpaceDN/>
        <w:bidi w:val="0"/>
        <w:spacing w:line="360" w:lineRule="auto"/>
        <w:textAlignment w:val="auto"/>
      </w:pPr>
      <w:bookmarkStart w:id="785" w:name="_Toc395892462"/>
      <w:r>
        <w:rPr>
          <w:rFonts w:hint="eastAsia"/>
        </w:rPr>
        <w:t>团队规划及管理</w:t>
      </w:r>
      <w:bookmarkEnd w:id="785"/>
    </w:p>
    <w:p w14:paraId="45049A0A">
      <w:pPr>
        <w:pStyle w:val="121"/>
        <w:pageBreakBefore w:val="0"/>
        <w:numPr>
          <w:ilvl w:val="0"/>
          <w:numId w:val="69"/>
        </w:numPr>
        <w:kinsoku/>
        <w:wordWrap/>
        <w:overflowPunct/>
        <w:topLinePunct w:val="0"/>
        <w:autoSpaceDE/>
        <w:autoSpaceDN/>
        <w:bidi w:val="0"/>
        <w:spacing w:before="120" w:after="120" w:line="360" w:lineRule="auto"/>
        <w:ind w:left="1332" w:firstLineChars="0"/>
        <w:textAlignment w:val="auto"/>
        <w:rPr>
          <w:rFonts w:ascii="宋体" w:hAnsi="宋体" w:eastAsia="宋体"/>
          <w:szCs w:val="24"/>
        </w:rPr>
      </w:pPr>
      <w:r>
        <w:rPr>
          <w:rFonts w:hint="eastAsia" w:ascii="宋体" w:hAnsi="宋体" w:eastAsia="宋体"/>
          <w:szCs w:val="24"/>
        </w:rPr>
        <w:t>评估团队结构</w:t>
      </w:r>
    </w:p>
    <w:p w14:paraId="086C35BD">
      <w:pPr>
        <w:pageBreakBefore w:val="0"/>
        <w:kinsoku/>
        <w:wordWrap/>
        <w:overflowPunct/>
        <w:topLinePunct w:val="0"/>
        <w:autoSpaceDE/>
        <w:autoSpaceDN/>
        <w:bidi w:val="0"/>
        <w:spacing w:before="120" w:after="120" w:line="360" w:lineRule="auto"/>
        <w:ind w:firstLine="420"/>
        <w:textAlignment w:val="auto"/>
      </w:pPr>
      <w:r>
        <w:rPr>
          <w:rFonts w:hint="eastAsia"/>
        </w:rPr>
        <w:t>评估团队结构包括团队的人员组织架构，每个组员负责的关键职责。使团队成员明确团队中各自的职责，分工合理明确。项目经理作为团队的核心骨干，应该是团队的发动机，将需求进行消化然后推动需求到代码的落地。开发人员应该是团队中的关键生产者，高效独立的运转很重要，团队中的每个人都能高效稳定发挥自身的功能。</w:t>
      </w:r>
    </w:p>
    <w:p w14:paraId="6775FDDB">
      <w:pPr>
        <w:pStyle w:val="121"/>
        <w:pageBreakBefore w:val="0"/>
        <w:numPr>
          <w:ilvl w:val="0"/>
          <w:numId w:val="69"/>
        </w:numPr>
        <w:kinsoku/>
        <w:wordWrap/>
        <w:overflowPunct/>
        <w:topLinePunct w:val="0"/>
        <w:autoSpaceDE/>
        <w:autoSpaceDN/>
        <w:bidi w:val="0"/>
        <w:spacing w:before="120" w:after="120" w:line="360" w:lineRule="auto"/>
        <w:ind w:left="1332" w:firstLineChars="0"/>
        <w:textAlignment w:val="auto"/>
        <w:rPr>
          <w:rFonts w:ascii="宋体" w:hAnsi="宋体" w:eastAsia="宋体"/>
          <w:szCs w:val="24"/>
        </w:rPr>
      </w:pPr>
      <w:r>
        <w:rPr>
          <w:rFonts w:hint="eastAsia" w:ascii="宋体" w:hAnsi="宋体" w:eastAsia="宋体"/>
          <w:szCs w:val="24"/>
        </w:rPr>
        <w:t>评估团队稳定性</w:t>
      </w:r>
    </w:p>
    <w:p w14:paraId="38754D65">
      <w:pPr>
        <w:pageBreakBefore w:val="0"/>
        <w:kinsoku/>
        <w:wordWrap/>
        <w:overflowPunct/>
        <w:topLinePunct w:val="0"/>
        <w:autoSpaceDE/>
        <w:autoSpaceDN/>
        <w:bidi w:val="0"/>
        <w:spacing w:before="120" w:after="120" w:line="360" w:lineRule="auto"/>
        <w:ind w:firstLine="420"/>
        <w:textAlignment w:val="auto"/>
      </w:pPr>
      <w:r>
        <w:rPr>
          <w:rFonts w:hint="eastAsia"/>
        </w:rPr>
        <w:t>根据团队结构，评估团队是否稳定：</w:t>
      </w:r>
    </w:p>
    <w:p w14:paraId="48D39D70">
      <w:pPr>
        <w:pageBreakBefore w:val="0"/>
        <w:kinsoku/>
        <w:wordWrap/>
        <w:overflowPunct/>
        <w:topLinePunct w:val="0"/>
        <w:autoSpaceDE/>
        <w:autoSpaceDN/>
        <w:bidi w:val="0"/>
        <w:spacing w:before="120" w:after="120" w:line="360" w:lineRule="auto"/>
        <w:ind w:firstLine="420"/>
        <w:textAlignment w:val="auto"/>
      </w:pPr>
      <w:r>
        <w:rPr>
          <w:rFonts w:hint="eastAsia"/>
        </w:rPr>
        <w:t>1. 当前人员是否能够承担所有团队事务？</w:t>
      </w:r>
    </w:p>
    <w:p w14:paraId="488B87D9">
      <w:pPr>
        <w:pageBreakBefore w:val="0"/>
        <w:kinsoku/>
        <w:wordWrap/>
        <w:overflowPunct/>
        <w:topLinePunct w:val="0"/>
        <w:autoSpaceDE/>
        <w:autoSpaceDN/>
        <w:bidi w:val="0"/>
        <w:spacing w:before="120" w:after="120" w:line="360" w:lineRule="auto"/>
        <w:ind w:firstLine="420"/>
        <w:textAlignment w:val="auto"/>
      </w:pPr>
      <w:r>
        <w:rPr>
          <w:rFonts w:hint="eastAsia"/>
        </w:rPr>
        <w:t>2. 是否有事务在团队中无相应能力人员来承担？</w:t>
      </w:r>
    </w:p>
    <w:p w14:paraId="0B719122">
      <w:pPr>
        <w:pageBreakBefore w:val="0"/>
        <w:kinsoku/>
        <w:wordWrap/>
        <w:overflowPunct/>
        <w:topLinePunct w:val="0"/>
        <w:autoSpaceDE/>
        <w:autoSpaceDN/>
        <w:bidi w:val="0"/>
        <w:spacing w:before="120" w:after="120" w:line="360" w:lineRule="auto"/>
        <w:ind w:firstLine="420"/>
        <w:textAlignment w:val="auto"/>
      </w:pPr>
      <w:r>
        <w:rPr>
          <w:rFonts w:hint="eastAsia"/>
        </w:rPr>
        <w:t>3. 组员当前承担事务是否与自身能力、长期规划相匹配？</w:t>
      </w:r>
    </w:p>
    <w:p w14:paraId="716F8D6A">
      <w:pPr>
        <w:pageBreakBefore w:val="0"/>
        <w:kinsoku/>
        <w:wordWrap/>
        <w:overflowPunct/>
        <w:topLinePunct w:val="0"/>
        <w:autoSpaceDE/>
        <w:autoSpaceDN/>
        <w:bidi w:val="0"/>
        <w:spacing w:before="120" w:after="120" w:line="360" w:lineRule="auto"/>
        <w:ind w:firstLine="420"/>
        <w:textAlignment w:val="auto"/>
      </w:pPr>
      <w:r>
        <w:rPr>
          <w:rFonts w:hint="eastAsia"/>
        </w:rPr>
        <w:t>4. 组员是否有工作饱和度不平衡的情况？</w:t>
      </w:r>
    </w:p>
    <w:p w14:paraId="3CC8DB75">
      <w:pPr>
        <w:pageBreakBefore w:val="0"/>
        <w:kinsoku/>
        <w:wordWrap/>
        <w:overflowPunct/>
        <w:topLinePunct w:val="0"/>
        <w:autoSpaceDE/>
        <w:autoSpaceDN/>
        <w:bidi w:val="0"/>
        <w:spacing w:before="120" w:after="120" w:line="360" w:lineRule="auto"/>
        <w:ind w:firstLine="420"/>
        <w:textAlignment w:val="auto"/>
      </w:pPr>
      <w:r>
        <w:rPr>
          <w:rFonts w:hint="eastAsia"/>
        </w:rPr>
        <w:t>5. 组员是否有离职可能？</w:t>
      </w:r>
    </w:p>
    <w:p w14:paraId="459C3123">
      <w:pPr>
        <w:pageBreakBefore w:val="0"/>
        <w:kinsoku/>
        <w:wordWrap/>
        <w:overflowPunct/>
        <w:topLinePunct w:val="0"/>
        <w:autoSpaceDE/>
        <w:autoSpaceDN/>
        <w:bidi w:val="0"/>
        <w:spacing w:before="120" w:after="120" w:line="360" w:lineRule="auto"/>
        <w:ind w:firstLine="420"/>
        <w:textAlignment w:val="auto"/>
      </w:pPr>
      <w:r>
        <w:rPr>
          <w:rFonts w:hint="eastAsia"/>
        </w:rPr>
        <w:t>6. 如果组员离职，其所负责事务是否有其他组员可交接？</w:t>
      </w:r>
    </w:p>
    <w:p w14:paraId="36E1B1F9">
      <w:pPr>
        <w:pageBreakBefore w:val="0"/>
        <w:kinsoku/>
        <w:wordWrap/>
        <w:overflowPunct/>
        <w:topLinePunct w:val="0"/>
        <w:autoSpaceDE/>
        <w:autoSpaceDN/>
        <w:bidi w:val="0"/>
        <w:spacing w:before="120" w:after="120" w:line="360" w:lineRule="auto"/>
        <w:ind w:firstLine="420"/>
        <w:textAlignment w:val="auto"/>
      </w:pPr>
      <w:r>
        <w:rPr>
          <w:rFonts w:hint="eastAsia"/>
        </w:rPr>
        <w:t>如果存在问题1-4，解决方法是根据问题调整优化团队结构，使组员和事务为稳定、合理的状态。</w:t>
      </w:r>
    </w:p>
    <w:p w14:paraId="7B9F44BC">
      <w:pPr>
        <w:pageBreakBefore w:val="0"/>
        <w:kinsoku/>
        <w:wordWrap/>
        <w:overflowPunct/>
        <w:topLinePunct w:val="0"/>
        <w:autoSpaceDE/>
        <w:autoSpaceDN/>
        <w:bidi w:val="0"/>
        <w:spacing w:before="120" w:after="120" w:line="360" w:lineRule="auto"/>
        <w:ind w:firstLine="420"/>
        <w:textAlignment w:val="auto"/>
      </w:pPr>
      <w:r>
        <w:rPr>
          <w:rFonts w:hint="eastAsia"/>
        </w:rPr>
        <w:t>如果存在问题5-6，解决方法是降低团队离职率，做好人员备份，快速人员替换。</w:t>
      </w:r>
    </w:p>
    <w:p w14:paraId="2335F4E4">
      <w:pPr>
        <w:pStyle w:val="121"/>
        <w:pageBreakBefore w:val="0"/>
        <w:numPr>
          <w:ilvl w:val="0"/>
          <w:numId w:val="69"/>
        </w:numPr>
        <w:kinsoku/>
        <w:wordWrap/>
        <w:overflowPunct/>
        <w:topLinePunct w:val="0"/>
        <w:autoSpaceDE/>
        <w:autoSpaceDN/>
        <w:bidi w:val="0"/>
        <w:spacing w:before="120" w:after="120" w:line="360" w:lineRule="auto"/>
        <w:ind w:left="1332" w:firstLineChars="0"/>
        <w:textAlignment w:val="auto"/>
        <w:rPr>
          <w:rFonts w:ascii="宋体" w:hAnsi="宋体" w:eastAsia="宋体"/>
          <w:szCs w:val="24"/>
        </w:rPr>
      </w:pPr>
      <w:r>
        <w:rPr>
          <w:rFonts w:hint="eastAsia" w:ascii="宋体" w:hAnsi="宋体" w:eastAsia="宋体"/>
          <w:szCs w:val="24"/>
        </w:rPr>
        <w:t>建立鼓励机制</w:t>
      </w:r>
    </w:p>
    <w:p w14:paraId="291186FB">
      <w:pPr>
        <w:pageBreakBefore w:val="0"/>
        <w:kinsoku/>
        <w:wordWrap/>
        <w:overflowPunct/>
        <w:topLinePunct w:val="0"/>
        <w:autoSpaceDE/>
        <w:autoSpaceDN/>
        <w:bidi w:val="0"/>
        <w:spacing w:before="120" w:after="120" w:line="360" w:lineRule="auto"/>
        <w:ind w:firstLine="420"/>
        <w:textAlignment w:val="auto"/>
        <w:rPr>
          <w:rFonts w:cs="宋体"/>
        </w:rPr>
      </w:pPr>
      <w:r>
        <w:rPr>
          <w:rFonts w:hint="eastAsia" w:cs="宋体"/>
        </w:rPr>
        <w:t>建立一定的团队鼓励机制，如榜样激励、目标激励、授权激励、赞美激励、尊重激励等等，并不定期开展团队例会，对激励手段进行回顾和升级，增加团队凝聚力。</w:t>
      </w:r>
    </w:p>
    <w:p w14:paraId="2A478F77">
      <w:pPr>
        <w:pStyle w:val="121"/>
        <w:pageBreakBefore w:val="0"/>
        <w:numPr>
          <w:ilvl w:val="0"/>
          <w:numId w:val="69"/>
        </w:numPr>
        <w:kinsoku/>
        <w:wordWrap/>
        <w:overflowPunct/>
        <w:topLinePunct w:val="0"/>
        <w:autoSpaceDE/>
        <w:autoSpaceDN/>
        <w:bidi w:val="0"/>
        <w:spacing w:before="120" w:after="120" w:line="360" w:lineRule="auto"/>
        <w:ind w:left="1332" w:firstLineChars="0"/>
        <w:textAlignment w:val="auto"/>
        <w:rPr>
          <w:rFonts w:ascii="宋体" w:hAnsi="宋体" w:eastAsia="宋体"/>
          <w:szCs w:val="24"/>
        </w:rPr>
      </w:pPr>
      <w:r>
        <w:rPr>
          <w:rFonts w:hint="eastAsia" w:ascii="宋体" w:hAnsi="宋体" w:eastAsia="宋体"/>
          <w:szCs w:val="24"/>
        </w:rPr>
        <w:t>团队成长培训</w:t>
      </w:r>
    </w:p>
    <w:p w14:paraId="673B4E8A">
      <w:pPr>
        <w:pageBreakBefore w:val="0"/>
        <w:kinsoku/>
        <w:wordWrap/>
        <w:overflowPunct/>
        <w:topLinePunct w:val="0"/>
        <w:autoSpaceDE/>
        <w:autoSpaceDN/>
        <w:bidi w:val="0"/>
        <w:spacing w:before="120" w:after="120" w:line="360" w:lineRule="auto"/>
        <w:ind w:firstLine="420"/>
        <w:textAlignment w:val="auto"/>
      </w:pPr>
      <w:r>
        <w:rPr>
          <w:rFonts w:hint="eastAsia"/>
        </w:rPr>
        <w:t>良好的团队是一个成长性的团队。每个人作为团队的一员，只有团队中的成员成长了那么团队才能成长，只有团队中的个体成功了才能使整体的团队成功。所以为团队中每个人提供一个成长的环境将至关重要。团队中每个成员都有自己的目标，针对每个成员的目标对应的提供成长环境。例如：为团队成员提供培训学习的机会，为团队成员个人职业发展提供更多可能的机会。开展多元化的培训，让团队成员有学习的机会、提升的空间。</w:t>
      </w:r>
    </w:p>
    <w:p w14:paraId="674172C2">
      <w:pPr>
        <w:pStyle w:val="121"/>
        <w:pageBreakBefore w:val="0"/>
        <w:numPr>
          <w:ilvl w:val="0"/>
          <w:numId w:val="69"/>
        </w:numPr>
        <w:kinsoku/>
        <w:wordWrap/>
        <w:overflowPunct/>
        <w:topLinePunct w:val="0"/>
        <w:autoSpaceDE/>
        <w:autoSpaceDN/>
        <w:bidi w:val="0"/>
        <w:spacing w:before="120" w:after="120" w:line="360" w:lineRule="auto"/>
        <w:ind w:left="1332" w:firstLineChars="0"/>
        <w:textAlignment w:val="auto"/>
        <w:rPr>
          <w:rFonts w:ascii="宋体" w:hAnsi="宋体" w:eastAsia="宋体"/>
          <w:szCs w:val="24"/>
        </w:rPr>
      </w:pPr>
      <w:r>
        <w:rPr>
          <w:rFonts w:hint="eastAsia" w:ascii="宋体" w:hAnsi="宋体" w:eastAsia="宋体"/>
          <w:szCs w:val="24"/>
        </w:rPr>
        <w:t>规划人员备份</w:t>
      </w:r>
    </w:p>
    <w:p w14:paraId="5596BB91">
      <w:pPr>
        <w:pageBreakBefore w:val="0"/>
        <w:kinsoku/>
        <w:wordWrap/>
        <w:overflowPunct/>
        <w:topLinePunct w:val="0"/>
        <w:autoSpaceDE/>
        <w:autoSpaceDN/>
        <w:bidi w:val="0"/>
        <w:spacing w:before="120" w:after="120" w:line="360" w:lineRule="auto"/>
        <w:ind w:firstLine="420"/>
        <w:textAlignment w:val="auto"/>
      </w:pPr>
      <w:r>
        <w:rPr>
          <w:rFonts w:hint="eastAsia"/>
        </w:rPr>
        <w:t>1. 对于关键事务的负责人，指定一个备份人员。保证备份人员熟悉关键事务，可以快速接手。</w:t>
      </w:r>
    </w:p>
    <w:p w14:paraId="5188A385">
      <w:pPr>
        <w:pageBreakBefore w:val="0"/>
        <w:kinsoku/>
        <w:wordWrap/>
        <w:overflowPunct/>
        <w:topLinePunct w:val="0"/>
        <w:autoSpaceDE/>
        <w:autoSpaceDN/>
        <w:bidi w:val="0"/>
        <w:spacing w:before="120" w:after="120" w:line="360" w:lineRule="auto"/>
        <w:ind w:firstLine="420"/>
        <w:textAlignment w:val="auto"/>
      </w:pPr>
      <w:r>
        <w:rPr>
          <w:rFonts w:hint="eastAsia"/>
        </w:rPr>
        <w:t>2. 对于项目需求，在组内召开用例评审、项目复盘。除了保证测试质量和测试效率外，还可以使其他人了解该需求。</w:t>
      </w:r>
    </w:p>
    <w:p w14:paraId="3E2C1317">
      <w:pPr>
        <w:pageBreakBefore w:val="0"/>
        <w:kinsoku/>
        <w:wordWrap/>
        <w:overflowPunct/>
        <w:topLinePunct w:val="0"/>
        <w:autoSpaceDE/>
        <w:autoSpaceDN/>
        <w:bidi w:val="0"/>
        <w:spacing w:before="120" w:after="120" w:line="360" w:lineRule="auto"/>
        <w:ind w:firstLine="420"/>
        <w:textAlignment w:val="auto"/>
      </w:pPr>
      <w:r>
        <w:rPr>
          <w:rFonts w:hint="eastAsia"/>
        </w:rPr>
        <w:t>3. 规定组内测试文档、管理文档的标准，建立相应机制，确保文档完备。</w:t>
      </w:r>
    </w:p>
    <w:p w14:paraId="16BD4EC4">
      <w:pPr>
        <w:pStyle w:val="121"/>
        <w:pageBreakBefore w:val="0"/>
        <w:numPr>
          <w:ilvl w:val="0"/>
          <w:numId w:val="69"/>
        </w:numPr>
        <w:kinsoku/>
        <w:wordWrap/>
        <w:overflowPunct/>
        <w:topLinePunct w:val="0"/>
        <w:autoSpaceDE/>
        <w:autoSpaceDN/>
        <w:bidi w:val="0"/>
        <w:spacing w:before="120" w:after="120" w:line="360" w:lineRule="auto"/>
        <w:ind w:left="1332" w:firstLineChars="0"/>
        <w:textAlignment w:val="auto"/>
        <w:rPr>
          <w:rFonts w:ascii="宋体" w:hAnsi="宋体" w:eastAsia="宋体"/>
          <w:szCs w:val="24"/>
        </w:rPr>
      </w:pPr>
      <w:r>
        <w:rPr>
          <w:rFonts w:hint="eastAsia" w:ascii="宋体" w:hAnsi="宋体" w:eastAsia="宋体"/>
          <w:szCs w:val="24"/>
        </w:rPr>
        <w:t>快速人员替换</w:t>
      </w:r>
    </w:p>
    <w:p w14:paraId="43DBCB1E">
      <w:pPr>
        <w:pageBreakBefore w:val="0"/>
        <w:numPr>
          <w:ilvl w:val="0"/>
          <w:numId w:val="70"/>
        </w:numPr>
        <w:kinsoku/>
        <w:wordWrap/>
        <w:overflowPunct/>
        <w:topLinePunct w:val="0"/>
        <w:autoSpaceDE/>
        <w:autoSpaceDN/>
        <w:bidi w:val="0"/>
        <w:spacing w:before="120" w:after="120" w:line="360" w:lineRule="auto"/>
        <w:textAlignment w:val="auto"/>
      </w:pPr>
      <w:r>
        <w:rPr>
          <w:rFonts w:hint="eastAsia"/>
        </w:rPr>
        <w:t>如果人员备份完善、组内文档完备，那么人员离职后，可以快速由组内现有人员暂时接手离职人员负责的事务。</w:t>
      </w:r>
    </w:p>
    <w:p w14:paraId="725B7235">
      <w:pPr>
        <w:pageBreakBefore w:val="0"/>
        <w:numPr>
          <w:ilvl w:val="0"/>
          <w:numId w:val="70"/>
        </w:numPr>
        <w:kinsoku/>
        <w:wordWrap/>
        <w:overflowPunct/>
        <w:topLinePunct w:val="0"/>
        <w:autoSpaceDE/>
        <w:autoSpaceDN/>
        <w:bidi w:val="0"/>
        <w:spacing w:before="120" w:after="120" w:line="360" w:lineRule="auto"/>
        <w:textAlignment w:val="auto"/>
      </w:pPr>
      <w:r>
        <w:rPr>
          <w:rFonts w:hint="eastAsia"/>
        </w:rPr>
        <w:t>人员离职后，尽快招聘填补空缺。</w:t>
      </w:r>
    </w:p>
    <w:p w14:paraId="2BC343FB">
      <w:pPr>
        <w:pStyle w:val="9"/>
        <w:pageBreakBefore w:val="0"/>
        <w:numPr>
          <w:ilvl w:val="2"/>
          <w:numId w:val="12"/>
        </w:numPr>
        <w:tabs>
          <w:tab w:val="left" w:pos="0"/>
        </w:tabs>
        <w:kinsoku/>
        <w:wordWrap/>
        <w:overflowPunct/>
        <w:topLinePunct w:val="0"/>
        <w:autoSpaceDE/>
        <w:autoSpaceDN/>
        <w:bidi w:val="0"/>
        <w:spacing w:line="360" w:lineRule="auto"/>
        <w:textAlignment w:val="auto"/>
      </w:pPr>
      <w:bookmarkStart w:id="786" w:name="_Toc480578210"/>
      <w:bookmarkStart w:id="787" w:name="_Toc2144043689"/>
      <w:bookmarkStart w:id="788" w:name="_Toc1672856925"/>
      <w:bookmarkStart w:id="789" w:name="_Toc29741"/>
      <w:bookmarkStart w:id="790" w:name="_Toc75165213"/>
      <w:bookmarkStart w:id="791" w:name="_Toc23440"/>
      <w:bookmarkStart w:id="792" w:name="_Toc29262"/>
      <w:r>
        <w:rPr>
          <w:rFonts w:hint="eastAsia"/>
          <w:lang w:eastAsia="zh-CN"/>
        </w:rPr>
        <w:t>售后服务方案</w:t>
      </w:r>
      <w:bookmarkEnd w:id="786"/>
      <w:bookmarkEnd w:id="787"/>
      <w:bookmarkEnd w:id="788"/>
    </w:p>
    <w:p w14:paraId="5EB66550">
      <w:pPr>
        <w:pStyle w:val="10"/>
        <w:pageBreakBefore w:val="0"/>
        <w:numPr>
          <w:ilvl w:val="3"/>
          <w:numId w:val="12"/>
        </w:numPr>
        <w:kinsoku/>
        <w:wordWrap/>
        <w:overflowPunct/>
        <w:topLinePunct w:val="0"/>
        <w:autoSpaceDE/>
        <w:autoSpaceDN/>
        <w:bidi w:val="0"/>
        <w:spacing w:line="360" w:lineRule="auto"/>
        <w:textAlignment w:val="auto"/>
      </w:pPr>
      <w:bookmarkStart w:id="793" w:name="_Toc306634214"/>
      <w:bookmarkStart w:id="794" w:name="_Toc370357765"/>
      <w:r>
        <w:rPr>
          <w:rFonts w:hint="eastAsia"/>
          <w:lang w:eastAsia="zh-CN"/>
        </w:rPr>
        <w:t>售后服务范围</w:t>
      </w:r>
      <w:r>
        <w:rPr>
          <w:rFonts w:hint="eastAsia"/>
        </w:rPr>
        <w:t>内容</w:t>
      </w:r>
      <w:bookmarkEnd w:id="793"/>
      <w:bookmarkEnd w:id="794"/>
    </w:p>
    <w:p w14:paraId="285FA9F5">
      <w:pPr>
        <w:pageBreakBefore w:val="0"/>
        <w:kinsoku/>
        <w:wordWrap/>
        <w:overflowPunct/>
        <w:topLinePunct w:val="0"/>
        <w:autoSpaceDE/>
        <w:autoSpaceDN/>
        <w:bidi w:val="0"/>
        <w:spacing w:line="360" w:lineRule="auto"/>
        <w:ind w:firstLine="480" w:firstLineChars="200"/>
        <w:textAlignment w:val="auto"/>
      </w:pPr>
      <w:r>
        <w:rPr>
          <w:rFonts w:hint="eastAsia"/>
        </w:rPr>
        <w:t>我司充分理解并满足招标文件对运维、售后的要求，可充分满足以下要求，并</w:t>
      </w:r>
      <w:r>
        <w:rPr>
          <w:rFonts w:hint="eastAsia"/>
          <w:lang w:eastAsia="zh-CN"/>
        </w:rPr>
        <w:t>在此</w:t>
      </w:r>
      <w:r>
        <w:rPr>
          <w:rFonts w:hint="eastAsia"/>
        </w:rPr>
        <w:t>基础上提供更加全面的运维和售后服务保障。</w:t>
      </w:r>
    </w:p>
    <w:p w14:paraId="6E89C236">
      <w:pPr>
        <w:pageBreakBefore w:val="0"/>
        <w:kinsoku/>
        <w:wordWrap/>
        <w:overflowPunct/>
        <w:topLinePunct w:val="0"/>
        <w:autoSpaceDE/>
        <w:autoSpaceDN/>
        <w:bidi w:val="0"/>
        <w:spacing w:line="360" w:lineRule="auto"/>
        <w:ind w:firstLine="480" w:firstLineChars="200"/>
        <w:textAlignment w:val="auto"/>
      </w:pPr>
      <w:r>
        <w:rPr>
          <w:rFonts w:hint="eastAsia"/>
        </w:rPr>
        <w:t>（</w:t>
      </w:r>
      <w:r>
        <w:t>1</w:t>
      </w:r>
      <w:r>
        <w:rPr>
          <w:rFonts w:hint="eastAsia"/>
        </w:rPr>
        <w:t>）提供保证系统正常稳定运行的功能扩充、版本更新服务。</w:t>
      </w:r>
    </w:p>
    <w:p w14:paraId="55C66D4C">
      <w:pPr>
        <w:pageBreakBefore w:val="0"/>
        <w:kinsoku/>
        <w:wordWrap/>
        <w:overflowPunct/>
        <w:topLinePunct w:val="0"/>
        <w:autoSpaceDE/>
        <w:autoSpaceDN/>
        <w:bidi w:val="0"/>
        <w:spacing w:line="360" w:lineRule="auto"/>
        <w:ind w:firstLine="480" w:firstLineChars="200"/>
        <w:textAlignment w:val="auto"/>
      </w:pPr>
      <w:r>
        <w:rPr>
          <w:rFonts w:hint="eastAsia"/>
        </w:rPr>
        <w:t>（</w:t>
      </w:r>
      <w:r>
        <w:t>2</w:t>
      </w:r>
      <w:r>
        <w:rPr>
          <w:rFonts w:hint="eastAsia"/>
        </w:rPr>
        <w:t>）提出并实施改进系统性能的各项建议，包括硬件配置优化和系统性能优化建议等。</w:t>
      </w:r>
    </w:p>
    <w:p w14:paraId="5BD857FA">
      <w:pPr>
        <w:pageBreakBefore w:val="0"/>
        <w:kinsoku/>
        <w:wordWrap/>
        <w:overflowPunct/>
        <w:topLinePunct w:val="0"/>
        <w:autoSpaceDE/>
        <w:autoSpaceDN/>
        <w:bidi w:val="0"/>
        <w:spacing w:line="360" w:lineRule="auto"/>
        <w:ind w:firstLine="480" w:firstLineChars="200"/>
        <w:textAlignment w:val="auto"/>
      </w:pPr>
      <w:r>
        <w:rPr>
          <w:rFonts w:hint="eastAsia"/>
        </w:rPr>
        <w:t>（</w:t>
      </w:r>
      <w:r>
        <w:t>3</w:t>
      </w:r>
      <w:r>
        <w:rPr>
          <w:rFonts w:hint="eastAsia"/>
        </w:rPr>
        <w:t>）提供免费的系统应用和维护技术咨询服务。</w:t>
      </w:r>
    </w:p>
    <w:p w14:paraId="322019E6">
      <w:pPr>
        <w:pageBreakBefore w:val="0"/>
        <w:kinsoku/>
        <w:wordWrap/>
        <w:overflowPunct/>
        <w:topLinePunct w:val="0"/>
        <w:autoSpaceDE/>
        <w:autoSpaceDN/>
        <w:bidi w:val="0"/>
        <w:spacing w:line="360" w:lineRule="auto"/>
        <w:ind w:firstLine="480" w:firstLineChars="200"/>
        <w:textAlignment w:val="auto"/>
      </w:pPr>
      <w:r>
        <w:rPr>
          <w:rFonts w:hint="eastAsia"/>
        </w:rPr>
        <w:t>（</w:t>
      </w:r>
      <w:r>
        <w:t>4</w:t>
      </w:r>
      <w:r>
        <w:rPr>
          <w:rFonts w:hint="eastAsia"/>
        </w:rPr>
        <w:t>）提供技术支持响应，一般故障</w:t>
      </w:r>
      <w:r>
        <w:t>1</w:t>
      </w:r>
      <w:r>
        <w:rPr>
          <w:rFonts w:hint="eastAsia"/>
        </w:rPr>
        <w:t>小时内解决，重大故障</w:t>
      </w:r>
      <w:r>
        <w:t>4</w:t>
      </w:r>
      <w:r>
        <w:rPr>
          <w:rFonts w:hint="eastAsia"/>
        </w:rPr>
        <w:t>小时内解决。</w:t>
      </w:r>
    </w:p>
    <w:p w14:paraId="66921954">
      <w:pPr>
        <w:pageBreakBefore w:val="0"/>
        <w:kinsoku/>
        <w:wordWrap/>
        <w:overflowPunct/>
        <w:topLinePunct w:val="0"/>
        <w:autoSpaceDE/>
        <w:autoSpaceDN/>
        <w:bidi w:val="0"/>
        <w:spacing w:line="360" w:lineRule="auto"/>
        <w:ind w:firstLine="480" w:firstLineChars="200"/>
        <w:textAlignment w:val="auto"/>
        <w:rPr>
          <w:lang w:eastAsia="zh-Hans"/>
        </w:rPr>
      </w:pPr>
      <w:r>
        <w:rPr>
          <w:rFonts w:hint="eastAsia"/>
        </w:rPr>
        <w:t>（</w:t>
      </w:r>
      <w:r>
        <w:t>5</w:t>
      </w:r>
      <w:r>
        <w:rPr>
          <w:rFonts w:hint="eastAsia"/>
        </w:rPr>
        <w:t>）在运维服务期内或运维服务结束后，我司承诺根据招标人的要求完成运维的交接工作，协助招标方技术人员或其它运维服务商接手相关的运维工作。</w:t>
      </w:r>
    </w:p>
    <w:p w14:paraId="6AC0DCA5">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p>
    <w:p w14:paraId="5A7229AB">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系统维护是面向系统中各个构成因素的，按照维护对象不同，系统维护的内容可分为以下几类：</w:t>
      </w:r>
    </w:p>
    <w:p w14:paraId="318EA025">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1）系统应用程序维护。应用软件维护是系统维护的最主要内容。它是指对相应的应用程序及有关文档进行的修改和完善。系统的业务处理过程是通过应用程序的运行而实现的，一旦程序发生问题或业务发生变化，就必然地引起程序的修改和调整，因此系统维护的主要活动是对程序进行维护。</w:t>
      </w:r>
    </w:p>
    <w:p w14:paraId="209D8ED7">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2）数据维护。数据库是支撑业务运作的基础平台，需要定期检查运行状态。业务处理对数据的需求是不断发生变化的，除了系统中主体业务数据的定期正常更新外，还有许多数据需要进行不定期的更新，或随环境或业务的变化而进行调整，以及数据内容的增加、数据结构的调整。此外，数据的备份与恢复等，都是数据维护的工作内容。</w:t>
      </w:r>
    </w:p>
    <w:p w14:paraId="614502E3">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（3）代码维护。代码维护是指对原有的代码进行的扩充、添加或删除等维护工作。随着系统应用范围的扩大，应用环境的变化，系统中的各种代码都需要进行一定程度的增加、修改、删除，以及设置新的代码。</w:t>
      </w:r>
    </w:p>
    <w:p w14:paraId="2BB1B81B">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（4）硬件设备维护。主要就是指对</w:t>
      </w:r>
      <w:r>
        <w:rPr>
          <w:rFonts w:hint="eastAsia" w:cs="宋体"/>
          <w:lang w:val="zh-CN" w:eastAsia="zh-Hans"/>
        </w:rPr>
        <w:fldChar w:fldCharType="begin"/>
      </w:r>
      <w:r>
        <w:rPr>
          <w:rFonts w:hint="eastAsia" w:cs="宋体"/>
          <w:lang w:val="zh-CN" w:eastAsia="zh-Hans"/>
        </w:rPr>
        <w:instrText xml:space="preserve"> HYPERLINK "https://baike.baidu.com/item/%E4%B8%BB%E6%9C%BA" \t "_blank" </w:instrText>
      </w:r>
      <w:r>
        <w:rPr>
          <w:rFonts w:hint="eastAsia" w:cs="宋体"/>
          <w:lang w:val="zh-CN" w:eastAsia="zh-Hans"/>
        </w:rPr>
        <w:fldChar w:fldCharType="separate"/>
      </w:r>
      <w:r>
        <w:rPr>
          <w:rFonts w:hint="eastAsia" w:cs="宋体"/>
          <w:lang w:val="zh-CN" w:eastAsia="zh-Hans"/>
        </w:rPr>
        <w:t>主机</w:t>
      </w:r>
      <w:r>
        <w:rPr>
          <w:rFonts w:hint="eastAsia" w:cs="宋体"/>
          <w:lang w:val="zh-CN" w:eastAsia="zh-Hans"/>
        </w:rPr>
        <w:fldChar w:fldCharType="end"/>
      </w:r>
      <w:r>
        <w:rPr>
          <w:rFonts w:hint="eastAsia" w:cs="宋体"/>
          <w:lang w:val="zh-CN" w:eastAsia="zh-Hans"/>
        </w:rPr>
        <w:t>及外设的日常维护和管理，如机器部件的清洗、润滑，设备故障的检修，易损部件的更换等，这些工作都应由专人负责，定期进行，以保证系统正常有效地工作。</w:t>
      </w:r>
    </w:p>
    <w:p w14:paraId="4BED6E8D">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（5）机构和人员的变动。信息系统是</w:t>
      </w:r>
      <w:r>
        <w:rPr>
          <w:rFonts w:hint="eastAsia" w:cs="宋体"/>
          <w:lang w:val="zh-CN" w:eastAsia="zh-Hans"/>
        </w:rPr>
        <w:fldChar w:fldCharType="begin"/>
      </w:r>
      <w:r>
        <w:rPr>
          <w:rFonts w:hint="eastAsia" w:cs="宋体"/>
          <w:lang w:val="zh-CN" w:eastAsia="zh-Hans"/>
        </w:rPr>
        <w:instrText xml:space="preserve"> HYPERLINK "https://baike.baidu.com/item/%E4%BA%BA%E6%9C%BA%E7%B3%BB%E7%BB%9F" \t "_blank" </w:instrText>
      </w:r>
      <w:r>
        <w:rPr>
          <w:rFonts w:hint="eastAsia" w:cs="宋体"/>
          <w:lang w:val="zh-CN" w:eastAsia="zh-Hans"/>
        </w:rPr>
        <w:fldChar w:fldCharType="separate"/>
      </w:r>
      <w:r>
        <w:rPr>
          <w:rFonts w:hint="eastAsia" w:cs="宋体"/>
          <w:lang w:val="zh-CN" w:eastAsia="zh-Hans"/>
        </w:rPr>
        <w:t>人机系统</w:t>
      </w:r>
      <w:r>
        <w:rPr>
          <w:rFonts w:hint="eastAsia" w:cs="宋体"/>
          <w:lang w:val="zh-CN" w:eastAsia="zh-Hans"/>
        </w:rPr>
        <w:fldChar w:fldCharType="end"/>
      </w:r>
      <w:r>
        <w:rPr>
          <w:rFonts w:hint="eastAsia" w:cs="宋体"/>
          <w:lang w:val="zh-CN" w:eastAsia="zh-Hans"/>
        </w:rPr>
        <w:t>，人工处理也占有重要地位，人的作用占主导地位。为了使信息系统的流程更加合理，有时涉及到机构和人员的变动。这种变化往往也会影响对设备和程序的维护工作。</w:t>
      </w:r>
    </w:p>
    <w:p w14:paraId="6BB9F94B">
      <w:pPr>
        <w:pStyle w:val="12"/>
        <w:pageBreakBefore w:val="0"/>
        <w:numPr>
          <w:ilvl w:val="4"/>
          <w:numId w:val="12"/>
        </w:numPr>
        <w:kinsoku/>
        <w:wordWrap/>
        <w:overflowPunct/>
        <w:topLinePunct w:val="0"/>
        <w:autoSpaceDE/>
        <w:autoSpaceDN/>
        <w:bidi w:val="0"/>
        <w:spacing w:line="360" w:lineRule="auto"/>
        <w:textAlignment w:val="auto"/>
      </w:pPr>
      <w:bookmarkStart w:id="795" w:name="_Toc151645487"/>
      <w:r>
        <w:rPr>
          <w:rFonts w:hint="eastAsia"/>
        </w:rPr>
        <w:t>系统维护类型</w:t>
      </w:r>
      <w:bookmarkEnd w:id="795"/>
    </w:p>
    <w:p w14:paraId="140EEA57">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系统维护的重点是系统应用软件的维护工作，按照软件维护的不同性质划分为下述四种类型。</w:t>
      </w:r>
    </w:p>
    <w:p w14:paraId="4E5CEA3C">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（1）纠错性维护</w:t>
      </w:r>
    </w:p>
    <w:p w14:paraId="08F34534">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信息系统交付后，由于系统测试不可能揭露系统存在的所有错误，因此在系统投入运行后频繁的实际应用过程中，就有可能暴露出系统内隐藏的错误。诊断和修正系统中遗留的错误，就是纠错性维护。纠错性维护时在系统运行中发生异常或故障时进行的，这种错误往往是遇到了从未用过的输入数据组合或是在与其他部分接口处产生的，因此只是在某些特定的情况下发生。改正性维护周期伴随信息系统运行全程。</w:t>
      </w:r>
    </w:p>
    <w:p w14:paraId="2E292A8B">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（2）适应性维护</w:t>
      </w:r>
    </w:p>
    <w:p w14:paraId="5DBA7354">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适应性维护时为了使系统适应环境的变化而进行的维护工作。一方面计算机科学技术迅速发展，硬件的更新周期越来越短，新的操作系统和原来操作系统的新版本不断推出，外部设备和其他系统部件经常有所增加和修改，这就是必然要求信息系统能够适应新的软硬件环境，以提高系统的性能和运行效率；另一方面，信息系统的使用寿命在延长，超过了最初开发这个系统时应用环境的寿命，即应用对象也在不断发生变化，机构的调整，管理体制的改变、数据与信息需求的变更等都将导致系统不能适应新的应用环境。如代码改变、数据结构变化、数据格式以及输入/ 输出方式的变化、数据存储介质的变化等，都将直接影响系统的正常工作。因此有必要对系统进行调整，使之适应应用对象的变化，满足用户的需求。</w:t>
      </w:r>
    </w:p>
    <w:p w14:paraId="435FB863">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（3）完善性维护</w:t>
      </w:r>
    </w:p>
    <w:p w14:paraId="0C31AF4C">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在信息系统的使用过程中，用户往往要求扩充原有系统的功能，增加一些在软件需求规范书中没有规定的功能与性能特征，以及对处理效率和编写程序的改进。例如增加数据输出的图形方式；增加联机在线帮助功能；调整用户界面等。尽管这些要求在原来系统开发的需求规格说明书中并没有，但用户要求在原有系统基础上进一步改善和提高；并且随着用户对系统的使用和熟悉，这种要求可能不断提出。为了满足这些要求而进行的系统维护工作就是完善性维护。完善性维护周期由项目新需求衍生。</w:t>
      </w:r>
    </w:p>
    <w:p w14:paraId="698B33EE">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（4）预防性维护</w:t>
      </w:r>
    </w:p>
    <w:p w14:paraId="30576E7D">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系统维护工作不应总是被动地等待用户提出要求后才进行，应进行主动的预防性维护，即选择那些还有较长使用寿命，目前尚能正常运行，但可能将要发生变化或调整的系统进行维护，目的是通过预防性维护为未来的修改与调整奠定更好的基础。例如，将目前能应用的报表功能改成通用报表生成功能，以应付今后报表内容和格式可能的变化。</w:t>
      </w:r>
    </w:p>
    <w:p w14:paraId="1538A57F">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根据对各种维护工作分布情况的统计结果，一般纠错性维护占21%，适应性维护工作占25%，完善性维护达到50%，而预防性维护以及其他类型的维护仅占4%，可见系统维护工作中，一半以上的工作是完善性维护。</w:t>
      </w:r>
    </w:p>
    <w:p w14:paraId="350F6E75">
      <w:pPr>
        <w:pStyle w:val="12"/>
        <w:pageBreakBefore w:val="0"/>
        <w:numPr>
          <w:ilvl w:val="4"/>
          <w:numId w:val="12"/>
        </w:numPr>
        <w:kinsoku/>
        <w:wordWrap/>
        <w:overflowPunct/>
        <w:topLinePunct w:val="0"/>
        <w:autoSpaceDE/>
        <w:autoSpaceDN/>
        <w:bidi w:val="0"/>
        <w:spacing w:line="360" w:lineRule="auto"/>
        <w:textAlignment w:val="auto"/>
      </w:pPr>
      <w:bookmarkStart w:id="796" w:name="_Toc525946180"/>
      <w:r>
        <w:rPr>
          <w:rFonts w:hint="eastAsia"/>
        </w:rPr>
        <w:t>维护考虑因素</w:t>
      </w:r>
      <w:bookmarkEnd w:id="796"/>
    </w:p>
    <w:p w14:paraId="07E5F255">
      <w:pPr>
        <w:pageBreakBefore w:val="0"/>
        <w:kinsoku/>
        <w:wordWrap/>
        <w:overflowPunct/>
        <w:topLinePunct w:val="0"/>
        <w:autoSpaceDE/>
        <w:autoSpaceDN/>
        <w:bidi w:val="0"/>
        <w:adjustRightInd w:val="0"/>
        <w:snapToGrid w:val="0"/>
        <w:spacing w:line="360" w:lineRule="auto"/>
        <w:ind w:firstLine="480" w:firstLineChars="200"/>
        <w:textAlignment w:val="auto"/>
        <w:rPr>
          <w:rFonts w:cs="宋体"/>
          <w:lang w:val="zh-CN" w:eastAsia="zh-Hans"/>
        </w:rPr>
      </w:pPr>
      <w:r>
        <w:rPr>
          <w:rFonts w:hint="eastAsia" w:cs="宋体"/>
          <w:lang w:val="zh-CN" w:eastAsia="zh-Hans"/>
        </w:rPr>
        <w:t>系统维护不仅范围广，而且影响因素很多。通常，在进行某项维护修改工作之前，需要考虑三方面的因素，分别是：</w:t>
      </w:r>
    </w:p>
    <w:p w14:paraId="4DC0750E">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（1）维护背景</w:t>
      </w:r>
    </w:p>
    <w:p w14:paraId="40E76E68">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系统的当前情况；</w:t>
      </w:r>
    </w:p>
    <w:p w14:paraId="6CC17E7C">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维护对象；</w:t>
      </w:r>
    </w:p>
    <w:p w14:paraId="3677E1A2">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维护工作的复杂性与规模。</w:t>
      </w:r>
    </w:p>
    <w:p w14:paraId="7F82B453">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（2）维护工作的影响</w:t>
      </w:r>
    </w:p>
    <w:p w14:paraId="2EE89AA4">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对新系统目标的影响；</w:t>
      </w:r>
    </w:p>
    <w:p w14:paraId="52C4B138">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对当前工作进度的影响；</w:t>
      </w:r>
    </w:p>
    <w:p w14:paraId="17D90F9C">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对本系统其它部分的影响；</w:t>
      </w:r>
    </w:p>
    <w:p w14:paraId="2DE53DD1">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对其他系统的影响。</w:t>
      </w:r>
    </w:p>
    <w:p w14:paraId="2BEB21BD">
      <w:pPr>
        <w:pageBreakBefore w:val="0"/>
        <w:kinsoku/>
        <w:wordWrap/>
        <w:overflowPunct/>
        <w:topLinePunct w:val="0"/>
        <w:autoSpaceDE/>
        <w:autoSpaceDN/>
        <w:bidi w:val="0"/>
        <w:adjustRightInd w:val="0"/>
        <w:snapToGrid w:val="0"/>
        <w:spacing w:line="360" w:lineRule="auto"/>
        <w:ind w:firstLine="480" w:firstLineChars="200"/>
        <w:textAlignment w:val="auto"/>
        <w:rPr>
          <w:rFonts w:cs="等线"/>
          <w:bCs/>
        </w:rPr>
      </w:pPr>
      <w:r>
        <w:rPr>
          <w:rFonts w:hint="eastAsia" w:cs="等线"/>
          <w:bCs/>
        </w:rPr>
        <w:t>（3）资源要求</w:t>
      </w:r>
    </w:p>
    <w:p w14:paraId="54046755">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对维护提出的时间要求；</w:t>
      </w:r>
    </w:p>
    <w:p w14:paraId="5B79658F">
      <w:pPr>
        <w:pageBreakBefore w:val="0"/>
        <w:numPr>
          <w:ilvl w:val="0"/>
          <w:numId w:val="71"/>
        </w:numPr>
        <w:kinsoku/>
        <w:wordWrap/>
        <w:overflowPunct/>
        <w:topLinePunct w:val="0"/>
        <w:autoSpaceDE/>
        <w:autoSpaceDN/>
        <w:bidi w:val="0"/>
        <w:adjustRightInd w:val="0"/>
        <w:snapToGrid w:val="0"/>
        <w:spacing w:line="360" w:lineRule="auto"/>
        <w:ind w:left="0" w:firstLine="480" w:firstLineChars="200"/>
        <w:textAlignment w:val="auto"/>
        <w:rPr>
          <w:rFonts w:cs="Arial"/>
        </w:rPr>
      </w:pPr>
      <w:r>
        <w:rPr>
          <w:rFonts w:hint="eastAsia" w:cs="Arial"/>
        </w:rPr>
        <w:t>维护所需的工作人员；</w:t>
      </w:r>
    </w:p>
    <w:p w14:paraId="3E06C832">
      <w:pPr>
        <w:pStyle w:val="12"/>
        <w:pageBreakBefore w:val="0"/>
        <w:numPr>
          <w:ilvl w:val="4"/>
          <w:numId w:val="12"/>
        </w:numPr>
        <w:kinsoku/>
        <w:wordWrap/>
        <w:overflowPunct/>
        <w:topLinePunct w:val="0"/>
        <w:autoSpaceDE/>
        <w:autoSpaceDN/>
        <w:bidi w:val="0"/>
        <w:spacing w:line="360" w:lineRule="auto"/>
        <w:textAlignment w:val="auto"/>
      </w:pPr>
      <w:bookmarkStart w:id="797" w:name="_Toc1634675113"/>
      <w:r>
        <w:rPr>
          <w:rFonts w:hint="eastAsia"/>
        </w:rPr>
        <w:t>维护组织管理</w:t>
      </w:r>
      <w:bookmarkEnd w:id="797"/>
    </w:p>
    <w:p w14:paraId="5B5421DA">
      <w:pPr>
        <w:pageBreakBefore w:val="0"/>
        <w:kinsoku/>
        <w:wordWrap/>
        <w:overflowPunct/>
        <w:topLinePunct w:val="0"/>
        <w:autoSpaceDE/>
        <w:autoSpaceDN/>
        <w:bidi w:val="0"/>
        <w:spacing w:before="120" w:after="120" w:line="360" w:lineRule="auto"/>
        <w:ind w:firstLine="420"/>
        <w:textAlignment w:val="auto"/>
        <w:rPr>
          <w:rFonts w:cs="宋体"/>
          <w:lang w:val="zh-CN"/>
        </w:rPr>
      </w:pPr>
      <w:r>
        <w:rPr>
          <w:rFonts w:hint="eastAsia" w:cs="宋体"/>
          <w:lang w:val="zh-CN"/>
        </w:rPr>
        <w:t>系统维护工作并不仅仅是技术性工作，为了保证系统维护工作的质量，需要付出大量的管理工作。系统投入运行后，事实上在一项具体的维护要求提出之前，系统维护工作就已经开始了。系统维护工作，首先必须建立相应的组织，确定进行维护工作所应遵守的原则和规范化的过程，此外还应建立一套适用于具体系统维护过程的文档及管理措施，以及进行复审的标准。</w:t>
      </w:r>
    </w:p>
    <w:p w14:paraId="6A24B962">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系统维护之所有要按照严格的步骤进行，是为了防止未经允许的擅自修改系统，因为无论是用户直接找程序人还是程序人员自行修改程序，都将引起系统混乱，如出现不及时更新文档造成程序与文档不一致，多个人修改的结果不一致，以及缺乏全局考虑的局部修改等。当然维护审批过程的环节多也可能带来反应速度慢，因此当系统发生恶性或紧急故障时，也即出现所谓“救火”的维护要求是，需立即动用资源解决问题，以保证业务工作的连续进行。</w:t>
      </w:r>
    </w:p>
    <w:p w14:paraId="54F4BD1F">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为了评价维护的有效性，确定系统的质量，记载系统所经历过的维护内容，应将维护工作的全部内容以文档的规范化形式记录下来，主要包括维护对象、规模、语言、运行和错误发生的情况，维护所进行的修改情况，以及维护所付出得代价等，作为系统开发文档的一部分，形成历史资料，以便于日后备查。</w:t>
      </w:r>
    </w:p>
    <w:p w14:paraId="3156FDE6">
      <w:pPr>
        <w:pStyle w:val="12"/>
        <w:pageBreakBefore w:val="0"/>
        <w:numPr>
          <w:ilvl w:val="4"/>
          <w:numId w:val="12"/>
        </w:numPr>
        <w:kinsoku/>
        <w:wordWrap/>
        <w:overflowPunct/>
        <w:topLinePunct w:val="0"/>
        <w:autoSpaceDE/>
        <w:autoSpaceDN/>
        <w:bidi w:val="0"/>
        <w:spacing w:line="360" w:lineRule="auto"/>
        <w:textAlignment w:val="auto"/>
      </w:pPr>
      <w:bookmarkStart w:id="798" w:name="_Toc169157552"/>
      <w:r>
        <w:rPr>
          <w:rFonts w:hint="eastAsia"/>
        </w:rPr>
        <w:t>维护任务分析</w:t>
      </w:r>
      <w:bookmarkEnd w:id="798"/>
    </w:p>
    <w:p w14:paraId="4D761A27">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对需要维护的任务进行评估，哪些维护任务是可以在线进行维护的，哪些维护任务是必须停机维护的，对于维护任务需要确认维护任务时长，并预留应急处理方案及时间。</w:t>
      </w:r>
    </w:p>
    <w:p w14:paraId="68A63B6A">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w:t>
      </w:r>
      <w:r>
        <w:rPr>
          <w:rFonts w:hint="eastAsia" w:cs="宋体"/>
        </w:rPr>
        <w:t>1</w:t>
      </w:r>
      <w:r>
        <w:rPr>
          <w:rFonts w:hint="eastAsia" w:cs="宋体"/>
          <w:lang w:val="zh-CN" w:eastAsia="zh-Hans"/>
        </w:rPr>
        <w:t>）在线维护任务（实时）</w:t>
      </w:r>
    </w:p>
    <w:p w14:paraId="2C75CC60">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一些常规性的系统应用程序维护、界面优化、页面代码调整、机构和人员的变动经过评估后可以通过在线维护完成，通过在线维护的方式保证系统的连续性。维护前做好系统备份，预防维护出错能及时回滚，确保系统能不间断提供服务。</w:t>
      </w:r>
    </w:p>
    <w:p w14:paraId="6C7E09E9">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w:t>
      </w:r>
      <w:r>
        <w:rPr>
          <w:rFonts w:hint="eastAsia" w:cs="宋体"/>
        </w:rPr>
        <w:t>2</w:t>
      </w:r>
      <w:r>
        <w:rPr>
          <w:rFonts w:hint="eastAsia" w:cs="宋体"/>
          <w:lang w:val="zh-CN" w:eastAsia="zh-Hans"/>
        </w:rPr>
        <w:t>）停机维护任务</w:t>
      </w:r>
    </w:p>
    <w:p w14:paraId="25AD9CCE">
      <w:pPr>
        <w:pageBreakBefore w:val="0"/>
        <w:kinsoku/>
        <w:wordWrap/>
        <w:overflowPunct/>
        <w:topLinePunct w:val="0"/>
        <w:autoSpaceDE/>
        <w:autoSpaceDN/>
        <w:bidi w:val="0"/>
        <w:spacing w:before="120" w:after="120" w:line="360" w:lineRule="auto"/>
        <w:ind w:firstLine="420"/>
        <w:textAlignment w:val="auto"/>
        <w:rPr>
          <w:rFonts w:cs="宋体"/>
          <w:lang w:val="zh-CN" w:eastAsia="zh-Hans"/>
        </w:rPr>
      </w:pPr>
      <w:r>
        <w:rPr>
          <w:rFonts w:hint="eastAsia" w:cs="宋体"/>
          <w:lang w:val="zh-CN" w:eastAsia="zh-Hans"/>
        </w:rPr>
        <w:t>部分复杂的应用程序维护、数据维护、大量底层代码调整、硬件设备维护等，需要停机才能实现系统维护。确定当天系统任务完全执行完成后，暂停业务系统服务，同时备份数据，并评估停机维护时间（停机维护作业不能影响第二天的工作），维护完成后测试系统稳定性及数据完整性，测试完成后继续提供服务。</w:t>
      </w:r>
    </w:p>
    <w:p w14:paraId="433A2465">
      <w:pPr>
        <w:pStyle w:val="10"/>
        <w:pageBreakBefore w:val="0"/>
        <w:numPr>
          <w:ilvl w:val="3"/>
          <w:numId w:val="12"/>
        </w:numPr>
        <w:kinsoku/>
        <w:wordWrap/>
        <w:overflowPunct/>
        <w:topLinePunct w:val="0"/>
        <w:autoSpaceDE/>
        <w:autoSpaceDN/>
        <w:bidi w:val="0"/>
        <w:spacing w:line="360" w:lineRule="auto"/>
        <w:textAlignment w:val="auto"/>
      </w:pPr>
      <w:bookmarkStart w:id="799" w:name="_Toc1437784148"/>
      <w:bookmarkStart w:id="800" w:name="_Toc1649747338"/>
      <w:r>
        <w:rPr>
          <w:rFonts w:hint="eastAsia"/>
        </w:rPr>
        <w:t>运维服务方案</w:t>
      </w:r>
      <w:bookmarkEnd w:id="799"/>
      <w:bookmarkEnd w:id="800"/>
    </w:p>
    <w:p w14:paraId="6ED2576D">
      <w:pPr>
        <w:pageBreakBefore w:val="0"/>
        <w:kinsoku/>
        <w:wordWrap/>
        <w:overflowPunct/>
        <w:topLinePunct w:val="0"/>
        <w:autoSpaceDE/>
        <w:autoSpaceDN/>
        <w:bidi w:val="0"/>
        <w:spacing w:line="360" w:lineRule="auto"/>
        <w:ind w:firstLine="480" w:firstLineChars="200"/>
        <w:textAlignment w:val="auto"/>
      </w:pPr>
      <w:r>
        <w:rPr>
          <w:rFonts w:hint="eastAsia"/>
        </w:rPr>
        <w:t>我司充分理解并满足招标文件对运维、售后的要求，可充分满足以下要求，并再次基础上提供更加全面的运维和售后服务保障。</w:t>
      </w:r>
    </w:p>
    <w:p w14:paraId="63563F00">
      <w:pPr>
        <w:pageBreakBefore w:val="0"/>
        <w:kinsoku/>
        <w:wordWrap/>
        <w:overflowPunct/>
        <w:topLinePunct w:val="0"/>
        <w:autoSpaceDE/>
        <w:autoSpaceDN/>
        <w:bidi w:val="0"/>
        <w:spacing w:line="360" w:lineRule="auto"/>
        <w:ind w:firstLine="480" w:firstLineChars="200"/>
        <w:textAlignment w:val="auto"/>
      </w:pPr>
      <w:r>
        <w:rPr>
          <w:rFonts w:hint="eastAsia"/>
        </w:rPr>
        <w:t>（</w:t>
      </w:r>
      <w:r>
        <w:t>1</w:t>
      </w:r>
      <w:r>
        <w:rPr>
          <w:rFonts w:hint="eastAsia"/>
        </w:rPr>
        <w:t>）提供保证系统正常稳定运行的功能扩充、版本更新服务。</w:t>
      </w:r>
    </w:p>
    <w:p w14:paraId="586D2DAD">
      <w:pPr>
        <w:pageBreakBefore w:val="0"/>
        <w:kinsoku/>
        <w:wordWrap/>
        <w:overflowPunct/>
        <w:topLinePunct w:val="0"/>
        <w:autoSpaceDE/>
        <w:autoSpaceDN/>
        <w:bidi w:val="0"/>
        <w:spacing w:line="360" w:lineRule="auto"/>
        <w:ind w:firstLine="480" w:firstLineChars="200"/>
        <w:textAlignment w:val="auto"/>
      </w:pPr>
      <w:r>
        <w:rPr>
          <w:rFonts w:hint="eastAsia"/>
        </w:rPr>
        <w:t>（</w:t>
      </w:r>
      <w:r>
        <w:t>2</w:t>
      </w:r>
      <w:r>
        <w:rPr>
          <w:rFonts w:hint="eastAsia"/>
        </w:rPr>
        <w:t>）提出并实施改进系统性能的各项建议，包括硬件配置优化和系统性能优化建议等。</w:t>
      </w:r>
    </w:p>
    <w:p w14:paraId="6C983CF2">
      <w:pPr>
        <w:pageBreakBefore w:val="0"/>
        <w:kinsoku/>
        <w:wordWrap/>
        <w:overflowPunct/>
        <w:topLinePunct w:val="0"/>
        <w:autoSpaceDE/>
        <w:autoSpaceDN/>
        <w:bidi w:val="0"/>
        <w:spacing w:line="360" w:lineRule="auto"/>
        <w:ind w:firstLine="480" w:firstLineChars="200"/>
        <w:textAlignment w:val="auto"/>
      </w:pPr>
      <w:r>
        <w:rPr>
          <w:rFonts w:hint="eastAsia"/>
        </w:rPr>
        <w:t>（</w:t>
      </w:r>
      <w:r>
        <w:t>3</w:t>
      </w:r>
      <w:r>
        <w:rPr>
          <w:rFonts w:hint="eastAsia"/>
        </w:rPr>
        <w:t>）提供免费的系统应用和维护技术咨询服务。</w:t>
      </w:r>
    </w:p>
    <w:p w14:paraId="53C33B70">
      <w:pPr>
        <w:pageBreakBefore w:val="0"/>
        <w:kinsoku/>
        <w:wordWrap/>
        <w:overflowPunct/>
        <w:topLinePunct w:val="0"/>
        <w:autoSpaceDE/>
        <w:autoSpaceDN/>
        <w:bidi w:val="0"/>
        <w:spacing w:line="360" w:lineRule="auto"/>
        <w:ind w:firstLine="480" w:firstLineChars="200"/>
        <w:textAlignment w:val="auto"/>
      </w:pPr>
      <w:r>
        <w:rPr>
          <w:rFonts w:hint="eastAsia"/>
        </w:rPr>
        <w:t>（</w:t>
      </w:r>
      <w:r>
        <w:t>4</w:t>
      </w:r>
      <w:r>
        <w:rPr>
          <w:rFonts w:hint="eastAsia"/>
        </w:rPr>
        <w:t>）提供技术支持响应，一般故障</w:t>
      </w:r>
      <w:r>
        <w:t>1</w:t>
      </w:r>
      <w:r>
        <w:rPr>
          <w:rFonts w:hint="eastAsia"/>
        </w:rPr>
        <w:t>小时内解决，重大故障</w:t>
      </w:r>
      <w:r>
        <w:t>4</w:t>
      </w:r>
      <w:r>
        <w:rPr>
          <w:rFonts w:hint="eastAsia"/>
        </w:rPr>
        <w:t>小时内解决。</w:t>
      </w:r>
    </w:p>
    <w:p w14:paraId="58808E2D">
      <w:pPr>
        <w:pageBreakBefore w:val="0"/>
        <w:kinsoku/>
        <w:wordWrap/>
        <w:overflowPunct/>
        <w:topLinePunct w:val="0"/>
        <w:autoSpaceDE/>
        <w:autoSpaceDN/>
        <w:bidi w:val="0"/>
        <w:spacing w:line="360" w:lineRule="auto"/>
        <w:ind w:firstLine="480" w:firstLineChars="200"/>
        <w:textAlignment w:val="auto"/>
        <w:rPr>
          <w:lang w:eastAsia="zh-Hans"/>
        </w:rPr>
      </w:pPr>
      <w:r>
        <w:rPr>
          <w:rFonts w:hint="eastAsia"/>
        </w:rPr>
        <w:t>（</w:t>
      </w:r>
      <w:r>
        <w:t>5</w:t>
      </w:r>
      <w:r>
        <w:rPr>
          <w:rFonts w:hint="eastAsia"/>
        </w:rPr>
        <w:t>）在运维服务期内或运维服务结束后，我司承诺根据招标人的要求完成运维的交接工作，协助招标方技术人员或其它运维服务商接手相关的运维工作。</w:t>
      </w:r>
    </w:p>
    <w:p w14:paraId="171A05D9">
      <w:pPr>
        <w:pStyle w:val="12"/>
        <w:pageBreakBefore w:val="0"/>
        <w:numPr>
          <w:ilvl w:val="4"/>
          <w:numId w:val="12"/>
        </w:numPr>
        <w:kinsoku/>
        <w:wordWrap/>
        <w:overflowPunct/>
        <w:topLinePunct w:val="0"/>
        <w:autoSpaceDE/>
        <w:autoSpaceDN/>
        <w:bidi w:val="0"/>
        <w:spacing w:line="360" w:lineRule="auto"/>
        <w:textAlignment w:val="auto"/>
      </w:pPr>
      <w:bookmarkStart w:id="801" w:name="_Toc247825550"/>
      <w:r>
        <w:rPr>
          <w:rFonts w:hint="eastAsia"/>
          <w:lang w:eastAsia="zh-CN"/>
        </w:rPr>
        <w:t>运维</w:t>
      </w:r>
      <w:r>
        <w:rPr>
          <w:rFonts w:hint="eastAsia"/>
        </w:rPr>
        <w:t>服务概要</w:t>
      </w:r>
      <w:bookmarkEnd w:id="789"/>
      <w:bookmarkEnd w:id="801"/>
    </w:p>
    <w:p w14:paraId="6A4078EB">
      <w:pPr>
        <w:pageBreakBefore w:val="0"/>
        <w:kinsoku/>
        <w:wordWrap/>
        <w:overflowPunct/>
        <w:topLinePunct w:val="0"/>
        <w:autoSpaceDE/>
        <w:autoSpaceDN/>
        <w:bidi w:val="0"/>
        <w:spacing w:before="120" w:after="120" w:line="360" w:lineRule="auto"/>
        <w:ind w:firstLine="420"/>
        <w:textAlignment w:val="auto"/>
      </w:pPr>
      <w:r>
        <w:rPr>
          <w:rFonts w:hint="eastAsia"/>
        </w:rPr>
        <w:t>为支持客户对信息系统使用及维护便利，我司组建了专业的售后维护团队，其成员由咨询、研发、项目管理等相关领域的资深工程师组成。所有售后服务人员均不间断的接受针对不同层面的专业培训，团队骨干在软件信息化行业具有十年以上的从业经验。在维护服务方面为客户制订了</w:t>
      </w:r>
      <w:r>
        <w:t>“</w:t>
      </w:r>
      <w:r>
        <w:rPr>
          <w:rFonts w:hint="eastAsia"/>
        </w:rPr>
        <w:t>季度现场巡视＋应急故障抢修</w:t>
      </w:r>
      <w:r>
        <w:t>”</w:t>
      </w:r>
      <w:r>
        <w:rPr>
          <w:rFonts w:hint="eastAsia"/>
        </w:rPr>
        <w:t>的全方位技术支持；在技术培训方面采用</w:t>
      </w:r>
      <w:r>
        <w:t>“</w:t>
      </w:r>
      <w:r>
        <w:rPr>
          <w:rFonts w:hint="eastAsia"/>
        </w:rPr>
        <w:t>理论＋操作＋考核</w:t>
      </w:r>
      <w:r>
        <w:t>”</w:t>
      </w:r>
      <w:r>
        <w:rPr>
          <w:rFonts w:hint="eastAsia"/>
        </w:rPr>
        <w:t>的培训方式。</w:t>
      </w:r>
    </w:p>
    <w:p w14:paraId="68D49171">
      <w:pPr>
        <w:pageBreakBefore w:val="0"/>
        <w:kinsoku/>
        <w:wordWrap/>
        <w:overflowPunct/>
        <w:topLinePunct w:val="0"/>
        <w:autoSpaceDE/>
        <w:autoSpaceDN/>
        <w:bidi w:val="0"/>
        <w:spacing w:before="120" w:after="120" w:line="360" w:lineRule="auto"/>
        <w:ind w:firstLine="420"/>
        <w:textAlignment w:val="auto"/>
      </w:pPr>
      <w:r>
        <w:rPr>
          <w:rFonts w:hint="eastAsia"/>
        </w:rPr>
        <w:t>遵循</w:t>
      </w:r>
      <w:r>
        <w:t>“</w:t>
      </w:r>
      <w:r>
        <w:rPr>
          <w:rFonts w:hint="eastAsia"/>
        </w:rPr>
        <w:t>本地化技术支持</w:t>
      </w:r>
      <w:r>
        <w:t>”</w:t>
      </w:r>
      <w:r>
        <w:rPr>
          <w:rFonts w:hint="eastAsia"/>
        </w:rPr>
        <w:t>策略，提供就近的售后服务保障，力求解决操作层问题和设备层问题。为保证及时有效快速地为客户提供应急抢修服务，保障就近技术支持，我司在武汉、合肥、南京、昆明、厦门、新疆等地建立了分公司。安排技术维护人员，负责周边区域的技术支持和维护工作，以确保客户信息系统出现故障后能够及时得到解决，保障生产的顺利进行。</w:t>
      </w:r>
    </w:p>
    <w:p w14:paraId="07E1B5FE">
      <w:pPr>
        <w:pageBreakBefore w:val="0"/>
        <w:kinsoku/>
        <w:wordWrap/>
        <w:overflowPunct/>
        <w:topLinePunct w:val="0"/>
        <w:autoSpaceDE/>
        <w:autoSpaceDN/>
        <w:bidi w:val="0"/>
        <w:spacing w:before="120" w:after="120" w:line="360" w:lineRule="auto"/>
        <w:ind w:firstLine="420"/>
        <w:textAlignment w:val="auto"/>
      </w:pPr>
      <w:r>
        <w:rPr>
          <w:rFonts w:hint="eastAsia"/>
        </w:rPr>
        <w:t>迅速反应的售后服务体系，精简了传统的多级程序。设立售后直线，强化构建</w:t>
      </w:r>
      <w:r>
        <w:t>“</w:t>
      </w:r>
      <w:r>
        <w:rPr>
          <w:rFonts w:hint="eastAsia"/>
        </w:rPr>
        <w:t>一站式服务中心</w:t>
      </w:r>
      <w:r>
        <w:t>”</w:t>
      </w:r>
      <w:r>
        <w:rPr>
          <w:rFonts w:hint="eastAsia"/>
        </w:rPr>
        <w:t>，推进故障一体解决的</w:t>
      </w:r>
      <w:r>
        <w:t>“</w:t>
      </w:r>
      <w:r>
        <w:rPr>
          <w:rFonts w:hint="eastAsia"/>
        </w:rPr>
        <w:t>简易</w:t>
      </w:r>
      <w:r>
        <w:t>”</w:t>
      </w:r>
      <w:r>
        <w:rPr>
          <w:rFonts w:hint="eastAsia"/>
        </w:rPr>
        <w:t>体验。系统交付验收后，根据贵司系统使用实际情况，分阶段安排季度现场技术支持并提供</w:t>
      </w:r>
      <w:r>
        <w:t>7X24</w:t>
      </w:r>
      <w:r>
        <w:rPr>
          <w:rFonts w:hint="eastAsia"/>
        </w:rPr>
        <w:t>小时的售后服务。</w:t>
      </w:r>
    </w:p>
    <w:p w14:paraId="37DAA676">
      <w:pPr>
        <w:pageBreakBefore w:val="0"/>
        <w:kinsoku/>
        <w:wordWrap/>
        <w:overflowPunct/>
        <w:topLinePunct w:val="0"/>
        <w:autoSpaceDE/>
        <w:autoSpaceDN/>
        <w:bidi w:val="0"/>
        <w:spacing w:before="120" w:after="120" w:line="360" w:lineRule="auto"/>
        <w:ind w:firstLine="420"/>
        <w:textAlignment w:val="auto"/>
      </w:pPr>
      <w:r>
        <w:rPr>
          <w:rFonts w:hint="eastAsia"/>
        </w:rPr>
        <w:t>我司提供的售后维护服务包括：系统软件使用年度授权、巡检服务、软件紧急故障恢复服务、现场支持服务、咨询服务、系统迁移、培训等。</w:t>
      </w:r>
    </w:p>
    <w:p w14:paraId="7FB606E7">
      <w:pPr>
        <w:pStyle w:val="12"/>
        <w:pageBreakBefore w:val="0"/>
        <w:numPr>
          <w:ilvl w:val="4"/>
          <w:numId w:val="12"/>
        </w:numPr>
        <w:kinsoku/>
        <w:wordWrap/>
        <w:overflowPunct/>
        <w:topLinePunct w:val="0"/>
        <w:autoSpaceDE/>
        <w:autoSpaceDN/>
        <w:bidi w:val="0"/>
        <w:spacing w:line="360" w:lineRule="auto"/>
        <w:textAlignment w:val="auto"/>
      </w:pPr>
      <w:bookmarkStart w:id="802" w:name="_Toc26168"/>
      <w:bookmarkStart w:id="803" w:name="_Toc2115690635"/>
      <w:r>
        <w:rPr>
          <w:rFonts w:hint="eastAsia"/>
        </w:rPr>
        <w:t>现场巡查服务</w:t>
      </w:r>
      <w:bookmarkEnd w:id="802"/>
      <w:bookmarkEnd w:id="803"/>
    </w:p>
    <w:p w14:paraId="4F3DF0F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我司派遣专业技术人员对质保期内的系统按季度提供免费现场巡查服务，现场测试业主系统的运行状况。并向贵司提交系统的详细报告，总结巡查问题并提供改善建议，制订技术培训内容。</w:t>
      </w:r>
    </w:p>
    <w:p w14:paraId="1724F360">
      <w:pPr>
        <w:pageBreakBefore w:val="0"/>
        <w:widowControl/>
        <w:numPr>
          <w:ilvl w:val="0"/>
          <w:numId w:val="72"/>
        </w:numPr>
        <w:kinsoku/>
        <w:wordWrap/>
        <w:overflowPunct/>
        <w:topLinePunct w:val="0"/>
        <w:autoSpaceDE/>
        <w:autoSpaceDN/>
        <w:bidi w:val="0"/>
        <w:adjustRightInd w:val="0"/>
        <w:snapToGrid w:val="0"/>
        <w:spacing w:line="360" w:lineRule="auto"/>
        <w:ind w:left="0" w:firstLine="480" w:firstLineChars="200"/>
        <w:jc w:val="both"/>
        <w:textAlignment w:val="auto"/>
      </w:pPr>
      <w:bookmarkStart w:id="804" w:name="_Toc23169936"/>
      <w:r>
        <w:rPr>
          <w:rFonts w:hint="eastAsia"/>
        </w:rPr>
        <w:t>完备的现场技术支持</w:t>
      </w:r>
    </w:p>
    <w:p w14:paraId="7EAEF69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年度巡检服务的重要意义在于通过对系统和设备进行定期巡查诊断，并针对性的进行调整修复，提早预判设备与系统故障、或存在问题，避免偏离正常运行，造成停机或故障，影响设备系统正常使用，提前管理维护及备件储备计划。为保障设备系统的稳定运行提供每年四次的现场技术巡检支持服务。由维护服务专业工程师现场巡查客户设备与系统的运行状况，每季度进行一次巡访，每次持续三日，具体日程计划安排如下：</w:t>
      </w:r>
    </w:p>
    <w:p w14:paraId="5698CA7A">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硬件设备巡检服务：</w:t>
      </w:r>
    </w:p>
    <w:p w14:paraId="40B1015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第一日：了解和检视。检查设备故障记录及系统的整体运行状况；检查现场的安全设施；全面检查预防性保养的执行情况；对于需要更换的备件指导协助客户进行更换，备件由客户提供。</w:t>
      </w:r>
    </w:p>
    <w:p w14:paraId="185B6BE4">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第二日：设备关键部件运行精度微调与培训。侧重巡查中发现的问题，解决后对客户技术人员进行培训。</w:t>
      </w:r>
    </w:p>
    <w:p w14:paraId="11B16FDE">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第三日：报告和总结。向客户提交系统的详细报告，总结巡访发现的问题并提供改善建议；制定技术培训内容；在年度养护服务开始执行之前向客户提交实施计划方案。</w:t>
      </w:r>
    </w:p>
    <w:p w14:paraId="121DD00B">
      <w:pPr>
        <w:pageBreakBefore w:val="0"/>
        <w:widowControl/>
        <w:numPr>
          <w:ilvl w:val="0"/>
          <w:numId w:val="72"/>
        </w:numPr>
        <w:kinsoku/>
        <w:wordWrap/>
        <w:overflowPunct/>
        <w:topLinePunct w:val="0"/>
        <w:autoSpaceDE/>
        <w:autoSpaceDN/>
        <w:bidi w:val="0"/>
        <w:adjustRightInd w:val="0"/>
        <w:snapToGrid w:val="0"/>
        <w:spacing w:line="360" w:lineRule="auto"/>
        <w:ind w:left="0" w:firstLine="480" w:firstLineChars="200"/>
        <w:jc w:val="both"/>
        <w:textAlignment w:val="auto"/>
      </w:pPr>
      <w:r>
        <w:rPr>
          <w:rFonts w:hint="eastAsia"/>
        </w:rPr>
        <w:t>设备预防性保养</w:t>
      </w:r>
    </w:p>
    <w:p w14:paraId="7EE930A6">
      <w:pPr>
        <w:pageBreakBefore w:val="0"/>
        <w:kinsoku/>
        <w:wordWrap/>
        <w:overflowPunct/>
        <w:topLinePunct w:val="0"/>
        <w:autoSpaceDE/>
        <w:autoSpaceDN/>
        <w:bidi w:val="0"/>
        <w:adjustRightInd w:val="0"/>
        <w:snapToGrid w:val="0"/>
        <w:spacing w:line="360" w:lineRule="auto"/>
        <w:ind w:firstLine="480" w:firstLineChars="200"/>
        <w:textAlignment w:val="auto"/>
        <w:rPr>
          <w:szCs w:val="21"/>
        </w:rPr>
      </w:pPr>
      <w:r>
        <w:rPr>
          <w:rFonts w:hint="eastAsia"/>
        </w:rPr>
        <w:t>按照保养规范，为系统硬件提供标准预防性保养服务。在现场维保完成后一周内，向贵司提交书面维护报告，其中应包含：所进行的服务内容、实施过程中所发现的问题、改善合同设备运行状况和预防故障的建议等，以便让贵司了解其自行检查保养重点事项或注意事项。</w:t>
      </w:r>
    </w:p>
    <w:p w14:paraId="603DBD0C">
      <w:pPr>
        <w:pageBreakBefore w:val="0"/>
        <w:kinsoku/>
        <w:wordWrap/>
        <w:overflowPunct/>
        <w:topLinePunct w:val="0"/>
        <w:autoSpaceDE/>
        <w:autoSpaceDN/>
        <w:bidi w:val="0"/>
        <w:spacing w:before="120" w:after="120" w:line="360" w:lineRule="auto"/>
        <w:textAlignment w:val="auto"/>
        <w:rPr>
          <w:szCs w:val="22"/>
        </w:rPr>
      </w:pPr>
    </w:p>
    <w:p w14:paraId="4AF4ECD0">
      <w:pPr>
        <w:pStyle w:val="12"/>
        <w:pageBreakBefore w:val="0"/>
        <w:numPr>
          <w:ilvl w:val="4"/>
          <w:numId w:val="12"/>
        </w:numPr>
        <w:kinsoku/>
        <w:wordWrap/>
        <w:overflowPunct/>
        <w:topLinePunct w:val="0"/>
        <w:autoSpaceDE/>
        <w:autoSpaceDN/>
        <w:bidi w:val="0"/>
        <w:spacing w:line="360" w:lineRule="auto"/>
        <w:textAlignment w:val="auto"/>
      </w:pPr>
      <w:bookmarkStart w:id="805" w:name="_Toc1642155330"/>
      <w:bookmarkStart w:id="806" w:name="_Toc78544242"/>
      <w:r>
        <w:rPr>
          <w:rFonts w:hint="eastAsia"/>
        </w:rPr>
        <w:t>服务保障响应程序</w:t>
      </w:r>
      <w:bookmarkEnd w:id="804"/>
      <w:bookmarkEnd w:id="805"/>
      <w:bookmarkEnd w:id="806"/>
    </w:p>
    <w:p w14:paraId="0155B68A">
      <w:pPr>
        <w:pStyle w:val="140"/>
        <w:pageBreakBefore w:val="0"/>
        <w:kinsoku/>
        <w:wordWrap/>
        <w:overflowPunct/>
        <w:topLinePunct w:val="0"/>
        <w:autoSpaceDE/>
        <w:autoSpaceDN/>
        <w:bidi w:val="0"/>
        <w:spacing w:before="156" w:after="156" w:line="360" w:lineRule="auto"/>
        <w:ind w:left="0" w:firstLine="0"/>
        <w:textAlignment w:val="auto"/>
        <w:rPr>
          <w:rFonts w:ascii="宋体" w:hAnsi="宋体" w:eastAsia="宋体" w:cs="Arial"/>
          <w:bCs/>
          <w:color w:val="FF0000"/>
          <w:szCs w:val="28"/>
        </w:rPr>
      </w:pPr>
      <w:r>
        <w:rPr>
          <w:rFonts w:ascii="宋体" w:hAnsi="宋体" w:eastAsia="宋体"/>
        </w:rPr>
        <w:drawing>
          <wp:inline distT="0" distB="0" distL="114300" distR="114300">
            <wp:extent cx="5224145" cy="7514590"/>
            <wp:effectExtent l="0" t="0" r="0" b="0"/>
            <wp:docPr id="17" name="图片 2093" descr="系统故障处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93" descr="系统故障处理"/>
                    <pic:cNvPicPr>
                      <a:picLocks noChangeAspect="1"/>
                    </pic:cNvPicPr>
                  </pic:nvPicPr>
                  <pic:blipFill>
                    <a:blip r:embed="rId188"/>
                    <a:stretch>
                      <a:fillRect/>
                    </a:stretch>
                  </pic:blipFill>
                  <pic:spPr>
                    <a:xfrm>
                      <a:off x="0" y="0"/>
                      <a:ext cx="5224145" cy="7514590"/>
                    </a:xfrm>
                    <a:prstGeom prst="rect">
                      <a:avLst/>
                    </a:prstGeom>
                    <a:noFill/>
                    <a:ln>
                      <a:noFill/>
                    </a:ln>
                  </pic:spPr>
                </pic:pic>
              </a:graphicData>
            </a:graphic>
          </wp:inline>
        </w:drawing>
      </w:r>
      <w:bookmarkStart w:id="807" w:name="供货售后2"/>
      <w:bookmarkEnd w:id="807"/>
    </w:p>
    <w:p w14:paraId="1E5FD72C">
      <w:pPr>
        <w:pStyle w:val="12"/>
        <w:pageBreakBefore w:val="0"/>
        <w:numPr>
          <w:ilvl w:val="4"/>
          <w:numId w:val="12"/>
        </w:numPr>
        <w:kinsoku/>
        <w:wordWrap/>
        <w:overflowPunct/>
        <w:topLinePunct w:val="0"/>
        <w:autoSpaceDE/>
        <w:autoSpaceDN/>
        <w:bidi w:val="0"/>
        <w:spacing w:line="360" w:lineRule="auto"/>
        <w:textAlignment w:val="auto"/>
      </w:pPr>
      <w:bookmarkStart w:id="808" w:name="_Toc78544243"/>
      <w:bookmarkStart w:id="809" w:name="_Toc197069007"/>
      <w:r>
        <w:rPr>
          <w:rFonts w:hint="eastAsia"/>
        </w:rPr>
        <w:t>服务抢修、正常维护流程</w:t>
      </w:r>
      <w:bookmarkEnd w:id="808"/>
      <w:bookmarkEnd w:id="809"/>
    </w:p>
    <w:p w14:paraId="6301D538">
      <w:pPr>
        <w:pageBreakBefore w:val="0"/>
        <w:kinsoku/>
        <w:wordWrap/>
        <w:overflowPunct/>
        <w:topLinePunct w:val="0"/>
        <w:autoSpaceDE/>
        <w:autoSpaceDN/>
        <w:bidi w:val="0"/>
        <w:spacing w:line="360" w:lineRule="auto"/>
        <w:jc w:val="center"/>
        <w:textAlignment w:val="auto"/>
      </w:pPr>
      <w:r>
        <w:drawing>
          <wp:inline distT="0" distB="0" distL="114300" distR="114300">
            <wp:extent cx="5359400" cy="7776845"/>
            <wp:effectExtent l="0" t="0" r="0" b="0"/>
            <wp:docPr id="18" name="图片 2094" descr="质保期内备件质量问题更换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94" descr="质保期内备件质量问题更换流程"/>
                    <pic:cNvPicPr>
                      <a:picLocks noChangeAspect="1"/>
                    </pic:cNvPicPr>
                  </pic:nvPicPr>
                  <pic:blipFill>
                    <a:blip r:embed="rId189"/>
                    <a:srcRect l="3418" t="2580" r="4141" b="3265"/>
                    <a:stretch>
                      <a:fillRect/>
                    </a:stretch>
                  </pic:blipFill>
                  <pic:spPr>
                    <a:xfrm>
                      <a:off x="0" y="0"/>
                      <a:ext cx="5359400" cy="7776845"/>
                    </a:xfrm>
                    <a:prstGeom prst="rect">
                      <a:avLst/>
                    </a:prstGeom>
                    <a:noFill/>
                    <a:ln>
                      <a:noFill/>
                    </a:ln>
                  </pic:spPr>
                </pic:pic>
              </a:graphicData>
            </a:graphic>
          </wp:inline>
        </w:drawing>
      </w:r>
    </w:p>
    <w:p w14:paraId="486000AE">
      <w:pPr>
        <w:pStyle w:val="12"/>
        <w:pageBreakBefore w:val="0"/>
        <w:numPr>
          <w:ilvl w:val="4"/>
          <w:numId w:val="12"/>
        </w:numPr>
        <w:kinsoku/>
        <w:wordWrap/>
        <w:overflowPunct/>
        <w:topLinePunct w:val="0"/>
        <w:autoSpaceDE/>
        <w:autoSpaceDN/>
        <w:bidi w:val="0"/>
        <w:spacing w:line="360" w:lineRule="auto"/>
        <w:textAlignment w:val="auto"/>
      </w:pPr>
      <w:bookmarkStart w:id="810" w:name="_Toc376436383"/>
      <w:bookmarkStart w:id="811" w:name="_Toc337947749"/>
      <w:bookmarkStart w:id="812" w:name="_Toc514769170"/>
      <w:bookmarkStart w:id="813" w:name="_Toc459036732"/>
      <w:bookmarkStart w:id="814" w:name="_Toc44081196"/>
      <w:bookmarkStart w:id="815" w:name="_Toc78544238"/>
      <w:bookmarkStart w:id="816" w:name="_Toc44020336"/>
      <w:bookmarkStart w:id="817" w:name="_Toc49550984"/>
      <w:bookmarkStart w:id="818" w:name="_Toc78511899"/>
      <w:bookmarkStart w:id="819" w:name="_Toc595393383"/>
      <w:r>
        <w:rPr>
          <w:rFonts w:hint="eastAsia"/>
        </w:rPr>
        <w:t>备品备件</w:t>
      </w:r>
      <w:bookmarkEnd w:id="810"/>
      <w:bookmarkEnd w:id="811"/>
      <w:bookmarkEnd w:id="812"/>
      <w:bookmarkEnd w:id="813"/>
      <w:r>
        <w:rPr>
          <w:rFonts w:hint="eastAsia"/>
        </w:rPr>
        <w:t>及专业维修工具</w:t>
      </w:r>
      <w:bookmarkEnd w:id="814"/>
      <w:bookmarkEnd w:id="815"/>
      <w:bookmarkEnd w:id="816"/>
      <w:bookmarkEnd w:id="817"/>
      <w:bookmarkEnd w:id="818"/>
      <w:bookmarkEnd w:id="819"/>
    </w:p>
    <w:p w14:paraId="477BF7CF">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我司在总部和办事处设有备件仓库，常用的备品备件、易损件有储备，外购件也有储备。我司保证系统设备的一切零配件供应。若发生备件升级或停产情况，我司将在第一时间通知贵司该备件的升级或停产计划，以供贵司有充足时间采购备件；同时，我司将提供升级或停产备件的替代品清单，保证一切零部件的正常供应及系统的正常运行。</w:t>
      </w:r>
    </w:p>
    <w:p w14:paraId="07529FB0">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为保证高效、持续提供售后服务质量与客户设备稳定运行，我司自建备件库，根据全国项目现场需求，实时灵活管理增加库存。同时与众多客户也建立了战略合作关系，最终实现了“公司备件库+供应商备件库+客户备件库”制度。我司备件库所暂无备件，达成战略合作关系的原供应商优先保证供应我司所需备件。同时，对客户设备故障导致停机的应急急件更换，优先协调借用，快速恢复系统运行。</w:t>
      </w:r>
    </w:p>
    <w:p w14:paraId="60F27C2F">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“预防性维护”概念的推广，根据设备生产厂家的设计数据和</w:t>
      </w:r>
      <w:r>
        <w:rPr>
          <w:rFonts w:hint="eastAsia"/>
          <w:lang w:eastAsia="zh-CN"/>
        </w:rPr>
        <w:t>我方</w:t>
      </w:r>
      <w:r>
        <w:rPr>
          <w:rFonts w:hint="eastAsia"/>
        </w:rPr>
        <w:t>智能运维平台同类设备不同应用的大数据分析，精准、快速、及时的定位设备潜在风险点，对工控机、电控等零件的运行寿命周期精准预测，通过 “预防性维护”的方式，降低系统突发/重大故障的几率，为持续生产服务，产品工艺质量保证保驾护航。</w:t>
      </w:r>
    </w:p>
    <w:p w14:paraId="2AA81A5C">
      <w:pPr>
        <w:pStyle w:val="12"/>
        <w:pageBreakBefore w:val="0"/>
        <w:numPr>
          <w:ilvl w:val="4"/>
          <w:numId w:val="12"/>
        </w:numPr>
        <w:kinsoku/>
        <w:wordWrap/>
        <w:overflowPunct/>
        <w:topLinePunct w:val="0"/>
        <w:autoSpaceDE/>
        <w:autoSpaceDN/>
        <w:bidi w:val="0"/>
        <w:spacing w:line="360" w:lineRule="auto"/>
        <w:textAlignment w:val="auto"/>
      </w:pPr>
      <w:bookmarkStart w:id="820" w:name="_Toc1711457449"/>
      <w:r>
        <w:rPr>
          <w:rFonts w:hint="eastAsia"/>
        </w:rPr>
        <w:t>质保期内运维服务</w:t>
      </w:r>
      <w:bookmarkEnd w:id="820"/>
    </w:p>
    <w:p w14:paraId="564EFCAC">
      <w:pPr>
        <w:pageBreakBefore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（1）本项目的免费运维保障期为项目终验后</w:t>
      </w:r>
      <w:r>
        <w:rPr>
          <w:color w:val="auto"/>
        </w:rPr>
        <w:t>12</w:t>
      </w:r>
      <w:r>
        <w:rPr>
          <w:rFonts w:hint="eastAsia"/>
          <w:color w:val="auto"/>
        </w:rPr>
        <w:t>个月。</w:t>
      </w:r>
    </w:p>
    <w:p w14:paraId="5A322CC1">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（2）提供</w:t>
      </w:r>
      <w:r>
        <w:t>7*24</w:t>
      </w:r>
      <w:r>
        <w:rPr>
          <w:rFonts w:hint="eastAsia"/>
        </w:rPr>
        <w:t>小时技术在线支持。热线服务：我司提供热线电话、</w:t>
      </w:r>
      <w:r>
        <w:t>Email</w:t>
      </w:r>
      <w:r>
        <w:rPr>
          <w:rFonts w:hint="eastAsia"/>
        </w:rPr>
        <w:t>、传真等其它咨询服务渠道，随时回答贵司的各种问题。</w:t>
      </w:r>
    </w:p>
    <w:p w14:paraId="354BE7A6">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（3）我司在系统运行过程提供保证系统正常稳定运行的功能扩充、版本更新服务。</w:t>
      </w:r>
    </w:p>
    <w:p w14:paraId="4C66F487">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（4）我司在项目实施工程中，提出并实施改进系统性能的各项建议，包括硬件配置优化和系统性能优化建议等，并提供免费的系统应用和维护技术咨询服务。</w:t>
      </w:r>
    </w:p>
    <w:p w14:paraId="13AD3970">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（5）对于所实施内容在质保期间，当系统出现问题或故障时，我司指定有经验的技术人员提供技术支持响应，一般故障</w:t>
      </w:r>
      <w:r>
        <w:t>1</w:t>
      </w:r>
      <w:r>
        <w:rPr>
          <w:rFonts w:hint="eastAsia"/>
        </w:rPr>
        <w:t>小时内解决，重大故障</w:t>
      </w:r>
      <w:r>
        <w:t>4</w:t>
      </w:r>
      <w:r>
        <w:rPr>
          <w:rFonts w:hint="eastAsia"/>
        </w:rPr>
        <w:t>小时内解决。</w:t>
      </w:r>
    </w:p>
    <w:p w14:paraId="1E0D68DE">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（6）在运维服务期内或运维服务结束后，我司根据用户的要求完成运维的交接工作，协助用户方技术人员或其它运维服务商接手相关的运维工作。</w:t>
      </w:r>
    </w:p>
    <w:p w14:paraId="4AE24FA9">
      <w:pPr>
        <w:pageBreakBefore w:val="0"/>
        <w:kinsoku/>
        <w:wordWrap/>
        <w:overflowPunct/>
        <w:topLinePunct w:val="0"/>
        <w:autoSpaceDE/>
        <w:autoSpaceDN/>
        <w:bidi w:val="0"/>
        <w:adjustRightInd w:val="0"/>
        <w:snapToGrid w:val="0"/>
        <w:spacing w:line="360" w:lineRule="auto"/>
        <w:ind w:firstLine="480" w:firstLineChars="200"/>
        <w:textAlignment w:val="auto"/>
      </w:pPr>
      <w:r>
        <w:rPr>
          <w:rFonts w:hint="eastAsia"/>
        </w:rPr>
        <w:t>（7）我公司承诺可7*24小时提供服务支持，以下为对故障的分级参考标准和规定的相应时间：</w:t>
      </w:r>
    </w:p>
    <w:p w14:paraId="1E90E07F">
      <w:pPr>
        <w:adjustRightInd w:val="0"/>
        <w:snapToGrid w:val="0"/>
        <w:ind w:firstLine="480" w:firstLineChars="200"/>
      </w:pPr>
      <w:r>
        <w:rPr>
          <w:rFonts w:hint="eastAsia"/>
        </w:rPr>
        <w:t>1）重大故障：主要指系统在运行中出现系统瘫痪或服务中断，导致系统核心业务不可用。我司接到客户请求后，</w:t>
      </w:r>
      <w:r>
        <w:t>4</w:t>
      </w:r>
      <w:r>
        <w:rPr>
          <w:rFonts w:hint="eastAsia"/>
        </w:rPr>
        <w:t>小时内解决。</w:t>
      </w:r>
    </w:p>
    <w:p w14:paraId="2FDC3337">
      <w:pPr>
        <w:adjustRightInd w:val="0"/>
        <w:snapToGrid w:val="0"/>
        <w:ind w:firstLine="480" w:firstLineChars="200"/>
      </w:pPr>
      <w:r>
        <w:rPr>
          <w:rFonts w:hint="eastAsia"/>
        </w:rPr>
        <w:t>2）一般故障：主要指系统核心故障或系统整体性能下降或不稳定。我司接到客户请求后，</w:t>
      </w:r>
      <w:r>
        <w:t>1</w:t>
      </w:r>
      <w:r>
        <w:rPr>
          <w:rFonts w:hint="eastAsia"/>
        </w:rPr>
        <w:t>小时内解决。</w:t>
      </w:r>
    </w:p>
    <w:p w14:paraId="3ABD1FF1">
      <w:pPr>
        <w:pStyle w:val="12"/>
        <w:numPr>
          <w:ilvl w:val="4"/>
          <w:numId w:val="73"/>
        </w:numPr>
      </w:pPr>
      <w:bookmarkStart w:id="821" w:name="_Toc1442698791"/>
      <w:r>
        <w:rPr>
          <w:rFonts w:hint="eastAsia"/>
        </w:rPr>
        <w:t>质保期外</w:t>
      </w:r>
      <w:r>
        <w:rPr>
          <w:rFonts w:hint="eastAsia"/>
          <w:lang w:eastAsia="zh-CN"/>
        </w:rPr>
        <w:t>运维</w:t>
      </w:r>
      <w:r>
        <w:rPr>
          <w:rFonts w:hint="eastAsia"/>
        </w:rPr>
        <w:t>服务</w:t>
      </w:r>
      <w:bookmarkEnd w:id="821"/>
    </w:p>
    <w:p w14:paraId="1D86D63A">
      <w:pPr>
        <w:spacing w:before="120" w:after="120"/>
        <w:ind w:firstLine="480"/>
      </w:pPr>
      <w:r>
        <w:rPr>
          <w:rFonts w:hint="eastAsia"/>
        </w:rPr>
        <w:t>（1）质保期满后，我司仍有责任和义务为贵司提供技术服务，积极响应贵司要求，签订售后维护服务合同；在质保期结束后，为满足贵司业务发展需要，应贵司提出升级或变更要求，我司将提供</w:t>
      </w:r>
      <w:r>
        <w:rPr>
          <w:rFonts w:hint="eastAsia"/>
          <w:lang w:eastAsia="zh-CN"/>
        </w:rPr>
        <w:t>有偿</w:t>
      </w:r>
      <w:r>
        <w:rPr>
          <w:rFonts w:hint="eastAsia"/>
        </w:rPr>
        <w:t>技术服务。</w:t>
      </w:r>
    </w:p>
    <w:p w14:paraId="679DD04D">
      <w:pPr>
        <w:spacing w:before="120" w:after="120"/>
        <w:ind w:firstLine="480"/>
      </w:pPr>
      <w:r>
        <w:rPr>
          <w:rFonts w:hint="eastAsia"/>
        </w:rPr>
        <w:t>（2）质保期满后我司将继续提供优质的售后技术服务。</w:t>
      </w:r>
    </w:p>
    <w:p w14:paraId="78753150">
      <w:pPr>
        <w:spacing w:before="120" w:after="120"/>
        <w:ind w:firstLine="480"/>
      </w:pPr>
      <w:r>
        <w:rPr>
          <w:rFonts w:hint="eastAsia"/>
        </w:rPr>
        <w:t>（3）质保期满后，以签约方式为贵司提供有偿技术服务，包括但不限于预防性保养、季度巡查，应急故障处理。</w:t>
      </w:r>
    </w:p>
    <w:p w14:paraId="31D0EC3E">
      <w:pPr>
        <w:spacing w:before="120" w:after="120"/>
        <w:ind w:firstLine="480"/>
      </w:pPr>
      <w:r>
        <w:rPr>
          <w:rFonts w:hint="eastAsia"/>
        </w:rPr>
        <w:t>（4）贵司与我司签署定期服务合约后，我司承诺在接到故障求助电话</w:t>
      </w:r>
      <w:r>
        <w:t>1</w:t>
      </w:r>
      <w:r>
        <w:rPr>
          <w:rFonts w:hint="eastAsia"/>
        </w:rPr>
        <w:t>小时内给予技术答复。若暂时未与我司签署定期服务合约，亦可免费登录售后服务网站，获得最新的服务资料或手册支持。</w:t>
      </w:r>
    </w:p>
    <w:p w14:paraId="125C1665">
      <w:pPr>
        <w:spacing w:before="120" w:after="120"/>
        <w:ind w:firstLine="480"/>
      </w:pPr>
      <w:r>
        <w:rPr>
          <w:rFonts w:hint="eastAsia"/>
        </w:rPr>
        <w:t>（5）保期外的系统维护以双方所签定的年度保养维修合约之内容为准。根据信息系统的故障处理，我司提供信息系统年度总包服务，即年度内不限受理次数。</w:t>
      </w:r>
    </w:p>
    <w:p w14:paraId="08B002A7">
      <w:pPr>
        <w:spacing w:before="120" w:after="120"/>
        <w:ind w:firstLine="420"/>
      </w:pPr>
      <w:r>
        <w:rPr>
          <w:rFonts w:hint="eastAsia"/>
        </w:rPr>
        <w:t>（6）盒条件关联系统故障恢复（远程/现场服务）7×24热线服务（远程服务）</w:t>
      </w:r>
    </w:p>
    <w:p w14:paraId="21ED0B2C">
      <w:pPr>
        <w:spacing w:before="120" w:after="120"/>
        <w:ind w:firstLine="420"/>
        <w:rPr>
          <w:rFonts w:hint="eastAsia"/>
        </w:rPr>
      </w:pPr>
      <w:r>
        <w:rPr>
          <w:rFonts w:hint="eastAsia"/>
        </w:rPr>
        <w:t>（7）在客户开通VPN或远程接入端口的前提下，我司对</w:t>
      </w:r>
      <w:r>
        <w:rPr>
          <w:rFonts w:hint="eastAsia" w:cs="Arial"/>
        </w:rPr>
        <w:t>业主</w:t>
      </w:r>
      <w:r>
        <w:rPr>
          <w:rFonts w:hint="eastAsia"/>
        </w:rPr>
        <w:t>现场提供远程故障处理服务，该项服务在签约年度内不限受理次数。</w:t>
      </w:r>
    </w:p>
    <w:p w14:paraId="187829CA">
      <w:pPr>
        <w:pStyle w:val="4"/>
        <w:rPr>
          <w:rFonts w:hint="eastAsia"/>
        </w:rPr>
      </w:pPr>
    </w:p>
    <w:p w14:paraId="52DE7074">
      <w:pPr>
        <w:pStyle w:val="10"/>
        <w:pageBreakBefore w:val="0"/>
        <w:numPr>
          <w:ilvl w:val="3"/>
          <w:numId w:val="74"/>
        </w:numPr>
        <w:kinsoku/>
        <w:wordWrap/>
        <w:overflowPunct/>
        <w:topLinePunct w:val="0"/>
        <w:autoSpaceDE/>
        <w:autoSpaceDN/>
        <w:bidi w:val="0"/>
        <w:spacing w:line="360" w:lineRule="auto"/>
        <w:textAlignment w:val="auto"/>
        <w:rPr>
          <w:rFonts w:hint="eastAsia"/>
          <w:lang w:eastAsia="zh-CN"/>
        </w:rPr>
      </w:pPr>
      <w:bookmarkStart w:id="822" w:name="_Toc2006352001"/>
      <w:bookmarkStart w:id="823" w:name="_Toc269705095"/>
      <w:r>
        <w:rPr>
          <w:rFonts w:hint="eastAsia"/>
          <w:lang w:eastAsia="zh-CN"/>
        </w:rPr>
        <w:t>包装机“盒条”关联维护</w:t>
      </w:r>
      <w:bookmarkEnd w:id="822"/>
      <w:bookmarkEnd w:id="823"/>
    </w:p>
    <w:p w14:paraId="06CD1173">
      <w:pPr>
        <w:pStyle w:val="12"/>
        <w:pageBreakBefore w:val="0"/>
        <w:numPr>
          <w:ilvl w:val="4"/>
          <w:numId w:val="74"/>
        </w:numPr>
        <w:kinsoku/>
        <w:wordWrap/>
        <w:overflowPunct/>
        <w:topLinePunct w:val="0"/>
        <w:autoSpaceDE/>
        <w:autoSpaceDN/>
        <w:bidi w:val="0"/>
        <w:spacing w:line="360" w:lineRule="auto"/>
        <w:textAlignment w:val="auto"/>
        <w:rPr>
          <w:rFonts w:hint="eastAsia" w:eastAsia="宋体"/>
          <w:lang w:eastAsia="zh-CN"/>
        </w:rPr>
      </w:pPr>
      <w:r>
        <w:rPr>
          <w:rFonts w:hint="eastAsia"/>
          <w:lang w:val="en-US" w:eastAsia="zh-CN"/>
        </w:rPr>
        <w:t xml:space="preserve"> </w:t>
      </w:r>
      <w:bookmarkStart w:id="824" w:name="_Toc424322418"/>
      <w:r>
        <w:t>ZB</w:t>
      </w:r>
      <w:r>
        <w:rPr>
          <w:rFonts w:hint="eastAsia"/>
        </w:rPr>
        <w:t>45包装机外挂</w:t>
      </w:r>
      <w:r>
        <w:rPr>
          <w:rFonts w:hint="eastAsia"/>
          <w:lang w:eastAsia="zh-CN"/>
        </w:rPr>
        <w:t>关联维护</w:t>
      </w:r>
      <w:bookmarkEnd w:id="824"/>
    </w:p>
    <w:p w14:paraId="501897DF">
      <w:pPr>
        <w:bidi w:val="0"/>
        <w:rPr>
          <w:rFonts w:hint="eastAsia" w:eastAsia="宋体"/>
          <w:lang w:val="en-US" w:eastAsia="zh-CN"/>
        </w:rPr>
      </w:pPr>
      <w:r>
        <w:rPr>
          <w:rFonts w:hint="eastAsia"/>
          <w:lang w:val="en-US" w:eastAsia="zh-CN"/>
        </w:rPr>
        <w:t>1.概述</w:t>
      </w:r>
    </w:p>
    <w:p w14:paraId="0D70953B">
      <w:pPr>
        <w:bidi w:val="0"/>
        <w:ind w:firstLine="420" w:firstLineChars="0"/>
      </w:pPr>
      <w:r>
        <w:rPr>
          <w:rFonts w:hint="eastAsia"/>
        </w:rPr>
        <w:t>参照包装机</w:t>
      </w:r>
      <w:r>
        <w:t>ZB</w:t>
      </w:r>
      <w:r>
        <w:rPr>
          <w:rFonts w:hint="eastAsia"/>
        </w:rPr>
        <w:t>45</w:t>
      </w:r>
      <w:r>
        <w:t>_</w:t>
      </w:r>
      <w:r>
        <w:rPr>
          <w:rFonts w:hint="eastAsia"/>
        </w:rPr>
        <w:t>外挂方案，以国家局下发《行业卷烟二维码统一应用项目“盒条件”关联管理系统实施标准作业程序（SOP文件）》为规范，指导在行业推广实施阶段的标准流程，形成标准作业程序（SOP文件）。</w:t>
      </w:r>
    </w:p>
    <w:p w14:paraId="688C326C">
      <w:pPr>
        <w:bidi w:val="0"/>
        <w:ind w:firstLine="420" w:firstLineChars="0"/>
      </w:pPr>
      <w:r>
        <w:rPr>
          <w:rFonts w:hint="eastAsia"/>
        </w:rPr>
        <w:t>本文结合包装机</w:t>
      </w:r>
      <w:r>
        <w:t>ZB</w:t>
      </w:r>
      <w:r>
        <w:rPr>
          <w:rFonts w:hint="eastAsia"/>
        </w:rPr>
        <w:t>45</w:t>
      </w:r>
      <w:r>
        <w:t>_</w:t>
      </w:r>
      <w:r>
        <w:rPr>
          <w:rFonts w:hint="eastAsia"/>
        </w:rPr>
        <w:t>外挂方案的现场线缆敷设，备件准备，运维工具，点位表，PLC输入输出，点检等施工形成文档，为后续的运维提供参考依据。</w:t>
      </w:r>
    </w:p>
    <w:p w14:paraId="26C9B0DD">
      <w:pPr>
        <w:bidi w:val="0"/>
      </w:pPr>
      <w:bookmarkStart w:id="825" w:name="_Toc162420855"/>
      <w:r>
        <w:rPr>
          <w:rFonts w:hint="eastAsia"/>
        </w:rPr>
        <w:t>2．方案说明</w:t>
      </w:r>
      <w:bookmarkEnd w:id="825"/>
    </w:p>
    <w:p w14:paraId="7714AE6E">
      <w:pPr>
        <w:bidi w:val="0"/>
      </w:pPr>
      <w:bookmarkStart w:id="826" w:name="_Toc162420856"/>
      <w:bookmarkStart w:id="827" w:name="_Toc160029391"/>
      <w:bookmarkStart w:id="828" w:name="_Toc160026661"/>
      <w:r>
        <w:t>2.1</w:t>
      </w:r>
      <w:r>
        <w:rPr>
          <w:rFonts w:hint="eastAsia"/>
        </w:rPr>
        <w:t>．</w:t>
      </w:r>
      <w:r>
        <w:t>ZB</w:t>
      </w:r>
      <w:r>
        <w:rPr>
          <w:rFonts w:hint="eastAsia"/>
        </w:rPr>
        <w:t>45外挂方案</w:t>
      </w:r>
      <w:bookmarkEnd w:id="826"/>
      <w:bookmarkEnd w:id="827"/>
      <w:bookmarkEnd w:id="828"/>
    </w:p>
    <w:p w14:paraId="43709617">
      <w:pPr>
        <w:bidi w:val="0"/>
        <w:ind w:firstLine="420" w:firstLineChars="0"/>
      </w:pPr>
      <w:r>
        <w:rPr>
          <w:rFonts w:hint="eastAsia"/>
        </w:rPr>
        <w:t>本套设备由两组P</w:t>
      </w:r>
      <w:r>
        <w:t>LC</w:t>
      </w:r>
      <w:r>
        <w:rPr>
          <w:rFonts w:hint="eastAsia"/>
        </w:rPr>
        <w:t>共同组成，分别是西门子2</w:t>
      </w:r>
      <w:r>
        <w:t>00S</w:t>
      </w:r>
      <w:r>
        <w:rPr>
          <w:rFonts w:hint="eastAsia"/>
        </w:rPr>
        <w:t>mart</w:t>
      </w:r>
      <w:r>
        <w:t>&amp;1215C</w:t>
      </w:r>
      <w:r>
        <w:rPr>
          <w:rFonts w:hint="eastAsia"/>
        </w:rPr>
        <w:t>，其中2</w:t>
      </w:r>
      <w:r>
        <w:t>00S</w:t>
      </w:r>
      <w:r>
        <w:rPr>
          <w:rFonts w:hint="eastAsia"/>
        </w:rPr>
        <w:t>mart用来控制现场动作、</w:t>
      </w:r>
      <w:r>
        <w:t>1215C</w:t>
      </w:r>
      <w:r>
        <w:rPr>
          <w:rFonts w:hint="eastAsia"/>
        </w:rPr>
        <w:t>用来完成底层自动化数据与上层</w:t>
      </w:r>
      <w:r>
        <w:t>PC</w:t>
      </w:r>
      <w:r>
        <w:rPr>
          <w:rFonts w:hint="eastAsia"/>
        </w:rPr>
        <w:t>端的数据交互功能。</w:t>
      </w:r>
    </w:p>
    <w:p w14:paraId="6293E5ED">
      <w:pPr>
        <w:bidi w:val="0"/>
        <w:ind w:firstLine="420" w:firstLineChars="0"/>
      </w:pPr>
      <w:r>
        <w:rPr>
          <w:rFonts w:hint="eastAsia"/>
        </w:rPr>
        <w:t>因本套系统为包装机外挂设备，考虑与原机对接时的电源公共M点问题，本套系统使用两套2</w:t>
      </w:r>
      <w:r>
        <w:t>4VDC</w:t>
      </w:r>
      <w:r>
        <w:rPr>
          <w:rFonts w:hint="eastAsia"/>
        </w:rPr>
        <w:t>电源，一套由原机引出用于信号交接，一套由本设备自带的直流开关电源生成，用于供给本套设备内部用电系统。</w:t>
      </w:r>
    </w:p>
    <w:p w14:paraId="7DDA39BA">
      <w:pPr>
        <w:bidi w:val="0"/>
        <w:ind w:firstLine="420" w:firstLineChars="0"/>
      </w:pPr>
      <w:r>
        <w:rPr>
          <w:rFonts w:hint="eastAsia"/>
        </w:rPr>
        <w:t>用于包装机拍照、关联、剔除的2</w:t>
      </w:r>
      <w:r>
        <w:t>00S</w:t>
      </w:r>
      <w:r>
        <w:rPr>
          <w:rFonts w:hint="eastAsia"/>
        </w:rPr>
        <w:t>mart和与上位机通讯的1</w:t>
      </w:r>
      <w:r>
        <w:t>215C</w:t>
      </w:r>
      <w:r>
        <w:rPr>
          <w:rFonts w:hint="eastAsia"/>
        </w:rPr>
        <w:t>的硬件信号交互均通过光耦通道进行隔离处理，保证两者电源不会相互干扰。</w:t>
      </w:r>
    </w:p>
    <w:p w14:paraId="78C28A49">
      <w:pPr>
        <w:bidi w:val="0"/>
      </w:pPr>
      <w:r>
        <w:t>存在单台包装机双面读码状态时，电气柜内配置有双路读码器供电选择继电器。</w:t>
      </w:r>
    </w:p>
    <w:p w14:paraId="6496CA42">
      <w:pPr>
        <w:bidi w:val="0"/>
      </w:pPr>
    </w:p>
    <w:p w14:paraId="38927682">
      <w:pPr>
        <w:bidi w:val="0"/>
      </w:pPr>
      <w:bookmarkStart w:id="829" w:name="_Toc162420857"/>
      <w:r>
        <w:rPr>
          <w:rFonts w:hint="eastAsia"/>
        </w:rPr>
        <w:t>3．系统配套及组成</w:t>
      </w:r>
      <w:bookmarkEnd w:id="829"/>
    </w:p>
    <w:p w14:paraId="45A082B8">
      <w:pPr>
        <w:bidi w:val="0"/>
        <w:ind w:firstLine="420" w:firstLineChars="0"/>
      </w:pPr>
      <w:r>
        <w:t>ZB45</w:t>
      </w:r>
      <w:r>
        <w:rPr>
          <w:rFonts w:hint="eastAsia"/>
        </w:rPr>
        <w:t>外挂机型二维码设备分为：2</w:t>
      </w:r>
      <w:r>
        <w:t>20VAC</w:t>
      </w:r>
      <w:r>
        <w:rPr>
          <w:rFonts w:hint="eastAsia"/>
        </w:rPr>
        <w:t>主供电部分、2</w:t>
      </w:r>
      <w:r>
        <w:t>4VDC</w:t>
      </w:r>
      <w:r>
        <w:rPr>
          <w:rFonts w:hint="eastAsia"/>
        </w:rPr>
        <w:t>直流供电部分、端子排部分、外接航插部分、交换机部分、光耦模组部分、P</w:t>
      </w:r>
      <w:r>
        <w:t>LC模组部分</w:t>
      </w:r>
      <w:r>
        <w:rPr>
          <w:rFonts w:hint="eastAsia"/>
        </w:rPr>
        <w:t>、读码器部分</w:t>
      </w:r>
      <w:r>
        <w:t>。</w:t>
      </w:r>
    </w:p>
    <w:p w14:paraId="5DD8E03A">
      <w:pPr>
        <w:bidi w:val="0"/>
      </w:pPr>
      <w:bookmarkStart w:id="830" w:name="_Toc162420858"/>
      <w:r>
        <w:t>3.1</w:t>
      </w:r>
      <w:r>
        <w:rPr>
          <w:rFonts w:hint="eastAsia"/>
        </w:rPr>
        <w:t>．2</w:t>
      </w:r>
      <w:r>
        <w:t>20VAC主供电</w:t>
      </w:r>
      <w:r>
        <w:rPr>
          <w:rFonts w:hint="eastAsia"/>
        </w:rPr>
        <w:t>部分</w:t>
      </w:r>
      <w:bookmarkEnd w:id="830"/>
    </w:p>
    <w:p w14:paraId="632A062C">
      <w:pPr>
        <w:bidi w:val="0"/>
      </w:pPr>
      <w:r>
        <w:drawing>
          <wp:inline distT="0" distB="0" distL="0" distR="0">
            <wp:extent cx="5041900" cy="2352675"/>
            <wp:effectExtent l="0" t="0" r="6350" b="9525"/>
            <wp:docPr id="12783978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97823" name="图片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041900" cy="2352675"/>
                    </a:xfrm>
                    <a:prstGeom prst="rect">
                      <a:avLst/>
                    </a:prstGeom>
                    <a:noFill/>
                    <a:ln>
                      <a:noFill/>
                    </a:ln>
                  </pic:spPr>
                </pic:pic>
              </a:graphicData>
            </a:graphic>
          </wp:inline>
        </w:drawing>
      </w:r>
    </w:p>
    <w:p w14:paraId="600A05FB">
      <w:pPr>
        <w:bidi w:val="0"/>
      </w:pPr>
      <w:r>
        <w:drawing>
          <wp:inline distT="0" distB="0" distL="0" distR="0">
            <wp:extent cx="5784850" cy="4152900"/>
            <wp:effectExtent l="0" t="0" r="6350" b="0"/>
            <wp:docPr id="18926955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95574" name="图片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84850" cy="4152900"/>
                    </a:xfrm>
                    <a:prstGeom prst="rect">
                      <a:avLst/>
                    </a:prstGeom>
                    <a:noFill/>
                    <a:ln>
                      <a:noFill/>
                    </a:ln>
                  </pic:spPr>
                </pic:pic>
              </a:graphicData>
            </a:graphic>
          </wp:inline>
        </w:drawing>
      </w:r>
    </w:p>
    <w:p w14:paraId="2BB8F4D1">
      <w:pPr>
        <w:bidi w:val="0"/>
      </w:pPr>
      <w:bookmarkStart w:id="831" w:name="_Toc162420859"/>
      <w:r>
        <w:t>3.2</w:t>
      </w:r>
      <w:r>
        <w:rPr>
          <w:rFonts w:hint="eastAsia"/>
        </w:rPr>
        <w:t>．</w:t>
      </w:r>
      <w:r>
        <w:t>24VDC直流供电部分</w:t>
      </w:r>
      <w:bookmarkEnd w:id="831"/>
    </w:p>
    <w:p w14:paraId="27C495B1">
      <w:pPr>
        <w:bidi w:val="0"/>
      </w:pPr>
      <w:r>
        <w:drawing>
          <wp:inline distT="0" distB="0" distL="0" distR="0">
            <wp:extent cx="6120130" cy="1701165"/>
            <wp:effectExtent l="0" t="0" r="13970" b="13335"/>
            <wp:docPr id="4223891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89195" name="图片 20"/>
                    <pic:cNvPicPr>
                      <a:picLocks noChangeAspect="1" noChangeArrowheads="1"/>
                    </pic:cNvPicPr>
                  </pic:nvPicPr>
                  <pic:blipFill>
                    <a:blip r:embed="rId43">
                      <a:extLst>
                        <a:ext uri="{28A0092B-C50C-407E-A947-70E740481C1C}">
                          <a14:useLocalDpi xmlns:a14="http://schemas.microsoft.com/office/drawing/2010/main" val="0"/>
                        </a:ext>
                      </a:extLst>
                    </a:blip>
                    <a:srcRect t="4724" b="14716"/>
                    <a:stretch>
                      <a:fillRect/>
                    </a:stretch>
                  </pic:blipFill>
                  <pic:spPr>
                    <a:xfrm>
                      <a:off x="0" y="0"/>
                      <a:ext cx="6120130" cy="1701165"/>
                    </a:xfrm>
                    <a:prstGeom prst="rect">
                      <a:avLst/>
                    </a:prstGeom>
                    <a:noFill/>
                    <a:ln>
                      <a:noFill/>
                    </a:ln>
                  </pic:spPr>
                </pic:pic>
              </a:graphicData>
            </a:graphic>
          </wp:inline>
        </w:drawing>
      </w:r>
      <w:r>
        <w:drawing>
          <wp:inline distT="0" distB="0" distL="0" distR="0">
            <wp:extent cx="5784850" cy="4152900"/>
            <wp:effectExtent l="0" t="0" r="6350" b="0"/>
            <wp:docPr id="13631115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11582" name="图片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84850" cy="4152900"/>
                    </a:xfrm>
                    <a:prstGeom prst="rect">
                      <a:avLst/>
                    </a:prstGeom>
                    <a:noFill/>
                    <a:ln>
                      <a:noFill/>
                    </a:ln>
                  </pic:spPr>
                </pic:pic>
              </a:graphicData>
            </a:graphic>
          </wp:inline>
        </w:drawing>
      </w:r>
    </w:p>
    <w:p w14:paraId="014FFDF8">
      <w:pPr>
        <w:bidi w:val="0"/>
      </w:pPr>
      <w:bookmarkStart w:id="832" w:name="_Toc162420860"/>
      <w:r>
        <w:t>3.3</w:t>
      </w:r>
      <w:r>
        <w:rPr>
          <w:rFonts w:hint="eastAsia"/>
        </w:rPr>
        <w:t>．端子排</w:t>
      </w:r>
      <w:r>
        <w:t>部分</w:t>
      </w:r>
      <w:bookmarkEnd w:id="832"/>
    </w:p>
    <w:p w14:paraId="5273902E">
      <w:pPr>
        <w:bidi w:val="0"/>
      </w:pPr>
      <w:r>
        <w:drawing>
          <wp:inline distT="0" distB="0" distL="0" distR="0">
            <wp:extent cx="6120130" cy="2380615"/>
            <wp:effectExtent l="0" t="0" r="13970" b="635"/>
            <wp:docPr id="7126590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59071" name="图片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120130" cy="2380615"/>
                    </a:xfrm>
                    <a:prstGeom prst="rect">
                      <a:avLst/>
                    </a:prstGeom>
                    <a:noFill/>
                    <a:ln>
                      <a:noFill/>
                    </a:ln>
                  </pic:spPr>
                </pic:pic>
              </a:graphicData>
            </a:graphic>
          </wp:inline>
        </w:drawing>
      </w:r>
    </w:p>
    <w:p w14:paraId="795E5DA2">
      <w:pPr>
        <w:bidi w:val="0"/>
      </w:pPr>
      <w:r>
        <w:drawing>
          <wp:inline distT="0" distB="0" distL="0" distR="0">
            <wp:extent cx="6120130" cy="4393565"/>
            <wp:effectExtent l="0" t="0" r="13970" b="6985"/>
            <wp:docPr id="7364279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27925" name="图片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120130" cy="4393565"/>
                    </a:xfrm>
                    <a:prstGeom prst="rect">
                      <a:avLst/>
                    </a:prstGeom>
                    <a:noFill/>
                    <a:ln>
                      <a:noFill/>
                    </a:ln>
                  </pic:spPr>
                </pic:pic>
              </a:graphicData>
            </a:graphic>
          </wp:inline>
        </w:drawing>
      </w:r>
      <w:r>
        <w:drawing>
          <wp:inline distT="0" distB="0" distL="0" distR="0">
            <wp:extent cx="6120130" cy="4406265"/>
            <wp:effectExtent l="0" t="0" r="13970" b="13335"/>
            <wp:docPr id="4263327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32785" name="图片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120130" cy="4406265"/>
                    </a:xfrm>
                    <a:prstGeom prst="rect">
                      <a:avLst/>
                    </a:prstGeom>
                    <a:noFill/>
                    <a:ln>
                      <a:noFill/>
                    </a:ln>
                  </pic:spPr>
                </pic:pic>
              </a:graphicData>
            </a:graphic>
          </wp:inline>
        </w:drawing>
      </w:r>
    </w:p>
    <w:p w14:paraId="4C8273D4">
      <w:pPr>
        <w:bidi w:val="0"/>
      </w:pPr>
      <w:bookmarkStart w:id="833" w:name="_Toc162420861"/>
      <w:r>
        <w:t>3.4</w:t>
      </w:r>
      <w:r>
        <w:rPr>
          <w:rFonts w:hint="eastAsia"/>
        </w:rPr>
        <w:t>．外接航插</w:t>
      </w:r>
      <w:r>
        <w:t>部分</w:t>
      </w:r>
      <w:bookmarkEnd w:id="833"/>
    </w:p>
    <w:p w14:paraId="11716383">
      <w:pPr>
        <w:bidi w:val="0"/>
      </w:pPr>
      <w:r>
        <w:drawing>
          <wp:inline distT="0" distB="0" distL="0" distR="0">
            <wp:extent cx="5429250" cy="1720850"/>
            <wp:effectExtent l="0" t="0" r="0" b="12700"/>
            <wp:docPr id="12282209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20983" name="图片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429250" cy="1720850"/>
                    </a:xfrm>
                    <a:prstGeom prst="rect">
                      <a:avLst/>
                    </a:prstGeom>
                    <a:noFill/>
                    <a:ln>
                      <a:noFill/>
                    </a:ln>
                  </pic:spPr>
                </pic:pic>
              </a:graphicData>
            </a:graphic>
          </wp:inline>
        </w:drawing>
      </w:r>
    </w:p>
    <w:p w14:paraId="28E73BAA">
      <w:pPr>
        <w:bidi w:val="0"/>
      </w:pPr>
      <w:bookmarkStart w:id="834" w:name="_Toc162420862"/>
      <w:r>
        <w:t>3.5</w:t>
      </w:r>
      <w:r>
        <w:rPr>
          <w:rFonts w:hint="eastAsia"/>
        </w:rPr>
        <w:t>．交换机</w:t>
      </w:r>
      <w:r>
        <w:t>部分</w:t>
      </w:r>
      <w:bookmarkEnd w:id="834"/>
    </w:p>
    <w:p w14:paraId="398A8D60">
      <w:pPr>
        <w:bidi w:val="0"/>
      </w:pPr>
      <w:r>
        <w:drawing>
          <wp:inline distT="0" distB="0" distL="0" distR="0">
            <wp:extent cx="6115050" cy="863600"/>
            <wp:effectExtent l="0" t="0" r="0" b="12700"/>
            <wp:docPr id="1636696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96178" name="图片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6115050" cy="863600"/>
                    </a:xfrm>
                    <a:prstGeom prst="rect">
                      <a:avLst/>
                    </a:prstGeom>
                    <a:noFill/>
                    <a:ln>
                      <a:noFill/>
                    </a:ln>
                  </pic:spPr>
                </pic:pic>
              </a:graphicData>
            </a:graphic>
          </wp:inline>
        </w:drawing>
      </w:r>
    </w:p>
    <w:p w14:paraId="5502D179">
      <w:pPr>
        <w:bidi w:val="0"/>
      </w:pPr>
      <w:bookmarkStart w:id="835" w:name="_Toc162420863"/>
      <w:r>
        <w:t>3.6</w:t>
      </w:r>
      <w:r>
        <w:rPr>
          <w:rFonts w:hint="eastAsia"/>
        </w:rPr>
        <w:t>．光耦模组</w:t>
      </w:r>
      <w:r>
        <w:t>部分</w:t>
      </w:r>
      <w:bookmarkEnd w:id="835"/>
    </w:p>
    <w:p w14:paraId="3D143CEC">
      <w:pPr>
        <w:bidi w:val="0"/>
      </w:pPr>
      <w:r>
        <w:drawing>
          <wp:inline distT="0" distB="0" distL="0" distR="0">
            <wp:extent cx="6117590" cy="956310"/>
            <wp:effectExtent l="0" t="0" r="16510" b="15240"/>
            <wp:docPr id="10756104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10477" name="图片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136346" cy="959533"/>
                    </a:xfrm>
                    <a:prstGeom prst="rect">
                      <a:avLst/>
                    </a:prstGeom>
                    <a:noFill/>
                    <a:ln>
                      <a:noFill/>
                    </a:ln>
                  </pic:spPr>
                </pic:pic>
              </a:graphicData>
            </a:graphic>
          </wp:inline>
        </w:drawing>
      </w:r>
    </w:p>
    <w:p w14:paraId="6CBC4913">
      <w:pPr>
        <w:bidi w:val="0"/>
      </w:pPr>
      <w:r>
        <w:drawing>
          <wp:inline distT="0" distB="0" distL="0" distR="0">
            <wp:extent cx="6119495" cy="4061460"/>
            <wp:effectExtent l="0" t="0" r="14605" b="15240"/>
            <wp:docPr id="768413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1345" name="图片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6137036" cy="4061460"/>
                    </a:xfrm>
                    <a:prstGeom prst="rect">
                      <a:avLst/>
                    </a:prstGeom>
                    <a:noFill/>
                    <a:ln>
                      <a:noFill/>
                    </a:ln>
                  </pic:spPr>
                </pic:pic>
              </a:graphicData>
            </a:graphic>
          </wp:inline>
        </w:drawing>
      </w:r>
      <w:r>
        <w:t xml:space="preserve"> </w:t>
      </w:r>
      <w:r>
        <w:drawing>
          <wp:inline distT="0" distB="0" distL="0" distR="0">
            <wp:extent cx="6118860" cy="3685540"/>
            <wp:effectExtent l="0" t="0" r="15240" b="10160"/>
            <wp:docPr id="1136436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36944" name="图片 1"/>
                    <pic:cNvPicPr>
                      <a:picLocks noChangeAspect="1"/>
                    </pic:cNvPicPr>
                  </pic:nvPicPr>
                  <pic:blipFill>
                    <a:blip r:embed="rId51"/>
                    <a:stretch>
                      <a:fillRect/>
                    </a:stretch>
                  </pic:blipFill>
                  <pic:spPr>
                    <a:xfrm>
                      <a:off x="0" y="0"/>
                      <a:ext cx="6142673" cy="3699749"/>
                    </a:xfrm>
                    <a:prstGeom prst="rect">
                      <a:avLst/>
                    </a:prstGeom>
                  </pic:spPr>
                </pic:pic>
              </a:graphicData>
            </a:graphic>
          </wp:inline>
        </w:drawing>
      </w:r>
      <w:r>
        <w:t xml:space="preserve"> </w:t>
      </w:r>
    </w:p>
    <w:p w14:paraId="2596B23E">
      <w:pPr>
        <w:bidi w:val="0"/>
      </w:pPr>
      <w:bookmarkStart w:id="836" w:name="_Toc162420864"/>
      <w:r>
        <w:t>3.7</w:t>
      </w:r>
      <w:r>
        <w:rPr>
          <w:rFonts w:hint="eastAsia"/>
        </w:rPr>
        <w:t>．PLC模组</w:t>
      </w:r>
      <w:r>
        <w:t>部分</w:t>
      </w:r>
      <w:bookmarkEnd w:id="836"/>
    </w:p>
    <w:p w14:paraId="5C1E0923">
      <w:pPr>
        <w:bidi w:val="0"/>
      </w:pPr>
      <w:r>
        <w:drawing>
          <wp:inline distT="0" distB="0" distL="0" distR="0">
            <wp:extent cx="5759450" cy="2355850"/>
            <wp:effectExtent l="0" t="0" r="12700" b="6350"/>
            <wp:docPr id="436259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59328" name="图片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759450" cy="2355850"/>
                    </a:xfrm>
                    <a:prstGeom prst="rect">
                      <a:avLst/>
                    </a:prstGeom>
                    <a:noFill/>
                    <a:ln>
                      <a:noFill/>
                    </a:ln>
                  </pic:spPr>
                </pic:pic>
              </a:graphicData>
            </a:graphic>
          </wp:inline>
        </w:drawing>
      </w:r>
    </w:p>
    <w:p w14:paraId="7733EDBC">
      <w:pPr>
        <w:bidi w:val="0"/>
      </w:pPr>
      <w:r>
        <w:drawing>
          <wp:inline distT="0" distB="0" distL="0" distR="0">
            <wp:extent cx="6120130" cy="4392930"/>
            <wp:effectExtent l="0" t="0" r="13970" b="7620"/>
            <wp:docPr id="628522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22274" name="图片 1"/>
                    <pic:cNvPicPr>
                      <a:picLocks noChangeAspect="1"/>
                    </pic:cNvPicPr>
                  </pic:nvPicPr>
                  <pic:blipFill>
                    <a:blip r:embed="rId53"/>
                    <a:stretch>
                      <a:fillRect/>
                    </a:stretch>
                  </pic:blipFill>
                  <pic:spPr>
                    <a:xfrm>
                      <a:off x="0" y="0"/>
                      <a:ext cx="6120130" cy="4392930"/>
                    </a:xfrm>
                    <a:prstGeom prst="rect">
                      <a:avLst/>
                    </a:prstGeom>
                  </pic:spPr>
                </pic:pic>
              </a:graphicData>
            </a:graphic>
          </wp:inline>
        </w:drawing>
      </w:r>
      <w:r>
        <w:t xml:space="preserve"> </w:t>
      </w:r>
      <w:r>
        <w:drawing>
          <wp:inline distT="0" distB="0" distL="0" distR="0">
            <wp:extent cx="6120130" cy="4398645"/>
            <wp:effectExtent l="0" t="0" r="13970" b="1905"/>
            <wp:docPr id="1283368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68027" name="图片 1"/>
                    <pic:cNvPicPr>
                      <a:picLocks noChangeAspect="1"/>
                    </pic:cNvPicPr>
                  </pic:nvPicPr>
                  <pic:blipFill>
                    <a:blip r:embed="rId54"/>
                    <a:stretch>
                      <a:fillRect/>
                    </a:stretch>
                  </pic:blipFill>
                  <pic:spPr>
                    <a:xfrm>
                      <a:off x="0" y="0"/>
                      <a:ext cx="6120130" cy="4398645"/>
                    </a:xfrm>
                    <a:prstGeom prst="rect">
                      <a:avLst/>
                    </a:prstGeom>
                  </pic:spPr>
                </pic:pic>
              </a:graphicData>
            </a:graphic>
          </wp:inline>
        </w:drawing>
      </w:r>
    </w:p>
    <w:p w14:paraId="4E6BD53A">
      <w:pPr>
        <w:bidi w:val="0"/>
      </w:pPr>
      <w:bookmarkStart w:id="837" w:name="_Toc162420865"/>
      <w:r>
        <w:t>3.8</w:t>
      </w:r>
      <w:r>
        <w:rPr>
          <w:rFonts w:hint="eastAsia"/>
        </w:rPr>
        <w:t>．读码器</w:t>
      </w:r>
      <w:r>
        <w:t>部分</w:t>
      </w:r>
      <w:bookmarkEnd w:id="837"/>
    </w:p>
    <w:p w14:paraId="2470E437">
      <w:pPr>
        <w:bidi w:val="0"/>
      </w:pPr>
      <w:r>
        <w:drawing>
          <wp:inline distT="0" distB="0" distL="0" distR="0">
            <wp:extent cx="5753100" cy="2870200"/>
            <wp:effectExtent l="0" t="0" r="0" b="6350"/>
            <wp:docPr id="3178342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34289" name="图片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53100" cy="2870200"/>
                    </a:xfrm>
                    <a:prstGeom prst="rect">
                      <a:avLst/>
                    </a:prstGeom>
                    <a:noFill/>
                    <a:ln>
                      <a:noFill/>
                    </a:ln>
                  </pic:spPr>
                </pic:pic>
              </a:graphicData>
            </a:graphic>
          </wp:inline>
        </w:drawing>
      </w:r>
    </w:p>
    <w:p w14:paraId="51A742EB">
      <w:pPr>
        <w:bidi w:val="0"/>
      </w:pPr>
      <w:bookmarkStart w:id="838" w:name="_Toc162420866"/>
      <w:r>
        <w:rPr>
          <w:rFonts w:hint="eastAsia"/>
        </w:rPr>
        <w:t>4．二维码设备现场布置详细</w:t>
      </w:r>
      <w:bookmarkEnd w:id="838"/>
    </w:p>
    <w:p w14:paraId="2BD522E9">
      <w:pPr>
        <w:bidi w:val="0"/>
      </w:pPr>
      <w:bookmarkStart w:id="839" w:name="_Toc162420867"/>
      <w:r>
        <w:t>4.1</w:t>
      </w:r>
      <w:r>
        <w:rPr>
          <w:rFonts w:hint="eastAsia"/>
        </w:rPr>
        <w:t>．电气原件BOM表</w:t>
      </w:r>
      <w:bookmarkEnd w:id="839"/>
    </w:p>
    <w:tbl>
      <w:tblPr>
        <w:tblStyle w:val="43"/>
        <w:tblW w:w="8960" w:type="dxa"/>
        <w:tblInd w:w="118" w:type="dxa"/>
        <w:tblLayout w:type="autofit"/>
        <w:tblCellMar>
          <w:top w:w="0" w:type="dxa"/>
          <w:left w:w="108" w:type="dxa"/>
          <w:bottom w:w="0" w:type="dxa"/>
          <w:right w:w="108" w:type="dxa"/>
        </w:tblCellMar>
      </w:tblPr>
      <w:tblGrid>
        <w:gridCol w:w="2496"/>
        <w:gridCol w:w="1797"/>
        <w:gridCol w:w="2376"/>
        <w:gridCol w:w="837"/>
        <w:gridCol w:w="1454"/>
      </w:tblGrid>
      <w:tr w14:paraId="74258A7B">
        <w:tblPrEx>
          <w:tblCellMar>
            <w:top w:w="0" w:type="dxa"/>
            <w:left w:w="108" w:type="dxa"/>
            <w:bottom w:w="0" w:type="dxa"/>
            <w:right w:w="108" w:type="dxa"/>
          </w:tblCellMar>
        </w:tblPrEx>
        <w:trPr>
          <w:trHeight w:val="270" w:hRule="atLeast"/>
        </w:trPr>
        <w:tc>
          <w:tcPr>
            <w:tcW w:w="2340" w:type="dxa"/>
            <w:tcBorders>
              <w:top w:val="single" w:color="auto" w:sz="8" w:space="0"/>
              <w:left w:val="single" w:color="auto" w:sz="8" w:space="0"/>
              <w:bottom w:val="single" w:color="auto" w:sz="8" w:space="0"/>
              <w:right w:val="single" w:color="auto" w:sz="8" w:space="0"/>
            </w:tcBorders>
            <w:shd w:val="clear" w:color="auto" w:fill="auto"/>
            <w:vAlign w:val="center"/>
          </w:tcPr>
          <w:p w14:paraId="2B32578F">
            <w:pPr>
              <w:bidi w:val="0"/>
            </w:pPr>
            <w:r>
              <w:rPr>
                <w:rFonts w:hint="eastAsia"/>
              </w:rPr>
              <w:t>项目代号</w:t>
            </w:r>
          </w:p>
        </w:tc>
        <w:tc>
          <w:tcPr>
            <w:tcW w:w="1960" w:type="dxa"/>
            <w:tcBorders>
              <w:top w:val="single" w:color="auto" w:sz="8" w:space="0"/>
              <w:left w:val="nil"/>
              <w:bottom w:val="single" w:color="auto" w:sz="8" w:space="0"/>
              <w:right w:val="single" w:color="auto" w:sz="8" w:space="0"/>
            </w:tcBorders>
            <w:shd w:val="clear" w:color="auto" w:fill="auto"/>
            <w:vAlign w:val="center"/>
          </w:tcPr>
          <w:p w14:paraId="20F1F1D7">
            <w:pPr>
              <w:bidi w:val="0"/>
            </w:pPr>
            <w:r>
              <w:rPr>
                <w:rFonts w:hint="eastAsia"/>
              </w:rPr>
              <w:t>名称</w:t>
            </w:r>
          </w:p>
        </w:tc>
        <w:tc>
          <w:tcPr>
            <w:tcW w:w="2280" w:type="dxa"/>
            <w:tcBorders>
              <w:top w:val="single" w:color="auto" w:sz="8" w:space="0"/>
              <w:left w:val="nil"/>
              <w:bottom w:val="single" w:color="auto" w:sz="8" w:space="0"/>
              <w:right w:val="single" w:color="auto" w:sz="8" w:space="0"/>
            </w:tcBorders>
            <w:shd w:val="clear" w:color="auto" w:fill="auto"/>
            <w:vAlign w:val="center"/>
          </w:tcPr>
          <w:p w14:paraId="6C5DA9C8">
            <w:pPr>
              <w:bidi w:val="0"/>
            </w:pPr>
            <w:r>
              <w:rPr>
                <w:rFonts w:hint="eastAsia"/>
              </w:rPr>
              <w:t>型号</w:t>
            </w:r>
          </w:p>
        </w:tc>
        <w:tc>
          <w:tcPr>
            <w:tcW w:w="900" w:type="dxa"/>
            <w:tcBorders>
              <w:top w:val="single" w:color="auto" w:sz="8" w:space="0"/>
              <w:left w:val="nil"/>
              <w:bottom w:val="single" w:color="auto" w:sz="8" w:space="0"/>
              <w:right w:val="single" w:color="auto" w:sz="8" w:space="0"/>
            </w:tcBorders>
            <w:shd w:val="clear" w:color="auto" w:fill="auto"/>
            <w:vAlign w:val="center"/>
          </w:tcPr>
          <w:p w14:paraId="0F921EE2">
            <w:pPr>
              <w:bidi w:val="0"/>
            </w:pPr>
            <w:r>
              <w:rPr>
                <w:rFonts w:hint="eastAsia"/>
              </w:rPr>
              <w:t>数量</w:t>
            </w:r>
          </w:p>
        </w:tc>
        <w:tc>
          <w:tcPr>
            <w:tcW w:w="1480" w:type="dxa"/>
            <w:tcBorders>
              <w:top w:val="single" w:color="auto" w:sz="8" w:space="0"/>
              <w:left w:val="nil"/>
              <w:bottom w:val="single" w:color="auto" w:sz="8" w:space="0"/>
              <w:right w:val="single" w:color="auto" w:sz="8" w:space="0"/>
            </w:tcBorders>
            <w:shd w:val="clear" w:color="auto" w:fill="auto"/>
            <w:vAlign w:val="center"/>
          </w:tcPr>
          <w:p w14:paraId="7BB41637">
            <w:pPr>
              <w:bidi w:val="0"/>
            </w:pPr>
            <w:r>
              <w:rPr>
                <w:rFonts w:hint="eastAsia"/>
              </w:rPr>
              <w:t>厂家</w:t>
            </w:r>
          </w:p>
        </w:tc>
      </w:tr>
      <w:tr w14:paraId="613D5557">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60FF4972">
            <w:pPr>
              <w:bidi w:val="0"/>
            </w:pPr>
            <w:r>
              <w:t>-V1</w:t>
            </w:r>
          </w:p>
        </w:tc>
        <w:tc>
          <w:tcPr>
            <w:tcW w:w="1960" w:type="dxa"/>
            <w:tcBorders>
              <w:top w:val="nil"/>
              <w:left w:val="nil"/>
              <w:bottom w:val="single" w:color="auto" w:sz="8" w:space="0"/>
              <w:right w:val="single" w:color="auto" w:sz="8" w:space="0"/>
            </w:tcBorders>
            <w:shd w:val="clear" w:color="auto" w:fill="auto"/>
            <w:vAlign w:val="center"/>
          </w:tcPr>
          <w:p w14:paraId="4F7EC421">
            <w:pPr>
              <w:bidi w:val="0"/>
            </w:pPr>
            <w:r>
              <w:rPr>
                <w:rFonts w:hint="eastAsia"/>
              </w:rPr>
              <w:t>开关电源</w:t>
            </w:r>
          </w:p>
        </w:tc>
        <w:tc>
          <w:tcPr>
            <w:tcW w:w="2280" w:type="dxa"/>
            <w:tcBorders>
              <w:top w:val="nil"/>
              <w:left w:val="nil"/>
              <w:bottom w:val="single" w:color="auto" w:sz="8" w:space="0"/>
              <w:right w:val="single" w:color="auto" w:sz="8" w:space="0"/>
            </w:tcBorders>
            <w:shd w:val="clear" w:color="auto" w:fill="auto"/>
            <w:vAlign w:val="center"/>
          </w:tcPr>
          <w:p w14:paraId="633AFD83">
            <w:pPr>
              <w:bidi w:val="0"/>
            </w:pPr>
            <w:r>
              <w:rPr>
                <w:rFonts w:hint="eastAsia"/>
              </w:rPr>
              <w:t>NDR-240-24</w:t>
            </w:r>
          </w:p>
        </w:tc>
        <w:tc>
          <w:tcPr>
            <w:tcW w:w="900" w:type="dxa"/>
            <w:tcBorders>
              <w:top w:val="nil"/>
              <w:left w:val="nil"/>
              <w:bottom w:val="single" w:color="auto" w:sz="8" w:space="0"/>
              <w:right w:val="single" w:color="auto" w:sz="8" w:space="0"/>
            </w:tcBorders>
            <w:shd w:val="clear" w:color="auto" w:fill="auto"/>
            <w:vAlign w:val="center"/>
          </w:tcPr>
          <w:p w14:paraId="51AD596F">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4FA4481B">
            <w:pPr>
              <w:bidi w:val="0"/>
            </w:pPr>
            <w:r>
              <w:rPr>
                <w:rFonts w:hint="eastAsia"/>
              </w:rPr>
              <w:t>明伟（广州）</w:t>
            </w:r>
          </w:p>
        </w:tc>
      </w:tr>
      <w:tr w14:paraId="3F23FB70">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E0D505F">
            <w:pPr>
              <w:bidi w:val="0"/>
            </w:pPr>
            <w:r>
              <w:t>-</w:t>
            </w:r>
            <w:r>
              <w:rPr>
                <w:rFonts w:hint="eastAsia"/>
              </w:rPr>
              <w:t>Q</w:t>
            </w:r>
            <w:r>
              <w:t>A1</w:t>
            </w:r>
          </w:p>
        </w:tc>
        <w:tc>
          <w:tcPr>
            <w:tcW w:w="1960" w:type="dxa"/>
            <w:tcBorders>
              <w:top w:val="nil"/>
              <w:left w:val="nil"/>
              <w:bottom w:val="single" w:color="auto" w:sz="8" w:space="0"/>
              <w:right w:val="single" w:color="auto" w:sz="8" w:space="0"/>
            </w:tcBorders>
            <w:shd w:val="clear" w:color="auto" w:fill="auto"/>
            <w:vAlign w:val="center"/>
          </w:tcPr>
          <w:p w14:paraId="0466018A">
            <w:pPr>
              <w:bidi w:val="0"/>
            </w:pPr>
            <w:r>
              <w:rPr>
                <w:rFonts w:hint="eastAsia"/>
              </w:rPr>
              <w:t>转换(负荷</w:t>
            </w:r>
            <w:r>
              <w:t>)</w:t>
            </w:r>
            <w:r>
              <w:rPr>
                <w:rFonts w:hint="eastAsia"/>
              </w:rPr>
              <w:t>开关</w:t>
            </w:r>
          </w:p>
        </w:tc>
        <w:tc>
          <w:tcPr>
            <w:tcW w:w="2280" w:type="dxa"/>
            <w:tcBorders>
              <w:top w:val="nil"/>
              <w:left w:val="nil"/>
              <w:bottom w:val="single" w:color="auto" w:sz="8" w:space="0"/>
              <w:right w:val="single" w:color="auto" w:sz="8" w:space="0"/>
            </w:tcBorders>
            <w:shd w:val="clear" w:color="auto" w:fill="auto"/>
            <w:vAlign w:val="center"/>
          </w:tcPr>
          <w:p w14:paraId="33E1E403">
            <w:pPr>
              <w:bidi w:val="0"/>
            </w:pPr>
            <w:r>
              <w:rPr>
                <w:rFonts w:hint="eastAsia"/>
              </w:rPr>
              <w:t>LW30-63（63A）</w:t>
            </w:r>
          </w:p>
        </w:tc>
        <w:tc>
          <w:tcPr>
            <w:tcW w:w="900" w:type="dxa"/>
            <w:tcBorders>
              <w:top w:val="nil"/>
              <w:left w:val="nil"/>
              <w:bottom w:val="single" w:color="auto" w:sz="8" w:space="0"/>
              <w:right w:val="single" w:color="auto" w:sz="8" w:space="0"/>
            </w:tcBorders>
            <w:shd w:val="clear" w:color="auto" w:fill="auto"/>
            <w:vAlign w:val="center"/>
          </w:tcPr>
          <w:p w14:paraId="51869C89">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7D8DA0C8">
            <w:pPr>
              <w:bidi w:val="0"/>
            </w:pPr>
            <w:r>
              <w:rPr>
                <w:rFonts w:hint="eastAsia"/>
              </w:rPr>
              <w:t>长信</w:t>
            </w:r>
          </w:p>
        </w:tc>
      </w:tr>
      <w:tr w14:paraId="704209DD">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A84F4B0">
            <w:pPr>
              <w:bidi w:val="0"/>
            </w:pPr>
            <w:r>
              <w:rPr>
                <w:rFonts w:hint="eastAsia"/>
              </w:rPr>
              <w:t>-</w:t>
            </w:r>
            <w:r>
              <w:t>QF1</w:t>
            </w:r>
          </w:p>
        </w:tc>
        <w:tc>
          <w:tcPr>
            <w:tcW w:w="1960" w:type="dxa"/>
            <w:tcBorders>
              <w:top w:val="nil"/>
              <w:left w:val="nil"/>
              <w:bottom w:val="single" w:color="auto" w:sz="8" w:space="0"/>
              <w:right w:val="single" w:color="auto" w:sz="8" w:space="0"/>
            </w:tcBorders>
            <w:shd w:val="clear" w:color="auto" w:fill="auto"/>
            <w:vAlign w:val="center"/>
          </w:tcPr>
          <w:p w14:paraId="6FD38325">
            <w:pPr>
              <w:bidi w:val="0"/>
            </w:pPr>
            <w:r>
              <w:rPr>
                <w:rFonts w:hint="eastAsia"/>
              </w:rPr>
              <w:t>小型断路器</w:t>
            </w:r>
          </w:p>
        </w:tc>
        <w:tc>
          <w:tcPr>
            <w:tcW w:w="2280" w:type="dxa"/>
            <w:tcBorders>
              <w:top w:val="nil"/>
              <w:left w:val="nil"/>
              <w:bottom w:val="single" w:color="auto" w:sz="8" w:space="0"/>
              <w:right w:val="single" w:color="auto" w:sz="8" w:space="0"/>
            </w:tcBorders>
            <w:shd w:val="clear" w:color="auto" w:fill="auto"/>
            <w:vAlign w:val="center"/>
          </w:tcPr>
          <w:p w14:paraId="2B3D2300">
            <w:pPr>
              <w:bidi w:val="0"/>
            </w:pPr>
            <w:r>
              <w:t>NDBI-63-D20</w:t>
            </w:r>
          </w:p>
        </w:tc>
        <w:tc>
          <w:tcPr>
            <w:tcW w:w="900" w:type="dxa"/>
            <w:tcBorders>
              <w:top w:val="nil"/>
              <w:left w:val="nil"/>
              <w:bottom w:val="single" w:color="auto" w:sz="8" w:space="0"/>
              <w:right w:val="single" w:color="auto" w:sz="8" w:space="0"/>
            </w:tcBorders>
            <w:shd w:val="clear" w:color="auto" w:fill="auto"/>
            <w:vAlign w:val="center"/>
          </w:tcPr>
          <w:p w14:paraId="54A7CDF0">
            <w:pPr>
              <w:bidi w:val="0"/>
            </w:pPr>
            <w:r>
              <w:t>1</w:t>
            </w:r>
          </w:p>
        </w:tc>
        <w:tc>
          <w:tcPr>
            <w:tcW w:w="1480" w:type="dxa"/>
            <w:tcBorders>
              <w:top w:val="nil"/>
              <w:left w:val="nil"/>
              <w:bottom w:val="single" w:color="auto" w:sz="8" w:space="0"/>
              <w:right w:val="single" w:color="auto" w:sz="8" w:space="0"/>
            </w:tcBorders>
            <w:shd w:val="clear" w:color="auto" w:fill="auto"/>
            <w:vAlign w:val="center"/>
          </w:tcPr>
          <w:p w14:paraId="0A5BDAA7">
            <w:pPr>
              <w:bidi w:val="0"/>
            </w:pPr>
            <w:r>
              <w:t>N</w:t>
            </w:r>
            <w:r>
              <w:rPr>
                <w:rFonts w:hint="eastAsia"/>
              </w:rPr>
              <w:t>a</w:t>
            </w:r>
            <w:r>
              <w:t>der</w:t>
            </w:r>
          </w:p>
        </w:tc>
      </w:tr>
      <w:tr w14:paraId="04F67489">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A3BBF49">
            <w:pPr>
              <w:bidi w:val="0"/>
            </w:pPr>
            <w:r>
              <w:t>M1;M2</w:t>
            </w:r>
          </w:p>
        </w:tc>
        <w:tc>
          <w:tcPr>
            <w:tcW w:w="1960" w:type="dxa"/>
            <w:tcBorders>
              <w:top w:val="nil"/>
              <w:left w:val="nil"/>
              <w:bottom w:val="single" w:color="auto" w:sz="8" w:space="0"/>
              <w:right w:val="single" w:color="auto" w:sz="8" w:space="0"/>
            </w:tcBorders>
            <w:shd w:val="clear" w:color="auto" w:fill="auto"/>
            <w:vAlign w:val="center"/>
          </w:tcPr>
          <w:p w14:paraId="318B8545">
            <w:pPr>
              <w:bidi w:val="0"/>
            </w:pPr>
            <w:r>
              <w:rPr>
                <w:rFonts w:hint="eastAsia"/>
              </w:rPr>
              <w:t>散热风扇</w:t>
            </w:r>
          </w:p>
        </w:tc>
        <w:tc>
          <w:tcPr>
            <w:tcW w:w="2280" w:type="dxa"/>
            <w:tcBorders>
              <w:top w:val="nil"/>
              <w:left w:val="nil"/>
              <w:bottom w:val="single" w:color="auto" w:sz="8" w:space="0"/>
              <w:right w:val="single" w:color="auto" w:sz="8" w:space="0"/>
            </w:tcBorders>
            <w:shd w:val="clear" w:color="auto" w:fill="auto"/>
            <w:vAlign w:val="center"/>
          </w:tcPr>
          <w:p w14:paraId="0A1F2AC6">
            <w:pPr>
              <w:bidi w:val="0"/>
            </w:pPr>
            <w:r>
              <w:rPr>
                <w:rFonts w:hint="eastAsia"/>
              </w:rPr>
              <w:t>SKB-6221.230</w:t>
            </w:r>
          </w:p>
        </w:tc>
        <w:tc>
          <w:tcPr>
            <w:tcW w:w="900" w:type="dxa"/>
            <w:tcBorders>
              <w:top w:val="nil"/>
              <w:left w:val="nil"/>
              <w:bottom w:val="single" w:color="auto" w:sz="8" w:space="0"/>
              <w:right w:val="single" w:color="auto" w:sz="8" w:space="0"/>
            </w:tcBorders>
            <w:shd w:val="clear" w:color="auto" w:fill="auto"/>
            <w:vAlign w:val="center"/>
          </w:tcPr>
          <w:p w14:paraId="780FE284">
            <w:pPr>
              <w:bidi w:val="0"/>
            </w:pPr>
            <w:r>
              <w:rPr>
                <w:rFonts w:hint="eastAsia"/>
              </w:rPr>
              <w:t>2</w:t>
            </w:r>
          </w:p>
        </w:tc>
        <w:tc>
          <w:tcPr>
            <w:tcW w:w="1480" w:type="dxa"/>
            <w:tcBorders>
              <w:top w:val="nil"/>
              <w:left w:val="nil"/>
              <w:bottom w:val="single" w:color="auto" w:sz="8" w:space="0"/>
              <w:right w:val="single" w:color="auto" w:sz="8" w:space="0"/>
            </w:tcBorders>
            <w:shd w:val="clear" w:color="auto" w:fill="auto"/>
            <w:vAlign w:val="center"/>
          </w:tcPr>
          <w:p w14:paraId="765B6B15">
            <w:pPr>
              <w:bidi w:val="0"/>
            </w:pPr>
            <w:r>
              <w:rPr>
                <w:rFonts w:hint="eastAsia"/>
              </w:rPr>
              <w:t>HFM</w:t>
            </w:r>
          </w:p>
        </w:tc>
      </w:tr>
      <w:tr w14:paraId="3DFA740B">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3183EFFC">
            <w:pPr>
              <w:bidi w:val="0"/>
            </w:pPr>
            <w:r>
              <w:t>-XS1</w:t>
            </w:r>
          </w:p>
        </w:tc>
        <w:tc>
          <w:tcPr>
            <w:tcW w:w="1960" w:type="dxa"/>
            <w:tcBorders>
              <w:top w:val="nil"/>
              <w:left w:val="nil"/>
              <w:bottom w:val="single" w:color="auto" w:sz="8" w:space="0"/>
              <w:right w:val="single" w:color="auto" w:sz="8" w:space="0"/>
            </w:tcBorders>
            <w:shd w:val="clear" w:color="auto" w:fill="auto"/>
            <w:vAlign w:val="center"/>
          </w:tcPr>
          <w:p w14:paraId="3709198E">
            <w:pPr>
              <w:bidi w:val="0"/>
            </w:pPr>
            <w:r>
              <w:rPr>
                <w:rFonts w:hint="eastAsia"/>
              </w:rPr>
              <w:t>三孔插座</w:t>
            </w:r>
          </w:p>
        </w:tc>
        <w:tc>
          <w:tcPr>
            <w:tcW w:w="2280" w:type="dxa"/>
            <w:tcBorders>
              <w:top w:val="nil"/>
              <w:left w:val="nil"/>
              <w:bottom w:val="single" w:color="auto" w:sz="8" w:space="0"/>
              <w:right w:val="single" w:color="auto" w:sz="8" w:space="0"/>
            </w:tcBorders>
            <w:shd w:val="clear" w:color="auto" w:fill="auto"/>
            <w:vAlign w:val="center"/>
          </w:tcPr>
          <w:p w14:paraId="77DDE542">
            <w:pPr>
              <w:bidi w:val="0"/>
            </w:pPr>
            <w:r>
              <w:rPr>
                <w:rFonts w:hint="eastAsia"/>
              </w:rPr>
              <w:t>AC30-122</w:t>
            </w:r>
          </w:p>
        </w:tc>
        <w:tc>
          <w:tcPr>
            <w:tcW w:w="900" w:type="dxa"/>
            <w:tcBorders>
              <w:top w:val="nil"/>
              <w:left w:val="nil"/>
              <w:bottom w:val="single" w:color="auto" w:sz="8" w:space="0"/>
              <w:right w:val="single" w:color="auto" w:sz="8" w:space="0"/>
            </w:tcBorders>
            <w:shd w:val="clear" w:color="auto" w:fill="auto"/>
            <w:vAlign w:val="center"/>
          </w:tcPr>
          <w:p w14:paraId="0E1A5D14">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549EBD67">
            <w:pPr>
              <w:bidi w:val="0"/>
            </w:pPr>
            <w:r>
              <w:rPr>
                <w:rFonts w:hint="eastAsia"/>
              </w:rPr>
              <w:t>CHINT</w:t>
            </w:r>
          </w:p>
        </w:tc>
      </w:tr>
      <w:tr w14:paraId="35F8DDAF">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2F0B2BD">
            <w:pPr>
              <w:bidi w:val="0"/>
            </w:pPr>
            <w:r>
              <w:rPr>
                <w:rFonts w:hint="eastAsia"/>
              </w:rPr>
              <w:t>-IPC</w:t>
            </w:r>
          </w:p>
        </w:tc>
        <w:tc>
          <w:tcPr>
            <w:tcW w:w="1960" w:type="dxa"/>
            <w:tcBorders>
              <w:top w:val="nil"/>
              <w:left w:val="nil"/>
              <w:bottom w:val="single" w:color="auto" w:sz="8" w:space="0"/>
              <w:right w:val="single" w:color="auto" w:sz="8" w:space="0"/>
            </w:tcBorders>
            <w:shd w:val="clear" w:color="auto" w:fill="auto"/>
            <w:vAlign w:val="center"/>
          </w:tcPr>
          <w:p w14:paraId="0C110BBE">
            <w:pPr>
              <w:bidi w:val="0"/>
            </w:pPr>
            <w:r>
              <w:rPr>
                <w:rFonts w:hint="eastAsia"/>
              </w:rPr>
              <w:t>工控机</w:t>
            </w:r>
          </w:p>
        </w:tc>
        <w:tc>
          <w:tcPr>
            <w:tcW w:w="2280" w:type="dxa"/>
            <w:tcBorders>
              <w:top w:val="nil"/>
              <w:left w:val="nil"/>
              <w:bottom w:val="single" w:color="auto" w:sz="8" w:space="0"/>
              <w:right w:val="single" w:color="auto" w:sz="8" w:space="0"/>
            </w:tcBorders>
            <w:shd w:val="clear" w:color="auto" w:fill="auto"/>
            <w:vAlign w:val="center"/>
          </w:tcPr>
          <w:p w14:paraId="20595A0B">
            <w:pPr>
              <w:bidi w:val="0"/>
            </w:pPr>
            <w:r>
              <w:rPr>
                <w:rFonts w:hint="eastAsia"/>
              </w:rPr>
              <w:t>HPC-600</w:t>
            </w:r>
          </w:p>
        </w:tc>
        <w:tc>
          <w:tcPr>
            <w:tcW w:w="900" w:type="dxa"/>
            <w:tcBorders>
              <w:top w:val="nil"/>
              <w:left w:val="nil"/>
              <w:bottom w:val="single" w:color="auto" w:sz="8" w:space="0"/>
              <w:right w:val="single" w:color="auto" w:sz="8" w:space="0"/>
            </w:tcBorders>
            <w:shd w:val="clear" w:color="auto" w:fill="auto"/>
            <w:vAlign w:val="center"/>
          </w:tcPr>
          <w:p w14:paraId="7DCDE4F8">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194E5960">
            <w:pPr>
              <w:bidi w:val="0"/>
            </w:pPr>
            <w:r>
              <w:rPr>
                <w:rFonts w:hint="eastAsia"/>
              </w:rPr>
              <w:t>惠普</w:t>
            </w:r>
          </w:p>
        </w:tc>
      </w:tr>
      <w:tr w14:paraId="7D4D5B93">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2B97245">
            <w:pPr>
              <w:bidi w:val="0"/>
            </w:pPr>
            <w:r>
              <w:rPr>
                <w:rFonts w:hint="eastAsia"/>
              </w:rPr>
              <w:t>-HMI</w:t>
            </w:r>
          </w:p>
        </w:tc>
        <w:tc>
          <w:tcPr>
            <w:tcW w:w="1960" w:type="dxa"/>
            <w:tcBorders>
              <w:top w:val="nil"/>
              <w:left w:val="nil"/>
              <w:bottom w:val="single" w:color="auto" w:sz="8" w:space="0"/>
              <w:right w:val="single" w:color="auto" w:sz="8" w:space="0"/>
            </w:tcBorders>
            <w:shd w:val="clear" w:color="auto" w:fill="auto"/>
            <w:vAlign w:val="center"/>
          </w:tcPr>
          <w:p w14:paraId="18A383D7">
            <w:pPr>
              <w:bidi w:val="0"/>
            </w:pPr>
            <w:r>
              <w:rPr>
                <w:rFonts w:hint="eastAsia"/>
              </w:rPr>
              <w:t>触摸屏</w:t>
            </w:r>
          </w:p>
        </w:tc>
        <w:tc>
          <w:tcPr>
            <w:tcW w:w="2280" w:type="dxa"/>
            <w:tcBorders>
              <w:top w:val="nil"/>
              <w:left w:val="nil"/>
              <w:bottom w:val="single" w:color="auto" w:sz="8" w:space="0"/>
              <w:right w:val="single" w:color="auto" w:sz="8" w:space="0"/>
            </w:tcBorders>
            <w:shd w:val="clear" w:color="auto" w:fill="auto"/>
            <w:vAlign w:val="center"/>
          </w:tcPr>
          <w:p w14:paraId="4EF8BA72">
            <w:pPr>
              <w:bidi w:val="0"/>
            </w:pPr>
            <w:r>
              <w:rPr>
                <w:rFonts w:hint="eastAsia"/>
              </w:rPr>
              <w:t>PPC-215-3000</w:t>
            </w:r>
          </w:p>
        </w:tc>
        <w:tc>
          <w:tcPr>
            <w:tcW w:w="900" w:type="dxa"/>
            <w:tcBorders>
              <w:top w:val="nil"/>
              <w:left w:val="nil"/>
              <w:bottom w:val="single" w:color="auto" w:sz="8" w:space="0"/>
              <w:right w:val="single" w:color="auto" w:sz="8" w:space="0"/>
            </w:tcBorders>
            <w:shd w:val="clear" w:color="auto" w:fill="auto"/>
            <w:vAlign w:val="center"/>
          </w:tcPr>
          <w:p w14:paraId="6D57E5A6">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5AD55483">
            <w:pPr>
              <w:bidi w:val="0"/>
            </w:pPr>
            <w:r>
              <w:rPr>
                <w:rFonts w:hint="eastAsia"/>
              </w:rPr>
              <w:t>adipcom</w:t>
            </w:r>
          </w:p>
        </w:tc>
      </w:tr>
      <w:tr w14:paraId="29AFBF7A">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159DA62">
            <w:pPr>
              <w:bidi w:val="0"/>
            </w:pPr>
            <w:r>
              <w:t>-1215C</w:t>
            </w:r>
          </w:p>
        </w:tc>
        <w:tc>
          <w:tcPr>
            <w:tcW w:w="1960" w:type="dxa"/>
            <w:tcBorders>
              <w:top w:val="nil"/>
              <w:left w:val="nil"/>
              <w:bottom w:val="single" w:color="auto" w:sz="8" w:space="0"/>
              <w:right w:val="single" w:color="auto" w:sz="8" w:space="0"/>
            </w:tcBorders>
            <w:shd w:val="clear" w:color="auto" w:fill="auto"/>
            <w:vAlign w:val="center"/>
          </w:tcPr>
          <w:p w14:paraId="3118CEBD">
            <w:pPr>
              <w:bidi w:val="0"/>
            </w:pPr>
            <w:r>
              <w:rPr>
                <w:rFonts w:hint="eastAsia"/>
              </w:rPr>
              <w:t>CPU</w:t>
            </w:r>
          </w:p>
        </w:tc>
        <w:tc>
          <w:tcPr>
            <w:tcW w:w="2280" w:type="dxa"/>
            <w:tcBorders>
              <w:top w:val="nil"/>
              <w:left w:val="nil"/>
              <w:bottom w:val="single" w:color="auto" w:sz="8" w:space="0"/>
              <w:right w:val="single" w:color="auto" w:sz="8" w:space="0"/>
            </w:tcBorders>
            <w:shd w:val="clear" w:color="auto" w:fill="auto"/>
            <w:vAlign w:val="center"/>
          </w:tcPr>
          <w:p w14:paraId="2E38C476">
            <w:pPr>
              <w:bidi w:val="0"/>
            </w:pPr>
            <w:r>
              <w:t>6ES7215-1HG31-0XB0</w:t>
            </w:r>
          </w:p>
        </w:tc>
        <w:tc>
          <w:tcPr>
            <w:tcW w:w="900" w:type="dxa"/>
            <w:tcBorders>
              <w:top w:val="nil"/>
              <w:left w:val="nil"/>
              <w:bottom w:val="single" w:color="auto" w:sz="8" w:space="0"/>
              <w:right w:val="single" w:color="auto" w:sz="8" w:space="0"/>
            </w:tcBorders>
            <w:shd w:val="clear" w:color="auto" w:fill="auto"/>
            <w:vAlign w:val="center"/>
          </w:tcPr>
          <w:p w14:paraId="5B169F10">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044D1D9F">
            <w:pPr>
              <w:bidi w:val="0"/>
            </w:pPr>
            <w:r>
              <w:rPr>
                <w:rFonts w:hint="eastAsia"/>
              </w:rPr>
              <w:t>Siemens</w:t>
            </w:r>
          </w:p>
        </w:tc>
      </w:tr>
      <w:tr w14:paraId="6E3C6CCF">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3968147">
            <w:pPr>
              <w:bidi w:val="0"/>
            </w:pPr>
            <w:r>
              <w:rPr>
                <w:rFonts w:hint="eastAsia"/>
              </w:rPr>
              <w:t>-DM1;-DM2;-DM3;-DM4</w:t>
            </w:r>
          </w:p>
        </w:tc>
        <w:tc>
          <w:tcPr>
            <w:tcW w:w="1960" w:type="dxa"/>
            <w:tcBorders>
              <w:top w:val="nil"/>
              <w:left w:val="nil"/>
              <w:bottom w:val="single" w:color="auto" w:sz="8" w:space="0"/>
              <w:right w:val="single" w:color="auto" w:sz="8" w:space="0"/>
            </w:tcBorders>
            <w:shd w:val="clear" w:color="auto" w:fill="auto"/>
            <w:vAlign w:val="center"/>
          </w:tcPr>
          <w:p w14:paraId="132AA5DA">
            <w:pPr>
              <w:bidi w:val="0"/>
            </w:pPr>
            <w:r>
              <w:rPr>
                <w:rFonts w:hint="eastAsia"/>
              </w:rPr>
              <w:t>读码器</w:t>
            </w:r>
          </w:p>
        </w:tc>
        <w:tc>
          <w:tcPr>
            <w:tcW w:w="2280" w:type="dxa"/>
            <w:tcBorders>
              <w:top w:val="nil"/>
              <w:left w:val="nil"/>
              <w:bottom w:val="single" w:color="auto" w:sz="8" w:space="0"/>
              <w:right w:val="single" w:color="auto" w:sz="8" w:space="0"/>
            </w:tcBorders>
            <w:shd w:val="clear" w:color="auto" w:fill="auto"/>
            <w:vAlign w:val="center"/>
          </w:tcPr>
          <w:p w14:paraId="20AF0358">
            <w:pPr>
              <w:bidi w:val="0"/>
            </w:pPr>
            <w:r>
              <w:rPr>
                <w:rFonts w:hint="eastAsia"/>
              </w:rPr>
              <w:t>DM370-X</w:t>
            </w:r>
          </w:p>
        </w:tc>
        <w:tc>
          <w:tcPr>
            <w:tcW w:w="900" w:type="dxa"/>
            <w:tcBorders>
              <w:top w:val="nil"/>
              <w:left w:val="nil"/>
              <w:bottom w:val="single" w:color="auto" w:sz="8" w:space="0"/>
              <w:right w:val="single" w:color="auto" w:sz="8" w:space="0"/>
            </w:tcBorders>
            <w:shd w:val="clear" w:color="auto" w:fill="auto"/>
            <w:vAlign w:val="center"/>
          </w:tcPr>
          <w:p w14:paraId="04C62EEA">
            <w:pPr>
              <w:bidi w:val="0"/>
            </w:pPr>
            <w:r>
              <w:rPr>
                <w:rFonts w:hint="eastAsia"/>
              </w:rPr>
              <w:t>4</w:t>
            </w:r>
          </w:p>
        </w:tc>
        <w:tc>
          <w:tcPr>
            <w:tcW w:w="1480" w:type="dxa"/>
            <w:tcBorders>
              <w:top w:val="nil"/>
              <w:left w:val="nil"/>
              <w:bottom w:val="single" w:color="auto" w:sz="8" w:space="0"/>
              <w:right w:val="single" w:color="auto" w:sz="8" w:space="0"/>
            </w:tcBorders>
            <w:shd w:val="clear" w:color="auto" w:fill="auto"/>
            <w:vAlign w:val="center"/>
          </w:tcPr>
          <w:p w14:paraId="4444A9ED">
            <w:pPr>
              <w:bidi w:val="0"/>
            </w:pPr>
            <w:r>
              <w:rPr>
                <w:rFonts w:hint="eastAsia"/>
              </w:rPr>
              <w:t>Cognex</w:t>
            </w:r>
          </w:p>
        </w:tc>
      </w:tr>
      <w:tr w14:paraId="5244738E">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47371975">
            <w:pPr>
              <w:bidi w:val="0"/>
            </w:pPr>
            <w:r>
              <w:rPr>
                <w:rFonts w:hint="eastAsia"/>
              </w:rPr>
              <w:t>-OC1;-OC2</w:t>
            </w:r>
          </w:p>
        </w:tc>
        <w:tc>
          <w:tcPr>
            <w:tcW w:w="1960" w:type="dxa"/>
            <w:tcBorders>
              <w:top w:val="nil"/>
              <w:left w:val="nil"/>
              <w:bottom w:val="single" w:color="auto" w:sz="8" w:space="0"/>
              <w:right w:val="single" w:color="auto" w:sz="8" w:space="0"/>
            </w:tcBorders>
            <w:shd w:val="clear" w:color="auto" w:fill="auto"/>
            <w:vAlign w:val="center"/>
          </w:tcPr>
          <w:p w14:paraId="0F8B1039">
            <w:pPr>
              <w:bidi w:val="0"/>
            </w:pPr>
            <w:r>
              <w:rPr>
                <w:rFonts w:hint="eastAsia"/>
              </w:rPr>
              <w:t>光耦模块</w:t>
            </w:r>
          </w:p>
        </w:tc>
        <w:tc>
          <w:tcPr>
            <w:tcW w:w="2280" w:type="dxa"/>
            <w:tcBorders>
              <w:top w:val="nil"/>
              <w:left w:val="nil"/>
              <w:bottom w:val="single" w:color="auto" w:sz="8" w:space="0"/>
              <w:right w:val="single" w:color="auto" w:sz="8" w:space="0"/>
            </w:tcBorders>
            <w:shd w:val="clear" w:color="auto" w:fill="auto"/>
            <w:vAlign w:val="center"/>
          </w:tcPr>
          <w:p w14:paraId="07F9F0CE">
            <w:pPr>
              <w:bidi w:val="0"/>
            </w:pPr>
            <w:r>
              <w:t>HL-SAB-PNP-12</w:t>
            </w:r>
          </w:p>
        </w:tc>
        <w:tc>
          <w:tcPr>
            <w:tcW w:w="900" w:type="dxa"/>
            <w:tcBorders>
              <w:top w:val="nil"/>
              <w:left w:val="nil"/>
              <w:bottom w:val="single" w:color="auto" w:sz="8" w:space="0"/>
              <w:right w:val="single" w:color="auto" w:sz="8" w:space="0"/>
            </w:tcBorders>
            <w:shd w:val="clear" w:color="auto" w:fill="auto"/>
            <w:vAlign w:val="center"/>
          </w:tcPr>
          <w:p w14:paraId="605C8FFE">
            <w:pPr>
              <w:bidi w:val="0"/>
            </w:pPr>
            <w:r>
              <w:rPr>
                <w:rFonts w:hint="eastAsia"/>
              </w:rPr>
              <w:t>2</w:t>
            </w:r>
          </w:p>
        </w:tc>
        <w:tc>
          <w:tcPr>
            <w:tcW w:w="1480" w:type="dxa"/>
            <w:tcBorders>
              <w:top w:val="nil"/>
              <w:left w:val="nil"/>
              <w:bottom w:val="single" w:color="auto" w:sz="8" w:space="0"/>
              <w:right w:val="single" w:color="auto" w:sz="8" w:space="0"/>
            </w:tcBorders>
            <w:shd w:val="clear" w:color="auto" w:fill="auto"/>
            <w:vAlign w:val="center"/>
          </w:tcPr>
          <w:p w14:paraId="4B399240">
            <w:pPr>
              <w:bidi w:val="0"/>
            </w:pPr>
            <w:r>
              <w:rPr>
                <w:rFonts w:hint="eastAsia"/>
              </w:rPr>
              <w:t>奥延</w:t>
            </w:r>
          </w:p>
        </w:tc>
      </w:tr>
      <w:tr w14:paraId="1F17DD49">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3111B4E8">
            <w:pPr>
              <w:bidi w:val="0"/>
            </w:pPr>
            <w:r>
              <w:rPr>
                <w:rFonts w:hint="eastAsia"/>
              </w:rPr>
              <w:t>-KA1;-KA2;</w:t>
            </w:r>
          </w:p>
        </w:tc>
        <w:tc>
          <w:tcPr>
            <w:tcW w:w="1960" w:type="dxa"/>
            <w:tcBorders>
              <w:top w:val="nil"/>
              <w:left w:val="nil"/>
              <w:bottom w:val="single" w:color="auto" w:sz="8" w:space="0"/>
              <w:right w:val="single" w:color="auto" w:sz="8" w:space="0"/>
            </w:tcBorders>
            <w:shd w:val="clear" w:color="auto" w:fill="auto"/>
            <w:vAlign w:val="center"/>
          </w:tcPr>
          <w:p w14:paraId="27BF1E74">
            <w:pPr>
              <w:bidi w:val="0"/>
            </w:pPr>
            <w:r>
              <w:rPr>
                <w:rFonts w:hint="eastAsia"/>
              </w:rPr>
              <w:t>中间继电器</w:t>
            </w:r>
          </w:p>
        </w:tc>
        <w:tc>
          <w:tcPr>
            <w:tcW w:w="2280" w:type="dxa"/>
            <w:tcBorders>
              <w:top w:val="nil"/>
              <w:left w:val="nil"/>
              <w:bottom w:val="single" w:color="auto" w:sz="8" w:space="0"/>
              <w:right w:val="single" w:color="auto" w:sz="8" w:space="0"/>
            </w:tcBorders>
            <w:shd w:val="clear" w:color="auto" w:fill="auto"/>
            <w:vAlign w:val="center"/>
          </w:tcPr>
          <w:p w14:paraId="0C2E2119">
            <w:pPr>
              <w:bidi w:val="0"/>
            </w:pPr>
            <w:r>
              <w:t>RXM2AB2BD+RXZE1M2C</w:t>
            </w:r>
          </w:p>
        </w:tc>
        <w:tc>
          <w:tcPr>
            <w:tcW w:w="900" w:type="dxa"/>
            <w:tcBorders>
              <w:top w:val="nil"/>
              <w:left w:val="nil"/>
              <w:bottom w:val="single" w:color="auto" w:sz="8" w:space="0"/>
              <w:right w:val="single" w:color="auto" w:sz="8" w:space="0"/>
            </w:tcBorders>
            <w:shd w:val="clear" w:color="auto" w:fill="auto"/>
            <w:vAlign w:val="center"/>
          </w:tcPr>
          <w:p w14:paraId="25E4BBC9">
            <w:pPr>
              <w:bidi w:val="0"/>
            </w:pPr>
            <w:r>
              <w:t>2</w:t>
            </w:r>
          </w:p>
        </w:tc>
        <w:tc>
          <w:tcPr>
            <w:tcW w:w="1480" w:type="dxa"/>
            <w:tcBorders>
              <w:top w:val="nil"/>
              <w:left w:val="nil"/>
              <w:bottom w:val="single" w:color="auto" w:sz="8" w:space="0"/>
              <w:right w:val="single" w:color="auto" w:sz="8" w:space="0"/>
            </w:tcBorders>
            <w:shd w:val="clear" w:color="auto" w:fill="auto"/>
            <w:vAlign w:val="center"/>
          </w:tcPr>
          <w:p w14:paraId="6FCBCF52">
            <w:pPr>
              <w:bidi w:val="0"/>
            </w:pPr>
            <w:r>
              <w:t>Schneider</w:t>
            </w:r>
          </w:p>
        </w:tc>
      </w:tr>
      <w:tr w14:paraId="51BB4B11">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3E3A6926">
            <w:pPr>
              <w:bidi w:val="0"/>
            </w:pPr>
            <w:r>
              <w:rPr>
                <w:rFonts w:hint="eastAsia"/>
              </w:rPr>
              <w:t>-XA1;-XA2</w:t>
            </w:r>
          </w:p>
        </w:tc>
        <w:tc>
          <w:tcPr>
            <w:tcW w:w="1960" w:type="dxa"/>
            <w:tcBorders>
              <w:top w:val="nil"/>
              <w:left w:val="nil"/>
              <w:bottom w:val="single" w:color="auto" w:sz="8" w:space="0"/>
              <w:right w:val="single" w:color="auto" w:sz="8" w:space="0"/>
            </w:tcBorders>
            <w:shd w:val="clear" w:color="auto" w:fill="auto"/>
            <w:vAlign w:val="center"/>
          </w:tcPr>
          <w:p w14:paraId="7C2DC265">
            <w:pPr>
              <w:bidi w:val="0"/>
            </w:pPr>
            <w:r>
              <w:rPr>
                <w:rFonts w:hint="eastAsia"/>
              </w:rPr>
              <w:t>端子</w:t>
            </w:r>
          </w:p>
        </w:tc>
        <w:tc>
          <w:tcPr>
            <w:tcW w:w="2280" w:type="dxa"/>
            <w:tcBorders>
              <w:top w:val="nil"/>
              <w:left w:val="nil"/>
              <w:bottom w:val="single" w:color="auto" w:sz="8" w:space="0"/>
              <w:right w:val="single" w:color="auto" w:sz="8" w:space="0"/>
            </w:tcBorders>
            <w:shd w:val="clear" w:color="auto" w:fill="auto"/>
            <w:vAlign w:val="center"/>
          </w:tcPr>
          <w:p w14:paraId="673D0971">
            <w:pPr>
              <w:bidi w:val="0"/>
            </w:pPr>
            <w:r>
              <w:t>280-833弹簧式</w:t>
            </w:r>
          </w:p>
        </w:tc>
        <w:tc>
          <w:tcPr>
            <w:tcW w:w="900" w:type="dxa"/>
            <w:tcBorders>
              <w:top w:val="nil"/>
              <w:left w:val="nil"/>
              <w:bottom w:val="single" w:color="auto" w:sz="8" w:space="0"/>
              <w:right w:val="single" w:color="auto" w:sz="8" w:space="0"/>
            </w:tcBorders>
            <w:shd w:val="clear" w:color="auto" w:fill="auto"/>
            <w:vAlign w:val="center"/>
          </w:tcPr>
          <w:p w14:paraId="1F3EEC49">
            <w:pPr>
              <w:bidi w:val="0"/>
            </w:pPr>
            <w:r>
              <w:t>40</w:t>
            </w:r>
          </w:p>
        </w:tc>
        <w:tc>
          <w:tcPr>
            <w:tcW w:w="1480" w:type="dxa"/>
            <w:tcBorders>
              <w:top w:val="nil"/>
              <w:left w:val="nil"/>
              <w:bottom w:val="single" w:color="auto" w:sz="8" w:space="0"/>
              <w:right w:val="single" w:color="auto" w:sz="8" w:space="0"/>
            </w:tcBorders>
            <w:shd w:val="clear" w:color="auto" w:fill="auto"/>
            <w:vAlign w:val="center"/>
          </w:tcPr>
          <w:p w14:paraId="76A83EFD">
            <w:pPr>
              <w:bidi w:val="0"/>
            </w:pPr>
            <w:r>
              <w:t>WAGO</w:t>
            </w:r>
          </w:p>
        </w:tc>
      </w:tr>
      <w:tr w14:paraId="258BFE7C">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D258EFC">
            <w:pPr>
              <w:bidi w:val="0"/>
            </w:pPr>
            <w:r>
              <w:rPr>
                <w:rFonts w:hint="eastAsia"/>
              </w:rPr>
              <w:t>-X1;-X2;-X4</w:t>
            </w:r>
          </w:p>
        </w:tc>
        <w:tc>
          <w:tcPr>
            <w:tcW w:w="1960" w:type="dxa"/>
            <w:tcBorders>
              <w:top w:val="nil"/>
              <w:left w:val="nil"/>
              <w:bottom w:val="single" w:color="auto" w:sz="8" w:space="0"/>
              <w:right w:val="single" w:color="auto" w:sz="8" w:space="0"/>
            </w:tcBorders>
            <w:shd w:val="clear" w:color="auto" w:fill="auto"/>
            <w:vAlign w:val="center"/>
          </w:tcPr>
          <w:p w14:paraId="24F09CB1">
            <w:pPr>
              <w:bidi w:val="0"/>
            </w:pPr>
            <w:r>
              <w:rPr>
                <w:rFonts w:hint="eastAsia"/>
              </w:rPr>
              <w:t>哈丁0.5mm 母针</w:t>
            </w:r>
          </w:p>
        </w:tc>
        <w:tc>
          <w:tcPr>
            <w:tcW w:w="2280" w:type="dxa"/>
            <w:tcBorders>
              <w:top w:val="nil"/>
              <w:left w:val="nil"/>
              <w:bottom w:val="single" w:color="auto" w:sz="8" w:space="0"/>
              <w:right w:val="single" w:color="auto" w:sz="8" w:space="0"/>
            </w:tcBorders>
            <w:shd w:val="clear" w:color="auto" w:fill="auto"/>
            <w:vAlign w:val="center"/>
          </w:tcPr>
          <w:p w14:paraId="071FAFC9">
            <w:pPr>
              <w:bidi w:val="0"/>
            </w:pPr>
            <w:r>
              <w:rPr>
                <w:rFonts w:hint="eastAsia"/>
              </w:rPr>
              <w:t>9150006203</w:t>
            </w:r>
          </w:p>
        </w:tc>
        <w:tc>
          <w:tcPr>
            <w:tcW w:w="900" w:type="dxa"/>
            <w:tcBorders>
              <w:top w:val="nil"/>
              <w:left w:val="nil"/>
              <w:bottom w:val="single" w:color="auto" w:sz="8" w:space="0"/>
              <w:right w:val="single" w:color="auto" w:sz="8" w:space="0"/>
            </w:tcBorders>
            <w:shd w:val="clear" w:color="auto" w:fill="auto"/>
            <w:vAlign w:val="center"/>
          </w:tcPr>
          <w:p w14:paraId="507121AC">
            <w:pPr>
              <w:bidi w:val="0"/>
            </w:pPr>
            <w:r>
              <w:t>4</w:t>
            </w:r>
          </w:p>
        </w:tc>
        <w:tc>
          <w:tcPr>
            <w:tcW w:w="1480" w:type="dxa"/>
            <w:tcBorders>
              <w:top w:val="nil"/>
              <w:left w:val="nil"/>
              <w:bottom w:val="single" w:color="auto" w:sz="8" w:space="0"/>
              <w:right w:val="single" w:color="auto" w:sz="8" w:space="0"/>
            </w:tcBorders>
            <w:shd w:val="clear" w:color="auto" w:fill="auto"/>
            <w:vAlign w:val="center"/>
          </w:tcPr>
          <w:p w14:paraId="69030C82">
            <w:pPr>
              <w:bidi w:val="0"/>
            </w:pPr>
            <w:r>
              <w:rPr>
                <w:rFonts w:hint="eastAsia"/>
              </w:rPr>
              <w:t>Harting</w:t>
            </w:r>
          </w:p>
        </w:tc>
      </w:tr>
      <w:tr w14:paraId="0EA445A7">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1CF0749">
            <w:pPr>
              <w:bidi w:val="0"/>
            </w:pPr>
            <w:r>
              <w:rPr>
                <w:rFonts w:hint="eastAsia"/>
              </w:rPr>
              <w:t>-X1;-X2;-X4</w:t>
            </w:r>
          </w:p>
        </w:tc>
        <w:tc>
          <w:tcPr>
            <w:tcW w:w="1960" w:type="dxa"/>
            <w:tcBorders>
              <w:top w:val="nil"/>
              <w:left w:val="nil"/>
              <w:bottom w:val="single" w:color="auto" w:sz="8" w:space="0"/>
              <w:right w:val="single" w:color="auto" w:sz="8" w:space="0"/>
            </w:tcBorders>
            <w:shd w:val="clear" w:color="auto" w:fill="auto"/>
            <w:vAlign w:val="center"/>
          </w:tcPr>
          <w:p w14:paraId="1774CD32">
            <w:pPr>
              <w:bidi w:val="0"/>
            </w:pPr>
            <w:r>
              <w:rPr>
                <w:rFonts w:hint="eastAsia"/>
              </w:rPr>
              <w:t>哈丁连接器公芯</w:t>
            </w:r>
          </w:p>
        </w:tc>
        <w:tc>
          <w:tcPr>
            <w:tcW w:w="2280" w:type="dxa"/>
            <w:tcBorders>
              <w:top w:val="nil"/>
              <w:left w:val="nil"/>
              <w:bottom w:val="single" w:color="auto" w:sz="8" w:space="0"/>
              <w:right w:val="single" w:color="auto" w:sz="8" w:space="0"/>
            </w:tcBorders>
            <w:shd w:val="clear" w:color="auto" w:fill="auto"/>
            <w:vAlign w:val="center"/>
          </w:tcPr>
          <w:p w14:paraId="21622C7F">
            <w:pPr>
              <w:bidi w:val="0"/>
            </w:pPr>
            <w:r>
              <w:rPr>
                <w:rFonts w:hint="eastAsia"/>
              </w:rPr>
              <w:t>9210403001</w:t>
            </w:r>
          </w:p>
        </w:tc>
        <w:tc>
          <w:tcPr>
            <w:tcW w:w="900" w:type="dxa"/>
            <w:tcBorders>
              <w:top w:val="nil"/>
              <w:left w:val="nil"/>
              <w:bottom w:val="single" w:color="auto" w:sz="8" w:space="0"/>
              <w:right w:val="single" w:color="auto" w:sz="8" w:space="0"/>
            </w:tcBorders>
            <w:shd w:val="clear" w:color="auto" w:fill="auto"/>
            <w:vAlign w:val="center"/>
          </w:tcPr>
          <w:p w14:paraId="58A7C671">
            <w:pPr>
              <w:bidi w:val="0"/>
            </w:pPr>
            <w:r>
              <w:rPr>
                <w:rFonts w:hint="eastAsia"/>
              </w:rPr>
              <w:t>4</w:t>
            </w:r>
          </w:p>
        </w:tc>
        <w:tc>
          <w:tcPr>
            <w:tcW w:w="1480" w:type="dxa"/>
            <w:tcBorders>
              <w:top w:val="nil"/>
              <w:left w:val="nil"/>
              <w:bottom w:val="single" w:color="auto" w:sz="8" w:space="0"/>
              <w:right w:val="single" w:color="auto" w:sz="8" w:space="0"/>
            </w:tcBorders>
            <w:shd w:val="clear" w:color="auto" w:fill="auto"/>
            <w:vAlign w:val="center"/>
          </w:tcPr>
          <w:p w14:paraId="2A8AB3B8">
            <w:pPr>
              <w:bidi w:val="0"/>
            </w:pPr>
            <w:r>
              <w:rPr>
                <w:rFonts w:hint="eastAsia"/>
              </w:rPr>
              <w:t>Harting</w:t>
            </w:r>
          </w:p>
        </w:tc>
      </w:tr>
      <w:tr w14:paraId="6D878528">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2B26715">
            <w:pPr>
              <w:bidi w:val="0"/>
            </w:pPr>
            <w:r>
              <w:rPr>
                <w:rFonts w:hint="eastAsia"/>
              </w:rPr>
              <w:t>-X1;-X2;-X3;-X4</w:t>
            </w:r>
          </w:p>
        </w:tc>
        <w:tc>
          <w:tcPr>
            <w:tcW w:w="1960" w:type="dxa"/>
            <w:tcBorders>
              <w:top w:val="nil"/>
              <w:left w:val="nil"/>
              <w:bottom w:val="single" w:color="auto" w:sz="8" w:space="0"/>
              <w:right w:val="single" w:color="auto" w:sz="8" w:space="0"/>
            </w:tcBorders>
            <w:shd w:val="clear" w:color="auto" w:fill="auto"/>
            <w:vAlign w:val="center"/>
          </w:tcPr>
          <w:p w14:paraId="0FBAB59D">
            <w:pPr>
              <w:bidi w:val="0"/>
            </w:pPr>
            <w:r>
              <w:rPr>
                <w:rFonts w:hint="eastAsia"/>
              </w:rPr>
              <w:t>哈丁0.5mm 公针</w:t>
            </w:r>
          </w:p>
        </w:tc>
        <w:tc>
          <w:tcPr>
            <w:tcW w:w="2280" w:type="dxa"/>
            <w:tcBorders>
              <w:top w:val="nil"/>
              <w:left w:val="nil"/>
              <w:bottom w:val="single" w:color="auto" w:sz="8" w:space="0"/>
              <w:right w:val="single" w:color="auto" w:sz="8" w:space="0"/>
            </w:tcBorders>
            <w:shd w:val="clear" w:color="auto" w:fill="auto"/>
            <w:vAlign w:val="center"/>
          </w:tcPr>
          <w:p w14:paraId="3A775589">
            <w:pPr>
              <w:bidi w:val="0"/>
            </w:pPr>
            <w:r>
              <w:rPr>
                <w:rFonts w:hint="eastAsia"/>
              </w:rPr>
              <w:t>9150006103</w:t>
            </w:r>
          </w:p>
        </w:tc>
        <w:tc>
          <w:tcPr>
            <w:tcW w:w="900" w:type="dxa"/>
            <w:tcBorders>
              <w:top w:val="nil"/>
              <w:left w:val="nil"/>
              <w:bottom w:val="single" w:color="auto" w:sz="8" w:space="0"/>
              <w:right w:val="single" w:color="auto" w:sz="8" w:space="0"/>
            </w:tcBorders>
            <w:shd w:val="clear" w:color="auto" w:fill="auto"/>
            <w:vAlign w:val="center"/>
          </w:tcPr>
          <w:p w14:paraId="11E3212F">
            <w:pPr>
              <w:bidi w:val="0"/>
            </w:pPr>
            <w:r>
              <w:rPr>
                <w:rFonts w:hint="eastAsia"/>
              </w:rPr>
              <w:t>X</w:t>
            </w:r>
          </w:p>
        </w:tc>
        <w:tc>
          <w:tcPr>
            <w:tcW w:w="1480" w:type="dxa"/>
            <w:tcBorders>
              <w:top w:val="nil"/>
              <w:left w:val="nil"/>
              <w:bottom w:val="single" w:color="auto" w:sz="8" w:space="0"/>
              <w:right w:val="single" w:color="auto" w:sz="8" w:space="0"/>
            </w:tcBorders>
            <w:shd w:val="clear" w:color="auto" w:fill="auto"/>
            <w:vAlign w:val="center"/>
          </w:tcPr>
          <w:p w14:paraId="7A3B0FAA">
            <w:pPr>
              <w:bidi w:val="0"/>
            </w:pPr>
            <w:r>
              <w:rPr>
                <w:rFonts w:hint="eastAsia"/>
              </w:rPr>
              <w:t>Harting</w:t>
            </w:r>
          </w:p>
        </w:tc>
      </w:tr>
      <w:tr w14:paraId="42F165C6">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DB9C992">
            <w:pPr>
              <w:bidi w:val="0"/>
            </w:pPr>
            <w:r>
              <w:rPr>
                <w:rFonts w:hint="eastAsia"/>
              </w:rPr>
              <w:t>-X1;-X2;-X3;-X4</w:t>
            </w:r>
          </w:p>
        </w:tc>
        <w:tc>
          <w:tcPr>
            <w:tcW w:w="1960" w:type="dxa"/>
            <w:tcBorders>
              <w:top w:val="nil"/>
              <w:left w:val="nil"/>
              <w:bottom w:val="single" w:color="auto" w:sz="8" w:space="0"/>
              <w:right w:val="single" w:color="auto" w:sz="8" w:space="0"/>
            </w:tcBorders>
            <w:shd w:val="clear" w:color="auto" w:fill="auto"/>
            <w:vAlign w:val="center"/>
          </w:tcPr>
          <w:p w14:paraId="5D3F9730">
            <w:pPr>
              <w:bidi w:val="0"/>
            </w:pPr>
            <w:r>
              <w:rPr>
                <w:rFonts w:hint="eastAsia"/>
              </w:rPr>
              <w:t>哈丁公头护罩</w:t>
            </w:r>
          </w:p>
        </w:tc>
        <w:tc>
          <w:tcPr>
            <w:tcW w:w="2280" w:type="dxa"/>
            <w:tcBorders>
              <w:top w:val="nil"/>
              <w:left w:val="nil"/>
              <w:bottom w:val="single" w:color="auto" w:sz="8" w:space="0"/>
              <w:right w:val="single" w:color="auto" w:sz="8" w:space="0"/>
            </w:tcBorders>
            <w:shd w:val="clear" w:color="auto" w:fill="auto"/>
            <w:vAlign w:val="center"/>
          </w:tcPr>
          <w:p w14:paraId="23FCE978">
            <w:pPr>
              <w:bidi w:val="0"/>
            </w:pPr>
            <w:r>
              <w:rPr>
                <w:rFonts w:hint="eastAsia"/>
              </w:rPr>
              <w:t>W16B-TEH-4B-M40</w:t>
            </w:r>
          </w:p>
        </w:tc>
        <w:tc>
          <w:tcPr>
            <w:tcW w:w="900" w:type="dxa"/>
            <w:tcBorders>
              <w:top w:val="nil"/>
              <w:left w:val="nil"/>
              <w:bottom w:val="single" w:color="auto" w:sz="8" w:space="0"/>
              <w:right w:val="single" w:color="auto" w:sz="8" w:space="0"/>
            </w:tcBorders>
            <w:shd w:val="clear" w:color="auto" w:fill="auto"/>
            <w:vAlign w:val="center"/>
          </w:tcPr>
          <w:p w14:paraId="16DF7C44">
            <w:pPr>
              <w:bidi w:val="0"/>
            </w:pPr>
            <w:r>
              <w:rPr>
                <w:rFonts w:hint="eastAsia"/>
              </w:rPr>
              <w:t>X</w:t>
            </w:r>
          </w:p>
        </w:tc>
        <w:tc>
          <w:tcPr>
            <w:tcW w:w="1480" w:type="dxa"/>
            <w:tcBorders>
              <w:top w:val="nil"/>
              <w:left w:val="nil"/>
              <w:bottom w:val="single" w:color="auto" w:sz="8" w:space="0"/>
              <w:right w:val="single" w:color="auto" w:sz="8" w:space="0"/>
            </w:tcBorders>
            <w:shd w:val="clear" w:color="auto" w:fill="auto"/>
            <w:vAlign w:val="center"/>
          </w:tcPr>
          <w:p w14:paraId="4E52C9C9">
            <w:pPr>
              <w:bidi w:val="0"/>
            </w:pPr>
            <w:r>
              <w:rPr>
                <w:rFonts w:hint="eastAsia"/>
              </w:rPr>
              <w:t>Harting</w:t>
            </w:r>
          </w:p>
        </w:tc>
      </w:tr>
      <w:tr w14:paraId="45DB892C">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60D30AEB">
            <w:pPr>
              <w:bidi w:val="0"/>
            </w:pPr>
            <w:r>
              <w:rPr>
                <w:rFonts w:hint="eastAsia"/>
              </w:rPr>
              <w:t>-Z101</w:t>
            </w:r>
          </w:p>
        </w:tc>
        <w:tc>
          <w:tcPr>
            <w:tcW w:w="1960" w:type="dxa"/>
            <w:tcBorders>
              <w:top w:val="nil"/>
              <w:left w:val="nil"/>
              <w:bottom w:val="single" w:color="auto" w:sz="8" w:space="0"/>
              <w:right w:val="single" w:color="auto" w:sz="8" w:space="0"/>
            </w:tcBorders>
            <w:shd w:val="clear" w:color="auto" w:fill="auto"/>
            <w:vAlign w:val="center"/>
          </w:tcPr>
          <w:p w14:paraId="6AA97F35">
            <w:pPr>
              <w:bidi w:val="0"/>
            </w:pPr>
            <w:r>
              <w:rPr>
                <w:rFonts w:hint="eastAsia"/>
              </w:rPr>
              <w:t>网络交换机</w:t>
            </w:r>
          </w:p>
        </w:tc>
        <w:tc>
          <w:tcPr>
            <w:tcW w:w="2280" w:type="dxa"/>
            <w:tcBorders>
              <w:top w:val="nil"/>
              <w:left w:val="nil"/>
              <w:bottom w:val="single" w:color="auto" w:sz="8" w:space="0"/>
              <w:right w:val="single" w:color="auto" w:sz="8" w:space="0"/>
            </w:tcBorders>
            <w:shd w:val="clear" w:color="auto" w:fill="auto"/>
            <w:vAlign w:val="center"/>
          </w:tcPr>
          <w:p w14:paraId="751CD201">
            <w:pPr>
              <w:bidi w:val="0"/>
            </w:pPr>
            <w:r>
              <w:rPr>
                <w:rFonts w:hint="eastAsia"/>
              </w:rPr>
              <w:t>TL-SG2008</w:t>
            </w:r>
          </w:p>
        </w:tc>
        <w:tc>
          <w:tcPr>
            <w:tcW w:w="900" w:type="dxa"/>
            <w:tcBorders>
              <w:top w:val="nil"/>
              <w:left w:val="nil"/>
              <w:bottom w:val="single" w:color="auto" w:sz="8" w:space="0"/>
              <w:right w:val="single" w:color="auto" w:sz="8" w:space="0"/>
            </w:tcBorders>
            <w:shd w:val="clear" w:color="auto" w:fill="auto"/>
            <w:vAlign w:val="center"/>
          </w:tcPr>
          <w:p w14:paraId="14E9003B">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215BEBE7">
            <w:pPr>
              <w:bidi w:val="0"/>
            </w:pPr>
            <w:r>
              <w:rPr>
                <w:rFonts w:hint="eastAsia"/>
              </w:rPr>
              <w:t>TP-Link</w:t>
            </w:r>
          </w:p>
        </w:tc>
      </w:tr>
    </w:tbl>
    <w:p w14:paraId="6B71DE20">
      <w:pPr>
        <w:bidi w:val="0"/>
      </w:pPr>
      <w:bookmarkStart w:id="840" w:name="_Toc162420868"/>
      <w:r>
        <w:t>4.2</w:t>
      </w:r>
      <w:r>
        <w:rPr>
          <w:rFonts w:hint="eastAsia"/>
        </w:rPr>
        <w:t>．电缆接线图</w:t>
      </w:r>
      <w:bookmarkEnd w:id="840"/>
    </w:p>
    <w:p w14:paraId="122ADAAC">
      <w:pPr>
        <w:bidi w:val="0"/>
      </w:pPr>
      <w:r>
        <w:rPr>
          <w:rFonts w:hint="eastAsia"/>
        </w:rPr>
        <w:t>原机信号电缆接线图</w:t>
      </w:r>
    </w:p>
    <w:p w14:paraId="0778453F">
      <w:pPr>
        <w:bidi w:val="0"/>
      </w:pPr>
      <w:r>
        <w:drawing>
          <wp:inline distT="0" distB="0" distL="0" distR="0">
            <wp:extent cx="6120130" cy="3892550"/>
            <wp:effectExtent l="0" t="0" r="13970" b="12700"/>
            <wp:docPr id="113028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8062" name="图片 1"/>
                    <pic:cNvPicPr>
                      <a:picLocks noChangeAspect="1"/>
                    </pic:cNvPicPr>
                  </pic:nvPicPr>
                  <pic:blipFill>
                    <a:blip r:embed="rId56"/>
                    <a:stretch>
                      <a:fillRect/>
                    </a:stretch>
                  </pic:blipFill>
                  <pic:spPr>
                    <a:xfrm>
                      <a:off x="0" y="0"/>
                      <a:ext cx="6120130" cy="3892550"/>
                    </a:xfrm>
                    <a:prstGeom prst="rect">
                      <a:avLst/>
                    </a:prstGeom>
                  </pic:spPr>
                </pic:pic>
              </a:graphicData>
            </a:graphic>
          </wp:inline>
        </w:drawing>
      </w:r>
      <w:r>
        <w:t xml:space="preserve"> </w:t>
      </w:r>
    </w:p>
    <w:p w14:paraId="1587ADA4">
      <w:pPr>
        <w:bidi w:val="0"/>
      </w:pPr>
      <w:r>
        <w:drawing>
          <wp:inline distT="0" distB="0" distL="0" distR="0">
            <wp:extent cx="6120130" cy="4070350"/>
            <wp:effectExtent l="0" t="0" r="13970" b="6350"/>
            <wp:docPr id="669834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34845" name="图片 1"/>
                    <pic:cNvPicPr>
                      <a:picLocks noChangeAspect="1"/>
                    </pic:cNvPicPr>
                  </pic:nvPicPr>
                  <pic:blipFill>
                    <a:blip r:embed="rId57"/>
                    <a:stretch>
                      <a:fillRect/>
                    </a:stretch>
                  </pic:blipFill>
                  <pic:spPr>
                    <a:xfrm>
                      <a:off x="0" y="0"/>
                      <a:ext cx="6120130" cy="4070350"/>
                    </a:xfrm>
                    <a:prstGeom prst="rect">
                      <a:avLst/>
                    </a:prstGeom>
                  </pic:spPr>
                </pic:pic>
              </a:graphicData>
            </a:graphic>
          </wp:inline>
        </w:drawing>
      </w:r>
      <w:r>
        <w:t xml:space="preserve"> </w:t>
      </w:r>
    </w:p>
    <w:p w14:paraId="492AC020">
      <w:pPr>
        <w:bidi w:val="0"/>
      </w:pPr>
      <w:r>
        <w:rPr>
          <w:rFonts w:hint="eastAsia"/>
        </w:rPr>
        <w:t>读码器电缆接线图</w:t>
      </w:r>
    </w:p>
    <w:p w14:paraId="0C3409D3">
      <w:pPr>
        <w:bidi w:val="0"/>
      </w:pPr>
      <w:r>
        <w:drawing>
          <wp:inline distT="0" distB="0" distL="0" distR="0">
            <wp:extent cx="6120130" cy="4389120"/>
            <wp:effectExtent l="0" t="0" r="13970" b="11430"/>
            <wp:docPr id="431419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19635" name="图片 1"/>
                    <pic:cNvPicPr>
                      <a:picLocks noChangeAspect="1"/>
                    </pic:cNvPicPr>
                  </pic:nvPicPr>
                  <pic:blipFill>
                    <a:blip r:embed="rId58"/>
                    <a:stretch>
                      <a:fillRect/>
                    </a:stretch>
                  </pic:blipFill>
                  <pic:spPr>
                    <a:xfrm>
                      <a:off x="0" y="0"/>
                      <a:ext cx="6120130" cy="4389120"/>
                    </a:xfrm>
                    <a:prstGeom prst="rect">
                      <a:avLst/>
                    </a:prstGeom>
                  </pic:spPr>
                </pic:pic>
              </a:graphicData>
            </a:graphic>
          </wp:inline>
        </w:drawing>
      </w:r>
      <w:r>
        <w:t xml:space="preserve"> </w:t>
      </w:r>
    </w:p>
    <w:p w14:paraId="612A9CF8">
      <w:pPr>
        <w:bidi w:val="0"/>
      </w:pPr>
    </w:p>
    <w:p w14:paraId="4997A430">
      <w:pPr>
        <w:bidi w:val="0"/>
      </w:pPr>
      <w:bookmarkStart w:id="841" w:name="_Toc162420869"/>
      <w:r>
        <w:t>4.3</w:t>
      </w:r>
      <w:r>
        <w:rPr>
          <w:rFonts w:hint="eastAsia"/>
        </w:rPr>
        <w:t>．网络配置图</w:t>
      </w:r>
      <w:bookmarkEnd w:id="841"/>
    </w:p>
    <w:p w14:paraId="2B19C840">
      <w:pPr>
        <w:bidi w:val="0"/>
      </w:pPr>
      <w:r>
        <w:drawing>
          <wp:inline distT="0" distB="0" distL="0" distR="0">
            <wp:extent cx="6120130" cy="4406265"/>
            <wp:effectExtent l="0" t="0" r="13970" b="13335"/>
            <wp:docPr id="17413285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28539" name="图片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120130" cy="4406265"/>
                    </a:xfrm>
                    <a:prstGeom prst="rect">
                      <a:avLst/>
                    </a:prstGeom>
                    <a:noFill/>
                    <a:ln>
                      <a:noFill/>
                    </a:ln>
                  </pic:spPr>
                </pic:pic>
              </a:graphicData>
            </a:graphic>
          </wp:inline>
        </w:drawing>
      </w:r>
    </w:p>
    <w:p w14:paraId="0A28379A">
      <w:pPr>
        <w:bidi w:val="0"/>
      </w:pPr>
      <w:bookmarkStart w:id="842" w:name="_Toc162420870"/>
      <w:r>
        <w:t>4.4</w:t>
      </w:r>
      <w:r>
        <w:rPr>
          <w:rFonts w:hint="eastAsia"/>
        </w:rPr>
        <w:t>．点位配置图</w:t>
      </w:r>
      <w:bookmarkEnd w:id="842"/>
    </w:p>
    <w:p w14:paraId="5F33CDF4">
      <w:pPr>
        <w:bidi w:val="0"/>
      </w:pPr>
      <w:bookmarkStart w:id="843" w:name="_Toc162420871"/>
      <w:r>
        <w:rPr>
          <w:rFonts w:hint="eastAsia"/>
        </w:rPr>
        <w:t>4</w:t>
      </w:r>
      <w:r>
        <w:t>.4.1</w:t>
      </w:r>
      <w:r>
        <w:rPr>
          <w:rFonts w:hint="eastAsia"/>
        </w:rPr>
        <w:t>．</w:t>
      </w:r>
      <w:bookmarkStart w:id="844" w:name="_Hlk148515725"/>
      <w:r>
        <w:rPr>
          <w:rFonts w:hint="eastAsia"/>
        </w:rPr>
        <w:t>1</w:t>
      </w:r>
      <w:r>
        <w:t>200PLC</w:t>
      </w:r>
      <w:r>
        <w:rPr>
          <w:rFonts w:hint="eastAsia"/>
        </w:rPr>
        <w:t>点位配置</w:t>
      </w:r>
      <w:bookmarkEnd w:id="843"/>
      <w:bookmarkEnd w:id="844"/>
    </w:p>
    <w:p w14:paraId="06363E99">
      <w:pPr>
        <w:bidi w:val="0"/>
      </w:pPr>
      <w:r>
        <w:drawing>
          <wp:inline distT="0" distB="0" distL="0" distR="0">
            <wp:extent cx="6120130" cy="4384675"/>
            <wp:effectExtent l="0" t="0" r="13970" b="15875"/>
            <wp:docPr id="871777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77665" name="图片 1"/>
                    <pic:cNvPicPr>
                      <a:picLocks noChangeAspect="1"/>
                    </pic:cNvPicPr>
                  </pic:nvPicPr>
                  <pic:blipFill>
                    <a:blip r:embed="rId60"/>
                    <a:stretch>
                      <a:fillRect/>
                    </a:stretch>
                  </pic:blipFill>
                  <pic:spPr>
                    <a:xfrm>
                      <a:off x="0" y="0"/>
                      <a:ext cx="6120130" cy="4384675"/>
                    </a:xfrm>
                    <a:prstGeom prst="rect">
                      <a:avLst/>
                    </a:prstGeom>
                  </pic:spPr>
                </pic:pic>
              </a:graphicData>
            </a:graphic>
          </wp:inline>
        </w:drawing>
      </w:r>
      <w:r>
        <w:t xml:space="preserve"> </w:t>
      </w:r>
    </w:p>
    <w:p w14:paraId="631B3117">
      <w:pPr>
        <w:bidi w:val="0"/>
      </w:pPr>
      <w:bookmarkStart w:id="845" w:name="_Toc162420872"/>
      <w:r>
        <w:rPr>
          <w:rFonts w:hint="eastAsia"/>
        </w:rPr>
        <w:t>4</w:t>
      </w:r>
      <w:r>
        <w:t>.4.</w:t>
      </w:r>
      <w:r>
        <w:rPr>
          <w:rFonts w:hint="eastAsia"/>
        </w:rPr>
        <w:t>2．</w:t>
      </w:r>
      <w:r>
        <w:t>200PLC</w:t>
      </w:r>
      <w:r>
        <w:rPr>
          <w:rFonts w:hint="eastAsia"/>
        </w:rPr>
        <w:t>点位配置</w:t>
      </w:r>
      <w:bookmarkEnd w:id="845"/>
    </w:p>
    <w:p w14:paraId="18C3D467">
      <w:pPr>
        <w:bidi w:val="0"/>
      </w:pPr>
      <w:r>
        <w:drawing>
          <wp:inline distT="0" distB="0" distL="0" distR="0">
            <wp:extent cx="6120130" cy="3910330"/>
            <wp:effectExtent l="0" t="0" r="13970" b="13970"/>
            <wp:docPr id="5479970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97014" name="图片 1"/>
                    <pic:cNvPicPr>
                      <a:picLocks noChangeAspect="1"/>
                    </pic:cNvPicPr>
                  </pic:nvPicPr>
                  <pic:blipFill>
                    <a:blip r:embed="rId61"/>
                    <a:stretch>
                      <a:fillRect/>
                    </a:stretch>
                  </pic:blipFill>
                  <pic:spPr>
                    <a:xfrm>
                      <a:off x="0" y="0"/>
                      <a:ext cx="6127262" cy="3915376"/>
                    </a:xfrm>
                    <a:prstGeom prst="rect">
                      <a:avLst/>
                    </a:prstGeom>
                  </pic:spPr>
                </pic:pic>
              </a:graphicData>
            </a:graphic>
          </wp:inline>
        </w:drawing>
      </w:r>
      <w:r>
        <w:t xml:space="preserve"> </w:t>
      </w:r>
    </w:p>
    <w:p w14:paraId="5B3A6997">
      <w:pPr>
        <w:bidi w:val="0"/>
      </w:pPr>
      <w:bookmarkStart w:id="846" w:name="_Toc162420873"/>
      <w:r>
        <w:rPr>
          <w:rFonts w:hint="eastAsia"/>
        </w:rPr>
        <w:t>4.5．烟机点位表</w:t>
      </w:r>
      <w:bookmarkEnd w:id="846"/>
    </w:p>
    <w:p w14:paraId="019AEDC0">
      <w:pPr>
        <w:bidi w:val="0"/>
        <w:ind w:firstLine="420" w:firstLineChars="0"/>
      </w:pPr>
      <w:r>
        <w:rPr>
          <w:rFonts w:hint="eastAsia"/>
        </w:rPr>
        <w:t>外挂机型电气运维手册所包含的二维码相关剔除及停机信号接入点位/电源参照下表标红部分。</w:t>
      </w:r>
    </w:p>
    <w:tbl>
      <w:tblPr>
        <w:tblStyle w:val="43"/>
        <w:tblW w:w="9620" w:type="dxa"/>
        <w:tblInd w:w="0" w:type="dxa"/>
        <w:shd w:val="clear" w:color="auto" w:fill="FFFFFF" w:themeFill="background1"/>
        <w:tblLayout w:type="autofit"/>
        <w:tblCellMar>
          <w:top w:w="0" w:type="dxa"/>
          <w:left w:w="108" w:type="dxa"/>
          <w:bottom w:w="0" w:type="dxa"/>
          <w:right w:w="108" w:type="dxa"/>
        </w:tblCellMar>
      </w:tblPr>
      <w:tblGrid>
        <w:gridCol w:w="1718"/>
        <w:gridCol w:w="1656"/>
        <w:gridCol w:w="741"/>
        <w:gridCol w:w="2313"/>
        <w:gridCol w:w="1656"/>
        <w:gridCol w:w="1536"/>
      </w:tblGrid>
      <w:tr w14:paraId="0FEC4580">
        <w:tblPrEx>
          <w:shd w:val="clear" w:color="auto" w:fill="FFFFFF" w:themeFill="background1"/>
          <w:tblCellMar>
            <w:top w:w="0" w:type="dxa"/>
            <w:left w:w="108" w:type="dxa"/>
            <w:bottom w:w="0" w:type="dxa"/>
            <w:right w:w="108" w:type="dxa"/>
          </w:tblCellMar>
        </w:tblPrEx>
        <w:trPr>
          <w:trHeight w:val="300" w:hRule="atLeast"/>
        </w:trPr>
        <w:tc>
          <w:tcPr>
            <w:tcW w:w="9620" w:type="dxa"/>
            <w:gridSpan w:val="6"/>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4B939B91">
            <w:pPr>
              <w:bidi w:val="0"/>
              <w:rPr>
                <w:color w:val="auto"/>
              </w:rPr>
            </w:pPr>
            <w:r>
              <w:rPr>
                <w:rFonts w:hint="eastAsia"/>
                <w:color w:val="auto"/>
              </w:rPr>
              <w:t>二维码电柜与原机接线说明</w:t>
            </w:r>
          </w:p>
        </w:tc>
      </w:tr>
      <w:tr w14:paraId="12C4F199">
        <w:tblPrEx>
          <w:shd w:val="clear" w:color="auto" w:fill="FFFFFF" w:themeFill="background1"/>
          <w:tblCellMar>
            <w:top w:w="0" w:type="dxa"/>
            <w:left w:w="108" w:type="dxa"/>
            <w:bottom w:w="0" w:type="dxa"/>
            <w:right w:w="108" w:type="dxa"/>
          </w:tblCellMar>
        </w:tblPrEx>
        <w:trPr>
          <w:trHeight w:val="12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7383A9D">
            <w:pPr>
              <w:bidi w:val="0"/>
              <w:rPr>
                <w:color w:val="auto"/>
              </w:rPr>
            </w:pPr>
            <w:r>
              <w:rPr>
                <w:rFonts w:hint="eastAsia"/>
                <w:color w:val="auto"/>
              </w:rPr>
              <w:t>二维码电柜地址</w:t>
            </w:r>
          </w:p>
        </w:tc>
        <w:tc>
          <w:tcPr>
            <w:tcW w:w="1468" w:type="dxa"/>
            <w:tcBorders>
              <w:top w:val="nil"/>
              <w:left w:val="nil"/>
              <w:bottom w:val="single" w:color="auto" w:sz="4" w:space="0"/>
              <w:right w:val="single" w:color="auto" w:sz="4" w:space="0"/>
            </w:tcBorders>
            <w:shd w:val="clear" w:color="auto" w:fill="FFFFFF" w:themeFill="background1"/>
            <w:vAlign w:val="center"/>
          </w:tcPr>
          <w:p w14:paraId="7D908EF6">
            <w:pPr>
              <w:bidi w:val="0"/>
              <w:rPr>
                <w:color w:val="auto"/>
              </w:rPr>
            </w:pPr>
            <w:r>
              <w:rPr>
                <w:rFonts w:hint="eastAsia"/>
                <w:color w:val="auto"/>
              </w:rPr>
              <w:t>二维码电柜则航插</w:t>
            </w:r>
          </w:p>
        </w:tc>
        <w:tc>
          <w:tcPr>
            <w:tcW w:w="812" w:type="dxa"/>
            <w:tcBorders>
              <w:top w:val="nil"/>
              <w:left w:val="nil"/>
              <w:bottom w:val="single" w:color="auto" w:sz="4" w:space="0"/>
              <w:right w:val="single" w:color="auto" w:sz="4" w:space="0"/>
            </w:tcBorders>
            <w:shd w:val="clear" w:color="auto" w:fill="FFFFFF" w:themeFill="background1"/>
            <w:vAlign w:val="center"/>
          </w:tcPr>
          <w:p w14:paraId="675F2926">
            <w:pPr>
              <w:bidi w:val="0"/>
              <w:rPr>
                <w:color w:val="auto"/>
              </w:rPr>
            </w:pPr>
            <w:r>
              <w:rPr>
                <w:rFonts w:hint="eastAsia"/>
                <w:color w:val="auto"/>
              </w:rPr>
              <w:t>中间线缆颜色或线号</w:t>
            </w:r>
          </w:p>
        </w:tc>
        <w:tc>
          <w:tcPr>
            <w:tcW w:w="2597" w:type="dxa"/>
            <w:tcBorders>
              <w:top w:val="nil"/>
              <w:left w:val="nil"/>
              <w:bottom w:val="single" w:color="auto" w:sz="4" w:space="0"/>
              <w:right w:val="single" w:color="auto" w:sz="4" w:space="0"/>
            </w:tcBorders>
            <w:shd w:val="clear" w:color="auto" w:fill="FFFFFF" w:themeFill="background1"/>
            <w:vAlign w:val="center"/>
          </w:tcPr>
          <w:p w14:paraId="781DBECD">
            <w:pPr>
              <w:bidi w:val="0"/>
              <w:rPr>
                <w:color w:val="auto"/>
              </w:rPr>
            </w:pPr>
            <w:r>
              <w:rPr>
                <w:rFonts w:hint="eastAsia"/>
                <w:color w:val="auto"/>
              </w:rPr>
              <w:t>例如:郑州C6机组原机电柜点位/每台原机的设备可能不同依据原机点位功能对应查找</w:t>
            </w:r>
          </w:p>
        </w:tc>
        <w:tc>
          <w:tcPr>
            <w:tcW w:w="1470" w:type="dxa"/>
            <w:tcBorders>
              <w:top w:val="nil"/>
              <w:left w:val="nil"/>
              <w:bottom w:val="single" w:color="auto" w:sz="4" w:space="0"/>
              <w:right w:val="single" w:color="auto" w:sz="4" w:space="0"/>
            </w:tcBorders>
            <w:shd w:val="clear" w:color="auto" w:fill="FFFFFF" w:themeFill="background1"/>
            <w:vAlign w:val="center"/>
          </w:tcPr>
          <w:p w14:paraId="736D5EB4">
            <w:pPr>
              <w:bidi w:val="0"/>
              <w:rPr>
                <w:color w:val="auto"/>
              </w:rPr>
            </w:pPr>
            <w:r>
              <w:rPr>
                <w:rFonts w:hint="eastAsia"/>
                <w:color w:val="auto"/>
              </w:rPr>
              <w:t>原机点位功能说明</w:t>
            </w:r>
          </w:p>
        </w:tc>
        <w:tc>
          <w:tcPr>
            <w:tcW w:w="1419" w:type="dxa"/>
            <w:tcBorders>
              <w:top w:val="nil"/>
              <w:left w:val="nil"/>
              <w:bottom w:val="single" w:color="auto" w:sz="4" w:space="0"/>
              <w:right w:val="single" w:color="auto" w:sz="4" w:space="0"/>
            </w:tcBorders>
            <w:shd w:val="clear" w:color="auto" w:fill="FFFFFF" w:themeFill="background1"/>
            <w:vAlign w:val="center"/>
          </w:tcPr>
          <w:p w14:paraId="11BF3B7F">
            <w:pPr>
              <w:bidi w:val="0"/>
              <w:rPr>
                <w:color w:val="auto"/>
              </w:rPr>
            </w:pPr>
            <w:r>
              <w:rPr>
                <w:rFonts w:hint="eastAsia"/>
                <w:color w:val="auto"/>
              </w:rPr>
              <w:t>原机电柜X4航插</w:t>
            </w:r>
          </w:p>
        </w:tc>
      </w:tr>
      <w:tr w14:paraId="7ED286DD">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C95A919">
            <w:pPr>
              <w:bidi w:val="0"/>
              <w:rPr>
                <w:color w:val="auto"/>
              </w:rPr>
            </w:pPr>
            <w:r>
              <w:rPr>
                <w:rFonts w:hint="eastAsia"/>
                <w:color w:val="auto"/>
              </w:rPr>
              <w:t>动力电源供电AC220V：L</w:t>
            </w:r>
          </w:p>
        </w:tc>
        <w:tc>
          <w:tcPr>
            <w:tcW w:w="1468" w:type="dxa"/>
            <w:tcBorders>
              <w:top w:val="nil"/>
              <w:left w:val="nil"/>
              <w:bottom w:val="single" w:color="auto" w:sz="4" w:space="0"/>
              <w:right w:val="single" w:color="auto" w:sz="4" w:space="0"/>
            </w:tcBorders>
            <w:shd w:val="clear" w:color="auto" w:fill="FFFFFF" w:themeFill="background1"/>
            <w:vAlign w:val="center"/>
          </w:tcPr>
          <w:p w14:paraId="64D6B4C9">
            <w:pPr>
              <w:bidi w:val="0"/>
              <w:rPr>
                <w:color w:val="auto"/>
              </w:rPr>
            </w:pPr>
            <w:r>
              <w:rPr>
                <w:rFonts w:hint="eastAsia"/>
                <w:color w:val="auto"/>
              </w:rPr>
              <w:t>Power航插1脚/L</w:t>
            </w:r>
          </w:p>
        </w:tc>
        <w:tc>
          <w:tcPr>
            <w:tcW w:w="812" w:type="dxa"/>
            <w:tcBorders>
              <w:top w:val="nil"/>
              <w:left w:val="nil"/>
              <w:bottom w:val="single" w:color="auto" w:sz="4" w:space="0"/>
              <w:right w:val="single" w:color="auto" w:sz="4" w:space="0"/>
            </w:tcBorders>
            <w:shd w:val="clear" w:color="auto" w:fill="FFFFFF" w:themeFill="background1"/>
            <w:vAlign w:val="center"/>
          </w:tcPr>
          <w:p w14:paraId="02FBD38A">
            <w:pPr>
              <w:bidi w:val="0"/>
              <w:rPr>
                <w:color w:val="auto"/>
              </w:rPr>
            </w:pPr>
            <w:r>
              <w:rPr>
                <w:rFonts w:hint="eastAsia"/>
                <w:color w:val="auto"/>
              </w:rPr>
              <w:t>棕色</w:t>
            </w:r>
          </w:p>
        </w:tc>
        <w:tc>
          <w:tcPr>
            <w:tcW w:w="2597" w:type="dxa"/>
            <w:tcBorders>
              <w:top w:val="nil"/>
              <w:left w:val="nil"/>
              <w:bottom w:val="single" w:color="auto" w:sz="4" w:space="0"/>
              <w:right w:val="single" w:color="auto" w:sz="4" w:space="0"/>
            </w:tcBorders>
            <w:shd w:val="clear" w:color="auto" w:fill="FFFFFF" w:themeFill="background1"/>
            <w:vAlign w:val="center"/>
          </w:tcPr>
          <w:p w14:paraId="4F22D27B">
            <w:pPr>
              <w:bidi w:val="0"/>
              <w:rPr>
                <w:color w:val="auto"/>
              </w:rPr>
            </w:pPr>
            <w:r>
              <w:rPr>
                <w:rFonts w:hint="eastAsia"/>
                <w:color w:val="auto"/>
              </w:rPr>
              <w:t>火线</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D6D8570">
            <w:pPr>
              <w:bidi w:val="0"/>
              <w:rPr>
                <w:color w:val="auto"/>
              </w:rPr>
            </w:pPr>
            <w:r>
              <w:rPr>
                <w:rFonts w:hint="eastAsia"/>
                <w:color w:val="auto"/>
              </w:rPr>
              <w:t>原机AC220V电源</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62C5D0A1">
            <w:pPr>
              <w:bidi w:val="0"/>
              <w:rPr>
                <w:color w:val="auto"/>
              </w:rPr>
            </w:pPr>
            <w:r>
              <w:rPr>
                <w:rFonts w:hint="eastAsia"/>
                <w:color w:val="auto"/>
              </w:rPr>
              <w:t>直接进原机电柜接线</w:t>
            </w:r>
          </w:p>
        </w:tc>
      </w:tr>
      <w:tr w14:paraId="2440C7AF">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80AA069">
            <w:pPr>
              <w:bidi w:val="0"/>
              <w:rPr>
                <w:color w:val="auto"/>
              </w:rPr>
            </w:pPr>
            <w:r>
              <w:rPr>
                <w:rFonts w:hint="eastAsia"/>
                <w:color w:val="auto"/>
              </w:rPr>
              <w:t>动力电源供电AC220V：N</w:t>
            </w:r>
          </w:p>
        </w:tc>
        <w:tc>
          <w:tcPr>
            <w:tcW w:w="1468" w:type="dxa"/>
            <w:tcBorders>
              <w:top w:val="nil"/>
              <w:left w:val="nil"/>
              <w:bottom w:val="single" w:color="auto" w:sz="4" w:space="0"/>
              <w:right w:val="single" w:color="auto" w:sz="4" w:space="0"/>
            </w:tcBorders>
            <w:shd w:val="clear" w:color="auto" w:fill="FFFFFF" w:themeFill="background1"/>
            <w:vAlign w:val="center"/>
          </w:tcPr>
          <w:p w14:paraId="0DC9CE78">
            <w:pPr>
              <w:bidi w:val="0"/>
              <w:rPr>
                <w:color w:val="auto"/>
              </w:rPr>
            </w:pPr>
            <w:r>
              <w:rPr>
                <w:rFonts w:hint="eastAsia"/>
                <w:color w:val="auto"/>
              </w:rPr>
              <w:t>Power航插2脚/N</w:t>
            </w:r>
          </w:p>
        </w:tc>
        <w:tc>
          <w:tcPr>
            <w:tcW w:w="812" w:type="dxa"/>
            <w:tcBorders>
              <w:top w:val="nil"/>
              <w:left w:val="nil"/>
              <w:bottom w:val="single" w:color="auto" w:sz="4" w:space="0"/>
              <w:right w:val="single" w:color="auto" w:sz="4" w:space="0"/>
            </w:tcBorders>
            <w:shd w:val="clear" w:color="auto" w:fill="FFFFFF" w:themeFill="background1"/>
            <w:vAlign w:val="center"/>
          </w:tcPr>
          <w:p w14:paraId="69506402">
            <w:pPr>
              <w:bidi w:val="0"/>
              <w:rPr>
                <w:color w:val="auto"/>
              </w:rPr>
            </w:pPr>
            <w:r>
              <w:rPr>
                <w:rFonts w:hint="eastAsia"/>
                <w:color w:val="auto"/>
              </w:rPr>
              <w:t>蓝色</w:t>
            </w:r>
          </w:p>
        </w:tc>
        <w:tc>
          <w:tcPr>
            <w:tcW w:w="2597" w:type="dxa"/>
            <w:tcBorders>
              <w:top w:val="nil"/>
              <w:left w:val="nil"/>
              <w:bottom w:val="single" w:color="auto" w:sz="4" w:space="0"/>
              <w:right w:val="single" w:color="auto" w:sz="4" w:space="0"/>
            </w:tcBorders>
            <w:shd w:val="clear" w:color="auto" w:fill="FFFFFF" w:themeFill="background1"/>
            <w:vAlign w:val="center"/>
          </w:tcPr>
          <w:p w14:paraId="75C769F4">
            <w:pPr>
              <w:bidi w:val="0"/>
              <w:rPr>
                <w:color w:val="auto"/>
              </w:rPr>
            </w:pPr>
            <w:r>
              <w:rPr>
                <w:rFonts w:hint="eastAsia"/>
                <w:color w:val="auto"/>
              </w:rPr>
              <w:t>零线</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C6AB7B6">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C763AF3">
            <w:pPr>
              <w:bidi w:val="0"/>
              <w:rPr>
                <w:color w:val="auto"/>
              </w:rPr>
            </w:pPr>
          </w:p>
        </w:tc>
      </w:tr>
      <w:tr w14:paraId="0A8C2521">
        <w:tblPrEx>
          <w:shd w:val="clear" w:color="auto" w:fill="FFFFFF" w:themeFill="background1"/>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387F2DD">
            <w:pPr>
              <w:bidi w:val="0"/>
              <w:rPr>
                <w:color w:val="auto"/>
              </w:rPr>
            </w:pPr>
            <w:r>
              <w:rPr>
                <w:rFonts w:hint="eastAsia"/>
                <w:color w:val="auto"/>
              </w:rPr>
              <w:t>动力电源供电AC220V：地</w:t>
            </w:r>
          </w:p>
        </w:tc>
        <w:tc>
          <w:tcPr>
            <w:tcW w:w="1468" w:type="dxa"/>
            <w:tcBorders>
              <w:top w:val="nil"/>
              <w:left w:val="nil"/>
              <w:bottom w:val="single" w:color="auto" w:sz="4" w:space="0"/>
              <w:right w:val="single" w:color="auto" w:sz="4" w:space="0"/>
            </w:tcBorders>
            <w:shd w:val="clear" w:color="auto" w:fill="FFFFFF" w:themeFill="background1"/>
            <w:vAlign w:val="center"/>
          </w:tcPr>
          <w:p w14:paraId="1641ED24">
            <w:pPr>
              <w:bidi w:val="0"/>
              <w:rPr>
                <w:color w:val="auto"/>
              </w:rPr>
            </w:pPr>
            <w:r>
              <w:rPr>
                <w:rFonts w:hint="eastAsia"/>
                <w:color w:val="auto"/>
              </w:rPr>
              <w:t>Power航插3脚/PE</w:t>
            </w:r>
          </w:p>
        </w:tc>
        <w:tc>
          <w:tcPr>
            <w:tcW w:w="812" w:type="dxa"/>
            <w:tcBorders>
              <w:top w:val="nil"/>
              <w:left w:val="nil"/>
              <w:bottom w:val="single" w:color="auto" w:sz="4" w:space="0"/>
              <w:right w:val="single" w:color="auto" w:sz="4" w:space="0"/>
            </w:tcBorders>
            <w:shd w:val="clear" w:color="auto" w:fill="FFFFFF" w:themeFill="background1"/>
            <w:vAlign w:val="center"/>
          </w:tcPr>
          <w:p w14:paraId="1FFE2ABB">
            <w:pPr>
              <w:bidi w:val="0"/>
              <w:rPr>
                <w:color w:val="auto"/>
              </w:rPr>
            </w:pPr>
            <w:r>
              <w:rPr>
                <w:rFonts w:hint="eastAsia"/>
                <w:color w:val="auto"/>
              </w:rPr>
              <w:t>黄绿色</w:t>
            </w:r>
          </w:p>
        </w:tc>
        <w:tc>
          <w:tcPr>
            <w:tcW w:w="2597" w:type="dxa"/>
            <w:tcBorders>
              <w:top w:val="nil"/>
              <w:left w:val="nil"/>
              <w:bottom w:val="single" w:color="auto" w:sz="4" w:space="0"/>
              <w:right w:val="single" w:color="auto" w:sz="4" w:space="0"/>
            </w:tcBorders>
            <w:shd w:val="clear" w:color="auto" w:fill="FFFFFF" w:themeFill="background1"/>
            <w:vAlign w:val="center"/>
          </w:tcPr>
          <w:p w14:paraId="08EA1A0C">
            <w:pPr>
              <w:bidi w:val="0"/>
              <w:rPr>
                <w:color w:val="auto"/>
              </w:rPr>
            </w:pPr>
            <w:r>
              <w:rPr>
                <w:rFonts w:hint="eastAsia"/>
                <w:color w:val="auto"/>
              </w:rPr>
              <w:t>PE地线</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590A95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403A5DA">
            <w:pPr>
              <w:bidi w:val="0"/>
              <w:rPr>
                <w:color w:val="auto"/>
              </w:rPr>
            </w:pPr>
          </w:p>
        </w:tc>
      </w:tr>
      <w:tr w14:paraId="43268FCC">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D9767D3">
            <w:pPr>
              <w:bidi w:val="0"/>
              <w:rPr>
                <w:color w:val="auto"/>
              </w:rPr>
            </w:pPr>
            <w:r>
              <w:rPr>
                <w:rFonts w:hint="eastAsia"/>
                <w:color w:val="auto"/>
              </w:rPr>
              <w:t>控制电源供电DC24V：P24C1</w:t>
            </w:r>
          </w:p>
        </w:tc>
        <w:tc>
          <w:tcPr>
            <w:tcW w:w="1468" w:type="dxa"/>
            <w:tcBorders>
              <w:top w:val="nil"/>
              <w:left w:val="nil"/>
              <w:bottom w:val="single" w:color="auto" w:sz="4" w:space="0"/>
              <w:right w:val="single" w:color="auto" w:sz="4" w:space="0"/>
            </w:tcBorders>
            <w:shd w:val="clear" w:color="auto" w:fill="FFFFFF" w:themeFill="background1"/>
            <w:vAlign w:val="center"/>
          </w:tcPr>
          <w:p w14:paraId="328B4838">
            <w:pPr>
              <w:bidi w:val="0"/>
              <w:rPr>
                <w:color w:val="auto"/>
              </w:rPr>
            </w:pPr>
            <w:r>
              <w:rPr>
                <w:rFonts w:hint="eastAsia"/>
                <w:color w:val="auto"/>
              </w:rPr>
              <w:t>P24VC1-X1-D7</w:t>
            </w:r>
          </w:p>
        </w:tc>
        <w:tc>
          <w:tcPr>
            <w:tcW w:w="812" w:type="dxa"/>
            <w:tcBorders>
              <w:top w:val="nil"/>
              <w:left w:val="nil"/>
              <w:bottom w:val="single" w:color="auto" w:sz="4" w:space="0"/>
              <w:right w:val="single" w:color="auto" w:sz="4" w:space="0"/>
            </w:tcBorders>
            <w:shd w:val="clear" w:color="auto" w:fill="FFFFFF" w:themeFill="background1"/>
            <w:vAlign w:val="center"/>
          </w:tcPr>
          <w:p w14:paraId="317DAB0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7CBA1968">
            <w:pPr>
              <w:bidi w:val="0"/>
              <w:rPr>
                <w:color w:val="auto"/>
              </w:rPr>
            </w:pPr>
            <w:r>
              <w:rPr>
                <w:rFonts w:hint="eastAsia"/>
                <w:color w:val="auto"/>
              </w:rPr>
              <w:t>原机DC24V正极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876627E">
            <w:pPr>
              <w:bidi w:val="0"/>
              <w:rPr>
                <w:color w:val="auto"/>
              </w:rPr>
            </w:pPr>
            <w:r>
              <w:rPr>
                <w:rFonts w:hint="eastAsia"/>
                <w:color w:val="auto"/>
              </w:rPr>
              <w:t>原机DC24V电源</w:t>
            </w:r>
          </w:p>
        </w:tc>
        <w:tc>
          <w:tcPr>
            <w:tcW w:w="1419" w:type="dxa"/>
            <w:tcBorders>
              <w:top w:val="nil"/>
              <w:left w:val="nil"/>
              <w:bottom w:val="single" w:color="auto" w:sz="4" w:space="0"/>
              <w:right w:val="single" w:color="auto" w:sz="4" w:space="0"/>
            </w:tcBorders>
            <w:shd w:val="clear" w:color="auto" w:fill="FFFFFF" w:themeFill="background1"/>
            <w:vAlign w:val="center"/>
          </w:tcPr>
          <w:p w14:paraId="24184E8F">
            <w:pPr>
              <w:bidi w:val="0"/>
              <w:rPr>
                <w:color w:val="auto"/>
              </w:rPr>
            </w:pPr>
            <w:r>
              <w:rPr>
                <w:rFonts w:hint="eastAsia"/>
                <w:color w:val="auto"/>
              </w:rPr>
              <w:t>450-X4-D7</w:t>
            </w:r>
          </w:p>
        </w:tc>
      </w:tr>
      <w:tr w14:paraId="7CBC07B5">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3D63EB3">
            <w:pPr>
              <w:bidi w:val="0"/>
              <w:rPr>
                <w:color w:val="auto"/>
              </w:rPr>
            </w:pPr>
            <w:r>
              <w:rPr>
                <w:rFonts w:hint="eastAsia"/>
                <w:color w:val="auto"/>
              </w:rPr>
              <w:t>控制电源供电DC24V：N24C1</w:t>
            </w:r>
          </w:p>
        </w:tc>
        <w:tc>
          <w:tcPr>
            <w:tcW w:w="1468" w:type="dxa"/>
            <w:tcBorders>
              <w:top w:val="nil"/>
              <w:left w:val="nil"/>
              <w:bottom w:val="single" w:color="auto" w:sz="4" w:space="0"/>
              <w:right w:val="single" w:color="auto" w:sz="4" w:space="0"/>
            </w:tcBorders>
            <w:shd w:val="clear" w:color="auto" w:fill="FFFFFF" w:themeFill="background1"/>
            <w:vAlign w:val="center"/>
          </w:tcPr>
          <w:p w14:paraId="11B9DB01">
            <w:pPr>
              <w:bidi w:val="0"/>
              <w:rPr>
                <w:color w:val="auto"/>
              </w:rPr>
            </w:pPr>
            <w:r>
              <w:rPr>
                <w:rFonts w:hint="eastAsia"/>
                <w:color w:val="auto"/>
              </w:rPr>
              <w:t>N24VC1-X1-D8</w:t>
            </w:r>
          </w:p>
        </w:tc>
        <w:tc>
          <w:tcPr>
            <w:tcW w:w="812" w:type="dxa"/>
            <w:tcBorders>
              <w:top w:val="nil"/>
              <w:left w:val="nil"/>
              <w:bottom w:val="single" w:color="auto" w:sz="4" w:space="0"/>
              <w:right w:val="single" w:color="auto" w:sz="4" w:space="0"/>
            </w:tcBorders>
            <w:shd w:val="clear" w:color="auto" w:fill="FFFFFF" w:themeFill="background1"/>
            <w:vAlign w:val="center"/>
          </w:tcPr>
          <w:p w14:paraId="1DF7E81A">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695B7299">
            <w:pPr>
              <w:bidi w:val="0"/>
              <w:rPr>
                <w:color w:val="auto"/>
              </w:rPr>
            </w:pPr>
            <w:r>
              <w:rPr>
                <w:rFonts w:hint="eastAsia"/>
                <w:color w:val="auto"/>
              </w:rPr>
              <w:t>原机DC24V负极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558B3FB">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6DBC2FA0">
            <w:pPr>
              <w:bidi w:val="0"/>
              <w:rPr>
                <w:color w:val="auto"/>
              </w:rPr>
            </w:pPr>
            <w:r>
              <w:rPr>
                <w:rFonts w:hint="eastAsia"/>
                <w:color w:val="auto"/>
              </w:rPr>
              <w:t>451-X4-D8</w:t>
            </w:r>
          </w:p>
        </w:tc>
      </w:tr>
      <w:tr w14:paraId="531B8ECA">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A6E7C37">
            <w:pPr>
              <w:bidi w:val="0"/>
              <w:rPr>
                <w:color w:val="auto"/>
              </w:rPr>
            </w:pPr>
            <w:r>
              <w:rPr>
                <w:rFonts w:hint="eastAsia"/>
                <w:color w:val="auto"/>
              </w:rPr>
              <w:t>%I0.0</w:t>
            </w:r>
          </w:p>
        </w:tc>
        <w:tc>
          <w:tcPr>
            <w:tcW w:w="1468" w:type="dxa"/>
            <w:tcBorders>
              <w:top w:val="nil"/>
              <w:left w:val="nil"/>
              <w:bottom w:val="single" w:color="auto" w:sz="4" w:space="0"/>
              <w:right w:val="single" w:color="auto" w:sz="4" w:space="0"/>
            </w:tcBorders>
            <w:shd w:val="clear" w:color="auto" w:fill="FFFFFF" w:themeFill="background1"/>
            <w:vAlign w:val="center"/>
          </w:tcPr>
          <w:p w14:paraId="5F27EF7C">
            <w:pPr>
              <w:bidi w:val="0"/>
              <w:rPr>
                <w:color w:val="auto"/>
              </w:rPr>
            </w:pPr>
            <w:r>
              <w:rPr>
                <w:rFonts w:hint="eastAsia"/>
                <w:color w:val="auto"/>
              </w:rPr>
              <w:t>200-X1-A1</w:t>
            </w:r>
          </w:p>
        </w:tc>
        <w:tc>
          <w:tcPr>
            <w:tcW w:w="812" w:type="dxa"/>
            <w:tcBorders>
              <w:top w:val="nil"/>
              <w:left w:val="nil"/>
              <w:bottom w:val="single" w:color="auto" w:sz="4" w:space="0"/>
              <w:right w:val="single" w:color="auto" w:sz="4" w:space="0"/>
            </w:tcBorders>
            <w:shd w:val="clear" w:color="auto" w:fill="FFFFFF" w:themeFill="background1"/>
            <w:vAlign w:val="center"/>
          </w:tcPr>
          <w:p w14:paraId="1965CEE2">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1212EB4">
            <w:pPr>
              <w:bidi w:val="0"/>
              <w:rPr>
                <w:color w:val="auto"/>
              </w:rPr>
            </w:pPr>
            <w:r>
              <w:rPr>
                <w:rFonts w:hint="eastAsia"/>
                <w:color w:val="auto"/>
              </w:rPr>
              <w:t>N4-X104板卡11号接线端子</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2608BAB">
            <w:pPr>
              <w:bidi w:val="0"/>
              <w:rPr>
                <w:color w:val="auto"/>
              </w:rPr>
            </w:pPr>
            <w:r>
              <w:rPr>
                <w:rFonts w:hint="eastAsia"/>
                <w:color w:val="auto"/>
              </w:rPr>
              <w:t>原机CH编码器-需要接九根线</w:t>
            </w:r>
          </w:p>
        </w:tc>
        <w:tc>
          <w:tcPr>
            <w:tcW w:w="1419" w:type="dxa"/>
            <w:tcBorders>
              <w:top w:val="nil"/>
              <w:left w:val="nil"/>
              <w:bottom w:val="single" w:color="auto" w:sz="4" w:space="0"/>
              <w:right w:val="single" w:color="auto" w:sz="4" w:space="0"/>
            </w:tcBorders>
            <w:shd w:val="clear" w:color="auto" w:fill="FFFFFF" w:themeFill="background1"/>
            <w:vAlign w:val="center"/>
          </w:tcPr>
          <w:p w14:paraId="68BC6B57">
            <w:pPr>
              <w:bidi w:val="0"/>
              <w:rPr>
                <w:color w:val="auto"/>
              </w:rPr>
            </w:pPr>
            <w:r>
              <w:rPr>
                <w:rFonts w:hint="eastAsia"/>
                <w:color w:val="auto"/>
              </w:rPr>
              <w:t>3200-X4-A1</w:t>
            </w:r>
          </w:p>
        </w:tc>
      </w:tr>
      <w:tr w14:paraId="7C760B4A">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807404C">
            <w:pPr>
              <w:bidi w:val="0"/>
              <w:rPr>
                <w:color w:val="auto"/>
              </w:rPr>
            </w:pPr>
            <w:r>
              <w:rPr>
                <w:rFonts w:hint="eastAsia"/>
                <w:color w:val="auto"/>
              </w:rPr>
              <w:t>%I0.1</w:t>
            </w:r>
          </w:p>
        </w:tc>
        <w:tc>
          <w:tcPr>
            <w:tcW w:w="1468" w:type="dxa"/>
            <w:tcBorders>
              <w:top w:val="nil"/>
              <w:left w:val="nil"/>
              <w:bottom w:val="single" w:color="auto" w:sz="4" w:space="0"/>
              <w:right w:val="single" w:color="auto" w:sz="4" w:space="0"/>
            </w:tcBorders>
            <w:shd w:val="clear" w:color="auto" w:fill="FFFFFF" w:themeFill="background1"/>
            <w:vAlign w:val="center"/>
          </w:tcPr>
          <w:p w14:paraId="5517A639">
            <w:pPr>
              <w:bidi w:val="0"/>
              <w:rPr>
                <w:color w:val="auto"/>
              </w:rPr>
            </w:pPr>
            <w:r>
              <w:rPr>
                <w:rFonts w:hint="eastAsia"/>
                <w:color w:val="auto"/>
              </w:rPr>
              <w:t>201-X1-A2</w:t>
            </w:r>
          </w:p>
        </w:tc>
        <w:tc>
          <w:tcPr>
            <w:tcW w:w="812" w:type="dxa"/>
            <w:tcBorders>
              <w:top w:val="nil"/>
              <w:left w:val="nil"/>
              <w:bottom w:val="single" w:color="auto" w:sz="4" w:space="0"/>
              <w:right w:val="single" w:color="auto" w:sz="4" w:space="0"/>
            </w:tcBorders>
            <w:shd w:val="clear" w:color="auto" w:fill="FFFFFF" w:themeFill="background1"/>
            <w:vAlign w:val="center"/>
          </w:tcPr>
          <w:p w14:paraId="141433C4">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6EE1875">
            <w:pPr>
              <w:bidi w:val="0"/>
              <w:rPr>
                <w:color w:val="auto"/>
              </w:rPr>
            </w:pPr>
            <w:r>
              <w:rPr>
                <w:rFonts w:hint="eastAsia"/>
                <w:color w:val="auto"/>
              </w:rPr>
              <w:t>N4-X104板卡12号接线端子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0B3A27B">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7AC38E87">
            <w:pPr>
              <w:bidi w:val="0"/>
              <w:rPr>
                <w:color w:val="auto"/>
              </w:rPr>
            </w:pPr>
            <w:r>
              <w:rPr>
                <w:rFonts w:hint="eastAsia"/>
                <w:color w:val="auto"/>
              </w:rPr>
              <w:t>3201-X4-A2</w:t>
            </w:r>
          </w:p>
        </w:tc>
      </w:tr>
      <w:tr w14:paraId="489C070B">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967C093">
            <w:pPr>
              <w:bidi w:val="0"/>
              <w:rPr>
                <w:color w:val="auto"/>
              </w:rPr>
            </w:pPr>
            <w:r>
              <w:rPr>
                <w:rFonts w:hint="eastAsia"/>
                <w:color w:val="auto"/>
              </w:rPr>
              <w:t>%I0.2</w:t>
            </w:r>
          </w:p>
        </w:tc>
        <w:tc>
          <w:tcPr>
            <w:tcW w:w="1468" w:type="dxa"/>
            <w:tcBorders>
              <w:top w:val="nil"/>
              <w:left w:val="nil"/>
              <w:bottom w:val="single" w:color="auto" w:sz="4" w:space="0"/>
              <w:right w:val="single" w:color="auto" w:sz="4" w:space="0"/>
            </w:tcBorders>
            <w:shd w:val="clear" w:color="auto" w:fill="FFFFFF" w:themeFill="background1"/>
            <w:vAlign w:val="center"/>
          </w:tcPr>
          <w:p w14:paraId="41B61019">
            <w:pPr>
              <w:bidi w:val="0"/>
              <w:rPr>
                <w:color w:val="auto"/>
              </w:rPr>
            </w:pPr>
            <w:r>
              <w:rPr>
                <w:rFonts w:hint="eastAsia"/>
                <w:color w:val="auto"/>
              </w:rPr>
              <w:t>202-X1-A3</w:t>
            </w:r>
          </w:p>
        </w:tc>
        <w:tc>
          <w:tcPr>
            <w:tcW w:w="812" w:type="dxa"/>
            <w:tcBorders>
              <w:top w:val="nil"/>
              <w:left w:val="nil"/>
              <w:bottom w:val="single" w:color="auto" w:sz="4" w:space="0"/>
              <w:right w:val="single" w:color="auto" w:sz="4" w:space="0"/>
            </w:tcBorders>
            <w:shd w:val="clear" w:color="auto" w:fill="FFFFFF" w:themeFill="background1"/>
            <w:vAlign w:val="center"/>
          </w:tcPr>
          <w:p w14:paraId="750163DF">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0329357">
            <w:pPr>
              <w:bidi w:val="0"/>
              <w:rPr>
                <w:color w:val="auto"/>
              </w:rPr>
            </w:pPr>
            <w:r>
              <w:rPr>
                <w:rFonts w:hint="eastAsia"/>
                <w:color w:val="auto"/>
              </w:rPr>
              <w:t>N4-X104板卡13号接线端子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DFC7B2A">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6760961B">
            <w:pPr>
              <w:bidi w:val="0"/>
              <w:rPr>
                <w:color w:val="auto"/>
              </w:rPr>
            </w:pPr>
            <w:r>
              <w:rPr>
                <w:rFonts w:hint="eastAsia"/>
                <w:color w:val="auto"/>
              </w:rPr>
              <w:t>3202-X4-A3</w:t>
            </w:r>
          </w:p>
        </w:tc>
      </w:tr>
      <w:tr w14:paraId="5A5DCAE1">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CEC17F2">
            <w:pPr>
              <w:bidi w:val="0"/>
              <w:rPr>
                <w:color w:val="auto"/>
              </w:rPr>
            </w:pPr>
            <w:r>
              <w:rPr>
                <w:rFonts w:hint="eastAsia"/>
                <w:color w:val="auto"/>
              </w:rPr>
              <w:t>%I0.3</w:t>
            </w:r>
          </w:p>
        </w:tc>
        <w:tc>
          <w:tcPr>
            <w:tcW w:w="1468" w:type="dxa"/>
            <w:tcBorders>
              <w:top w:val="nil"/>
              <w:left w:val="nil"/>
              <w:bottom w:val="single" w:color="auto" w:sz="4" w:space="0"/>
              <w:right w:val="single" w:color="auto" w:sz="4" w:space="0"/>
            </w:tcBorders>
            <w:shd w:val="clear" w:color="auto" w:fill="FFFFFF" w:themeFill="background1"/>
            <w:vAlign w:val="center"/>
          </w:tcPr>
          <w:p w14:paraId="18E63B08">
            <w:pPr>
              <w:bidi w:val="0"/>
              <w:rPr>
                <w:color w:val="auto"/>
              </w:rPr>
            </w:pPr>
            <w:r>
              <w:rPr>
                <w:rFonts w:hint="eastAsia"/>
                <w:color w:val="auto"/>
              </w:rPr>
              <w:t>203-X1-A4</w:t>
            </w:r>
          </w:p>
        </w:tc>
        <w:tc>
          <w:tcPr>
            <w:tcW w:w="812" w:type="dxa"/>
            <w:tcBorders>
              <w:top w:val="nil"/>
              <w:left w:val="nil"/>
              <w:bottom w:val="single" w:color="auto" w:sz="4" w:space="0"/>
              <w:right w:val="single" w:color="auto" w:sz="4" w:space="0"/>
            </w:tcBorders>
            <w:shd w:val="clear" w:color="auto" w:fill="FFFFFF" w:themeFill="background1"/>
            <w:vAlign w:val="center"/>
          </w:tcPr>
          <w:p w14:paraId="782F4B95">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383EAD8">
            <w:pPr>
              <w:bidi w:val="0"/>
              <w:rPr>
                <w:color w:val="auto"/>
              </w:rPr>
            </w:pPr>
            <w:r>
              <w:rPr>
                <w:rFonts w:hint="eastAsia"/>
                <w:color w:val="auto"/>
              </w:rPr>
              <w:t>N4-X104板卡14号接线端子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F72D730">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47F3EF97">
            <w:pPr>
              <w:bidi w:val="0"/>
              <w:rPr>
                <w:color w:val="auto"/>
              </w:rPr>
            </w:pPr>
            <w:r>
              <w:rPr>
                <w:rFonts w:hint="eastAsia"/>
                <w:color w:val="auto"/>
              </w:rPr>
              <w:t>3203-X4-A4</w:t>
            </w:r>
          </w:p>
        </w:tc>
      </w:tr>
      <w:tr w14:paraId="4EF01217">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97B1883">
            <w:pPr>
              <w:bidi w:val="0"/>
              <w:rPr>
                <w:color w:val="auto"/>
              </w:rPr>
            </w:pPr>
            <w:r>
              <w:rPr>
                <w:rFonts w:hint="eastAsia"/>
                <w:color w:val="auto"/>
              </w:rPr>
              <w:t>%I0.4</w:t>
            </w:r>
          </w:p>
        </w:tc>
        <w:tc>
          <w:tcPr>
            <w:tcW w:w="1468" w:type="dxa"/>
            <w:tcBorders>
              <w:top w:val="nil"/>
              <w:left w:val="nil"/>
              <w:bottom w:val="single" w:color="auto" w:sz="4" w:space="0"/>
              <w:right w:val="single" w:color="auto" w:sz="4" w:space="0"/>
            </w:tcBorders>
            <w:shd w:val="clear" w:color="auto" w:fill="FFFFFF" w:themeFill="background1"/>
            <w:vAlign w:val="center"/>
          </w:tcPr>
          <w:p w14:paraId="2F708218">
            <w:pPr>
              <w:bidi w:val="0"/>
              <w:rPr>
                <w:color w:val="auto"/>
              </w:rPr>
            </w:pPr>
            <w:r>
              <w:rPr>
                <w:rFonts w:hint="eastAsia"/>
                <w:color w:val="auto"/>
              </w:rPr>
              <w:t>204-X1-A5</w:t>
            </w:r>
          </w:p>
        </w:tc>
        <w:tc>
          <w:tcPr>
            <w:tcW w:w="812" w:type="dxa"/>
            <w:tcBorders>
              <w:top w:val="nil"/>
              <w:left w:val="nil"/>
              <w:bottom w:val="single" w:color="auto" w:sz="4" w:space="0"/>
              <w:right w:val="single" w:color="auto" w:sz="4" w:space="0"/>
            </w:tcBorders>
            <w:shd w:val="clear" w:color="auto" w:fill="FFFFFF" w:themeFill="background1"/>
            <w:vAlign w:val="center"/>
          </w:tcPr>
          <w:p w14:paraId="59920012">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79919A78">
            <w:pPr>
              <w:bidi w:val="0"/>
              <w:rPr>
                <w:color w:val="auto"/>
              </w:rPr>
            </w:pPr>
            <w:r>
              <w:rPr>
                <w:rFonts w:hint="eastAsia"/>
                <w:color w:val="auto"/>
              </w:rPr>
              <w:t>N4-X104板卡15号接线端子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8B96FFC">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75E597F7">
            <w:pPr>
              <w:bidi w:val="0"/>
              <w:rPr>
                <w:color w:val="auto"/>
              </w:rPr>
            </w:pPr>
            <w:r>
              <w:rPr>
                <w:rFonts w:hint="eastAsia"/>
                <w:color w:val="auto"/>
              </w:rPr>
              <w:t>3204-X4-A5</w:t>
            </w:r>
          </w:p>
        </w:tc>
      </w:tr>
      <w:tr w14:paraId="282E8301">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B12ECC5">
            <w:pPr>
              <w:bidi w:val="0"/>
              <w:rPr>
                <w:color w:val="auto"/>
              </w:rPr>
            </w:pPr>
            <w:r>
              <w:rPr>
                <w:rFonts w:hint="eastAsia"/>
                <w:color w:val="auto"/>
              </w:rPr>
              <w:t>%I0.5</w:t>
            </w:r>
          </w:p>
        </w:tc>
        <w:tc>
          <w:tcPr>
            <w:tcW w:w="1468" w:type="dxa"/>
            <w:tcBorders>
              <w:top w:val="nil"/>
              <w:left w:val="nil"/>
              <w:bottom w:val="single" w:color="auto" w:sz="4" w:space="0"/>
              <w:right w:val="single" w:color="auto" w:sz="4" w:space="0"/>
            </w:tcBorders>
            <w:shd w:val="clear" w:color="auto" w:fill="FFFFFF" w:themeFill="background1"/>
            <w:vAlign w:val="center"/>
          </w:tcPr>
          <w:p w14:paraId="1FEBA208">
            <w:pPr>
              <w:bidi w:val="0"/>
              <w:rPr>
                <w:color w:val="auto"/>
              </w:rPr>
            </w:pPr>
            <w:r>
              <w:rPr>
                <w:rFonts w:hint="eastAsia"/>
                <w:color w:val="auto"/>
              </w:rPr>
              <w:t>205-X1-A6</w:t>
            </w:r>
          </w:p>
        </w:tc>
        <w:tc>
          <w:tcPr>
            <w:tcW w:w="812" w:type="dxa"/>
            <w:tcBorders>
              <w:top w:val="nil"/>
              <w:left w:val="nil"/>
              <w:bottom w:val="single" w:color="auto" w:sz="4" w:space="0"/>
              <w:right w:val="single" w:color="auto" w:sz="4" w:space="0"/>
            </w:tcBorders>
            <w:shd w:val="clear" w:color="auto" w:fill="FFFFFF" w:themeFill="background1"/>
            <w:vAlign w:val="center"/>
          </w:tcPr>
          <w:p w14:paraId="78A54258">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8183FAD">
            <w:pPr>
              <w:bidi w:val="0"/>
              <w:rPr>
                <w:color w:val="auto"/>
              </w:rPr>
            </w:pPr>
            <w:r>
              <w:rPr>
                <w:rFonts w:hint="eastAsia"/>
                <w:color w:val="auto"/>
              </w:rPr>
              <w:t>N4-X104板卡16号接线端子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3B7AEC4">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402C71BF">
            <w:pPr>
              <w:bidi w:val="0"/>
              <w:rPr>
                <w:color w:val="auto"/>
              </w:rPr>
            </w:pPr>
            <w:r>
              <w:rPr>
                <w:rFonts w:hint="eastAsia"/>
                <w:color w:val="auto"/>
              </w:rPr>
              <w:t>3205-X4-A6</w:t>
            </w:r>
          </w:p>
        </w:tc>
      </w:tr>
      <w:tr w14:paraId="175F308C">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6817B5C">
            <w:pPr>
              <w:bidi w:val="0"/>
              <w:rPr>
                <w:color w:val="auto"/>
              </w:rPr>
            </w:pPr>
            <w:r>
              <w:rPr>
                <w:rFonts w:hint="eastAsia"/>
                <w:color w:val="auto"/>
              </w:rPr>
              <w:t>%I0.6</w:t>
            </w:r>
          </w:p>
        </w:tc>
        <w:tc>
          <w:tcPr>
            <w:tcW w:w="1468" w:type="dxa"/>
            <w:tcBorders>
              <w:top w:val="nil"/>
              <w:left w:val="nil"/>
              <w:bottom w:val="single" w:color="auto" w:sz="4" w:space="0"/>
              <w:right w:val="single" w:color="auto" w:sz="4" w:space="0"/>
            </w:tcBorders>
            <w:shd w:val="clear" w:color="auto" w:fill="FFFFFF" w:themeFill="background1"/>
            <w:vAlign w:val="center"/>
          </w:tcPr>
          <w:p w14:paraId="3480066B">
            <w:pPr>
              <w:bidi w:val="0"/>
              <w:rPr>
                <w:color w:val="auto"/>
              </w:rPr>
            </w:pPr>
            <w:r>
              <w:rPr>
                <w:rFonts w:hint="eastAsia"/>
                <w:color w:val="auto"/>
              </w:rPr>
              <w:t>206-X1-A7</w:t>
            </w:r>
          </w:p>
        </w:tc>
        <w:tc>
          <w:tcPr>
            <w:tcW w:w="812" w:type="dxa"/>
            <w:tcBorders>
              <w:top w:val="nil"/>
              <w:left w:val="nil"/>
              <w:bottom w:val="single" w:color="auto" w:sz="4" w:space="0"/>
              <w:right w:val="single" w:color="auto" w:sz="4" w:space="0"/>
            </w:tcBorders>
            <w:shd w:val="clear" w:color="auto" w:fill="FFFFFF" w:themeFill="background1"/>
            <w:vAlign w:val="center"/>
          </w:tcPr>
          <w:p w14:paraId="3D29F8F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E23B06F">
            <w:pPr>
              <w:bidi w:val="0"/>
              <w:rPr>
                <w:color w:val="auto"/>
              </w:rPr>
            </w:pPr>
            <w:r>
              <w:rPr>
                <w:rFonts w:hint="eastAsia"/>
                <w:color w:val="auto"/>
              </w:rPr>
              <w:t>N4-X104板卡17号接线端子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C18DB09">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712EABFF">
            <w:pPr>
              <w:bidi w:val="0"/>
              <w:rPr>
                <w:color w:val="auto"/>
              </w:rPr>
            </w:pPr>
            <w:r>
              <w:rPr>
                <w:rFonts w:hint="eastAsia"/>
                <w:color w:val="auto"/>
              </w:rPr>
              <w:t>3206-X4-A7</w:t>
            </w:r>
          </w:p>
        </w:tc>
      </w:tr>
      <w:tr w14:paraId="2D2EBFCE">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EC73A03">
            <w:pPr>
              <w:bidi w:val="0"/>
              <w:rPr>
                <w:color w:val="auto"/>
              </w:rPr>
            </w:pPr>
            <w:r>
              <w:rPr>
                <w:rFonts w:hint="eastAsia"/>
                <w:color w:val="auto"/>
              </w:rPr>
              <w:t>%I0.7</w:t>
            </w:r>
          </w:p>
        </w:tc>
        <w:tc>
          <w:tcPr>
            <w:tcW w:w="1468" w:type="dxa"/>
            <w:tcBorders>
              <w:top w:val="nil"/>
              <w:left w:val="nil"/>
              <w:bottom w:val="single" w:color="auto" w:sz="4" w:space="0"/>
              <w:right w:val="single" w:color="auto" w:sz="4" w:space="0"/>
            </w:tcBorders>
            <w:shd w:val="clear" w:color="auto" w:fill="FFFFFF" w:themeFill="background1"/>
            <w:vAlign w:val="center"/>
          </w:tcPr>
          <w:p w14:paraId="3123C064">
            <w:pPr>
              <w:bidi w:val="0"/>
              <w:rPr>
                <w:color w:val="auto"/>
              </w:rPr>
            </w:pPr>
            <w:r>
              <w:rPr>
                <w:rFonts w:hint="eastAsia"/>
                <w:color w:val="auto"/>
              </w:rPr>
              <w:t>207-X1-A8</w:t>
            </w:r>
          </w:p>
        </w:tc>
        <w:tc>
          <w:tcPr>
            <w:tcW w:w="812" w:type="dxa"/>
            <w:tcBorders>
              <w:top w:val="nil"/>
              <w:left w:val="nil"/>
              <w:bottom w:val="single" w:color="auto" w:sz="4" w:space="0"/>
              <w:right w:val="single" w:color="auto" w:sz="4" w:space="0"/>
            </w:tcBorders>
            <w:shd w:val="clear" w:color="auto" w:fill="FFFFFF" w:themeFill="background1"/>
            <w:vAlign w:val="center"/>
          </w:tcPr>
          <w:p w14:paraId="7A0DA28C">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5BCE7CC">
            <w:pPr>
              <w:bidi w:val="0"/>
              <w:rPr>
                <w:color w:val="auto"/>
              </w:rPr>
            </w:pPr>
            <w:r>
              <w:rPr>
                <w:rFonts w:hint="eastAsia"/>
                <w:color w:val="auto"/>
              </w:rPr>
              <w:t>N4-X104板卡18号接线端子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ED92DCE">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238C93A9">
            <w:pPr>
              <w:bidi w:val="0"/>
              <w:rPr>
                <w:color w:val="auto"/>
              </w:rPr>
            </w:pPr>
            <w:r>
              <w:rPr>
                <w:rFonts w:hint="eastAsia"/>
                <w:color w:val="auto"/>
              </w:rPr>
              <w:t>3207-X4-A8</w:t>
            </w:r>
          </w:p>
        </w:tc>
      </w:tr>
      <w:tr w14:paraId="43C5E21E">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BD43AC1">
            <w:pPr>
              <w:bidi w:val="0"/>
              <w:rPr>
                <w:color w:val="auto"/>
              </w:rPr>
            </w:pPr>
            <w:r>
              <w:rPr>
                <w:rFonts w:hint="eastAsia"/>
                <w:color w:val="auto"/>
              </w:rPr>
              <w:t>%I1.0</w:t>
            </w:r>
          </w:p>
        </w:tc>
        <w:tc>
          <w:tcPr>
            <w:tcW w:w="1468" w:type="dxa"/>
            <w:tcBorders>
              <w:top w:val="nil"/>
              <w:left w:val="nil"/>
              <w:bottom w:val="single" w:color="auto" w:sz="4" w:space="0"/>
              <w:right w:val="single" w:color="auto" w:sz="4" w:space="0"/>
            </w:tcBorders>
            <w:shd w:val="clear" w:color="auto" w:fill="FFFFFF" w:themeFill="background1"/>
            <w:vAlign w:val="center"/>
          </w:tcPr>
          <w:p w14:paraId="5A439FD9">
            <w:pPr>
              <w:bidi w:val="0"/>
              <w:rPr>
                <w:color w:val="auto"/>
              </w:rPr>
            </w:pPr>
            <w:r>
              <w:rPr>
                <w:rFonts w:hint="eastAsia"/>
                <w:color w:val="auto"/>
              </w:rPr>
              <w:t>220-X1-A9</w:t>
            </w:r>
          </w:p>
        </w:tc>
        <w:tc>
          <w:tcPr>
            <w:tcW w:w="812" w:type="dxa"/>
            <w:tcBorders>
              <w:top w:val="nil"/>
              <w:left w:val="nil"/>
              <w:bottom w:val="single" w:color="auto" w:sz="4" w:space="0"/>
              <w:right w:val="single" w:color="auto" w:sz="4" w:space="0"/>
            </w:tcBorders>
            <w:shd w:val="clear" w:color="auto" w:fill="FFFFFF" w:themeFill="background1"/>
            <w:vAlign w:val="center"/>
          </w:tcPr>
          <w:p w14:paraId="41DF0622">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E2599FE">
            <w:pPr>
              <w:bidi w:val="0"/>
              <w:rPr>
                <w:color w:val="auto"/>
              </w:rPr>
            </w:pPr>
            <w:r>
              <w:rPr>
                <w:rFonts w:hint="eastAsia"/>
                <w:color w:val="auto"/>
              </w:rPr>
              <w:t>N4-X104板卡19号接线端子</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3667EF3">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227AECE0">
            <w:pPr>
              <w:bidi w:val="0"/>
              <w:rPr>
                <w:color w:val="auto"/>
              </w:rPr>
            </w:pPr>
            <w:r>
              <w:rPr>
                <w:rFonts w:hint="eastAsia"/>
                <w:color w:val="auto"/>
              </w:rPr>
              <w:t>3220-X4-A9</w:t>
            </w:r>
          </w:p>
        </w:tc>
      </w:tr>
      <w:tr w14:paraId="6604FB68">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559053F">
            <w:pPr>
              <w:bidi w:val="0"/>
              <w:rPr>
                <w:color w:val="auto"/>
              </w:rPr>
            </w:pPr>
            <w:r>
              <w:rPr>
                <w:rFonts w:hint="eastAsia"/>
                <w:color w:val="auto"/>
              </w:rPr>
              <w:t>%I9.7</w:t>
            </w:r>
          </w:p>
        </w:tc>
        <w:tc>
          <w:tcPr>
            <w:tcW w:w="1468" w:type="dxa"/>
            <w:tcBorders>
              <w:top w:val="nil"/>
              <w:left w:val="nil"/>
              <w:bottom w:val="single" w:color="auto" w:sz="4" w:space="0"/>
              <w:right w:val="single" w:color="auto" w:sz="4" w:space="0"/>
            </w:tcBorders>
            <w:shd w:val="clear" w:color="auto" w:fill="FFFFFF" w:themeFill="background1"/>
            <w:vAlign w:val="center"/>
          </w:tcPr>
          <w:p w14:paraId="759CE70C">
            <w:pPr>
              <w:bidi w:val="0"/>
              <w:rPr>
                <w:color w:val="auto"/>
              </w:rPr>
            </w:pPr>
            <w:r>
              <w:rPr>
                <w:rFonts w:hint="eastAsia"/>
                <w:color w:val="auto"/>
              </w:rPr>
              <w:t>287-X1-C10</w:t>
            </w:r>
          </w:p>
        </w:tc>
        <w:tc>
          <w:tcPr>
            <w:tcW w:w="812" w:type="dxa"/>
            <w:tcBorders>
              <w:top w:val="nil"/>
              <w:left w:val="nil"/>
              <w:bottom w:val="single" w:color="auto" w:sz="4" w:space="0"/>
              <w:right w:val="single" w:color="auto" w:sz="4" w:space="0"/>
            </w:tcBorders>
            <w:shd w:val="clear" w:color="auto" w:fill="FFFFFF" w:themeFill="background1"/>
            <w:vAlign w:val="center"/>
          </w:tcPr>
          <w:p w14:paraId="4D2D16AF">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04CE012">
            <w:pPr>
              <w:bidi w:val="0"/>
              <w:rPr>
                <w:color w:val="auto"/>
              </w:rPr>
            </w:pPr>
            <w:r>
              <w:rPr>
                <w:rFonts w:hint="eastAsia"/>
                <w:color w:val="auto"/>
              </w:rPr>
              <w:t>N13-X113板卡14号接线端子</w:t>
            </w:r>
          </w:p>
        </w:tc>
        <w:tc>
          <w:tcPr>
            <w:tcW w:w="1470" w:type="dxa"/>
            <w:tcBorders>
              <w:top w:val="nil"/>
              <w:left w:val="single" w:color="auto" w:sz="4" w:space="0"/>
              <w:bottom w:val="single" w:color="auto" w:sz="4" w:space="0"/>
              <w:right w:val="single" w:color="auto" w:sz="4" w:space="0"/>
            </w:tcBorders>
            <w:shd w:val="clear" w:color="auto" w:fill="FFFFFF" w:themeFill="background1"/>
            <w:vAlign w:val="center"/>
          </w:tcPr>
          <w:p w14:paraId="035F33BA">
            <w:pPr>
              <w:bidi w:val="0"/>
              <w:rPr>
                <w:color w:val="auto"/>
              </w:rPr>
            </w:pPr>
            <w:r>
              <w:rPr>
                <w:rFonts w:hint="eastAsia"/>
                <w:color w:val="auto"/>
              </w:rPr>
              <w:t>小盒剔除电磁阀</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517B73BF">
            <w:pPr>
              <w:bidi w:val="0"/>
              <w:rPr>
                <w:color w:val="auto"/>
              </w:rPr>
            </w:pPr>
            <w:r>
              <w:rPr>
                <w:rFonts w:hint="eastAsia"/>
                <w:color w:val="auto"/>
              </w:rPr>
              <w:t>3287-X4-C10</w:t>
            </w:r>
          </w:p>
        </w:tc>
      </w:tr>
      <w:tr w14:paraId="3566F418">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19AC340">
            <w:pPr>
              <w:bidi w:val="0"/>
              <w:rPr>
                <w:color w:val="auto"/>
              </w:rPr>
            </w:pPr>
            <w:r>
              <w:rPr>
                <w:rFonts w:hint="eastAsia"/>
                <w:color w:val="auto"/>
              </w:rPr>
              <w:t>备用</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5BB7C3EC">
            <w:pPr>
              <w:bidi w:val="0"/>
              <w:rPr>
                <w:color w:val="auto"/>
              </w:rPr>
            </w:pPr>
            <w:r>
              <w:rPr>
                <w:rFonts w:hint="eastAsia"/>
                <w:color w:val="auto"/>
              </w:rPr>
              <w:t>XXX-X1-B5(备用)</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5512E38">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1E09CB3">
            <w:pPr>
              <w:bidi w:val="0"/>
              <w:rPr>
                <w:color w:val="auto"/>
              </w:rPr>
            </w:pPr>
            <w:r>
              <w:rPr>
                <w:rFonts w:hint="eastAsia"/>
                <w:color w:val="auto"/>
              </w:rPr>
              <w:t>　</w:t>
            </w:r>
          </w:p>
        </w:tc>
        <w:tc>
          <w:tcPr>
            <w:tcW w:w="1470" w:type="dxa"/>
            <w:tcBorders>
              <w:top w:val="single" w:color="auto" w:sz="4" w:space="0"/>
              <w:left w:val="nil"/>
              <w:bottom w:val="single" w:color="auto" w:sz="4" w:space="0"/>
              <w:right w:val="single" w:color="auto" w:sz="4" w:space="0"/>
            </w:tcBorders>
            <w:shd w:val="clear" w:color="auto" w:fill="FFFFFF" w:themeFill="background1"/>
            <w:vAlign w:val="center"/>
          </w:tcPr>
          <w:p w14:paraId="7E37E3CA">
            <w:pPr>
              <w:bidi w:val="0"/>
              <w:rPr>
                <w:color w:val="auto"/>
              </w:rPr>
            </w:pPr>
            <w:r>
              <w:rPr>
                <w:rFonts w:hint="eastAsia"/>
                <w:color w:val="auto"/>
              </w:rPr>
              <w:t>　</w:t>
            </w:r>
          </w:p>
        </w:tc>
        <w:tc>
          <w:tcPr>
            <w:tcW w:w="1419" w:type="dxa"/>
            <w:tcBorders>
              <w:top w:val="nil"/>
              <w:left w:val="nil"/>
              <w:bottom w:val="single" w:color="auto" w:sz="4" w:space="0"/>
              <w:right w:val="single" w:color="auto" w:sz="4" w:space="0"/>
            </w:tcBorders>
            <w:shd w:val="clear" w:color="auto" w:fill="FFFFFF" w:themeFill="background1"/>
            <w:vAlign w:val="center"/>
          </w:tcPr>
          <w:p w14:paraId="78B23474">
            <w:pPr>
              <w:bidi w:val="0"/>
              <w:rPr>
                <w:color w:val="auto"/>
              </w:rPr>
            </w:pPr>
            <w:r>
              <w:rPr>
                <w:rFonts w:hint="eastAsia"/>
                <w:color w:val="auto"/>
              </w:rPr>
              <w:t>　</w:t>
            </w:r>
          </w:p>
        </w:tc>
      </w:tr>
      <w:tr w14:paraId="53849888">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2169385">
            <w:pPr>
              <w:bidi w:val="0"/>
              <w:rPr>
                <w:color w:val="auto"/>
              </w:rPr>
            </w:pPr>
            <w:r>
              <w:rPr>
                <w:rFonts w:hint="eastAsia"/>
                <w:color w:val="auto"/>
              </w:rPr>
              <w:t>备用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473C97D">
            <w:pPr>
              <w:bidi w:val="0"/>
              <w:rPr>
                <w:color w:val="auto"/>
              </w:rPr>
            </w:pPr>
            <w:r>
              <w:rPr>
                <w:rFonts w:hint="eastAsia"/>
                <w:color w:val="auto"/>
              </w:rPr>
              <w:t>XXX-X1-B6(备用)</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749459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4E432DC">
            <w:pPr>
              <w:bidi w:val="0"/>
              <w:rPr>
                <w:color w:val="auto"/>
              </w:rPr>
            </w:pPr>
            <w:r>
              <w:rPr>
                <w:rFonts w:hint="eastAsia"/>
                <w:color w:val="auto"/>
              </w:rPr>
              <w:t>　</w:t>
            </w:r>
          </w:p>
        </w:tc>
        <w:tc>
          <w:tcPr>
            <w:tcW w:w="1470" w:type="dxa"/>
            <w:tcBorders>
              <w:top w:val="nil"/>
              <w:left w:val="nil"/>
              <w:bottom w:val="single" w:color="auto" w:sz="4" w:space="0"/>
              <w:right w:val="single" w:color="auto" w:sz="4" w:space="0"/>
            </w:tcBorders>
            <w:shd w:val="clear" w:color="auto" w:fill="FFFFFF" w:themeFill="background1"/>
            <w:vAlign w:val="center"/>
          </w:tcPr>
          <w:p w14:paraId="14708F3D">
            <w:pPr>
              <w:bidi w:val="0"/>
              <w:rPr>
                <w:color w:val="auto"/>
              </w:rPr>
            </w:pPr>
            <w:r>
              <w:rPr>
                <w:rFonts w:hint="eastAsia"/>
                <w:color w:val="auto"/>
              </w:rPr>
              <w:t>　</w:t>
            </w:r>
          </w:p>
        </w:tc>
        <w:tc>
          <w:tcPr>
            <w:tcW w:w="1419" w:type="dxa"/>
            <w:tcBorders>
              <w:top w:val="nil"/>
              <w:left w:val="nil"/>
              <w:bottom w:val="single" w:color="auto" w:sz="4" w:space="0"/>
              <w:right w:val="single" w:color="auto" w:sz="4" w:space="0"/>
            </w:tcBorders>
            <w:shd w:val="clear" w:color="auto" w:fill="FFFFFF" w:themeFill="background1"/>
            <w:vAlign w:val="center"/>
          </w:tcPr>
          <w:p w14:paraId="7908A61E">
            <w:pPr>
              <w:bidi w:val="0"/>
              <w:rPr>
                <w:color w:val="auto"/>
              </w:rPr>
            </w:pPr>
            <w:r>
              <w:rPr>
                <w:rFonts w:hint="eastAsia"/>
                <w:color w:val="auto"/>
              </w:rPr>
              <w:t>　</w:t>
            </w:r>
          </w:p>
        </w:tc>
      </w:tr>
      <w:tr w14:paraId="6CAD98C3">
        <w:tblPrEx>
          <w:shd w:val="clear" w:color="auto" w:fill="FFFFFF" w:themeFill="background1"/>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38B3031">
            <w:pPr>
              <w:bidi w:val="0"/>
              <w:rPr>
                <w:color w:val="auto"/>
              </w:rPr>
            </w:pPr>
            <w:r>
              <w:rPr>
                <w:rFonts w:hint="eastAsia"/>
                <w:color w:val="auto"/>
              </w:rPr>
              <w:t>备用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8630D76">
            <w:pPr>
              <w:bidi w:val="0"/>
              <w:rPr>
                <w:color w:val="auto"/>
              </w:rPr>
            </w:pPr>
            <w:r>
              <w:rPr>
                <w:rFonts w:hint="eastAsia"/>
                <w:color w:val="auto"/>
              </w:rPr>
              <w:t>XXX-X1-B9(备用)</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310439A">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1E2B1C82">
            <w:pPr>
              <w:bidi w:val="0"/>
              <w:rPr>
                <w:color w:val="auto"/>
              </w:rPr>
            </w:pPr>
            <w:r>
              <w:rPr>
                <w:rFonts w:hint="eastAsia"/>
                <w:color w:val="auto"/>
              </w:rPr>
              <w:t>　</w:t>
            </w:r>
          </w:p>
        </w:tc>
        <w:tc>
          <w:tcPr>
            <w:tcW w:w="1470" w:type="dxa"/>
            <w:tcBorders>
              <w:top w:val="nil"/>
              <w:left w:val="nil"/>
              <w:bottom w:val="single" w:color="auto" w:sz="4" w:space="0"/>
              <w:right w:val="single" w:color="auto" w:sz="4" w:space="0"/>
            </w:tcBorders>
            <w:shd w:val="clear" w:color="auto" w:fill="FFFFFF" w:themeFill="background1"/>
            <w:vAlign w:val="center"/>
          </w:tcPr>
          <w:p w14:paraId="7E29E68E">
            <w:pPr>
              <w:bidi w:val="0"/>
              <w:rPr>
                <w:color w:val="auto"/>
              </w:rPr>
            </w:pPr>
            <w:r>
              <w:rPr>
                <w:rFonts w:hint="eastAsia"/>
                <w:color w:val="auto"/>
              </w:rPr>
              <w:t>　</w:t>
            </w:r>
          </w:p>
        </w:tc>
        <w:tc>
          <w:tcPr>
            <w:tcW w:w="1419" w:type="dxa"/>
            <w:tcBorders>
              <w:top w:val="nil"/>
              <w:left w:val="nil"/>
              <w:bottom w:val="single" w:color="auto" w:sz="4" w:space="0"/>
              <w:right w:val="single" w:color="auto" w:sz="4" w:space="0"/>
            </w:tcBorders>
            <w:shd w:val="clear" w:color="auto" w:fill="FFFFFF" w:themeFill="background1"/>
            <w:vAlign w:val="center"/>
          </w:tcPr>
          <w:p w14:paraId="0CAD937A">
            <w:pPr>
              <w:bidi w:val="0"/>
              <w:rPr>
                <w:color w:val="auto"/>
              </w:rPr>
            </w:pPr>
            <w:r>
              <w:rPr>
                <w:rFonts w:hint="eastAsia"/>
                <w:color w:val="auto"/>
              </w:rPr>
              <w:t>　</w:t>
            </w:r>
          </w:p>
        </w:tc>
      </w:tr>
      <w:tr w14:paraId="044496FB">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EEC2E35">
            <w:pPr>
              <w:bidi w:val="0"/>
              <w:rPr>
                <w:color w:val="auto"/>
              </w:rPr>
            </w:pPr>
            <w:r>
              <w:rPr>
                <w:rFonts w:hint="eastAsia"/>
                <w:color w:val="auto"/>
              </w:rPr>
              <w:t>DC24V正极</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CAB9124">
            <w:pPr>
              <w:bidi w:val="0"/>
              <w:rPr>
                <w:color w:val="auto"/>
              </w:rPr>
            </w:pPr>
            <w:r>
              <w:rPr>
                <w:rFonts w:hint="eastAsia"/>
                <w:color w:val="auto"/>
              </w:rPr>
              <w:t>P24C1-X1-B7</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D40B5DE">
            <w:pPr>
              <w:bidi w:val="0"/>
              <w:rPr>
                <w:color w:val="auto"/>
              </w:rPr>
            </w:pPr>
            <w:r>
              <w:rPr>
                <w:rFonts w:hint="eastAsia"/>
                <w:color w:val="auto"/>
              </w:rPr>
              <w:t>棕</w:t>
            </w:r>
          </w:p>
        </w:tc>
        <w:tc>
          <w:tcPr>
            <w:tcW w:w="2597"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6EE68269">
            <w:pPr>
              <w:bidi w:val="0"/>
              <w:rPr>
                <w:color w:val="auto"/>
              </w:rPr>
            </w:pPr>
            <w:r>
              <w:rPr>
                <w:rFonts w:hint="eastAsia"/>
                <w:color w:val="auto"/>
              </w:rPr>
              <w:t>马尔他轮推杆推出烟包位置</w:t>
            </w:r>
          </w:p>
        </w:tc>
        <w:tc>
          <w:tcPr>
            <w:tcW w:w="1470"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37DC2957">
            <w:pPr>
              <w:bidi w:val="0"/>
              <w:rPr>
                <w:color w:val="auto"/>
              </w:rPr>
            </w:pPr>
            <w:r>
              <w:rPr>
                <w:rFonts w:hint="eastAsia"/>
                <w:color w:val="auto"/>
              </w:rPr>
              <w:t>堆叠传感器--我方自加</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5E7C9475">
            <w:pPr>
              <w:bidi w:val="0"/>
              <w:rPr>
                <w:color w:val="auto"/>
              </w:rPr>
            </w:pPr>
            <w:r>
              <w:rPr>
                <w:rFonts w:hint="eastAsia"/>
                <w:color w:val="auto"/>
              </w:rPr>
              <w:t>　</w:t>
            </w:r>
          </w:p>
        </w:tc>
      </w:tr>
      <w:tr w14:paraId="24583BB8">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697E571">
            <w:pPr>
              <w:bidi w:val="0"/>
              <w:rPr>
                <w:color w:val="auto"/>
              </w:rPr>
            </w:pPr>
            <w:r>
              <w:rPr>
                <w:rFonts w:hint="eastAsia"/>
                <w:color w:val="auto"/>
              </w:rPr>
              <w:t>DC24V负极</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9B4C4AB">
            <w:pPr>
              <w:bidi w:val="0"/>
              <w:rPr>
                <w:color w:val="auto"/>
              </w:rPr>
            </w:pPr>
            <w:r>
              <w:rPr>
                <w:rFonts w:hint="eastAsia"/>
                <w:color w:val="auto"/>
              </w:rPr>
              <w:t>N24C1-X1-B8</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7521475">
            <w:pPr>
              <w:bidi w:val="0"/>
              <w:rPr>
                <w:color w:val="auto"/>
              </w:rPr>
            </w:pPr>
            <w:r>
              <w:rPr>
                <w:rFonts w:hint="eastAsia"/>
                <w:color w:val="auto"/>
              </w:rPr>
              <w:t>蓝</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66C670F">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5B0301B4">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62A76B92">
            <w:pPr>
              <w:bidi w:val="0"/>
              <w:rPr>
                <w:color w:val="auto"/>
              </w:rPr>
            </w:pPr>
            <w:r>
              <w:rPr>
                <w:rFonts w:hint="eastAsia"/>
                <w:color w:val="auto"/>
              </w:rPr>
              <w:t>　</w:t>
            </w:r>
          </w:p>
        </w:tc>
      </w:tr>
      <w:tr w14:paraId="1F3AF2DD">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1586CAB">
            <w:pPr>
              <w:bidi w:val="0"/>
              <w:rPr>
                <w:color w:val="auto"/>
              </w:rPr>
            </w:pPr>
            <w:r>
              <w:rPr>
                <w:rFonts w:hint="eastAsia"/>
                <w:color w:val="auto"/>
              </w:rPr>
              <w:t>%I9.6</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42B5630">
            <w:pPr>
              <w:bidi w:val="0"/>
              <w:rPr>
                <w:color w:val="auto"/>
              </w:rPr>
            </w:pPr>
            <w:r>
              <w:rPr>
                <w:rFonts w:hint="eastAsia"/>
                <w:color w:val="auto"/>
              </w:rPr>
              <w:t>286-X1-B10</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8B6C5C7">
            <w:pPr>
              <w:bidi w:val="0"/>
              <w:rPr>
                <w:color w:val="auto"/>
              </w:rPr>
            </w:pPr>
            <w:r>
              <w:rPr>
                <w:rFonts w:hint="eastAsia"/>
                <w:color w:val="auto"/>
              </w:rPr>
              <w:t>黑</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45D8C79">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2B19F1DF">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460F0A3D">
            <w:pPr>
              <w:bidi w:val="0"/>
              <w:rPr>
                <w:color w:val="auto"/>
              </w:rPr>
            </w:pPr>
            <w:r>
              <w:rPr>
                <w:rFonts w:hint="eastAsia"/>
                <w:color w:val="auto"/>
              </w:rPr>
              <w:t>　</w:t>
            </w:r>
          </w:p>
        </w:tc>
      </w:tr>
      <w:tr w14:paraId="34A69AAA">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EB07BA2">
            <w:pPr>
              <w:bidi w:val="0"/>
              <w:rPr>
                <w:color w:val="auto"/>
              </w:rPr>
            </w:pPr>
            <w:r>
              <w:rPr>
                <w:rFonts w:hint="eastAsia"/>
                <w:color w:val="auto"/>
              </w:rPr>
              <w:t>%I8.0</w:t>
            </w:r>
          </w:p>
        </w:tc>
        <w:tc>
          <w:tcPr>
            <w:tcW w:w="1468" w:type="dxa"/>
            <w:tcBorders>
              <w:top w:val="single" w:color="auto" w:sz="4" w:space="0"/>
              <w:left w:val="nil"/>
              <w:bottom w:val="single" w:color="auto" w:sz="4" w:space="0"/>
              <w:right w:val="single" w:color="auto" w:sz="4" w:space="0"/>
            </w:tcBorders>
            <w:shd w:val="clear" w:color="auto" w:fill="FFFFFF" w:themeFill="background1"/>
            <w:vAlign w:val="center"/>
          </w:tcPr>
          <w:p w14:paraId="2C8041CF">
            <w:pPr>
              <w:bidi w:val="0"/>
              <w:rPr>
                <w:color w:val="auto"/>
              </w:rPr>
            </w:pPr>
            <w:r>
              <w:rPr>
                <w:rFonts w:hint="eastAsia"/>
                <w:color w:val="auto"/>
              </w:rPr>
              <w:t>260-X1-C1</w:t>
            </w:r>
          </w:p>
        </w:tc>
        <w:tc>
          <w:tcPr>
            <w:tcW w:w="812" w:type="dxa"/>
            <w:tcBorders>
              <w:top w:val="nil"/>
              <w:left w:val="nil"/>
              <w:bottom w:val="single" w:color="auto" w:sz="4" w:space="0"/>
              <w:right w:val="single" w:color="auto" w:sz="4" w:space="0"/>
            </w:tcBorders>
            <w:shd w:val="clear" w:color="auto" w:fill="FFFFFF" w:themeFill="background1"/>
            <w:vAlign w:val="center"/>
          </w:tcPr>
          <w:p w14:paraId="5185F529">
            <w:pPr>
              <w:bidi w:val="0"/>
              <w:rPr>
                <w:color w:val="auto"/>
              </w:rPr>
            </w:pPr>
            <w:r>
              <w:rPr>
                <w:rFonts w:hint="eastAsia"/>
                <w:color w:val="auto"/>
              </w:rPr>
              <w:t>　</w:t>
            </w:r>
          </w:p>
        </w:tc>
        <w:tc>
          <w:tcPr>
            <w:tcW w:w="2597" w:type="dxa"/>
            <w:tcBorders>
              <w:top w:val="single" w:color="auto" w:sz="4" w:space="0"/>
              <w:left w:val="nil"/>
              <w:bottom w:val="single" w:color="auto" w:sz="4" w:space="0"/>
              <w:right w:val="single" w:color="auto" w:sz="4" w:space="0"/>
            </w:tcBorders>
            <w:shd w:val="clear" w:color="auto" w:fill="FFFFFF" w:themeFill="background1"/>
            <w:vAlign w:val="center"/>
          </w:tcPr>
          <w:p w14:paraId="3CD65E51">
            <w:pPr>
              <w:bidi w:val="0"/>
              <w:rPr>
                <w:color w:val="auto"/>
              </w:rPr>
            </w:pPr>
            <w:r>
              <w:rPr>
                <w:rFonts w:hint="eastAsia"/>
                <w:color w:val="auto"/>
              </w:rPr>
              <w:t>N5-X105板卡11号接线端子</w:t>
            </w:r>
          </w:p>
        </w:tc>
        <w:tc>
          <w:tcPr>
            <w:tcW w:w="1470"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7A6B4277">
            <w:pPr>
              <w:bidi w:val="0"/>
              <w:rPr>
                <w:color w:val="auto"/>
              </w:rPr>
            </w:pPr>
            <w:r>
              <w:rPr>
                <w:rFonts w:hint="eastAsia"/>
                <w:color w:val="auto"/>
              </w:rPr>
              <w:t>原机CT编码器-需要接九根线</w:t>
            </w:r>
          </w:p>
        </w:tc>
        <w:tc>
          <w:tcPr>
            <w:tcW w:w="1419"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11CE645A">
            <w:pPr>
              <w:bidi w:val="0"/>
              <w:rPr>
                <w:color w:val="auto"/>
              </w:rPr>
            </w:pPr>
            <w:r>
              <w:rPr>
                <w:rFonts w:hint="eastAsia"/>
                <w:color w:val="auto"/>
              </w:rPr>
              <w:t>3260-X4-C1</w:t>
            </w:r>
          </w:p>
        </w:tc>
      </w:tr>
      <w:tr w14:paraId="4E474F5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C84101A">
            <w:pPr>
              <w:bidi w:val="0"/>
              <w:rPr>
                <w:color w:val="auto"/>
              </w:rPr>
            </w:pPr>
            <w:r>
              <w:rPr>
                <w:rFonts w:hint="eastAsia"/>
                <w:color w:val="auto"/>
              </w:rPr>
              <w:t>%I8.1</w:t>
            </w:r>
          </w:p>
        </w:tc>
        <w:tc>
          <w:tcPr>
            <w:tcW w:w="1468" w:type="dxa"/>
            <w:tcBorders>
              <w:top w:val="nil"/>
              <w:left w:val="nil"/>
              <w:bottom w:val="single" w:color="auto" w:sz="4" w:space="0"/>
              <w:right w:val="single" w:color="auto" w:sz="4" w:space="0"/>
            </w:tcBorders>
            <w:shd w:val="clear" w:color="auto" w:fill="FFFFFF" w:themeFill="background1"/>
            <w:vAlign w:val="center"/>
          </w:tcPr>
          <w:p w14:paraId="686FAFE0">
            <w:pPr>
              <w:bidi w:val="0"/>
              <w:rPr>
                <w:color w:val="auto"/>
              </w:rPr>
            </w:pPr>
            <w:r>
              <w:rPr>
                <w:rFonts w:hint="eastAsia"/>
                <w:color w:val="auto"/>
              </w:rPr>
              <w:t>261-X1-C2</w:t>
            </w:r>
          </w:p>
        </w:tc>
        <w:tc>
          <w:tcPr>
            <w:tcW w:w="812" w:type="dxa"/>
            <w:tcBorders>
              <w:top w:val="nil"/>
              <w:left w:val="nil"/>
              <w:bottom w:val="single" w:color="auto" w:sz="4" w:space="0"/>
              <w:right w:val="single" w:color="auto" w:sz="4" w:space="0"/>
            </w:tcBorders>
            <w:shd w:val="clear" w:color="auto" w:fill="FFFFFF" w:themeFill="background1"/>
            <w:vAlign w:val="center"/>
          </w:tcPr>
          <w:p w14:paraId="49A88791">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534ADD4C">
            <w:pPr>
              <w:bidi w:val="0"/>
              <w:rPr>
                <w:color w:val="auto"/>
              </w:rPr>
            </w:pPr>
            <w:r>
              <w:rPr>
                <w:rFonts w:hint="eastAsia"/>
                <w:color w:val="auto"/>
              </w:rPr>
              <w:t>N5-X105板卡12号接线端子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57CF6786">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6FD6B2E4">
            <w:pPr>
              <w:bidi w:val="0"/>
              <w:rPr>
                <w:color w:val="auto"/>
              </w:rPr>
            </w:pPr>
            <w:r>
              <w:rPr>
                <w:rFonts w:hint="eastAsia"/>
                <w:color w:val="auto"/>
              </w:rPr>
              <w:t>3261-X4-C2</w:t>
            </w:r>
          </w:p>
        </w:tc>
      </w:tr>
      <w:tr w14:paraId="33C70C5F">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02C0211">
            <w:pPr>
              <w:bidi w:val="0"/>
              <w:rPr>
                <w:color w:val="auto"/>
              </w:rPr>
            </w:pPr>
            <w:r>
              <w:rPr>
                <w:rFonts w:hint="eastAsia"/>
                <w:color w:val="auto"/>
              </w:rPr>
              <w:t>%I8.2</w:t>
            </w:r>
          </w:p>
        </w:tc>
        <w:tc>
          <w:tcPr>
            <w:tcW w:w="1468" w:type="dxa"/>
            <w:tcBorders>
              <w:top w:val="nil"/>
              <w:left w:val="nil"/>
              <w:bottom w:val="single" w:color="auto" w:sz="4" w:space="0"/>
              <w:right w:val="single" w:color="auto" w:sz="4" w:space="0"/>
            </w:tcBorders>
            <w:shd w:val="clear" w:color="auto" w:fill="FFFFFF" w:themeFill="background1"/>
            <w:vAlign w:val="center"/>
          </w:tcPr>
          <w:p w14:paraId="54A82912">
            <w:pPr>
              <w:bidi w:val="0"/>
              <w:rPr>
                <w:color w:val="auto"/>
              </w:rPr>
            </w:pPr>
            <w:r>
              <w:rPr>
                <w:rFonts w:hint="eastAsia"/>
                <w:color w:val="auto"/>
              </w:rPr>
              <w:t>262-X1-C3</w:t>
            </w:r>
          </w:p>
        </w:tc>
        <w:tc>
          <w:tcPr>
            <w:tcW w:w="812" w:type="dxa"/>
            <w:tcBorders>
              <w:top w:val="nil"/>
              <w:left w:val="nil"/>
              <w:bottom w:val="single" w:color="auto" w:sz="4" w:space="0"/>
              <w:right w:val="single" w:color="auto" w:sz="4" w:space="0"/>
            </w:tcBorders>
            <w:shd w:val="clear" w:color="auto" w:fill="FFFFFF" w:themeFill="background1"/>
            <w:vAlign w:val="center"/>
          </w:tcPr>
          <w:p w14:paraId="0B21E2B5">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70B3A35B">
            <w:pPr>
              <w:bidi w:val="0"/>
              <w:rPr>
                <w:color w:val="auto"/>
              </w:rPr>
            </w:pPr>
            <w:r>
              <w:rPr>
                <w:rFonts w:hint="eastAsia"/>
                <w:color w:val="auto"/>
              </w:rPr>
              <w:t>N5-X105板卡13号接线端子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59AFB7F6">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19D61096">
            <w:pPr>
              <w:bidi w:val="0"/>
              <w:rPr>
                <w:color w:val="auto"/>
              </w:rPr>
            </w:pPr>
            <w:r>
              <w:rPr>
                <w:rFonts w:hint="eastAsia"/>
                <w:color w:val="auto"/>
              </w:rPr>
              <w:t>3262-X4-C3</w:t>
            </w:r>
          </w:p>
        </w:tc>
      </w:tr>
      <w:tr w14:paraId="3C9DCCD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4B5A8D9">
            <w:pPr>
              <w:bidi w:val="0"/>
              <w:rPr>
                <w:color w:val="auto"/>
              </w:rPr>
            </w:pPr>
            <w:r>
              <w:rPr>
                <w:rFonts w:hint="eastAsia"/>
                <w:color w:val="auto"/>
              </w:rPr>
              <w:t>%I8.3</w:t>
            </w:r>
          </w:p>
        </w:tc>
        <w:tc>
          <w:tcPr>
            <w:tcW w:w="1468" w:type="dxa"/>
            <w:tcBorders>
              <w:top w:val="nil"/>
              <w:left w:val="nil"/>
              <w:bottom w:val="single" w:color="auto" w:sz="4" w:space="0"/>
              <w:right w:val="single" w:color="auto" w:sz="4" w:space="0"/>
            </w:tcBorders>
            <w:shd w:val="clear" w:color="auto" w:fill="FFFFFF" w:themeFill="background1"/>
            <w:vAlign w:val="center"/>
          </w:tcPr>
          <w:p w14:paraId="6DEDA10F">
            <w:pPr>
              <w:bidi w:val="0"/>
              <w:rPr>
                <w:color w:val="auto"/>
              </w:rPr>
            </w:pPr>
            <w:r>
              <w:rPr>
                <w:rFonts w:hint="eastAsia"/>
                <w:color w:val="auto"/>
              </w:rPr>
              <w:t>263-X1-C4</w:t>
            </w:r>
          </w:p>
        </w:tc>
        <w:tc>
          <w:tcPr>
            <w:tcW w:w="812" w:type="dxa"/>
            <w:tcBorders>
              <w:top w:val="nil"/>
              <w:left w:val="nil"/>
              <w:bottom w:val="single" w:color="auto" w:sz="4" w:space="0"/>
              <w:right w:val="single" w:color="auto" w:sz="4" w:space="0"/>
            </w:tcBorders>
            <w:shd w:val="clear" w:color="auto" w:fill="FFFFFF" w:themeFill="background1"/>
            <w:vAlign w:val="center"/>
          </w:tcPr>
          <w:p w14:paraId="15D09F6B">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3125DF0">
            <w:pPr>
              <w:bidi w:val="0"/>
              <w:rPr>
                <w:color w:val="auto"/>
              </w:rPr>
            </w:pPr>
            <w:r>
              <w:rPr>
                <w:rFonts w:hint="eastAsia"/>
                <w:color w:val="auto"/>
              </w:rPr>
              <w:t>N5-X105板卡14号接线端子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22F6CF98">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BE319F7">
            <w:pPr>
              <w:bidi w:val="0"/>
              <w:rPr>
                <w:color w:val="auto"/>
              </w:rPr>
            </w:pPr>
            <w:r>
              <w:rPr>
                <w:rFonts w:hint="eastAsia"/>
                <w:color w:val="auto"/>
              </w:rPr>
              <w:t>3263-X4-C4</w:t>
            </w:r>
          </w:p>
        </w:tc>
      </w:tr>
      <w:tr w14:paraId="6AE9E8C3">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1E3A0B2">
            <w:pPr>
              <w:bidi w:val="0"/>
              <w:rPr>
                <w:color w:val="auto"/>
              </w:rPr>
            </w:pPr>
            <w:r>
              <w:rPr>
                <w:rFonts w:hint="eastAsia"/>
                <w:color w:val="auto"/>
              </w:rPr>
              <w:t>%I8.4</w:t>
            </w:r>
          </w:p>
        </w:tc>
        <w:tc>
          <w:tcPr>
            <w:tcW w:w="1468" w:type="dxa"/>
            <w:tcBorders>
              <w:top w:val="nil"/>
              <w:left w:val="nil"/>
              <w:bottom w:val="single" w:color="auto" w:sz="4" w:space="0"/>
              <w:right w:val="single" w:color="auto" w:sz="4" w:space="0"/>
            </w:tcBorders>
            <w:shd w:val="clear" w:color="auto" w:fill="FFFFFF" w:themeFill="background1"/>
            <w:vAlign w:val="center"/>
          </w:tcPr>
          <w:p w14:paraId="1FFEE795">
            <w:pPr>
              <w:bidi w:val="0"/>
              <w:rPr>
                <w:color w:val="auto"/>
              </w:rPr>
            </w:pPr>
            <w:r>
              <w:rPr>
                <w:rFonts w:hint="eastAsia"/>
                <w:color w:val="auto"/>
              </w:rPr>
              <w:t>264-X1-C5</w:t>
            </w:r>
          </w:p>
        </w:tc>
        <w:tc>
          <w:tcPr>
            <w:tcW w:w="812" w:type="dxa"/>
            <w:tcBorders>
              <w:top w:val="nil"/>
              <w:left w:val="nil"/>
              <w:bottom w:val="single" w:color="auto" w:sz="4" w:space="0"/>
              <w:right w:val="single" w:color="auto" w:sz="4" w:space="0"/>
            </w:tcBorders>
            <w:shd w:val="clear" w:color="auto" w:fill="FFFFFF" w:themeFill="background1"/>
            <w:vAlign w:val="center"/>
          </w:tcPr>
          <w:p w14:paraId="6C8DF854">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896A769">
            <w:pPr>
              <w:bidi w:val="0"/>
              <w:rPr>
                <w:color w:val="auto"/>
              </w:rPr>
            </w:pPr>
            <w:r>
              <w:rPr>
                <w:rFonts w:hint="eastAsia"/>
                <w:color w:val="auto"/>
              </w:rPr>
              <w:t>N5-X105板卡15号接线端子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0AD75F75">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427BAC54">
            <w:pPr>
              <w:bidi w:val="0"/>
              <w:rPr>
                <w:color w:val="auto"/>
              </w:rPr>
            </w:pPr>
            <w:r>
              <w:rPr>
                <w:rFonts w:hint="eastAsia"/>
                <w:color w:val="auto"/>
              </w:rPr>
              <w:t>3264-X4-C5</w:t>
            </w:r>
          </w:p>
        </w:tc>
      </w:tr>
      <w:tr w14:paraId="1B24BB6A">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4AEBFCE">
            <w:pPr>
              <w:bidi w:val="0"/>
              <w:rPr>
                <w:color w:val="auto"/>
              </w:rPr>
            </w:pPr>
            <w:r>
              <w:rPr>
                <w:rFonts w:hint="eastAsia"/>
                <w:color w:val="auto"/>
              </w:rPr>
              <w:t>%I8.5</w:t>
            </w:r>
          </w:p>
        </w:tc>
        <w:tc>
          <w:tcPr>
            <w:tcW w:w="1468" w:type="dxa"/>
            <w:tcBorders>
              <w:top w:val="nil"/>
              <w:left w:val="nil"/>
              <w:bottom w:val="single" w:color="auto" w:sz="4" w:space="0"/>
              <w:right w:val="single" w:color="auto" w:sz="4" w:space="0"/>
            </w:tcBorders>
            <w:shd w:val="clear" w:color="auto" w:fill="FFFFFF" w:themeFill="background1"/>
            <w:vAlign w:val="center"/>
          </w:tcPr>
          <w:p w14:paraId="5CED0413">
            <w:pPr>
              <w:bidi w:val="0"/>
              <w:rPr>
                <w:color w:val="auto"/>
              </w:rPr>
            </w:pPr>
            <w:r>
              <w:rPr>
                <w:rFonts w:hint="eastAsia"/>
                <w:color w:val="auto"/>
              </w:rPr>
              <w:t>265-X1-C6</w:t>
            </w:r>
          </w:p>
        </w:tc>
        <w:tc>
          <w:tcPr>
            <w:tcW w:w="812" w:type="dxa"/>
            <w:tcBorders>
              <w:top w:val="nil"/>
              <w:left w:val="nil"/>
              <w:bottom w:val="single" w:color="auto" w:sz="4" w:space="0"/>
              <w:right w:val="single" w:color="auto" w:sz="4" w:space="0"/>
            </w:tcBorders>
            <w:shd w:val="clear" w:color="auto" w:fill="FFFFFF" w:themeFill="background1"/>
            <w:vAlign w:val="center"/>
          </w:tcPr>
          <w:p w14:paraId="754CC529">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73CD7CE">
            <w:pPr>
              <w:bidi w:val="0"/>
              <w:rPr>
                <w:color w:val="auto"/>
              </w:rPr>
            </w:pPr>
            <w:r>
              <w:rPr>
                <w:rFonts w:hint="eastAsia"/>
                <w:color w:val="auto"/>
              </w:rPr>
              <w:t>N5-X105板卡16号接线端子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1FFDB02A">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3220BF16">
            <w:pPr>
              <w:bidi w:val="0"/>
              <w:rPr>
                <w:color w:val="auto"/>
              </w:rPr>
            </w:pPr>
            <w:r>
              <w:rPr>
                <w:rFonts w:hint="eastAsia"/>
                <w:color w:val="auto"/>
              </w:rPr>
              <w:t>3265-X4-C6</w:t>
            </w:r>
          </w:p>
        </w:tc>
      </w:tr>
      <w:tr w14:paraId="341A5B7A">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E94E2D3">
            <w:pPr>
              <w:bidi w:val="0"/>
              <w:rPr>
                <w:color w:val="auto"/>
              </w:rPr>
            </w:pPr>
            <w:r>
              <w:rPr>
                <w:rFonts w:hint="eastAsia"/>
                <w:color w:val="auto"/>
              </w:rPr>
              <w:t>%I8.6</w:t>
            </w:r>
          </w:p>
        </w:tc>
        <w:tc>
          <w:tcPr>
            <w:tcW w:w="1468" w:type="dxa"/>
            <w:tcBorders>
              <w:top w:val="nil"/>
              <w:left w:val="nil"/>
              <w:bottom w:val="single" w:color="auto" w:sz="4" w:space="0"/>
              <w:right w:val="single" w:color="auto" w:sz="4" w:space="0"/>
            </w:tcBorders>
            <w:shd w:val="clear" w:color="auto" w:fill="FFFFFF" w:themeFill="background1"/>
            <w:vAlign w:val="center"/>
          </w:tcPr>
          <w:p w14:paraId="49C01564">
            <w:pPr>
              <w:bidi w:val="0"/>
              <w:rPr>
                <w:color w:val="auto"/>
              </w:rPr>
            </w:pPr>
            <w:r>
              <w:rPr>
                <w:rFonts w:hint="eastAsia"/>
                <w:color w:val="auto"/>
              </w:rPr>
              <w:t>266-X1-C7</w:t>
            </w:r>
          </w:p>
        </w:tc>
        <w:tc>
          <w:tcPr>
            <w:tcW w:w="812" w:type="dxa"/>
            <w:tcBorders>
              <w:top w:val="nil"/>
              <w:left w:val="nil"/>
              <w:bottom w:val="single" w:color="auto" w:sz="4" w:space="0"/>
              <w:right w:val="single" w:color="auto" w:sz="4" w:space="0"/>
            </w:tcBorders>
            <w:shd w:val="clear" w:color="auto" w:fill="FFFFFF" w:themeFill="background1"/>
            <w:vAlign w:val="center"/>
          </w:tcPr>
          <w:p w14:paraId="26DAA616">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33E53729">
            <w:pPr>
              <w:bidi w:val="0"/>
              <w:rPr>
                <w:color w:val="auto"/>
              </w:rPr>
            </w:pPr>
            <w:r>
              <w:rPr>
                <w:rFonts w:hint="eastAsia"/>
                <w:color w:val="auto"/>
              </w:rPr>
              <w:t>N5-X105板卡17号接线端子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3FB54D77">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93ADE2B">
            <w:pPr>
              <w:bidi w:val="0"/>
              <w:rPr>
                <w:color w:val="auto"/>
              </w:rPr>
            </w:pPr>
            <w:r>
              <w:rPr>
                <w:rFonts w:hint="eastAsia"/>
                <w:color w:val="auto"/>
              </w:rPr>
              <w:t>3266-X4-C7</w:t>
            </w:r>
          </w:p>
        </w:tc>
      </w:tr>
      <w:tr w14:paraId="24FD2CD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D2F219F">
            <w:pPr>
              <w:bidi w:val="0"/>
              <w:rPr>
                <w:color w:val="auto"/>
              </w:rPr>
            </w:pPr>
            <w:r>
              <w:rPr>
                <w:rFonts w:hint="eastAsia"/>
                <w:color w:val="auto"/>
              </w:rPr>
              <w:t>%I8.7</w:t>
            </w:r>
          </w:p>
        </w:tc>
        <w:tc>
          <w:tcPr>
            <w:tcW w:w="1468" w:type="dxa"/>
            <w:tcBorders>
              <w:top w:val="nil"/>
              <w:left w:val="nil"/>
              <w:bottom w:val="single" w:color="auto" w:sz="4" w:space="0"/>
              <w:right w:val="single" w:color="auto" w:sz="4" w:space="0"/>
            </w:tcBorders>
            <w:shd w:val="clear" w:color="auto" w:fill="FFFFFF" w:themeFill="background1"/>
            <w:vAlign w:val="center"/>
          </w:tcPr>
          <w:p w14:paraId="5363B215">
            <w:pPr>
              <w:bidi w:val="0"/>
              <w:rPr>
                <w:color w:val="auto"/>
              </w:rPr>
            </w:pPr>
            <w:r>
              <w:rPr>
                <w:rFonts w:hint="eastAsia"/>
                <w:color w:val="auto"/>
              </w:rPr>
              <w:t>267-X1-C8</w:t>
            </w:r>
          </w:p>
        </w:tc>
        <w:tc>
          <w:tcPr>
            <w:tcW w:w="812" w:type="dxa"/>
            <w:tcBorders>
              <w:top w:val="nil"/>
              <w:left w:val="nil"/>
              <w:bottom w:val="single" w:color="auto" w:sz="4" w:space="0"/>
              <w:right w:val="single" w:color="auto" w:sz="4" w:space="0"/>
            </w:tcBorders>
            <w:shd w:val="clear" w:color="auto" w:fill="FFFFFF" w:themeFill="background1"/>
            <w:vAlign w:val="center"/>
          </w:tcPr>
          <w:p w14:paraId="571BFCAE">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2A9E9549">
            <w:pPr>
              <w:bidi w:val="0"/>
              <w:rPr>
                <w:color w:val="auto"/>
              </w:rPr>
            </w:pPr>
            <w:r>
              <w:rPr>
                <w:rFonts w:hint="eastAsia"/>
                <w:color w:val="auto"/>
              </w:rPr>
              <w:t>N5-X105板卡18号接线端子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5147511B">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2AA98088">
            <w:pPr>
              <w:bidi w:val="0"/>
              <w:rPr>
                <w:color w:val="auto"/>
              </w:rPr>
            </w:pPr>
            <w:r>
              <w:rPr>
                <w:rFonts w:hint="eastAsia"/>
                <w:color w:val="auto"/>
              </w:rPr>
              <w:t>3267-X4-C8</w:t>
            </w:r>
          </w:p>
        </w:tc>
      </w:tr>
      <w:tr w14:paraId="6DCCEF93">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F9E6DC2">
            <w:pPr>
              <w:bidi w:val="0"/>
              <w:rPr>
                <w:color w:val="auto"/>
              </w:rPr>
            </w:pPr>
            <w:r>
              <w:rPr>
                <w:rFonts w:hint="eastAsia"/>
                <w:color w:val="auto"/>
              </w:rPr>
              <w:t>%I9.0</w:t>
            </w:r>
          </w:p>
        </w:tc>
        <w:tc>
          <w:tcPr>
            <w:tcW w:w="1468" w:type="dxa"/>
            <w:tcBorders>
              <w:top w:val="nil"/>
              <w:left w:val="nil"/>
              <w:bottom w:val="single" w:color="auto" w:sz="4" w:space="0"/>
              <w:right w:val="single" w:color="auto" w:sz="4" w:space="0"/>
            </w:tcBorders>
            <w:shd w:val="clear" w:color="auto" w:fill="FFFFFF" w:themeFill="background1"/>
            <w:vAlign w:val="center"/>
          </w:tcPr>
          <w:p w14:paraId="41862B87">
            <w:pPr>
              <w:bidi w:val="0"/>
              <w:rPr>
                <w:color w:val="auto"/>
              </w:rPr>
            </w:pPr>
            <w:r>
              <w:rPr>
                <w:rFonts w:hint="eastAsia"/>
                <w:color w:val="auto"/>
              </w:rPr>
              <w:t>280-X1-C9</w:t>
            </w:r>
          </w:p>
        </w:tc>
        <w:tc>
          <w:tcPr>
            <w:tcW w:w="812" w:type="dxa"/>
            <w:tcBorders>
              <w:top w:val="nil"/>
              <w:left w:val="nil"/>
              <w:bottom w:val="single" w:color="auto" w:sz="4" w:space="0"/>
              <w:right w:val="single" w:color="auto" w:sz="4" w:space="0"/>
            </w:tcBorders>
            <w:shd w:val="clear" w:color="auto" w:fill="FFFFFF" w:themeFill="background1"/>
            <w:vAlign w:val="center"/>
          </w:tcPr>
          <w:p w14:paraId="16E3BD58">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425A0242">
            <w:pPr>
              <w:bidi w:val="0"/>
              <w:rPr>
                <w:color w:val="auto"/>
              </w:rPr>
            </w:pPr>
            <w:r>
              <w:rPr>
                <w:rFonts w:hint="eastAsia"/>
                <w:color w:val="auto"/>
              </w:rPr>
              <w:t>N5-X105板卡19号接线端子</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62CCACF9">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9AC427D">
            <w:pPr>
              <w:bidi w:val="0"/>
              <w:rPr>
                <w:color w:val="auto"/>
              </w:rPr>
            </w:pPr>
            <w:r>
              <w:rPr>
                <w:rFonts w:hint="eastAsia"/>
                <w:color w:val="auto"/>
              </w:rPr>
              <w:t>3280-X4-C9</w:t>
            </w:r>
          </w:p>
        </w:tc>
      </w:tr>
      <w:tr w14:paraId="751F2645">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09C5AB0">
            <w:pPr>
              <w:bidi w:val="0"/>
              <w:rPr>
                <w:color w:val="auto"/>
              </w:rPr>
            </w:pPr>
            <w:r>
              <w:rPr>
                <w:rFonts w:hint="eastAsia"/>
                <w:color w:val="auto"/>
              </w:rPr>
              <w:t>%I9.3</w:t>
            </w:r>
          </w:p>
        </w:tc>
        <w:tc>
          <w:tcPr>
            <w:tcW w:w="1468" w:type="dxa"/>
            <w:tcBorders>
              <w:top w:val="nil"/>
              <w:left w:val="nil"/>
              <w:bottom w:val="single" w:color="auto" w:sz="4" w:space="0"/>
              <w:right w:val="single" w:color="auto" w:sz="4" w:space="0"/>
            </w:tcBorders>
            <w:shd w:val="clear" w:color="auto" w:fill="FFFFFF" w:themeFill="background1"/>
            <w:vAlign w:val="center"/>
          </w:tcPr>
          <w:p w14:paraId="3B1337C0">
            <w:pPr>
              <w:bidi w:val="0"/>
              <w:rPr>
                <w:color w:val="auto"/>
              </w:rPr>
            </w:pPr>
            <w:r>
              <w:rPr>
                <w:rFonts w:hint="eastAsia"/>
                <w:color w:val="auto"/>
              </w:rPr>
              <w:t>283-X1-A10</w:t>
            </w:r>
          </w:p>
        </w:tc>
        <w:tc>
          <w:tcPr>
            <w:tcW w:w="812" w:type="dxa"/>
            <w:tcBorders>
              <w:top w:val="nil"/>
              <w:left w:val="nil"/>
              <w:bottom w:val="single" w:color="auto" w:sz="4" w:space="0"/>
              <w:right w:val="single" w:color="auto" w:sz="4" w:space="0"/>
            </w:tcBorders>
            <w:shd w:val="clear" w:color="auto" w:fill="FFFFFF" w:themeFill="background1"/>
            <w:vAlign w:val="center"/>
          </w:tcPr>
          <w:p w14:paraId="17221DA8">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68E676F1">
            <w:pPr>
              <w:bidi w:val="0"/>
              <w:rPr>
                <w:color w:val="auto"/>
              </w:rPr>
            </w:pPr>
            <w:r>
              <w:rPr>
                <w:rFonts w:hint="eastAsia"/>
                <w:color w:val="auto"/>
              </w:rPr>
              <w:t>N13-X113板卡29号接线端子</w:t>
            </w:r>
          </w:p>
        </w:tc>
        <w:tc>
          <w:tcPr>
            <w:tcW w:w="1470" w:type="dxa"/>
            <w:tcBorders>
              <w:top w:val="nil"/>
              <w:left w:val="single" w:color="auto" w:sz="4" w:space="0"/>
              <w:bottom w:val="single" w:color="auto" w:sz="4" w:space="0"/>
              <w:right w:val="single" w:color="auto" w:sz="4" w:space="0"/>
            </w:tcBorders>
            <w:shd w:val="clear" w:color="auto" w:fill="FFFFFF" w:themeFill="background1"/>
            <w:vAlign w:val="center"/>
          </w:tcPr>
          <w:p w14:paraId="1FC60B31">
            <w:pPr>
              <w:bidi w:val="0"/>
              <w:rPr>
                <w:color w:val="auto"/>
              </w:rPr>
            </w:pPr>
            <w:r>
              <w:rPr>
                <w:rFonts w:hint="eastAsia"/>
                <w:color w:val="auto"/>
              </w:rPr>
              <w:t>条盒剔除电磁阀</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6B2C4E9A">
            <w:pPr>
              <w:bidi w:val="0"/>
              <w:rPr>
                <w:color w:val="auto"/>
              </w:rPr>
            </w:pPr>
            <w:r>
              <w:rPr>
                <w:rFonts w:hint="eastAsia"/>
                <w:color w:val="auto"/>
              </w:rPr>
              <w:t>3283-X4-A10</w:t>
            </w:r>
          </w:p>
        </w:tc>
      </w:tr>
      <w:tr w14:paraId="627FFC4F">
        <w:tblPrEx>
          <w:shd w:val="clear" w:color="auto" w:fill="FFFFFF" w:themeFill="background1"/>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D25727A">
            <w:pPr>
              <w:bidi w:val="0"/>
              <w:rPr>
                <w:color w:val="auto"/>
              </w:rPr>
            </w:pPr>
            <w:r>
              <w:rPr>
                <w:rFonts w:hint="eastAsia"/>
                <w:color w:val="auto"/>
              </w:rPr>
              <w:t>%I9.2</w:t>
            </w:r>
          </w:p>
        </w:tc>
        <w:tc>
          <w:tcPr>
            <w:tcW w:w="1468" w:type="dxa"/>
            <w:tcBorders>
              <w:top w:val="nil"/>
              <w:left w:val="nil"/>
              <w:bottom w:val="single" w:color="auto" w:sz="4" w:space="0"/>
              <w:right w:val="single" w:color="auto" w:sz="4" w:space="0"/>
            </w:tcBorders>
            <w:shd w:val="clear" w:color="auto" w:fill="FFFFFF" w:themeFill="background1"/>
            <w:vAlign w:val="center"/>
          </w:tcPr>
          <w:p w14:paraId="1778CCC6">
            <w:pPr>
              <w:bidi w:val="0"/>
              <w:rPr>
                <w:color w:val="auto"/>
              </w:rPr>
            </w:pPr>
            <w:r>
              <w:rPr>
                <w:rFonts w:hint="eastAsia"/>
                <w:color w:val="auto"/>
              </w:rPr>
              <w:t>282-X1-B1</w:t>
            </w:r>
          </w:p>
        </w:tc>
        <w:tc>
          <w:tcPr>
            <w:tcW w:w="812" w:type="dxa"/>
            <w:tcBorders>
              <w:top w:val="nil"/>
              <w:left w:val="nil"/>
              <w:bottom w:val="single" w:color="auto" w:sz="4" w:space="0"/>
              <w:right w:val="single" w:color="auto" w:sz="4" w:space="0"/>
            </w:tcBorders>
            <w:shd w:val="clear" w:color="auto" w:fill="FFFFFF" w:themeFill="background1"/>
            <w:vAlign w:val="center"/>
          </w:tcPr>
          <w:p w14:paraId="274313E3">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0D6248B3">
            <w:pPr>
              <w:bidi w:val="0"/>
              <w:rPr>
                <w:color w:val="auto"/>
              </w:rPr>
            </w:pPr>
            <w:r>
              <w:rPr>
                <w:rFonts w:hint="eastAsia"/>
                <w:color w:val="auto"/>
              </w:rPr>
              <w:t>N9-X109板卡4号接线端子</w:t>
            </w:r>
          </w:p>
        </w:tc>
        <w:tc>
          <w:tcPr>
            <w:tcW w:w="1470" w:type="dxa"/>
            <w:tcBorders>
              <w:top w:val="nil"/>
              <w:left w:val="single" w:color="auto" w:sz="4" w:space="0"/>
              <w:bottom w:val="single" w:color="auto" w:sz="4" w:space="0"/>
              <w:right w:val="single" w:color="auto" w:sz="4" w:space="0"/>
            </w:tcBorders>
            <w:shd w:val="clear" w:color="auto" w:fill="FFFFFF" w:themeFill="background1"/>
            <w:vAlign w:val="center"/>
          </w:tcPr>
          <w:p w14:paraId="02E0AAEA">
            <w:pPr>
              <w:bidi w:val="0"/>
              <w:rPr>
                <w:color w:val="auto"/>
              </w:rPr>
            </w:pPr>
            <w:r>
              <w:rPr>
                <w:rFonts w:hint="eastAsia"/>
                <w:color w:val="auto"/>
              </w:rPr>
              <w:t>CT毛刷检测传感器</w:t>
            </w:r>
          </w:p>
        </w:tc>
        <w:tc>
          <w:tcPr>
            <w:tcW w:w="1419"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04BBC3DE">
            <w:pPr>
              <w:bidi w:val="0"/>
              <w:rPr>
                <w:color w:val="auto"/>
              </w:rPr>
            </w:pPr>
            <w:r>
              <w:rPr>
                <w:rFonts w:hint="eastAsia"/>
                <w:color w:val="auto"/>
              </w:rPr>
              <w:t>3282-X4-B1</w:t>
            </w:r>
          </w:p>
        </w:tc>
      </w:tr>
      <w:tr w14:paraId="01F997A2">
        <w:tblPrEx>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4E3A305">
            <w:pPr>
              <w:bidi w:val="0"/>
              <w:rPr>
                <w:color w:val="auto"/>
              </w:rPr>
            </w:pPr>
            <w:r>
              <w:rPr>
                <w:rFonts w:hint="eastAsia"/>
                <w:color w:val="auto"/>
              </w:rPr>
              <w:t>%I9.1</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2885DC2">
            <w:pPr>
              <w:bidi w:val="0"/>
              <w:rPr>
                <w:color w:val="auto"/>
              </w:rPr>
            </w:pPr>
            <w:r>
              <w:rPr>
                <w:rFonts w:hint="eastAsia"/>
                <w:color w:val="auto"/>
              </w:rPr>
              <w:t>281-X1-B2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50D40B6">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616964BA">
            <w:pPr>
              <w:bidi w:val="0"/>
              <w:rPr>
                <w:color w:val="auto"/>
              </w:rPr>
            </w:pPr>
            <w:r>
              <w:rPr>
                <w:rFonts w:hint="eastAsia"/>
                <w:color w:val="auto"/>
              </w:rPr>
              <w:t>N7-X107板卡21号接线端子</w:t>
            </w:r>
          </w:p>
        </w:tc>
        <w:tc>
          <w:tcPr>
            <w:tcW w:w="1470" w:type="dxa"/>
            <w:tcBorders>
              <w:top w:val="single" w:color="auto" w:sz="4" w:space="0"/>
              <w:left w:val="nil"/>
              <w:bottom w:val="single" w:color="auto" w:sz="4" w:space="0"/>
              <w:right w:val="single" w:color="auto" w:sz="4" w:space="0"/>
            </w:tcBorders>
            <w:shd w:val="clear" w:color="auto" w:fill="FFFFFF" w:themeFill="background1"/>
            <w:vAlign w:val="center"/>
          </w:tcPr>
          <w:p w14:paraId="725F5626">
            <w:pPr>
              <w:bidi w:val="0"/>
              <w:rPr>
                <w:color w:val="auto"/>
              </w:rPr>
            </w:pPr>
            <w:r>
              <w:rPr>
                <w:rFonts w:hint="eastAsia"/>
                <w:color w:val="auto"/>
              </w:rPr>
              <w:t>CH检测暂停按钮</w:t>
            </w:r>
          </w:p>
        </w:tc>
        <w:tc>
          <w:tcPr>
            <w:tcW w:w="1419" w:type="dxa"/>
            <w:tcBorders>
              <w:top w:val="nil"/>
              <w:left w:val="nil"/>
              <w:bottom w:val="single" w:color="auto" w:sz="4" w:space="0"/>
              <w:right w:val="single" w:color="auto" w:sz="4" w:space="0"/>
            </w:tcBorders>
            <w:shd w:val="clear" w:color="auto" w:fill="FFFFFF" w:themeFill="background1"/>
            <w:vAlign w:val="center"/>
          </w:tcPr>
          <w:p w14:paraId="336EA762">
            <w:pPr>
              <w:bidi w:val="0"/>
              <w:rPr>
                <w:color w:val="auto"/>
              </w:rPr>
            </w:pPr>
            <w:r>
              <w:rPr>
                <w:rFonts w:hint="eastAsia"/>
                <w:color w:val="auto"/>
              </w:rPr>
              <w:t>3281-X4-B2</w:t>
            </w:r>
          </w:p>
        </w:tc>
      </w:tr>
      <w:tr w14:paraId="229D451E">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6CA1AA7">
            <w:pPr>
              <w:bidi w:val="0"/>
              <w:rPr>
                <w:color w:val="auto"/>
              </w:rPr>
            </w:pPr>
            <w:r>
              <w:rPr>
                <w:rFonts w:hint="eastAsia"/>
                <w:color w:val="auto"/>
              </w:rPr>
              <w:t>%I9.5</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304CDFE">
            <w:pPr>
              <w:bidi w:val="0"/>
              <w:rPr>
                <w:color w:val="auto"/>
              </w:rPr>
            </w:pPr>
            <w:r>
              <w:rPr>
                <w:rFonts w:hint="eastAsia"/>
                <w:color w:val="auto"/>
              </w:rPr>
              <w:t>285-X1-B3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2C64AF0">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5776F18A">
            <w:pPr>
              <w:bidi w:val="0"/>
              <w:rPr>
                <w:color w:val="auto"/>
              </w:rPr>
            </w:pPr>
            <w:r>
              <w:rPr>
                <w:rFonts w:hint="eastAsia"/>
                <w:color w:val="auto"/>
              </w:rPr>
              <w:t>N9-X109板卡1号接线端子</w:t>
            </w:r>
          </w:p>
        </w:tc>
        <w:tc>
          <w:tcPr>
            <w:tcW w:w="1470" w:type="dxa"/>
            <w:tcBorders>
              <w:top w:val="nil"/>
              <w:left w:val="nil"/>
              <w:bottom w:val="single" w:color="auto" w:sz="4" w:space="0"/>
              <w:right w:val="single" w:color="auto" w:sz="4" w:space="0"/>
            </w:tcBorders>
            <w:shd w:val="clear" w:color="auto" w:fill="FFFFFF" w:themeFill="background1"/>
            <w:vAlign w:val="center"/>
          </w:tcPr>
          <w:p w14:paraId="7DA53436">
            <w:pPr>
              <w:bidi w:val="0"/>
              <w:rPr>
                <w:color w:val="auto"/>
              </w:rPr>
            </w:pPr>
            <w:r>
              <w:rPr>
                <w:rFonts w:hint="eastAsia"/>
                <w:color w:val="auto"/>
              </w:rPr>
              <w:t>CT检测暂停按钮</w:t>
            </w:r>
          </w:p>
        </w:tc>
        <w:tc>
          <w:tcPr>
            <w:tcW w:w="1419" w:type="dxa"/>
            <w:tcBorders>
              <w:top w:val="nil"/>
              <w:left w:val="nil"/>
              <w:bottom w:val="single" w:color="auto" w:sz="4" w:space="0"/>
              <w:right w:val="single" w:color="auto" w:sz="4" w:space="0"/>
            </w:tcBorders>
            <w:shd w:val="clear" w:color="auto" w:fill="FFFFFF" w:themeFill="background1"/>
            <w:vAlign w:val="center"/>
          </w:tcPr>
          <w:p w14:paraId="5A4F5DD5">
            <w:pPr>
              <w:bidi w:val="0"/>
              <w:rPr>
                <w:color w:val="auto"/>
              </w:rPr>
            </w:pPr>
            <w:r>
              <w:rPr>
                <w:rFonts w:hint="eastAsia"/>
                <w:color w:val="auto"/>
              </w:rPr>
              <w:t>3285-X4-B3</w:t>
            </w:r>
          </w:p>
        </w:tc>
      </w:tr>
      <w:tr w14:paraId="74DAC68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CF98D1A">
            <w:pPr>
              <w:bidi w:val="0"/>
              <w:rPr>
                <w:color w:val="auto"/>
              </w:rPr>
            </w:pPr>
            <w:r>
              <w:rPr>
                <w:rFonts w:hint="eastAsia"/>
                <w:color w:val="auto"/>
              </w:rPr>
              <w:t>%I9.4</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8EE8A01">
            <w:pPr>
              <w:bidi w:val="0"/>
              <w:rPr>
                <w:color w:val="auto"/>
              </w:rPr>
            </w:pPr>
            <w:r>
              <w:rPr>
                <w:rFonts w:hint="eastAsia"/>
                <w:color w:val="auto"/>
              </w:rPr>
              <w:t>284-X1-B4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D512046">
            <w:pPr>
              <w:bidi w:val="0"/>
              <w:rPr>
                <w:color w:val="auto"/>
              </w:rPr>
            </w:pPr>
            <w:r>
              <w:rPr>
                <w:rFonts w:hint="eastAsia"/>
                <w:color w:val="auto"/>
              </w:rPr>
              <w:t>蓝</w:t>
            </w:r>
          </w:p>
        </w:tc>
        <w:tc>
          <w:tcPr>
            <w:tcW w:w="2597"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7AE42923">
            <w:pPr>
              <w:bidi w:val="0"/>
              <w:rPr>
                <w:color w:val="auto"/>
              </w:rPr>
            </w:pPr>
            <w:r>
              <w:rPr>
                <w:rFonts w:hint="eastAsia"/>
                <w:color w:val="auto"/>
              </w:rPr>
              <w:t>补烟气缸位置-磁性检测开关</w:t>
            </w:r>
          </w:p>
        </w:tc>
        <w:tc>
          <w:tcPr>
            <w:tcW w:w="1470"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29F93026">
            <w:pPr>
              <w:bidi w:val="0"/>
              <w:rPr>
                <w:color w:val="auto"/>
              </w:rPr>
            </w:pPr>
            <w:r>
              <w:rPr>
                <w:rFonts w:hint="eastAsia"/>
                <w:color w:val="auto"/>
              </w:rPr>
              <w:t>磁性开关--我方或原机增加</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5F53D39C">
            <w:pPr>
              <w:bidi w:val="0"/>
              <w:rPr>
                <w:color w:val="auto"/>
              </w:rPr>
            </w:pPr>
            <w:r>
              <w:rPr>
                <w:rFonts w:hint="eastAsia"/>
                <w:color w:val="auto"/>
              </w:rPr>
              <w:t>3284-X4-B4</w:t>
            </w:r>
          </w:p>
        </w:tc>
      </w:tr>
      <w:tr w14:paraId="10D27B12">
        <w:tblPrEx>
          <w:shd w:val="clear" w:color="auto" w:fill="FFFFFF" w:themeFill="background1"/>
          <w:tblCellMar>
            <w:top w:w="0" w:type="dxa"/>
            <w:left w:w="108" w:type="dxa"/>
            <w:bottom w:w="0" w:type="dxa"/>
            <w:right w:w="108" w:type="dxa"/>
          </w:tblCellMar>
        </w:tblPrEx>
        <w:trPr>
          <w:trHeight w:val="600" w:hRule="atLeast"/>
        </w:trPr>
        <w:tc>
          <w:tcPr>
            <w:tcW w:w="1854" w:type="dxa"/>
            <w:tcBorders>
              <w:top w:val="single" w:color="auto" w:sz="4" w:space="0"/>
              <w:left w:val="single" w:color="auto" w:sz="4" w:space="0"/>
              <w:bottom w:val="nil"/>
              <w:right w:val="single" w:color="auto" w:sz="4" w:space="0"/>
            </w:tcBorders>
            <w:shd w:val="clear" w:color="auto" w:fill="FFFFFF" w:themeFill="background1"/>
            <w:vAlign w:val="center"/>
          </w:tcPr>
          <w:p w14:paraId="3576A47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786A2F0">
            <w:pPr>
              <w:bidi w:val="0"/>
              <w:rPr>
                <w:color w:val="auto"/>
              </w:rPr>
            </w:pPr>
            <w:r>
              <w:rPr>
                <w:rFonts w:hint="eastAsia"/>
                <w:color w:val="auto"/>
              </w:rPr>
              <w:t>P24C1-X1-B5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25B0546">
            <w:pPr>
              <w:bidi w:val="0"/>
              <w:rPr>
                <w:color w:val="auto"/>
              </w:rPr>
            </w:pPr>
            <w:r>
              <w:rPr>
                <w:rFonts w:hint="eastAsia"/>
                <w:color w:val="auto"/>
              </w:rPr>
              <w:t>棕</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2D893C1E">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31725F27">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6B32F79C">
            <w:pPr>
              <w:bidi w:val="0"/>
              <w:rPr>
                <w:color w:val="auto"/>
              </w:rPr>
            </w:pPr>
            <w:r>
              <w:rPr>
                <w:rFonts w:hint="eastAsia"/>
                <w:color w:val="auto"/>
              </w:rPr>
              <w:t>　</w:t>
            </w:r>
          </w:p>
        </w:tc>
      </w:tr>
      <w:tr w14:paraId="1BB361E2">
        <w:tblPrEx>
          <w:shd w:val="clear" w:color="auto" w:fill="FFFFFF" w:themeFill="background1"/>
          <w:tblCellMar>
            <w:top w:w="0" w:type="dxa"/>
            <w:left w:w="108" w:type="dxa"/>
            <w:bottom w:w="0" w:type="dxa"/>
            <w:right w:w="108" w:type="dxa"/>
          </w:tblCellMar>
        </w:tblPrEx>
        <w:trPr>
          <w:trHeight w:val="600" w:hRule="atLeast"/>
        </w:trPr>
        <w:tc>
          <w:tcPr>
            <w:tcW w:w="1854"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331AD37">
            <w:pPr>
              <w:bidi w:val="0"/>
              <w:rPr>
                <w:color w:val="auto"/>
              </w:rPr>
            </w:pPr>
            <w:r>
              <w:rPr>
                <w:rFonts w:hint="eastAsia"/>
                <w:color w:val="auto"/>
              </w:rPr>
              <w:t>%Q12.6中转继电器</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5513775B">
            <w:pPr>
              <w:bidi w:val="0"/>
              <w:rPr>
                <w:color w:val="auto"/>
              </w:rPr>
            </w:pPr>
            <w:r>
              <w:rPr>
                <w:rFonts w:hint="eastAsia"/>
                <w:color w:val="auto"/>
              </w:rPr>
              <w:t>303-X1-D3</w:t>
            </w:r>
          </w:p>
        </w:tc>
        <w:tc>
          <w:tcPr>
            <w:tcW w:w="812" w:type="dxa"/>
            <w:tcBorders>
              <w:top w:val="nil"/>
              <w:left w:val="nil"/>
              <w:bottom w:val="single" w:color="auto" w:sz="4" w:space="0"/>
              <w:right w:val="single" w:color="auto" w:sz="4" w:space="0"/>
            </w:tcBorders>
            <w:shd w:val="clear" w:color="auto" w:fill="FFFFFF" w:themeFill="background1"/>
            <w:vAlign w:val="center"/>
          </w:tcPr>
          <w:p w14:paraId="0EE96AAC">
            <w:pPr>
              <w:bidi w:val="0"/>
              <w:rPr>
                <w:color w:val="auto"/>
              </w:rPr>
            </w:pPr>
            <w:r>
              <w:rPr>
                <w:rFonts w:hint="eastAsia"/>
                <w:color w:val="auto"/>
              </w:rPr>
              <w:t>　</w:t>
            </w:r>
          </w:p>
        </w:tc>
        <w:tc>
          <w:tcPr>
            <w:tcW w:w="2597" w:type="dxa"/>
            <w:tcBorders>
              <w:top w:val="single" w:color="auto" w:sz="4" w:space="0"/>
              <w:left w:val="nil"/>
              <w:bottom w:val="single" w:color="auto" w:sz="4" w:space="0"/>
              <w:right w:val="single" w:color="auto" w:sz="4" w:space="0"/>
            </w:tcBorders>
            <w:shd w:val="clear" w:color="auto" w:fill="FFFFFF" w:themeFill="background1"/>
            <w:vAlign w:val="center"/>
          </w:tcPr>
          <w:p w14:paraId="5E44D795">
            <w:pPr>
              <w:bidi w:val="0"/>
              <w:rPr>
                <w:color w:val="auto"/>
              </w:rPr>
            </w:pPr>
            <w:r>
              <w:rPr>
                <w:rFonts w:hint="eastAsia"/>
                <w:color w:val="auto"/>
              </w:rPr>
              <w:t>并接N8-X108板卡6号接线端子</w:t>
            </w:r>
          </w:p>
        </w:tc>
        <w:tc>
          <w:tcPr>
            <w:tcW w:w="1470"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695BBD78">
            <w:pPr>
              <w:bidi w:val="0"/>
              <w:rPr>
                <w:color w:val="auto"/>
              </w:rPr>
            </w:pPr>
            <w:r>
              <w:rPr>
                <w:rFonts w:hint="eastAsia"/>
                <w:color w:val="auto"/>
              </w:rPr>
              <w:t>CH出口手动剔除按钮</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1F641BA8">
            <w:pPr>
              <w:bidi w:val="0"/>
              <w:rPr>
                <w:color w:val="auto"/>
              </w:rPr>
            </w:pPr>
            <w:r>
              <w:rPr>
                <w:rFonts w:hint="eastAsia"/>
                <w:color w:val="auto"/>
              </w:rPr>
              <w:t>3303-X4-D3</w:t>
            </w:r>
          </w:p>
        </w:tc>
      </w:tr>
      <w:tr w14:paraId="3FEBF49C">
        <w:tblPrEx>
          <w:tblCellMar>
            <w:top w:w="0" w:type="dxa"/>
            <w:left w:w="108" w:type="dxa"/>
            <w:bottom w:w="0" w:type="dxa"/>
            <w:right w:w="108" w:type="dxa"/>
          </w:tblCellMar>
        </w:tblPrEx>
        <w:trPr>
          <w:trHeight w:val="600" w:hRule="atLeast"/>
        </w:trPr>
        <w:tc>
          <w:tcPr>
            <w:tcW w:w="1854"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AAC3A9F">
            <w:pPr>
              <w:bidi w:val="0"/>
              <w:rPr>
                <w:color w:val="auto"/>
              </w:rPr>
            </w:pP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A155FF1">
            <w:pPr>
              <w:bidi w:val="0"/>
              <w:rPr>
                <w:color w:val="auto"/>
              </w:rPr>
            </w:pPr>
            <w:r>
              <w:rPr>
                <w:rFonts w:hint="eastAsia"/>
                <w:color w:val="auto"/>
              </w:rPr>
              <w:t>　</w:t>
            </w:r>
          </w:p>
        </w:tc>
        <w:tc>
          <w:tcPr>
            <w:tcW w:w="812" w:type="dxa"/>
            <w:tcBorders>
              <w:top w:val="nil"/>
              <w:left w:val="nil"/>
              <w:bottom w:val="single" w:color="auto" w:sz="4" w:space="0"/>
              <w:right w:val="single" w:color="auto" w:sz="4" w:space="0"/>
            </w:tcBorders>
            <w:shd w:val="clear" w:color="auto" w:fill="FFFFFF" w:themeFill="background1"/>
            <w:vAlign w:val="center"/>
          </w:tcPr>
          <w:p w14:paraId="1AF9B72B">
            <w:pPr>
              <w:bidi w:val="0"/>
              <w:rPr>
                <w:color w:val="auto"/>
              </w:rPr>
            </w:pPr>
            <w:r>
              <w:rPr>
                <w:rFonts w:hint="eastAsia"/>
                <w:color w:val="auto"/>
              </w:rPr>
              <w:t>　</w:t>
            </w:r>
          </w:p>
        </w:tc>
        <w:tc>
          <w:tcPr>
            <w:tcW w:w="2597" w:type="dxa"/>
            <w:tcBorders>
              <w:top w:val="nil"/>
              <w:left w:val="nil"/>
              <w:bottom w:val="single" w:color="auto" w:sz="4" w:space="0"/>
              <w:right w:val="single" w:color="auto" w:sz="4" w:space="0"/>
            </w:tcBorders>
            <w:shd w:val="clear" w:color="auto" w:fill="FFFFFF" w:themeFill="background1"/>
            <w:vAlign w:val="center"/>
          </w:tcPr>
          <w:p w14:paraId="69CE95F9">
            <w:pPr>
              <w:bidi w:val="0"/>
              <w:rPr>
                <w:color w:val="auto"/>
              </w:rPr>
            </w:pPr>
            <w:r>
              <w:rPr>
                <w:rFonts w:hint="eastAsia"/>
                <w:color w:val="auto"/>
              </w:rPr>
              <w:t>二维码柜内依据图纸更改接线</w:t>
            </w:r>
          </w:p>
        </w:tc>
        <w:tc>
          <w:tcPr>
            <w:tcW w:w="1470"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5B993DEC">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02189A7">
            <w:pPr>
              <w:bidi w:val="0"/>
              <w:rPr>
                <w:color w:val="auto"/>
              </w:rPr>
            </w:pPr>
            <w:r>
              <w:rPr>
                <w:rFonts w:hint="eastAsia"/>
                <w:color w:val="auto"/>
              </w:rPr>
              <w:t>　</w:t>
            </w:r>
          </w:p>
        </w:tc>
      </w:tr>
      <w:tr w14:paraId="0B3FBE85">
        <w:tblPrEx>
          <w:tblCellMar>
            <w:top w:w="0" w:type="dxa"/>
            <w:left w:w="108" w:type="dxa"/>
            <w:bottom w:w="0" w:type="dxa"/>
            <w:right w:w="108" w:type="dxa"/>
          </w:tblCellMar>
        </w:tblPrEx>
        <w:trPr>
          <w:trHeight w:val="300" w:hRule="atLeast"/>
        </w:trPr>
        <w:tc>
          <w:tcPr>
            <w:tcW w:w="1854"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4BC85F64">
            <w:pPr>
              <w:bidi w:val="0"/>
              <w:rPr>
                <w:color w:val="auto"/>
              </w:rPr>
            </w:pPr>
            <w:r>
              <w:rPr>
                <w:rFonts w:hint="eastAsia"/>
                <w:color w:val="auto"/>
              </w:rPr>
              <w:t>%Q12.6中转继电器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3E654E4">
            <w:pPr>
              <w:bidi w:val="0"/>
              <w:rPr>
                <w:color w:val="auto"/>
              </w:rPr>
            </w:pPr>
            <w:r>
              <w:rPr>
                <w:rFonts w:hint="eastAsia"/>
                <w:color w:val="auto"/>
              </w:rPr>
              <w:t>303-X1-D3</w:t>
            </w:r>
          </w:p>
        </w:tc>
        <w:tc>
          <w:tcPr>
            <w:tcW w:w="812" w:type="dxa"/>
            <w:tcBorders>
              <w:top w:val="nil"/>
              <w:left w:val="nil"/>
              <w:bottom w:val="single" w:color="auto" w:sz="4" w:space="0"/>
              <w:right w:val="single" w:color="auto" w:sz="4" w:space="0"/>
            </w:tcBorders>
            <w:shd w:val="clear" w:color="auto" w:fill="FFFFFF" w:themeFill="background1"/>
            <w:vAlign w:val="center"/>
          </w:tcPr>
          <w:p w14:paraId="305D6649">
            <w:pPr>
              <w:bidi w:val="0"/>
              <w:rPr>
                <w:color w:val="auto"/>
              </w:rPr>
            </w:pPr>
            <w:r>
              <w:rPr>
                <w:rFonts w:hint="eastAsia"/>
                <w:color w:val="auto"/>
              </w:rPr>
              <w:t>　</w:t>
            </w:r>
          </w:p>
        </w:tc>
        <w:tc>
          <w:tcPr>
            <w:tcW w:w="2597"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055E601">
            <w:pPr>
              <w:bidi w:val="0"/>
              <w:rPr>
                <w:color w:val="auto"/>
              </w:rPr>
            </w:pPr>
            <w:r>
              <w:rPr>
                <w:rFonts w:hint="eastAsia"/>
                <w:color w:val="auto"/>
              </w:rPr>
              <w:t>串接N8-X108板卡14号接线端子</w:t>
            </w:r>
          </w:p>
        </w:tc>
        <w:tc>
          <w:tcPr>
            <w:tcW w:w="1470" w:type="dxa"/>
            <w:vMerge w:val="restart"/>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07C7E6A">
            <w:pPr>
              <w:bidi w:val="0"/>
              <w:rPr>
                <w:color w:val="auto"/>
              </w:rPr>
            </w:pPr>
            <w:r>
              <w:rPr>
                <w:rFonts w:hint="eastAsia"/>
                <w:color w:val="auto"/>
              </w:rPr>
              <w:t>透明纸偏移检测传感器</w:t>
            </w:r>
          </w:p>
        </w:tc>
        <w:tc>
          <w:tcPr>
            <w:tcW w:w="1419" w:type="dxa"/>
            <w:tcBorders>
              <w:top w:val="nil"/>
              <w:left w:val="nil"/>
              <w:bottom w:val="single" w:color="auto" w:sz="4" w:space="0"/>
              <w:right w:val="single" w:color="auto" w:sz="4" w:space="0"/>
            </w:tcBorders>
            <w:shd w:val="clear" w:color="auto" w:fill="FFFFFF" w:themeFill="background1"/>
            <w:vAlign w:val="center"/>
          </w:tcPr>
          <w:p w14:paraId="0E145CF5">
            <w:pPr>
              <w:bidi w:val="0"/>
              <w:rPr>
                <w:color w:val="auto"/>
              </w:rPr>
            </w:pPr>
            <w:r>
              <w:rPr>
                <w:rFonts w:hint="eastAsia"/>
                <w:color w:val="auto"/>
              </w:rPr>
              <w:t>3303-X4-D3</w:t>
            </w:r>
          </w:p>
        </w:tc>
      </w:tr>
      <w:tr w14:paraId="6B8A26D4">
        <w:tblPrEx>
          <w:shd w:val="clear" w:color="auto" w:fill="FFFFFF" w:themeFill="background1"/>
          <w:tblCellMar>
            <w:top w:w="0" w:type="dxa"/>
            <w:left w:w="108" w:type="dxa"/>
            <w:bottom w:w="0" w:type="dxa"/>
            <w:right w:w="108" w:type="dxa"/>
          </w:tblCellMar>
        </w:tblPrEx>
        <w:trPr>
          <w:trHeight w:val="300" w:hRule="atLeast"/>
        </w:trPr>
        <w:tc>
          <w:tcPr>
            <w:tcW w:w="1854"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766FAA35">
            <w:pPr>
              <w:bidi w:val="0"/>
              <w:rPr>
                <w:color w:val="auto"/>
              </w:rPr>
            </w:pP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E8F2A42">
            <w:pPr>
              <w:bidi w:val="0"/>
              <w:rPr>
                <w:color w:val="auto"/>
              </w:rPr>
            </w:pPr>
            <w:r>
              <w:rPr>
                <w:rFonts w:hint="eastAsia"/>
                <w:color w:val="auto"/>
              </w:rPr>
              <w:t>304-X1-D4</w:t>
            </w:r>
          </w:p>
        </w:tc>
        <w:tc>
          <w:tcPr>
            <w:tcW w:w="812" w:type="dxa"/>
            <w:tcBorders>
              <w:top w:val="nil"/>
              <w:left w:val="nil"/>
              <w:bottom w:val="single" w:color="auto" w:sz="4" w:space="0"/>
              <w:right w:val="single" w:color="auto" w:sz="4" w:space="0"/>
            </w:tcBorders>
            <w:shd w:val="clear" w:color="auto" w:fill="FFFFFF" w:themeFill="background1"/>
            <w:vAlign w:val="center"/>
          </w:tcPr>
          <w:p w14:paraId="161EC440">
            <w:pPr>
              <w:bidi w:val="0"/>
              <w:rPr>
                <w:color w:val="auto"/>
              </w:rPr>
            </w:pPr>
            <w:r>
              <w:rPr>
                <w:rFonts w:hint="eastAsia"/>
                <w:color w:val="auto"/>
              </w:rPr>
              <w:t>　</w:t>
            </w:r>
          </w:p>
        </w:tc>
        <w:tc>
          <w:tcPr>
            <w:tcW w:w="2597"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3BE0EE7">
            <w:pPr>
              <w:bidi w:val="0"/>
              <w:rPr>
                <w:color w:val="auto"/>
              </w:rPr>
            </w:pPr>
          </w:p>
        </w:tc>
        <w:tc>
          <w:tcPr>
            <w:tcW w:w="1470" w:type="dxa"/>
            <w:vMerge w:val="continue"/>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A9BF945">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7F81331F">
            <w:pPr>
              <w:bidi w:val="0"/>
              <w:rPr>
                <w:color w:val="auto"/>
              </w:rPr>
            </w:pPr>
            <w:r>
              <w:rPr>
                <w:rFonts w:hint="eastAsia"/>
                <w:color w:val="auto"/>
              </w:rPr>
              <w:t>3304-X4-D4</w:t>
            </w:r>
          </w:p>
        </w:tc>
      </w:tr>
      <w:tr w14:paraId="36CE6E35">
        <w:tblPrEx>
          <w:shd w:val="clear" w:color="auto" w:fill="FFFFFF" w:themeFill="background1"/>
          <w:tblCellMar>
            <w:top w:w="0" w:type="dxa"/>
            <w:left w:w="108" w:type="dxa"/>
            <w:bottom w:w="0" w:type="dxa"/>
            <w:right w:w="108" w:type="dxa"/>
          </w:tblCellMar>
        </w:tblPrEx>
        <w:trPr>
          <w:trHeight w:val="300" w:hRule="atLeast"/>
        </w:trPr>
        <w:tc>
          <w:tcPr>
            <w:tcW w:w="1854" w:type="dxa"/>
            <w:vMerge w:val="restart"/>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1F9858A0">
            <w:pPr>
              <w:bidi w:val="0"/>
              <w:rPr>
                <w:color w:val="auto"/>
              </w:rPr>
            </w:pPr>
            <w:r>
              <w:rPr>
                <w:rFonts w:hint="eastAsia"/>
                <w:color w:val="auto"/>
              </w:rPr>
              <w:t>%Q12.0中转继电器</w:t>
            </w:r>
          </w:p>
        </w:tc>
        <w:tc>
          <w:tcPr>
            <w:tcW w:w="1468" w:type="dxa"/>
            <w:tcBorders>
              <w:top w:val="nil"/>
              <w:left w:val="nil"/>
              <w:bottom w:val="single" w:color="auto" w:sz="4" w:space="0"/>
              <w:right w:val="single" w:color="auto" w:sz="4" w:space="0"/>
            </w:tcBorders>
            <w:shd w:val="clear" w:color="auto" w:fill="FFFFFF" w:themeFill="background1"/>
            <w:vAlign w:val="center"/>
          </w:tcPr>
          <w:p w14:paraId="59FB97CB">
            <w:pPr>
              <w:bidi w:val="0"/>
              <w:rPr>
                <w:color w:val="auto"/>
              </w:rPr>
            </w:pPr>
            <w:r>
              <w:rPr>
                <w:rFonts w:hint="eastAsia"/>
                <w:color w:val="auto"/>
              </w:rPr>
              <w:t>301-X1-D1</w:t>
            </w:r>
          </w:p>
        </w:tc>
        <w:tc>
          <w:tcPr>
            <w:tcW w:w="812" w:type="dxa"/>
            <w:tcBorders>
              <w:top w:val="nil"/>
              <w:left w:val="nil"/>
              <w:bottom w:val="single" w:color="auto" w:sz="4" w:space="0"/>
              <w:right w:val="single" w:color="auto" w:sz="4" w:space="0"/>
            </w:tcBorders>
            <w:shd w:val="clear" w:color="auto" w:fill="FFFFFF" w:themeFill="background1"/>
            <w:vAlign w:val="center"/>
          </w:tcPr>
          <w:p w14:paraId="30E93F81">
            <w:pPr>
              <w:bidi w:val="0"/>
              <w:rPr>
                <w:color w:val="auto"/>
              </w:rPr>
            </w:pPr>
            <w:r>
              <w:rPr>
                <w:rFonts w:hint="eastAsia"/>
                <w:color w:val="auto"/>
              </w:rPr>
              <w:t>　</w:t>
            </w:r>
          </w:p>
        </w:tc>
        <w:tc>
          <w:tcPr>
            <w:tcW w:w="2597"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6203B59">
            <w:pPr>
              <w:bidi w:val="0"/>
              <w:rPr>
                <w:color w:val="auto"/>
              </w:rPr>
            </w:pPr>
            <w:r>
              <w:rPr>
                <w:rFonts w:hint="eastAsia"/>
                <w:color w:val="auto"/>
              </w:rPr>
              <w:t>串接N9-X109板卡19号接线端子</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507A88F">
            <w:pPr>
              <w:bidi w:val="0"/>
              <w:rPr>
                <w:color w:val="auto"/>
              </w:rPr>
            </w:pPr>
            <w:r>
              <w:rPr>
                <w:rFonts w:hint="eastAsia"/>
                <w:color w:val="auto"/>
              </w:rPr>
              <w:t>CT条盒缺包检测传感器</w:t>
            </w:r>
          </w:p>
        </w:tc>
        <w:tc>
          <w:tcPr>
            <w:tcW w:w="1419" w:type="dxa"/>
            <w:tcBorders>
              <w:top w:val="nil"/>
              <w:left w:val="nil"/>
              <w:bottom w:val="single" w:color="auto" w:sz="4" w:space="0"/>
              <w:right w:val="single" w:color="auto" w:sz="4" w:space="0"/>
            </w:tcBorders>
            <w:shd w:val="clear" w:color="auto" w:fill="FFFFFF" w:themeFill="background1"/>
            <w:vAlign w:val="center"/>
          </w:tcPr>
          <w:p w14:paraId="3CAC06BF">
            <w:pPr>
              <w:bidi w:val="0"/>
              <w:rPr>
                <w:color w:val="auto"/>
              </w:rPr>
            </w:pPr>
            <w:r>
              <w:rPr>
                <w:rFonts w:hint="eastAsia"/>
                <w:color w:val="auto"/>
              </w:rPr>
              <w:t>3301-X4-D1</w:t>
            </w:r>
          </w:p>
        </w:tc>
      </w:tr>
      <w:tr w14:paraId="11270148">
        <w:tblPrEx>
          <w:shd w:val="clear" w:color="auto" w:fill="FFFFFF" w:themeFill="background1"/>
          <w:tblCellMar>
            <w:top w:w="0" w:type="dxa"/>
            <w:left w:w="108" w:type="dxa"/>
            <w:bottom w:w="0" w:type="dxa"/>
            <w:right w:w="108" w:type="dxa"/>
          </w:tblCellMar>
        </w:tblPrEx>
        <w:trPr>
          <w:trHeight w:val="300" w:hRule="atLeast"/>
        </w:trPr>
        <w:tc>
          <w:tcPr>
            <w:tcW w:w="1854" w:type="dxa"/>
            <w:vMerge w:val="continue"/>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267741D">
            <w:pPr>
              <w:bidi w:val="0"/>
              <w:rPr>
                <w:color w:val="auto"/>
              </w:rPr>
            </w:pPr>
          </w:p>
        </w:tc>
        <w:tc>
          <w:tcPr>
            <w:tcW w:w="1468" w:type="dxa"/>
            <w:tcBorders>
              <w:top w:val="nil"/>
              <w:left w:val="nil"/>
              <w:bottom w:val="single" w:color="auto" w:sz="4" w:space="0"/>
              <w:right w:val="single" w:color="auto" w:sz="4" w:space="0"/>
            </w:tcBorders>
            <w:shd w:val="clear" w:color="auto" w:fill="FFFFFF" w:themeFill="background1"/>
            <w:vAlign w:val="center"/>
          </w:tcPr>
          <w:p w14:paraId="2DB5670C">
            <w:pPr>
              <w:bidi w:val="0"/>
              <w:rPr>
                <w:color w:val="auto"/>
              </w:rPr>
            </w:pPr>
            <w:r>
              <w:rPr>
                <w:rFonts w:hint="eastAsia"/>
                <w:color w:val="auto"/>
              </w:rPr>
              <w:t>302-X1-D2</w:t>
            </w:r>
          </w:p>
        </w:tc>
        <w:tc>
          <w:tcPr>
            <w:tcW w:w="812" w:type="dxa"/>
            <w:tcBorders>
              <w:top w:val="nil"/>
              <w:left w:val="nil"/>
              <w:bottom w:val="single" w:color="auto" w:sz="4" w:space="0"/>
              <w:right w:val="single" w:color="auto" w:sz="4" w:space="0"/>
            </w:tcBorders>
            <w:shd w:val="clear" w:color="auto" w:fill="FFFFFF" w:themeFill="background1"/>
            <w:vAlign w:val="center"/>
          </w:tcPr>
          <w:p w14:paraId="205CBD15">
            <w:pPr>
              <w:bidi w:val="0"/>
              <w:rPr>
                <w:color w:val="auto"/>
              </w:rPr>
            </w:pPr>
            <w:r>
              <w:rPr>
                <w:rFonts w:hint="eastAsia"/>
                <w:color w:val="auto"/>
              </w:rPr>
              <w:t>　</w:t>
            </w:r>
          </w:p>
        </w:tc>
        <w:tc>
          <w:tcPr>
            <w:tcW w:w="2597"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B1F2ADD">
            <w:pPr>
              <w:bidi w:val="0"/>
              <w:rPr>
                <w:color w:val="auto"/>
              </w:rPr>
            </w:pP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B5260A1">
            <w:pPr>
              <w:bidi w:val="0"/>
              <w:rPr>
                <w:color w:val="auto"/>
              </w:rPr>
            </w:pPr>
          </w:p>
        </w:tc>
        <w:tc>
          <w:tcPr>
            <w:tcW w:w="1419" w:type="dxa"/>
            <w:tcBorders>
              <w:top w:val="nil"/>
              <w:left w:val="nil"/>
              <w:bottom w:val="single" w:color="auto" w:sz="4" w:space="0"/>
              <w:right w:val="single" w:color="auto" w:sz="4" w:space="0"/>
            </w:tcBorders>
            <w:shd w:val="clear" w:color="auto" w:fill="FFFFFF" w:themeFill="background1"/>
            <w:vAlign w:val="center"/>
          </w:tcPr>
          <w:p w14:paraId="2A99AD2C">
            <w:pPr>
              <w:bidi w:val="0"/>
              <w:rPr>
                <w:color w:val="auto"/>
              </w:rPr>
            </w:pPr>
            <w:r>
              <w:rPr>
                <w:rFonts w:hint="eastAsia"/>
                <w:color w:val="auto"/>
              </w:rPr>
              <w:t>3302-X4-D2</w:t>
            </w:r>
          </w:p>
        </w:tc>
      </w:tr>
      <w:tr w14:paraId="26ED2065">
        <w:tblPrEx>
          <w:shd w:val="clear" w:color="auto" w:fill="FFFFFF" w:themeFill="background1"/>
          <w:tblCellMar>
            <w:top w:w="0" w:type="dxa"/>
            <w:left w:w="108" w:type="dxa"/>
            <w:bottom w:w="0" w:type="dxa"/>
            <w:right w:w="108" w:type="dxa"/>
          </w:tblCellMar>
        </w:tblPrEx>
        <w:trPr>
          <w:trHeight w:val="300" w:hRule="atLeast"/>
        </w:trPr>
        <w:tc>
          <w:tcPr>
            <w:tcW w:w="1854" w:type="dxa"/>
            <w:vMerge w:val="restart"/>
            <w:tcBorders>
              <w:top w:val="nil"/>
              <w:left w:val="single" w:color="auto" w:sz="4" w:space="0"/>
              <w:bottom w:val="single" w:color="000000" w:sz="4" w:space="0"/>
              <w:right w:val="single" w:color="auto" w:sz="4" w:space="0"/>
            </w:tcBorders>
            <w:shd w:val="clear" w:color="auto" w:fill="FFFFFF" w:themeFill="background1"/>
            <w:vAlign w:val="center"/>
          </w:tcPr>
          <w:p w14:paraId="78FABC1D">
            <w:pPr>
              <w:bidi w:val="0"/>
              <w:rPr>
                <w:color w:val="auto"/>
              </w:rPr>
            </w:pPr>
            <w:r>
              <w:rPr>
                <w:rFonts w:hint="eastAsia"/>
                <w:color w:val="auto"/>
              </w:rPr>
              <w:t>%Q12.4中转继电器</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D585525">
            <w:pPr>
              <w:bidi w:val="0"/>
              <w:rPr>
                <w:color w:val="auto"/>
              </w:rPr>
            </w:pPr>
            <w:r>
              <w:rPr>
                <w:rFonts w:hint="eastAsia"/>
                <w:color w:val="auto"/>
              </w:rPr>
              <w:t>305-X1-D5</w:t>
            </w:r>
          </w:p>
        </w:tc>
        <w:tc>
          <w:tcPr>
            <w:tcW w:w="812" w:type="dxa"/>
            <w:tcBorders>
              <w:top w:val="nil"/>
              <w:left w:val="nil"/>
              <w:bottom w:val="single" w:color="auto" w:sz="4" w:space="0"/>
              <w:right w:val="single" w:color="auto" w:sz="4" w:space="0"/>
            </w:tcBorders>
            <w:shd w:val="clear" w:color="auto" w:fill="FFFFFF" w:themeFill="background1"/>
            <w:vAlign w:val="center"/>
          </w:tcPr>
          <w:p w14:paraId="43E2BB73">
            <w:pPr>
              <w:bidi w:val="0"/>
              <w:rPr>
                <w:color w:val="auto"/>
              </w:rPr>
            </w:pPr>
            <w:r>
              <w:rPr>
                <w:rFonts w:hint="eastAsia"/>
                <w:color w:val="auto"/>
              </w:rPr>
              <w:t>　</w:t>
            </w:r>
          </w:p>
        </w:tc>
        <w:tc>
          <w:tcPr>
            <w:tcW w:w="2597"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656BF40C">
            <w:pPr>
              <w:bidi w:val="0"/>
              <w:rPr>
                <w:color w:val="auto"/>
              </w:rPr>
            </w:pPr>
            <w:r>
              <w:rPr>
                <w:rFonts w:hint="eastAsia"/>
                <w:color w:val="auto"/>
              </w:rPr>
              <w:t>串接N9-X109板卡17号接线端子</w:t>
            </w:r>
          </w:p>
        </w:tc>
        <w:tc>
          <w:tcPr>
            <w:tcW w:w="1470" w:type="dxa"/>
            <w:vMerge w:val="restart"/>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4A1B5EC8">
            <w:pPr>
              <w:bidi w:val="0"/>
              <w:rPr>
                <w:color w:val="auto"/>
              </w:rPr>
            </w:pPr>
            <w:r>
              <w:rPr>
                <w:rFonts w:hint="eastAsia"/>
                <w:color w:val="auto"/>
              </w:rPr>
              <w:t>下游机停机-各厂可由厂里定义给出点位，各厂统一点位</w:t>
            </w: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0A5D7D59">
            <w:pPr>
              <w:bidi w:val="0"/>
              <w:rPr>
                <w:color w:val="auto"/>
              </w:rPr>
            </w:pPr>
            <w:r>
              <w:rPr>
                <w:rFonts w:hint="eastAsia"/>
                <w:color w:val="auto"/>
              </w:rPr>
              <w:t>3305-X4-D5</w:t>
            </w:r>
          </w:p>
        </w:tc>
      </w:tr>
      <w:tr w14:paraId="13CFD576">
        <w:tblPrEx>
          <w:shd w:val="clear" w:color="auto" w:fill="FFFFFF" w:themeFill="background1"/>
          <w:tblCellMar>
            <w:top w:w="0" w:type="dxa"/>
            <w:left w:w="108" w:type="dxa"/>
            <w:bottom w:w="0" w:type="dxa"/>
            <w:right w:w="108" w:type="dxa"/>
          </w:tblCellMar>
        </w:tblPrEx>
        <w:trPr>
          <w:trHeight w:val="300" w:hRule="atLeast"/>
        </w:trPr>
        <w:tc>
          <w:tcPr>
            <w:tcW w:w="1854" w:type="dxa"/>
            <w:vMerge w:val="continue"/>
            <w:tcBorders>
              <w:top w:val="nil"/>
              <w:left w:val="single" w:color="auto" w:sz="4" w:space="0"/>
              <w:bottom w:val="single" w:color="000000" w:sz="4" w:space="0"/>
              <w:right w:val="single" w:color="auto" w:sz="4" w:space="0"/>
            </w:tcBorders>
            <w:shd w:val="clear" w:color="auto" w:fill="FFFFFF" w:themeFill="background1"/>
            <w:vAlign w:val="center"/>
          </w:tcPr>
          <w:p w14:paraId="28C9ABB3">
            <w:pPr>
              <w:bidi w:val="0"/>
              <w:rPr>
                <w:color w:val="auto"/>
              </w:rPr>
            </w:pP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7E425B1">
            <w:pPr>
              <w:bidi w:val="0"/>
              <w:rPr>
                <w:color w:val="auto"/>
              </w:rPr>
            </w:pPr>
            <w:r>
              <w:rPr>
                <w:rFonts w:hint="eastAsia"/>
                <w:color w:val="auto"/>
              </w:rPr>
              <w:t>306-X1-D6</w:t>
            </w:r>
          </w:p>
        </w:tc>
        <w:tc>
          <w:tcPr>
            <w:tcW w:w="812" w:type="dxa"/>
            <w:tcBorders>
              <w:top w:val="nil"/>
              <w:left w:val="nil"/>
              <w:bottom w:val="single" w:color="auto" w:sz="4" w:space="0"/>
              <w:right w:val="single" w:color="auto" w:sz="4" w:space="0"/>
            </w:tcBorders>
            <w:shd w:val="clear" w:color="auto" w:fill="FFFFFF" w:themeFill="background1"/>
            <w:vAlign w:val="center"/>
          </w:tcPr>
          <w:p w14:paraId="49EA0A97">
            <w:pPr>
              <w:bidi w:val="0"/>
              <w:rPr>
                <w:color w:val="auto"/>
              </w:rPr>
            </w:pPr>
            <w:r>
              <w:rPr>
                <w:rFonts w:hint="eastAsia"/>
                <w:color w:val="auto"/>
              </w:rPr>
              <w:t>　</w:t>
            </w:r>
          </w:p>
        </w:tc>
        <w:tc>
          <w:tcPr>
            <w:tcW w:w="2597"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5435D726">
            <w:pPr>
              <w:bidi w:val="0"/>
              <w:rPr>
                <w:color w:val="auto"/>
              </w:rPr>
            </w:pPr>
          </w:p>
        </w:tc>
        <w:tc>
          <w:tcPr>
            <w:tcW w:w="1470" w:type="dxa"/>
            <w:vMerge w:val="continue"/>
            <w:tcBorders>
              <w:top w:val="single" w:color="auto" w:sz="4" w:space="0"/>
              <w:left w:val="single" w:color="auto" w:sz="4" w:space="0"/>
              <w:bottom w:val="single" w:color="000000" w:sz="4" w:space="0"/>
              <w:right w:val="single" w:color="auto" w:sz="4" w:space="0"/>
            </w:tcBorders>
            <w:shd w:val="clear" w:color="auto" w:fill="FFFFFF" w:themeFill="background1"/>
            <w:vAlign w:val="center"/>
          </w:tcPr>
          <w:p w14:paraId="1DF18DFD">
            <w:pPr>
              <w:bidi w:val="0"/>
              <w:rPr>
                <w:color w:val="auto"/>
              </w:rPr>
            </w:pPr>
          </w:p>
        </w:tc>
        <w:tc>
          <w:tcPr>
            <w:tcW w:w="1419" w:type="dxa"/>
            <w:tcBorders>
              <w:top w:val="nil"/>
              <w:left w:val="single" w:color="auto" w:sz="4" w:space="0"/>
              <w:bottom w:val="single" w:color="auto" w:sz="4" w:space="0"/>
              <w:right w:val="single" w:color="auto" w:sz="4" w:space="0"/>
            </w:tcBorders>
            <w:shd w:val="clear" w:color="auto" w:fill="FFFFFF" w:themeFill="background1"/>
            <w:vAlign w:val="center"/>
          </w:tcPr>
          <w:p w14:paraId="50455255">
            <w:pPr>
              <w:bidi w:val="0"/>
              <w:rPr>
                <w:color w:val="auto"/>
              </w:rPr>
            </w:pPr>
            <w:r>
              <w:rPr>
                <w:rFonts w:hint="eastAsia"/>
                <w:color w:val="auto"/>
              </w:rPr>
              <w:t>3306-X4-D6</w:t>
            </w:r>
          </w:p>
        </w:tc>
      </w:tr>
      <w:tr w14:paraId="30C8D903">
        <w:tblPrEx>
          <w:shd w:val="clear" w:color="auto" w:fill="FFFFFF" w:themeFill="background1"/>
          <w:tblCellMar>
            <w:top w:w="0" w:type="dxa"/>
            <w:left w:w="108" w:type="dxa"/>
            <w:bottom w:w="0" w:type="dxa"/>
            <w:right w:w="108" w:type="dxa"/>
          </w:tblCellMar>
        </w:tblPrEx>
        <w:trPr>
          <w:trHeight w:val="300" w:hRule="atLeast"/>
        </w:trPr>
        <w:tc>
          <w:tcPr>
            <w:tcW w:w="9620" w:type="dxa"/>
            <w:gridSpan w:val="6"/>
            <w:tcBorders>
              <w:top w:val="single" w:color="auto" w:sz="4" w:space="0"/>
              <w:left w:val="single" w:color="auto" w:sz="4" w:space="0"/>
              <w:bottom w:val="single" w:color="auto" w:sz="4" w:space="0"/>
              <w:right w:val="single" w:color="000000" w:sz="4" w:space="0"/>
            </w:tcBorders>
            <w:shd w:val="clear" w:color="auto" w:fill="FFFFFF" w:themeFill="background1"/>
            <w:vAlign w:val="center"/>
          </w:tcPr>
          <w:p w14:paraId="352D9391">
            <w:pPr>
              <w:bidi w:val="0"/>
              <w:rPr>
                <w:color w:val="auto"/>
              </w:rPr>
            </w:pPr>
            <w:r>
              <w:rPr>
                <w:rFonts w:hint="eastAsia"/>
                <w:color w:val="auto"/>
              </w:rPr>
              <w:t>读码器</w:t>
            </w:r>
          </w:p>
        </w:tc>
      </w:tr>
      <w:tr w14:paraId="7E8FA996">
        <w:tblPrEx>
          <w:tblCellMar>
            <w:top w:w="0" w:type="dxa"/>
            <w:left w:w="108" w:type="dxa"/>
            <w:bottom w:w="0" w:type="dxa"/>
            <w:right w:w="108" w:type="dxa"/>
          </w:tblCellMar>
        </w:tblPrEx>
        <w:trPr>
          <w:trHeight w:val="9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09B1C03">
            <w:pPr>
              <w:bidi w:val="0"/>
              <w:rPr>
                <w:color w:val="auto"/>
              </w:rPr>
            </w:pPr>
            <w:r>
              <w:rPr>
                <w:rFonts w:hint="eastAsia"/>
                <w:color w:val="auto"/>
              </w:rPr>
              <w:t>二维码电柜地址</w:t>
            </w:r>
          </w:p>
        </w:tc>
        <w:tc>
          <w:tcPr>
            <w:tcW w:w="1468" w:type="dxa"/>
            <w:tcBorders>
              <w:top w:val="nil"/>
              <w:left w:val="nil"/>
              <w:bottom w:val="single" w:color="auto" w:sz="4" w:space="0"/>
              <w:right w:val="single" w:color="auto" w:sz="4" w:space="0"/>
            </w:tcBorders>
            <w:shd w:val="clear" w:color="auto" w:fill="FFFFFF" w:themeFill="background1"/>
            <w:vAlign w:val="center"/>
          </w:tcPr>
          <w:p w14:paraId="7683EC93">
            <w:pPr>
              <w:bidi w:val="0"/>
              <w:rPr>
                <w:color w:val="auto"/>
              </w:rPr>
            </w:pPr>
            <w:r>
              <w:rPr>
                <w:rFonts w:hint="eastAsia"/>
                <w:color w:val="auto"/>
              </w:rPr>
              <w:t>二维码电柜则X2航插接头</w:t>
            </w:r>
          </w:p>
        </w:tc>
        <w:tc>
          <w:tcPr>
            <w:tcW w:w="812" w:type="dxa"/>
            <w:tcBorders>
              <w:top w:val="nil"/>
              <w:left w:val="nil"/>
              <w:bottom w:val="single" w:color="auto" w:sz="4" w:space="0"/>
              <w:right w:val="single" w:color="auto" w:sz="4" w:space="0"/>
            </w:tcBorders>
            <w:shd w:val="clear" w:color="auto" w:fill="FFFFFF" w:themeFill="background1"/>
            <w:vAlign w:val="center"/>
          </w:tcPr>
          <w:p w14:paraId="63BCA246">
            <w:pPr>
              <w:bidi w:val="0"/>
              <w:rPr>
                <w:color w:val="auto"/>
              </w:rPr>
            </w:pPr>
            <w:r>
              <w:rPr>
                <w:rFonts w:hint="eastAsia"/>
                <w:color w:val="auto"/>
              </w:rPr>
              <w:t>读码器线缆颜色</w:t>
            </w:r>
          </w:p>
        </w:tc>
        <w:tc>
          <w:tcPr>
            <w:tcW w:w="2597" w:type="dxa"/>
            <w:tcBorders>
              <w:top w:val="nil"/>
              <w:left w:val="nil"/>
              <w:bottom w:val="single" w:color="auto" w:sz="4" w:space="0"/>
              <w:right w:val="single" w:color="auto" w:sz="4" w:space="0"/>
            </w:tcBorders>
            <w:shd w:val="clear" w:color="auto" w:fill="FFFFFF" w:themeFill="background1"/>
            <w:vAlign w:val="center"/>
          </w:tcPr>
          <w:p w14:paraId="4FE355A4">
            <w:pPr>
              <w:bidi w:val="0"/>
              <w:rPr>
                <w:color w:val="auto"/>
              </w:rPr>
            </w:pPr>
            <w:r>
              <w:rPr>
                <w:rFonts w:hint="eastAsia"/>
                <w:color w:val="auto"/>
              </w:rPr>
              <w:t>读码器线缆功能说明</w:t>
            </w:r>
          </w:p>
        </w:tc>
        <w:tc>
          <w:tcPr>
            <w:tcW w:w="1470" w:type="dxa"/>
            <w:tcBorders>
              <w:top w:val="nil"/>
              <w:left w:val="nil"/>
              <w:bottom w:val="single" w:color="auto" w:sz="4" w:space="0"/>
              <w:right w:val="single" w:color="auto" w:sz="4" w:space="0"/>
            </w:tcBorders>
            <w:shd w:val="clear" w:color="auto" w:fill="FFFFFF" w:themeFill="background1"/>
            <w:vAlign w:val="center"/>
          </w:tcPr>
          <w:p w14:paraId="53DB41EE">
            <w:pPr>
              <w:bidi w:val="0"/>
              <w:rPr>
                <w:color w:val="auto"/>
              </w:rPr>
            </w:pPr>
            <w:r>
              <w:rPr>
                <w:rFonts w:hint="eastAsia"/>
                <w:color w:val="auto"/>
              </w:rPr>
              <w:t>读码器网线IP</w:t>
            </w:r>
          </w:p>
        </w:tc>
        <w:tc>
          <w:tcPr>
            <w:tcW w:w="1419" w:type="dxa"/>
            <w:tcBorders>
              <w:top w:val="nil"/>
              <w:left w:val="nil"/>
              <w:bottom w:val="single" w:color="auto" w:sz="4" w:space="0"/>
              <w:right w:val="single" w:color="auto" w:sz="4" w:space="0"/>
            </w:tcBorders>
            <w:shd w:val="clear" w:color="auto" w:fill="FFFFFF" w:themeFill="background1"/>
            <w:vAlign w:val="center"/>
          </w:tcPr>
          <w:p w14:paraId="2074AF7C">
            <w:pPr>
              <w:bidi w:val="0"/>
              <w:rPr>
                <w:color w:val="auto"/>
              </w:rPr>
            </w:pPr>
            <w:r>
              <w:rPr>
                <w:rFonts w:hint="eastAsia"/>
                <w:color w:val="auto"/>
              </w:rPr>
              <w:t>读码器</w:t>
            </w:r>
            <w:r>
              <w:rPr>
                <w:rFonts w:hint="eastAsia"/>
                <w:color w:val="auto"/>
              </w:rPr>
              <w:br w:type="textWrapping"/>
            </w:r>
            <w:r>
              <w:rPr>
                <w:rFonts w:hint="eastAsia"/>
                <w:color w:val="auto"/>
              </w:rPr>
              <w:t>功能及代号</w:t>
            </w:r>
          </w:p>
        </w:tc>
      </w:tr>
      <w:tr w14:paraId="3190081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534469DE">
            <w:pPr>
              <w:bidi w:val="0"/>
              <w:rPr>
                <w:color w:val="auto"/>
              </w:rPr>
            </w:pPr>
            <w:r>
              <w:rPr>
                <w:rFonts w:hint="eastAsia"/>
                <w:color w:val="auto"/>
              </w:rPr>
              <w:t>　</w:t>
            </w:r>
          </w:p>
        </w:tc>
        <w:tc>
          <w:tcPr>
            <w:tcW w:w="1468"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4E3FEF22">
            <w:pPr>
              <w:bidi w:val="0"/>
              <w:rPr>
                <w:color w:val="auto"/>
              </w:rPr>
            </w:pPr>
            <w:r>
              <w:rPr>
                <w:rFonts w:hint="eastAsia"/>
                <w:color w:val="auto"/>
              </w:rPr>
              <w:t>P24A1-X2-A1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2E08C51">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66F7CAF7">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6EB5F8F0">
            <w:pPr>
              <w:bidi w:val="0"/>
              <w:rPr>
                <w:color w:val="auto"/>
              </w:rPr>
            </w:pPr>
            <w:r>
              <w:rPr>
                <w:rFonts w:hint="eastAsia"/>
                <w:color w:val="auto"/>
              </w:rPr>
              <w:t>192.168.0.10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26FA46E8">
            <w:pPr>
              <w:bidi w:val="0"/>
              <w:rPr>
                <w:color w:val="auto"/>
              </w:rPr>
            </w:pPr>
            <w:r>
              <w:rPr>
                <w:rFonts w:hint="eastAsia"/>
                <w:color w:val="auto"/>
              </w:rPr>
              <w:t>B1品检工位  DM1</w:t>
            </w:r>
          </w:p>
        </w:tc>
      </w:tr>
      <w:tr w14:paraId="2575D926">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E79B72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DAF26B7">
            <w:pPr>
              <w:bidi w:val="0"/>
              <w:rPr>
                <w:color w:val="auto"/>
              </w:rPr>
            </w:pPr>
            <w:r>
              <w:rPr>
                <w:rFonts w:hint="eastAsia"/>
                <w:color w:val="auto"/>
              </w:rPr>
              <w:t>N24A1-X2-A2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88DB55D">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60A02EA9">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DB66D6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406C873">
            <w:pPr>
              <w:bidi w:val="0"/>
              <w:rPr>
                <w:color w:val="auto"/>
              </w:rPr>
            </w:pPr>
          </w:p>
        </w:tc>
      </w:tr>
      <w:tr w14:paraId="4E065A17">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40C12E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CA30C52">
            <w:pPr>
              <w:bidi w:val="0"/>
              <w:rPr>
                <w:color w:val="auto"/>
              </w:rPr>
            </w:pPr>
            <w:r>
              <w:rPr>
                <w:rFonts w:hint="eastAsia"/>
                <w:color w:val="auto"/>
              </w:rPr>
              <w:t>N24A1-X2-A3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590762C">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316FD3A3">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46D8098">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A3AA954">
            <w:pPr>
              <w:bidi w:val="0"/>
              <w:rPr>
                <w:color w:val="auto"/>
              </w:rPr>
            </w:pPr>
          </w:p>
        </w:tc>
      </w:tr>
      <w:tr w14:paraId="7945AF43">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DBAF0F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F3AB698">
            <w:pPr>
              <w:bidi w:val="0"/>
              <w:rPr>
                <w:color w:val="auto"/>
              </w:rPr>
            </w:pPr>
            <w:r>
              <w:rPr>
                <w:rFonts w:hint="eastAsia"/>
                <w:color w:val="auto"/>
              </w:rPr>
              <w:t>450-X2-A4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81DF15C">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28D4C48E">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75B984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E0BD79F">
            <w:pPr>
              <w:bidi w:val="0"/>
              <w:rPr>
                <w:color w:val="auto"/>
              </w:rPr>
            </w:pPr>
          </w:p>
        </w:tc>
      </w:tr>
      <w:tr w14:paraId="2EF3F1A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1BC1C28D">
            <w:pPr>
              <w:bidi w:val="0"/>
              <w:rPr>
                <w:color w:val="auto"/>
              </w:rPr>
            </w:pPr>
            <w:r>
              <w:rPr>
                <w:rFonts w:hint="eastAsia"/>
                <w:color w:val="auto"/>
              </w:rPr>
              <w:t>%Q1.6</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5D4B408">
            <w:pPr>
              <w:bidi w:val="0"/>
              <w:rPr>
                <w:color w:val="auto"/>
              </w:rPr>
            </w:pPr>
            <w:r>
              <w:rPr>
                <w:rFonts w:hint="eastAsia"/>
                <w:color w:val="auto"/>
              </w:rPr>
              <w:t>236B-X2-A5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346BFF4">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424BCC42">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67E307C">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C2C4E6A">
            <w:pPr>
              <w:bidi w:val="0"/>
              <w:rPr>
                <w:color w:val="auto"/>
              </w:rPr>
            </w:pPr>
          </w:p>
        </w:tc>
      </w:tr>
      <w:tr w14:paraId="7ED6C821">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D2BAEA2">
            <w:pPr>
              <w:bidi w:val="0"/>
              <w:rPr>
                <w:color w:val="auto"/>
              </w:rPr>
            </w:pPr>
            <w:r>
              <w:rPr>
                <w:rFonts w:hint="eastAsia"/>
                <w:color w:val="auto"/>
              </w:rPr>
              <w:t>%I2.6</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AD8C425">
            <w:pPr>
              <w:bidi w:val="0"/>
              <w:rPr>
                <w:color w:val="auto"/>
              </w:rPr>
            </w:pPr>
            <w:r>
              <w:rPr>
                <w:rFonts w:hint="eastAsia"/>
                <w:color w:val="auto"/>
              </w:rPr>
              <w:t>246-X2-A6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49B09BD">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070FDF6F">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B5959AB">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F41269A">
            <w:pPr>
              <w:bidi w:val="0"/>
              <w:rPr>
                <w:color w:val="auto"/>
              </w:rPr>
            </w:pPr>
          </w:p>
        </w:tc>
      </w:tr>
      <w:tr w14:paraId="2CC06E4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9E3A98C">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DA779AE">
            <w:pPr>
              <w:bidi w:val="0"/>
              <w:rPr>
                <w:color w:val="auto"/>
              </w:rPr>
            </w:pPr>
            <w:r>
              <w:rPr>
                <w:rFonts w:hint="eastAsia"/>
                <w:color w:val="auto"/>
              </w:rPr>
              <w:t>P24A1-X2-B1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86793EA">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703BC2C3">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E7F7733">
            <w:pPr>
              <w:bidi w:val="0"/>
              <w:rPr>
                <w:color w:val="auto"/>
              </w:rPr>
            </w:pPr>
            <w:r>
              <w:rPr>
                <w:rFonts w:hint="eastAsia"/>
                <w:color w:val="auto"/>
              </w:rPr>
              <w:t>192.168.0.20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3B06C34">
            <w:pPr>
              <w:bidi w:val="0"/>
              <w:rPr>
                <w:color w:val="auto"/>
              </w:rPr>
            </w:pPr>
            <w:r>
              <w:rPr>
                <w:rFonts w:hint="eastAsia"/>
                <w:color w:val="auto"/>
              </w:rPr>
              <w:t>B1双盒采码 DM2</w:t>
            </w:r>
          </w:p>
        </w:tc>
      </w:tr>
      <w:tr w14:paraId="60BE408B">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D2C2F71">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801B3DA">
            <w:pPr>
              <w:bidi w:val="0"/>
              <w:rPr>
                <w:color w:val="auto"/>
              </w:rPr>
            </w:pPr>
            <w:r>
              <w:rPr>
                <w:rFonts w:hint="eastAsia"/>
                <w:color w:val="auto"/>
              </w:rPr>
              <w:t>N24A1-X2-B2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5ABC2EF">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46EAC7F1">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EC14B9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E728DA4">
            <w:pPr>
              <w:bidi w:val="0"/>
              <w:rPr>
                <w:color w:val="auto"/>
              </w:rPr>
            </w:pPr>
          </w:p>
        </w:tc>
      </w:tr>
      <w:tr w14:paraId="378F4142">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77FF808">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C2123E7">
            <w:pPr>
              <w:bidi w:val="0"/>
              <w:rPr>
                <w:color w:val="auto"/>
              </w:rPr>
            </w:pPr>
            <w:r>
              <w:rPr>
                <w:rFonts w:hint="eastAsia"/>
                <w:color w:val="auto"/>
              </w:rPr>
              <w:t>N24A1-X2-B3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0753EE7">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761B247D">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630C396">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264F034">
            <w:pPr>
              <w:bidi w:val="0"/>
              <w:rPr>
                <w:color w:val="auto"/>
              </w:rPr>
            </w:pPr>
          </w:p>
        </w:tc>
      </w:tr>
      <w:tr w14:paraId="7B48997D">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EAE3BC9">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A36CAA2">
            <w:pPr>
              <w:bidi w:val="0"/>
              <w:rPr>
                <w:color w:val="auto"/>
              </w:rPr>
            </w:pPr>
            <w:r>
              <w:rPr>
                <w:rFonts w:hint="eastAsia"/>
                <w:color w:val="auto"/>
              </w:rPr>
              <w:t>450-X2-B4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86A29FD">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2E28471E">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F110598">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38F0BB2">
            <w:pPr>
              <w:bidi w:val="0"/>
              <w:rPr>
                <w:color w:val="auto"/>
              </w:rPr>
            </w:pPr>
          </w:p>
        </w:tc>
      </w:tr>
      <w:tr w14:paraId="19D304AE">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946F783">
            <w:pPr>
              <w:bidi w:val="0"/>
              <w:rPr>
                <w:color w:val="auto"/>
              </w:rPr>
            </w:pPr>
            <w:r>
              <w:rPr>
                <w:rFonts w:hint="eastAsia"/>
                <w:color w:val="auto"/>
              </w:rPr>
              <w:t>%Q1.4</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0D34C78">
            <w:pPr>
              <w:bidi w:val="0"/>
              <w:rPr>
                <w:color w:val="auto"/>
              </w:rPr>
            </w:pPr>
            <w:r>
              <w:rPr>
                <w:rFonts w:hint="eastAsia"/>
                <w:color w:val="auto"/>
              </w:rPr>
              <w:t>234B-X2-B5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517268C">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006E9E93">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0C5CA91">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8C02E56">
            <w:pPr>
              <w:bidi w:val="0"/>
              <w:rPr>
                <w:color w:val="auto"/>
              </w:rPr>
            </w:pPr>
          </w:p>
        </w:tc>
      </w:tr>
      <w:tr w14:paraId="605D5835">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7411B8C">
            <w:pPr>
              <w:bidi w:val="0"/>
              <w:rPr>
                <w:color w:val="auto"/>
              </w:rPr>
            </w:pPr>
            <w:r>
              <w:rPr>
                <w:rFonts w:hint="eastAsia"/>
                <w:color w:val="auto"/>
              </w:rPr>
              <w:t>%I2.7</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94FAD27">
            <w:pPr>
              <w:bidi w:val="0"/>
              <w:rPr>
                <w:color w:val="auto"/>
              </w:rPr>
            </w:pPr>
            <w:r>
              <w:rPr>
                <w:rFonts w:hint="eastAsia"/>
                <w:color w:val="auto"/>
              </w:rPr>
              <w:t>247-X2-B6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FE6DFF2">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0BACF8D6">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794D4D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D1389E2">
            <w:pPr>
              <w:bidi w:val="0"/>
              <w:rPr>
                <w:color w:val="auto"/>
              </w:rPr>
            </w:pPr>
          </w:p>
        </w:tc>
      </w:tr>
      <w:tr w14:paraId="7683070C">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5BC2B51">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FD7E941">
            <w:pPr>
              <w:bidi w:val="0"/>
              <w:rPr>
                <w:color w:val="auto"/>
              </w:rPr>
            </w:pPr>
            <w:r>
              <w:rPr>
                <w:rFonts w:hint="eastAsia"/>
                <w:color w:val="auto"/>
              </w:rPr>
              <w:t>P24A1-X2-C1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D67424A">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5C43A27A">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9C03859">
            <w:pPr>
              <w:bidi w:val="0"/>
              <w:rPr>
                <w:color w:val="auto"/>
              </w:rPr>
            </w:pPr>
            <w:r>
              <w:rPr>
                <w:rFonts w:hint="eastAsia"/>
                <w:color w:val="auto"/>
              </w:rPr>
              <w:t>192.168.0.30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8987ECA">
            <w:pPr>
              <w:bidi w:val="0"/>
              <w:rPr>
                <w:color w:val="auto"/>
              </w:rPr>
            </w:pPr>
            <w:r>
              <w:rPr>
                <w:rFonts w:hint="eastAsia"/>
                <w:color w:val="auto"/>
              </w:rPr>
              <w:t>C2条盒采码 DM3</w:t>
            </w:r>
          </w:p>
        </w:tc>
      </w:tr>
      <w:tr w14:paraId="07ECE9D6">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777338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6CAF701">
            <w:pPr>
              <w:bidi w:val="0"/>
              <w:rPr>
                <w:color w:val="auto"/>
              </w:rPr>
            </w:pPr>
            <w:r>
              <w:rPr>
                <w:rFonts w:hint="eastAsia"/>
                <w:color w:val="auto"/>
              </w:rPr>
              <w:t>N24A1-X2-C2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FE5B33B">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584B94F5">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332622B">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12AC077">
            <w:pPr>
              <w:bidi w:val="0"/>
              <w:rPr>
                <w:color w:val="auto"/>
              </w:rPr>
            </w:pPr>
          </w:p>
        </w:tc>
      </w:tr>
      <w:tr w14:paraId="391CCEAB">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6CC7D1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CE4E040">
            <w:pPr>
              <w:bidi w:val="0"/>
              <w:rPr>
                <w:color w:val="auto"/>
              </w:rPr>
            </w:pPr>
            <w:r>
              <w:rPr>
                <w:rFonts w:hint="eastAsia"/>
                <w:color w:val="auto"/>
              </w:rPr>
              <w:t>N24A1-X2-C3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6589119">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11741590">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C026722">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96F4295">
            <w:pPr>
              <w:bidi w:val="0"/>
              <w:rPr>
                <w:color w:val="auto"/>
              </w:rPr>
            </w:pPr>
          </w:p>
        </w:tc>
      </w:tr>
      <w:tr w14:paraId="30A37C53">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F124488">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E92A5FA">
            <w:pPr>
              <w:bidi w:val="0"/>
              <w:rPr>
                <w:color w:val="auto"/>
              </w:rPr>
            </w:pPr>
            <w:r>
              <w:rPr>
                <w:rFonts w:hint="eastAsia"/>
                <w:color w:val="auto"/>
              </w:rPr>
              <w:t>450-X2-C4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54DA399">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753F2653">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E5DBFC4">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4B030BB">
            <w:pPr>
              <w:bidi w:val="0"/>
              <w:rPr>
                <w:color w:val="auto"/>
              </w:rPr>
            </w:pPr>
          </w:p>
        </w:tc>
      </w:tr>
      <w:tr w14:paraId="7566C31F">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A0E20C0">
            <w:pPr>
              <w:bidi w:val="0"/>
              <w:rPr>
                <w:color w:val="auto"/>
              </w:rPr>
            </w:pPr>
            <w:r>
              <w:rPr>
                <w:rFonts w:hint="eastAsia"/>
                <w:color w:val="auto"/>
              </w:rPr>
              <w:t>%Q1.0</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DBEC566">
            <w:pPr>
              <w:bidi w:val="0"/>
              <w:rPr>
                <w:color w:val="auto"/>
              </w:rPr>
            </w:pPr>
            <w:r>
              <w:rPr>
                <w:rFonts w:hint="eastAsia"/>
                <w:color w:val="auto"/>
              </w:rPr>
              <w:t>230B-X2-C5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6722E0A">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48CD58FB">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DA928D5">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15DB95F">
            <w:pPr>
              <w:bidi w:val="0"/>
              <w:rPr>
                <w:color w:val="auto"/>
              </w:rPr>
            </w:pPr>
          </w:p>
        </w:tc>
      </w:tr>
      <w:tr w14:paraId="6F555A5B">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233A52C">
            <w:pPr>
              <w:bidi w:val="0"/>
              <w:rPr>
                <w:color w:val="auto"/>
              </w:rPr>
            </w:pPr>
            <w:r>
              <w:rPr>
                <w:rFonts w:hint="eastAsia"/>
                <w:color w:val="auto"/>
              </w:rPr>
              <w:t>%I2.3</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FE48DED">
            <w:pPr>
              <w:bidi w:val="0"/>
              <w:rPr>
                <w:color w:val="auto"/>
              </w:rPr>
            </w:pPr>
            <w:r>
              <w:rPr>
                <w:rFonts w:hint="eastAsia"/>
                <w:color w:val="auto"/>
              </w:rPr>
              <w:t>244-X2-C6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418F9F2">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36835523">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51EC00F">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6A401D6">
            <w:pPr>
              <w:bidi w:val="0"/>
              <w:rPr>
                <w:color w:val="auto"/>
              </w:rPr>
            </w:pPr>
          </w:p>
        </w:tc>
      </w:tr>
      <w:tr w14:paraId="5D57D9FB">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807CE6A">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7546D39">
            <w:pPr>
              <w:bidi w:val="0"/>
              <w:rPr>
                <w:color w:val="auto"/>
              </w:rPr>
            </w:pPr>
            <w:r>
              <w:rPr>
                <w:rFonts w:hint="eastAsia"/>
                <w:color w:val="auto"/>
              </w:rPr>
              <w:t>P24A1-X2-D1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A078F31">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79185B2A">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14FBE8F5">
            <w:pPr>
              <w:bidi w:val="0"/>
              <w:rPr>
                <w:color w:val="auto"/>
              </w:rPr>
            </w:pPr>
            <w:r>
              <w:rPr>
                <w:rFonts w:hint="eastAsia"/>
                <w:color w:val="auto"/>
              </w:rPr>
              <w:t>192.168.0.40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128D1B0B">
            <w:pPr>
              <w:bidi w:val="0"/>
              <w:rPr>
                <w:color w:val="auto"/>
              </w:rPr>
            </w:pPr>
            <w:r>
              <w:rPr>
                <w:rFonts w:hint="eastAsia"/>
                <w:color w:val="auto"/>
              </w:rPr>
              <w:t>B1关联校验 DM4</w:t>
            </w:r>
          </w:p>
        </w:tc>
      </w:tr>
      <w:tr w14:paraId="709FCB5F">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2EF6BA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DD558A3">
            <w:pPr>
              <w:bidi w:val="0"/>
              <w:rPr>
                <w:color w:val="auto"/>
              </w:rPr>
            </w:pPr>
            <w:r>
              <w:rPr>
                <w:rFonts w:hint="eastAsia"/>
                <w:color w:val="auto"/>
              </w:rPr>
              <w:t>N24A1-X2-D2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AE2B575">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57721F70">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9F4A73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B424CCD">
            <w:pPr>
              <w:bidi w:val="0"/>
              <w:rPr>
                <w:color w:val="auto"/>
              </w:rPr>
            </w:pPr>
          </w:p>
        </w:tc>
      </w:tr>
      <w:tr w14:paraId="6B09BBE7">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5689B74">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C8CA62D">
            <w:pPr>
              <w:bidi w:val="0"/>
              <w:rPr>
                <w:color w:val="auto"/>
              </w:rPr>
            </w:pPr>
            <w:r>
              <w:rPr>
                <w:rFonts w:hint="eastAsia"/>
                <w:color w:val="auto"/>
              </w:rPr>
              <w:t>N24A1-X2-D3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D4D4CD9">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1A9A381D">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C329C0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E1EA8F8">
            <w:pPr>
              <w:bidi w:val="0"/>
              <w:rPr>
                <w:color w:val="auto"/>
              </w:rPr>
            </w:pPr>
          </w:p>
        </w:tc>
      </w:tr>
      <w:tr w14:paraId="71A48F0C">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7540E7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D86D964">
            <w:pPr>
              <w:bidi w:val="0"/>
              <w:rPr>
                <w:color w:val="auto"/>
              </w:rPr>
            </w:pPr>
            <w:r>
              <w:rPr>
                <w:rFonts w:hint="eastAsia"/>
                <w:color w:val="auto"/>
              </w:rPr>
              <w:t>N24A1-X2-D4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9E13583">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091FB095">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B76B394">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FA8F755">
            <w:pPr>
              <w:bidi w:val="0"/>
              <w:rPr>
                <w:color w:val="auto"/>
              </w:rPr>
            </w:pPr>
          </w:p>
        </w:tc>
      </w:tr>
      <w:tr w14:paraId="138289F9">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0479CB6">
            <w:pPr>
              <w:bidi w:val="0"/>
              <w:rPr>
                <w:color w:val="auto"/>
              </w:rPr>
            </w:pPr>
            <w:r>
              <w:rPr>
                <w:rFonts w:hint="eastAsia"/>
                <w:color w:val="auto"/>
              </w:rPr>
              <w:t>%Q0.7</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B4309C7">
            <w:pPr>
              <w:bidi w:val="0"/>
              <w:rPr>
                <w:color w:val="auto"/>
              </w:rPr>
            </w:pPr>
            <w:r>
              <w:rPr>
                <w:rFonts w:hint="eastAsia"/>
                <w:color w:val="auto"/>
              </w:rPr>
              <w:t>217B-X2-D5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E567CB6">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3D5ABEA2">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8E94B29">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316A33E">
            <w:pPr>
              <w:bidi w:val="0"/>
              <w:rPr>
                <w:color w:val="auto"/>
              </w:rPr>
            </w:pPr>
          </w:p>
        </w:tc>
      </w:tr>
      <w:tr w14:paraId="28490EDF">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6E845E0">
            <w:pPr>
              <w:bidi w:val="0"/>
              <w:rPr>
                <w:color w:val="auto"/>
              </w:rPr>
            </w:pPr>
            <w:r>
              <w:rPr>
                <w:rFonts w:hint="eastAsia"/>
                <w:color w:val="auto"/>
              </w:rPr>
              <w:t>%I2.3</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9F9C26B">
            <w:pPr>
              <w:bidi w:val="0"/>
              <w:rPr>
                <w:color w:val="auto"/>
              </w:rPr>
            </w:pPr>
            <w:r>
              <w:rPr>
                <w:rFonts w:hint="eastAsia"/>
                <w:color w:val="auto"/>
              </w:rPr>
              <w:t>　</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ECA8CE9">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068A89AE">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25D9A70">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6815AD2">
            <w:pPr>
              <w:bidi w:val="0"/>
              <w:rPr>
                <w:color w:val="auto"/>
              </w:rPr>
            </w:pPr>
          </w:p>
        </w:tc>
      </w:tr>
      <w:tr w14:paraId="717EFBE4">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D68AE7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9ED92B7">
            <w:pPr>
              <w:bidi w:val="0"/>
              <w:rPr>
                <w:color w:val="auto"/>
              </w:rPr>
            </w:pPr>
            <w:r>
              <w:rPr>
                <w:rFonts w:hint="eastAsia"/>
                <w:color w:val="auto"/>
              </w:rPr>
              <w:t>P24A1-X3-C7</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317879B">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131A8AB1">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00DFDE41">
            <w:pPr>
              <w:bidi w:val="0"/>
              <w:rPr>
                <w:color w:val="auto"/>
              </w:rPr>
            </w:pPr>
            <w:r>
              <w:rPr>
                <w:rFonts w:hint="eastAsia"/>
                <w:color w:val="auto"/>
              </w:rPr>
              <w:t>192.168.0.50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572DD5F6">
            <w:pPr>
              <w:bidi w:val="0"/>
              <w:rPr>
                <w:color w:val="auto"/>
              </w:rPr>
            </w:pPr>
            <w:r>
              <w:rPr>
                <w:rFonts w:hint="eastAsia"/>
                <w:color w:val="auto"/>
              </w:rPr>
              <w:t>B1补烟读码 DM5</w:t>
            </w:r>
          </w:p>
        </w:tc>
      </w:tr>
      <w:tr w14:paraId="402DADC2">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B6CF52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8A68A77">
            <w:pPr>
              <w:bidi w:val="0"/>
              <w:rPr>
                <w:color w:val="auto"/>
              </w:rPr>
            </w:pPr>
            <w:r>
              <w:rPr>
                <w:rFonts w:hint="eastAsia"/>
                <w:color w:val="auto"/>
              </w:rPr>
              <w:t>N24A1-X3-C8</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DBFCCD5">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75DC40E1">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0F96EF0">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F564E22">
            <w:pPr>
              <w:bidi w:val="0"/>
              <w:rPr>
                <w:color w:val="auto"/>
              </w:rPr>
            </w:pPr>
          </w:p>
        </w:tc>
      </w:tr>
      <w:tr w14:paraId="106FDA71">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424C1BA">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4744460">
            <w:pPr>
              <w:bidi w:val="0"/>
              <w:rPr>
                <w:color w:val="auto"/>
              </w:rPr>
            </w:pPr>
            <w:r>
              <w:rPr>
                <w:rFonts w:hint="eastAsia"/>
                <w:color w:val="auto"/>
              </w:rPr>
              <w:t>N24A1-X3-C9</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017E90D">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17A02B06">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F37BAAB">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3995EE3">
            <w:pPr>
              <w:bidi w:val="0"/>
              <w:rPr>
                <w:color w:val="auto"/>
              </w:rPr>
            </w:pPr>
          </w:p>
        </w:tc>
      </w:tr>
      <w:tr w14:paraId="3060A843">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DC21157">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2E83B839">
            <w:pPr>
              <w:bidi w:val="0"/>
              <w:rPr>
                <w:color w:val="auto"/>
              </w:rPr>
            </w:pPr>
            <w:r>
              <w:rPr>
                <w:rFonts w:hint="eastAsia"/>
                <w:color w:val="auto"/>
              </w:rPr>
              <w:t>450-X3-D7</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286EE95">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70FAF113">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2BA446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98F9F25">
            <w:pPr>
              <w:bidi w:val="0"/>
              <w:rPr>
                <w:color w:val="auto"/>
              </w:rPr>
            </w:pPr>
          </w:p>
        </w:tc>
      </w:tr>
      <w:tr w14:paraId="4FA42B3A">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012FD72">
            <w:pPr>
              <w:bidi w:val="0"/>
              <w:rPr>
                <w:color w:val="auto"/>
              </w:rPr>
            </w:pPr>
            <w:r>
              <w:rPr>
                <w:rFonts w:hint="eastAsia"/>
                <w:color w:val="auto"/>
              </w:rPr>
              <w:t>%Q1.2</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A41560A">
            <w:pPr>
              <w:bidi w:val="0"/>
              <w:rPr>
                <w:color w:val="auto"/>
              </w:rPr>
            </w:pPr>
            <w:r>
              <w:rPr>
                <w:rFonts w:hint="eastAsia"/>
                <w:color w:val="auto"/>
              </w:rPr>
              <w:t>232B-X3-D8</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7E37FB4">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7C0E6B6B">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B7B898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A8AC7E4">
            <w:pPr>
              <w:bidi w:val="0"/>
              <w:rPr>
                <w:color w:val="auto"/>
              </w:rPr>
            </w:pPr>
          </w:p>
        </w:tc>
      </w:tr>
      <w:tr w14:paraId="3BBF85F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17B282C">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02BBDAF">
            <w:pPr>
              <w:bidi w:val="0"/>
              <w:rPr>
                <w:color w:val="auto"/>
              </w:rPr>
            </w:pPr>
            <w:r>
              <w:rPr>
                <w:rFonts w:hint="eastAsia"/>
                <w:color w:val="auto"/>
              </w:rPr>
              <w:t>　</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B331BFD">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7602D994">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A14DE25">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376D9FD">
            <w:pPr>
              <w:bidi w:val="0"/>
              <w:rPr>
                <w:color w:val="auto"/>
              </w:rPr>
            </w:pPr>
          </w:p>
        </w:tc>
      </w:tr>
      <w:tr w14:paraId="36ADF38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67C6E62E">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422B167">
            <w:pPr>
              <w:bidi w:val="0"/>
              <w:rPr>
                <w:color w:val="auto"/>
              </w:rPr>
            </w:pPr>
            <w:r>
              <w:rPr>
                <w:rFonts w:hint="eastAsia"/>
                <w:color w:val="auto"/>
              </w:rPr>
              <w:t>P24A1-X3-A1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11ECBE8">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458CD3D0">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26FD5E8">
            <w:pPr>
              <w:bidi w:val="0"/>
              <w:rPr>
                <w:color w:val="auto"/>
              </w:rPr>
            </w:pPr>
            <w:r>
              <w:rPr>
                <w:rFonts w:hint="eastAsia"/>
                <w:color w:val="auto"/>
              </w:rPr>
              <w:t>192.168.0.60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433C6B5">
            <w:pPr>
              <w:bidi w:val="0"/>
              <w:rPr>
                <w:color w:val="auto"/>
              </w:rPr>
            </w:pPr>
            <w:r>
              <w:rPr>
                <w:rFonts w:hint="eastAsia"/>
                <w:color w:val="auto"/>
              </w:rPr>
              <w:t>B2品检工位  DM6</w:t>
            </w:r>
          </w:p>
        </w:tc>
      </w:tr>
      <w:tr w14:paraId="247DB392">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D32EC6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0588972">
            <w:pPr>
              <w:bidi w:val="0"/>
              <w:rPr>
                <w:color w:val="auto"/>
              </w:rPr>
            </w:pPr>
            <w:r>
              <w:rPr>
                <w:rFonts w:hint="eastAsia"/>
                <w:color w:val="auto"/>
              </w:rPr>
              <w:t>N24A1-X3-A2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C133DFE">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2CED7F88">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A7B352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BDE549C">
            <w:pPr>
              <w:bidi w:val="0"/>
              <w:rPr>
                <w:color w:val="auto"/>
              </w:rPr>
            </w:pPr>
          </w:p>
        </w:tc>
      </w:tr>
      <w:tr w14:paraId="2DD09C1D">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B37D6D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95E354B">
            <w:pPr>
              <w:bidi w:val="0"/>
              <w:rPr>
                <w:color w:val="auto"/>
              </w:rPr>
            </w:pPr>
            <w:r>
              <w:rPr>
                <w:rFonts w:hint="eastAsia"/>
                <w:color w:val="auto"/>
              </w:rPr>
              <w:t>N24A1-X3-A3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E9A3809">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2ABAB68A">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128C438">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55CE4B4">
            <w:pPr>
              <w:bidi w:val="0"/>
              <w:rPr>
                <w:color w:val="auto"/>
              </w:rPr>
            </w:pPr>
          </w:p>
        </w:tc>
      </w:tr>
      <w:tr w14:paraId="45E44DA8">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910D27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CAD9D9E">
            <w:pPr>
              <w:bidi w:val="0"/>
              <w:rPr>
                <w:color w:val="auto"/>
              </w:rPr>
            </w:pPr>
            <w:r>
              <w:rPr>
                <w:rFonts w:hint="eastAsia"/>
                <w:color w:val="auto"/>
              </w:rPr>
              <w:t>450-X3-A4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BA63047">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10EB11E3">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4BB11EF">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0475CF2">
            <w:pPr>
              <w:bidi w:val="0"/>
              <w:rPr>
                <w:color w:val="auto"/>
              </w:rPr>
            </w:pPr>
          </w:p>
        </w:tc>
      </w:tr>
      <w:tr w14:paraId="57D6E0CD">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2ACD0A8">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2FDF44B">
            <w:pPr>
              <w:bidi w:val="0"/>
              <w:rPr>
                <w:color w:val="auto"/>
              </w:rPr>
            </w:pPr>
            <w:r>
              <w:rPr>
                <w:rFonts w:hint="eastAsia"/>
                <w:color w:val="auto"/>
              </w:rPr>
              <w:t>236B-X3-A5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355900D">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6AA04C3A">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784C7E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DD01F71">
            <w:pPr>
              <w:bidi w:val="0"/>
              <w:rPr>
                <w:color w:val="auto"/>
              </w:rPr>
            </w:pPr>
          </w:p>
        </w:tc>
      </w:tr>
      <w:tr w14:paraId="62B527AF">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59EE063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4D57A70">
            <w:pPr>
              <w:bidi w:val="0"/>
              <w:rPr>
                <w:color w:val="auto"/>
              </w:rPr>
            </w:pPr>
            <w:r>
              <w:rPr>
                <w:rFonts w:hint="eastAsia"/>
                <w:color w:val="auto"/>
              </w:rPr>
              <w:t>246-X3-A6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62BAE78">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573AF15A">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161EC4F">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7379A62">
            <w:pPr>
              <w:bidi w:val="0"/>
              <w:rPr>
                <w:color w:val="auto"/>
              </w:rPr>
            </w:pPr>
          </w:p>
        </w:tc>
      </w:tr>
      <w:tr w14:paraId="31A59FC2">
        <w:tblPrEx>
          <w:shd w:val="clear" w:color="auto" w:fill="FFFFFF" w:themeFill="background1"/>
          <w:tblCellMar>
            <w:top w:w="0" w:type="dxa"/>
            <w:left w:w="108" w:type="dxa"/>
            <w:bottom w:w="0" w:type="dxa"/>
            <w:right w:w="108" w:type="dxa"/>
          </w:tblCellMar>
        </w:tblPrEx>
        <w:trPr>
          <w:trHeight w:val="313"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2A8355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FEC3967">
            <w:pPr>
              <w:bidi w:val="0"/>
              <w:rPr>
                <w:color w:val="auto"/>
              </w:rPr>
            </w:pPr>
            <w:r>
              <w:rPr>
                <w:rFonts w:hint="eastAsia"/>
                <w:color w:val="auto"/>
              </w:rPr>
              <w:t>P24A1-X3-B1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900AA12">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76305959">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7E232688">
            <w:pPr>
              <w:bidi w:val="0"/>
              <w:rPr>
                <w:color w:val="auto"/>
              </w:rPr>
            </w:pPr>
            <w:r>
              <w:rPr>
                <w:rFonts w:hint="eastAsia"/>
                <w:color w:val="auto"/>
              </w:rPr>
              <w:t>192.168.0.70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EC1D713">
            <w:pPr>
              <w:bidi w:val="0"/>
              <w:rPr>
                <w:color w:val="auto"/>
              </w:rPr>
            </w:pPr>
            <w:r>
              <w:rPr>
                <w:rFonts w:hint="eastAsia"/>
                <w:color w:val="auto"/>
              </w:rPr>
              <w:t>B2小盒采码 DM7</w:t>
            </w:r>
          </w:p>
        </w:tc>
      </w:tr>
      <w:tr w14:paraId="6AE7F1DD">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7073B2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849F7BB">
            <w:pPr>
              <w:bidi w:val="0"/>
              <w:rPr>
                <w:color w:val="auto"/>
              </w:rPr>
            </w:pPr>
            <w:r>
              <w:rPr>
                <w:rFonts w:hint="eastAsia"/>
                <w:color w:val="auto"/>
              </w:rPr>
              <w:t>N24A1-X3-B2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A35DCC3">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05A42BA0">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3CBC41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AF302E9">
            <w:pPr>
              <w:bidi w:val="0"/>
              <w:rPr>
                <w:color w:val="auto"/>
              </w:rPr>
            </w:pPr>
          </w:p>
        </w:tc>
      </w:tr>
      <w:tr w14:paraId="5E007150">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63C31C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95638BD">
            <w:pPr>
              <w:bidi w:val="0"/>
              <w:rPr>
                <w:color w:val="auto"/>
              </w:rPr>
            </w:pPr>
            <w:r>
              <w:rPr>
                <w:rFonts w:hint="eastAsia"/>
                <w:color w:val="auto"/>
              </w:rPr>
              <w:t>N24A1-X3-B3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DC0A564">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30ACBD2B">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94E9E20">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283D299">
            <w:pPr>
              <w:bidi w:val="0"/>
              <w:rPr>
                <w:color w:val="auto"/>
              </w:rPr>
            </w:pPr>
          </w:p>
        </w:tc>
      </w:tr>
      <w:tr w14:paraId="061A073C">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1207E04">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8D775BA">
            <w:pPr>
              <w:bidi w:val="0"/>
              <w:rPr>
                <w:color w:val="auto"/>
              </w:rPr>
            </w:pPr>
            <w:r>
              <w:rPr>
                <w:rFonts w:hint="eastAsia"/>
                <w:color w:val="auto"/>
              </w:rPr>
              <w:t>450-X3-B4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531EC39">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3AEE6D5E">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0A30AD2">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2A2E16E">
            <w:pPr>
              <w:bidi w:val="0"/>
              <w:rPr>
                <w:color w:val="auto"/>
              </w:rPr>
            </w:pPr>
          </w:p>
        </w:tc>
      </w:tr>
      <w:tr w14:paraId="68737554">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AC1F3E1">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103D970D">
            <w:pPr>
              <w:bidi w:val="0"/>
              <w:rPr>
                <w:color w:val="auto"/>
              </w:rPr>
            </w:pPr>
            <w:r>
              <w:rPr>
                <w:rFonts w:hint="eastAsia"/>
                <w:color w:val="auto"/>
              </w:rPr>
              <w:t>234B-X3-B5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6B974FB">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3C0B923A">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AACED5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F407EA7">
            <w:pPr>
              <w:bidi w:val="0"/>
              <w:rPr>
                <w:color w:val="auto"/>
              </w:rPr>
            </w:pPr>
          </w:p>
        </w:tc>
      </w:tr>
      <w:tr w14:paraId="509B3CE9">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94EA07A">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23A4C70">
            <w:pPr>
              <w:bidi w:val="0"/>
              <w:rPr>
                <w:color w:val="auto"/>
              </w:rPr>
            </w:pPr>
            <w:r>
              <w:rPr>
                <w:rFonts w:hint="eastAsia"/>
                <w:color w:val="auto"/>
              </w:rPr>
              <w:t>247-X3-B6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5D9685C2">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4C753E3B">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3A7F0B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990F0A6">
            <w:pPr>
              <w:bidi w:val="0"/>
              <w:rPr>
                <w:color w:val="auto"/>
              </w:rPr>
            </w:pPr>
          </w:p>
        </w:tc>
      </w:tr>
      <w:tr w14:paraId="62F93302">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2F07A443">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5606DAD9">
            <w:pPr>
              <w:bidi w:val="0"/>
              <w:rPr>
                <w:color w:val="auto"/>
              </w:rPr>
            </w:pPr>
            <w:r>
              <w:rPr>
                <w:rFonts w:hint="eastAsia"/>
                <w:color w:val="auto"/>
              </w:rPr>
              <w:t>P24A1-X3-C1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69AD533">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4B4E3CDD">
            <w:pPr>
              <w:bidi w:val="0"/>
              <w:rPr>
                <w:color w:val="auto"/>
              </w:rPr>
            </w:pPr>
            <w:r>
              <w:rPr>
                <w:rFonts w:hint="eastAsia"/>
                <w:color w:val="auto"/>
              </w:rPr>
              <w:t>接二维码柜内DC24V 正</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EDD56CB">
            <w:pPr>
              <w:bidi w:val="0"/>
              <w:rPr>
                <w:color w:val="auto"/>
              </w:rPr>
            </w:pPr>
            <w:r>
              <w:rPr>
                <w:rFonts w:hint="eastAsia"/>
                <w:color w:val="auto"/>
              </w:rPr>
              <w:t>192.168.0.80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3D0BE3C">
            <w:pPr>
              <w:bidi w:val="0"/>
              <w:rPr>
                <w:color w:val="auto"/>
              </w:rPr>
            </w:pPr>
            <w:r>
              <w:rPr>
                <w:rFonts w:hint="eastAsia"/>
                <w:color w:val="auto"/>
              </w:rPr>
              <w:t>C1条盒采码 DM8</w:t>
            </w:r>
          </w:p>
        </w:tc>
      </w:tr>
      <w:tr w14:paraId="056F1B7F">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4EA741C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3574FC3">
            <w:pPr>
              <w:bidi w:val="0"/>
              <w:rPr>
                <w:color w:val="auto"/>
              </w:rPr>
            </w:pPr>
            <w:r>
              <w:rPr>
                <w:rFonts w:hint="eastAsia"/>
                <w:color w:val="auto"/>
              </w:rPr>
              <w:t>N24A1-X3-C2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4836C2B">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3C1F8828">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C756336">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1E783C3">
            <w:pPr>
              <w:bidi w:val="0"/>
              <w:rPr>
                <w:color w:val="auto"/>
              </w:rPr>
            </w:pPr>
          </w:p>
        </w:tc>
      </w:tr>
      <w:tr w14:paraId="65FB9006">
        <w:tblPrEx>
          <w:shd w:val="clear" w:color="auto" w:fill="FFFFFF" w:themeFill="background1"/>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E042116">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1140CEC">
            <w:pPr>
              <w:bidi w:val="0"/>
              <w:rPr>
                <w:color w:val="auto"/>
              </w:rPr>
            </w:pPr>
            <w:r>
              <w:rPr>
                <w:rFonts w:hint="eastAsia"/>
                <w:color w:val="auto"/>
              </w:rPr>
              <w:t>N24A1-X3-C3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391ABB8">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61060BE8">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5DE7B5B">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2F7CB8B2">
            <w:pPr>
              <w:bidi w:val="0"/>
              <w:rPr>
                <w:color w:val="auto"/>
              </w:rPr>
            </w:pPr>
          </w:p>
        </w:tc>
      </w:tr>
      <w:tr w14:paraId="0B060B17">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03E1380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465D6DC">
            <w:pPr>
              <w:bidi w:val="0"/>
              <w:rPr>
                <w:color w:val="auto"/>
              </w:rPr>
            </w:pPr>
            <w:r>
              <w:rPr>
                <w:rFonts w:hint="eastAsia"/>
                <w:color w:val="auto"/>
              </w:rPr>
              <w:t>450-X3-C4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3B2C2F62">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388A57FB">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4C1703D7">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3AEF3FD">
            <w:pPr>
              <w:bidi w:val="0"/>
              <w:rPr>
                <w:color w:val="auto"/>
              </w:rPr>
            </w:pPr>
          </w:p>
        </w:tc>
      </w:tr>
      <w:tr w14:paraId="18D7970C">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11E42F80">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601FC7F">
            <w:pPr>
              <w:bidi w:val="0"/>
              <w:rPr>
                <w:color w:val="auto"/>
              </w:rPr>
            </w:pPr>
            <w:r>
              <w:rPr>
                <w:rFonts w:hint="eastAsia"/>
                <w:color w:val="auto"/>
              </w:rPr>
              <w:t>230B-X3-C5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7BDEEDAB">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662904CD">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00A891F">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8F93C4C">
            <w:pPr>
              <w:bidi w:val="0"/>
              <w:rPr>
                <w:color w:val="auto"/>
              </w:rPr>
            </w:pPr>
          </w:p>
        </w:tc>
      </w:tr>
      <w:tr w14:paraId="1EEA57F9">
        <w:tblPrEx>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3B2AA685">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C9AC06C">
            <w:pPr>
              <w:bidi w:val="0"/>
              <w:rPr>
                <w:color w:val="auto"/>
              </w:rPr>
            </w:pPr>
            <w:r>
              <w:rPr>
                <w:rFonts w:hint="eastAsia"/>
                <w:color w:val="auto"/>
              </w:rPr>
              <w:t>244-X3-C6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45F07B66">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1DF1F2EB">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CDBD22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6CD6D15">
            <w:pPr>
              <w:bidi w:val="0"/>
              <w:rPr>
                <w:color w:val="auto"/>
              </w:rPr>
            </w:pPr>
          </w:p>
        </w:tc>
      </w:tr>
      <w:tr w14:paraId="19FFA96A">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single" w:color="auto" w:sz="4" w:space="0"/>
              <w:bottom w:val="single" w:color="auto" w:sz="4" w:space="0"/>
              <w:right w:val="single" w:color="auto" w:sz="4" w:space="0"/>
            </w:tcBorders>
            <w:shd w:val="clear" w:color="auto" w:fill="FFFFFF" w:themeFill="background1"/>
            <w:vAlign w:val="center"/>
          </w:tcPr>
          <w:p w14:paraId="7E9671D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08325262">
            <w:pPr>
              <w:bidi w:val="0"/>
              <w:rPr>
                <w:color w:val="auto"/>
              </w:rPr>
            </w:pPr>
            <w:r>
              <w:rPr>
                <w:rFonts w:hint="eastAsia"/>
                <w:color w:val="auto"/>
              </w:rPr>
              <w:t>P24A1-X3-D1</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094DBA0B">
            <w:pPr>
              <w:bidi w:val="0"/>
              <w:rPr>
                <w:color w:val="auto"/>
              </w:rPr>
            </w:pPr>
            <w:r>
              <w:rPr>
                <w:rFonts w:hint="eastAsia"/>
                <w:color w:val="auto"/>
              </w:rPr>
              <w:t>红</w:t>
            </w:r>
          </w:p>
        </w:tc>
        <w:tc>
          <w:tcPr>
            <w:tcW w:w="2597" w:type="dxa"/>
            <w:tcBorders>
              <w:top w:val="nil"/>
              <w:left w:val="nil"/>
              <w:bottom w:val="single" w:color="auto" w:sz="4" w:space="0"/>
              <w:right w:val="single" w:color="auto" w:sz="4" w:space="0"/>
            </w:tcBorders>
            <w:shd w:val="clear" w:color="auto" w:fill="FFFFFF" w:themeFill="background1"/>
            <w:vAlign w:val="center"/>
          </w:tcPr>
          <w:p w14:paraId="27D8D057">
            <w:pPr>
              <w:bidi w:val="0"/>
              <w:rPr>
                <w:color w:val="auto"/>
              </w:rPr>
            </w:pPr>
            <w:r>
              <w:rPr>
                <w:rFonts w:hint="eastAsia"/>
                <w:color w:val="auto"/>
              </w:rPr>
              <w:t>接二维码柜内DC24V 正极</w:t>
            </w:r>
          </w:p>
        </w:tc>
        <w:tc>
          <w:tcPr>
            <w:tcW w:w="1470"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4F327CDC">
            <w:pPr>
              <w:bidi w:val="0"/>
              <w:rPr>
                <w:color w:val="auto"/>
              </w:rPr>
            </w:pPr>
            <w:r>
              <w:rPr>
                <w:rFonts w:hint="eastAsia"/>
                <w:color w:val="auto"/>
              </w:rPr>
              <w:t>192.168.0.90</w:t>
            </w:r>
          </w:p>
        </w:tc>
        <w:tc>
          <w:tcPr>
            <w:tcW w:w="1419" w:type="dxa"/>
            <w:vMerge w:val="restart"/>
            <w:tcBorders>
              <w:top w:val="nil"/>
              <w:left w:val="single" w:color="auto" w:sz="4" w:space="0"/>
              <w:bottom w:val="single" w:color="auto" w:sz="4" w:space="0"/>
              <w:right w:val="single" w:color="auto" w:sz="4" w:space="0"/>
            </w:tcBorders>
            <w:shd w:val="clear" w:color="auto" w:fill="FFFFFF" w:themeFill="background1"/>
            <w:vAlign w:val="center"/>
          </w:tcPr>
          <w:p w14:paraId="6AFE7CFA">
            <w:pPr>
              <w:bidi w:val="0"/>
              <w:rPr>
                <w:color w:val="auto"/>
              </w:rPr>
            </w:pPr>
            <w:r>
              <w:rPr>
                <w:rFonts w:hint="eastAsia"/>
                <w:color w:val="auto"/>
              </w:rPr>
              <w:t>B2关联校验 DM9</w:t>
            </w:r>
          </w:p>
        </w:tc>
      </w:tr>
      <w:tr w14:paraId="1E413E8B">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3E01964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475DE704">
            <w:pPr>
              <w:bidi w:val="0"/>
              <w:rPr>
                <w:color w:val="auto"/>
              </w:rPr>
            </w:pPr>
            <w:r>
              <w:rPr>
                <w:rFonts w:hint="eastAsia"/>
                <w:color w:val="auto"/>
              </w:rPr>
              <w:t>N24A1-X3-D2</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83A94EE">
            <w:pPr>
              <w:bidi w:val="0"/>
              <w:rPr>
                <w:color w:val="auto"/>
              </w:rPr>
            </w:pPr>
            <w:r>
              <w:rPr>
                <w:rFonts w:hint="eastAsia"/>
                <w:color w:val="auto"/>
              </w:rPr>
              <w:t>黑</w:t>
            </w:r>
          </w:p>
        </w:tc>
        <w:tc>
          <w:tcPr>
            <w:tcW w:w="2597" w:type="dxa"/>
            <w:tcBorders>
              <w:top w:val="nil"/>
              <w:left w:val="nil"/>
              <w:bottom w:val="single" w:color="auto" w:sz="4" w:space="0"/>
              <w:right w:val="single" w:color="auto" w:sz="4" w:space="0"/>
            </w:tcBorders>
            <w:shd w:val="clear" w:color="auto" w:fill="FFFFFF" w:themeFill="background1"/>
            <w:vAlign w:val="center"/>
          </w:tcPr>
          <w:p w14:paraId="548A8A77">
            <w:pPr>
              <w:bidi w:val="0"/>
              <w:rPr>
                <w:color w:val="auto"/>
              </w:rPr>
            </w:pPr>
            <w:r>
              <w:rPr>
                <w:rFonts w:hint="eastAsia"/>
                <w:color w:val="auto"/>
              </w:rPr>
              <w:t>接二维码柜内DC24V 负极</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DFEB1F3">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92756EF">
            <w:pPr>
              <w:bidi w:val="0"/>
              <w:rPr>
                <w:color w:val="auto"/>
              </w:rPr>
            </w:pPr>
          </w:p>
        </w:tc>
      </w:tr>
      <w:tr w14:paraId="43830B8D">
        <w:tblPrEx>
          <w:shd w:val="clear" w:color="auto" w:fill="FFFFFF" w:themeFill="background1"/>
          <w:tblCellMar>
            <w:top w:w="0" w:type="dxa"/>
            <w:left w:w="108" w:type="dxa"/>
            <w:bottom w:w="0" w:type="dxa"/>
            <w:right w:w="108" w:type="dxa"/>
          </w:tblCellMar>
        </w:tblPrEx>
        <w:trPr>
          <w:trHeight w:val="300" w:hRule="atLeast"/>
        </w:trPr>
        <w:tc>
          <w:tcPr>
            <w:tcW w:w="1854" w:type="dxa"/>
            <w:tcBorders>
              <w:top w:val="nil"/>
              <w:left w:val="nil"/>
              <w:bottom w:val="nil"/>
              <w:right w:val="nil"/>
            </w:tcBorders>
            <w:shd w:val="clear" w:color="auto" w:fill="FFFFFF" w:themeFill="background1"/>
            <w:vAlign w:val="center"/>
          </w:tcPr>
          <w:p w14:paraId="795C8992">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3E9C1FF">
            <w:pPr>
              <w:bidi w:val="0"/>
              <w:rPr>
                <w:color w:val="auto"/>
              </w:rPr>
            </w:pPr>
            <w:r>
              <w:rPr>
                <w:rFonts w:hint="eastAsia"/>
                <w:color w:val="auto"/>
              </w:rPr>
              <w:t>N24A1-X3-D3</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1C1080AC">
            <w:pPr>
              <w:bidi w:val="0"/>
              <w:rPr>
                <w:color w:val="auto"/>
              </w:rPr>
            </w:pPr>
            <w:r>
              <w:rPr>
                <w:rFonts w:hint="eastAsia"/>
                <w:color w:val="auto"/>
              </w:rPr>
              <w:t>白紫</w:t>
            </w:r>
          </w:p>
        </w:tc>
        <w:tc>
          <w:tcPr>
            <w:tcW w:w="2597" w:type="dxa"/>
            <w:tcBorders>
              <w:top w:val="nil"/>
              <w:left w:val="nil"/>
              <w:bottom w:val="single" w:color="auto" w:sz="4" w:space="0"/>
              <w:right w:val="single" w:color="auto" w:sz="4" w:space="0"/>
            </w:tcBorders>
            <w:shd w:val="clear" w:color="auto" w:fill="FFFFFF" w:themeFill="background1"/>
            <w:vAlign w:val="center"/>
          </w:tcPr>
          <w:p w14:paraId="766186C9">
            <w:pPr>
              <w:bidi w:val="0"/>
              <w:rPr>
                <w:color w:val="auto"/>
              </w:rPr>
            </w:pPr>
            <w:r>
              <w:rPr>
                <w:rFonts w:hint="eastAsia"/>
                <w:color w:val="auto"/>
              </w:rPr>
              <w:t>输入公共端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679A352D">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2E28E47">
            <w:pPr>
              <w:bidi w:val="0"/>
              <w:rPr>
                <w:color w:val="auto"/>
              </w:rPr>
            </w:pPr>
          </w:p>
        </w:tc>
      </w:tr>
      <w:tr w14:paraId="56D44E8B">
        <w:tblPrEx>
          <w:shd w:val="clear" w:color="auto" w:fill="FFFFFF" w:themeFill="background1"/>
        </w:tblPrEx>
        <w:trPr>
          <w:trHeight w:val="300" w:hRule="atLeast"/>
        </w:trPr>
        <w:tc>
          <w:tcPr>
            <w:tcW w:w="1854" w:type="dxa"/>
            <w:tcBorders>
              <w:top w:val="nil"/>
              <w:left w:val="nil"/>
              <w:bottom w:val="nil"/>
              <w:right w:val="nil"/>
            </w:tcBorders>
            <w:shd w:val="clear" w:color="auto" w:fill="FFFFFF" w:themeFill="background1"/>
            <w:vAlign w:val="center"/>
          </w:tcPr>
          <w:p w14:paraId="3C3C320F">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393B0993">
            <w:pPr>
              <w:bidi w:val="0"/>
              <w:rPr>
                <w:color w:val="auto"/>
              </w:rPr>
            </w:pPr>
            <w:r>
              <w:rPr>
                <w:rFonts w:hint="eastAsia"/>
                <w:color w:val="auto"/>
              </w:rPr>
              <w:t>N24A1-X3-D4</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E5C7351">
            <w:pPr>
              <w:bidi w:val="0"/>
              <w:rPr>
                <w:color w:val="auto"/>
              </w:rPr>
            </w:pPr>
            <w:r>
              <w:rPr>
                <w:rFonts w:hint="eastAsia"/>
                <w:color w:val="auto"/>
              </w:rPr>
              <w:t>绿</w:t>
            </w:r>
          </w:p>
        </w:tc>
        <w:tc>
          <w:tcPr>
            <w:tcW w:w="2597" w:type="dxa"/>
            <w:tcBorders>
              <w:top w:val="nil"/>
              <w:left w:val="nil"/>
              <w:bottom w:val="single" w:color="auto" w:sz="4" w:space="0"/>
              <w:right w:val="single" w:color="auto" w:sz="4" w:space="0"/>
            </w:tcBorders>
            <w:shd w:val="clear" w:color="auto" w:fill="FFFFFF" w:themeFill="background1"/>
            <w:vAlign w:val="center"/>
          </w:tcPr>
          <w:p w14:paraId="0B02D4FA">
            <w:pPr>
              <w:bidi w:val="0"/>
              <w:rPr>
                <w:color w:val="auto"/>
              </w:rPr>
            </w:pPr>
            <w:r>
              <w:rPr>
                <w:rFonts w:hint="eastAsia"/>
                <w:color w:val="auto"/>
              </w:rPr>
              <w:t>输出公共端</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36C50234">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A682571">
            <w:pPr>
              <w:bidi w:val="0"/>
              <w:rPr>
                <w:color w:val="auto"/>
              </w:rPr>
            </w:pPr>
          </w:p>
        </w:tc>
      </w:tr>
      <w:tr w14:paraId="22DEEC9C">
        <w:tblPrEx>
          <w:shd w:val="clear" w:color="auto" w:fill="FFFFFF" w:themeFill="background1"/>
        </w:tblPrEx>
        <w:trPr>
          <w:trHeight w:val="300" w:hRule="atLeast"/>
        </w:trPr>
        <w:tc>
          <w:tcPr>
            <w:tcW w:w="1854" w:type="dxa"/>
            <w:tcBorders>
              <w:top w:val="nil"/>
              <w:left w:val="nil"/>
              <w:bottom w:val="nil"/>
              <w:right w:val="nil"/>
            </w:tcBorders>
            <w:shd w:val="clear" w:color="auto" w:fill="FFFFFF" w:themeFill="background1"/>
            <w:vAlign w:val="center"/>
          </w:tcPr>
          <w:p w14:paraId="08616437">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79DF3746">
            <w:pPr>
              <w:bidi w:val="0"/>
              <w:rPr>
                <w:color w:val="auto"/>
              </w:rPr>
            </w:pPr>
            <w:r>
              <w:rPr>
                <w:rFonts w:hint="eastAsia"/>
                <w:color w:val="auto"/>
              </w:rPr>
              <w:t>217B-X3-D5</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6194A012">
            <w:pPr>
              <w:bidi w:val="0"/>
              <w:rPr>
                <w:color w:val="auto"/>
              </w:rPr>
            </w:pPr>
            <w:r>
              <w:rPr>
                <w:rFonts w:hint="eastAsia"/>
                <w:color w:val="auto"/>
              </w:rPr>
              <w:t>橙</w:t>
            </w:r>
          </w:p>
        </w:tc>
        <w:tc>
          <w:tcPr>
            <w:tcW w:w="2597" w:type="dxa"/>
            <w:tcBorders>
              <w:top w:val="nil"/>
              <w:left w:val="nil"/>
              <w:bottom w:val="single" w:color="auto" w:sz="4" w:space="0"/>
              <w:right w:val="single" w:color="auto" w:sz="4" w:space="0"/>
            </w:tcBorders>
            <w:shd w:val="clear" w:color="auto" w:fill="FFFFFF" w:themeFill="background1"/>
            <w:vAlign w:val="center"/>
          </w:tcPr>
          <w:p w14:paraId="3F5C2595">
            <w:pPr>
              <w:bidi w:val="0"/>
              <w:rPr>
                <w:color w:val="auto"/>
              </w:rPr>
            </w:pPr>
            <w:r>
              <w:rPr>
                <w:rFonts w:hint="eastAsia"/>
                <w:color w:val="auto"/>
              </w:rPr>
              <w:t>触发读码器拍照</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11DE5DFA">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01B247F9">
            <w:pPr>
              <w:bidi w:val="0"/>
              <w:rPr>
                <w:color w:val="auto"/>
              </w:rPr>
            </w:pPr>
          </w:p>
        </w:tc>
      </w:tr>
      <w:tr w14:paraId="4EBEEB70">
        <w:trPr>
          <w:trHeight w:val="300" w:hRule="atLeast"/>
        </w:trPr>
        <w:tc>
          <w:tcPr>
            <w:tcW w:w="1854" w:type="dxa"/>
            <w:tcBorders>
              <w:top w:val="nil"/>
              <w:left w:val="nil"/>
              <w:bottom w:val="nil"/>
              <w:right w:val="nil"/>
            </w:tcBorders>
            <w:shd w:val="clear" w:color="auto" w:fill="FFFFFF" w:themeFill="background1"/>
            <w:vAlign w:val="center"/>
          </w:tcPr>
          <w:p w14:paraId="3314A17D">
            <w:pPr>
              <w:bidi w:val="0"/>
              <w:rPr>
                <w:color w:val="auto"/>
              </w:rPr>
            </w:pPr>
            <w:r>
              <w:rPr>
                <w:rFonts w:hint="eastAsia"/>
                <w:color w:val="auto"/>
              </w:rPr>
              <w:t>　</w:t>
            </w:r>
          </w:p>
        </w:tc>
        <w:tc>
          <w:tcPr>
            <w:tcW w:w="1468" w:type="dxa"/>
            <w:tcBorders>
              <w:top w:val="nil"/>
              <w:left w:val="single" w:color="auto" w:sz="4" w:space="0"/>
              <w:bottom w:val="single" w:color="auto" w:sz="4" w:space="0"/>
              <w:right w:val="single" w:color="auto" w:sz="4" w:space="0"/>
            </w:tcBorders>
            <w:shd w:val="clear" w:color="auto" w:fill="FFFFFF" w:themeFill="background1"/>
            <w:vAlign w:val="center"/>
          </w:tcPr>
          <w:p w14:paraId="6BE817CD">
            <w:pPr>
              <w:bidi w:val="0"/>
              <w:rPr>
                <w:color w:val="auto"/>
              </w:rPr>
            </w:pPr>
            <w:r>
              <w:rPr>
                <w:rFonts w:hint="eastAsia"/>
                <w:color w:val="auto"/>
              </w:rPr>
              <w:t>120-X3-D6</w:t>
            </w:r>
          </w:p>
        </w:tc>
        <w:tc>
          <w:tcPr>
            <w:tcW w:w="812" w:type="dxa"/>
            <w:tcBorders>
              <w:top w:val="nil"/>
              <w:left w:val="single" w:color="auto" w:sz="4" w:space="0"/>
              <w:bottom w:val="single" w:color="auto" w:sz="4" w:space="0"/>
              <w:right w:val="single" w:color="auto" w:sz="4" w:space="0"/>
            </w:tcBorders>
            <w:shd w:val="clear" w:color="auto" w:fill="FFFFFF" w:themeFill="background1"/>
            <w:vAlign w:val="center"/>
          </w:tcPr>
          <w:p w14:paraId="28CE1FD7">
            <w:pPr>
              <w:bidi w:val="0"/>
              <w:rPr>
                <w:color w:val="auto"/>
              </w:rPr>
            </w:pPr>
            <w:r>
              <w:rPr>
                <w:rFonts w:hint="eastAsia"/>
                <w:color w:val="auto"/>
              </w:rPr>
              <w:t>蓝</w:t>
            </w:r>
          </w:p>
        </w:tc>
        <w:tc>
          <w:tcPr>
            <w:tcW w:w="2597" w:type="dxa"/>
            <w:tcBorders>
              <w:top w:val="nil"/>
              <w:left w:val="nil"/>
              <w:bottom w:val="single" w:color="auto" w:sz="4" w:space="0"/>
              <w:right w:val="single" w:color="auto" w:sz="4" w:space="0"/>
            </w:tcBorders>
            <w:shd w:val="clear" w:color="auto" w:fill="FFFFFF" w:themeFill="background1"/>
            <w:vAlign w:val="center"/>
          </w:tcPr>
          <w:p w14:paraId="0FDA235B">
            <w:pPr>
              <w:bidi w:val="0"/>
              <w:rPr>
                <w:color w:val="auto"/>
              </w:rPr>
            </w:pPr>
            <w:r>
              <w:rPr>
                <w:rFonts w:hint="eastAsia"/>
                <w:color w:val="auto"/>
              </w:rPr>
              <w:t>读码成功反馈信号</w:t>
            </w:r>
          </w:p>
        </w:tc>
        <w:tc>
          <w:tcPr>
            <w:tcW w:w="1470"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58F5C6EE">
            <w:pPr>
              <w:bidi w:val="0"/>
              <w:rPr>
                <w:color w:val="auto"/>
              </w:rPr>
            </w:pPr>
          </w:p>
        </w:tc>
        <w:tc>
          <w:tcPr>
            <w:tcW w:w="1419" w:type="dxa"/>
            <w:vMerge w:val="continue"/>
            <w:tcBorders>
              <w:top w:val="nil"/>
              <w:left w:val="single" w:color="auto" w:sz="4" w:space="0"/>
              <w:bottom w:val="single" w:color="auto" w:sz="4" w:space="0"/>
              <w:right w:val="single" w:color="auto" w:sz="4" w:space="0"/>
            </w:tcBorders>
            <w:shd w:val="clear" w:color="auto" w:fill="FFFFFF" w:themeFill="background1"/>
            <w:vAlign w:val="center"/>
          </w:tcPr>
          <w:p w14:paraId="70FC87B8">
            <w:pPr>
              <w:bidi w:val="0"/>
              <w:rPr>
                <w:color w:val="auto"/>
              </w:rPr>
            </w:pPr>
          </w:p>
        </w:tc>
      </w:tr>
    </w:tbl>
    <w:p w14:paraId="6A2DEF79">
      <w:pPr>
        <w:bidi w:val="0"/>
      </w:pPr>
      <w:bookmarkStart w:id="847" w:name="_Toc162420874"/>
      <w:r>
        <w:rPr>
          <w:rFonts w:hint="eastAsia"/>
        </w:rPr>
        <w:t xml:space="preserve">4.6. </w:t>
      </w:r>
      <w:r>
        <w:t>ZB45</w:t>
      </w:r>
      <w:r>
        <w:rPr>
          <w:rFonts w:hint="eastAsia"/>
        </w:rPr>
        <w:t>机型剔除与停机告警信息</w:t>
      </w:r>
      <w:bookmarkEnd w:id="847"/>
    </w:p>
    <w:tbl>
      <w:tblPr>
        <w:tblStyle w:val="43"/>
        <w:tblW w:w="5189" w:type="pct"/>
        <w:tblInd w:w="0" w:type="dxa"/>
        <w:tblLayout w:type="autofit"/>
        <w:tblCellMar>
          <w:top w:w="0" w:type="dxa"/>
          <w:left w:w="108" w:type="dxa"/>
          <w:bottom w:w="0" w:type="dxa"/>
          <w:right w:w="108" w:type="dxa"/>
        </w:tblCellMar>
      </w:tblPr>
      <w:tblGrid>
        <w:gridCol w:w="1588"/>
        <w:gridCol w:w="3847"/>
        <w:gridCol w:w="4202"/>
      </w:tblGrid>
      <w:tr w14:paraId="39C07B39">
        <w:trPr>
          <w:trHeight w:val="288" w:hRule="atLeast"/>
        </w:trPr>
        <w:tc>
          <w:tcPr>
            <w:tcW w:w="824" w:type="pct"/>
            <w:tcBorders>
              <w:top w:val="single" w:color="auto" w:sz="8" w:space="0"/>
              <w:left w:val="single" w:color="auto" w:sz="8" w:space="0"/>
              <w:bottom w:val="single" w:color="auto" w:sz="8" w:space="0"/>
              <w:right w:val="nil"/>
            </w:tcBorders>
            <w:shd w:val="clear" w:color="auto" w:fill="auto"/>
            <w:noWrap/>
            <w:vAlign w:val="bottom"/>
          </w:tcPr>
          <w:p w14:paraId="5819776F">
            <w:pPr>
              <w:bidi w:val="0"/>
            </w:pPr>
            <w:r>
              <w:rPr>
                <w:rFonts w:hint="eastAsia"/>
              </w:rPr>
              <w:t>序号</w:t>
            </w:r>
          </w:p>
        </w:tc>
        <w:tc>
          <w:tcPr>
            <w:tcW w:w="1995" w:type="pct"/>
            <w:tcBorders>
              <w:top w:val="single" w:color="auto" w:sz="8" w:space="0"/>
              <w:left w:val="single" w:color="000000" w:sz="8" w:space="0"/>
              <w:bottom w:val="single" w:color="auto" w:sz="8" w:space="0"/>
              <w:right w:val="single" w:color="000000" w:sz="8" w:space="0"/>
            </w:tcBorders>
            <w:shd w:val="clear" w:color="auto" w:fill="auto"/>
            <w:noWrap/>
            <w:vAlign w:val="bottom"/>
          </w:tcPr>
          <w:p w14:paraId="2265C3C1">
            <w:pPr>
              <w:bidi w:val="0"/>
            </w:pPr>
            <w:r>
              <w:rPr>
                <w:rFonts w:hint="eastAsia"/>
              </w:rPr>
              <w:t>功能</w:t>
            </w:r>
          </w:p>
        </w:tc>
        <w:tc>
          <w:tcPr>
            <w:tcW w:w="2179" w:type="pct"/>
            <w:tcBorders>
              <w:top w:val="single" w:color="auto" w:sz="8" w:space="0"/>
              <w:left w:val="nil"/>
              <w:bottom w:val="single" w:color="auto" w:sz="8" w:space="0"/>
              <w:right w:val="single" w:color="auto" w:sz="8" w:space="0"/>
            </w:tcBorders>
            <w:shd w:val="clear" w:color="auto" w:fill="auto"/>
            <w:noWrap/>
            <w:vAlign w:val="bottom"/>
          </w:tcPr>
          <w:p w14:paraId="11A33143">
            <w:pPr>
              <w:bidi w:val="0"/>
            </w:pPr>
            <w:r>
              <w:rPr>
                <w:rFonts w:hint="eastAsia"/>
              </w:rPr>
              <w:t>告警信息</w:t>
            </w:r>
          </w:p>
        </w:tc>
      </w:tr>
      <w:tr w14:paraId="62E4B4B3">
        <w:tblPrEx>
          <w:tblCellMar>
            <w:top w:w="0" w:type="dxa"/>
            <w:left w:w="108" w:type="dxa"/>
            <w:bottom w:w="0" w:type="dxa"/>
            <w:right w:w="108" w:type="dxa"/>
          </w:tblCellMar>
        </w:tblPrEx>
        <w:trPr>
          <w:trHeight w:val="288" w:hRule="atLeast"/>
        </w:trPr>
        <w:tc>
          <w:tcPr>
            <w:tcW w:w="824" w:type="pct"/>
            <w:tcBorders>
              <w:top w:val="nil"/>
              <w:left w:val="single" w:color="000000" w:sz="8" w:space="0"/>
              <w:bottom w:val="single" w:color="000000" w:sz="8" w:space="0"/>
              <w:right w:val="single" w:color="000000" w:sz="8" w:space="0"/>
            </w:tcBorders>
            <w:shd w:val="clear" w:color="auto" w:fill="auto"/>
            <w:noWrap/>
            <w:vAlign w:val="bottom"/>
          </w:tcPr>
          <w:p w14:paraId="2A76F1C1">
            <w:pPr>
              <w:bidi w:val="0"/>
            </w:pPr>
            <w:r>
              <w:rPr>
                <w:rFonts w:hint="eastAsia"/>
              </w:rPr>
              <w:t>1</w:t>
            </w:r>
          </w:p>
        </w:tc>
        <w:tc>
          <w:tcPr>
            <w:tcW w:w="1995" w:type="pct"/>
            <w:tcBorders>
              <w:top w:val="nil"/>
              <w:left w:val="nil"/>
              <w:bottom w:val="single" w:color="000000" w:sz="8" w:space="0"/>
              <w:right w:val="single" w:color="000000" w:sz="8" w:space="0"/>
            </w:tcBorders>
            <w:shd w:val="clear" w:color="auto" w:fill="auto"/>
            <w:noWrap/>
            <w:vAlign w:val="bottom"/>
          </w:tcPr>
          <w:p w14:paraId="2AA643C5">
            <w:pPr>
              <w:bidi w:val="0"/>
            </w:pPr>
            <w:r>
              <w:rPr>
                <w:rFonts w:hint="eastAsia"/>
              </w:rPr>
              <w:t>CH小包剔除</w:t>
            </w:r>
          </w:p>
        </w:tc>
        <w:tc>
          <w:tcPr>
            <w:tcW w:w="2179" w:type="pct"/>
            <w:tcBorders>
              <w:top w:val="nil"/>
              <w:left w:val="nil"/>
              <w:bottom w:val="single" w:color="000000" w:sz="8" w:space="0"/>
              <w:right w:val="single" w:color="000000" w:sz="8" w:space="0"/>
            </w:tcBorders>
            <w:shd w:val="clear" w:color="auto" w:fill="auto"/>
            <w:noWrap/>
            <w:vAlign w:val="bottom"/>
          </w:tcPr>
          <w:p w14:paraId="0C04A1B7">
            <w:pPr>
              <w:bidi w:val="0"/>
            </w:pPr>
            <w:r>
              <w:rPr>
                <w:rFonts w:hint="eastAsia"/>
              </w:rPr>
              <w:t>CH烟包手动剔除按钮</w:t>
            </w:r>
          </w:p>
        </w:tc>
      </w:tr>
      <w:tr w14:paraId="00DB2023">
        <w:tblPrEx>
          <w:tblCellMar>
            <w:top w:w="0" w:type="dxa"/>
            <w:left w:w="108" w:type="dxa"/>
            <w:bottom w:w="0" w:type="dxa"/>
            <w:right w:w="108" w:type="dxa"/>
          </w:tblCellMar>
        </w:tblPrEx>
        <w:trPr>
          <w:trHeight w:val="288" w:hRule="atLeast"/>
        </w:trPr>
        <w:tc>
          <w:tcPr>
            <w:tcW w:w="824" w:type="pct"/>
            <w:tcBorders>
              <w:top w:val="nil"/>
              <w:left w:val="single" w:color="000000" w:sz="8" w:space="0"/>
              <w:bottom w:val="single" w:color="000000" w:sz="8" w:space="0"/>
              <w:right w:val="single" w:color="000000" w:sz="8" w:space="0"/>
            </w:tcBorders>
            <w:shd w:val="clear" w:color="auto" w:fill="auto"/>
            <w:noWrap/>
            <w:vAlign w:val="bottom"/>
          </w:tcPr>
          <w:p w14:paraId="1DC318DE">
            <w:pPr>
              <w:bidi w:val="0"/>
            </w:pPr>
            <w:r>
              <w:rPr>
                <w:rFonts w:hint="eastAsia"/>
              </w:rPr>
              <w:t>2</w:t>
            </w:r>
          </w:p>
        </w:tc>
        <w:tc>
          <w:tcPr>
            <w:tcW w:w="1995" w:type="pct"/>
            <w:tcBorders>
              <w:top w:val="nil"/>
              <w:left w:val="nil"/>
              <w:bottom w:val="single" w:color="000000" w:sz="8" w:space="0"/>
              <w:right w:val="single" w:color="000000" w:sz="8" w:space="0"/>
            </w:tcBorders>
            <w:shd w:val="clear" w:color="auto" w:fill="auto"/>
            <w:noWrap/>
            <w:vAlign w:val="bottom"/>
          </w:tcPr>
          <w:p w14:paraId="51211689">
            <w:pPr>
              <w:bidi w:val="0"/>
            </w:pPr>
            <w:r>
              <w:rPr>
                <w:rFonts w:hint="eastAsia"/>
              </w:rPr>
              <w:t>条包剔除</w:t>
            </w:r>
          </w:p>
        </w:tc>
        <w:tc>
          <w:tcPr>
            <w:tcW w:w="2179" w:type="pct"/>
            <w:tcBorders>
              <w:top w:val="nil"/>
              <w:left w:val="nil"/>
              <w:bottom w:val="single" w:color="000000" w:sz="8" w:space="0"/>
              <w:right w:val="single" w:color="000000" w:sz="8" w:space="0"/>
            </w:tcBorders>
            <w:shd w:val="clear" w:color="auto" w:fill="auto"/>
            <w:noWrap/>
            <w:vAlign w:val="bottom"/>
          </w:tcPr>
          <w:p w14:paraId="12FBF67F">
            <w:pPr>
              <w:bidi w:val="0"/>
            </w:pPr>
            <w:r>
              <w:rPr>
                <w:rFonts w:hint="eastAsia"/>
              </w:rPr>
              <w:t>条盒纸异常</w:t>
            </w:r>
          </w:p>
        </w:tc>
      </w:tr>
      <w:tr w14:paraId="45A3FB93">
        <w:tblPrEx>
          <w:tblCellMar>
            <w:top w:w="0" w:type="dxa"/>
            <w:left w:w="108" w:type="dxa"/>
            <w:bottom w:w="0" w:type="dxa"/>
            <w:right w:w="108" w:type="dxa"/>
          </w:tblCellMar>
        </w:tblPrEx>
        <w:trPr>
          <w:trHeight w:val="288" w:hRule="atLeast"/>
        </w:trPr>
        <w:tc>
          <w:tcPr>
            <w:tcW w:w="824" w:type="pct"/>
            <w:tcBorders>
              <w:top w:val="nil"/>
              <w:left w:val="single" w:color="000000" w:sz="8" w:space="0"/>
              <w:bottom w:val="single" w:color="000000" w:sz="8" w:space="0"/>
              <w:right w:val="single" w:color="000000" w:sz="8" w:space="0"/>
            </w:tcBorders>
            <w:shd w:val="clear" w:color="auto" w:fill="auto"/>
            <w:noWrap/>
            <w:vAlign w:val="bottom"/>
          </w:tcPr>
          <w:p w14:paraId="55F4CEAE">
            <w:pPr>
              <w:bidi w:val="0"/>
            </w:pPr>
            <w:r>
              <w:rPr>
                <w:rFonts w:hint="eastAsia"/>
              </w:rPr>
              <w:t>3</w:t>
            </w:r>
          </w:p>
        </w:tc>
        <w:tc>
          <w:tcPr>
            <w:tcW w:w="1995" w:type="pct"/>
            <w:tcBorders>
              <w:top w:val="nil"/>
              <w:left w:val="nil"/>
              <w:bottom w:val="single" w:color="000000" w:sz="8" w:space="0"/>
              <w:right w:val="single" w:color="000000" w:sz="8" w:space="0"/>
            </w:tcBorders>
            <w:shd w:val="clear" w:color="auto" w:fill="auto"/>
            <w:noWrap/>
            <w:vAlign w:val="bottom"/>
          </w:tcPr>
          <w:p w14:paraId="7A6A1B61">
            <w:pPr>
              <w:bidi w:val="0"/>
            </w:pPr>
            <w:r>
              <w:rPr>
                <w:rFonts w:hint="eastAsia"/>
              </w:rPr>
              <w:t>二维码停机</w:t>
            </w:r>
          </w:p>
        </w:tc>
        <w:tc>
          <w:tcPr>
            <w:tcW w:w="2179" w:type="pct"/>
            <w:tcBorders>
              <w:top w:val="nil"/>
              <w:left w:val="nil"/>
              <w:bottom w:val="single" w:color="000000" w:sz="8" w:space="0"/>
              <w:right w:val="single" w:color="000000" w:sz="8" w:space="0"/>
            </w:tcBorders>
            <w:shd w:val="clear" w:color="auto" w:fill="auto"/>
            <w:noWrap/>
            <w:vAlign w:val="bottom"/>
          </w:tcPr>
          <w:p w14:paraId="36218364">
            <w:pPr>
              <w:bidi w:val="0"/>
            </w:pPr>
            <w:r>
              <w:rPr>
                <w:rFonts w:hint="eastAsia"/>
              </w:rPr>
              <w:t>下游机停机</w:t>
            </w:r>
          </w:p>
        </w:tc>
      </w:tr>
    </w:tbl>
    <w:p w14:paraId="1112D26C">
      <w:pPr>
        <w:bidi w:val="0"/>
      </w:pPr>
      <w:bookmarkStart w:id="848" w:name="_Toc162420875"/>
      <w:r>
        <w:rPr>
          <w:rFonts w:hint="eastAsia"/>
        </w:rPr>
        <w:t>5．电气硬件维护注意事项</w:t>
      </w:r>
      <w:bookmarkEnd w:id="848"/>
    </w:p>
    <w:p w14:paraId="7C4CDE48">
      <w:pPr>
        <w:numPr>
          <w:ilvl w:val="0"/>
          <w:numId w:val="75"/>
        </w:numPr>
        <w:bidi w:val="0"/>
        <w:ind w:left="420" w:leftChars="0" w:hanging="420" w:firstLineChars="0"/>
      </w:pPr>
      <w:r>
        <w:rPr>
          <w:rFonts w:hint="eastAsia"/>
        </w:rPr>
        <w:t>在</w:t>
      </w:r>
      <w:r>
        <w:t>ZB45外挂方案中，关于读码器的控制是在200SmartPLC中完成的，电气柜内配的元器件主要有2路直流电源供应，一路是电器柜内自身的开关电源供电，一路是</w:t>
      </w:r>
      <w:r>
        <w:rPr>
          <w:rFonts w:hint="eastAsia"/>
        </w:rPr>
        <w:t>由</w:t>
      </w:r>
      <w:r>
        <w:t>原机引入的直流电源供应，关于外挂方案中需注意以下事项</w:t>
      </w:r>
      <w:r>
        <w:rPr>
          <w:rFonts w:hint="eastAsia"/>
        </w:rPr>
        <w:t>：</w:t>
      </w:r>
    </w:p>
    <w:p w14:paraId="7DF2D777">
      <w:pPr>
        <w:numPr>
          <w:ilvl w:val="0"/>
          <w:numId w:val="75"/>
        </w:numPr>
        <w:bidi w:val="0"/>
        <w:ind w:left="420" w:leftChars="0" w:hanging="420" w:firstLineChars="0"/>
      </w:pPr>
      <w:r>
        <w:t>注意原机直流电源的供电稳定性；</w:t>
      </w:r>
    </w:p>
    <w:p w14:paraId="42656ED9">
      <w:pPr>
        <w:numPr>
          <w:ilvl w:val="0"/>
          <w:numId w:val="75"/>
        </w:numPr>
        <w:bidi w:val="0"/>
        <w:ind w:left="420" w:leftChars="0" w:hanging="420" w:firstLineChars="0"/>
      </w:pPr>
      <w:r>
        <w:t>设备运行过程中若出现读码器掉线，请查看Z101网络交换机的网口是否松动；</w:t>
      </w:r>
    </w:p>
    <w:p w14:paraId="31E65347">
      <w:pPr>
        <w:numPr>
          <w:ilvl w:val="0"/>
          <w:numId w:val="75"/>
        </w:numPr>
        <w:bidi w:val="0"/>
        <w:ind w:left="420" w:leftChars="0" w:hanging="420" w:firstLineChars="0"/>
      </w:pPr>
      <w:r>
        <w:t>根据PLC的点位配置表，在出现问题时，查询对应1200PLC的硬件点位指示灯是否正常；</w:t>
      </w:r>
    </w:p>
    <w:p w14:paraId="1ED8CD93">
      <w:pPr>
        <w:numPr>
          <w:ilvl w:val="0"/>
          <w:numId w:val="75"/>
        </w:numPr>
        <w:bidi w:val="0"/>
        <w:ind w:left="420" w:leftChars="0" w:hanging="420" w:firstLineChars="0"/>
      </w:pPr>
      <w:r>
        <w:t>设备运行过程中若出现连续剔除，请查看1200PLC与二维码溯源系统的网线连接是否正常；</w:t>
      </w:r>
    </w:p>
    <w:p w14:paraId="50D1562E">
      <w:pPr>
        <w:numPr>
          <w:ilvl w:val="0"/>
          <w:numId w:val="75"/>
        </w:numPr>
        <w:bidi w:val="0"/>
        <w:ind w:left="420" w:leftChars="0" w:hanging="420" w:firstLineChars="0"/>
      </w:pPr>
      <w:r>
        <w:t>读码器在设备运行过程中出现硬件故障报红灯，可以正常读码拍照的情况下，无需人工干预，此报警对设备运行无影响，多为数据报警，重启后可自动复位；</w:t>
      </w:r>
    </w:p>
    <w:p w14:paraId="21E4CED2">
      <w:pPr>
        <w:numPr>
          <w:ilvl w:val="0"/>
          <w:numId w:val="75"/>
        </w:numPr>
        <w:bidi w:val="0"/>
        <w:ind w:left="420" w:leftChars="0" w:hanging="420" w:firstLineChars="0"/>
      </w:pPr>
      <w:r>
        <w:t>连续运行时，突然出现读码器不工作情况，请及时查看读码器表面温度；</w:t>
      </w:r>
    </w:p>
    <w:p w14:paraId="4FA0383F">
      <w:pPr>
        <w:numPr>
          <w:ilvl w:val="0"/>
          <w:numId w:val="75"/>
        </w:numPr>
        <w:bidi w:val="0"/>
        <w:ind w:left="420" w:leftChars="0" w:hanging="420" w:firstLineChars="0"/>
      </w:pPr>
      <w:r>
        <w:t>电气柜内器件均为过盈选型，若连续出现空开跳闸，请及时查找原因；</w:t>
      </w:r>
    </w:p>
    <w:p w14:paraId="3803CC88">
      <w:pPr>
        <w:numPr>
          <w:ilvl w:val="0"/>
          <w:numId w:val="75"/>
        </w:numPr>
        <w:bidi w:val="0"/>
        <w:ind w:left="420" w:leftChars="0" w:hanging="420" w:firstLineChars="0"/>
      </w:pPr>
      <w:r>
        <w:t>机械继电器有使用次数寿命和时间寿命，请注意继电器的健康运行周期；</w:t>
      </w:r>
    </w:p>
    <w:p w14:paraId="31832859">
      <w:pPr>
        <w:numPr>
          <w:ilvl w:val="0"/>
          <w:numId w:val="75"/>
        </w:numPr>
        <w:bidi w:val="0"/>
        <w:ind w:left="420" w:leftChars="0" w:hanging="420" w:firstLineChars="0"/>
      </w:pPr>
      <w:r>
        <w:t>现场的堆叠传感器多为接近开关式传感器，在高速运行状态下，此传感器的次数寿命将大幅缩减，注意维护更换；</w:t>
      </w:r>
    </w:p>
    <w:p w14:paraId="786CF632">
      <w:pPr>
        <w:numPr>
          <w:ilvl w:val="0"/>
          <w:numId w:val="75"/>
        </w:numPr>
        <w:bidi w:val="0"/>
        <w:ind w:left="420" w:leftChars="0" w:hanging="420" w:firstLineChars="0"/>
      </w:pPr>
      <w:r>
        <w:t>关于拍照的编码器相位和剔除的相应相位，</w:t>
      </w:r>
      <w:r>
        <w:rPr>
          <w:rFonts w:hint="eastAsia"/>
        </w:rPr>
        <w:t>请参考原机画面中的设置，在HMI画面中设置</w:t>
      </w:r>
      <w:r>
        <w:t>；</w:t>
      </w:r>
    </w:p>
    <w:p w14:paraId="5C324DDA">
      <w:pPr>
        <w:bidi w:val="0"/>
      </w:pPr>
      <w:bookmarkStart w:id="849" w:name="_Toc162420876"/>
      <w:r>
        <w:rPr>
          <w:rFonts w:hint="eastAsia"/>
        </w:rPr>
        <w:t>6．设备日常检测</w:t>
      </w:r>
      <w:bookmarkEnd w:id="849"/>
    </w:p>
    <w:p w14:paraId="0A444685">
      <w:pPr>
        <w:numPr>
          <w:ilvl w:val="0"/>
          <w:numId w:val="76"/>
        </w:numPr>
        <w:bidi w:val="0"/>
        <w:ind w:left="420" w:leftChars="0" w:hanging="420" w:firstLineChars="0"/>
      </w:pPr>
      <w:r>
        <w:rPr>
          <w:rFonts w:hint="eastAsia"/>
        </w:rPr>
        <w:t>为保证正常生产，现场操作人员在每日正常开班前需对设备进行生产前的日常检测，以保证二维码设备和包装机设备的匹配运行。设备检测流程如;</w:t>
      </w:r>
    </w:p>
    <w:p w14:paraId="5E4EB33D">
      <w:pPr>
        <w:numPr>
          <w:ilvl w:val="0"/>
          <w:numId w:val="76"/>
        </w:numPr>
        <w:bidi w:val="0"/>
        <w:ind w:left="420" w:leftChars="0" w:hanging="420" w:firstLineChars="0"/>
      </w:pPr>
      <w:r>
        <w:rPr>
          <w:rFonts w:hint="eastAsia"/>
        </w:rPr>
        <w:t>包装机设备正常上电、补料、调校位置</w:t>
      </w:r>
    </w:p>
    <w:p w14:paraId="4BBAEF77">
      <w:pPr>
        <w:numPr>
          <w:ilvl w:val="0"/>
          <w:numId w:val="76"/>
        </w:numPr>
        <w:bidi w:val="0"/>
        <w:ind w:left="420" w:leftChars="0" w:hanging="420" w:firstLineChars="0"/>
      </w:pPr>
      <w:r>
        <w:rPr>
          <w:rFonts w:hint="eastAsia"/>
        </w:rPr>
        <w:t>二维码检测设备上电、查看电气设备上电运行情况、等待P</w:t>
      </w:r>
      <w:r>
        <w:t>LC</w:t>
      </w:r>
      <w:r>
        <w:rPr>
          <w:rFonts w:hint="eastAsia"/>
        </w:rPr>
        <w:t>、</w:t>
      </w:r>
      <w:r>
        <w:t>IPC</w:t>
      </w:r>
      <w:r>
        <w:rPr>
          <w:rFonts w:hint="eastAsia"/>
        </w:rPr>
        <w:t>、读码器开机</w:t>
      </w:r>
    </w:p>
    <w:p w14:paraId="1179D00A">
      <w:pPr>
        <w:numPr>
          <w:ilvl w:val="0"/>
          <w:numId w:val="76"/>
        </w:numPr>
        <w:bidi w:val="0"/>
        <w:ind w:left="420" w:leftChars="0" w:hanging="420" w:firstLineChars="0"/>
      </w:pPr>
      <w:r>
        <w:rPr>
          <w:rFonts w:hint="eastAsia"/>
        </w:rPr>
        <w:t>上电检测完成后，将包装机轨道内放入测试1</w:t>
      </w:r>
      <w:r>
        <w:t>0</w:t>
      </w:r>
      <w:r>
        <w:rPr>
          <w:rFonts w:hint="eastAsia"/>
        </w:rPr>
        <w:t>包烟包，然后手动盘车</w:t>
      </w:r>
    </w:p>
    <w:p w14:paraId="7FD8D6B4">
      <w:pPr>
        <w:numPr>
          <w:ilvl w:val="0"/>
          <w:numId w:val="76"/>
        </w:numPr>
        <w:bidi w:val="0"/>
        <w:ind w:left="420" w:leftChars="0" w:hanging="420" w:firstLineChars="0"/>
      </w:pPr>
      <w:r>
        <w:rPr>
          <w:rFonts w:hint="eastAsia"/>
        </w:rPr>
        <w:t>品检工位在检测烟包移位经过时，触发拍照并在</w:t>
      </w:r>
      <w:r>
        <w:t>HMI</w:t>
      </w:r>
      <w:r>
        <w:rPr>
          <w:rFonts w:hint="eastAsia"/>
        </w:rPr>
        <w:t>看到相应的成功计数增加</w:t>
      </w:r>
    </w:p>
    <w:p w14:paraId="53192F03">
      <w:pPr>
        <w:numPr>
          <w:ilvl w:val="0"/>
          <w:numId w:val="76"/>
        </w:numPr>
        <w:bidi w:val="0"/>
        <w:ind w:left="420" w:leftChars="0" w:hanging="420" w:firstLineChars="0"/>
      </w:pPr>
      <w:r>
        <w:rPr>
          <w:rFonts w:hint="eastAsia"/>
        </w:rPr>
        <w:t>队列工位在双包烟包移位经过时，触发拍照并有相应计数</w:t>
      </w:r>
    </w:p>
    <w:p w14:paraId="2072D64C">
      <w:pPr>
        <w:numPr>
          <w:ilvl w:val="0"/>
          <w:numId w:val="76"/>
        </w:numPr>
        <w:bidi w:val="0"/>
        <w:ind w:left="420" w:leftChars="0" w:hanging="420" w:firstLineChars="0"/>
      </w:pPr>
      <w:r>
        <w:rPr>
          <w:rFonts w:hint="eastAsia"/>
        </w:rPr>
        <w:t>条盒读码工位在条盒纸经过时，触发拍照并有相应计数</w:t>
      </w:r>
    </w:p>
    <w:p w14:paraId="137E0714">
      <w:pPr>
        <w:numPr>
          <w:ilvl w:val="0"/>
          <w:numId w:val="76"/>
        </w:numPr>
        <w:bidi w:val="0"/>
        <w:ind w:left="420" w:leftChars="0" w:hanging="420" w:firstLineChars="0"/>
      </w:pPr>
      <w:r>
        <w:rPr>
          <w:rFonts w:hint="eastAsia"/>
        </w:rPr>
        <w:t>校验工位在经过条盒烟包时，触发拍照并有相应计数，且经过剔除工位之后烟包未剔除</w:t>
      </w:r>
    </w:p>
    <w:p w14:paraId="1DDA8430">
      <w:pPr>
        <w:numPr>
          <w:ilvl w:val="0"/>
          <w:numId w:val="76"/>
        </w:numPr>
        <w:bidi w:val="0"/>
        <w:ind w:left="420" w:leftChars="0" w:hanging="420" w:firstLineChars="0"/>
      </w:pPr>
      <w:r>
        <w:rPr>
          <w:rFonts w:hint="eastAsia"/>
        </w:rPr>
        <w:t>二维码设备移位拍照检测完成后，进行剔除检测，将测试烟包和条盒纸的二维码遮挡一部分重复上述过程。</w:t>
      </w:r>
    </w:p>
    <w:p w14:paraId="7AB49644">
      <w:pPr>
        <w:bidi w:val="0"/>
      </w:pPr>
      <w:bookmarkStart w:id="850" w:name="_Toc162420877"/>
      <w:r>
        <w:t>7</w:t>
      </w:r>
      <w:r>
        <w:rPr>
          <w:rFonts w:hint="eastAsia"/>
        </w:rPr>
        <w:t>．维护工具</w:t>
      </w:r>
      <w:bookmarkEnd w:id="850"/>
    </w:p>
    <w:p w14:paraId="04B44F6A">
      <w:pPr>
        <w:bidi w:val="0"/>
      </w:pPr>
      <w:bookmarkStart w:id="851" w:name="_Toc162420878"/>
      <w:r>
        <w:t>7.1．电气</w:t>
      </w:r>
      <w:r>
        <w:rPr>
          <w:rFonts w:hint="eastAsia"/>
        </w:rPr>
        <w:t>维护工具</w:t>
      </w:r>
      <w:bookmarkEnd w:id="851"/>
    </w:p>
    <w:p w14:paraId="0C7CC611">
      <w:pPr>
        <w:numPr>
          <w:ilvl w:val="0"/>
          <w:numId w:val="77"/>
        </w:numPr>
        <w:bidi w:val="0"/>
        <w:ind w:left="420" w:leftChars="0" w:hanging="420" w:firstLineChars="0"/>
      </w:pPr>
      <w:r>
        <w:rPr>
          <w:rFonts w:hint="eastAsia"/>
        </w:rPr>
        <w:t>在电气柜内维护过程中我们需要使用如下工具；</w:t>
      </w:r>
    </w:p>
    <w:p w14:paraId="39D8BA8A">
      <w:pPr>
        <w:numPr>
          <w:ilvl w:val="0"/>
          <w:numId w:val="77"/>
        </w:numPr>
        <w:bidi w:val="0"/>
        <w:ind w:left="420" w:leftChars="0" w:hanging="420" w:firstLineChars="0"/>
      </w:pPr>
      <w:r>
        <w:rPr>
          <w:rFonts w:hint="eastAsia"/>
        </w:rPr>
        <w:t>万用表:用于测量柜内各路电源电压和电路通断状态；</w:t>
      </w:r>
    </w:p>
    <w:p w14:paraId="2380BDF9">
      <w:pPr>
        <w:numPr>
          <w:ilvl w:val="0"/>
          <w:numId w:val="77"/>
        </w:numPr>
        <w:bidi w:val="0"/>
        <w:ind w:left="420" w:leftChars="0" w:hanging="420" w:firstLineChars="0"/>
      </w:pPr>
      <w:r>
        <w:rPr>
          <w:rFonts w:hint="eastAsia"/>
        </w:rPr>
        <w:t>钳形表</w:t>
      </w:r>
      <w:r>
        <w:t>:</w:t>
      </w:r>
      <w:r>
        <w:rPr>
          <w:rFonts w:hint="eastAsia"/>
        </w:rPr>
        <w:t>用与测量负载设备的实际通过电流；</w:t>
      </w:r>
    </w:p>
    <w:p w14:paraId="5165E0D6">
      <w:pPr>
        <w:numPr>
          <w:ilvl w:val="0"/>
          <w:numId w:val="77"/>
        </w:numPr>
        <w:bidi w:val="0"/>
        <w:ind w:left="420" w:leftChars="0" w:hanging="420" w:firstLineChars="0"/>
      </w:pPr>
      <w:r>
        <w:rPr>
          <w:rFonts w:hint="eastAsia"/>
        </w:rPr>
        <w:t>一字螺丝刀:</w:t>
      </w:r>
      <w:r>
        <w:t>3*75mm</w:t>
      </w:r>
      <w:r>
        <w:rPr>
          <w:rFonts w:hint="eastAsia"/>
        </w:rPr>
        <w:t>；</w:t>
      </w:r>
    </w:p>
    <w:p w14:paraId="5E15EE2D">
      <w:pPr>
        <w:numPr>
          <w:ilvl w:val="0"/>
          <w:numId w:val="77"/>
        </w:numPr>
        <w:bidi w:val="0"/>
        <w:ind w:left="420" w:leftChars="0" w:hanging="420" w:firstLineChars="0"/>
      </w:pPr>
      <w:r>
        <w:rPr>
          <w:rFonts w:hint="eastAsia"/>
        </w:rPr>
        <w:t>十字螺丝刀:</w:t>
      </w:r>
      <w:r>
        <w:t>6*100</w:t>
      </w:r>
      <w:r>
        <w:rPr>
          <w:rFonts w:hint="eastAsia"/>
        </w:rPr>
        <w:t>mm；</w:t>
      </w:r>
    </w:p>
    <w:p w14:paraId="53406C77">
      <w:pPr>
        <w:numPr>
          <w:ilvl w:val="0"/>
          <w:numId w:val="77"/>
        </w:numPr>
        <w:bidi w:val="0"/>
        <w:ind w:left="420" w:leftChars="0" w:hanging="420" w:firstLineChars="0"/>
      </w:pPr>
      <w:r>
        <w:rPr>
          <w:rFonts w:hint="eastAsia"/>
        </w:rPr>
        <w:t>水口钳/斜口钳:用于处理控制线缆和柜内线槽；</w:t>
      </w:r>
    </w:p>
    <w:p w14:paraId="6001F395">
      <w:pPr>
        <w:numPr>
          <w:ilvl w:val="0"/>
          <w:numId w:val="77"/>
        </w:numPr>
        <w:bidi w:val="0"/>
        <w:ind w:left="420" w:leftChars="0" w:hanging="420" w:firstLineChars="0"/>
      </w:pPr>
      <w:r>
        <w:rPr>
          <w:rFonts w:hint="eastAsia"/>
        </w:rPr>
        <w:t>剥线钳:用于增减线路使用；</w:t>
      </w:r>
    </w:p>
    <w:p w14:paraId="57460400">
      <w:pPr>
        <w:numPr>
          <w:ilvl w:val="0"/>
          <w:numId w:val="77"/>
        </w:numPr>
        <w:bidi w:val="0"/>
        <w:ind w:left="420" w:leftChars="0" w:hanging="420" w:firstLineChars="0"/>
      </w:pPr>
      <w:r>
        <w:rPr>
          <w:rFonts w:hint="eastAsia"/>
        </w:rPr>
        <w:t>电工刀:用于现场电缆处理；</w:t>
      </w:r>
    </w:p>
    <w:p w14:paraId="4C65C5C8">
      <w:pPr>
        <w:numPr>
          <w:ilvl w:val="0"/>
          <w:numId w:val="77"/>
        </w:numPr>
        <w:bidi w:val="0"/>
        <w:ind w:left="420" w:leftChars="0" w:hanging="420" w:firstLineChars="0"/>
      </w:pPr>
      <w:r>
        <w:rPr>
          <w:rFonts w:hint="eastAsia"/>
        </w:rPr>
        <w:t>柜内常备器材:端子、继电器、0</w:t>
      </w:r>
      <w:r>
        <w:t>.75</w:t>
      </w:r>
      <w:r>
        <w:rPr>
          <w:rFonts w:hint="eastAsia"/>
        </w:rPr>
        <w:t>mm控制线缆、线槽；</w:t>
      </w:r>
    </w:p>
    <w:p w14:paraId="732E947F">
      <w:pPr>
        <w:bidi w:val="0"/>
      </w:pPr>
      <w:bookmarkStart w:id="852" w:name="_Toc162420879"/>
      <w:r>
        <w:t>7.2．</w:t>
      </w:r>
      <w:r>
        <w:rPr>
          <w:rFonts w:hint="eastAsia"/>
        </w:rPr>
        <w:t>控制系统维护工具</w:t>
      </w:r>
      <w:bookmarkEnd w:id="852"/>
    </w:p>
    <w:p w14:paraId="1F12C53F">
      <w:pPr>
        <w:bidi w:val="0"/>
      </w:pPr>
      <w:r>
        <w:rPr>
          <w:rFonts w:hint="eastAsia"/>
        </w:rPr>
        <w:t>本套二维码溯源系统共需要三款软件，两个用于P</w:t>
      </w:r>
      <w:r>
        <w:t>LC</w:t>
      </w:r>
      <w:r>
        <w:rPr>
          <w:rFonts w:hint="eastAsia"/>
        </w:rPr>
        <w:t>的维护，一个用于读码器的维护</w:t>
      </w:r>
    </w:p>
    <w:p w14:paraId="47B73F99">
      <w:pPr>
        <w:numPr>
          <w:ilvl w:val="0"/>
          <w:numId w:val="78"/>
        </w:numPr>
        <w:bidi w:val="0"/>
        <w:ind w:left="420" w:leftChars="0" w:hanging="420" w:firstLineChars="0"/>
      </w:pPr>
      <w:r>
        <w:t>TIA P</w:t>
      </w:r>
      <w:r>
        <w:rPr>
          <w:rFonts w:hint="eastAsia"/>
        </w:rPr>
        <w:t>rotal</w:t>
      </w:r>
      <w:r>
        <w:t xml:space="preserve"> V17</w:t>
      </w:r>
    </w:p>
    <w:p w14:paraId="4B7DC632">
      <w:pPr>
        <w:numPr>
          <w:ilvl w:val="0"/>
          <w:numId w:val="78"/>
        </w:numPr>
        <w:bidi w:val="0"/>
        <w:ind w:left="420" w:leftChars="0" w:hanging="420" w:firstLineChars="0"/>
      </w:pPr>
      <w:r>
        <w:t>STEP 7-MicroWIN SMART-V2.8</w:t>
      </w:r>
    </w:p>
    <w:p w14:paraId="75DCB131">
      <w:pPr>
        <w:numPr>
          <w:ilvl w:val="0"/>
          <w:numId w:val="78"/>
        </w:numPr>
        <w:bidi w:val="0"/>
        <w:ind w:left="420" w:leftChars="0" w:hanging="420" w:firstLineChars="0"/>
      </w:pPr>
      <w:r>
        <w:rPr>
          <w:rFonts w:hint="eastAsia"/>
        </w:rPr>
        <w:t xml:space="preserve">DataMan 6.1.14 </w:t>
      </w:r>
    </w:p>
    <w:p w14:paraId="342141C5">
      <w:pPr>
        <w:rPr>
          <w:rFonts w:hint="eastAsia"/>
          <w:lang w:eastAsia="zh-CN"/>
        </w:rPr>
      </w:pPr>
    </w:p>
    <w:p w14:paraId="17079798">
      <w:pPr>
        <w:pStyle w:val="12"/>
        <w:pageBreakBefore w:val="0"/>
        <w:numPr>
          <w:ilvl w:val="4"/>
          <w:numId w:val="74"/>
        </w:numPr>
        <w:kinsoku/>
        <w:wordWrap/>
        <w:overflowPunct/>
        <w:topLinePunct w:val="0"/>
        <w:autoSpaceDE/>
        <w:autoSpaceDN/>
        <w:bidi w:val="0"/>
        <w:spacing w:line="360" w:lineRule="auto"/>
        <w:textAlignment w:val="auto"/>
        <w:rPr>
          <w:rFonts w:hint="eastAsia" w:eastAsia="宋体"/>
          <w:lang w:eastAsia="zh-CN"/>
        </w:rPr>
      </w:pPr>
      <w:r>
        <w:rPr>
          <w:rFonts w:hint="eastAsia"/>
          <w:lang w:val="en-US" w:eastAsia="zh-CN"/>
        </w:rPr>
        <w:t xml:space="preserve"> </w:t>
      </w:r>
      <w:bookmarkStart w:id="853" w:name="_Toc239873655"/>
      <w:r>
        <w:t>ZB</w:t>
      </w:r>
      <w:r>
        <w:rPr>
          <w:rFonts w:hint="eastAsia"/>
        </w:rPr>
        <w:t>45包装机</w:t>
      </w:r>
      <w:r>
        <w:rPr>
          <w:rFonts w:hint="eastAsia"/>
          <w:lang w:eastAsia="zh-CN"/>
        </w:rPr>
        <w:t>内置关联维护</w:t>
      </w:r>
      <w:bookmarkEnd w:id="853"/>
    </w:p>
    <w:p w14:paraId="4F04B299">
      <w:pPr>
        <w:bidi w:val="0"/>
        <w:rPr>
          <w:rFonts w:hint="eastAsia" w:eastAsia="宋体"/>
          <w:lang w:val="en-US" w:eastAsia="zh-CN"/>
        </w:rPr>
      </w:pPr>
      <w:bookmarkStart w:id="854" w:name="_Toc162267182"/>
      <w:bookmarkStart w:id="855" w:name="_Hlk148968358"/>
      <w:r>
        <w:t>1</w:t>
      </w:r>
      <w:r>
        <w:rPr>
          <w:rFonts w:hint="eastAsia"/>
        </w:rPr>
        <w:t>．</w:t>
      </w:r>
      <w:bookmarkEnd w:id="854"/>
      <w:r>
        <w:rPr>
          <w:rFonts w:hint="eastAsia"/>
          <w:lang w:eastAsia="zh-CN"/>
        </w:rPr>
        <w:t>概述</w:t>
      </w:r>
    </w:p>
    <w:bookmarkEnd w:id="855"/>
    <w:p w14:paraId="7E977DFE">
      <w:pPr>
        <w:bidi w:val="0"/>
        <w:ind w:firstLine="420" w:firstLineChars="0"/>
      </w:pPr>
      <w:r>
        <w:rPr>
          <w:rFonts w:hint="eastAsia"/>
        </w:rPr>
        <w:t>参照包装机ZB</w:t>
      </w:r>
      <w:r>
        <w:t>45-</w:t>
      </w:r>
      <w:r>
        <w:rPr>
          <w:rFonts w:hint="eastAsia"/>
        </w:rPr>
        <w:t>内置方案，以国家局下发《行业卷烟二维码统一应用项目“盒条件”关联管理系统实施标准作业程序（SOP文件）》为规范，指导在行业推广实施阶段的标准流程，形成标准作业程序（SOP文件）。</w:t>
      </w:r>
    </w:p>
    <w:p w14:paraId="025AECFD">
      <w:pPr>
        <w:bidi w:val="0"/>
        <w:ind w:firstLine="420" w:firstLineChars="0"/>
      </w:pPr>
      <w:r>
        <w:rPr>
          <w:rFonts w:hint="eastAsia"/>
        </w:rPr>
        <w:t>本文结合包装机ZB</w:t>
      </w:r>
      <w:r>
        <w:t>45-</w:t>
      </w:r>
      <w:r>
        <w:rPr>
          <w:rFonts w:hint="eastAsia"/>
        </w:rPr>
        <w:t>内置方案的现场线缆敷设，备件准备，运维工具，点位表，PLC输入输出，点检等施工形成文档，为后续的运维提供参考依据。</w:t>
      </w:r>
    </w:p>
    <w:p w14:paraId="2C6D4C0C">
      <w:pPr>
        <w:bidi w:val="0"/>
      </w:pPr>
    </w:p>
    <w:p w14:paraId="3907D78F">
      <w:pPr>
        <w:bidi w:val="0"/>
      </w:pPr>
      <w:bookmarkStart w:id="856" w:name="_Toc162267183"/>
      <w:r>
        <w:rPr>
          <w:rFonts w:hint="eastAsia"/>
        </w:rPr>
        <w:t>2．方案说明</w:t>
      </w:r>
      <w:bookmarkEnd w:id="856"/>
    </w:p>
    <w:p w14:paraId="332DAB0F">
      <w:pPr>
        <w:bidi w:val="0"/>
      </w:pPr>
      <w:bookmarkStart w:id="857" w:name="_Toc162267184"/>
      <w:bookmarkStart w:id="858" w:name="_Hlk159944761"/>
      <w:r>
        <w:t>2.1</w:t>
      </w:r>
      <w:r>
        <w:rPr>
          <w:rFonts w:hint="eastAsia"/>
        </w:rPr>
        <w:t>．</w:t>
      </w:r>
      <w:r>
        <w:t>ZB45</w:t>
      </w:r>
      <w:r>
        <w:rPr>
          <w:rFonts w:hint="eastAsia"/>
        </w:rPr>
        <w:t>内置方案</w:t>
      </w:r>
      <w:bookmarkEnd w:id="857"/>
      <w:bookmarkStart w:id="859" w:name="_Hlk159935893"/>
    </w:p>
    <w:bookmarkEnd w:id="858"/>
    <w:bookmarkEnd w:id="859"/>
    <w:p w14:paraId="66BC1B1F">
      <w:pPr>
        <w:bidi w:val="0"/>
        <w:ind w:firstLine="420" w:firstLineChars="0"/>
      </w:pPr>
      <w:r>
        <w:rPr>
          <w:rFonts w:hint="eastAsia"/>
        </w:rPr>
        <w:t>内置方案下，电气柜内无2</w:t>
      </w:r>
      <w:r>
        <w:t>00S</w:t>
      </w:r>
      <w:r>
        <w:rPr>
          <w:rFonts w:hint="eastAsia"/>
        </w:rPr>
        <w:t>mart</w:t>
      </w:r>
      <w:r>
        <w:t>PLC</w:t>
      </w:r>
      <w:r>
        <w:rPr>
          <w:rFonts w:hint="eastAsia"/>
        </w:rPr>
        <w:t>，所有动作控制由原机来控制，原机通过硬件接线方式与1</w:t>
      </w:r>
      <w:r>
        <w:t>215C</w:t>
      </w:r>
      <w:r>
        <w:rPr>
          <w:rFonts w:hint="eastAsia"/>
        </w:rPr>
        <w:t>进行数据交互，然后有1</w:t>
      </w:r>
      <w:r>
        <w:t>215C</w:t>
      </w:r>
      <w:r>
        <w:rPr>
          <w:rFonts w:hint="eastAsia"/>
        </w:rPr>
        <w:t>将数据与上位机交互。</w:t>
      </w:r>
    </w:p>
    <w:p w14:paraId="2D2BB230">
      <w:pPr>
        <w:bidi w:val="0"/>
        <w:ind w:firstLine="420" w:firstLineChars="0"/>
      </w:pPr>
      <w:r>
        <w:rPr>
          <w:rFonts w:hint="eastAsia"/>
        </w:rPr>
        <w:t>本套系统采用硬件连接进行数据交互，考虑与原机对接时的电源公共M点问题，本套系统使用两套2</w:t>
      </w:r>
      <w:r>
        <w:t>4VDC</w:t>
      </w:r>
      <w:r>
        <w:rPr>
          <w:rFonts w:hint="eastAsia"/>
        </w:rPr>
        <w:t>电源，一套由原机引出用于信号交接，一套由本设备自带的直流开关电源生成，用于供给本套设备内部用电系统。</w:t>
      </w:r>
    </w:p>
    <w:p w14:paraId="671D7C8D">
      <w:pPr>
        <w:bidi w:val="0"/>
        <w:ind w:firstLine="420" w:firstLineChars="0"/>
      </w:pPr>
      <w:r>
        <w:rPr>
          <w:rFonts w:hint="eastAsia"/>
        </w:rPr>
        <w:t>包装机原机数据与1</w:t>
      </w:r>
      <w:r>
        <w:t>215C</w:t>
      </w:r>
      <w:r>
        <w:rPr>
          <w:rFonts w:hint="eastAsia"/>
        </w:rPr>
        <w:t>通过光耦进行数据交互。</w:t>
      </w:r>
    </w:p>
    <w:p w14:paraId="59CBE857">
      <w:pPr>
        <w:bidi w:val="0"/>
        <w:ind w:firstLine="420" w:firstLineChars="0"/>
      </w:pPr>
      <w:r>
        <w:t>存在单台包装机双面读码状态时，电气柜内配置有双路读码器供电选择继电器。</w:t>
      </w:r>
    </w:p>
    <w:p w14:paraId="0DD54C24">
      <w:pPr>
        <w:bidi w:val="0"/>
      </w:pPr>
      <w:bookmarkStart w:id="860" w:name="_Toc162267185"/>
      <w:r>
        <w:rPr>
          <w:rFonts w:hint="eastAsia"/>
        </w:rPr>
        <w:t>3．系统配套及组成</w:t>
      </w:r>
      <w:bookmarkEnd w:id="860"/>
    </w:p>
    <w:p w14:paraId="41EEAFD6">
      <w:pPr>
        <w:bidi w:val="0"/>
        <w:ind w:firstLine="420" w:firstLineChars="0"/>
      </w:pPr>
      <w:r>
        <w:t>ZB45</w:t>
      </w:r>
      <w:r>
        <w:rPr>
          <w:rFonts w:hint="eastAsia"/>
        </w:rPr>
        <w:t>内置机型二维码设备分为：2</w:t>
      </w:r>
      <w:r>
        <w:t>20VAC</w:t>
      </w:r>
      <w:r>
        <w:rPr>
          <w:rFonts w:hint="eastAsia"/>
        </w:rPr>
        <w:t>主供电部分、2</w:t>
      </w:r>
      <w:r>
        <w:t>4VDC</w:t>
      </w:r>
      <w:r>
        <w:rPr>
          <w:rFonts w:hint="eastAsia"/>
        </w:rPr>
        <w:t>直流供电部分、端子排部分、外接航插部分、交换机部分、光耦模组部分、P</w:t>
      </w:r>
      <w:r>
        <w:t>LC模组部分</w:t>
      </w:r>
      <w:r>
        <w:rPr>
          <w:rFonts w:hint="eastAsia"/>
        </w:rPr>
        <w:t>、读码器部分</w:t>
      </w:r>
      <w:r>
        <w:t>。</w:t>
      </w:r>
    </w:p>
    <w:p w14:paraId="7EF7F8C0">
      <w:pPr>
        <w:bidi w:val="0"/>
      </w:pPr>
      <w:bookmarkStart w:id="861" w:name="_Toc162267186"/>
      <w:r>
        <w:t>3.1</w:t>
      </w:r>
      <w:r>
        <w:rPr>
          <w:rFonts w:hint="eastAsia"/>
        </w:rPr>
        <w:t>．2</w:t>
      </w:r>
      <w:r>
        <w:t>20VAC主供电</w:t>
      </w:r>
      <w:r>
        <w:rPr>
          <w:rFonts w:hint="eastAsia"/>
        </w:rPr>
        <w:t>部分</w:t>
      </w:r>
      <w:r>
        <w:t>：</w:t>
      </w:r>
      <w:bookmarkEnd w:id="861"/>
    </w:p>
    <w:p w14:paraId="1533DFBB">
      <w:pPr>
        <w:bidi w:val="0"/>
      </w:pPr>
      <w:r>
        <w:drawing>
          <wp:inline distT="0" distB="0" distL="0" distR="0">
            <wp:extent cx="5480050" cy="2476500"/>
            <wp:effectExtent l="0" t="0" r="6350" b="0"/>
            <wp:docPr id="11207277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2778" name="图片 3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5480050" cy="2476500"/>
                    </a:xfrm>
                    <a:prstGeom prst="rect">
                      <a:avLst/>
                    </a:prstGeom>
                    <a:noFill/>
                    <a:ln>
                      <a:noFill/>
                    </a:ln>
                    <a:effectLst/>
                  </pic:spPr>
                </pic:pic>
              </a:graphicData>
            </a:graphic>
          </wp:inline>
        </w:drawing>
      </w:r>
    </w:p>
    <w:p w14:paraId="6E436EE4">
      <w:pPr>
        <w:bidi w:val="0"/>
      </w:pPr>
      <w:r>
        <w:drawing>
          <wp:inline distT="0" distB="0" distL="0" distR="0">
            <wp:extent cx="5765800" cy="2844800"/>
            <wp:effectExtent l="9525" t="9525" r="15875" b="22225"/>
            <wp:docPr id="147575508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55084" name="图片 3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5765800" cy="2844800"/>
                    </a:xfrm>
                    <a:prstGeom prst="rect">
                      <a:avLst/>
                    </a:prstGeom>
                    <a:noFill/>
                    <a:ln>
                      <a:solidFill>
                        <a:schemeClr val="bg1">
                          <a:lumMod val="85000"/>
                        </a:schemeClr>
                      </a:solidFill>
                    </a:ln>
                  </pic:spPr>
                </pic:pic>
              </a:graphicData>
            </a:graphic>
          </wp:inline>
        </w:drawing>
      </w:r>
    </w:p>
    <w:p w14:paraId="3B8CE009">
      <w:pPr>
        <w:bidi w:val="0"/>
      </w:pPr>
      <w:bookmarkStart w:id="862" w:name="_Toc162267187"/>
      <w:r>
        <w:t>3.2</w:t>
      </w:r>
      <w:r>
        <w:rPr>
          <w:rFonts w:hint="eastAsia"/>
        </w:rPr>
        <w:t>．</w:t>
      </w:r>
      <w:r>
        <w:t>24VDC直流供电部分：</w:t>
      </w:r>
      <w:bookmarkEnd w:id="862"/>
    </w:p>
    <w:p w14:paraId="482EE9B5">
      <w:pPr>
        <w:bidi w:val="0"/>
      </w:pPr>
      <w:r>
        <w:drawing>
          <wp:inline distT="0" distB="0" distL="0" distR="0">
            <wp:extent cx="6120130" cy="2107565"/>
            <wp:effectExtent l="0" t="0" r="13970" b="6985"/>
            <wp:docPr id="102264241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42417" name="图片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120130" cy="2107565"/>
                    </a:xfrm>
                    <a:prstGeom prst="rect">
                      <a:avLst/>
                    </a:prstGeom>
                    <a:noFill/>
                    <a:ln>
                      <a:noFill/>
                    </a:ln>
                  </pic:spPr>
                </pic:pic>
              </a:graphicData>
            </a:graphic>
          </wp:inline>
        </w:drawing>
      </w:r>
    </w:p>
    <w:p w14:paraId="3CA5E9F8">
      <w:pPr>
        <w:bidi w:val="0"/>
      </w:pPr>
      <w:bookmarkStart w:id="863" w:name="_Toc162267188"/>
      <w:r>
        <w:t>3.3</w:t>
      </w:r>
      <w:r>
        <w:rPr>
          <w:rFonts w:hint="eastAsia"/>
        </w:rPr>
        <w:t>．端子排</w:t>
      </w:r>
      <w:r>
        <w:t>部分：</w:t>
      </w:r>
      <w:bookmarkEnd w:id="863"/>
    </w:p>
    <w:p w14:paraId="411DCA90">
      <w:pPr>
        <w:bidi w:val="0"/>
      </w:pPr>
      <w:r>
        <w:drawing>
          <wp:inline distT="0" distB="0" distL="0" distR="0">
            <wp:extent cx="6120130" cy="2088515"/>
            <wp:effectExtent l="0" t="0" r="13970" b="6985"/>
            <wp:docPr id="18526967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9673" name="图片 3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6120130" cy="2088515"/>
                    </a:xfrm>
                    <a:prstGeom prst="rect">
                      <a:avLst/>
                    </a:prstGeom>
                    <a:noFill/>
                    <a:ln>
                      <a:noFill/>
                    </a:ln>
                  </pic:spPr>
                </pic:pic>
              </a:graphicData>
            </a:graphic>
          </wp:inline>
        </w:drawing>
      </w:r>
    </w:p>
    <w:p w14:paraId="37CCE484">
      <w:pPr>
        <w:bidi w:val="0"/>
      </w:pPr>
      <w:r>
        <w:drawing>
          <wp:inline distT="0" distB="0" distL="0" distR="0">
            <wp:extent cx="6115050" cy="4387850"/>
            <wp:effectExtent l="0" t="0" r="0" b="12700"/>
            <wp:docPr id="3881807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18076" name="图片 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6115050" cy="4387850"/>
                    </a:xfrm>
                    <a:prstGeom prst="rect">
                      <a:avLst/>
                    </a:prstGeom>
                    <a:noFill/>
                    <a:ln>
                      <a:noFill/>
                    </a:ln>
                  </pic:spPr>
                </pic:pic>
              </a:graphicData>
            </a:graphic>
          </wp:inline>
        </w:drawing>
      </w:r>
    </w:p>
    <w:p w14:paraId="6DC199D9">
      <w:pPr>
        <w:bidi w:val="0"/>
      </w:pPr>
      <w:bookmarkStart w:id="864" w:name="_Toc162267189"/>
      <w:r>
        <w:t>3.4</w:t>
      </w:r>
      <w:r>
        <w:rPr>
          <w:rFonts w:hint="eastAsia"/>
        </w:rPr>
        <w:t>．外接航插</w:t>
      </w:r>
      <w:r>
        <w:t>部分：</w:t>
      </w:r>
      <w:bookmarkEnd w:id="864"/>
    </w:p>
    <w:p w14:paraId="6A09D3CF">
      <w:pPr>
        <w:bidi w:val="0"/>
      </w:pPr>
      <w:r>
        <w:drawing>
          <wp:inline distT="0" distB="0" distL="0" distR="0">
            <wp:extent cx="5416550" cy="2108200"/>
            <wp:effectExtent l="0" t="0" r="12700" b="6350"/>
            <wp:docPr id="10073104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10457" name="图片 3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5416550" cy="2108200"/>
                    </a:xfrm>
                    <a:prstGeom prst="rect">
                      <a:avLst/>
                    </a:prstGeom>
                    <a:noFill/>
                    <a:ln>
                      <a:noFill/>
                    </a:ln>
                  </pic:spPr>
                </pic:pic>
              </a:graphicData>
            </a:graphic>
          </wp:inline>
        </w:drawing>
      </w:r>
    </w:p>
    <w:p w14:paraId="45A50ECB">
      <w:pPr>
        <w:bidi w:val="0"/>
      </w:pPr>
      <w:bookmarkStart w:id="865" w:name="_Toc162267190"/>
      <w:r>
        <w:t>3.5</w:t>
      </w:r>
      <w:r>
        <w:rPr>
          <w:rFonts w:hint="eastAsia"/>
        </w:rPr>
        <w:t>．交换机</w:t>
      </w:r>
      <w:r>
        <w:t>部分：</w:t>
      </w:r>
      <w:bookmarkEnd w:id="865"/>
    </w:p>
    <w:p w14:paraId="00C5559A">
      <w:pPr>
        <w:bidi w:val="0"/>
      </w:pPr>
      <w:r>
        <w:drawing>
          <wp:inline distT="0" distB="0" distL="0" distR="0">
            <wp:extent cx="5822950" cy="1797050"/>
            <wp:effectExtent l="0" t="0" r="6350" b="12700"/>
            <wp:docPr id="11451274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7481" name="图片 3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5822950" cy="1797050"/>
                    </a:xfrm>
                    <a:prstGeom prst="rect">
                      <a:avLst/>
                    </a:prstGeom>
                    <a:noFill/>
                    <a:ln>
                      <a:noFill/>
                    </a:ln>
                  </pic:spPr>
                </pic:pic>
              </a:graphicData>
            </a:graphic>
          </wp:inline>
        </w:drawing>
      </w:r>
    </w:p>
    <w:p w14:paraId="664CBCEE">
      <w:pPr>
        <w:bidi w:val="0"/>
      </w:pPr>
      <w:bookmarkStart w:id="866" w:name="_Toc162267191"/>
      <w:r>
        <w:t>3.6</w:t>
      </w:r>
      <w:r>
        <w:rPr>
          <w:rFonts w:hint="eastAsia"/>
        </w:rPr>
        <w:t>．光耦模组</w:t>
      </w:r>
      <w:r>
        <w:t>部分：</w:t>
      </w:r>
      <w:bookmarkEnd w:id="866"/>
    </w:p>
    <w:p w14:paraId="69192CF2">
      <w:pPr>
        <w:bidi w:val="0"/>
      </w:pPr>
      <w:r>
        <w:drawing>
          <wp:inline distT="0" distB="0" distL="0" distR="0">
            <wp:extent cx="5740400" cy="1435100"/>
            <wp:effectExtent l="0" t="0" r="12700" b="12700"/>
            <wp:docPr id="170797566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75667" name="图片 2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5740400" cy="1435100"/>
                    </a:xfrm>
                    <a:prstGeom prst="rect">
                      <a:avLst/>
                    </a:prstGeom>
                    <a:noFill/>
                    <a:ln>
                      <a:noFill/>
                    </a:ln>
                  </pic:spPr>
                </pic:pic>
              </a:graphicData>
            </a:graphic>
          </wp:inline>
        </w:drawing>
      </w:r>
    </w:p>
    <w:p w14:paraId="2FF5985A">
      <w:pPr>
        <w:bidi w:val="0"/>
      </w:pPr>
      <w:r>
        <w:drawing>
          <wp:inline distT="0" distB="0" distL="0" distR="0">
            <wp:extent cx="6120130" cy="4380865"/>
            <wp:effectExtent l="0" t="0" r="13970" b="635"/>
            <wp:docPr id="1740324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2482" name="图片 2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6120130" cy="4380865"/>
                    </a:xfrm>
                    <a:prstGeom prst="rect">
                      <a:avLst/>
                    </a:prstGeom>
                    <a:noFill/>
                    <a:ln>
                      <a:noFill/>
                    </a:ln>
                  </pic:spPr>
                </pic:pic>
              </a:graphicData>
            </a:graphic>
          </wp:inline>
        </w:drawing>
      </w:r>
    </w:p>
    <w:p w14:paraId="092E54B5">
      <w:pPr>
        <w:bidi w:val="0"/>
      </w:pPr>
      <w:bookmarkStart w:id="867" w:name="_Toc162267192"/>
      <w:r>
        <w:t>3.7</w:t>
      </w:r>
      <w:r>
        <w:rPr>
          <w:rFonts w:hint="eastAsia"/>
        </w:rPr>
        <w:t>．PLC模组</w:t>
      </w:r>
      <w:r>
        <w:t>部分：</w:t>
      </w:r>
      <w:bookmarkEnd w:id="867"/>
    </w:p>
    <w:p w14:paraId="7C91967C">
      <w:pPr>
        <w:bidi w:val="0"/>
      </w:pPr>
      <w:r>
        <w:drawing>
          <wp:inline distT="0" distB="0" distL="0" distR="0">
            <wp:extent cx="6120130" cy="1891665"/>
            <wp:effectExtent l="0" t="0" r="13970" b="13335"/>
            <wp:docPr id="43801160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11603" name="图片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6120130" cy="1891665"/>
                    </a:xfrm>
                    <a:prstGeom prst="rect">
                      <a:avLst/>
                    </a:prstGeom>
                    <a:noFill/>
                    <a:ln>
                      <a:noFill/>
                    </a:ln>
                  </pic:spPr>
                </pic:pic>
              </a:graphicData>
            </a:graphic>
          </wp:inline>
        </w:drawing>
      </w:r>
    </w:p>
    <w:p w14:paraId="19EFB5F8">
      <w:pPr>
        <w:bidi w:val="0"/>
      </w:pPr>
      <w:r>
        <w:drawing>
          <wp:inline distT="0" distB="0" distL="0" distR="0">
            <wp:extent cx="6120130" cy="4374515"/>
            <wp:effectExtent l="9525" t="9525" r="23495" b="16510"/>
            <wp:docPr id="11759394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9497" name="图片 2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6120130" cy="4374515"/>
                    </a:xfrm>
                    <a:prstGeom prst="rect">
                      <a:avLst/>
                    </a:prstGeom>
                    <a:noFill/>
                    <a:ln>
                      <a:solidFill>
                        <a:schemeClr val="bg1">
                          <a:lumMod val="85000"/>
                        </a:schemeClr>
                      </a:solidFill>
                    </a:ln>
                  </pic:spPr>
                </pic:pic>
              </a:graphicData>
            </a:graphic>
          </wp:inline>
        </w:drawing>
      </w:r>
    </w:p>
    <w:p w14:paraId="00A95520">
      <w:pPr>
        <w:bidi w:val="0"/>
      </w:pPr>
      <w:bookmarkStart w:id="868" w:name="_Toc162267193"/>
      <w:r>
        <w:t>3.8</w:t>
      </w:r>
      <w:r>
        <w:rPr>
          <w:rFonts w:hint="eastAsia"/>
        </w:rPr>
        <w:t>．读码器</w:t>
      </w:r>
      <w:r>
        <w:t>部分：</w:t>
      </w:r>
      <w:bookmarkEnd w:id="868"/>
    </w:p>
    <w:p w14:paraId="6D0462E1">
      <w:pPr>
        <w:bidi w:val="0"/>
      </w:pPr>
      <w:r>
        <w:drawing>
          <wp:inline distT="0" distB="0" distL="0" distR="0">
            <wp:extent cx="5753100" cy="2870200"/>
            <wp:effectExtent l="0" t="0" r="0" b="6350"/>
            <wp:docPr id="10259351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35160" name="图片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53100" cy="2870200"/>
                    </a:xfrm>
                    <a:prstGeom prst="rect">
                      <a:avLst/>
                    </a:prstGeom>
                    <a:noFill/>
                    <a:ln>
                      <a:noFill/>
                    </a:ln>
                  </pic:spPr>
                </pic:pic>
              </a:graphicData>
            </a:graphic>
          </wp:inline>
        </w:drawing>
      </w:r>
    </w:p>
    <w:p w14:paraId="03365370">
      <w:pPr>
        <w:bidi w:val="0"/>
      </w:pPr>
      <w:bookmarkStart w:id="869" w:name="_Toc162267194"/>
      <w:r>
        <w:rPr>
          <w:rFonts w:hint="eastAsia"/>
        </w:rPr>
        <w:t>4．二维码设备现场布置详细</w:t>
      </w:r>
      <w:bookmarkEnd w:id="869"/>
    </w:p>
    <w:p w14:paraId="4A00D4F0">
      <w:pPr>
        <w:bidi w:val="0"/>
      </w:pPr>
      <w:bookmarkStart w:id="870" w:name="_Toc162267195"/>
      <w:r>
        <w:t>4.1</w:t>
      </w:r>
      <w:r>
        <w:rPr>
          <w:rFonts w:hint="eastAsia"/>
        </w:rPr>
        <w:t>．电气原件BOM表</w:t>
      </w:r>
      <w:r>
        <w:t>：</w:t>
      </w:r>
      <w:bookmarkEnd w:id="870"/>
    </w:p>
    <w:tbl>
      <w:tblPr>
        <w:tblStyle w:val="43"/>
        <w:tblW w:w="8960" w:type="dxa"/>
        <w:tblInd w:w="118" w:type="dxa"/>
        <w:tblLayout w:type="autofit"/>
        <w:tblCellMar>
          <w:top w:w="0" w:type="dxa"/>
          <w:left w:w="108" w:type="dxa"/>
          <w:bottom w:w="0" w:type="dxa"/>
          <w:right w:w="108" w:type="dxa"/>
        </w:tblCellMar>
      </w:tblPr>
      <w:tblGrid>
        <w:gridCol w:w="2496"/>
        <w:gridCol w:w="1797"/>
        <w:gridCol w:w="2376"/>
        <w:gridCol w:w="837"/>
        <w:gridCol w:w="1454"/>
      </w:tblGrid>
      <w:tr w14:paraId="01C0D3CA">
        <w:tblPrEx>
          <w:tblCellMar>
            <w:top w:w="0" w:type="dxa"/>
            <w:left w:w="108" w:type="dxa"/>
            <w:bottom w:w="0" w:type="dxa"/>
            <w:right w:w="108" w:type="dxa"/>
          </w:tblCellMar>
        </w:tblPrEx>
        <w:trPr>
          <w:trHeight w:val="270" w:hRule="atLeast"/>
        </w:trPr>
        <w:tc>
          <w:tcPr>
            <w:tcW w:w="2340" w:type="dxa"/>
            <w:tcBorders>
              <w:top w:val="single" w:color="auto" w:sz="8" w:space="0"/>
              <w:left w:val="single" w:color="auto" w:sz="8" w:space="0"/>
              <w:bottom w:val="single" w:color="auto" w:sz="8" w:space="0"/>
              <w:right w:val="single" w:color="auto" w:sz="8" w:space="0"/>
            </w:tcBorders>
            <w:shd w:val="clear" w:color="auto" w:fill="auto"/>
            <w:vAlign w:val="center"/>
          </w:tcPr>
          <w:p w14:paraId="0D6FBB80">
            <w:pPr>
              <w:bidi w:val="0"/>
            </w:pPr>
            <w:r>
              <w:rPr>
                <w:rFonts w:hint="eastAsia"/>
              </w:rPr>
              <w:t>项目代号</w:t>
            </w:r>
          </w:p>
        </w:tc>
        <w:tc>
          <w:tcPr>
            <w:tcW w:w="1960" w:type="dxa"/>
            <w:tcBorders>
              <w:top w:val="single" w:color="auto" w:sz="8" w:space="0"/>
              <w:left w:val="nil"/>
              <w:bottom w:val="single" w:color="auto" w:sz="8" w:space="0"/>
              <w:right w:val="single" w:color="auto" w:sz="8" w:space="0"/>
            </w:tcBorders>
            <w:shd w:val="clear" w:color="auto" w:fill="auto"/>
            <w:vAlign w:val="center"/>
          </w:tcPr>
          <w:p w14:paraId="55AE9DE9">
            <w:pPr>
              <w:bidi w:val="0"/>
            </w:pPr>
            <w:r>
              <w:rPr>
                <w:rFonts w:hint="eastAsia"/>
              </w:rPr>
              <w:t>名称</w:t>
            </w:r>
          </w:p>
        </w:tc>
        <w:tc>
          <w:tcPr>
            <w:tcW w:w="2280" w:type="dxa"/>
            <w:tcBorders>
              <w:top w:val="single" w:color="auto" w:sz="8" w:space="0"/>
              <w:left w:val="nil"/>
              <w:bottom w:val="single" w:color="auto" w:sz="8" w:space="0"/>
              <w:right w:val="single" w:color="auto" w:sz="8" w:space="0"/>
            </w:tcBorders>
            <w:shd w:val="clear" w:color="auto" w:fill="auto"/>
            <w:vAlign w:val="center"/>
          </w:tcPr>
          <w:p w14:paraId="7DC796D3">
            <w:pPr>
              <w:bidi w:val="0"/>
            </w:pPr>
            <w:r>
              <w:rPr>
                <w:rFonts w:hint="eastAsia"/>
              </w:rPr>
              <w:t>型号</w:t>
            </w:r>
          </w:p>
        </w:tc>
        <w:tc>
          <w:tcPr>
            <w:tcW w:w="900" w:type="dxa"/>
            <w:tcBorders>
              <w:top w:val="single" w:color="auto" w:sz="8" w:space="0"/>
              <w:left w:val="nil"/>
              <w:bottom w:val="single" w:color="auto" w:sz="8" w:space="0"/>
              <w:right w:val="single" w:color="auto" w:sz="8" w:space="0"/>
            </w:tcBorders>
            <w:shd w:val="clear" w:color="auto" w:fill="auto"/>
            <w:vAlign w:val="center"/>
          </w:tcPr>
          <w:p w14:paraId="4EA735DC">
            <w:pPr>
              <w:bidi w:val="0"/>
            </w:pPr>
            <w:r>
              <w:rPr>
                <w:rFonts w:hint="eastAsia"/>
              </w:rPr>
              <w:t>数量</w:t>
            </w:r>
          </w:p>
        </w:tc>
        <w:tc>
          <w:tcPr>
            <w:tcW w:w="1480" w:type="dxa"/>
            <w:tcBorders>
              <w:top w:val="single" w:color="auto" w:sz="8" w:space="0"/>
              <w:left w:val="nil"/>
              <w:bottom w:val="single" w:color="auto" w:sz="8" w:space="0"/>
              <w:right w:val="single" w:color="auto" w:sz="8" w:space="0"/>
            </w:tcBorders>
            <w:shd w:val="clear" w:color="auto" w:fill="auto"/>
            <w:vAlign w:val="center"/>
          </w:tcPr>
          <w:p w14:paraId="4951258C">
            <w:pPr>
              <w:bidi w:val="0"/>
            </w:pPr>
            <w:r>
              <w:rPr>
                <w:rFonts w:hint="eastAsia"/>
              </w:rPr>
              <w:t>厂家</w:t>
            </w:r>
          </w:p>
        </w:tc>
      </w:tr>
      <w:tr w14:paraId="0289DC67">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4A54E7A3">
            <w:pPr>
              <w:bidi w:val="0"/>
            </w:pPr>
            <w:r>
              <w:t>-V1</w:t>
            </w:r>
          </w:p>
        </w:tc>
        <w:tc>
          <w:tcPr>
            <w:tcW w:w="1960" w:type="dxa"/>
            <w:tcBorders>
              <w:top w:val="nil"/>
              <w:left w:val="nil"/>
              <w:bottom w:val="single" w:color="auto" w:sz="8" w:space="0"/>
              <w:right w:val="single" w:color="auto" w:sz="8" w:space="0"/>
            </w:tcBorders>
            <w:shd w:val="clear" w:color="auto" w:fill="auto"/>
            <w:vAlign w:val="center"/>
          </w:tcPr>
          <w:p w14:paraId="1B3D0969">
            <w:pPr>
              <w:bidi w:val="0"/>
            </w:pPr>
            <w:r>
              <w:rPr>
                <w:rFonts w:hint="eastAsia"/>
              </w:rPr>
              <w:t>开关电源</w:t>
            </w:r>
          </w:p>
        </w:tc>
        <w:tc>
          <w:tcPr>
            <w:tcW w:w="2280" w:type="dxa"/>
            <w:tcBorders>
              <w:top w:val="nil"/>
              <w:left w:val="nil"/>
              <w:bottom w:val="single" w:color="auto" w:sz="8" w:space="0"/>
              <w:right w:val="single" w:color="auto" w:sz="8" w:space="0"/>
            </w:tcBorders>
            <w:shd w:val="clear" w:color="auto" w:fill="auto"/>
            <w:vAlign w:val="center"/>
          </w:tcPr>
          <w:p w14:paraId="64310E41">
            <w:pPr>
              <w:bidi w:val="0"/>
            </w:pPr>
            <w:r>
              <w:rPr>
                <w:rFonts w:hint="eastAsia"/>
              </w:rPr>
              <w:t>NDR-240-24</w:t>
            </w:r>
          </w:p>
        </w:tc>
        <w:tc>
          <w:tcPr>
            <w:tcW w:w="900" w:type="dxa"/>
            <w:tcBorders>
              <w:top w:val="nil"/>
              <w:left w:val="nil"/>
              <w:bottom w:val="single" w:color="auto" w:sz="8" w:space="0"/>
              <w:right w:val="single" w:color="auto" w:sz="8" w:space="0"/>
            </w:tcBorders>
            <w:shd w:val="clear" w:color="auto" w:fill="auto"/>
            <w:vAlign w:val="center"/>
          </w:tcPr>
          <w:p w14:paraId="3A449419">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08BBDD03">
            <w:pPr>
              <w:bidi w:val="0"/>
            </w:pPr>
            <w:r>
              <w:rPr>
                <w:rFonts w:hint="eastAsia"/>
              </w:rPr>
              <w:t>明伟（广州）</w:t>
            </w:r>
          </w:p>
        </w:tc>
      </w:tr>
      <w:tr w14:paraId="1AF41CE8">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CFE5564">
            <w:pPr>
              <w:bidi w:val="0"/>
            </w:pPr>
            <w:r>
              <w:t>-</w:t>
            </w:r>
            <w:r>
              <w:rPr>
                <w:rFonts w:hint="eastAsia"/>
              </w:rPr>
              <w:t>Q</w:t>
            </w:r>
            <w:r>
              <w:t>A1</w:t>
            </w:r>
          </w:p>
        </w:tc>
        <w:tc>
          <w:tcPr>
            <w:tcW w:w="1960" w:type="dxa"/>
            <w:tcBorders>
              <w:top w:val="nil"/>
              <w:left w:val="nil"/>
              <w:bottom w:val="single" w:color="auto" w:sz="8" w:space="0"/>
              <w:right w:val="single" w:color="auto" w:sz="8" w:space="0"/>
            </w:tcBorders>
            <w:shd w:val="clear" w:color="auto" w:fill="auto"/>
            <w:vAlign w:val="center"/>
          </w:tcPr>
          <w:p w14:paraId="612567F3">
            <w:pPr>
              <w:bidi w:val="0"/>
            </w:pPr>
            <w:r>
              <w:rPr>
                <w:rFonts w:hint="eastAsia"/>
              </w:rPr>
              <w:t>转换(负荷</w:t>
            </w:r>
            <w:r>
              <w:t>)</w:t>
            </w:r>
            <w:r>
              <w:rPr>
                <w:rFonts w:hint="eastAsia"/>
              </w:rPr>
              <w:t>开关</w:t>
            </w:r>
          </w:p>
        </w:tc>
        <w:tc>
          <w:tcPr>
            <w:tcW w:w="2280" w:type="dxa"/>
            <w:tcBorders>
              <w:top w:val="nil"/>
              <w:left w:val="nil"/>
              <w:bottom w:val="single" w:color="auto" w:sz="8" w:space="0"/>
              <w:right w:val="single" w:color="auto" w:sz="8" w:space="0"/>
            </w:tcBorders>
            <w:shd w:val="clear" w:color="auto" w:fill="auto"/>
            <w:vAlign w:val="center"/>
          </w:tcPr>
          <w:p w14:paraId="5AE4D97B">
            <w:pPr>
              <w:bidi w:val="0"/>
            </w:pPr>
            <w:r>
              <w:rPr>
                <w:rFonts w:hint="eastAsia"/>
              </w:rPr>
              <w:t>LW30-63（63A）</w:t>
            </w:r>
          </w:p>
        </w:tc>
        <w:tc>
          <w:tcPr>
            <w:tcW w:w="900" w:type="dxa"/>
            <w:tcBorders>
              <w:top w:val="nil"/>
              <w:left w:val="nil"/>
              <w:bottom w:val="single" w:color="auto" w:sz="8" w:space="0"/>
              <w:right w:val="single" w:color="auto" w:sz="8" w:space="0"/>
            </w:tcBorders>
            <w:shd w:val="clear" w:color="auto" w:fill="auto"/>
            <w:vAlign w:val="center"/>
          </w:tcPr>
          <w:p w14:paraId="000035BF">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1944D4CB">
            <w:pPr>
              <w:bidi w:val="0"/>
            </w:pPr>
            <w:r>
              <w:rPr>
                <w:rFonts w:hint="eastAsia"/>
              </w:rPr>
              <w:t>长信</w:t>
            </w:r>
          </w:p>
        </w:tc>
      </w:tr>
      <w:tr w14:paraId="34187696">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AE94E7C">
            <w:pPr>
              <w:bidi w:val="0"/>
            </w:pPr>
            <w:r>
              <w:rPr>
                <w:rFonts w:hint="eastAsia"/>
              </w:rPr>
              <w:t>-</w:t>
            </w:r>
            <w:r>
              <w:t>QF1</w:t>
            </w:r>
          </w:p>
        </w:tc>
        <w:tc>
          <w:tcPr>
            <w:tcW w:w="1960" w:type="dxa"/>
            <w:tcBorders>
              <w:top w:val="nil"/>
              <w:left w:val="nil"/>
              <w:bottom w:val="single" w:color="auto" w:sz="8" w:space="0"/>
              <w:right w:val="single" w:color="auto" w:sz="8" w:space="0"/>
            </w:tcBorders>
            <w:shd w:val="clear" w:color="auto" w:fill="auto"/>
            <w:vAlign w:val="center"/>
          </w:tcPr>
          <w:p w14:paraId="4C210675">
            <w:pPr>
              <w:bidi w:val="0"/>
            </w:pPr>
            <w:r>
              <w:rPr>
                <w:rFonts w:hint="eastAsia"/>
              </w:rPr>
              <w:t>小型断路器</w:t>
            </w:r>
          </w:p>
        </w:tc>
        <w:tc>
          <w:tcPr>
            <w:tcW w:w="2280" w:type="dxa"/>
            <w:tcBorders>
              <w:top w:val="nil"/>
              <w:left w:val="nil"/>
              <w:bottom w:val="single" w:color="auto" w:sz="8" w:space="0"/>
              <w:right w:val="single" w:color="auto" w:sz="8" w:space="0"/>
            </w:tcBorders>
            <w:shd w:val="clear" w:color="auto" w:fill="auto"/>
            <w:vAlign w:val="center"/>
          </w:tcPr>
          <w:p w14:paraId="3ABA4606">
            <w:pPr>
              <w:bidi w:val="0"/>
            </w:pPr>
            <w:r>
              <w:t>NDBI-63-D20</w:t>
            </w:r>
          </w:p>
        </w:tc>
        <w:tc>
          <w:tcPr>
            <w:tcW w:w="900" w:type="dxa"/>
            <w:tcBorders>
              <w:top w:val="nil"/>
              <w:left w:val="nil"/>
              <w:bottom w:val="single" w:color="auto" w:sz="8" w:space="0"/>
              <w:right w:val="single" w:color="auto" w:sz="8" w:space="0"/>
            </w:tcBorders>
            <w:shd w:val="clear" w:color="auto" w:fill="auto"/>
            <w:vAlign w:val="center"/>
          </w:tcPr>
          <w:p w14:paraId="2706783A">
            <w:pPr>
              <w:bidi w:val="0"/>
            </w:pPr>
            <w:r>
              <w:t>1</w:t>
            </w:r>
          </w:p>
        </w:tc>
        <w:tc>
          <w:tcPr>
            <w:tcW w:w="1480" w:type="dxa"/>
            <w:tcBorders>
              <w:top w:val="nil"/>
              <w:left w:val="nil"/>
              <w:bottom w:val="single" w:color="auto" w:sz="8" w:space="0"/>
              <w:right w:val="single" w:color="auto" w:sz="8" w:space="0"/>
            </w:tcBorders>
            <w:shd w:val="clear" w:color="auto" w:fill="auto"/>
            <w:vAlign w:val="center"/>
          </w:tcPr>
          <w:p w14:paraId="183EABDC">
            <w:pPr>
              <w:bidi w:val="0"/>
            </w:pPr>
            <w:r>
              <w:t>N</w:t>
            </w:r>
            <w:r>
              <w:rPr>
                <w:rFonts w:hint="eastAsia"/>
              </w:rPr>
              <w:t>a</w:t>
            </w:r>
            <w:r>
              <w:t>der</w:t>
            </w:r>
          </w:p>
        </w:tc>
      </w:tr>
      <w:tr w14:paraId="730CA662">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4E3B16EC">
            <w:pPr>
              <w:bidi w:val="0"/>
            </w:pPr>
            <w:r>
              <w:t>M1;M2</w:t>
            </w:r>
          </w:p>
        </w:tc>
        <w:tc>
          <w:tcPr>
            <w:tcW w:w="1960" w:type="dxa"/>
            <w:tcBorders>
              <w:top w:val="nil"/>
              <w:left w:val="nil"/>
              <w:bottom w:val="single" w:color="auto" w:sz="8" w:space="0"/>
              <w:right w:val="single" w:color="auto" w:sz="8" w:space="0"/>
            </w:tcBorders>
            <w:shd w:val="clear" w:color="auto" w:fill="auto"/>
            <w:vAlign w:val="center"/>
          </w:tcPr>
          <w:p w14:paraId="1AD194A5">
            <w:pPr>
              <w:bidi w:val="0"/>
            </w:pPr>
            <w:r>
              <w:rPr>
                <w:rFonts w:hint="eastAsia"/>
              </w:rPr>
              <w:t>散热风扇</w:t>
            </w:r>
          </w:p>
        </w:tc>
        <w:tc>
          <w:tcPr>
            <w:tcW w:w="2280" w:type="dxa"/>
            <w:tcBorders>
              <w:top w:val="nil"/>
              <w:left w:val="nil"/>
              <w:bottom w:val="single" w:color="auto" w:sz="8" w:space="0"/>
              <w:right w:val="single" w:color="auto" w:sz="8" w:space="0"/>
            </w:tcBorders>
            <w:shd w:val="clear" w:color="auto" w:fill="auto"/>
            <w:vAlign w:val="center"/>
          </w:tcPr>
          <w:p w14:paraId="53F185DF">
            <w:pPr>
              <w:bidi w:val="0"/>
            </w:pPr>
            <w:r>
              <w:rPr>
                <w:rFonts w:hint="eastAsia"/>
              </w:rPr>
              <w:t>SKB-6221.230</w:t>
            </w:r>
          </w:p>
        </w:tc>
        <w:tc>
          <w:tcPr>
            <w:tcW w:w="900" w:type="dxa"/>
            <w:tcBorders>
              <w:top w:val="nil"/>
              <w:left w:val="nil"/>
              <w:bottom w:val="single" w:color="auto" w:sz="8" w:space="0"/>
              <w:right w:val="single" w:color="auto" w:sz="8" w:space="0"/>
            </w:tcBorders>
            <w:shd w:val="clear" w:color="auto" w:fill="auto"/>
            <w:vAlign w:val="center"/>
          </w:tcPr>
          <w:p w14:paraId="4FDFDFCA">
            <w:pPr>
              <w:bidi w:val="0"/>
            </w:pPr>
            <w:r>
              <w:rPr>
                <w:rFonts w:hint="eastAsia"/>
              </w:rPr>
              <w:t>2</w:t>
            </w:r>
          </w:p>
        </w:tc>
        <w:tc>
          <w:tcPr>
            <w:tcW w:w="1480" w:type="dxa"/>
            <w:tcBorders>
              <w:top w:val="nil"/>
              <w:left w:val="nil"/>
              <w:bottom w:val="single" w:color="auto" w:sz="8" w:space="0"/>
              <w:right w:val="single" w:color="auto" w:sz="8" w:space="0"/>
            </w:tcBorders>
            <w:shd w:val="clear" w:color="auto" w:fill="auto"/>
            <w:vAlign w:val="center"/>
          </w:tcPr>
          <w:p w14:paraId="43D80901">
            <w:pPr>
              <w:bidi w:val="0"/>
            </w:pPr>
            <w:r>
              <w:rPr>
                <w:rFonts w:hint="eastAsia"/>
              </w:rPr>
              <w:t>HFM</w:t>
            </w:r>
          </w:p>
        </w:tc>
      </w:tr>
      <w:tr w14:paraId="4609CDCA">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695D2D5">
            <w:pPr>
              <w:bidi w:val="0"/>
            </w:pPr>
            <w:r>
              <w:t>-XS1</w:t>
            </w:r>
          </w:p>
        </w:tc>
        <w:tc>
          <w:tcPr>
            <w:tcW w:w="1960" w:type="dxa"/>
            <w:tcBorders>
              <w:top w:val="nil"/>
              <w:left w:val="nil"/>
              <w:bottom w:val="single" w:color="auto" w:sz="8" w:space="0"/>
              <w:right w:val="single" w:color="auto" w:sz="8" w:space="0"/>
            </w:tcBorders>
            <w:shd w:val="clear" w:color="auto" w:fill="auto"/>
            <w:vAlign w:val="center"/>
          </w:tcPr>
          <w:p w14:paraId="63F00483">
            <w:pPr>
              <w:bidi w:val="0"/>
            </w:pPr>
            <w:r>
              <w:rPr>
                <w:rFonts w:hint="eastAsia"/>
              </w:rPr>
              <w:t>三孔插座</w:t>
            </w:r>
          </w:p>
        </w:tc>
        <w:tc>
          <w:tcPr>
            <w:tcW w:w="2280" w:type="dxa"/>
            <w:tcBorders>
              <w:top w:val="nil"/>
              <w:left w:val="nil"/>
              <w:bottom w:val="single" w:color="auto" w:sz="8" w:space="0"/>
              <w:right w:val="single" w:color="auto" w:sz="8" w:space="0"/>
            </w:tcBorders>
            <w:shd w:val="clear" w:color="auto" w:fill="auto"/>
            <w:vAlign w:val="center"/>
          </w:tcPr>
          <w:p w14:paraId="6FA9CEDE">
            <w:pPr>
              <w:bidi w:val="0"/>
            </w:pPr>
            <w:r>
              <w:rPr>
                <w:rFonts w:hint="eastAsia"/>
              </w:rPr>
              <w:t>AC30-122</w:t>
            </w:r>
          </w:p>
        </w:tc>
        <w:tc>
          <w:tcPr>
            <w:tcW w:w="900" w:type="dxa"/>
            <w:tcBorders>
              <w:top w:val="nil"/>
              <w:left w:val="nil"/>
              <w:bottom w:val="single" w:color="auto" w:sz="8" w:space="0"/>
              <w:right w:val="single" w:color="auto" w:sz="8" w:space="0"/>
            </w:tcBorders>
            <w:shd w:val="clear" w:color="auto" w:fill="auto"/>
            <w:vAlign w:val="center"/>
          </w:tcPr>
          <w:p w14:paraId="799FBE5F">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3B964933">
            <w:pPr>
              <w:bidi w:val="0"/>
            </w:pPr>
            <w:r>
              <w:rPr>
                <w:rFonts w:hint="eastAsia"/>
              </w:rPr>
              <w:t>CHINT</w:t>
            </w:r>
          </w:p>
        </w:tc>
      </w:tr>
      <w:tr w14:paraId="1E73B72E">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35FE49D">
            <w:pPr>
              <w:bidi w:val="0"/>
            </w:pPr>
            <w:r>
              <w:rPr>
                <w:rFonts w:hint="eastAsia"/>
              </w:rPr>
              <w:t>-IPC</w:t>
            </w:r>
          </w:p>
        </w:tc>
        <w:tc>
          <w:tcPr>
            <w:tcW w:w="1960" w:type="dxa"/>
            <w:tcBorders>
              <w:top w:val="nil"/>
              <w:left w:val="nil"/>
              <w:bottom w:val="single" w:color="auto" w:sz="8" w:space="0"/>
              <w:right w:val="single" w:color="auto" w:sz="8" w:space="0"/>
            </w:tcBorders>
            <w:shd w:val="clear" w:color="auto" w:fill="auto"/>
            <w:vAlign w:val="center"/>
          </w:tcPr>
          <w:p w14:paraId="04E79736">
            <w:pPr>
              <w:bidi w:val="0"/>
            </w:pPr>
            <w:r>
              <w:rPr>
                <w:rFonts w:hint="eastAsia"/>
              </w:rPr>
              <w:t>工控机</w:t>
            </w:r>
          </w:p>
        </w:tc>
        <w:tc>
          <w:tcPr>
            <w:tcW w:w="2280" w:type="dxa"/>
            <w:tcBorders>
              <w:top w:val="nil"/>
              <w:left w:val="nil"/>
              <w:bottom w:val="single" w:color="auto" w:sz="8" w:space="0"/>
              <w:right w:val="single" w:color="auto" w:sz="8" w:space="0"/>
            </w:tcBorders>
            <w:shd w:val="clear" w:color="auto" w:fill="auto"/>
            <w:vAlign w:val="center"/>
          </w:tcPr>
          <w:p w14:paraId="36A90C10">
            <w:pPr>
              <w:bidi w:val="0"/>
            </w:pPr>
            <w:r>
              <w:rPr>
                <w:rFonts w:hint="eastAsia"/>
              </w:rPr>
              <w:t>HPC-600</w:t>
            </w:r>
          </w:p>
        </w:tc>
        <w:tc>
          <w:tcPr>
            <w:tcW w:w="900" w:type="dxa"/>
            <w:tcBorders>
              <w:top w:val="nil"/>
              <w:left w:val="nil"/>
              <w:bottom w:val="single" w:color="auto" w:sz="8" w:space="0"/>
              <w:right w:val="single" w:color="auto" w:sz="8" w:space="0"/>
            </w:tcBorders>
            <w:shd w:val="clear" w:color="auto" w:fill="auto"/>
            <w:vAlign w:val="center"/>
          </w:tcPr>
          <w:p w14:paraId="4CE58B32">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19263995">
            <w:pPr>
              <w:bidi w:val="0"/>
            </w:pPr>
            <w:r>
              <w:rPr>
                <w:rFonts w:hint="eastAsia"/>
              </w:rPr>
              <w:t>惠普</w:t>
            </w:r>
          </w:p>
        </w:tc>
      </w:tr>
      <w:tr w14:paraId="0B732A12">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C629199">
            <w:pPr>
              <w:bidi w:val="0"/>
            </w:pPr>
            <w:r>
              <w:rPr>
                <w:rFonts w:hint="eastAsia"/>
              </w:rPr>
              <w:t>-HMI</w:t>
            </w:r>
          </w:p>
        </w:tc>
        <w:tc>
          <w:tcPr>
            <w:tcW w:w="1960" w:type="dxa"/>
            <w:tcBorders>
              <w:top w:val="nil"/>
              <w:left w:val="nil"/>
              <w:bottom w:val="single" w:color="auto" w:sz="8" w:space="0"/>
              <w:right w:val="single" w:color="auto" w:sz="8" w:space="0"/>
            </w:tcBorders>
            <w:shd w:val="clear" w:color="auto" w:fill="auto"/>
            <w:vAlign w:val="center"/>
          </w:tcPr>
          <w:p w14:paraId="7A17F062">
            <w:pPr>
              <w:bidi w:val="0"/>
            </w:pPr>
            <w:r>
              <w:rPr>
                <w:rFonts w:hint="eastAsia"/>
              </w:rPr>
              <w:t>触摸屏</w:t>
            </w:r>
          </w:p>
        </w:tc>
        <w:tc>
          <w:tcPr>
            <w:tcW w:w="2280" w:type="dxa"/>
            <w:tcBorders>
              <w:top w:val="nil"/>
              <w:left w:val="nil"/>
              <w:bottom w:val="single" w:color="auto" w:sz="8" w:space="0"/>
              <w:right w:val="single" w:color="auto" w:sz="8" w:space="0"/>
            </w:tcBorders>
            <w:shd w:val="clear" w:color="auto" w:fill="auto"/>
            <w:vAlign w:val="center"/>
          </w:tcPr>
          <w:p w14:paraId="7DCE3915">
            <w:pPr>
              <w:bidi w:val="0"/>
            </w:pPr>
            <w:r>
              <w:rPr>
                <w:rFonts w:hint="eastAsia"/>
              </w:rPr>
              <w:t>PPC-215-3000</w:t>
            </w:r>
          </w:p>
        </w:tc>
        <w:tc>
          <w:tcPr>
            <w:tcW w:w="900" w:type="dxa"/>
            <w:tcBorders>
              <w:top w:val="nil"/>
              <w:left w:val="nil"/>
              <w:bottom w:val="single" w:color="auto" w:sz="8" w:space="0"/>
              <w:right w:val="single" w:color="auto" w:sz="8" w:space="0"/>
            </w:tcBorders>
            <w:shd w:val="clear" w:color="auto" w:fill="auto"/>
            <w:vAlign w:val="center"/>
          </w:tcPr>
          <w:p w14:paraId="7693F723">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61060267">
            <w:pPr>
              <w:bidi w:val="0"/>
            </w:pPr>
            <w:r>
              <w:rPr>
                <w:rFonts w:hint="eastAsia"/>
              </w:rPr>
              <w:t>adipcom</w:t>
            </w:r>
          </w:p>
        </w:tc>
      </w:tr>
      <w:tr w14:paraId="1DE201AE">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387FABB">
            <w:pPr>
              <w:bidi w:val="0"/>
            </w:pPr>
            <w:r>
              <w:t>-1215C</w:t>
            </w:r>
          </w:p>
        </w:tc>
        <w:tc>
          <w:tcPr>
            <w:tcW w:w="1960" w:type="dxa"/>
            <w:tcBorders>
              <w:top w:val="nil"/>
              <w:left w:val="nil"/>
              <w:bottom w:val="single" w:color="auto" w:sz="8" w:space="0"/>
              <w:right w:val="single" w:color="auto" w:sz="8" w:space="0"/>
            </w:tcBorders>
            <w:shd w:val="clear" w:color="auto" w:fill="auto"/>
            <w:vAlign w:val="center"/>
          </w:tcPr>
          <w:p w14:paraId="6B41A4C2">
            <w:pPr>
              <w:bidi w:val="0"/>
            </w:pPr>
            <w:r>
              <w:rPr>
                <w:rFonts w:hint="eastAsia"/>
              </w:rPr>
              <w:t>CPU</w:t>
            </w:r>
          </w:p>
        </w:tc>
        <w:tc>
          <w:tcPr>
            <w:tcW w:w="2280" w:type="dxa"/>
            <w:tcBorders>
              <w:top w:val="nil"/>
              <w:left w:val="nil"/>
              <w:bottom w:val="single" w:color="auto" w:sz="8" w:space="0"/>
              <w:right w:val="single" w:color="auto" w:sz="8" w:space="0"/>
            </w:tcBorders>
            <w:shd w:val="clear" w:color="auto" w:fill="auto"/>
            <w:vAlign w:val="center"/>
          </w:tcPr>
          <w:p w14:paraId="51D0D686">
            <w:pPr>
              <w:bidi w:val="0"/>
            </w:pPr>
            <w:r>
              <w:t>6ES7215-1HG31-0XB0</w:t>
            </w:r>
          </w:p>
        </w:tc>
        <w:tc>
          <w:tcPr>
            <w:tcW w:w="900" w:type="dxa"/>
            <w:tcBorders>
              <w:top w:val="nil"/>
              <w:left w:val="nil"/>
              <w:bottom w:val="single" w:color="auto" w:sz="8" w:space="0"/>
              <w:right w:val="single" w:color="auto" w:sz="8" w:space="0"/>
            </w:tcBorders>
            <w:shd w:val="clear" w:color="auto" w:fill="auto"/>
            <w:vAlign w:val="center"/>
          </w:tcPr>
          <w:p w14:paraId="7A0FEA9C">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1BFD221C">
            <w:pPr>
              <w:bidi w:val="0"/>
            </w:pPr>
            <w:r>
              <w:rPr>
                <w:rFonts w:hint="eastAsia"/>
              </w:rPr>
              <w:t>Siemens</w:t>
            </w:r>
          </w:p>
        </w:tc>
      </w:tr>
      <w:tr w14:paraId="059F4786">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459947C3">
            <w:pPr>
              <w:bidi w:val="0"/>
            </w:pPr>
            <w:r>
              <w:rPr>
                <w:rFonts w:hint="eastAsia"/>
              </w:rPr>
              <w:t>-DM1;-DM2;-DM3;-DM4</w:t>
            </w:r>
          </w:p>
        </w:tc>
        <w:tc>
          <w:tcPr>
            <w:tcW w:w="1960" w:type="dxa"/>
            <w:tcBorders>
              <w:top w:val="nil"/>
              <w:left w:val="nil"/>
              <w:bottom w:val="single" w:color="auto" w:sz="8" w:space="0"/>
              <w:right w:val="single" w:color="auto" w:sz="8" w:space="0"/>
            </w:tcBorders>
            <w:shd w:val="clear" w:color="auto" w:fill="auto"/>
            <w:vAlign w:val="center"/>
          </w:tcPr>
          <w:p w14:paraId="2AABD0A7">
            <w:pPr>
              <w:bidi w:val="0"/>
            </w:pPr>
            <w:r>
              <w:rPr>
                <w:rFonts w:hint="eastAsia"/>
              </w:rPr>
              <w:t>读码器</w:t>
            </w:r>
          </w:p>
        </w:tc>
        <w:tc>
          <w:tcPr>
            <w:tcW w:w="2280" w:type="dxa"/>
            <w:tcBorders>
              <w:top w:val="nil"/>
              <w:left w:val="nil"/>
              <w:bottom w:val="single" w:color="auto" w:sz="8" w:space="0"/>
              <w:right w:val="single" w:color="auto" w:sz="8" w:space="0"/>
            </w:tcBorders>
            <w:shd w:val="clear" w:color="auto" w:fill="auto"/>
            <w:vAlign w:val="center"/>
          </w:tcPr>
          <w:p w14:paraId="76831288">
            <w:pPr>
              <w:bidi w:val="0"/>
            </w:pPr>
            <w:r>
              <w:rPr>
                <w:rFonts w:hint="eastAsia"/>
              </w:rPr>
              <w:t>DM370-X</w:t>
            </w:r>
          </w:p>
        </w:tc>
        <w:tc>
          <w:tcPr>
            <w:tcW w:w="900" w:type="dxa"/>
            <w:tcBorders>
              <w:top w:val="nil"/>
              <w:left w:val="nil"/>
              <w:bottom w:val="single" w:color="auto" w:sz="8" w:space="0"/>
              <w:right w:val="single" w:color="auto" w:sz="8" w:space="0"/>
            </w:tcBorders>
            <w:shd w:val="clear" w:color="auto" w:fill="auto"/>
            <w:vAlign w:val="center"/>
          </w:tcPr>
          <w:p w14:paraId="4F523368">
            <w:pPr>
              <w:bidi w:val="0"/>
            </w:pPr>
            <w:r>
              <w:rPr>
                <w:rFonts w:hint="eastAsia"/>
              </w:rPr>
              <w:t>4</w:t>
            </w:r>
          </w:p>
        </w:tc>
        <w:tc>
          <w:tcPr>
            <w:tcW w:w="1480" w:type="dxa"/>
            <w:tcBorders>
              <w:top w:val="nil"/>
              <w:left w:val="nil"/>
              <w:bottom w:val="single" w:color="auto" w:sz="8" w:space="0"/>
              <w:right w:val="single" w:color="auto" w:sz="8" w:space="0"/>
            </w:tcBorders>
            <w:shd w:val="clear" w:color="auto" w:fill="auto"/>
            <w:vAlign w:val="center"/>
          </w:tcPr>
          <w:p w14:paraId="5EC670C6">
            <w:pPr>
              <w:bidi w:val="0"/>
            </w:pPr>
            <w:r>
              <w:rPr>
                <w:rFonts w:hint="eastAsia"/>
              </w:rPr>
              <w:t>Cognex</w:t>
            </w:r>
          </w:p>
        </w:tc>
      </w:tr>
      <w:tr w14:paraId="5364564B">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098C7A9C">
            <w:pPr>
              <w:bidi w:val="0"/>
            </w:pPr>
            <w:r>
              <w:rPr>
                <w:rFonts w:hint="eastAsia"/>
              </w:rPr>
              <w:t>-OC1;-OC2</w:t>
            </w:r>
          </w:p>
        </w:tc>
        <w:tc>
          <w:tcPr>
            <w:tcW w:w="1960" w:type="dxa"/>
            <w:tcBorders>
              <w:top w:val="nil"/>
              <w:left w:val="nil"/>
              <w:bottom w:val="single" w:color="auto" w:sz="8" w:space="0"/>
              <w:right w:val="single" w:color="auto" w:sz="8" w:space="0"/>
            </w:tcBorders>
            <w:shd w:val="clear" w:color="auto" w:fill="auto"/>
            <w:vAlign w:val="center"/>
          </w:tcPr>
          <w:p w14:paraId="34C96FFD">
            <w:pPr>
              <w:bidi w:val="0"/>
            </w:pPr>
            <w:r>
              <w:rPr>
                <w:rFonts w:hint="eastAsia"/>
              </w:rPr>
              <w:t>光耦模块</w:t>
            </w:r>
          </w:p>
        </w:tc>
        <w:tc>
          <w:tcPr>
            <w:tcW w:w="2280" w:type="dxa"/>
            <w:tcBorders>
              <w:top w:val="nil"/>
              <w:left w:val="nil"/>
              <w:bottom w:val="single" w:color="auto" w:sz="8" w:space="0"/>
              <w:right w:val="single" w:color="auto" w:sz="8" w:space="0"/>
            </w:tcBorders>
            <w:shd w:val="clear" w:color="auto" w:fill="auto"/>
            <w:vAlign w:val="center"/>
          </w:tcPr>
          <w:p w14:paraId="54D0ED98">
            <w:pPr>
              <w:bidi w:val="0"/>
            </w:pPr>
            <w:r>
              <w:t>HL-SAB-PNP-12</w:t>
            </w:r>
          </w:p>
        </w:tc>
        <w:tc>
          <w:tcPr>
            <w:tcW w:w="900" w:type="dxa"/>
            <w:tcBorders>
              <w:top w:val="nil"/>
              <w:left w:val="nil"/>
              <w:bottom w:val="single" w:color="auto" w:sz="8" w:space="0"/>
              <w:right w:val="single" w:color="auto" w:sz="8" w:space="0"/>
            </w:tcBorders>
            <w:shd w:val="clear" w:color="auto" w:fill="auto"/>
            <w:vAlign w:val="center"/>
          </w:tcPr>
          <w:p w14:paraId="3ED8D415">
            <w:pPr>
              <w:bidi w:val="0"/>
            </w:pPr>
            <w:r>
              <w:rPr>
                <w:rFonts w:hint="eastAsia"/>
              </w:rPr>
              <w:t>2</w:t>
            </w:r>
          </w:p>
        </w:tc>
        <w:tc>
          <w:tcPr>
            <w:tcW w:w="1480" w:type="dxa"/>
            <w:tcBorders>
              <w:top w:val="nil"/>
              <w:left w:val="nil"/>
              <w:bottom w:val="single" w:color="auto" w:sz="8" w:space="0"/>
              <w:right w:val="single" w:color="auto" w:sz="8" w:space="0"/>
            </w:tcBorders>
            <w:shd w:val="clear" w:color="auto" w:fill="auto"/>
            <w:vAlign w:val="center"/>
          </w:tcPr>
          <w:p w14:paraId="43311522">
            <w:pPr>
              <w:bidi w:val="0"/>
            </w:pPr>
            <w:r>
              <w:rPr>
                <w:rFonts w:hint="eastAsia"/>
              </w:rPr>
              <w:t>奥延</w:t>
            </w:r>
          </w:p>
        </w:tc>
      </w:tr>
      <w:tr w14:paraId="3849BE32">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7D1194E3">
            <w:pPr>
              <w:bidi w:val="0"/>
            </w:pPr>
            <w:r>
              <w:rPr>
                <w:rFonts w:hint="eastAsia"/>
              </w:rPr>
              <w:t>-KA1;-KA2;</w:t>
            </w:r>
          </w:p>
        </w:tc>
        <w:tc>
          <w:tcPr>
            <w:tcW w:w="1960" w:type="dxa"/>
            <w:tcBorders>
              <w:top w:val="nil"/>
              <w:left w:val="nil"/>
              <w:bottom w:val="single" w:color="auto" w:sz="8" w:space="0"/>
              <w:right w:val="single" w:color="auto" w:sz="8" w:space="0"/>
            </w:tcBorders>
            <w:shd w:val="clear" w:color="auto" w:fill="auto"/>
            <w:vAlign w:val="center"/>
          </w:tcPr>
          <w:p w14:paraId="40F4AF00">
            <w:pPr>
              <w:bidi w:val="0"/>
            </w:pPr>
            <w:r>
              <w:rPr>
                <w:rFonts w:hint="eastAsia"/>
              </w:rPr>
              <w:t>中间继电器</w:t>
            </w:r>
          </w:p>
        </w:tc>
        <w:tc>
          <w:tcPr>
            <w:tcW w:w="2280" w:type="dxa"/>
            <w:tcBorders>
              <w:top w:val="nil"/>
              <w:left w:val="nil"/>
              <w:bottom w:val="single" w:color="auto" w:sz="8" w:space="0"/>
              <w:right w:val="single" w:color="auto" w:sz="8" w:space="0"/>
            </w:tcBorders>
            <w:shd w:val="clear" w:color="auto" w:fill="auto"/>
            <w:vAlign w:val="center"/>
          </w:tcPr>
          <w:p w14:paraId="618DD825">
            <w:pPr>
              <w:bidi w:val="0"/>
            </w:pPr>
            <w:r>
              <w:t>RXM2AB2BD+RXZE1M2C</w:t>
            </w:r>
          </w:p>
        </w:tc>
        <w:tc>
          <w:tcPr>
            <w:tcW w:w="900" w:type="dxa"/>
            <w:tcBorders>
              <w:top w:val="nil"/>
              <w:left w:val="nil"/>
              <w:bottom w:val="single" w:color="auto" w:sz="8" w:space="0"/>
              <w:right w:val="single" w:color="auto" w:sz="8" w:space="0"/>
            </w:tcBorders>
            <w:shd w:val="clear" w:color="auto" w:fill="auto"/>
            <w:vAlign w:val="center"/>
          </w:tcPr>
          <w:p w14:paraId="5827B404">
            <w:pPr>
              <w:bidi w:val="0"/>
            </w:pPr>
            <w:r>
              <w:t>2</w:t>
            </w:r>
          </w:p>
        </w:tc>
        <w:tc>
          <w:tcPr>
            <w:tcW w:w="1480" w:type="dxa"/>
            <w:tcBorders>
              <w:top w:val="nil"/>
              <w:left w:val="nil"/>
              <w:bottom w:val="single" w:color="auto" w:sz="8" w:space="0"/>
              <w:right w:val="single" w:color="auto" w:sz="8" w:space="0"/>
            </w:tcBorders>
            <w:shd w:val="clear" w:color="auto" w:fill="auto"/>
            <w:vAlign w:val="center"/>
          </w:tcPr>
          <w:p w14:paraId="5CECE742">
            <w:pPr>
              <w:bidi w:val="0"/>
            </w:pPr>
            <w:r>
              <w:t>Schneider</w:t>
            </w:r>
          </w:p>
        </w:tc>
      </w:tr>
      <w:tr w14:paraId="41146B6F">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6CBC5332">
            <w:pPr>
              <w:bidi w:val="0"/>
            </w:pPr>
            <w:r>
              <w:rPr>
                <w:rFonts w:hint="eastAsia"/>
              </w:rPr>
              <w:t>-XA1;-XA2</w:t>
            </w:r>
          </w:p>
        </w:tc>
        <w:tc>
          <w:tcPr>
            <w:tcW w:w="1960" w:type="dxa"/>
            <w:tcBorders>
              <w:top w:val="nil"/>
              <w:left w:val="nil"/>
              <w:bottom w:val="single" w:color="auto" w:sz="8" w:space="0"/>
              <w:right w:val="single" w:color="auto" w:sz="8" w:space="0"/>
            </w:tcBorders>
            <w:shd w:val="clear" w:color="auto" w:fill="auto"/>
            <w:vAlign w:val="center"/>
          </w:tcPr>
          <w:p w14:paraId="426F60A9">
            <w:pPr>
              <w:bidi w:val="0"/>
            </w:pPr>
            <w:r>
              <w:rPr>
                <w:rFonts w:hint="eastAsia"/>
              </w:rPr>
              <w:t>端子</w:t>
            </w:r>
          </w:p>
        </w:tc>
        <w:tc>
          <w:tcPr>
            <w:tcW w:w="2280" w:type="dxa"/>
            <w:tcBorders>
              <w:top w:val="nil"/>
              <w:left w:val="nil"/>
              <w:bottom w:val="single" w:color="auto" w:sz="8" w:space="0"/>
              <w:right w:val="single" w:color="auto" w:sz="8" w:space="0"/>
            </w:tcBorders>
            <w:shd w:val="clear" w:color="auto" w:fill="auto"/>
            <w:vAlign w:val="center"/>
          </w:tcPr>
          <w:p w14:paraId="666ACB75">
            <w:pPr>
              <w:bidi w:val="0"/>
            </w:pPr>
            <w:r>
              <w:t>280-833弹簧式</w:t>
            </w:r>
          </w:p>
        </w:tc>
        <w:tc>
          <w:tcPr>
            <w:tcW w:w="900" w:type="dxa"/>
            <w:tcBorders>
              <w:top w:val="nil"/>
              <w:left w:val="nil"/>
              <w:bottom w:val="single" w:color="auto" w:sz="8" w:space="0"/>
              <w:right w:val="single" w:color="auto" w:sz="8" w:space="0"/>
            </w:tcBorders>
            <w:shd w:val="clear" w:color="auto" w:fill="auto"/>
            <w:vAlign w:val="center"/>
          </w:tcPr>
          <w:p w14:paraId="1C454164">
            <w:pPr>
              <w:bidi w:val="0"/>
            </w:pPr>
            <w:r>
              <w:t>40</w:t>
            </w:r>
          </w:p>
        </w:tc>
        <w:tc>
          <w:tcPr>
            <w:tcW w:w="1480" w:type="dxa"/>
            <w:tcBorders>
              <w:top w:val="nil"/>
              <w:left w:val="nil"/>
              <w:bottom w:val="single" w:color="auto" w:sz="8" w:space="0"/>
              <w:right w:val="single" w:color="auto" w:sz="8" w:space="0"/>
            </w:tcBorders>
            <w:shd w:val="clear" w:color="auto" w:fill="auto"/>
            <w:vAlign w:val="center"/>
          </w:tcPr>
          <w:p w14:paraId="531611E3">
            <w:pPr>
              <w:bidi w:val="0"/>
            </w:pPr>
            <w:r>
              <w:t>WAGO</w:t>
            </w:r>
          </w:p>
        </w:tc>
      </w:tr>
      <w:tr w14:paraId="4B913605">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3CC7DAF">
            <w:pPr>
              <w:bidi w:val="0"/>
            </w:pPr>
            <w:r>
              <w:rPr>
                <w:rFonts w:hint="eastAsia"/>
              </w:rPr>
              <w:t>-X1;-X2;-X4</w:t>
            </w:r>
          </w:p>
        </w:tc>
        <w:tc>
          <w:tcPr>
            <w:tcW w:w="1960" w:type="dxa"/>
            <w:tcBorders>
              <w:top w:val="nil"/>
              <w:left w:val="nil"/>
              <w:bottom w:val="single" w:color="auto" w:sz="8" w:space="0"/>
              <w:right w:val="single" w:color="auto" w:sz="8" w:space="0"/>
            </w:tcBorders>
            <w:shd w:val="clear" w:color="auto" w:fill="auto"/>
            <w:vAlign w:val="center"/>
          </w:tcPr>
          <w:p w14:paraId="087FADD3">
            <w:pPr>
              <w:bidi w:val="0"/>
            </w:pPr>
            <w:r>
              <w:rPr>
                <w:rFonts w:hint="eastAsia"/>
              </w:rPr>
              <w:t>哈丁0.5mm 母针</w:t>
            </w:r>
          </w:p>
        </w:tc>
        <w:tc>
          <w:tcPr>
            <w:tcW w:w="2280" w:type="dxa"/>
            <w:tcBorders>
              <w:top w:val="nil"/>
              <w:left w:val="nil"/>
              <w:bottom w:val="single" w:color="auto" w:sz="8" w:space="0"/>
              <w:right w:val="single" w:color="auto" w:sz="8" w:space="0"/>
            </w:tcBorders>
            <w:shd w:val="clear" w:color="auto" w:fill="auto"/>
            <w:vAlign w:val="center"/>
          </w:tcPr>
          <w:p w14:paraId="5BAA08AF">
            <w:pPr>
              <w:bidi w:val="0"/>
            </w:pPr>
            <w:r>
              <w:rPr>
                <w:rFonts w:hint="eastAsia"/>
              </w:rPr>
              <w:t>9150006203</w:t>
            </w:r>
          </w:p>
        </w:tc>
        <w:tc>
          <w:tcPr>
            <w:tcW w:w="900" w:type="dxa"/>
            <w:tcBorders>
              <w:top w:val="nil"/>
              <w:left w:val="nil"/>
              <w:bottom w:val="single" w:color="auto" w:sz="8" w:space="0"/>
              <w:right w:val="single" w:color="auto" w:sz="8" w:space="0"/>
            </w:tcBorders>
            <w:shd w:val="clear" w:color="auto" w:fill="auto"/>
            <w:vAlign w:val="center"/>
          </w:tcPr>
          <w:p w14:paraId="3910D9F8">
            <w:pPr>
              <w:bidi w:val="0"/>
            </w:pPr>
            <w:r>
              <w:t>4</w:t>
            </w:r>
          </w:p>
        </w:tc>
        <w:tc>
          <w:tcPr>
            <w:tcW w:w="1480" w:type="dxa"/>
            <w:tcBorders>
              <w:top w:val="nil"/>
              <w:left w:val="nil"/>
              <w:bottom w:val="single" w:color="auto" w:sz="8" w:space="0"/>
              <w:right w:val="single" w:color="auto" w:sz="8" w:space="0"/>
            </w:tcBorders>
            <w:shd w:val="clear" w:color="auto" w:fill="auto"/>
            <w:vAlign w:val="center"/>
          </w:tcPr>
          <w:p w14:paraId="1B2F89BB">
            <w:pPr>
              <w:bidi w:val="0"/>
            </w:pPr>
            <w:r>
              <w:rPr>
                <w:rFonts w:hint="eastAsia"/>
              </w:rPr>
              <w:t>Harting</w:t>
            </w:r>
          </w:p>
        </w:tc>
      </w:tr>
      <w:tr w14:paraId="198785D5">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3CDF2FF">
            <w:pPr>
              <w:bidi w:val="0"/>
            </w:pPr>
            <w:r>
              <w:rPr>
                <w:rFonts w:hint="eastAsia"/>
              </w:rPr>
              <w:t>-X1;-X2;-X4</w:t>
            </w:r>
          </w:p>
        </w:tc>
        <w:tc>
          <w:tcPr>
            <w:tcW w:w="1960" w:type="dxa"/>
            <w:tcBorders>
              <w:top w:val="nil"/>
              <w:left w:val="nil"/>
              <w:bottom w:val="single" w:color="auto" w:sz="8" w:space="0"/>
              <w:right w:val="single" w:color="auto" w:sz="8" w:space="0"/>
            </w:tcBorders>
            <w:shd w:val="clear" w:color="auto" w:fill="auto"/>
            <w:vAlign w:val="center"/>
          </w:tcPr>
          <w:p w14:paraId="1A57B484">
            <w:pPr>
              <w:bidi w:val="0"/>
            </w:pPr>
            <w:r>
              <w:rPr>
                <w:rFonts w:hint="eastAsia"/>
              </w:rPr>
              <w:t>哈丁连接器公芯</w:t>
            </w:r>
          </w:p>
        </w:tc>
        <w:tc>
          <w:tcPr>
            <w:tcW w:w="2280" w:type="dxa"/>
            <w:tcBorders>
              <w:top w:val="nil"/>
              <w:left w:val="nil"/>
              <w:bottom w:val="single" w:color="auto" w:sz="8" w:space="0"/>
              <w:right w:val="single" w:color="auto" w:sz="8" w:space="0"/>
            </w:tcBorders>
            <w:shd w:val="clear" w:color="auto" w:fill="auto"/>
            <w:vAlign w:val="center"/>
          </w:tcPr>
          <w:p w14:paraId="0CEDABED">
            <w:pPr>
              <w:bidi w:val="0"/>
            </w:pPr>
            <w:r>
              <w:rPr>
                <w:rFonts w:hint="eastAsia"/>
              </w:rPr>
              <w:t>9210403001</w:t>
            </w:r>
          </w:p>
        </w:tc>
        <w:tc>
          <w:tcPr>
            <w:tcW w:w="900" w:type="dxa"/>
            <w:tcBorders>
              <w:top w:val="nil"/>
              <w:left w:val="nil"/>
              <w:bottom w:val="single" w:color="auto" w:sz="8" w:space="0"/>
              <w:right w:val="single" w:color="auto" w:sz="8" w:space="0"/>
            </w:tcBorders>
            <w:shd w:val="clear" w:color="auto" w:fill="auto"/>
            <w:vAlign w:val="center"/>
          </w:tcPr>
          <w:p w14:paraId="64EB16BC">
            <w:pPr>
              <w:bidi w:val="0"/>
            </w:pPr>
            <w:r>
              <w:rPr>
                <w:rFonts w:hint="eastAsia"/>
              </w:rPr>
              <w:t>4</w:t>
            </w:r>
          </w:p>
        </w:tc>
        <w:tc>
          <w:tcPr>
            <w:tcW w:w="1480" w:type="dxa"/>
            <w:tcBorders>
              <w:top w:val="nil"/>
              <w:left w:val="nil"/>
              <w:bottom w:val="single" w:color="auto" w:sz="8" w:space="0"/>
              <w:right w:val="single" w:color="auto" w:sz="8" w:space="0"/>
            </w:tcBorders>
            <w:shd w:val="clear" w:color="auto" w:fill="auto"/>
            <w:vAlign w:val="center"/>
          </w:tcPr>
          <w:p w14:paraId="0DA28852">
            <w:pPr>
              <w:bidi w:val="0"/>
            </w:pPr>
            <w:r>
              <w:rPr>
                <w:rFonts w:hint="eastAsia"/>
              </w:rPr>
              <w:t>Harting</w:t>
            </w:r>
          </w:p>
        </w:tc>
      </w:tr>
      <w:tr w14:paraId="508FC572">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2C0FD8C6">
            <w:pPr>
              <w:bidi w:val="0"/>
            </w:pPr>
            <w:r>
              <w:rPr>
                <w:rFonts w:hint="eastAsia"/>
              </w:rPr>
              <w:t>-X1;-X2;-X3;-X4</w:t>
            </w:r>
          </w:p>
        </w:tc>
        <w:tc>
          <w:tcPr>
            <w:tcW w:w="1960" w:type="dxa"/>
            <w:tcBorders>
              <w:top w:val="nil"/>
              <w:left w:val="nil"/>
              <w:bottom w:val="single" w:color="auto" w:sz="8" w:space="0"/>
              <w:right w:val="single" w:color="auto" w:sz="8" w:space="0"/>
            </w:tcBorders>
            <w:shd w:val="clear" w:color="auto" w:fill="auto"/>
            <w:vAlign w:val="center"/>
          </w:tcPr>
          <w:p w14:paraId="74459184">
            <w:pPr>
              <w:bidi w:val="0"/>
            </w:pPr>
            <w:r>
              <w:rPr>
                <w:rFonts w:hint="eastAsia"/>
              </w:rPr>
              <w:t>哈丁0.5mm 公针</w:t>
            </w:r>
          </w:p>
        </w:tc>
        <w:tc>
          <w:tcPr>
            <w:tcW w:w="2280" w:type="dxa"/>
            <w:tcBorders>
              <w:top w:val="nil"/>
              <w:left w:val="nil"/>
              <w:bottom w:val="single" w:color="auto" w:sz="8" w:space="0"/>
              <w:right w:val="single" w:color="auto" w:sz="8" w:space="0"/>
            </w:tcBorders>
            <w:shd w:val="clear" w:color="auto" w:fill="auto"/>
            <w:vAlign w:val="center"/>
          </w:tcPr>
          <w:p w14:paraId="3EAD50DE">
            <w:pPr>
              <w:bidi w:val="0"/>
            </w:pPr>
            <w:r>
              <w:rPr>
                <w:rFonts w:hint="eastAsia"/>
              </w:rPr>
              <w:t>9150006103</w:t>
            </w:r>
          </w:p>
        </w:tc>
        <w:tc>
          <w:tcPr>
            <w:tcW w:w="900" w:type="dxa"/>
            <w:tcBorders>
              <w:top w:val="nil"/>
              <w:left w:val="nil"/>
              <w:bottom w:val="single" w:color="auto" w:sz="8" w:space="0"/>
              <w:right w:val="single" w:color="auto" w:sz="8" w:space="0"/>
            </w:tcBorders>
            <w:shd w:val="clear" w:color="auto" w:fill="auto"/>
            <w:vAlign w:val="center"/>
          </w:tcPr>
          <w:p w14:paraId="2ACAD562">
            <w:pPr>
              <w:bidi w:val="0"/>
            </w:pPr>
            <w:r>
              <w:rPr>
                <w:rFonts w:hint="eastAsia"/>
              </w:rPr>
              <w:t>X</w:t>
            </w:r>
          </w:p>
        </w:tc>
        <w:tc>
          <w:tcPr>
            <w:tcW w:w="1480" w:type="dxa"/>
            <w:tcBorders>
              <w:top w:val="nil"/>
              <w:left w:val="nil"/>
              <w:bottom w:val="single" w:color="auto" w:sz="8" w:space="0"/>
              <w:right w:val="single" w:color="auto" w:sz="8" w:space="0"/>
            </w:tcBorders>
            <w:shd w:val="clear" w:color="auto" w:fill="auto"/>
            <w:vAlign w:val="center"/>
          </w:tcPr>
          <w:p w14:paraId="5EDA2CAD">
            <w:pPr>
              <w:bidi w:val="0"/>
            </w:pPr>
            <w:r>
              <w:rPr>
                <w:rFonts w:hint="eastAsia"/>
              </w:rPr>
              <w:t>Harting</w:t>
            </w:r>
          </w:p>
        </w:tc>
      </w:tr>
      <w:tr w14:paraId="6AEE10DB">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67ADAE47">
            <w:pPr>
              <w:bidi w:val="0"/>
            </w:pPr>
            <w:r>
              <w:rPr>
                <w:rFonts w:hint="eastAsia"/>
              </w:rPr>
              <w:t>-X1;-X2;-X3;-X4</w:t>
            </w:r>
          </w:p>
        </w:tc>
        <w:tc>
          <w:tcPr>
            <w:tcW w:w="1960" w:type="dxa"/>
            <w:tcBorders>
              <w:top w:val="nil"/>
              <w:left w:val="nil"/>
              <w:bottom w:val="single" w:color="auto" w:sz="8" w:space="0"/>
              <w:right w:val="single" w:color="auto" w:sz="8" w:space="0"/>
            </w:tcBorders>
            <w:shd w:val="clear" w:color="auto" w:fill="auto"/>
            <w:vAlign w:val="center"/>
          </w:tcPr>
          <w:p w14:paraId="03FB7A92">
            <w:pPr>
              <w:bidi w:val="0"/>
            </w:pPr>
            <w:r>
              <w:rPr>
                <w:rFonts w:hint="eastAsia"/>
              </w:rPr>
              <w:t>哈丁公头护罩</w:t>
            </w:r>
          </w:p>
        </w:tc>
        <w:tc>
          <w:tcPr>
            <w:tcW w:w="2280" w:type="dxa"/>
            <w:tcBorders>
              <w:top w:val="nil"/>
              <w:left w:val="nil"/>
              <w:bottom w:val="single" w:color="auto" w:sz="8" w:space="0"/>
              <w:right w:val="single" w:color="auto" w:sz="8" w:space="0"/>
            </w:tcBorders>
            <w:shd w:val="clear" w:color="auto" w:fill="auto"/>
            <w:vAlign w:val="center"/>
          </w:tcPr>
          <w:p w14:paraId="4E5E3F9B">
            <w:pPr>
              <w:bidi w:val="0"/>
            </w:pPr>
            <w:r>
              <w:rPr>
                <w:rFonts w:hint="eastAsia"/>
              </w:rPr>
              <w:t>W16B-TEH-4B-M40</w:t>
            </w:r>
          </w:p>
        </w:tc>
        <w:tc>
          <w:tcPr>
            <w:tcW w:w="900" w:type="dxa"/>
            <w:tcBorders>
              <w:top w:val="nil"/>
              <w:left w:val="nil"/>
              <w:bottom w:val="single" w:color="auto" w:sz="8" w:space="0"/>
              <w:right w:val="single" w:color="auto" w:sz="8" w:space="0"/>
            </w:tcBorders>
            <w:shd w:val="clear" w:color="auto" w:fill="auto"/>
            <w:vAlign w:val="center"/>
          </w:tcPr>
          <w:p w14:paraId="4FBB11C0">
            <w:pPr>
              <w:bidi w:val="0"/>
            </w:pPr>
            <w:r>
              <w:rPr>
                <w:rFonts w:hint="eastAsia"/>
              </w:rPr>
              <w:t>X</w:t>
            </w:r>
          </w:p>
        </w:tc>
        <w:tc>
          <w:tcPr>
            <w:tcW w:w="1480" w:type="dxa"/>
            <w:tcBorders>
              <w:top w:val="nil"/>
              <w:left w:val="nil"/>
              <w:bottom w:val="single" w:color="auto" w:sz="8" w:space="0"/>
              <w:right w:val="single" w:color="auto" w:sz="8" w:space="0"/>
            </w:tcBorders>
            <w:shd w:val="clear" w:color="auto" w:fill="auto"/>
            <w:vAlign w:val="center"/>
          </w:tcPr>
          <w:p w14:paraId="3C61C322">
            <w:pPr>
              <w:bidi w:val="0"/>
            </w:pPr>
            <w:r>
              <w:rPr>
                <w:rFonts w:hint="eastAsia"/>
              </w:rPr>
              <w:t>Harting</w:t>
            </w:r>
          </w:p>
        </w:tc>
      </w:tr>
      <w:tr w14:paraId="23A63D15">
        <w:tblPrEx>
          <w:tblCellMar>
            <w:top w:w="0" w:type="dxa"/>
            <w:left w:w="108" w:type="dxa"/>
            <w:bottom w:w="0" w:type="dxa"/>
            <w:right w:w="108" w:type="dxa"/>
          </w:tblCellMar>
        </w:tblPrEx>
        <w:trPr>
          <w:trHeight w:val="270" w:hRule="atLeast"/>
        </w:trPr>
        <w:tc>
          <w:tcPr>
            <w:tcW w:w="2340" w:type="dxa"/>
            <w:tcBorders>
              <w:top w:val="nil"/>
              <w:left w:val="single" w:color="auto" w:sz="8" w:space="0"/>
              <w:bottom w:val="single" w:color="auto" w:sz="8" w:space="0"/>
              <w:right w:val="single" w:color="auto" w:sz="8" w:space="0"/>
            </w:tcBorders>
            <w:shd w:val="clear" w:color="auto" w:fill="auto"/>
            <w:vAlign w:val="center"/>
          </w:tcPr>
          <w:p w14:paraId="56231CEE">
            <w:pPr>
              <w:bidi w:val="0"/>
            </w:pPr>
            <w:r>
              <w:rPr>
                <w:rFonts w:hint="eastAsia"/>
              </w:rPr>
              <w:t>-Z101</w:t>
            </w:r>
          </w:p>
        </w:tc>
        <w:tc>
          <w:tcPr>
            <w:tcW w:w="1960" w:type="dxa"/>
            <w:tcBorders>
              <w:top w:val="nil"/>
              <w:left w:val="nil"/>
              <w:bottom w:val="single" w:color="auto" w:sz="8" w:space="0"/>
              <w:right w:val="single" w:color="auto" w:sz="8" w:space="0"/>
            </w:tcBorders>
            <w:shd w:val="clear" w:color="auto" w:fill="auto"/>
            <w:vAlign w:val="center"/>
          </w:tcPr>
          <w:p w14:paraId="2B684FBA">
            <w:pPr>
              <w:bidi w:val="0"/>
            </w:pPr>
            <w:r>
              <w:rPr>
                <w:rFonts w:hint="eastAsia"/>
              </w:rPr>
              <w:t>网络交换机</w:t>
            </w:r>
          </w:p>
        </w:tc>
        <w:tc>
          <w:tcPr>
            <w:tcW w:w="2280" w:type="dxa"/>
            <w:tcBorders>
              <w:top w:val="nil"/>
              <w:left w:val="nil"/>
              <w:bottom w:val="single" w:color="auto" w:sz="8" w:space="0"/>
              <w:right w:val="single" w:color="auto" w:sz="8" w:space="0"/>
            </w:tcBorders>
            <w:shd w:val="clear" w:color="auto" w:fill="auto"/>
            <w:vAlign w:val="center"/>
          </w:tcPr>
          <w:p w14:paraId="10DCED9B">
            <w:pPr>
              <w:bidi w:val="0"/>
            </w:pPr>
            <w:r>
              <w:rPr>
                <w:rFonts w:hint="eastAsia"/>
              </w:rPr>
              <w:t>TL-SG2008</w:t>
            </w:r>
          </w:p>
        </w:tc>
        <w:tc>
          <w:tcPr>
            <w:tcW w:w="900" w:type="dxa"/>
            <w:tcBorders>
              <w:top w:val="nil"/>
              <w:left w:val="nil"/>
              <w:bottom w:val="single" w:color="auto" w:sz="8" w:space="0"/>
              <w:right w:val="single" w:color="auto" w:sz="8" w:space="0"/>
            </w:tcBorders>
            <w:shd w:val="clear" w:color="auto" w:fill="auto"/>
            <w:vAlign w:val="center"/>
          </w:tcPr>
          <w:p w14:paraId="763E7699">
            <w:pPr>
              <w:bidi w:val="0"/>
            </w:pPr>
            <w:r>
              <w:rPr>
                <w:rFonts w:hint="eastAsia"/>
              </w:rPr>
              <w:t>1</w:t>
            </w:r>
          </w:p>
        </w:tc>
        <w:tc>
          <w:tcPr>
            <w:tcW w:w="1480" w:type="dxa"/>
            <w:tcBorders>
              <w:top w:val="nil"/>
              <w:left w:val="nil"/>
              <w:bottom w:val="single" w:color="auto" w:sz="8" w:space="0"/>
              <w:right w:val="single" w:color="auto" w:sz="8" w:space="0"/>
            </w:tcBorders>
            <w:shd w:val="clear" w:color="auto" w:fill="auto"/>
            <w:vAlign w:val="center"/>
          </w:tcPr>
          <w:p w14:paraId="1A2A5404">
            <w:pPr>
              <w:bidi w:val="0"/>
            </w:pPr>
            <w:r>
              <w:rPr>
                <w:rFonts w:hint="eastAsia"/>
              </w:rPr>
              <w:t>TP-Link</w:t>
            </w:r>
          </w:p>
        </w:tc>
      </w:tr>
    </w:tbl>
    <w:p w14:paraId="4A9DA625">
      <w:pPr>
        <w:bidi w:val="0"/>
      </w:pPr>
    </w:p>
    <w:p w14:paraId="0011E6EF">
      <w:pPr>
        <w:bidi w:val="0"/>
      </w:pPr>
      <w:bookmarkStart w:id="871" w:name="_Toc162267196"/>
      <w:r>
        <w:t>4.2</w:t>
      </w:r>
      <w:r>
        <w:rPr>
          <w:rFonts w:hint="eastAsia"/>
        </w:rPr>
        <w:t>．电缆接线图</w:t>
      </w:r>
      <w:r>
        <w:t>：</w:t>
      </w:r>
      <w:bookmarkEnd w:id="871"/>
    </w:p>
    <w:p w14:paraId="30CD88CA">
      <w:pPr>
        <w:bidi w:val="0"/>
      </w:pPr>
      <w:bookmarkStart w:id="872" w:name="_Toc144887048"/>
      <w:bookmarkStart w:id="873" w:name="_Toc147000560"/>
      <w:bookmarkStart w:id="874" w:name="_Toc26587"/>
      <w:bookmarkStart w:id="875" w:name="_Toc145359832"/>
      <w:bookmarkStart w:id="876" w:name="_Toc162267197"/>
      <w:r>
        <w:rPr>
          <w:rFonts w:hint="eastAsia"/>
        </w:rPr>
        <w:t>4</w:t>
      </w:r>
      <w:r>
        <w:t>.2.1</w:t>
      </w:r>
      <w:bookmarkEnd w:id="872"/>
      <w:bookmarkEnd w:id="873"/>
      <w:bookmarkEnd w:id="874"/>
      <w:bookmarkEnd w:id="875"/>
      <w:r>
        <w:rPr>
          <w:rFonts w:hint="eastAsia"/>
        </w:rPr>
        <w:t>．ZB</w:t>
      </w:r>
      <w:r>
        <w:t>45</w:t>
      </w:r>
      <w:r>
        <w:rPr>
          <w:rFonts w:hint="eastAsia"/>
        </w:rPr>
        <w:t>内置版</w:t>
      </w:r>
      <w:bookmarkEnd w:id="876"/>
    </w:p>
    <w:p w14:paraId="6346C36C">
      <w:pPr>
        <w:bidi w:val="0"/>
      </w:pPr>
      <w:r>
        <w:rPr>
          <w:rFonts w:hint="eastAsia"/>
        </w:rPr>
        <w:t>原机信号电缆接线图</w:t>
      </w:r>
    </w:p>
    <w:p w14:paraId="3242ED20">
      <w:pPr>
        <w:bidi w:val="0"/>
      </w:pPr>
      <w:r>
        <w:drawing>
          <wp:inline distT="0" distB="0" distL="0" distR="0">
            <wp:extent cx="6115050" cy="4387850"/>
            <wp:effectExtent l="9525" t="9525" r="9525" b="22225"/>
            <wp:docPr id="179293666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36663" name="图片 2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a:xfrm>
                      <a:off x="0" y="0"/>
                      <a:ext cx="6115050" cy="4387850"/>
                    </a:xfrm>
                    <a:prstGeom prst="rect">
                      <a:avLst/>
                    </a:prstGeom>
                    <a:noFill/>
                    <a:ln>
                      <a:solidFill>
                        <a:schemeClr val="bg1">
                          <a:lumMod val="85000"/>
                        </a:schemeClr>
                      </a:solidFill>
                    </a:ln>
                  </pic:spPr>
                </pic:pic>
              </a:graphicData>
            </a:graphic>
          </wp:inline>
        </w:drawing>
      </w:r>
    </w:p>
    <w:p w14:paraId="3EADB4BB">
      <w:pPr>
        <w:bidi w:val="0"/>
      </w:pPr>
      <w:r>
        <w:drawing>
          <wp:inline distT="0" distB="0" distL="0" distR="0">
            <wp:extent cx="6115050" cy="4375150"/>
            <wp:effectExtent l="0" t="0" r="0" b="6350"/>
            <wp:docPr id="7851930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93056" name="图片 2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6115050" cy="4375150"/>
                    </a:xfrm>
                    <a:prstGeom prst="rect">
                      <a:avLst/>
                    </a:prstGeom>
                    <a:noFill/>
                    <a:ln>
                      <a:noFill/>
                    </a:ln>
                  </pic:spPr>
                </pic:pic>
              </a:graphicData>
            </a:graphic>
          </wp:inline>
        </w:drawing>
      </w:r>
    </w:p>
    <w:p w14:paraId="2642F29B">
      <w:pPr>
        <w:bidi w:val="0"/>
      </w:pPr>
      <w:r>
        <w:rPr>
          <w:rFonts w:hint="eastAsia"/>
        </w:rPr>
        <w:t>读码器电缆接线图</w:t>
      </w:r>
    </w:p>
    <w:p w14:paraId="6DEAD001">
      <w:pPr>
        <w:bidi w:val="0"/>
      </w:pPr>
      <w:r>
        <w:drawing>
          <wp:inline distT="0" distB="0" distL="0" distR="0">
            <wp:extent cx="6120130" cy="3752850"/>
            <wp:effectExtent l="9525" t="9525" r="23495" b="9525"/>
            <wp:docPr id="4551577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57742" name="图片 2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a:xfrm>
                      <a:off x="0" y="0"/>
                      <a:ext cx="6120130" cy="3752850"/>
                    </a:xfrm>
                    <a:prstGeom prst="rect">
                      <a:avLst/>
                    </a:prstGeom>
                    <a:noFill/>
                    <a:ln>
                      <a:solidFill>
                        <a:schemeClr val="bg1">
                          <a:lumMod val="85000"/>
                        </a:schemeClr>
                      </a:solidFill>
                    </a:ln>
                  </pic:spPr>
                </pic:pic>
              </a:graphicData>
            </a:graphic>
          </wp:inline>
        </w:drawing>
      </w:r>
    </w:p>
    <w:p w14:paraId="1EE7F5AC">
      <w:pPr>
        <w:bidi w:val="0"/>
      </w:pPr>
      <w:bookmarkStart w:id="877" w:name="_Toc162267198"/>
      <w:r>
        <w:t>4.3</w:t>
      </w:r>
      <w:r>
        <w:rPr>
          <w:rFonts w:hint="eastAsia"/>
        </w:rPr>
        <w:t>．网络配置图</w:t>
      </w:r>
      <w:r>
        <w:t>：</w:t>
      </w:r>
      <w:bookmarkEnd w:id="877"/>
    </w:p>
    <w:p w14:paraId="307F51CD">
      <w:pPr>
        <w:bidi w:val="0"/>
      </w:pPr>
      <w:bookmarkStart w:id="878" w:name="_Toc162267199"/>
      <w:r>
        <w:rPr>
          <w:rFonts w:hint="eastAsia"/>
        </w:rPr>
        <w:t>4</w:t>
      </w:r>
      <w:r>
        <w:t>.3.1</w:t>
      </w:r>
      <w:r>
        <w:rPr>
          <w:rFonts w:hint="eastAsia"/>
        </w:rPr>
        <w:t>．ZB</w:t>
      </w:r>
      <w:r>
        <w:t>45</w:t>
      </w:r>
      <w:r>
        <w:rPr>
          <w:rFonts w:hint="eastAsia"/>
        </w:rPr>
        <w:t>内置单面版</w:t>
      </w:r>
      <w:bookmarkEnd w:id="878"/>
    </w:p>
    <w:p w14:paraId="4F21CB2B">
      <w:pPr>
        <w:bidi w:val="0"/>
      </w:pPr>
      <w:r>
        <w:drawing>
          <wp:inline distT="0" distB="0" distL="0" distR="0">
            <wp:extent cx="6120130" cy="4380865"/>
            <wp:effectExtent l="0" t="0" r="13970" b="635"/>
            <wp:docPr id="13159229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22954" name="图片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a:xfrm>
                      <a:off x="0" y="0"/>
                      <a:ext cx="6120130" cy="4380865"/>
                    </a:xfrm>
                    <a:prstGeom prst="rect">
                      <a:avLst/>
                    </a:prstGeom>
                    <a:noFill/>
                    <a:ln>
                      <a:noFill/>
                    </a:ln>
                  </pic:spPr>
                </pic:pic>
              </a:graphicData>
            </a:graphic>
          </wp:inline>
        </w:drawing>
      </w:r>
    </w:p>
    <w:p w14:paraId="05F32519">
      <w:pPr>
        <w:bidi w:val="0"/>
      </w:pPr>
      <w:bookmarkStart w:id="879" w:name="_Toc162267200"/>
      <w:r>
        <w:t>4.4</w:t>
      </w:r>
      <w:r>
        <w:rPr>
          <w:rFonts w:hint="eastAsia"/>
        </w:rPr>
        <w:t>．点位配置图</w:t>
      </w:r>
      <w:r>
        <w:t>：</w:t>
      </w:r>
      <w:bookmarkEnd w:id="879"/>
    </w:p>
    <w:p w14:paraId="6A9A5BC1">
      <w:pPr>
        <w:bidi w:val="0"/>
      </w:pPr>
      <w:bookmarkStart w:id="880" w:name="_Toc162267201"/>
      <w:r>
        <w:rPr>
          <w:rFonts w:hint="eastAsia"/>
        </w:rPr>
        <w:t>4</w:t>
      </w:r>
      <w:r>
        <w:t>.4.1</w:t>
      </w:r>
      <w:r>
        <w:rPr>
          <w:rFonts w:hint="eastAsia"/>
        </w:rPr>
        <w:t>．1</w:t>
      </w:r>
      <w:r>
        <w:t>200PLC</w:t>
      </w:r>
      <w:r>
        <w:rPr>
          <w:rFonts w:hint="eastAsia"/>
        </w:rPr>
        <w:t>点位配置</w:t>
      </w:r>
      <w:bookmarkEnd w:id="880"/>
    </w:p>
    <w:p w14:paraId="1C1537E1">
      <w:pPr>
        <w:bidi w:val="0"/>
      </w:pPr>
      <w:r>
        <w:drawing>
          <wp:inline distT="0" distB="0" distL="0" distR="0">
            <wp:extent cx="6120130" cy="4380865"/>
            <wp:effectExtent l="0" t="0" r="13970" b="635"/>
            <wp:docPr id="3318523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52385" name="图片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6120130" cy="4380865"/>
                    </a:xfrm>
                    <a:prstGeom prst="rect">
                      <a:avLst/>
                    </a:prstGeom>
                    <a:noFill/>
                    <a:ln>
                      <a:noFill/>
                    </a:ln>
                  </pic:spPr>
                </pic:pic>
              </a:graphicData>
            </a:graphic>
          </wp:inline>
        </w:drawing>
      </w:r>
    </w:p>
    <w:p w14:paraId="0CCFCB62">
      <w:pPr>
        <w:bidi w:val="0"/>
      </w:pPr>
    </w:p>
    <w:p w14:paraId="598302DE">
      <w:pPr>
        <w:bidi w:val="0"/>
      </w:pPr>
    </w:p>
    <w:p w14:paraId="48668160">
      <w:pPr>
        <w:bidi w:val="0"/>
      </w:pPr>
      <w:bookmarkStart w:id="881" w:name="_Toc162267202"/>
      <w:r>
        <w:rPr>
          <w:rFonts w:hint="eastAsia"/>
        </w:rPr>
        <w:t>5．电气硬件维护注意事项</w:t>
      </w:r>
      <w:bookmarkEnd w:id="881"/>
    </w:p>
    <w:p w14:paraId="53A4E5B0">
      <w:pPr>
        <w:bidi w:val="0"/>
      </w:pPr>
      <w:bookmarkStart w:id="882" w:name="_Toc162267203"/>
      <w:r>
        <w:t>5.1</w:t>
      </w:r>
      <w:r>
        <w:rPr>
          <w:rFonts w:hint="eastAsia"/>
        </w:rPr>
        <w:t>．</w:t>
      </w:r>
      <w:r>
        <w:t>ZB45</w:t>
      </w:r>
      <w:r>
        <w:rPr>
          <w:rFonts w:hint="eastAsia"/>
        </w:rPr>
        <w:t>内置方案</w:t>
      </w:r>
      <w:bookmarkEnd w:id="882"/>
    </w:p>
    <w:p w14:paraId="19E87406">
      <w:pPr>
        <w:bidi w:val="0"/>
        <w:ind w:firstLine="420" w:firstLineChars="0"/>
      </w:pPr>
      <w:r>
        <w:rPr>
          <w:rFonts w:hint="eastAsia"/>
        </w:rPr>
        <w:t>在</w:t>
      </w:r>
      <w:r>
        <w:t>ZB45内置方案中，关于读码器的控制均在原机中编程，ZB45现场控制柜仅有1200系列PLC用于原机与二维码溯源系统的信息交互，故内置方案中需要注意一下几点；</w:t>
      </w:r>
    </w:p>
    <w:p w14:paraId="37AC9F7C">
      <w:pPr>
        <w:numPr>
          <w:ilvl w:val="0"/>
          <w:numId w:val="79"/>
        </w:numPr>
        <w:bidi w:val="0"/>
        <w:ind w:left="420" w:leftChars="0" w:hanging="420" w:firstLineChars="0"/>
      </w:pPr>
      <w:bookmarkStart w:id="883" w:name="_Hlk160031355"/>
      <w:r>
        <w:t>ZB45电控柜内的供电电源G201的供电稳定性；</w:t>
      </w:r>
    </w:p>
    <w:p w14:paraId="67979585">
      <w:pPr>
        <w:numPr>
          <w:ilvl w:val="0"/>
          <w:numId w:val="79"/>
        </w:numPr>
        <w:bidi w:val="0"/>
        <w:ind w:left="420" w:leftChars="0" w:hanging="420" w:firstLineChars="0"/>
      </w:pPr>
      <w:r>
        <w:t>设备运行过程中若出现读码器掉线，请查看Z101网络交换机的网口是否松动；</w:t>
      </w:r>
    </w:p>
    <w:p w14:paraId="6E8E85C1">
      <w:pPr>
        <w:numPr>
          <w:ilvl w:val="0"/>
          <w:numId w:val="79"/>
        </w:numPr>
        <w:bidi w:val="0"/>
        <w:ind w:left="420" w:leftChars="0" w:hanging="420" w:firstLineChars="0"/>
      </w:pPr>
      <w:r>
        <w:t>根据PLC的点位配置表，在出现问题时，查询对应1200PLC的硬件点位指示灯是否正常；</w:t>
      </w:r>
    </w:p>
    <w:p w14:paraId="49AE9CC5">
      <w:pPr>
        <w:numPr>
          <w:ilvl w:val="0"/>
          <w:numId w:val="79"/>
        </w:numPr>
        <w:bidi w:val="0"/>
        <w:ind w:left="420" w:leftChars="0" w:hanging="420" w:firstLineChars="0"/>
      </w:pPr>
      <w:r>
        <w:t>设备运行过程中若出现连续剔除，请查看1200PLC与二维码溯源系统的网线连接是否正常；</w:t>
      </w:r>
    </w:p>
    <w:p w14:paraId="2D5D9689">
      <w:pPr>
        <w:numPr>
          <w:ilvl w:val="0"/>
          <w:numId w:val="79"/>
        </w:numPr>
        <w:bidi w:val="0"/>
        <w:ind w:left="420" w:leftChars="0" w:hanging="420" w:firstLineChars="0"/>
      </w:pPr>
      <w:r>
        <w:t>读码器在设备运行过程中出现硬件故障报红灯，可以正常读码拍照的情况下，无需人工干预，此报警对设备运行无影响，多为数据报警，重启后可自动复位；</w:t>
      </w:r>
    </w:p>
    <w:p w14:paraId="0A7FE659">
      <w:pPr>
        <w:numPr>
          <w:ilvl w:val="0"/>
          <w:numId w:val="79"/>
        </w:numPr>
        <w:bidi w:val="0"/>
        <w:ind w:left="420" w:leftChars="0" w:hanging="420" w:firstLineChars="0"/>
      </w:pPr>
      <w:r>
        <w:t>连续运行时，突然出现读码器不工作情况，请及时查看读码器表面温度；</w:t>
      </w:r>
    </w:p>
    <w:p w14:paraId="58D27526">
      <w:pPr>
        <w:numPr>
          <w:ilvl w:val="0"/>
          <w:numId w:val="79"/>
        </w:numPr>
        <w:bidi w:val="0"/>
        <w:ind w:left="420" w:leftChars="0" w:hanging="420" w:firstLineChars="0"/>
      </w:pPr>
      <w:r>
        <w:t>电气柜内器件均为过盈选型，若连续出现空开跳闸，请及时查找原因；</w:t>
      </w:r>
    </w:p>
    <w:p w14:paraId="0EDF834D">
      <w:pPr>
        <w:numPr>
          <w:ilvl w:val="0"/>
          <w:numId w:val="79"/>
        </w:numPr>
        <w:bidi w:val="0"/>
        <w:ind w:left="420" w:leftChars="0" w:hanging="420" w:firstLineChars="0"/>
      </w:pPr>
      <w:r>
        <w:t>机械继电器有使用次数寿命和时间寿命，请注意继电器的健康运行周期；</w:t>
      </w:r>
    </w:p>
    <w:p w14:paraId="7A12899D">
      <w:pPr>
        <w:numPr>
          <w:ilvl w:val="0"/>
          <w:numId w:val="79"/>
        </w:numPr>
        <w:bidi w:val="0"/>
        <w:ind w:left="420" w:leftChars="0" w:hanging="420" w:firstLineChars="0"/>
      </w:pPr>
      <w:r>
        <w:t>现场的堆叠传感器多为接近开关式传感器，在高速运行状态下，此传感器的次数寿命将大幅缩减，注意维护更换；</w:t>
      </w:r>
    </w:p>
    <w:p w14:paraId="7F8F7409">
      <w:pPr>
        <w:numPr>
          <w:ilvl w:val="0"/>
          <w:numId w:val="79"/>
        </w:numPr>
        <w:bidi w:val="0"/>
        <w:ind w:left="420" w:leftChars="0" w:hanging="420" w:firstLineChars="0"/>
      </w:pPr>
      <w:r>
        <w:t>关于拍照的编码器相位和剔除的相应相位，请在原机画面中设置；</w:t>
      </w:r>
    </w:p>
    <w:bookmarkEnd w:id="883"/>
    <w:p w14:paraId="2D6CF3E6">
      <w:pPr>
        <w:bidi w:val="0"/>
      </w:pPr>
      <w:bookmarkStart w:id="884" w:name="_Toc162267204"/>
      <w:r>
        <w:rPr>
          <w:rFonts w:hint="eastAsia"/>
        </w:rPr>
        <w:t>6．设备日常检测</w:t>
      </w:r>
      <w:bookmarkEnd w:id="884"/>
    </w:p>
    <w:p w14:paraId="572DA327">
      <w:pPr>
        <w:numPr>
          <w:ilvl w:val="0"/>
          <w:numId w:val="79"/>
        </w:numPr>
        <w:bidi w:val="0"/>
        <w:ind w:left="420" w:leftChars="0" w:hanging="420" w:firstLineChars="0"/>
      </w:pPr>
      <w:r>
        <w:rPr>
          <w:rFonts w:hint="eastAsia"/>
        </w:rPr>
        <w:t>为保证正常生产，现场操作人员在每日正常开班前需对设备进行生产前的日常检测，以保证二维码设备和包装机设备的匹配运行。设备检测流程如;</w:t>
      </w:r>
    </w:p>
    <w:p w14:paraId="5290A35D">
      <w:pPr>
        <w:numPr>
          <w:ilvl w:val="0"/>
          <w:numId w:val="79"/>
        </w:numPr>
        <w:bidi w:val="0"/>
        <w:ind w:left="420" w:leftChars="0" w:hanging="420" w:firstLineChars="0"/>
      </w:pPr>
      <w:bookmarkStart w:id="885" w:name="_Hlk160031317"/>
      <w:r>
        <w:rPr>
          <w:rFonts w:hint="eastAsia"/>
        </w:rPr>
        <w:t>包装机设备正常上电、补料、调校位置</w:t>
      </w:r>
    </w:p>
    <w:p w14:paraId="06C14E88">
      <w:pPr>
        <w:numPr>
          <w:ilvl w:val="0"/>
          <w:numId w:val="79"/>
        </w:numPr>
        <w:bidi w:val="0"/>
        <w:ind w:left="420" w:leftChars="0" w:hanging="420" w:firstLineChars="0"/>
      </w:pPr>
      <w:r>
        <w:rPr>
          <w:rFonts w:hint="eastAsia"/>
        </w:rPr>
        <w:t>二维码检测设备上电、查看电气设备上电运行情况、等待P</w:t>
      </w:r>
      <w:r>
        <w:t>LC</w:t>
      </w:r>
      <w:r>
        <w:rPr>
          <w:rFonts w:hint="eastAsia"/>
        </w:rPr>
        <w:t>、</w:t>
      </w:r>
      <w:r>
        <w:t>IPC</w:t>
      </w:r>
      <w:r>
        <w:rPr>
          <w:rFonts w:hint="eastAsia"/>
        </w:rPr>
        <w:t>、读码器开机</w:t>
      </w:r>
    </w:p>
    <w:p w14:paraId="71A24CBD">
      <w:pPr>
        <w:numPr>
          <w:ilvl w:val="0"/>
          <w:numId w:val="79"/>
        </w:numPr>
        <w:bidi w:val="0"/>
        <w:ind w:left="420" w:leftChars="0" w:hanging="420" w:firstLineChars="0"/>
      </w:pPr>
      <w:r>
        <w:rPr>
          <w:rFonts w:hint="eastAsia"/>
        </w:rPr>
        <w:t>上电检测完成后，将包装机轨道内放入测试1</w:t>
      </w:r>
      <w:r>
        <w:t>0</w:t>
      </w:r>
      <w:r>
        <w:rPr>
          <w:rFonts w:hint="eastAsia"/>
        </w:rPr>
        <w:t>包烟包，然后手动盘车</w:t>
      </w:r>
    </w:p>
    <w:p w14:paraId="56987B02">
      <w:pPr>
        <w:numPr>
          <w:ilvl w:val="0"/>
          <w:numId w:val="79"/>
        </w:numPr>
        <w:bidi w:val="0"/>
        <w:ind w:left="420" w:leftChars="0" w:hanging="420" w:firstLineChars="0"/>
      </w:pPr>
      <w:r>
        <w:rPr>
          <w:rFonts w:hint="eastAsia"/>
        </w:rPr>
        <w:t>品检工位在检测烟包移位经过时，触发拍照并在</w:t>
      </w:r>
      <w:r>
        <w:t>HMI</w:t>
      </w:r>
      <w:r>
        <w:rPr>
          <w:rFonts w:hint="eastAsia"/>
        </w:rPr>
        <w:t>看到相应的成功计数增加</w:t>
      </w:r>
    </w:p>
    <w:p w14:paraId="4834E945">
      <w:pPr>
        <w:numPr>
          <w:ilvl w:val="0"/>
          <w:numId w:val="79"/>
        </w:numPr>
        <w:bidi w:val="0"/>
        <w:ind w:left="420" w:leftChars="0" w:hanging="420" w:firstLineChars="0"/>
      </w:pPr>
      <w:r>
        <w:rPr>
          <w:rFonts w:hint="eastAsia"/>
        </w:rPr>
        <w:t>队列工位在双包烟包移位经过时，触发拍照并有相应计数</w:t>
      </w:r>
    </w:p>
    <w:p w14:paraId="4A9B21A6">
      <w:pPr>
        <w:numPr>
          <w:ilvl w:val="0"/>
          <w:numId w:val="79"/>
        </w:numPr>
        <w:bidi w:val="0"/>
        <w:ind w:left="420" w:leftChars="0" w:hanging="420" w:firstLineChars="0"/>
      </w:pPr>
      <w:r>
        <w:rPr>
          <w:rFonts w:hint="eastAsia"/>
        </w:rPr>
        <w:t>条盒读码工位在条盒纸经过时，触发拍照并有相应计数</w:t>
      </w:r>
    </w:p>
    <w:p w14:paraId="3CCFC155">
      <w:pPr>
        <w:numPr>
          <w:ilvl w:val="0"/>
          <w:numId w:val="79"/>
        </w:numPr>
        <w:bidi w:val="0"/>
        <w:ind w:left="420" w:leftChars="0" w:hanging="420" w:firstLineChars="0"/>
      </w:pPr>
      <w:r>
        <w:rPr>
          <w:rFonts w:hint="eastAsia"/>
        </w:rPr>
        <w:t>校验工位在经过条盒烟包时，触发拍照并有相应计数</w:t>
      </w:r>
    </w:p>
    <w:p w14:paraId="4370828D">
      <w:pPr>
        <w:numPr>
          <w:ilvl w:val="0"/>
          <w:numId w:val="79"/>
        </w:numPr>
        <w:bidi w:val="0"/>
        <w:ind w:left="420" w:leftChars="0" w:hanging="420" w:firstLineChars="0"/>
      </w:pPr>
      <w:r>
        <w:rPr>
          <w:rFonts w:hint="eastAsia"/>
        </w:rPr>
        <w:t>经过剔除工位之后烟包是否剔除：二维码设备移位拍照检测完成后，进行剔除检测，将测试烟包和条盒纸的二维码遮挡一部分，查看测试烟包和条盒是否剔除。</w:t>
      </w:r>
    </w:p>
    <w:bookmarkEnd w:id="885"/>
    <w:p w14:paraId="37307748">
      <w:pPr>
        <w:bidi w:val="0"/>
      </w:pPr>
      <w:bookmarkStart w:id="886" w:name="_Toc162267205"/>
      <w:r>
        <w:t>7</w:t>
      </w:r>
      <w:r>
        <w:rPr>
          <w:rFonts w:hint="eastAsia"/>
        </w:rPr>
        <w:t>．维护工具</w:t>
      </w:r>
      <w:bookmarkEnd w:id="886"/>
    </w:p>
    <w:p w14:paraId="6C2BD5E6">
      <w:pPr>
        <w:bidi w:val="0"/>
      </w:pPr>
      <w:bookmarkStart w:id="887" w:name="_Toc162267206"/>
      <w:r>
        <w:t>7.1．电气</w:t>
      </w:r>
      <w:r>
        <w:rPr>
          <w:rFonts w:hint="eastAsia"/>
        </w:rPr>
        <w:t>维护工具</w:t>
      </w:r>
      <w:bookmarkEnd w:id="887"/>
    </w:p>
    <w:p w14:paraId="52585283">
      <w:pPr>
        <w:numPr>
          <w:ilvl w:val="0"/>
          <w:numId w:val="79"/>
        </w:numPr>
        <w:bidi w:val="0"/>
        <w:ind w:left="420" w:leftChars="0" w:hanging="420" w:firstLineChars="0"/>
      </w:pPr>
      <w:r>
        <w:rPr>
          <w:rFonts w:hint="eastAsia"/>
        </w:rPr>
        <w:t>在电气柜内维护过程中我们需要使用如下工具；</w:t>
      </w:r>
    </w:p>
    <w:p w14:paraId="2BD6B6B8">
      <w:pPr>
        <w:numPr>
          <w:ilvl w:val="0"/>
          <w:numId w:val="79"/>
        </w:numPr>
        <w:bidi w:val="0"/>
        <w:ind w:left="420" w:leftChars="0" w:hanging="420" w:firstLineChars="0"/>
      </w:pPr>
      <w:r>
        <w:rPr>
          <w:rFonts w:hint="eastAsia"/>
        </w:rPr>
        <w:t>万用表:用于测量柜内各路电源电压和电路通断状态；</w:t>
      </w:r>
    </w:p>
    <w:p w14:paraId="0D9CC1EE">
      <w:pPr>
        <w:numPr>
          <w:ilvl w:val="0"/>
          <w:numId w:val="79"/>
        </w:numPr>
        <w:bidi w:val="0"/>
        <w:ind w:left="420" w:leftChars="0" w:hanging="420" w:firstLineChars="0"/>
      </w:pPr>
      <w:r>
        <w:rPr>
          <w:rFonts w:hint="eastAsia"/>
        </w:rPr>
        <w:t>钳形表</w:t>
      </w:r>
      <w:r>
        <w:t>:</w:t>
      </w:r>
      <w:r>
        <w:rPr>
          <w:rFonts w:hint="eastAsia"/>
        </w:rPr>
        <w:t>用与测量负载设备的实际通过电流；</w:t>
      </w:r>
    </w:p>
    <w:p w14:paraId="119E3F64">
      <w:pPr>
        <w:numPr>
          <w:ilvl w:val="0"/>
          <w:numId w:val="79"/>
        </w:numPr>
        <w:bidi w:val="0"/>
        <w:ind w:left="420" w:leftChars="0" w:hanging="420" w:firstLineChars="0"/>
      </w:pPr>
      <w:r>
        <w:rPr>
          <w:rFonts w:hint="eastAsia"/>
        </w:rPr>
        <w:t>一字螺丝刀:</w:t>
      </w:r>
      <w:r>
        <w:t>3*75mm</w:t>
      </w:r>
      <w:r>
        <w:rPr>
          <w:rFonts w:hint="eastAsia"/>
        </w:rPr>
        <w:t>；</w:t>
      </w:r>
    </w:p>
    <w:p w14:paraId="7E68A992">
      <w:pPr>
        <w:numPr>
          <w:ilvl w:val="0"/>
          <w:numId w:val="79"/>
        </w:numPr>
        <w:bidi w:val="0"/>
        <w:ind w:left="420" w:leftChars="0" w:hanging="420" w:firstLineChars="0"/>
      </w:pPr>
      <w:r>
        <w:rPr>
          <w:rFonts w:hint="eastAsia"/>
        </w:rPr>
        <w:t>十字螺丝刀:</w:t>
      </w:r>
      <w:r>
        <w:t>6*100</w:t>
      </w:r>
      <w:r>
        <w:rPr>
          <w:rFonts w:hint="eastAsia"/>
        </w:rPr>
        <w:t>mm；</w:t>
      </w:r>
    </w:p>
    <w:p w14:paraId="44A6F737">
      <w:pPr>
        <w:numPr>
          <w:ilvl w:val="0"/>
          <w:numId w:val="79"/>
        </w:numPr>
        <w:bidi w:val="0"/>
        <w:ind w:left="420" w:leftChars="0" w:hanging="420" w:firstLineChars="0"/>
      </w:pPr>
      <w:r>
        <w:rPr>
          <w:rFonts w:hint="eastAsia"/>
        </w:rPr>
        <w:t>水口钳/斜口钳:用于处理控制线缆和柜内线槽；</w:t>
      </w:r>
    </w:p>
    <w:p w14:paraId="7A79D726">
      <w:pPr>
        <w:numPr>
          <w:ilvl w:val="0"/>
          <w:numId w:val="79"/>
        </w:numPr>
        <w:bidi w:val="0"/>
        <w:ind w:left="420" w:leftChars="0" w:hanging="420" w:firstLineChars="0"/>
      </w:pPr>
      <w:r>
        <w:rPr>
          <w:rFonts w:hint="eastAsia"/>
        </w:rPr>
        <w:t>剥线钳:用于增减线路使用；</w:t>
      </w:r>
    </w:p>
    <w:p w14:paraId="607DB05A">
      <w:pPr>
        <w:numPr>
          <w:ilvl w:val="0"/>
          <w:numId w:val="79"/>
        </w:numPr>
        <w:bidi w:val="0"/>
        <w:ind w:left="420" w:leftChars="0" w:hanging="420" w:firstLineChars="0"/>
      </w:pPr>
      <w:r>
        <w:rPr>
          <w:rFonts w:hint="eastAsia"/>
        </w:rPr>
        <w:t>电工刀:用于现场电缆处理；</w:t>
      </w:r>
    </w:p>
    <w:p w14:paraId="2475AA1B">
      <w:pPr>
        <w:numPr>
          <w:ilvl w:val="0"/>
          <w:numId w:val="79"/>
        </w:numPr>
        <w:bidi w:val="0"/>
        <w:ind w:left="420" w:leftChars="0" w:hanging="420" w:firstLineChars="0"/>
      </w:pPr>
      <w:r>
        <w:rPr>
          <w:rFonts w:hint="eastAsia"/>
        </w:rPr>
        <w:t>柜内常备器材:端子、继电器、0</w:t>
      </w:r>
      <w:r>
        <w:t>.75</w:t>
      </w:r>
      <w:r>
        <w:rPr>
          <w:rFonts w:hint="eastAsia"/>
        </w:rPr>
        <w:t>mm控制线缆、线槽；</w:t>
      </w:r>
    </w:p>
    <w:p w14:paraId="6096588C">
      <w:pPr>
        <w:bidi w:val="0"/>
      </w:pPr>
      <w:bookmarkStart w:id="888" w:name="_Toc162267207"/>
      <w:r>
        <w:t>7.2．</w:t>
      </w:r>
      <w:r>
        <w:rPr>
          <w:rFonts w:hint="eastAsia"/>
        </w:rPr>
        <w:t>控制系统维护工具</w:t>
      </w:r>
      <w:bookmarkEnd w:id="888"/>
    </w:p>
    <w:p w14:paraId="42521C4F">
      <w:pPr>
        <w:bidi w:val="0"/>
      </w:pPr>
      <w:r>
        <w:rPr>
          <w:rFonts w:hint="eastAsia"/>
        </w:rPr>
        <w:t>本套二维码溯源系统共需要三款软件，两个用于P</w:t>
      </w:r>
      <w:r>
        <w:t>LC</w:t>
      </w:r>
      <w:r>
        <w:rPr>
          <w:rFonts w:hint="eastAsia"/>
        </w:rPr>
        <w:t>的维护，一个用于读码器的维护</w:t>
      </w:r>
    </w:p>
    <w:p w14:paraId="04A340FD">
      <w:pPr>
        <w:numPr>
          <w:ilvl w:val="0"/>
          <w:numId w:val="79"/>
        </w:numPr>
        <w:bidi w:val="0"/>
        <w:ind w:left="420" w:leftChars="0" w:hanging="420" w:firstLineChars="0"/>
      </w:pPr>
      <w:r>
        <w:t>TIA P</w:t>
      </w:r>
      <w:r>
        <w:rPr>
          <w:rFonts w:hint="eastAsia"/>
        </w:rPr>
        <w:t>rotal</w:t>
      </w:r>
      <w:r>
        <w:t xml:space="preserve"> V17</w:t>
      </w:r>
    </w:p>
    <w:p w14:paraId="7D85EBA0">
      <w:pPr>
        <w:numPr>
          <w:ilvl w:val="0"/>
          <w:numId w:val="79"/>
        </w:numPr>
        <w:bidi w:val="0"/>
        <w:ind w:left="420" w:leftChars="0" w:hanging="420" w:firstLineChars="0"/>
        <w:rPr>
          <w:rFonts w:hint="eastAsia"/>
          <w:lang w:eastAsia="zh-CN"/>
        </w:rPr>
      </w:pPr>
      <w:r>
        <w:rPr>
          <w:rFonts w:hint="eastAsia"/>
        </w:rPr>
        <w:t xml:space="preserve">DataMan 6.1.14 </w:t>
      </w:r>
    </w:p>
    <w:p w14:paraId="0D1D1259">
      <w:pPr>
        <w:pStyle w:val="2"/>
        <w:rPr>
          <w:rFonts w:hint="eastAsia"/>
        </w:rPr>
      </w:pPr>
    </w:p>
    <w:p w14:paraId="7B72FCEE">
      <w:pPr>
        <w:pStyle w:val="10"/>
        <w:pageBreakBefore w:val="0"/>
        <w:numPr>
          <w:ilvl w:val="3"/>
          <w:numId w:val="1"/>
        </w:numPr>
        <w:kinsoku/>
        <w:wordWrap/>
        <w:overflowPunct/>
        <w:topLinePunct w:val="0"/>
        <w:autoSpaceDE/>
        <w:autoSpaceDN/>
        <w:bidi w:val="0"/>
        <w:spacing w:line="360" w:lineRule="auto"/>
        <w:textAlignment w:val="auto"/>
      </w:pPr>
      <w:bookmarkStart w:id="889" w:name="_Toc1647022715"/>
      <w:bookmarkStart w:id="890" w:name="_Toc416723100"/>
      <w:bookmarkStart w:id="891" w:name="_Toc57729957"/>
      <w:bookmarkStart w:id="892" w:name="_Toc1129525048"/>
      <w:bookmarkStart w:id="893" w:name="_Toc406510965"/>
      <w:bookmarkStart w:id="894" w:name="_Toc57862908"/>
      <w:bookmarkStart w:id="895" w:name="_Toc384207823"/>
      <w:bookmarkStart w:id="896" w:name="_Toc396002310"/>
      <w:bookmarkStart w:id="897" w:name="_Toc342149340"/>
      <w:bookmarkStart w:id="898" w:name="_Toc498270760"/>
      <w:bookmarkStart w:id="899" w:name="_Toc55485738"/>
      <w:bookmarkStart w:id="900" w:name="_Toc500771458"/>
      <w:r>
        <w:rPr>
          <w:rFonts w:hint="eastAsia"/>
        </w:rPr>
        <w:t>服务质量管理</w:t>
      </w:r>
      <w:bookmarkEnd w:id="889"/>
      <w:bookmarkEnd w:id="890"/>
      <w:bookmarkEnd w:id="891"/>
      <w:bookmarkEnd w:id="892"/>
      <w:bookmarkEnd w:id="893"/>
      <w:bookmarkEnd w:id="894"/>
      <w:bookmarkEnd w:id="895"/>
      <w:bookmarkEnd w:id="896"/>
      <w:bookmarkEnd w:id="897"/>
      <w:bookmarkEnd w:id="898"/>
      <w:bookmarkEnd w:id="899"/>
      <w:bookmarkEnd w:id="900"/>
    </w:p>
    <w:p w14:paraId="70B7FA72">
      <w:pPr>
        <w:spacing w:after="120" w:line="360" w:lineRule="auto"/>
        <w:ind w:firstLine="480"/>
        <w:rPr>
          <w:sz w:val="24"/>
        </w:rPr>
      </w:pPr>
      <w:r>
        <w:rPr>
          <w:rFonts w:hint="eastAsia"/>
          <w:sz w:val="24"/>
        </w:rPr>
        <w:t>创联致信服务质量管理体系是依照ISO9001及ISO20000标准指引而构建的，符合PDCA模型，从服务的实施、监督、规范、改进等方面进行质量保证，同时辅以用户满意度调查和严格的管理制度来提升服务质量。本章将重点介绍客户可见的部分，如SLA控制、投诉与满意度调查等。</w:t>
      </w:r>
    </w:p>
    <w:p w14:paraId="54F387E2">
      <w:pPr>
        <w:pStyle w:val="4"/>
        <w:spacing w:after="156"/>
        <w:ind w:firstLine="420"/>
      </w:pPr>
      <w:r>
        <w:rPr>
          <w:lang w:val="en-US"/>
        </w:rPr>
        <w:drawing>
          <wp:inline distT="0" distB="0" distL="114300" distR="114300">
            <wp:extent cx="5450205" cy="2671445"/>
            <wp:effectExtent l="0" t="0" r="17145" b="14605"/>
            <wp:docPr id="56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304"/>
                    <pic:cNvPicPr>
                      <a:picLocks noChangeAspect="1"/>
                    </pic:cNvPicPr>
                  </pic:nvPicPr>
                  <pic:blipFill>
                    <a:blip r:embed="rId206"/>
                    <a:stretch>
                      <a:fillRect/>
                    </a:stretch>
                  </pic:blipFill>
                  <pic:spPr>
                    <a:xfrm>
                      <a:off x="0" y="0"/>
                      <a:ext cx="5450205" cy="2671445"/>
                    </a:xfrm>
                    <a:prstGeom prst="rect">
                      <a:avLst/>
                    </a:prstGeom>
                    <a:noFill/>
                    <a:ln>
                      <a:noFill/>
                    </a:ln>
                  </pic:spPr>
                </pic:pic>
              </a:graphicData>
            </a:graphic>
          </wp:inline>
        </w:drawing>
      </w:r>
    </w:p>
    <w:p w14:paraId="33264937">
      <w:pPr>
        <w:pStyle w:val="12"/>
        <w:pageBreakBefore w:val="0"/>
        <w:numPr>
          <w:ilvl w:val="4"/>
          <w:numId w:val="1"/>
        </w:numPr>
        <w:kinsoku/>
        <w:wordWrap/>
        <w:overflowPunct/>
        <w:topLinePunct w:val="0"/>
        <w:autoSpaceDE/>
        <w:autoSpaceDN/>
        <w:bidi w:val="0"/>
        <w:spacing w:line="360" w:lineRule="auto"/>
        <w:textAlignment w:val="auto"/>
      </w:pPr>
      <w:bookmarkStart w:id="901" w:name="_Toc342149341"/>
      <w:bookmarkStart w:id="902" w:name="_Toc57862909"/>
      <w:bookmarkStart w:id="903" w:name="_Toc57729958"/>
      <w:bookmarkStart w:id="904" w:name="_Toc500771459"/>
      <w:bookmarkStart w:id="905" w:name="_Toc800400836"/>
      <w:bookmarkStart w:id="906" w:name="_Toc498270761"/>
      <w:bookmarkStart w:id="907" w:name="_Toc55485739"/>
      <w:bookmarkStart w:id="908" w:name="_Toc396002311"/>
      <w:bookmarkStart w:id="909" w:name="_Toc416723101"/>
      <w:r>
        <w:rPr>
          <w:rFonts w:hint="eastAsia"/>
        </w:rPr>
        <w:t>服务</w:t>
      </w:r>
      <w:r>
        <w:t>质量投诉监督电话</w:t>
      </w:r>
      <w:bookmarkEnd w:id="901"/>
      <w:bookmarkEnd w:id="902"/>
      <w:bookmarkEnd w:id="903"/>
      <w:bookmarkEnd w:id="904"/>
      <w:bookmarkEnd w:id="905"/>
      <w:bookmarkEnd w:id="906"/>
      <w:bookmarkEnd w:id="907"/>
      <w:bookmarkEnd w:id="908"/>
      <w:bookmarkEnd w:id="909"/>
    </w:p>
    <w:p w14:paraId="64F945AD">
      <w:pPr>
        <w:spacing w:after="120" w:line="360" w:lineRule="auto"/>
        <w:ind w:firstLine="480"/>
        <w:rPr>
          <w:b/>
          <w:bCs/>
          <w:sz w:val="24"/>
        </w:rPr>
      </w:pPr>
      <w:r>
        <w:rPr>
          <w:rFonts w:hint="eastAsia"/>
          <w:b/>
          <w:bCs/>
          <w:sz w:val="24"/>
        </w:rPr>
        <w:t>创联致信</w:t>
      </w:r>
      <w:r>
        <w:rPr>
          <w:b/>
          <w:bCs/>
          <w:sz w:val="24"/>
        </w:rPr>
        <w:t>服务质量监督电话为：</w:t>
      </w:r>
      <w:r>
        <w:rPr>
          <w:rFonts w:hint="eastAsia"/>
          <w:b/>
          <w:bCs/>
          <w:sz w:val="24"/>
        </w:rPr>
        <w:t>(+86)010-</w:t>
      </w:r>
      <w:r>
        <w:rPr>
          <w:b/>
          <w:bCs/>
          <w:sz w:val="24"/>
        </w:rPr>
        <w:t>82746952</w:t>
      </w:r>
      <w:r>
        <w:rPr>
          <w:rFonts w:hint="eastAsia"/>
          <w:b/>
          <w:bCs/>
          <w:sz w:val="24"/>
        </w:rPr>
        <w:t>。</w:t>
      </w:r>
    </w:p>
    <w:p w14:paraId="7DC06653">
      <w:pPr>
        <w:pStyle w:val="12"/>
        <w:pageBreakBefore w:val="0"/>
        <w:numPr>
          <w:ilvl w:val="4"/>
          <w:numId w:val="1"/>
        </w:numPr>
        <w:kinsoku/>
        <w:wordWrap/>
        <w:overflowPunct/>
        <w:topLinePunct w:val="0"/>
        <w:autoSpaceDE/>
        <w:autoSpaceDN/>
        <w:bidi w:val="0"/>
        <w:spacing w:line="360" w:lineRule="auto"/>
        <w:textAlignment w:val="auto"/>
      </w:pPr>
      <w:bookmarkStart w:id="910" w:name="_Toc55485740"/>
      <w:bookmarkStart w:id="911" w:name="_Toc57862910"/>
      <w:bookmarkStart w:id="912" w:name="_Toc500771460"/>
      <w:bookmarkStart w:id="913" w:name="_Toc57729959"/>
      <w:bookmarkStart w:id="914" w:name="_Toc498270762"/>
      <w:bookmarkStart w:id="915" w:name="_Toc416723102"/>
      <w:bookmarkStart w:id="916" w:name="_Toc88051577"/>
      <w:r>
        <w:rPr>
          <w:rFonts w:hint="eastAsia"/>
        </w:rPr>
        <w:t>基于</w:t>
      </w:r>
      <w:r>
        <w:t>实施计划的</w:t>
      </w:r>
      <w:r>
        <w:rPr>
          <w:rFonts w:hint="eastAsia"/>
        </w:rPr>
        <w:t>服务过程</w:t>
      </w:r>
      <w:r>
        <w:t>管理</w:t>
      </w:r>
      <w:bookmarkEnd w:id="910"/>
      <w:bookmarkEnd w:id="911"/>
      <w:bookmarkEnd w:id="912"/>
      <w:bookmarkEnd w:id="913"/>
      <w:bookmarkEnd w:id="914"/>
      <w:bookmarkEnd w:id="915"/>
      <w:bookmarkEnd w:id="916"/>
    </w:p>
    <w:p w14:paraId="1AE6804B">
      <w:pPr>
        <w:spacing w:after="120" w:line="360" w:lineRule="auto"/>
        <w:ind w:firstLine="480"/>
        <w:rPr>
          <w:sz w:val="24"/>
        </w:rPr>
      </w:pPr>
      <w:r>
        <w:rPr>
          <w:sz w:val="24"/>
        </w:rPr>
        <w:t>项目经理作为项目的总接口人及工程总负责人，负责项目实施的全面工作，包括收集有关</w:t>
      </w:r>
      <w:r>
        <w:rPr>
          <w:rFonts w:hint="eastAsia"/>
          <w:sz w:val="24"/>
        </w:rPr>
        <w:t>热线电话支持</w:t>
      </w:r>
      <w:r>
        <w:rPr>
          <w:sz w:val="24"/>
        </w:rPr>
        <w:t>、</w:t>
      </w:r>
      <w:r>
        <w:rPr>
          <w:rFonts w:hint="eastAsia"/>
          <w:sz w:val="24"/>
        </w:rPr>
        <w:t>现场服务</w:t>
      </w:r>
      <w:r>
        <w:rPr>
          <w:sz w:val="24"/>
        </w:rPr>
        <w:t>、用户技术人员反应等有关</w:t>
      </w:r>
      <w:r>
        <w:rPr>
          <w:rFonts w:hint="eastAsia"/>
          <w:sz w:val="24"/>
        </w:rPr>
        <w:t>服务水平SLA</w:t>
      </w:r>
      <w:r>
        <w:rPr>
          <w:sz w:val="24"/>
        </w:rPr>
        <w:t>。在</w:t>
      </w:r>
      <w:r>
        <w:rPr>
          <w:rFonts w:hint="eastAsia"/>
          <w:sz w:val="24"/>
        </w:rPr>
        <w:t>服务</w:t>
      </w:r>
      <w:r>
        <w:rPr>
          <w:sz w:val="24"/>
        </w:rPr>
        <w:t>实施过程中，将严格按照</w:t>
      </w:r>
      <w:r>
        <w:rPr>
          <w:rFonts w:hint="eastAsia"/>
          <w:sz w:val="24"/>
        </w:rPr>
        <w:t>服务</w:t>
      </w:r>
      <w:r>
        <w:rPr>
          <w:sz w:val="24"/>
        </w:rPr>
        <w:t>计划，全权负责</w:t>
      </w:r>
      <w:r>
        <w:rPr>
          <w:rFonts w:hint="eastAsia"/>
          <w:sz w:val="24"/>
        </w:rPr>
        <w:t>服务</w:t>
      </w:r>
      <w:r>
        <w:rPr>
          <w:sz w:val="24"/>
        </w:rPr>
        <w:t>的管理与监督。定时向用户项目负责人汇报</w:t>
      </w:r>
      <w:r>
        <w:rPr>
          <w:rFonts w:hint="eastAsia"/>
          <w:sz w:val="24"/>
        </w:rPr>
        <w:t>维护情况</w:t>
      </w:r>
      <w:r>
        <w:rPr>
          <w:sz w:val="24"/>
        </w:rPr>
        <w:t>，在处理突发事件和项目变更时，要及时调整人员和计划以保证</w:t>
      </w:r>
      <w:r>
        <w:rPr>
          <w:rFonts w:hint="eastAsia"/>
          <w:sz w:val="24"/>
        </w:rPr>
        <w:t>服务地</w:t>
      </w:r>
      <w:r>
        <w:rPr>
          <w:sz w:val="24"/>
        </w:rPr>
        <w:t>正常进行；在</w:t>
      </w:r>
      <w:r>
        <w:rPr>
          <w:rFonts w:hint="eastAsia"/>
          <w:sz w:val="24"/>
        </w:rPr>
        <w:t>服务实施</w:t>
      </w:r>
      <w:r>
        <w:rPr>
          <w:sz w:val="24"/>
        </w:rPr>
        <w:t>受阻时，及时申请增加人员和技术力量，确保</w:t>
      </w:r>
      <w:r>
        <w:rPr>
          <w:rFonts w:hint="eastAsia"/>
          <w:sz w:val="24"/>
        </w:rPr>
        <w:t>服务响应的及时性</w:t>
      </w:r>
      <w:r>
        <w:rPr>
          <w:sz w:val="24"/>
        </w:rPr>
        <w:t>；在遇到导致</w:t>
      </w:r>
      <w:r>
        <w:rPr>
          <w:rFonts w:hint="eastAsia"/>
          <w:sz w:val="24"/>
        </w:rPr>
        <w:t>服务的SLA发生变化时</w:t>
      </w:r>
      <w:r>
        <w:rPr>
          <w:sz w:val="24"/>
        </w:rPr>
        <w:t>，项目经理将负责采取必要的措施。此外，项目经理要</w:t>
      </w:r>
      <w:r>
        <w:rPr>
          <w:rFonts w:hint="eastAsia"/>
          <w:sz w:val="24"/>
        </w:rPr>
        <w:t>监督服务的</w:t>
      </w:r>
      <w:r>
        <w:rPr>
          <w:sz w:val="24"/>
        </w:rPr>
        <w:t>质量，以确保整个</w:t>
      </w:r>
      <w:r>
        <w:rPr>
          <w:rFonts w:hint="eastAsia"/>
          <w:sz w:val="24"/>
        </w:rPr>
        <w:t>维护服务羡慕</w:t>
      </w:r>
      <w:r>
        <w:rPr>
          <w:sz w:val="24"/>
        </w:rPr>
        <w:t>顺利、高质量的完成。</w:t>
      </w:r>
    </w:p>
    <w:p w14:paraId="3F11E63D">
      <w:pPr>
        <w:pStyle w:val="12"/>
        <w:pageBreakBefore w:val="0"/>
        <w:numPr>
          <w:ilvl w:val="4"/>
          <w:numId w:val="1"/>
        </w:numPr>
        <w:kinsoku/>
        <w:wordWrap/>
        <w:overflowPunct/>
        <w:topLinePunct w:val="0"/>
        <w:autoSpaceDE/>
        <w:autoSpaceDN/>
        <w:bidi w:val="0"/>
        <w:spacing w:line="360" w:lineRule="auto"/>
        <w:textAlignment w:val="auto"/>
      </w:pPr>
      <w:bookmarkStart w:id="917" w:name="_Toc498270763"/>
      <w:bookmarkStart w:id="918" w:name="_Toc55485741"/>
      <w:bookmarkStart w:id="919" w:name="_Toc475518335"/>
      <w:bookmarkStart w:id="920" w:name="_Toc57862911"/>
      <w:bookmarkStart w:id="921" w:name="_Toc416723103"/>
      <w:bookmarkStart w:id="922" w:name="_Toc57729960"/>
      <w:bookmarkStart w:id="923" w:name="_Toc500771461"/>
      <w:r>
        <w:rPr>
          <w:rFonts w:hint="eastAsia"/>
        </w:rPr>
        <w:t>高效</w:t>
      </w:r>
      <w:r>
        <w:t>合理的资源调配与管理</w:t>
      </w:r>
      <w:bookmarkEnd w:id="917"/>
      <w:bookmarkEnd w:id="918"/>
      <w:bookmarkEnd w:id="919"/>
      <w:bookmarkEnd w:id="920"/>
      <w:bookmarkEnd w:id="921"/>
      <w:bookmarkEnd w:id="922"/>
      <w:bookmarkEnd w:id="923"/>
    </w:p>
    <w:p w14:paraId="3CE82D9B">
      <w:pPr>
        <w:spacing w:after="120" w:line="360" w:lineRule="auto"/>
        <w:ind w:firstLine="480"/>
        <w:rPr>
          <w:sz w:val="24"/>
        </w:rPr>
      </w:pPr>
      <w:r>
        <w:rPr>
          <w:sz w:val="24"/>
        </w:rPr>
        <w:t>在项目管理中，由项目经理负责协调所有的内部与外部资源，并根据任务分解情况，明确各项目小组的权限和责任，以及相关人员的素质要求和具体人员配备。在必要的时候，项目经理将根据具体情况按照最高效的方法统一调配人力资源、设备资源。</w:t>
      </w:r>
    </w:p>
    <w:p w14:paraId="50E03445">
      <w:pPr>
        <w:pStyle w:val="12"/>
        <w:pageBreakBefore w:val="0"/>
        <w:numPr>
          <w:ilvl w:val="4"/>
          <w:numId w:val="1"/>
        </w:numPr>
        <w:kinsoku/>
        <w:wordWrap/>
        <w:overflowPunct/>
        <w:topLinePunct w:val="0"/>
        <w:autoSpaceDE/>
        <w:autoSpaceDN/>
        <w:bidi w:val="0"/>
        <w:spacing w:line="360" w:lineRule="auto"/>
        <w:textAlignment w:val="auto"/>
      </w:pPr>
      <w:bookmarkStart w:id="924" w:name="_Toc57729961"/>
      <w:bookmarkStart w:id="925" w:name="_Toc57862912"/>
      <w:bookmarkStart w:id="926" w:name="_Toc2143391302"/>
      <w:bookmarkStart w:id="927" w:name="_Toc498270764"/>
      <w:bookmarkStart w:id="928" w:name="_Toc500771462"/>
      <w:bookmarkStart w:id="929" w:name="_Toc55485742"/>
      <w:bookmarkStart w:id="930" w:name="_Toc416723104"/>
      <w:r>
        <w:rPr>
          <w:rFonts w:hint="eastAsia"/>
        </w:rPr>
        <w:t>定期</w:t>
      </w:r>
      <w:r>
        <w:t>项目</w:t>
      </w:r>
      <w:r>
        <w:rPr>
          <w:rFonts w:hint="eastAsia"/>
        </w:rPr>
        <w:t>例会</w:t>
      </w:r>
      <w:bookmarkEnd w:id="924"/>
      <w:bookmarkEnd w:id="925"/>
      <w:bookmarkEnd w:id="926"/>
      <w:bookmarkEnd w:id="927"/>
      <w:bookmarkEnd w:id="928"/>
      <w:bookmarkEnd w:id="929"/>
      <w:bookmarkEnd w:id="930"/>
    </w:p>
    <w:p w14:paraId="11AD78D1">
      <w:pPr>
        <w:spacing w:after="120" w:line="360" w:lineRule="auto"/>
        <w:ind w:firstLine="480"/>
        <w:rPr>
          <w:sz w:val="24"/>
        </w:rPr>
      </w:pPr>
      <w:r>
        <w:rPr>
          <w:sz w:val="24"/>
        </w:rPr>
        <w:t>目标：分析问题，交流意见，安排工作</w:t>
      </w:r>
    </w:p>
    <w:p w14:paraId="6129CDD7">
      <w:pPr>
        <w:spacing w:after="120" w:line="360" w:lineRule="auto"/>
        <w:ind w:firstLine="480"/>
        <w:rPr>
          <w:sz w:val="24"/>
        </w:rPr>
      </w:pPr>
      <w:r>
        <w:rPr>
          <w:sz w:val="24"/>
        </w:rPr>
        <w:t>工作内容：</w:t>
      </w:r>
    </w:p>
    <w:p w14:paraId="3989E814">
      <w:pPr>
        <w:spacing w:after="120" w:line="360" w:lineRule="auto"/>
        <w:ind w:firstLine="480"/>
        <w:rPr>
          <w:sz w:val="24"/>
        </w:rPr>
      </w:pPr>
      <w:r>
        <w:rPr>
          <w:rFonts w:hint="eastAsia"/>
          <w:sz w:val="24"/>
        </w:rPr>
        <w:t>创联致信</w:t>
      </w:r>
      <w:r>
        <w:rPr>
          <w:sz w:val="24"/>
        </w:rPr>
        <w:t>汇报前期的服务满意度、投诉数量、问题申报</w:t>
      </w:r>
    </w:p>
    <w:p w14:paraId="7B2A820C">
      <w:pPr>
        <w:spacing w:after="120" w:line="360" w:lineRule="auto"/>
        <w:ind w:firstLine="480"/>
        <w:rPr>
          <w:sz w:val="24"/>
        </w:rPr>
      </w:pPr>
      <w:r>
        <w:rPr>
          <w:rFonts w:hint="eastAsia"/>
          <w:sz w:val="24"/>
        </w:rPr>
        <w:t>收集并整理客户对服务的意见建议，并提供改进措施</w:t>
      </w:r>
    </w:p>
    <w:p w14:paraId="5598F5C2">
      <w:pPr>
        <w:spacing w:after="120" w:line="360" w:lineRule="auto"/>
        <w:ind w:firstLine="480"/>
        <w:rPr>
          <w:sz w:val="24"/>
        </w:rPr>
      </w:pPr>
      <w:r>
        <w:rPr>
          <w:sz w:val="24"/>
        </w:rPr>
        <w:t>突发</w:t>
      </w:r>
      <w:r>
        <w:rPr>
          <w:rFonts w:hint="eastAsia"/>
          <w:sz w:val="24"/>
        </w:rPr>
        <w:t>故障</w:t>
      </w:r>
      <w:r>
        <w:rPr>
          <w:sz w:val="24"/>
        </w:rPr>
        <w:t>的处理</w:t>
      </w:r>
    </w:p>
    <w:p w14:paraId="09CFE3E6">
      <w:pPr>
        <w:spacing w:after="120" w:line="360" w:lineRule="auto"/>
        <w:ind w:firstLine="480"/>
        <w:rPr>
          <w:sz w:val="24"/>
        </w:rPr>
      </w:pPr>
      <w:r>
        <w:rPr>
          <w:sz w:val="24"/>
        </w:rPr>
        <w:t>分析</w:t>
      </w:r>
      <w:r>
        <w:rPr>
          <w:rFonts w:hint="eastAsia"/>
          <w:sz w:val="24"/>
        </w:rPr>
        <w:t>服务</w:t>
      </w:r>
      <w:r>
        <w:rPr>
          <w:sz w:val="24"/>
        </w:rPr>
        <w:t>工作中的难点，协调各方关系，解决问题</w:t>
      </w:r>
    </w:p>
    <w:p w14:paraId="5B6CEA40">
      <w:pPr>
        <w:spacing w:after="120" w:line="360" w:lineRule="auto"/>
        <w:ind w:firstLine="480"/>
        <w:rPr>
          <w:sz w:val="24"/>
        </w:rPr>
      </w:pPr>
      <w:r>
        <w:rPr>
          <w:sz w:val="24"/>
        </w:rPr>
        <w:t>下一个阶段的主要工作和需要协调的事务</w:t>
      </w:r>
    </w:p>
    <w:p w14:paraId="41FF6E85">
      <w:pPr>
        <w:pStyle w:val="12"/>
        <w:pageBreakBefore w:val="0"/>
        <w:numPr>
          <w:ilvl w:val="4"/>
          <w:numId w:val="1"/>
        </w:numPr>
        <w:kinsoku/>
        <w:wordWrap/>
        <w:overflowPunct/>
        <w:topLinePunct w:val="0"/>
        <w:autoSpaceDE/>
        <w:autoSpaceDN/>
        <w:bidi w:val="0"/>
        <w:spacing w:line="360" w:lineRule="auto"/>
        <w:textAlignment w:val="auto"/>
      </w:pPr>
      <w:bookmarkStart w:id="931" w:name="_Toc1128044264"/>
      <w:bookmarkStart w:id="932" w:name="_Toc57862913"/>
      <w:bookmarkStart w:id="933" w:name="_Toc416723105"/>
      <w:bookmarkStart w:id="934" w:name="_Toc498270765"/>
      <w:bookmarkStart w:id="935" w:name="_Toc57729962"/>
      <w:bookmarkStart w:id="936" w:name="_Toc500771463"/>
      <w:bookmarkStart w:id="937" w:name="_Toc55485743"/>
      <w:r>
        <w:rPr>
          <w:rFonts w:hint="eastAsia"/>
        </w:rPr>
        <w:t>服务</w:t>
      </w:r>
      <w:r>
        <w:t>文档管理</w:t>
      </w:r>
      <w:bookmarkEnd w:id="931"/>
      <w:bookmarkEnd w:id="932"/>
      <w:bookmarkEnd w:id="933"/>
      <w:bookmarkEnd w:id="934"/>
      <w:bookmarkEnd w:id="935"/>
      <w:bookmarkEnd w:id="936"/>
      <w:bookmarkEnd w:id="937"/>
    </w:p>
    <w:p w14:paraId="2FD743EF">
      <w:pPr>
        <w:spacing w:after="120" w:line="360" w:lineRule="auto"/>
        <w:ind w:firstLine="480"/>
        <w:rPr>
          <w:sz w:val="24"/>
        </w:rPr>
      </w:pPr>
      <w:r>
        <w:rPr>
          <w:sz w:val="24"/>
        </w:rPr>
        <w:t>建立一个标准化的</w:t>
      </w:r>
      <w:r>
        <w:rPr>
          <w:rFonts w:hint="eastAsia"/>
          <w:sz w:val="24"/>
        </w:rPr>
        <w:t>维护服务</w:t>
      </w:r>
      <w:r>
        <w:rPr>
          <w:sz w:val="24"/>
        </w:rPr>
        <w:t>文档体系是</w:t>
      </w:r>
      <w:r>
        <w:rPr>
          <w:rFonts w:hint="eastAsia"/>
          <w:sz w:val="24"/>
        </w:rPr>
        <w:t>维护服务</w:t>
      </w:r>
      <w:r>
        <w:rPr>
          <w:sz w:val="24"/>
        </w:rPr>
        <w:t>管理规范化、程序化的重要手段。通过</w:t>
      </w:r>
      <w:r>
        <w:rPr>
          <w:rFonts w:hint="eastAsia"/>
          <w:sz w:val="24"/>
        </w:rPr>
        <w:t>维护服务</w:t>
      </w:r>
      <w:r>
        <w:rPr>
          <w:sz w:val="24"/>
        </w:rPr>
        <w:t>文档体系可以实现对整个</w:t>
      </w:r>
      <w:r>
        <w:rPr>
          <w:rFonts w:hint="eastAsia"/>
          <w:sz w:val="24"/>
        </w:rPr>
        <w:t>服务的过程</w:t>
      </w:r>
      <w:r>
        <w:rPr>
          <w:sz w:val="24"/>
        </w:rPr>
        <w:t>、</w:t>
      </w:r>
      <w:r>
        <w:rPr>
          <w:rFonts w:hint="eastAsia"/>
          <w:sz w:val="24"/>
        </w:rPr>
        <w:t>周期性</w:t>
      </w:r>
      <w:r>
        <w:rPr>
          <w:sz w:val="24"/>
        </w:rPr>
        <w:t>报告、特别报告、对问题状况的分析、测评和</w:t>
      </w:r>
      <w:r>
        <w:rPr>
          <w:rFonts w:hint="eastAsia"/>
          <w:sz w:val="24"/>
        </w:rPr>
        <w:t>服务</w:t>
      </w:r>
      <w:r>
        <w:rPr>
          <w:sz w:val="24"/>
        </w:rPr>
        <w:t>响应这一完整过程，而正确地管理、使用各类文档则使</w:t>
      </w:r>
      <w:r>
        <w:rPr>
          <w:rFonts w:hint="eastAsia"/>
          <w:sz w:val="24"/>
        </w:rPr>
        <w:t>维护服务</w:t>
      </w:r>
      <w:r>
        <w:rPr>
          <w:sz w:val="24"/>
        </w:rPr>
        <w:t>工作变得有据可依、井井有条。</w:t>
      </w:r>
    </w:p>
    <w:p w14:paraId="269031C3">
      <w:pPr>
        <w:spacing w:after="120" w:line="360" w:lineRule="auto"/>
        <w:ind w:firstLine="480"/>
        <w:rPr>
          <w:sz w:val="24"/>
        </w:rPr>
      </w:pPr>
      <w:r>
        <w:rPr>
          <w:rFonts w:hint="eastAsia"/>
          <w:sz w:val="24"/>
        </w:rPr>
        <w:t>维护服务</w:t>
      </w:r>
      <w:r>
        <w:rPr>
          <w:sz w:val="24"/>
        </w:rPr>
        <w:t>文档的管理是维护服务的重要部分，其对于</w:t>
      </w:r>
      <w:r>
        <w:rPr>
          <w:rFonts w:hint="eastAsia"/>
          <w:sz w:val="24"/>
        </w:rPr>
        <w:t>服务</w:t>
      </w:r>
      <w:r>
        <w:rPr>
          <w:sz w:val="24"/>
        </w:rPr>
        <w:t>项目的</w:t>
      </w:r>
      <w:r>
        <w:rPr>
          <w:rFonts w:hint="eastAsia"/>
          <w:sz w:val="24"/>
        </w:rPr>
        <w:t>质量控制</w:t>
      </w:r>
      <w:r>
        <w:rPr>
          <w:sz w:val="24"/>
        </w:rPr>
        <w:t>提供了保障，同时为</w:t>
      </w:r>
      <w:r>
        <w:rPr>
          <w:rFonts w:hint="eastAsia"/>
          <w:sz w:val="24"/>
        </w:rPr>
        <w:t>知识</w:t>
      </w:r>
      <w:r>
        <w:rPr>
          <w:sz w:val="24"/>
        </w:rPr>
        <w:t>转移和系统的运行维护管理提供依据。</w:t>
      </w:r>
    </w:p>
    <w:p w14:paraId="0AE15DB5">
      <w:pPr>
        <w:pStyle w:val="2"/>
        <w:rPr>
          <w:rFonts w:hint="eastAsia"/>
        </w:rPr>
      </w:pPr>
      <w:r>
        <w:rPr>
          <w:rFonts w:hint="eastAsia"/>
          <w:sz w:val="24"/>
        </w:rPr>
        <w:t>创联致信</w:t>
      </w:r>
      <w:r>
        <w:rPr>
          <w:sz w:val="24"/>
        </w:rPr>
        <w:t>在</w:t>
      </w:r>
      <w:r>
        <w:rPr>
          <w:rFonts w:hint="eastAsia"/>
          <w:sz w:val="24"/>
        </w:rPr>
        <w:t>维护服务</w:t>
      </w:r>
      <w:r>
        <w:rPr>
          <w:sz w:val="24"/>
        </w:rPr>
        <w:t>中严格遵循</w:t>
      </w:r>
      <w:r>
        <w:rPr>
          <w:rFonts w:hint="eastAsia"/>
          <w:sz w:val="24"/>
        </w:rPr>
        <w:t>公司服务</w:t>
      </w:r>
      <w:r>
        <w:rPr>
          <w:sz w:val="24"/>
        </w:rPr>
        <w:t>质量管理规范，并在</w:t>
      </w:r>
      <w:r>
        <w:rPr>
          <w:rFonts w:hint="eastAsia"/>
          <w:sz w:val="24"/>
        </w:rPr>
        <w:t>多</w:t>
      </w:r>
      <w:r>
        <w:rPr>
          <w:sz w:val="24"/>
        </w:rPr>
        <w:t>年的</w:t>
      </w:r>
      <w:r>
        <w:rPr>
          <w:rFonts w:hint="eastAsia"/>
          <w:sz w:val="24"/>
        </w:rPr>
        <w:t>服务实施</w:t>
      </w:r>
      <w:r>
        <w:rPr>
          <w:sz w:val="24"/>
        </w:rPr>
        <w:t>中积累出一整套文档管理规范，在每一个环节的实施都严格按照文档管理规范进行，文档的管理贯穿于项目的准备、实施和</w:t>
      </w:r>
      <w:r>
        <w:rPr>
          <w:rFonts w:hint="eastAsia"/>
          <w:sz w:val="24"/>
        </w:rPr>
        <w:t>总结</w:t>
      </w:r>
      <w:r>
        <w:rPr>
          <w:sz w:val="24"/>
        </w:rPr>
        <w:t>的全过程中。</w:t>
      </w:r>
    </w:p>
    <w:p w14:paraId="61D0B317">
      <w:pPr>
        <w:pStyle w:val="2"/>
        <w:rPr>
          <w:rFonts w:hint="eastAsia"/>
        </w:rPr>
      </w:pPr>
    </w:p>
    <w:p w14:paraId="2EACA3A8">
      <w:pPr>
        <w:pStyle w:val="4"/>
      </w:pPr>
    </w:p>
    <w:p w14:paraId="7C294C23">
      <w:pPr>
        <w:pStyle w:val="10"/>
        <w:numPr>
          <w:ilvl w:val="3"/>
          <w:numId w:val="73"/>
        </w:numPr>
      </w:pPr>
      <w:bookmarkStart w:id="938" w:name="_Toc774960427"/>
      <w:bookmarkStart w:id="939" w:name="_Toc1624657862"/>
      <w:r>
        <w:rPr>
          <w:rFonts w:hint="eastAsia"/>
        </w:rPr>
        <w:t>售后服务保障能力</w:t>
      </w:r>
      <w:bookmarkEnd w:id="938"/>
      <w:bookmarkEnd w:id="939"/>
    </w:p>
    <w:p w14:paraId="7CA120A1">
      <w:pPr>
        <w:spacing w:before="120" w:after="120"/>
        <w:ind w:firstLine="480"/>
      </w:pPr>
      <w:r>
        <w:rPr>
          <w:rFonts w:hint="eastAsia"/>
        </w:rPr>
        <w:t>遵循“本地化技术支持”策略，我司在行业业务覆盖</w:t>
      </w:r>
      <w:r>
        <w:rPr>
          <w:rFonts w:hint="eastAsia"/>
          <w:lang w:eastAsia="zh-CN"/>
        </w:rPr>
        <w:t>多</w:t>
      </w:r>
      <w:r>
        <w:rPr>
          <w:rFonts w:hint="eastAsia"/>
        </w:rPr>
        <w:t>个省份或直辖市，可提供就近的服务保障，力求解决操作层问题和设备层问题。为保证及时有效快速地为客户提供应急抢修服务，保障就近技术支持。以确保客户自动化物流系统出现故障后能够及时得到解决，保障生产的顺利进行。</w:t>
      </w:r>
    </w:p>
    <w:p w14:paraId="2DA45C44">
      <w:pPr>
        <w:spacing w:before="120" w:after="120"/>
        <w:ind w:firstLine="480"/>
      </w:pPr>
      <w:r>
        <w:rPr>
          <w:rFonts w:hint="eastAsia"/>
        </w:rPr>
        <w:t>全方位的技术支持。系统交付后，根据系统使用实际情况，分阶段安排现场巡视，通过多种方式提供故障报修服务，提供设备预防性保养工作。设立服务直线，强化构建“一站式服务中心”，推进故障一体解决的“简易”体验。</w:t>
      </w:r>
    </w:p>
    <w:p w14:paraId="5638B48E">
      <w:pPr>
        <w:spacing w:before="120" w:after="120"/>
        <w:ind w:firstLine="480"/>
      </w:pPr>
      <w:r>
        <w:rPr>
          <w:rFonts w:hint="eastAsia"/>
        </w:rPr>
        <w:t>为保证高效、持续提供售后服务质量与客户设备稳定运行，我司自建备件库，同时根据全国项目现场需求，实时灵活管理增加库存。同时与众多客户也建立了战略合作关系，最终实现了“公司备件库+供应商备件库+客户备件库”制度。我司备件库所暂无备件，达成战略合作关系的原供应商优先保证供应我司所需备件。同时，对客户设备故障导致停机的应急急件更换，优先协调借用，快速恢复系统运行。</w:t>
      </w:r>
    </w:p>
    <w:p w14:paraId="1931131E">
      <w:pPr>
        <w:spacing w:before="120" w:after="120"/>
        <w:ind w:firstLine="480"/>
      </w:pPr>
      <w:r>
        <w:rPr>
          <w:rFonts w:hint="eastAsia"/>
        </w:rPr>
        <w:t>“预防性维护”概念的推广，根据设备生产厂家的设计数据和</w:t>
      </w:r>
      <w:r>
        <w:rPr>
          <w:rFonts w:hint="eastAsia"/>
          <w:lang w:eastAsia="zh-CN"/>
        </w:rPr>
        <w:t>我方</w:t>
      </w:r>
      <w:r>
        <w:rPr>
          <w:rFonts w:hint="eastAsia"/>
        </w:rPr>
        <w:t>智能运维平台同类设备不同应用的大数据分析，精准、快速、及时的定位设备潜在风险点，对工控机、电控等零件的运行寿命周期精准预测，通过 “预防性维护”的方式，降低系统突发/重大故障的几率，为持续生产服务，产品工艺质量保证保驾护航。</w:t>
      </w:r>
    </w:p>
    <w:p w14:paraId="02E53C44">
      <w:pPr>
        <w:spacing w:before="120" w:after="120"/>
        <w:ind w:firstLine="480"/>
        <w:rPr>
          <w:szCs w:val="22"/>
        </w:rPr>
      </w:pPr>
      <w:r>
        <w:rPr>
          <w:rFonts w:hint="eastAsia"/>
        </w:rPr>
        <w:t>客户集中交流机制的推广，根据行业应用，针对客户使用年限、管理需求、行业发展等方面的情况，每年召集客户集中交流物流系统运行经验、感受、创新，同时根据过往客户需求提炼系统优化升级方向，更加贴近客户的使用情况。</w:t>
      </w:r>
    </w:p>
    <w:p w14:paraId="657EF8CD">
      <w:pPr>
        <w:pStyle w:val="12"/>
        <w:numPr>
          <w:ilvl w:val="4"/>
          <w:numId w:val="73"/>
        </w:numPr>
      </w:pPr>
      <w:bookmarkStart w:id="940" w:name="_Toc1438032052"/>
      <w:r>
        <w:rPr>
          <w:rFonts w:hint="eastAsia"/>
        </w:rPr>
        <w:t>售后服务管理平台</w:t>
      </w:r>
      <w:bookmarkEnd w:id="940"/>
    </w:p>
    <w:p w14:paraId="419EA38C">
      <w:pPr>
        <w:numPr>
          <w:ilvl w:val="0"/>
          <w:numId w:val="80"/>
        </w:numPr>
        <w:adjustRightInd w:val="0"/>
        <w:snapToGrid w:val="0"/>
        <w:ind w:left="0" w:firstLine="480" w:firstLineChars="200"/>
      </w:pPr>
      <w:r>
        <w:rPr>
          <w:rFonts w:hint="eastAsia"/>
        </w:rPr>
        <w:t>人员管理模块</w:t>
      </w:r>
    </w:p>
    <w:p w14:paraId="525209B9">
      <w:pPr>
        <w:adjustRightInd w:val="0"/>
        <w:snapToGrid w:val="0"/>
        <w:ind w:firstLine="480" w:firstLineChars="200"/>
      </w:pPr>
      <w:r>
        <w:rPr>
          <w:rFonts w:hint="eastAsia"/>
        </w:rPr>
        <w:t>基于值班内容，开发的值班内容管理模块，辅助值班人员进行工作登记和故障仪器的检查、处理，值班管理系统的内容都需要存储在后台数据库中，便于以后查询统计。</w:t>
      </w:r>
    </w:p>
    <w:p w14:paraId="46401C4D">
      <w:pPr>
        <w:numPr>
          <w:ilvl w:val="0"/>
          <w:numId w:val="80"/>
        </w:numPr>
        <w:adjustRightInd w:val="0"/>
        <w:snapToGrid w:val="0"/>
        <w:ind w:left="0" w:firstLine="480" w:firstLineChars="200"/>
      </w:pPr>
      <w:r>
        <w:rPr>
          <w:rFonts w:hint="eastAsia"/>
        </w:rPr>
        <w:t>人员登记</w:t>
      </w:r>
    </w:p>
    <w:p w14:paraId="2A5CB0B0">
      <w:pPr>
        <w:adjustRightInd w:val="0"/>
        <w:snapToGrid w:val="0"/>
        <w:ind w:firstLine="480" w:firstLineChars="200"/>
      </w:pPr>
      <w:r>
        <w:rPr>
          <w:rFonts w:hint="eastAsia"/>
        </w:rPr>
        <w:t>通过密钥进行当日值班人员登入，为满足局域网中数据不会被任意修改、特殊业务数据的保密等工作要求，系统能够从以下方面可对网络中的每个用户进行相关设置，限制数据录入权限及查询权限，解决数据在局域网中的保密与安全问题。</w:t>
      </w:r>
    </w:p>
    <w:p w14:paraId="34B9F886">
      <w:pPr>
        <w:adjustRightInd w:val="0"/>
        <w:snapToGrid w:val="0"/>
        <w:ind w:firstLine="480" w:firstLineChars="200"/>
      </w:pPr>
      <w:r>
        <w:rPr>
          <w:rFonts w:hint="eastAsia"/>
        </w:rPr>
        <w:t>系统用户登录：无登录用户名与密码的用户，不允许使用平台系统。</w:t>
      </w:r>
    </w:p>
    <w:p w14:paraId="30BC3639">
      <w:pPr>
        <w:adjustRightInd w:val="0"/>
        <w:snapToGrid w:val="0"/>
        <w:ind w:firstLine="480" w:firstLineChars="200"/>
      </w:pPr>
      <w:r>
        <w:rPr>
          <w:rFonts w:hint="eastAsia"/>
        </w:rPr>
        <w:t>系统通过分配和取消角色来完成用户权限的授予和取消，并且提供角色分配规则。安全管理人员根据需要定义各种角色，并设置合适的访问权限，而用户根据其责任和资历再被指派为不同的角色。这样，整个访问控制过程就分成两个部分，即访问权限与角色相关联，角色再与用户关联，从而实现了用户与访问权限的逻辑分离。</w:t>
      </w:r>
    </w:p>
    <w:p w14:paraId="7F47081C">
      <w:pPr>
        <w:numPr>
          <w:ilvl w:val="0"/>
          <w:numId w:val="80"/>
        </w:numPr>
        <w:adjustRightInd w:val="0"/>
        <w:snapToGrid w:val="0"/>
        <w:ind w:left="0" w:firstLine="480" w:firstLineChars="200"/>
      </w:pPr>
      <w:r>
        <w:rPr>
          <w:rFonts w:hint="eastAsia"/>
        </w:rPr>
        <w:t>日常工作内容</w:t>
      </w:r>
    </w:p>
    <w:p w14:paraId="47504117">
      <w:pPr>
        <w:adjustRightInd w:val="0"/>
        <w:snapToGrid w:val="0"/>
        <w:ind w:firstLine="480" w:firstLineChars="200"/>
      </w:pPr>
      <w:r>
        <w:rPr>
          <w:rFonts w:hint="eastAsia"/>
        </w:rPr>
        <w:t>按照值班人员的日常工作内容，在“值班工作日志”显示各项工作内容，主要有：值班人员、时间、当天故障等信息，当值班人员完成某项内容后给以登记，系统记录完成时间，当日值班结束后打印“值班工作日志”。</w:t>
      </w:r>
    </w:p>
    <w:p w14:paraId="4F7C5D42">
      <w:pPr>
        <w:numPr>
          <w:ilvl w:val="0"/>
          <w:numId w:val="80"/>
        </w:numPr>
        <w:adjustRightInd w:val="0"/>
        <w:snapToGrid w:val="0"/>
        <w:ind w:left="0" w:firstLine="480" w:firstLineChars="200"/>
      </w:pPr>
      <w:r>
        <w:rPr>
          <w:rFonts w:hint="eastAsia"/>
        </w:rPr>
        <w:t>日常工作内容提醒</w:t>
      </w:r>
    </w:p>
    <w:p w14:paraId="6EF6259C">
      <w:pPr>
        <w:adjustRightInd w:val="0"/>
        <w:snapToGrid w:val="0"/>
        <w:ind w:firstLine="480" w:firstLineChars="200"/>
      </w:pPr>
      <w:r>
        <w:rPr>
          <w:rFonts w:hint="eastAsia"/>
        </w:rPr>
        <w:t>对于某些有完成时间要求的工作及第二天排班，在规定的时间内给以提醒。</w:t>
      </w:r>
    </w:p>
    <w:p w14:paraId="09B2452B">
      <w:pPr>
        <w:numPr>
          <w:ilvl w:val="0"/>
          <w:numId w:val="80"/>
        </w:numPr>
        <w:adjustRightInd w:val="0"/>
        <w:snapToGrid w:val="0"/>
        <w:ind w:left="0" w:firstLine="480" w:firstLineChars="200"/>
      </w:pPr>
      <w:r>
        <w:rPr>
          <w:rFonts w:hint="eastAsia"/>
        </w:rPr>
        <w:t>相关值班人员显示</w:t>
      </w:r>
    </w:p>
    <w:p w14:paraId="55CEA0CA">
      <w:pPr>
        <w:adjustRightInd w:val="0"/>
        <w:snapToGrid w:val="0"/>
        <w:ind w:firstLine="480" w:firstLineChars="200"/>
      </w:pPr>
      <w:r>
        <w:rPr>
          <w:rFonts w:hint="eastAsia"/>
        </w:rPr>
        <w:t>将值班人员及联系方式显示在运维调度界面首页，方便值班人员查找。遇到紧急情况，可以实现快速联络沟通。</w:t>
      </w:r>
    </w:p>
    <w:p w14:paraId="70D33EF2">
      <w:pPr>
        <w:adjustRightInd w:val="0"/>
        <w:snapToGrid w:val="0"/>
        <w:ind w:firstLine="480" w:firstLineChars="200"/>
      </w:pPr>
      <w:r>
        <w:rPr>
          <w:rFonts w:hint="eastAsia"/>
        </w:rPr>
        <w:t>值班管理具有排班功能，通过与通讯录的关联关系，可以方便的选择值班人员。以日历的方式显示给用户。操作简便，易学易用。同时，值班人员可以通过值班管理系统可以连接短信平台，在排班信息确定后，自动发送消息通知相关人员值班。也可以通过值班系统，填写值班记录。</w:t>
      </w:r>
    </w:p>
    <w:p w14:paraId="5DB49023">
      <w:pPr>
        <w:numPr>
          <w:ilvl w:val="0"/>
          <w:numId w:val="80"/>
        </w:numPr>
        <w:adjustRightInd w:val="0"/>
        <w:snapToGrid w:val="0"/>
        <w:ind w:left="0" w:firstLine="480" w:firstLineChars="200"/>
      </w:pPr>
      <w:r>
        <w:rPr>
          <w:rFonts w:hint="eastAsia"/>
        </w:rPr>
        <w:t>故障管理模块</w:t>
      </w:r>
    </w:p>
    <w:p w14:paraId="3FAD7A44">
      <w:pPr>
        <w:adjustRightInd w:val="0"/>
        <w:snapToGrid w:val="0"/>
        <w:ind w:firstLine="480" w:firstLineChars="200"/>
      </w:pPr>
      <w:r>
        <w:rPr>
          <w:rFonts w:hint="eastAsia"/>
        </w:rPr>
        <w:t>故障管理业务模块，为故障管理制定流程。值班人员发现故障时，通过视频监控系统或通过联系看管人员了解情况后，发现需要值班人员处理的，通过抢修管理业务模块进行派单，值班人员接到派单通知后及时处理故障情况，数据库自动记录派单、接单及故障恢复时间。</w:t>
      </w:r>
    </w:p>
    <w:p w14:paraId="5F6CAC6A">
      <w:pPr>
        <w:adjustRightInd w:val="0"/>
        <w:snapToGrid w:val="0"/>
        <w:ind w:firstLine="482" w:firstLineChars="200"/>
        <w:rPr>
          <w:b/>
          <w:bCs/>
        </w:rPr>
      </w:pPr>
      <w:r>
        <w:rPr>
          <w:rFonts w:hint="eastAsia"/>
          <w:b/>
          <w:bCs/>
        </w:rPr>
        <w:t>（1）故障申报</w:t>
      </w:r>
    </w:p>
    <w:p w14:paraId="41337A84">
      <w:pPr>
        <w:adjustRightInd w:val="0"/>
        <w:snapToGrid w:val="0"/>
        <w:ind w:firstLine="480" w:firstLineChars="200"/>
      </w:pPr>
      <w:r>
        <w:rPr>
          <w:rFonts w:hint="eastAsia"/>
        </w:rPr>
        <w:t>值班人员通过简单故障处理后无法解决，则通过申报模块将发送到相关维护人员。值班人员可以通过“故障管理业务模块”通知当天维护人员，系统自动记录派单时间，并以通过短信通知发送至相关人员的手机终端，可极大的提高效率。</w:t>
      </w:r>
    </w:p>
    <w:p w14:paraId="4FAB52F4">
      <w:pPr>
        <w:adjustRightInd w:val="0"/>
        <w:snapToGrid w:val="0"/>
        <w:ind w:left="0" w:leftChars="0" w:firstLine="0" w:firstLineChars="0"/>
        <w:jc w:val="center"/>
      </w:pPr>
      <w:r>
        <w:drawing>
          <wp:inline distT="0" distB="0" distL="114300" distR="114300">
            <wp:extent cx="5224145" cy="2349500"/>
            <wp:effectExtent l="0" t="0" r="14605" b="12700"/>
            <wp:docPr id="33" name="图片 2107" descr="故障申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07" descr="故障申报"/>
                    <pic:cNvPicPr>
                      <a:picLocks noChangeAspect="1"/>
                    </pic:cNvPicPr>
                  </pic:nvPicPr>
                  <pic:blipFill>
                    <a:blip r:embed="rId207"/>
                    <a:stretch>
                      <a:fillRect/>
                    </a:stretch>
                  </pic:blipFill>
                  <pic:spPr>
                    <a:xfrm>
                      <a:off x="0" y="0"/>
                      <a:ext cx="5224145" cy="2349500"/>
                    </a:xfrm>
                    <a:prstGeom prst="rect">
                      <a:avLst/>
                    </a:prstGeom>
                    <a:noFill/>
                    <a:ln>
                      <a:noFill/>
                    </a:ln>
                  </pic:spPr>
                </pic:pic>
              </a:graphicData>
            </a:graphic>
          </wp:inline>
        </w:drawing>
      </w:r>
    </w:p>
    <w:p w14:paraId="729B3396">
      <w:pPr>
        <w:adjustRightInd w:val="0"/>
        <w:snapToGrid w:val="0"/>
        <w:ind w:firstLine="482" w:firstLineChars="200"/>
        <w:rPr>
          <w:b/>
          <w:bCs/>
        </w:rPr>
      </w:pPr>
      <w:r>
        <w:rPr>
          <w:rFonts w:hint="eastAsia"/>
          <w:b/>
          <w:bCs/>
        </w:rPr>
        <w:t>（2）故障接收</w:t>
      </w:r>
    </w:p>
    <w:p w14:paraId="48ABD68B">
      <w:pPr>
        <w:adjustRightInd w:val="0"/>
        <w:snapToGrid w:val="0"/>
        <w:ind w:firstLine="480" w:firstLineChars="200"/>
      </w:pPr>
      <w:r>
        <w:rPr>
          <w:rFonts w:hint="eastAsia"/>
        </w:rPr>
        <w:t>通过手机APP维护人员接到故障申报通知后响应处理，并详细记录处理情况，系统自动记录接收响应时间及故障恢复时间（故障恢复以值班人员确认为准，并给维修人员返回确认信息），如需现场抢修的，则转单到现场抢修人员，抢修维护如需外带仓库设备，可以与仓库管理系统进行链接查询库存设备情况。</w:t>
      </w:r>
    </w:p>
    <w:p w14:paraId="7F15170C">
      <w:pPr>
        <w:adjustRightInd w:val="0"/>
        <w:snapToGrid w:val="0"/>
        <w:ind w:firstLine="482" w:firstLineChars="200"/>
        <w:rPr>
          <w:b/>
          <w:bCs/>
        </w:rPr>
      </w:pPr>
      <w:r>
        <w:rPr>
          <w:rFonts w:hint="eastAsia"/>
          <w:b/>
          <w:bCs/>
        </w:rPr>
        <w:t>（3）到达</w:t>
      </w:r>
    </w:p>
    <w:p w14:paraId="45DF66E2">
      <w:pPr>
        <w:adjustRightInd w:val="0"/>
        <w:snapToGrid w:val="0"/>
        <w:ind w:firstLine="480" w:firstLineChars="200"/>
      </w:pPr>
      <w:r>
        <w:rPr>
          <w:rFonts w:hint="eastAsia"/>
        </w:rPr>
        <w:t>通过手机APP确认到达信息，系统记录现场维护人员到达故障现场时间，可以接收故障维修人员的反馈信息，维护工作人员何时到达。</w:t>
      </w:r>
    </w:p>
    <w:p w14:paraId="5AEE0BC8">
      <w:pPr>
        <w:numPr>
          <w:ilvl w:val="0"/>
          <w:numId w:val="80"/>
        </w:numPr>
        <w:adjustRightInd w:val="0"/>
        <w:snapToGrid w:val="0"/>
        <w:ind w:left="0" w:firstLine="480" w:firstLineChars="200"/>
      </w:pPr>
      <w:r>
        <w:rPr>
          <w:rFonts w:hint="eastAsia"/>
        </w:rPr>
        <w:t>抢修/维护</w:t>
      </w:r>
    </w:p>
    <w:p w14:paraId="06DB8B8D">
      <w:pPr>
        <w:adjustRightInd w:val="0"/>
        <w:snapToGrid w:val="0"/>
        <w:ind w:firstLine="480" w:firstLineChars="200"/>
      </w:pPr>
      <w:r>
        <w:rPr>
          <w:rFonts w:hint="eastAsia"/>
        </w:rPr>
        <w:t>故障处理完成后，维护工作人员记录现场故障处理情况，系统自动记录故障恢复时间，值班人员确认后返回确认信息。</w:t>
      </w:r>
    </w:p>
    <w:p w14:paraId="384F777C">
      <w:pPr>
        <w:numPr>
          <w:ilvl w:val="0"/>
          <w:numId w:val="80"/>
        </w:numPr>
        <w:adjustRightInd w:val="0"/>
        <w:snapToGrid w:val="0"/>
        <w:ind w:left="0" w:firstLine="480" w:firstLineChars="200"/>
      </w:pPr>
      <w:r>
        <w:rPr>
          <w:rFonts w:hint="eastAsia"/>
        </w:rPr>
        <w:t>设备巡检</w:t>
      </w:r>
    </w:p>
    <w:p w14:paraId="1C61C9D6">
      <w:pPr>
        <w:adjustRightInd w:val="0"/>
        <w:snapToGrid w:val="0"/>
        <w:ind w:firstLine="480" w:firstLineChars="200"/>
      </w:pPr>
      <w:r>
        <w:rPr>
          <w:rFonts w:hint="eastAsia"/>
        </w:rPr>
        <w:t>维护人员通过手机APP扫描设备标签进行设备巡检，操作台界面更新巡检信息。</w:t>
      </w:r>
    </w:p>
    <w:p w14:paraId="67E552F9">
      <w:pPr>
        <w:adjustRightInd w:val="0"/>
        <w:snapToGrid w:val="0"/>
        <w:ind w:left="0" w:leftChars="0" w:firstLine="0" w:firstLineChars="0"/>
        <w:jc w:val="center"/>
      </w:pPr>
      <w:r>
        <w:drawing>
          <wp:inline distT="0" distB="0" distL="114300" distR="114300">
            <wp:extent cx="5558790" cy="2611755"/>
            <wp:effectExtent l="0" t="0" r="3810" b="17145"/>
            <wp:docPr id="31" name="图片 2108" descr="巡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08" descr="巡检"/>
                    <pic:cNvPicPr>
                      <a:picLocks noChangeAspect="1"/>
                    </pic:cNvPicPr>
                  </pic:nvPicPr>
                  <pic:blipFill>
                    <a:blip r:embed="rId208"/>
                    <a:stretch>
                      <a:fillRect/>
                    </a:stretch>
                  </pic:blipFill>
                  <pic:spPr>
                    <a:xfrm>
                      <a:off x="0" y="0"/>
                      <a:ext cx="5558790" cy="2611755"/>
                    </a:xfrm>
                    <a:prstGeom prst="rect">
                      <a:avLst/>
                    </a:prstGeom>
                    <a:noFill/>
                    <a:ln>
                      <a:noFill/>
                    </a:ln>
                  </pic:spPr>
                </pic:pic>
              </a:graphicData>
            </a:graphic>
          </wp:inline>
        </w:drawing>
      </w:r>
    </w:p>
    <w:p w14:paraId="7DB96710">
      <w:pPr>
        <w:numPr>
          <w:ilvl w:val="0"/>
          <w:numId w:val="80"/>
        </w:numPr>
        <w:adjustRightInd w:val="0"/>
        <w:snapToGrid w:val="0"/>
        <w:ind w:left="0" w:firstLine="480" w:firstLineChars="200"/>
      </w:pPr>
      <w:r>
        <w:rPr>
          <w:rFonts w:hint="eastAsia"/>
        </w:rPr>
        <w:t>月度统计</w:t>
      </w:r>
    </w:p>
    <w:p w14:paraId="60F49330">
      <w:pPr>
        <w:adjustRightInd w:val="0"/>
        <w:snapToGrid w:val="0"/>
        <w:ind w:firstLine="480" w:firstLineChars="200"/>
      </w:pPr>
      <w:r>
        <w:rPr>
          <w:rFonts w:hint="eastAsia"/>
        </w:rPr>
        <w:t xml:space="preserve">后台数据库可实现故障原因查询及统计，避免或减少类似故障发生。  </w:t>
      </w:r>
    </w:p>
    <w:p w14:paraId="49600F34">
      <w:pPr>
        <w:adjustRightInd w:val="0"/>
        <w:snapToGrid w:val="0"/>
        <w:ind w:left="0" w:leftChars="0" w:firstLine="0" w:firstLineChars="0"/>
        <w:jc w:val="center"/>
      </w:pPr>
      <w:r>
        <w:drawing>
          <wp:inline distT="0" distB="0" distL="114300" distR="114300">
            <wp:extent cx="5364480" cy="2679700"/>
            <wp:effectExtent l="0" t="0" r="7620" b="6350"/>
            <wp:docPr id="27" name="图片 2109" descr="统计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109" descr="统计分析"/>
                    <pic:cNvPicPr>
                      <a:picLocks noChangeAspect="1"/>
                    </pic:cNvPicPr>
                  </pic:nvPicPr>
                  <pic:blipFill>
                    <a:blip r:embed="rId209"/>
                    <a:stretch>
                      <a:fillRect/>
                    </a:stretch>
                  </pic:blipFill>
                  <pic:spPr>
                    <a:xfrm>
                      <a:off x="0" y="0"/>
                      <a:ext cx="5364480" cy="2679700"/>
                    </a:xfrm>
                    <a:prstGeom prst="rect">
                      <a:avLst/>
                    </a:prstGeom>
                    <a:noFill/>
                    <a:ln>
                      <a:noFill/>
                    </a:ln>
                  </pic:spPr>
                </pic:pic>
              </a:graphicData>
            </a:graphic>
          </wp:inline>
        </w:drawing>
      </w:r>
    </w:p>
    <w:p w14:paraId="242448B4">
      <w:pPr>
        <w:numPr>
          <w:ilvl w:val="0"/>
          <w:numId w:val="80"/>
        </w:numPr>
        <w:adjustRightInd w:val="0"/>
        <w:snapToGrid w:val="0"/>
        <w:ind w:left="0" w:firstLine="480" w:firstLineChars="200"/>
      </w:pPr>
      <w:r>
        <w:rPr>
          <w:rFonts w:hint="eastAsia"/>
        </w:rPr>
        <w:t>知识库模块</w:t>
      </w:r>
    </w:p>
    <w:p w14:paraId="2A1813DF">
      <w:pPr>
        <w:adjustRightInd w:val="0"/>
        <w:snapToGrid w:val="0"/>
        <w:ind w:left="0" w:leftChars="0" w:firstLine="0" w:firstLineChars="0"/>
        <w:jc w:val="center"/>
      </w:pPr>
      <w:r>
        <w:drawing>
          <wp:inline distT="0" distB="0" distL="114300" distR="114300">
            <wp:extent cx="5681345" cy="2743200"/>
            <wp:effectExtent l="0" t="0" r="14605" b="0"/>
            <wp:docPr id="37" name="图片 2110" descr="知识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10" descr="知识库"/>
                    <pic:cNvPicPr>
                      <a:picLocks noChangeAspect="1"/>
                    </pic:cNvPicPr>
                  </pic:nvPicPr>
                  <pic:blipFill>
                    <a:blip r:embed="rId210"/>
                    <a:stretch>
                      <a:fillRect/>
                    </a:stretch>
                  </pic:blipFill>
                  <pic:spPr>
                    <a:xfrm>
                      <a:off x="0" y="0"/>
                      <a:ext cx="5681345" cy="2743200"/>
                    </a:xfrm>
                    <a:prstGeom prst="rect">
                      <a:avLst/>
                    </a:prstGeom>
                    <a:noFill/>
                    <a:ln>
                      <a:noFill/>
                    </a:ln>
                  </pic:spPr>
                </pic:pic>
              </a:graphicData>
            </a:graphic>
          </wp:inline>
        </w:drawing>
      </w:r>
    </w:p>
    <w:p w14:paraId="0C3E8807">
      <w:pPr>
        <w:adjustRightInd w:val="0"/>
        <w:snapToGrid w:val="0"/>
        <w:ind w:firstLine="482" w:firstLineChars="200"/>
        <w:rPr>
          <w:b/>
          <w:bCs/>
        </w:rPr>
      </w:pPr>
      <w:r>
        <w:rPr>
          <w:rFonts w:hint="eastAsia"/>
          <w:b/>
          <w:bCs/>
        </w:rPr>
        <w:t>数据来源</w:t>
      </w:r>
    </w:p>
    <w:p w14:paraId="1A6D8759">
      <w:pPr>
        <w:adjustRightInd w:val="0"/>
        <w:snapToGrid w:val="0"/>
        <w:ind w:firstLine="480" w:firstLineChars="200"/>
      </w:pPr>
      <w:r>
        <w:rPr>
          <w:rFonts w:hint="eastAsia"/>
        </w:rPr>
        <w:t>知识库是结构化、易操作、易利用、全面的、有组织的、互相联系的知识集合。知识库是各部门在处理突发事件中与该领域相关的基本概念、理论知识、事实数据，以及所获得的规律、常识性认识、启发式规则和经验教训，同时还包括有关法律法规、应对各类突发事件的专业知识和技术规范、专家经验等内容。</w:t>
      </w:r>
    </w:p>
    <w:p w14:paraId="06188B08">
      <w:pPr>
        <w:adjustRightInd w:val="0"/>
        <w:snapToGrid w:val="0"/>
        <w:ind w:firstLine="482" w:firstLineChars="200"/>
        <w:rPr>
          <w:b/>
          <w:bCs/>
        </w:rPr>
      </w:pPr>
      <w:r>
        <w:rPr>
          <w:rFonts w:hint="eastAsia"/>
          <w:b/>
          <w:bCs/>
        </w:rPr>
        <w:t>数据实体</w:t>
      </w:r>
    </w:p>
    <w:p w14:paraId="677326F9">
      <w:pPr>
        <w:adjustRightInd w:val="0"/>
        <w:snapToGrid w:val="0"/>
        <w:ind w:firstLine="480" w:firstLineChars="200"/>
      </w:pPr>
      <w:r>
        <w:rPr>
          <w:rFonts w:hint="eastAsia"/>
        </w:rPr>
        <w:t>知识库存储与运维和抢修有关的常识经验、累积知识、策略知识、法律法规数据和标准技术规范等。</w:t>
      </w:r>
    </w:p>
    <w:p w14:paraId="16DB5533">
      <w:pPr>
        <w:adjustRightInd w:val="0"/>
        <w:snapToGrid w:val="0"/>
        <w:ind w:firstLine="480" w:firstLineChars="200"/>
      </w:pPr>
      <w:r>
        <w:rPr>
          <w:rFonts w:hint="eastAsia"/>
        </w:rPr>
        <w:t>可视化运维管理系统知识库中的知识表现方式有一下几点：</w:t>
      </w:r>
    </w:p>
    <w:p w14:paraId="534A5F8B">
      <w:pPr>
        <w:numPr>
          <w:ilvl w:val="0"/>
          <w:numId w:val="81"/>
        </w:numPr>
        <w:adjustRightInd w:val="0"/>
        <w:snapToGrid w:val="0"/>
        <w:ind w:left="0" w:firstLine="480" w:firstLineChars="200"/>
      </w:pPr>
      <w:r>
        <w:rPr>
          <w:rFonts w:hint="eastAsia"/>
        </w:rPr>
        <w:t>结构化程度高，便于大规模应急知识库的管理与维护；</w:t>
      </w:r>
    </w:p>
    <w:p w14:paraId="4DF60AE6">
      <w:pPr>
        <w:numPr>
          <w:ilvl w:val="0"/>
          <w:numId w:val="81"/>
        </w:numPr>
        <w:adjustRightInd w:val="0"/>
        <w:snapToGrid w:val="0"/>
        <w:ind w:left="0" w:firstLine="480" w:firstLineChars="200"/>
      </w:pPr>
      <w:r>
        <w:rPr>
          <w:rFonts w:hint="eastAsia"/>
        </w:rPr>
        <w:t>能为用户提供一致的调用接口；</w:t>
      </w:r>
    </w:p>
    <w:p w14:paraId="38D5E9AF">
      <w:pPr>
        <w:numPr>
          <w:ilvl w:val="0"/>
          <w:numId w:val="81"/>
        </w:numPr>
        <w:adjustRightInd w:val="0"/>
        <w:snapToGrid w:val="0"/>
        <w:ind w:left="0" w:firstLine="480" w:firstLineChars="200"/>
      </w:pPr>
      <w:r>
        <w:rPr>
          <w:rFonts w:hint="eastAsia"/>
        </w:rPr>
        <w:t>表达能力强，能够表达实体间的各种联系；</w:t>
      </w:r>
    </w:p>
    <w:p w14:paraId="4FD04A9B">
      <w:pPr>
        <w:numPr>
          <w:ilvl w:val="0"/>
          <w:numId w:val="81"/>
        </w:numPr>
        <w:adjustRightInd w:val="0"/>
        <w:snapToGrid w:val="0"/>
        <w:ind w:left="0" w:firstLine="480" w:firstLineChars="200"/>
      </w:pPr>
      <w:r>
        <w:rPr>
          <w:rFonts w:hint="eastAsia"/>
        </w:rPr>
        <w:t>具有较好的可扩充能力。</w:t>
      </w:r>
    </w:p>
    <w:p w14:paraId="1A9F908C">
      <w:pPr>
        <w:adjustRightInd w:val="0"/>
        <w:snapToGrid w:val="0"/>
        <w:ind w:firstLine="482" w:firstLineChars="200"/>
        <w:rPr>
          <w:b/>
          <w:bCs/>
        </w:rPr>
      </w:pPr>
      <w:r>
        <w:rPr>
          <w:rFonts w:hint="eastAsia"/>
          <w:b/>
          <w:bCs/>
        </w:rPr>
        <w:t>数据维护</w:t>
      </w:r>
    </w:p>
    <w:p w14:paraId="7051D542">
      <w:pPr>
        <w:adjustRightInd w:val="0"/>
        <w:snapToGrid w:val="0"/>
        <w:ind w:firstLine="480" w:firstLineChars="200"/>
      </w:pPr>
      <w:r>
        <w:rPr>
          <w:rFonts w:hint="eastAsia"/>
        </w:rPr>
        <w:t>知识库的更新包括对知识内容的增加、删除和修改。</w:t>
      </w:r>
    </w:p>
    <w:p w14:paraId="2D72737C">
      <w:pPr>
        <w:rPr>
          <w:szCs w:val="22"/>
        </w:rPr>
      </w:pPr>
    </w:p>
    <w:p w14:paraId="2FB935AB">
      <w:pPr>
        <w:pStyle w:val="12"/>
        <w:numPr>
          <w:ilvl w:val="4"/>
          <w:numId w:val="73"/>
        </w:numPr>
      </w:pPr>
      <w:bookmarkStart w:id="941" w:name="_Toc1861011497"/>
      <w:r>
        <w:rPr>
          <w:rFonts w:hint="eastAsia"/>
        </w:rPr>
        <w:t>售后维护保障</w:t>
      </w:r>
      <w:r>
        <w:rPr>
          <w:rFonts w:hint="eastAsia"/>
          <w:lang w:eastAsia="zh-CN"/>
        </w:rPr>
        <w:t>流程</w:t>
      </w:r>
      <w:bookmarkEnd w:id="941"/>
    </w:p>
    <w:p w14:paraId="42FAFB0C">
      <w:pPr>
        <w:spacing w:before="120" w:after="120"/>
        <w:ind w:firstLine="420"/>
        <w:jc w:val="center"/>
      </w:pPr>
      <w:r>
        <w:rPr>
          <w:rFonts w:cs="宋体"/>
        </w:rPr>
        <w:drawing>
          <wp:inline distT="0" distB="0" distL="114300" distR="114300">
            <wp:extent cx="4699000" cy="2417445"/>
            <wp:effectExtent l="0" t="0" r="6350" b="0"/>
            <wp:docPr id="36" name="图片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11"/>
                    <pic:cNvPicPr>
                      <a:picLocks noChangeAspect="1"/>
                    </pic:cNvPicPr>
                  </pic:nvPicPr>
                  <pic:blipFill>
                    <a:blip r:embed="rId211"/>
                    <a:stretch>
                      <a:fillRect/>
                    </a:stretch>
                  </pic:blipFill>
                  <pic:spPr>
                    <a:xfrm>
                      <a:off x="0" y="0"/>
                      <a:ext cx="4699000" cy="2417445"/>
                    </a:xfrm>
                    <a:prstGeom prst="rect">
                      <a:avLst/>
                    </a:prstGeom>
                    <a:noFill/>
                    <a:ln>
                      <a:noFill/>
                    </a:ln>
                  </pic:spPr>
                </pic:pic>
              </a:graphicData>
            </a:graphic>
          </wp:inline>
        </w:drawing>
      </w:r>
    </w:p>
    <w:p w14:paraId="4F40B1C6">
      <w:pPr>
        <w:spacing w:before="120" w:after="120"/>
        <w:ind w:firstLine="420"/>
      </w:pPr>
      <w:r>
        <w:rPr>
          <w:rFonts w:hint="eastAsia" w:cs="宋体"/>
        </w:rPr>
        <w:t>维护期内出现质量问题时，我司提供BUG修复。</w:t>
      </w:r>
    </w:p>
    <w:p w14:paraId="3F00BDA2">
      <w:pPr>
        <w:spacing w:before="120" w:after="120"/>
        <w:ind w:firstLine="420"/>
        <w:jc w:val="center"/>
      </w:pPr>
      <w:r>
        <w:rPr>
          <w:rFonts w:cs="宋体"/>
        </w:rPr>
        <w:drawing>
          <wp:inline distT="0" distB="0" distL="114300" distR="114300">
            <wp:extent cx="4178300" cy="4178300"/>
            <wp:effectExtent l="0" t="0" r="12700" b="12700"/>
            <wp:docPr id="35" name="图片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12"/>
                    <pic:cNvPicPr>
                      <a:picLocks noChangeAspect="1"/>
                    </pic:cNvPicPr>
                  </pic:nvPicPr>
                  <pic:blipFill>
                    <a:blip r:embed="rId212"/>
                    <a:stretch>
                      <a:fillRect/>
                    </a:stretch>
                  </pic:blipFill>
                  <pic:spPr>
                    <a:xfrm>
                      <a:off x="0" y="0"/>
                      <a:ext cx="4178300" cy="4178300"/>
                    </a:xfrm>
                    <a:prstGeom prst="rect">
                      <a:avLst/>
                    </a:prstGeom>
                    <a:noFill/>
                    <a:ln>
                      <a:noFill/>
                    </a:ln>
                  </pic:spPr>
                </pic:pic>
              </a:graphicData>
            </a:graphic>
          </wp:inline>
        </w:drawing>
      </w:r>
    </w:p>
    <w:p w14:paraId="4FC96B4A">
      <w:pPr>
        <w:spacing w:before="120" w:after="120" w:line="240" w:lineRule="auto"/>
        <w:ind w:firstLine="420"/>
      </w:pPr>
      <w:r>
        <w:rPr>
          <w:rFonts w:hint="eastAsia"/>
        </w:rPr>
        <w:br w:type="page"/>
      </w:r>
    </w:p>
    <w:p w14:paraId="36F112C7">
      <w:pPr>
        <w:spacing w:before="120" w:after="120"/>
        <w:ind w:firstLine="422"/>
        <w:rPr>
          <w:b/>
        </w:rPr>
      </w:pPr>
      <w:r>
        <w:rPr>
          <w:rFonts w:hint="eastAsia"/>
          <w:b/>
        </w:rPr>
        <w:t>附件1：售后服务维护报告</w:t>
      </w:r>
    </w:p>
    <w:tbl>
      <w:tblPr>
        <w:tblStyle w:val="43"/>
        <w:tblW w:w="8865"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0" w:type="dxa"/>
          <w:bottom w:w="0" w:type="dxa"/>
          <w:right w:w="0" w:type="dxa"/>
        </w:tblCellMar>
      </w:tblPr>
      <w:tblGrid>
        <w:gridCol w:w="8865"/>
      </w:tblGrid>
      <w:tr w14:paraId="63BF2D01">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0" w:type="dxa"/>
            <w:bottom w:w="0" w:type="dxa"/>
            <w:right w:w="0" w:type="dxa"/>
          </w:tblCellMar>
        </w:tblPrEx>
        <w:trPr>
          <w:trHeight w:val="9849" w:hRule="atLeast"/>
          <w:jc w:val="center"/>
        </w:trPr>
        <w:tc>
          <w:tcPr>
            <w:tcW w:w="8865" w:type="dxa"/>
            <w:tcBorders>
              <w:top w:val="single" w:color="auto" w:sz="12" w:space="0"/>
              <w:left w:val="single" w:color="auto" w:sz="12" w:space="0"/>
              <w:bottom w:val="single" w:color="auto" w:sz="12" w:space="0"/>
              <w:right w:val="single" w:color="auto" w:sz="12" w:space="0"/>
            </w:tcBorders>
          </w:tcPr>
          <w:p w14:paraId="3C9F1B94">
            <w:pPr>
              <w:spacing w:before="120" w:after="120"/>
              <w:ind w:firstLine="420"/>
            </w:pPr>
            <w:r>
              <w:rPr>
                <w:rFonts w:hint="eastAsia"/>
              </w:rPr>
              <w:t>售后服务维护报告</w:t>
            </w:r>
          </w:p>
          <w:p w14:paraId="01F74E34">
            <w:pPr>
              <w:spacing w:before="120" w:after="120"/>
              <w:ind w:firstLine="420"/>
            </w:pPr>
            <w:r>
              <w:rPr>
                <w:rFonts w:hint="eastAsia"/>
              </w:rPr>
              <w:t>××××××××××</w:t>
            </w:r>
            <w:r>
              <w:rPr>
                <w:rFonts w:hint="eastAsia"/>
                <w:u w:val="single"/>
              </w:rPr>
              <w:t>启</w:t>
            </w:r>
          </w:p>
          <w:p w14:paraId="6F489CC8">
            <w:pPr>
              <w:spacing w:before="120" w:after="120"/>
              <w:ind w:firstLine="420"/>
            </w:pPr>
            <w:r>
              <w:rPr>
                <w:rFonts w:hint="eastAsia"/>
              </w:rPr>
              <w:t>20×年×月×日</w:t>
            </w:r>
          </w:p>
          <w:p w14:paraId="4B61CDED">
            <w:pPr>
              <w:spacing w:before="120" w:after="120"/>
              <w:ind w:firstLine="420"/>
            </w:pPr>
            <w:r>
              <w:rPr>
                <w:rFonts w:hint="eastAsia"/>
                <w:u w:val="single"/>
              </w:rPr>
              <w:t>工程序号:</w:t>
            </w:r>
            <w:r>
              <w:rPr>
                <w:rFonts w:hint="eastAsia"/>
              </w:rPr>
              <w:t xml:space="preserve"> ××××××</w:t>
            </w:r>
          </w:p>
          <w:tbl>
            <w:tblPr>
              <w:tblStyle w:val="43"/>
              <w:tblW w:w="7080" w:type="dxa"/>
              <w:tblInd w:w="3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7"/>
              <w:gridCol w:w="6003"/>
            </w:tblGrid>
            <w:tr w14:paraId="1926A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trPr>
              <w:tc>
                <w:tcPr>
                  <w:tcW w:w="1077" w:type="dxa"/>
                  <w:tcBorders>
                    <w:top w:val="single" w:color="auto" w:sz="4" w:space="0"/>
                    <w:left w:val="single" w:color="auto" w:sz="4" w:space="0"/>
                    <w:bottom w:val="single" w:color="auto" w:sz="4" w:space="0"/>
                    <w:right w:val="single" w:color="auto" w:sz="4" w:space="0"/>
                  </w:tcBorders>
                </w:tcPr>
                <w:p w14:paraId="61828C71">
                  <w:pPr>
                    <w:spacing w:before="120" w:after="120"/>
                    <w:ind w:firstLine="420"/>
                    <w:jc w:val="center"/>
                  </w:pPr>
                  <w:r>
                    <w:rPr>
                      <w:rFonts w:hint="eastAsia"/>
                    </w:rPr>
                    <w:t>地点</w:t>
                  </w:r>
                </w:p>
              </w:tc>
              <w:tc>
                <w:tcPr>
                  <w:tcW w:w="6002" w:type="dxa"/>
                  <w:tcBorders>
                    <w:top w:val="single" w:color="auto" w:sz="4" w:space="0"/>
                    <w:left w:val="single" w:color="auto" w:sz="4" w:space="0"/>
                    <w:bottom w:val="single" w:color="auto" w:sz="4" w:space="0"/>
                    <w:right w:val="single" w:color="auto" w:sz="4" w:space="0"/>
                  </w:tcBorders>
                </w:tcPr>
                <w:p w14:paraId="2CD22885">
                  <w:pPr>
                    <w:spacing w:before="120" w:after="120"/>
                    <w:ind w:firstLine="420"/>
                  </w:pPr>
                </w:p>
              </w:tc>
            </w:tr>
            <w:tr w14:paraId="6ABE2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6" w:hRule="atLeast"/>
              </w:trPr>
              <w:tc>
                <w:tcPr>
                  <w:tcW w:w="1077" w:type="dxa"/>
                  <w:tcBorders>
                    <w:top w:val="single" w:color="auto" w:sz="4" w:space="0"/>
                    <w:left w:val="single" w:color="auto" w:sz="4" w:space="0"/>
                    <w:bottom w:val="single" w:color="auto" w:sz="4" w:space="0"/>
                    <w:right w:val="single" w:color="auto" w:sz="4" w:space="0"/>
                  </w:tcBorders>
                </w:tcPr>
                <w:p w14:paraId="3E037C37">
                  <w:pPr>
                    <w:spacing w:before="120" w:after="120"/>
                    <w:ind w:firstLine="420"/>
                    <w:jc w:val="center"/>
                  </w:pPr>
                  <w:r>
                    <w:rPr>
                      <w:rFonts w:hint="eastAsia"/>
                    </w:rPr>
                    <w:t>时间</w:t>
                  </w:r>
                </w:p>
              </w:tc>
              <w:tc>
                <w:tcPr>
                  <w:tcW w:w="6002" w:type="dxa"/>
                  <w:tcBorders>
                    <w:top w:val="single" w:color="auto" w:sz="4" w:space="0"/>
                    <w:left w:val="single" w:color="auto" w:sz="4" w:space="0"/>
                    <w:bottom w:val="single" w:color="auto" w:sz="4" w:space="0"/>
                    <w:right w:val="single" w:color="auto" w:sz="4" w:space="0"/>
                  </w:tcBorders>
                </w:tcPr>
                <w:p w14:paraId="47D6FBFC">
                  <w:pPr>
                    <w:spacing w:before="120" w:after="120"/>
                    <w:ind w:firstLine="420"/>
                  </w:pPr>
                  <w:r>
                    <w:rPr>
                      <w:rFonts w:hint="eastAsia"/>
                    </w:rPr>
                    <w:t>××××××</w:t>
                  </w:r>
                </w:p>
              </w:tc>
            </w:tr>
            <w:tr w14:paraId="7BC7E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77" w:type="dxa"/>
                  <w:tcBorders>
                    <w:top w:val="single" w:color="auto" w:sz="4" w:space="0"/>
                    <w:left w:val="single" w:color="auto" w:sz="4" w:space="0"/>
                    <w:bottom w:val="single" w:color="auto" w:sz="4" w:space="0"/>
                    <w:right w:val="single" w:color="auto" w:sz="4" w:space="0"/>
                  </w:tcBorders>
                </w:tcPr>
                <w:p w14:paraId="370AF806">
                  <w:pPr>
                    <w:spacing w:before="120" w:after="120"/>
                    <w:ind w:firstLine="420"/>
                    <w:jc w:val="center"/>
                  </w:pPr>
                  <w:r>
                    <w:rPr>
                      <w:rFonts w:hint="eastAsia"/>
                    </w:rPr>
                    <w:t>系统</w:t>
                  </w:r>
                </w:p>
              </w:tc>
              <w:tc>
                <w:tcPr>
                  <w:tcW w:w="6002" w:type="dxa"/>
                  <w:tcBorders>
                    <w:top w:val="single" w:color="auto" w:sz="4" w:space="0"/>
                    <w:left w:val="single" w:color="auto" w:sz="4" w:space="0"/>
                    <w:bottom w:val="single" w:color="auto" w:sz="4" w:space="0"/>
                    <w:right w:val="single" w:color="auto" w:sz="4" w:space="0"/>
                  </w:tcBorders>
                </w:tcPr>
                <w:p w14:paraId="6500598A">
                  <w:pPr>
                    <w:spacing w:before="120" w:after="120"/>
                    <w:ind w:firstLine="420"/>
                  </w:pPr>
                  <w:r>
                    <w:rPr>
                      <w:rFonts w:hint="eastAsia"/>
                    </w:rPr>
                    <w:t>××××××</w:t>
                  </w:r>
                </w:p>
              </w:tc>
            </w:tr>
            <w:tr w14:paraId="3912C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8" w:hRule="atLeast"/>
              </w:trPr>
              <w:tc>
                <w:tcPr>
                  <w:tcW w:w="1077" w:type="dxa"/>
                  <w:tcBorders>
                    <w:top w:val="single" w:color="auto" w:sz="4" w:space="0"/>
                    <w:left w:val="single" w:color="auto" w:sz="4" w:space="0"/>
                    <w:bottom w:val="single" w:color="auto" w:sz="4" w:space="0"/>
                    <w:right w:val="single" w:color="auto" w:sz="4" w:space="0"/>
                  </w:tcBorders>
                </w:tcPr>
                <w:p w14:paraId="48CD92E9">
                  <w:pPr>
                    <w:spacing w:before="120" w:after="120"/>
                    <w:ind w:firstLine="420"/>
                    <w:jc w:val="center"/>
                  </w:pPr>
                  <w:r>
                    <w:rPr>
                      <w:rFonts w:hint="eastAsia"/>
                    </w:rPr>
                    <w:t>人员</w:t>
                  </w:r>
                </w:p>
              </w:tc>
              <w:tc>
                <w:tcPr>
                  <w:tcW w:w="6002" w:type="dxa"/>
                  <w:tcBorders>
                    <w:top w:val="single" w:color="auto" w:sz="4" w:space="0"/>
                    <w:left w:val="single" w:color="auto" w:sz="4" w:space="0"/>
                    <w:bottom w:val="single" w:color="auto" w:sz="4" w:space="0"/>
                    <w:right w:val="single" w:color="auto" w:sz="4" w:space="0"/>
                  </w:tcBorders>
                </w:tcPr>
                <w:p w14:paraId="2E79A135">
                  <w:pPr>
                    <w:spacing w:before="120" w:after="120"/>
                    <w:ind w:firstLine="420"/>
                  </w:pPr>
                  <w:r>
                    <w:rPr>
                      <w:rFonts w:hint="eastAsia"/>
                    </w:rPr>
                    <w:t>××××××</w:t>
                  </w:r>
                </w:p>
              </w:tc>
            </w:tr>
            <w:tr w14:paraId="19437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8" w:hRule="atLeast"/>
              </w:trPr>
              <w:tc>
                <w:tcPr>
                  <w:tcW w:w="1077" w:type="dxa"/>
                  <w:tcBorders>
                    <w:top w:val="single" w:color="auto" w:sz="4" w:space="0"/>
                    <w:left w:val="single" w:color="auto" w:sz="4" w:space="0"/>
                    <w:bottom w:val="single" w:color="auto" w:sz="4" w:space="0"/>
                    <w:right w:val="single" w:color="auto" w:sz="4" w:space="0"/>
                  </w:tcBorders>
                </w:tcPr>
                <w:p w14:paraId="377C72CF">
                  <w:pPr>
                    <w:spacing w:before="120" w:after="120"/>
                    <w:ind w:firstLine="420"/>
                    <w:jc w:val="center"/>
                  </w:pPr>
                  <w:r>
                    <w:rPr>
                      <w:rFonts w:hint="eastAsia"/>
                    </w:rPr>
                    <w:t>工时</w:t>
                  </w:r>
                </w:p>
              </w:tc>
              <w:tc>
                <w:tcPr>
                  <w:tcW w:w="6002" w:type="dxa"/>
                  <w:tcBorders>
                    <w:top w:val="single" w:color="auto" w:sz="4" w:space="0"/>
                    <w:left w:val="single" w:color="auto" w:sz="4" w:space="0"/>
                    <w:bottom w:val="single" w:color="auto" w:sz="4" w:space="0"/>
                    <w:right w:val="single" w:color="auto" w:sz="4" w:space="0"/>
                  </w:tcBorders>
                </w:tcPr>
                <w:p w14:paraId="32813194">
                  <w:pPr>
                    <w:spacing w:before="120" w:after="120"/>
                    <w:ind w:firstLine="420"/>
                  </w:pPr>
                  <w:r>
                    <w:rPr>
                      <w:rFonts w:hint="eastAsia"/>
                    </w:rPr>
                    <w:t>××××××</w:t>
                  </w:r>
                </w:p>
              </w:tc>
            </w:tr>
          </w:tbl>
          <w:p w14:paraId="2B4D9BF3">
            <w:pPr>
              <w:spacing w:before="120" w:after="120"/>
              <w:ind w:firstLine="420"/>
            </w:pPr>
            <w:r>
              <w:rPr>
                <w:rFonts w:hint="eastAsia"/>
              </w:rPr>
              <w:t>故障描述：</w:t>
            </w:r>
          </w:p>
          <w:p w14:paraId="672E31D6">
            <w:pPr>
              <w:pStyle w:val="147"/>
              <w:numPr>
                <w:ilvl w:val="0"/>
                <w:numId w:val="82"/>
              </w:numPr>
              <w:ind w:left="33" w:firstLine="360"/>
              <w:rPr>
                <w:rFonts w:ascii="宋体" w:hAnsi="宋体" w:eastAsia="宋体"/>
              </w:rPr>
            </w:pPr>
            <w:r>
              <w:rPr>
                <w:rFonts w:ascii="宋体" w:hAnsi="宋体" w:eastAsia="宋体"/>
              </w:rPr>
              <w:t>××××××××××</w:t>
            </w:r>
          </w:p>
          <w:p w14:paraId="40640536">
            <w:pPr>
              <w:pStyle w:val="147"/>
              <w:numPr>
                <w:ilvl w:val="0"/>
                <w:numId w:val="82"/>
              </w:numPr>
              <w:ind w:left="33" w:firstLine="360"/>
              <w:rPr>
                <w:rFonts w:ascii="宋体" w:hAnsi="宋体" w:eastAsia="宋体"/>
              </w:rPr>
            </w:pPr>
            <w:r>
              <w:rPr>
                <w:rFonts w:ascii="宋体" w:hAnsi="宋体" w:eastAsia="宋体"/>
              </w:rPr>
              <w:t>××××××××××</w:t>
            </w:r>
          </w:p>
          <w:p w14:paraId="57757DC6">
            <w:pPr>
              <w:spacing w:before="120" w:after="120"/>
              <w:ind w:firstLine="420"/>
            </w:pPr>
            <w:r>
              <w:rPr>
                <w:rFonts w:hint="eastAsia"/>
              </w:rPr>
              <w:t>故障分析：</w:t>
            </w:r>
          </w:p>
          <w:p w14:paraId="26F7E516">
            <w:pPr>
              <w:spacing w:before="120" w:after="120"/>
              <w:ind w:firstLine="420"/>
            </w:pPr>
            <w:r>
              <w:rPr>
                <w:rFonts w:hint="eastAsia"/>
              </w:rPr>
              <w:t>××××××××××</w:t>
            </w:r>
          </w:p>
          <w:p w14:paraId="7F2415E2">
            <w:pPr>
              <w:spacing w:before="120" w:after="120"/>
              <w:ind w:firstLine="420"/>
            </w:pPr>
            <w:r>
              <w:rPr>
                <w:rFonts w:hint="eastAsia"/>
              </w:rPr>
              <w:t>××××××××××</w:t>
            </w:r>
          </w:p>
          <w:p w14:paraId="1EB33784">
            <w:pPr>
              <w:spacing w:before="120" w:after="120"/>
              <w:ind w:firstLine="420"/>
            </w:pPr>
            <w:r>
              <w:rPr>
                <w:rFonts w:hint="eastAsia"/>
              </w:rPr>
              <w:t xml:space="preserve">故障处理： </w:t>
            </w:r>
          </w:p>
          <w:p w14:paraId="1AC9EB31">
            <w:pPr>
              <w:spacing w:before="120" w:after="120"/>
              <w:ind w:firstLine="420"/>
            </w:pPr>
            <w:r>
              <w:rPr>
                <w:rFonts w:hint="eastAsia"/>
              </w:rPr>
              <w:t>××××××××××</w:t>
            </w:r>
          </w:p>
          <w:p w14:paraId="59A2259B">
            <w:pPr>
              <w:spacing w:before="120" w:after="120"/>
              <w:ind w:firstLine="420"/>
            </w:pPr>
            <w:r>
              <w:rPr>
                <w:rFonts w:hint="eastAsia"/>
              </w:rPr>
              <w:t>××××××××××</w:t>
            </w:r>
          </w:p>
        </w:tc>
      </w:tr>
    </w:tbl>
    <w:p w14:paraId="12E0E3A7"/>
    <w:p w14:paraId="5A032516"/>
    <w:p w14:paraId="4D720468">
      <w:pPr>
        <w:pStyle w:val="12"/>
        <w:numPr>
          <w:ilvl w:val="4"/>
          <w:numId w:val="73"/>
        </w:numPr>
      </w:pPr>
      <w:bookmarkStart w:id="942" w:name="_Toc242524036"/>
      <w:r>
        <w:rPr>
          <w:rFonts w:hint="eastAsia"/>
          <w:lang w:eastAsia="zh-CN"/>
        </w:rPr>
        <w:t>服务</w:t>
      </w:r>
      <w:r>
        <w:rPr>
          <w:rFonts w:hint="eastAsia"/>
        </w:rPr>
        <w:t>管理与监督机制</w:t>
      </w:r>
      <w:bookmarkEnd w:id="942"/>
    </w:p>
    <w:p w14:paraId="0D0DFFC6">
      <w:pPr>
        <w:spacing w:before="120" w:after="120"/>
        <w:ind w:firstLine="420"/>
      </w:pPr>
      <w:r>
        <w:rPr>
          <w:rFonts w:hint="eastAsia"/>
        </w:rPr>
        <w:t>我公司对所提供的运维与售后服务，执行严格的监督管理机制，如果对我公司的技术服务人员存在不满意或不按合同服务标准提供相应服务的情况，可以直接反馈到公司总部。此时，总部将另行安排更高级技术服务人员，直至公司负责领导，亲赴现场，圆满解决问题。</w:t>
      </w:r>
    </w:p>
    <w:p w14:paraId="630E1BD0">
      <w:pPr>
        <w:spacing w:before="120" w:after="120"/>
        <w:ind w:firstLine="420"/>
      </w:pPr>
      <w:r>
        <w:rPr>
          <w:rFonts w:hint="eastAsia"/>
        </w:rPr>
        <w:t>公司制定了客户服务满意度反馈、监督机制：</w:t>
      </w:r>
    </w:p>
    <w:p w14:paraId="3D641FE4">
      <w:pPr>
        <w:spacing w:before="120" w:after="120"/>
        <w:ind w:firstLine="420"/>
      </w:pPr>
      <w:r>
        <w:rPr>
          <w:rFonts w:hint="eastAsia"/>
        </w:rPr>
        <w:t>（1）针对每次服务，当服务完成后，由客户服务监督人员致电客户负责人员，反馈并记录客户对运维及售后服务的满意度及其他意见建议。</w:t>
      </w:r>
    </w:p>
    <w:p w14:paraId="28D60C2B">
      <w:pPr>
        <w:spacing w:before="120" w:after="120"/>
        <w:ind w:firstLine="420"/>
      </w:pPr>
      <w:r>
        <w:rPr>
          <w:rFonts w:hint="eastAsia"/>
        </w:rPr>
        <w:t>（2）定期或在服务重要时间节点，由客户服务监督人员主动到客户拜访，反馈并记录客户对运维及售后服务的满意度及其他意见建议。</w:t>
      </w:r>
    </w:p>
    <w:p w14:paraId="44633198">
      <w:pPr>
        <w:spacing w:before="120" w:after="120"/>
        <w:ind w:firstLine="420"/>
      </w:pPr>
      <w:r>
        <w:rPr>
          <w:rFonts w:hint="eastAsia"/>
        </w:rPr>
        <w:t>（3）在公司客户服务审核系统，通过该系统对客户服务部门的业绩进行系统的监控和审核，对是否达到优质服务进行测定、衡量和评价，及时反馈给提供服务员工，以改进员工服务意识、服务质量。</w:t>
      </w:r>
    </w:p>
    <w:p w14:paraId="35A8ABE8">
      <w:pPr>
        <w:spacing w:before="120" w:after="120"/>
        <w:ind w:firstLine="420"/>
        <w:rPr>
          <w:rFonts w:hint="eastAsia"/>
        </w:rPr>
      </w:pPr>
      <w:r>
        <w:rPr>
          <w:rFonts w:hint="eastAsia"/>
        </w:rPr>
        <w:t>（4）定期总结客户服务问题，系统化、制度化的解决客服监督反馈提出各项合理化意见、建议，从而提示公司总体服务水平。</w:t>
      </w:r>
    </w:p>
    <w:p w14:paraId="368D507D">
      <w:pPr>
        <w:rPr>
          <w:rFonts w:hint="eastAsia"/>
        </w:rPr>
      </w:pPr>
      <w:r>
        <w:rPr>
          <w:rFonts w:hint="eastAsia"/>
        </w:rPr>
        <w:br w:type="page"/>
      </w:r>
    </w:p>
    <w:p w14:paraId="540451E2">
      <w:pPr>
        <w:pStyle w:val="10"/>
        <w:numPr>
          <w:ilvl w:val="3"/>
          <w:numId w:val="73"/>
        </w:numPr>
        <w:rPr>
          <w:rFonts w:hint="eastAsia"/>
          <w:lang w:eastAsia="zh-CN"/>
        </w:rPr>
      </w:pPr>
      <w:bookmarkStart w:id="943" w:name="_Toc1061636969"/>
      <w:bookmarkStart w:id="944" w:name="_Toc1232021826"/>
      <w:r>
        <w:rPr>
          <w:rFonts w:hint="eastAsia"/>
        </w:rPr>
        <w:t>应急响应时间</w:t>
      </w:r>
      <w:r>
        <w:rPr>
          <w:rFonts w:hint="eastAsia"/>
          <w:lang w:eastAsia="zh-CN"/>
        </w:rPr>
        <w:t>承诺</w:t>
      </w:r>
      <w:bookmarkEnd w:id="943"/>
      <w:bookmarkEnd w:id="944"/>
    </w:p>
    <w:p w14:paraId="06B8C77F">
      <w:pPr>
        <w:rPr>
          <w:rFonts w:hint="eastAsia"/>
          <w:lang w:eastAsia="zh-CN"/>
        </w:rPr>
      </w:pPr>
    </w:p>
    <w:p w14:paraId="0790A55D">
      <w:pPr>
        <w:pStyle w:val="4"/>
        <w:ind w:left="0" w:leftChars="0" w:right="0" w:rightChars="0" w:firstLine="0" w:firstLineChars="0"/>
        <w:jc w:val="center"/>
        <w:rPr>
          <w:rFonts w:hint="eastAsia"/>
          <w:b/>
          <w:bCs/>
          <w:sz w:val="32"/>
          <w:szCs w:val="22"/>
        </w:rPr>
      </w:pPr>
    </w:p>
    <w:p w14:paraId="55E07A79">
      <w:pPr>
        <w:pStyle w:val="4"/>
        <w:ind w:left="0" w:leftChars="0" w:right="0" w:rightChars="0" w:firstLine="0" w:firstLineChars="0"/>
        <w:jc w:val="center"/>
        <w:rPr>
          <w:rFonts w:hint="eastAsia"/>
          <w:b/>
          <w:bCs/>
          <w:sz w:val="32"/>
          <w:szCs w:val="22"/>
        </w:rPr>
      </w:pPr>
    </w:p>
    <w:p w14:paraId="447A0DA3">
      <w:pPr>
        <w:pStyle w:val="4"/>
        <w:ind w:left="0" w:leftChars="0" w:right="0" w:rightChars="0" w:firstLine="0" w:firstLineChars="0"/>
        <w:jc w:val="center"/>
        <w:rPr>
          <w:rFonts w:hint="eastAsia"/>
          <w:b/>
          <w:bCs/>
          <w:sz w:val="32"/>
          <w:szCs w:val="22"/>
          <w:lang w:eastAsia="zh-CN"/>
        </w:rPr>
      </w:pPr>
      <w:r>
        <w:rPr>
          <w:rFonts w:hint="eastAsia"/>
          <w:b/>
          <w:bCs/>
          <w:sz w:val="32"/>
          <w:szCs w:val="22"/>
        </w:rPr>
        <w:t>应急响应时间</w:t>
      </w:r>
      <w:r>
        <w:rPr>
          <w:rFonts w:hint="eastAsia"/>
          <w:b/>
          <w:bCs/>
          <w:sz w:val="32"/>
          <w:szCs w:val="22"/>
          <w:lang w:eastAsia="zh-CN"/>
        </w:rPr>
        <w:t>承诺</w:t>
      </w:r>
    </w:p>
    <w:p w14:paraId="3206254C">
      <w:pPr>
        <w:pStyle w:val="4"/>
        <w:ind w:left="0" w:leftChars="0" w:right="0" w:rightChars="0" w:firstLine="0" w:firstLineChars="0"/>
        <w:jc w:val="center"/>
        <w:rPr>
          <w:rFonts w:hint="eastAsia"/>
          <w:b/>
          <w:bCs/>
          <w:sz w:val="32"/>
          <w:szCs w:val="22"/>
          <w:lang w:eastAsia="zh-CN"/>
        </w:rPr>
      </w:pPr>
    </w:p>
    <w:p w14:paraId="6F8F2B7F">
      <w:pPr>
        <w:pStyle w:val="4"/>
        <w:ind w:left="0" w:leftChars="0" w:right="0" w:rightChars="0" w:firstLine="420" w:firstLineChars="0"/>
        <w:jc w:val="left"/>
        <w:rPr>
          <w:rFonts w:hint="eastAsia"/>
          <w:spacing w:val="-2"/>
          <w:sz w:val="24"/>
          <w:lang w:eastAsia="zh-CN"/>
        </w:rPr>
      </w:pPr>
      <w:r>
        <w:rPr>
          <w:rFonts w:hint="eastAsia"/>
          <w:spacing w:val="-2"/>
          <w:sz w:val="24"/>
          <w:lang w:eastAsia="zh-CN"/>
        </w:rPr>
        <w:t>我方郑重承诺：</w:t>
      </w:r>
    </w:p>
    <w:p w14:paraId="57A9080D">
      <w:pPr>
        <w:pStyle w:val="4"/>
        <w:ind w:left="0" w:leftChars="0" w:right="0" w:rightChars="0" w:firstLine="420" w:firstLineChars="0"/>
        <w:jc w:val="left"/>
        <w:rPr>
          <w:rFonts w:hint="eastAsia"/>
          <w:spacing w:val="-2"/>
          <w:sz w:val="24"/>
          <w:lang w:eastAsia="zh-CN"/>
        </w:rPr>
      </w:pPr>
    </w:p>
    <w:p w14:paraId="2605CBFF">
      <w:pPr>
        <w:pStyle w:val="4"/>
        <w:ind w:left="420" w:leftChars="0" w:right="0" w:rightChars="0" w:firstLine="420" w:firstLineChars="0"/>
        <w:jc w:val="left"/>
        <w:rPr>
          <w:rFonts w:hint="eastAsia"/>
          <w:spacing w:val="-9"/>
          <w:sz w:val="24"/>
          <w:lang w:eastAsia="zh-CN"/>
        </w:rPr>
      </w:pPr>
      <w:r>
        <w:rPr>
          <w:spacing w:val="-2"/>
          <w:sz w:val="24"/>
        </w:rPr>
        <w:t>在</w:t>
      </w:r>
      <w:r>
        <w:rPr>
          <w:rFonts w:hint="eastAsia"/>
          <w:spacing w:val="-2"/>
          <w:sz w:val="24"/>
          <w:lang w:eastAsia="zh-CN"/>
        </w:rPr>
        <w:t>本项目</w:t>
      </w:r>
      <w:r>
        <w:rPr>
          <w:spacing w:val="-2"/>
          <w:sz w:val="24"/>
        </w:rPr>
        <w:t>质保期内，如本项目范围内的设备或系统</w:t>
      </w:r>
      <w:r>
        <w:rPr>
          <w:spacing w:val="-3"/>
          <w:sz w:val="24"/>
        </w:rPr>
        <w:t>出现损坏或故障，</w:t>
      </w:r>
      <w:r>
        <w:rPr>
          <w:rFonts w:hint="eastAsia"/>
          <w:spacing w:val="-3"/>
          <w:sz w:val="24"/>
          <w:lang w:eastAsia="zh-CN"/>
        </w:rPr>
        <w:t>我放</w:t>
      </w:r>
      <w:r>
        <w:rPr>
          <w:spacing w:val="-3"/>
          <w:sz w:val="24"/>
        </w:rPr>
        <w:t>承诺及时响应，</w:t>
      </w:r>
      <w:r>
        <w:rPr>
          <w:rFonts w:hint="eastAsia"/>
          <w:spacing w:val="-3"/>
          <w:sz w:val="24"/>
          <w:lang w:eastAsia="zh-CN"/>
        </w:rPr>
        <w:t>并</w:t>
      </w:r>
      <w:r>
        <w:rPr>
          <w:spacing w:val="-3"/>
          <w:sz w:val="24"/>
        </w:rPr>
        <w:t>在</w:t>
      </w:r>
      <w:r>
        <w:rPr>
          <w:rFonts w:hint="eastAsia"/>
          <w:spacing w:val="-3"/>
          <w:sz w:val="24"/>
          <w:lang w:val="en-US" w:eastAsia="zh-CN"/>
        </w:rPr>
        <w:t>2</w:t>
      </w:r>
      <w:r>
        <w:rPr>
          <w:spacing w:val="-9"/>
          <w:sz w:val="24"/>
        </w:rPr>
        <w:t>小时</w:t>
      </w:r>
      <w:r>
        <w:rPr>
          <w:rFonts w:hint="eastAsia"/>
          <w:spacing w:val="-9"/>
          <w:sz w:val="24"/>
          <w:lang w:eastAsia="zh-CN"/>
        </w:rPr>
        <w:t>内到</w:t>
      </w:r>
      <w:r>
        <w:rPr>
          <w:spacing w:val="-9"/>
          <w:sz w:val="24"/>
        </w:rPr>
        <w:t>达现场进行维修处理</w:t>
      </w:r>
      <w:r>
        <w:rPr>
          <w:rFonts w:hint="eastAsia"/>
          <w:spacing w:val="-9"/>
          <w:sz w:val="24"/>
          <w:lang w:eastAsia="zh-CN"/>
        </w:rPr>
        <w:t>。</w:t>
      </w:r>
    </w:p>
    <w:p w14:paraId="548589B4">
      <w:pPr>
        <w:pStyle w:val="4"/>
        <w:ind w:left="420" w:leftChars="0" w:right="0" w:rightChars="0" w:firstLine="420" w:firstLineChars="0"/>
        <w:jc w:val="left"/>
        <w:rPr>
          <w:rFonts w:hint="eastAsia"/>
          <w:spacing w:val="-9"/>
          <w:sz w:val="24"/>
          <w:lang w:eastAsia="zh-CN"/>
        </w:rPr>
      </w:pPr>
    </w:p>
    <w:p w14:paraId="16967FEF">
      <w:pPr>
        <w:pStyle w:val="4"/>
        <w:ind w:left="420" w:leftChars="0" w:right="0" w:rightChars="0" w:firstLine="420" w:firstLineChars="0"/>
        <w:jc w:val="left"/>
        <w:rPr>
          <w:rFonts w:hint="eastAsia"/>
          <w:spacing w:val="-9"/>
          <w:sz w:val="24"/>
          <w:lang w:eastAsia="zh-CN"/>
        </w:rPr>
      </w:pPr>
    </w:p>
    <w:p w14:paraId="193F05D7">
      <w:pPr>
        <w:pStyle w:val="4"/>
        <w:ind w:left="420" w:leftChars="0" w:right="0" w:rightChars="0" w:firstLine="420" w:firstLineChars="0"/>
        <w:jc w:val="left"/>
        <w:rPr>
          <w:rFonts w:hint="eastAsia"/>
          <w:spacing w:val="-9"/>
          <w:sz w:val="24"/>
          <w:lang w:eastAsia="zh-CN"/>
        </w:rPr>
      </w:pPr>
    </w:p>
    <w:p w14:paraId="311CC299">
      <w:pPr>
        <w:pStyle w:val="4"/>
        <w:ind w:left="420" w:leftChars="0" w:right="0" w:rightChars="0" w:firstLine="420" w:firstLineChars="0"/>
        <w:jc w:val="left"/>
        <w:rPr>
          <w:rFonts w:hint="eastAsia"/>
          <w:spacing w:val="-9"/>
          <w:sz w:val="24"/>
          <w:lang w:eastAsia="zh-CN"/>
        </w:rPr>
      </w:pPr>
    </w:p>
    <w:p w14:paraId="1BEC2F9E">
      <w:pPr>
        <w:pStyle w:val="4"/>
        <w:ind w:left="420" w:leftChars="0" w:right="0" w:rightChars="0" w:firstLine="420" w:firstLineChars="0"/>
        <w:jc w:val="left"/>
        <w:rPr>
          <w:rFonts w:hint="eastAsia"/>
          <w:spacing w:val="-9"/>
          <w:sz w:val="24"/>
          <w:lang w:eastAsia="zh-CN"/>
        </w:rPr>
      </w:pPr>
    </w:p>
    <w:p w14:paraId="78F10B69">
      <w:pPr>
        <w:pStyle w:val="4"/>
        <w:ind w:left="420" w:leftChars="0" w:right="0" w:rightChars="0" w:firstLine="420" w:firstLineChars="0"/>
        <w:jc w:val="left"/>
        <w:rPr>
          <w:rFonts w:hint="eastAsia"/>
          <w:spacing w:val="-9"/>
          <w:sz w:val="24"/>
          <w:lang w:eastAsia="zh-CN"/>
        </w:rPr>
      </w:pPr>
    </w:p>
    <w:p w14:paraId="1A4759E9">
      <w:pPr>
        <w:pStyle w:val="4"/>
        <w:ind w:left="420" w:leftChars="0" w:right="0" w:rightChars="0" w:firstLine="420" w:firstLineChars="0"/>
        <w:jc w:val="left"/>
        <w:rPr>
          <w:rFonts w:hint="eastAsia"/>
          <w:spacing w:val="-9"/>
          <w:sz w:val="24"/>
          <w:lang w:eastAsia="zh-CN"/>
        </w:rPr>
      </w:pPr>
    </w:p>
    <w:p w14:paraId="0D692912">
      <w:pPr>
        <w:pStyle w:val="4"/>
        <w:ind w:right="0" w:rightChars="0"/>
        <w:jc w:val="right"/>
        <w:rPr>
          <w:rFonts w:hint="eastAsia"/>
          <w:spacing w:val="-9"/>
          <w:sz w:val="24"/>
          <w:lang w:val="en-US" w:eastAsia="zh-CN"/>
        </w:rPr>
      </w:pPr>
      <w:r>
        <w:rPr>
          <w:rFonts w:hint="eastAsia"/>
          <w:spacing w:val="-9"/>
          <w:sz w:val="24"/>
          <w:lang w:val="en-US" w:eastAsia="zh-CN"/>
        </w:rPr>
        <w:t>投标人：</w:t>
      </w:r>
      <w:r>
        <w:rPr>
          <w:rFonts w:hint="eastAsia"/>
          <w:spacing w:val="-9"/>
          <w:sz w:val="24"/>
          <w:u w:val="single"/>
          <w:lang w:val="en-US" w:eastAsia="zh-CN"/>
        </w:rPr>
        <w:t>北京创联致信科技有限公司</w:t>
      </w:r>
    </w:p>
    <w:p w14:paraId="048CCB33">
      <w:pPr>
        <w:pStyle w:val="4"/>
        <w:wordWrap w:val="0"/>
        <w:ind w:right="0" w:rightChars="0"/>
        <w:jc w:val="right"/>
        <w:rPr>
          <w:rFonts w:hint="default"/>
          <w:spacing w:val="-9"/>
          <w:sz w:val="24"/>
          <w:lang w:val="en-US" w:eastAsia="zh-CN"/>
        </w:rPr>
      </w:pPr>
      <w:r>
        <w:rPr>
          <w:rFonts w:hint="default"/>
          <w:spacing w:val="-9"/>
          <w:sz w:val="24"/>
          <w:lang w:val="en-US" w:eastAsia="zh-CN"/>
        </w:rPr>
        <w:t>委托代理人：</w:t>
      </w:r>
      <w:r>
        <w:rPr>
          <w:rFonts w:hint="eastAsia"/>
          <w:spacing w:val="-9"/>
          <w:sz w:val="24"/>
          <w:u w:val="single"/>
          <w:lang w:val="en-US" w:eastAsia="zh-CN"/>
        </w:rPr>
        <w:t xml:space="preserve">                      </w:t>
      </w:r>
    </w:p>
    <w:p w14:paraId="2255369D">
      <w:pPr>
        <w:pStyle w:val="4"/>
        <w:ind w:right="0" w:rightChars="0"/>
        <w:jc w:val="right"/>
        <w:rPr>
          <w:rFonts w:hint="default"/>
          <w:spacing w:val="-9"/>
          <w:sz w:val="24"/>
          <w:lang w:val="en-US" w:eastAsia="zh-CN"/>
        </w:rPr>
      </w:pPr>
      <w:r>
        <w:rPr>
          <w:rFonts w:hint="eastAsia"/>
          <w:spacing w:val="-9"/>
          <w:sz w:val="24"/>
          <w:u w:val="single"/>
          <w:lang w:val="en-US" w:eastAsia="zh-CN"/>
        </w:rPr>
        <w:t>2025</w:t>
      </w:r>
      <w:r>
        <w:rPr>
          <w:rFonts w:hint="eastAsia"/>
          <w:spacing w:val="-9"/>
          <w:sz w:val="24"/>
          <w:lang w:val="en-US" w:eastAsia="zh-CN"/>
        </w:rPr>
        <w:t>年</w:t>
      </w:r>
      <w:r>
        <w:rPr>
          <w:rFonts w:hint="eastAsia"/>
          <w:spacing w:val="-9"/>
          <w:sz w:val="24"/>
          <w:u w:val="single"/>
          <w:lang w:val="en-US" w:eastAsia="zh-CN"/>
        </w:rPr>
        <w:t>04</w:t>
      </w:r>
      <w:r>
        <w:rPr>
          <w:rFonts w:hint="eastAsia"/>
          <w:spacing w:val="-9"/>
          <w:sz w:val="24"/>
          <w:lang w:val="en-US" w:eastAsia="zh-CN"/>
        </w:rPr>
        <w:t>月</w:t>
      </w:r>
      <w:r>
        <w:rPr>
          <w:rFonts w:hint="eastAsia"/>
          <w:spacing w:val="-9"/>
          <w:sz w:val="24"/>
          <w:u w:val="single"/>
          <w:lang w:val="en-US" w:eastAsia="zh-CN"/>
        </w:rPr>
        <w:t>10</w:t>
      </w:r>
      <w:r>
        <w:rPr>
          <w:rFonts w:hint="eastAsia"/>
          <w:spacing w:val="-9"/>
          <w:sz w:val="24"/>
          <w:lang w:val="en-US" w:eastAsia="zh-CN"/>
        </w:rPr>
        <w:t>日</w:t>
      </w:r>
    </w:p>
    <w:bookmarkEnd w:id="790"/>
    <w:bookmarkEnd w:id="791"/>
    <w:bookmarkEnd w:id="792"/>
    <w:p w14:paraId="7B994CA4">
      <w:pPr>
        <w:pageBreakBefore w:val="0"/>
        <w:kinsoku/>
        <w:wordWrap/>
        <w:overflowPunct/>
        <w:topLinePunct w:val="0"/>
        <w:autoSpaceDE/>
        <w:autoSpaceDN/>
        <w:bidi w:val="0"/>
        <w:spacing w:before="120" w:after="120" w:line="360" w:lineRule="auto"/>
        <w:ind w:firstLine="420"/>
        <w:textAlignment w:val="auto"/>
      </w:pPr>
    </w:p>
    <w:bookmarkEnd w:id="3"/>
    <w:bookmarkEnd w:id="4"/>
    <w:bookmarkEnd w:id="5"/>
    <w:bookmarkEnd w:id="6"/>
    <w:p w14:paraId="137980D5">
      <w:pPr>
        <w:pStyle w:val="87"/>
        <w:pageBreakBefore w:val="0"/>
        <w:kinsoku/>
        <w:wordWrap/>
        <w:overflowPunct/>
        <w:topLinePunct w:val="0"/>
        <w:autoSpaceDE/>
        <w:autoSpaceDN/>
        <w:bidi w:val="0"/>
        <w:spacing w:line="360" w:lineRule="auto"/>
        <w:ind w:left="2" w:leftChars="0" w:hanging="2" w:firstLineChars="0"/>
        <w:textAlignment w:val="auto"/>
      </w:pPr>
    </w:p>
    <w:bookmarkEnd w:id="945"/>
    <w:sectPr>
      <w:pgSz w:w="11906" w:h="16838"/>
      <w:pgMar w:top="1418" w:right="1418" w:bottom="1418" w:left="1418" w:header="851" w:footer="850" w:gutter="0"/>
      <w:pgNumType w:fmt="decimal"/>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modern"/>
    <w:pitch w:val="default"/>
    <w:sig w:usb0="00000000" w:usb1="00000000" w:usb2="00000000" w:usb3="00000000" w:csb0="00040000" w:csb1="00000000"/>
  </w:font>
  <w:font w:name="Calibri Light">
    <w:panose1 w:val="020F03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Helvetica Neue">
    <w:altName w:val="Times New Roman"/>
    <w:panose1 w:val="00000000000000000000"/>
    <w:charset w:val="00"/>
    <w:family w:val="auto"/>
    <w:pitch w:val="default"/>
    <w:sig w:usb0="00000000" w:usb1="00000000" w:usb2="00000010" w:usb3="00000000" w:csb0="00000000" w:csb1="00000000"/>
  </w:font>
  <w:font w:name="Book Antiqua">
    <w:panose1 w:val="02040602050305030304"/>
    <w:charset w:val="00"/>
    <w:family w:val="roman"/>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pingfang sc">
    <w:altName w:val="微软雅黑"/>
    <w:panose1 w:val="00000000000000000000"/>
    <w:charset w:val="86"/>
    <w:family w:val="swiss"/>
    <w:pitch w:val="default"/>
    <w:sig w:usb0="00000000" w:usb1="00000000" w:usb2="00000017" w:usb3="00000000" w:csb0="00040001"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华文楷体">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Microsoft JhengHei">
    <w:panose1 w:val="020B0604030504040204"/>
    <w:charset w:val="88"/>
    <w:family w:val="swiss"/>
    <w:pitch w:val="default"/>
    <w:sig w:usb0="000002A7" w:usb1="28CF4400" w:usb2="00000016" w:usb3="00000000" w:csb0="00100009"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79059">
    <w:pPr>
      <w:pStyle w:val="3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8A40E6">
                          <w:pPr>
                            <w:pStyle w:val="3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4B8A40E6">
                    <w:pPr>
                      <w:pStyle w:val="3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69424E">
    <w:pPr>
      <w:pStyle w:val="30"/>
      <w:rPr>
        <w:sz w:val="24"/>
        <w:szCs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174221">
                          <w:pPr>
                            <w:pStyle w:val="3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53174221">
                    <w:pPr>
                      <w:pStyle w:val="3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12DC4">
    <w:pPr>
      <w:pBdr>
        <w:bottom w:val="none" w:color="auto" w:sz="0" w:space="1"/>
      </w:pBdr>
      <w:spacing w:line="240" w:lineRule="auto"/>
      <w:jc w:val="right"/>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2B576">
    <w:pPr>
      <w:pStyle w:val="103"/>
      <w:spacing w:after="120" w:line="240" w:lineRule="auto"/>
      <w:ind w:left="0" w:firstLine="0" w:firstLineChars="0"/>
      <w:jc w:val="left"/>
      <w:rPr>
        <w:b w:val="0"/>
        <w:b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F7BA36"/>
    <w:multiLevelType w:val="singleLevel"/>
    <w:tmpl w:val="93F7BA36"/>
    <w:lvl w:ilvl="0" w:tentative="0">
      <w:start w:val="1"/>
      <w:numFmt w:val="bullet"/>
      <w:lvlText w:val=""/>
      <w:lvlJc w:val="left"/>
      <w:pPr>
        <w:ind w:left="420" w:hanging="420"/>
      </w:pPr>
      <w:rPr>
        <w:rFonts w:hint="default" w:ascii="Wingdings" w:hAnsi="Wingdings"/>
      </w:rPr>
    </w:lvl>
  </w:abstractNum>
  <w:abstractNum w:abstractNumId="1">
    <w:nsid w:val="9C494CA6"/>
    <w:multiLevelType w:val="multilevel"/>
    <w:tmpl w:val="9C494CA6"/>
    <w:lvl w:ilvl="0" w:tentative="0">
      <w:start w:val="1"/>
      <w:numFmt w:val="decimal"/>
      <w:pStyle w:val="6"/>
      <w:suff w:val="space"/>
      <w:lvlText w:val="%1、"/>
      <w:lvlJc w:val="center"/>
      <w:pPr>
        <w:ind w:left="0" w:firstLine="0"/>
      </w:pPr>
      <w:rPr>
        <w:rFonts w:hint="eastAsia" w:ascii="宋体" w:hAnsi="宋体" w:eastAsia="宋体"/>
        <w:b/>
        <w:bCs/>
        <w:i w:val="0"/>
        <w:sz w:val="28"/>
      </w:rPr>
    </w:lvl>
    <w:lvl w:ilvl="1" w:tentative="0">
      <w:start w:val="1"/>
      <w:numFmt w:val="decimal"/>
      <w:pStyle w:val="7"/>
      <w:isLgl/>
      <w:suff w:val="space"/>
      <w:lvlText w:val="%1.%2"/>
      <w:lvlJc w:val="left"/>
      <w:pPr>
        <w:ind w:left="0" w:firstLine="0"/>
      </w:pPr>
      <w:rPr>
        <w:rFonts w:hint="eastAsia" w:ascii="宋体" w:hAnsi="宋体" w:eastAsia="宋体" w:cs="宋体"/>
        <w:sz w:val="28"/>
        <w:szCs w:val="24"/>
      </w:rPr>
    </w:lvl>
    <w:lvl w:ilvl="2" w:tentative="0">
      <w:start w:val="1"/>
      <w:numFmt w:val="decimal"/>
      <w:pStyle w:val="8"/>
      <w:isLgl/>
      <w:suff w:val="space"/>
      <w:lvlText w:val="%1.%2.%3"/>
      <w:lvlJc w:val="left"/>
      <w:pPr>
        <w:ind w:left="0" w:firstLine="0"/>
      </w:pPr>
      <w:rPr>
        <w:rFonts w:hint="eastAsia" w:ascii="宋体" w:hAnsi="宋体" w:eastAsia="宋体" w:cs="宋体"/>
        <w:b/>
        <w:bCs/>
        <w:sz w:val="28"/>
        <w:szCs w:val="28"/>
      </w:rPr>
    </w:lvl>
    <w:lvl w:ilvl="3" w:tentative="0">
      <w:start w:val="1"/>
      <w:numFmt w:val="decimal"/>
      <w:pStyle w:val="9"/>
      <w:isLgl/>
      <w:suff w:val="space"/>
      <w:lvlText w:val="%1.%2.%3.%4"/>
      <w:lvlJc w:val="left"/>
      <w:pPr>
        <w:ind w:left="0" w:firstLine="0"/>
      </w:pPr>
      <w:rPr>
        <w:rFonts w:hint="eastAsia" w:ascii="宋体" w:hAnsi="宋体" w:eastAsia="宋体"/>
        <w:sz w:val="24"/>
      </w:rPr>
    </w:lvl>
    <w:lvl w:ilvl="4" w:tentative="0">
      <w:start w:val="1"/>
      <w:numFmt w:val="decimal"/>
      <w:pStyle w:val="10"/>
      <w:isLgl/>
      <w:suff w:val="space"/>
      <w:lvlText w:val="%1.%2.%3.%4.%5"/>
      <w:lvlJc w:val="left"/>
      <w:pPr>
        <w:ind w:left="0" w:firstLine="0"/>
      </w:pPr>
      <w:rPr>
        <w:rFonts w:hint="eastAsia" w:ascii="宋体" w:hAnsi="宋体" w:eastAsia="宋体"/>
        <w:sz w:val="24"/>
      </w:rPr>
    </w:lvl>
    <w:lvl w:ilvl="5" w:tentative="0">
      <w:start w:val="1"/>
      <w:numFmt w:val="decimal"/>
      <w:pStyle w:val="12"/>
      <w:isLgl/>
      <w:suff w:val="space"/>
      <w:lvlText w:val="%1.%2.%3.%4.%5.%6"/>
      <w:lvlJc w:val="left"/>
      <w:pPr>
        <w:ind w:left="0" w:firstLine="0"/>
      </w:pPr>
      <w:rPr>
        <w:rFonts w:hint="eastAsia" w:ascii="宋体" w:hAnsi="宋体" w:eastAsia="宋体"/>
      </w:rPr>
    </w:lvl>
    <w:lvl w:ilvl="6" w:tentative="0">
      <w:start w:val="1"/>
      <w:numFmt w:val="decimal"/>
      <w:pStyle w:val="13"/>
      <w:isLgl/>
      <w:suff w:val="space"/>
      <w:lvlText w:val="%1.%2.%3.%4.%5.%6.%7"/>
      <w:lvlJc w:val="left"/>
      <w:pPr>
        <w:ind w:left="0" w:firstLine="0"/>
      </w:pPr>
      <w:rPr>
        <w:rFonts w:hint="eastAsia" w:ascii="宋体" w:hAnsi="宋体" w:eastAsia="宋体"/>
      </w:rPr>
    </w:lvl>
    <w:lvl w:ilvl="7" w:tentative="0">
      <w:start w:val="1"/>
      <w:numFmt w:val="decimal"/>
      <w:suff w:val="space"/>
      <w:lvlText w:val="%1.%2.%3.%4.%5.%6.%7.%8"/>
      <w:lvlJc w:val="left"/>
      <w:pPr>
        <w:ind w:left="0" w:firstLine="0"/>
      </w:pPr>
      <w:rPr>
        <w:rFonts w:hint="eastAsia"/>
      </w:rPr>
    </w:lvl>
    <w:lvl w:ilvl="8" w:tentative="0">
      <w:start w:val="1"/>
      <w:numFmt w:val="decimal"/>
      <w:suff w:val="space"/>
      <w:lvlText w:val="%1.%2.%3.%4.%5.%6.%7.%8.%9"/>
      <w:lvlJc w:val="left"/>
      <w:pPr>
        <w:ind w:left="0" w:firstLine="0"/>
      </w:pPr>
      <w:rPr>
        <w:rFonts w:hint="eastAsia"/>
      </w:rPr>
    </w:lvl>
  </w:abstractNum>
  <w:abstractNum w:abstractNumId="2">
    <w:nsid w:val="9DEC979F"/>
    <w:multiLevelType w:val="singleLevel"/>
    <w:tmpl w:val="9DEC979F"/>
    <w:lvl w:ilvl="0" w:tentative="0">
      <w:start w:val="1"/>
      <w:numFmt w:val="decimal"/>
      <w:lvlText w:val="%1."/>
      <w:lvlJc w:val="left"/>
      <w:pPr>
        <w:ind w:left="425" w:hanging="425"/>
      </w:pPr>
      <w:rPr>
        <w:rFonts w:hint="default"/>
      </w:rPr>
    </w:lvl>
  </w:abstractNum>
  <w:abstractNum w:abstractNumId="3">
    <w:nsid w:val="BCFFADE9"/>
    <w:multiLevelType w:val="singleLevel"/>
    <w:tmpl w:val="BCFFADE9"/>
    <w:lvl w:ilvl="0" w:tentative="0">
      <w:start w:val="1"/>
      <w:numFmt w:val="bullet"/>
      <w:lvlText w:val=""/>
      <w:lvlJc w:val="left"/>
      <w:pPr>
        <w:ind w:left="420" w:hanging="420"/>
      </w:pPr>
      <w:rPr>
        <w:rFonts w:hint="default" w:ascii="Wingdings" w:hAnsi="Wingdings"/>
      </w:rPr>
    </w:lvl>
  </w:abstractNum>
  <w:abstractNum w:abstractNumId="4">
    <w:nsid w:val="D97FF66C"/>
    <w:multiLevelType w:val="singleLevel"/>
    <w:tmpl w:val="D97FF66C"/>
    <w:lvl w:ilvl="0" w:tentative="0">
      <w:start w:val="1"/>
      <w:numFmt w:val="bullet"/>
      <w:lvlText w:val=""/>
      <w:lvlJc w:val="left"/>
      <w:pPr>
        <w:ind w:left="420" w:hanging="420"/>
      </w:pPr>
      <w:rPr>
        <w:rFonts w:hint="default" w:ascii="Wingdings" w:hAnsi="Wingdings"/>
      </w:rPr>
    </w:lvl>
  </w:abstractNum>
  <w:abstractNum w:abstractNumId="5">
    <w:nsid w:val="E37C3AF2"/>
    <w:multiLevelType w:val="singleLevel"/>
    <w:tmpl w:val="E37C3AF2"/>
    <w:lvl w:ilvl="0" w:tentative="0">
      <w:start w:val="1"/>
      <w:numFmt w:val="decimal"/>
      <w:lvlText w:val="%1."/>
      <w:lvlJc w:val="left"/>
      <w:pPr>
        <w:ind w:left="425" w:hanging="425"/>
      </w:pPr>
      <w:rPr>
        <w:rFonts w:hint="default"/>
      </w:rPr>
    </w:lvl>
  </w:abstractNum>
  <w:abstractNum w:abstractNumId="6">
    <w:nsid w:val="E5FC9B7A"/>
    <w:multiLevelType w:val="multilevel"/>
    <w:tmpl w:val="E5FC9B7A"/>
    <w:lvl w:ilvl="0" w:tentative="0">
      <w:start w:val="1"/>
      <w:numFmt w:val="decimal"/>
      <w:lvlText w:val="%1."/>
      <w:lvlJc w:val="left"/>
      <w:pPr>
        <w:ind w:left="108" w:hanging="183"/>
        <w:jc w:val="left"/>
      </w:pPr>
      <w:rPr>
        <w:rFonts w:hint="default" w:ascii="宋体" w:hAnsi="宋体" w:eastAsia="宋体" w:cs="宋体"/>
        <w:b w:val="0"/>
        <w:bCs w:val="0"/>
        <w:i w:val="0"/>
        <w:iCs w:val="0"/>
        <w:spacing w:val="-2"/>
        <w:w w:val="100"/>
        <w:sz w:val="16"/>
        <w:szCs w:val="16"/>
        <w:lang w:val="en-US" w:eastAsia="zh-CN" w:bidi="ar-SA"/>
      </w:rPr>
    </w:lvl>
    <w:lvl w:ilvl="1" w:tentative="0">
      <w:start w:val="0"/>
      <w:numFmt w:val="bullet"/>
      <w:lvlText w:val="•"/>
      <w:lvlJc w:val="left"/>
      <w:pPr>
        <w:ind w:left="382" w:hanging="183"/>
      </w:pPr>
      <w:rPr>
        <w:rFonts w:hint="default"/>
        <w:lang w:val="en-US" w:eastAsia="zh-CN" w:bidi="ar-SA"/>
      </w:rPr>
    </w:lvl>
    <w:lvl w:ilvl="2" w:tentative="0">
      <w:start w:val="0"/>
      <w:numFmt w:val="bullet"/>
      <w:lvlText w:val="•"/>
      <w:lvlJc w:val="left"/>
      <w:pPr>
        <w:ind w:left="665" w:hanging="183"/>
      </w:pPr>
      <w:rPr>
        <w:rFonts w:hint="default"/>
        <w:lang w:val="en-US" w:eastAsia="zh-CN" w:bidi="ar-SA"/>
      </w:rPr>
    </w:lvl>
    <w:lvl w:ilvl="3" w:tentative="0">
      <w:start w:val="0"/>
      <w:numFmt w:val="bullet"/>
      <w:lvlText w:val="•"/>
      <w:lvlJc w:val="left"/>
      <w:pPr>
        <w:ind w:left="948" w:hanging="183"/>
      </w:pPr>
      <w:rPr>
        <w:rFonts w:hint="default"/>
        <w:lang w:val="en-US" w:eastAsia="zh-CN" w:bidi="ar-SA"/>
      </w:rPr>
    </w:lvl>
    <w:lvl w:ilvl="4" w:tentative="0">
      <w:start w:val="0"/>
      <w:numFmt w:val="bullet"/>
      <w:lvlText w:val="•"/>
      <w:lvlJc w:val="left"/>
      <w:pPr>
        <w:ind w:left="1231" w:hanging="183"/>
      </w:pPr>
      <w:rPr>
        <w:rFonts w:hint="default"/>
        <w:lang w:val="en-US" w:eastAsia="zh-CN" w:bidi="ar-SA"/>
      </w:rPr>
    </w:lvl>
    <w:lvl w:ilvl="5" w:tentative="0">
      <w:start w:val="0"/>
      <w:numFmt w:val="bullet"/>
      <w:lvlText w:val="•"/>
      <w:lvlJc w:val="left"/>
      <w:pPr>
        <w:ind w:left="1514" w:hanging="183"/>
      </w:pPr>
      <w:rPr>
        <w:rFonts w:hint="default"/>
        <w:lang w:val="en-US" w:eastAsia="zh-CN" w:bidi="ar-SA"/>
      </w:rPr>
    </w:lvl>
    <w:lvl w:ilvl="6" w:tentative="0">
      <w:start w:val="0"/>
      <w:numFmt w:val="bullet"/>
      <w:lvlText w:val="•"/>
      <w:lvlJc w:val="left"/>
      <w:pPr>
        <w:ind w:left="1796" w:hanging="183"/>
      </w:pPr>
      <w:rPr>
        <w:rFonts w:hint="default"/>
        <w:lang w:val="en-US" w:eastAsia="zh-CN" w:bidi="ar-SA"/>
      </w:rPr>
    </w:lvl>
    <w:lvl w:ilvl="7" w:tentative="0">
      <w:start w:val="0"/>
      <w:numFmt w:val="bullet"/>
      <w:lvlText w:val="•"/>
      <w:lvlJc w:val="left"/>
      <w:pPr>
        <w:ind w:left="2079" w:hanging="183"/>
      </w:pPr>
      <w:rPr>
        <w:rFonts w:hint="default"/>
        <w:lang w:val="en-US" w:eastAsia="zh-CN" w:bidi="ar-SA"/>
      </w:rPr>
    </w:lvl>
    <w:lvl w:ilvl="8" w:tentative="0">
      <w:start w:val="0"/>
      <w:numFmt w:val="bullet"/>
      <w:lvlText w:val="•"/>
      <w:lvlJc w:val="left"/>
      <w:pPr>
        <w:ind w:left="2362" w:hanging="183"/>
      </w:pPr>
      <w:rPr>
        <w:rFonts w:hint="default"/>
        <w:lang w:val="en-US" w:eastAsia="zh-CN" w:bidi="ar-SA"/>
      </w:rPr>
    </w:lvl>
  </w:abstractNum>
  <w:abstractNum w:abstractNumId="7">
    <w:nsid w:val="F0E197DC"/>
    <w:multiLevelType w:val="singleLevel"/>
    <w:tmpl w:val="F0E197DC"/>
    <w:lvl w:ilvl="0" w:tentative="0">
      <w:start w:val="1"/>
      <w:numFmt w:val="bullet"/>
      <w:lvlText w:val=""/>
      <w:lvlJc w:val="left"/>
      <w:pPr>
        <w:ind w:left="420" w:hanging="420"/>
      </w:pPr>
      <w:rPr>
        <w:rFonts w:hint="default" w:ascii="Wingdings" w:hAnsi="Wingdings"/>
      </w:rPr>
    </w:lvl>
  </w:abstractNum>
  <w:abstractNum w:abstractNumId="8">
    <w:nsid w:val="F4FC1525"/>
    <w:multiLevelType w:val="singleLevel"/>
    <w:tmpl w:val="F4FC1525"/>
    <w:lvl w:ilvl="0" w:tentative="0">
      <w:start w:val="1"/>
      <w:numFmt w:val="bullet"/>
      <w:lvlText w:val=""/>
      <w:lvlJc w:val="left"/>
      <w:pPr>
        <w:ind w:left="420" w:hanging="420"/>
      </w:pPr>
      <w:rPr>
        <w:rFonts w:hint="default" w:ascii="Wingdings" w:hAnsi="Wingdings"/>
      </w:rPr>
    </w:lvl>
  </w:abstractNum>
  <w:abstractNum w:abstractNumId="9">
    <w:nsid w:val="FE772198"/>
    <w:multiLevelType w:val="singleLevel"/>
    <w:tmpl w:val="FE772198"/>
    <w:lvl w:ilvl="0" w:tentative="0">
      <w:start w:val="1"/>
      <w:numFmt w:val="bullet"/>
      <w:pStyle w:val="19"/>
      <w:lvlText w:val=""/>
      <w:lvlJc w:val="left"/>
      <w:pPr>
        <w:tabs>
          <w:tab w:val="left" w:pos="360"/>
        </w:tabs>
        <w:ind w:left="360" w:hanging="360"/>
      </w:pPr>
      <w:rPr>
        <w:rFonts w:hint="default" w:ascii="Wingdings" w:hAnsi="Wingdings"/>
      </w:rPr>
    </w:lvl>
  </w:abstractNum>
  <w:abstractNum w:abstractNumId="10">
    <w:nsid w:val="FF6ADA9C"/>
    <w:multiLevelType w:val="singleLevel"/>
    <w:tmpl w:val="FF6ADA9C"/>
    <w:lvl w:ilvl="0" w:tentative="0">
      <w:start w:val="1"/>
      <w:numFmt w:val="bullet"/>
      <w:lvlText w:val=""/>
      <w:lvlJc w:val="left"/>
      <w:pPr>
        <w:ind w:left="420" w:hanging="420"/>
      </w:pPr>
      <w:rPr>
        <w:rFonts w:hint="default" w:ascii="Wingdings" w:hAnsi="Wingdings"/>
      </w:rPr>
    </w:lvl>
  </w:abstractNum>
  <w:abstractNum w:abstractNumId="11">
    <w:nsid w:val="FF7ABA8F"/>
    <w:multiLevelType w:val="singleLevel"/>
    <w:tmpl w:val="FF7ABA8F"/>
    <w:lvl w:ilvl="0" w:tentative="0">
      <w:start w:val="1"/>
      <w:numFmt w:val="bullet"/>
      <w:lvlText w:val=""/>
      <w:lvlJc w:val="left"/>
      <w:pPr>
        <w:ind w:left="420" w:hanging="420"/>
      </w:pPr>
      <w:rPr>
        <w:rFonts w:hint="default" w:ascii="Wingdings" w:hAnsi="Wingdings"/>
      </w:rPr>
    </w:lvl>
  </w:abstractNum>
  <w:abstractNum w:abstractNumId="12">
    <w:nsid w:val="03895677"/>
    <w:multiLevelType w:val="multilevel"/>
    <w:tmpl w:val="03895677"/>
    <w:lvl w:ilvl="0" w:tentative="0">
      <w:start w:val="1"/>
      <w:numFmt w:val="decimal"/>
      <w:lvlText w:val="%1)"/>
      <w:lvlJc w:val="left"/>
      <w:pPr>
        <w:ind w:left="1070" w:hanging="420"/>
      </w:p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13">
    <w:nsid w:val="042D5B7A"/>
    <w:multiLevelType w:val="multilevel"/>
    <w:tmpl w:val="042D5B7A"/>
    <w:lvl w:ilvl="0" w:tentative="0">
      <w:start w:val="1"/>
      <w:numFmt w:val="decimal"/>
      <w:pStyle w:val="132"/>
      <w:suff w:val="space"/>
      <w:lvlText w:val="%1）"/>
      <w:lvlJc w:val="left"/>
      <w:pPr>
        <w:ind w:left="1228" w:hanging="360"/>
      </w:pPr>
      <w:rPr>
        <w:rFonts w:hint="default"/>
      </w:rPr>
    </w:lvl>
    <w:lvl w:ilvl="1" w:tentative="0">
      <w:start w:val="1"/>
      <w:numFmt w:val="lowerLetter"/>
      <w:lvlText w:val="%2)"/>
      <w:lvlJc w:val="left"/>
      <w:pPr>
        <w:tabs>
          <w:tab w:val="left" w:pos="1708"/>
        </w:tabs>
        <w:ind w:left="1708" w:hanging="420"/>
      </w:pPr>
      <w:rPr>
        <w:rFonts w:hint="eastAsia"/>
      </w:rPr>
    </w:lvl>
    <w:lvl w:ilvl="2" w:tentative="0">
      <w:start w:val="1"/>
      <w:numFmt w:val="lowerRoman"/>
      <w:lvlText w:val="%3."/>
      <w:lvlJc w:val="right"/>
      <w:pPr>
        <w:tabs>
          <w:tab w:val="left" w:pos="2128"/>
        </w:tabs>
        <w:ind w:left="2128" w:hanging="420"/>
      </w:pPr>
      <w:rPr>
        <w:rFonts w:hint="eastAsia"/>
      </w:rPr>
    </w:lvl>
    <w:lvl w:ilvl="3" w:tentative="0">
      <w:start w:val="1"/>
      <w:numFmt w:val="decimal"/>
      <w:lvlText w:val="%4."/>
      <w:lvlJc w:val="left"/>
      <w:pPr>
        <w:tabs>
          <w:tab w:val="left" w:pos="2548"/>
        </w:tabs>
        <w:ind w:left="2548" w:hanging="420"/>
      </w:pPr>
      <w:rPr>
        <w:rFonts w:hint="eastAsia"/>
      </w:rPr>
    </w:lvl>
    <w:lvl w:ilvl="4" w:tentative="0">
      <w:start w:val="1"/>
      <w:numFmt w:val="lowerLetter"/>
      <w:lvlText w:val="%5)"/>
      <w:lvlJc w:val="left"/>
      <w:pPr>
        <w:tabs>
          <w:tab w:val="left" w:pos="2968"/>
        </w:tabs>
        <w:ind w:left="2968" w:hanging="420"/>
      </w:pPr>
      <w:rPr>
        <w:rFonts w:hint="eastAsia"/>
      </w:rPr>
    </w:lvl>
    <w:lvl w:ilvl="5" w:tentative="0">
      <w:start w:val="1"/>
      <w:numFmt w:val="lowerRoman"/>
      <w:lvlText w:val="%6."/>
      <w:lvlJc w:val="right"/>
      <w:pPr>
        <w:tabs>
          <w:tab w:val="left" w:pos="3388"/>
        </w:tabs>
        <w:ind w:left="3388" w:hanging="420"/>
      </w:pPr>
      <w:rPr>
        <w:rFonts w:hint="eastAsia"/>
      </w:rPr>
    </w:lvl>
    <w:lvl w:ilvl="6" w:tentative="0">
      <w:start w:val="1"/>
      <w:numFmt w:val="decimal"/>
      <w:lvlText w:val="%7."/>
      <w:lvlJc w:val="left"/>
      <w:pPr>
        <w:tabs>
          <w:tab w:val="left" w:pos="3808"/>
        </w:tabs>
        <w:ind w:left="3808" w:hanging="420"/>
      </w:pPr>
      <w:rPr>
        <w:rFonts w:hint="eastAsia"/>
      </w:rPr>
    </w:lvl>
    <w:lvl w:ilvl="7" w:tentative="0">
      <w:start w:val="1"/>
      <w:numFmt w:val="lowerLetter"/>
      <w:lvlText w:val="%8)"/>
      <w:lvlJc w:val="left"/>
      <w:pPr>
        <w:tabs>
          <w:tab w:val="left" w:pos="4228"/>
        </w:tabs>
        <w:ind w:left="4228" w:hanging="420"/>
      </w:pPr>
      <w:rPr>
        <w:rFonts w:hint="eastAsia"/>
      </w:rPr>
    </w:lvl>
    <w:lvl w:ilvl="8" w:tentative="0">
      <w:start w:val="1"/>
      <w:numFmt w:val="lowerRoman"/>
      <w:lvlText w:val="%9."/>
      <w:lvlJc w:val="right"/>
      <w:pPr>
        <w:tabs>
          <w:tab w:val="left" w:pos="4648"/>
        </w:tabs>
        <w:ind w:left="4648" w:hanging="420"/>
      </w:pPr>
      <w:rPr>
        <w:rFonts w:hint="eastAsia"/>
      </w:rPr>
    </w:lvl>
  </w:abstractNum>
  <w:abstractNum w:abstractNumId="14">
    <w:nsid w:val="05ED0FCC"/>
    <w:multiLevelType w:val="multilevel"/>
    <w:tmpl w:val="05ED0FCC"/>
    <w:lvl w:ilvl="0" w:tentative="0">
      <w:start w:val="1"/>
      <w:numFmt w:val="decimal"/>
      <w:lvlText w:val="（%1）"/>
      <w:lvlJc w:val="left"/>
      <w:pPr>
        <w:ind w:left="846" w:hanging="420"/>
      </w:pPr>
      <w:rPr>
        <w:rFonts w:hint="eastAsia" w:eastAsia="宋体" w:cs="Arial"/>
        <w:b w:val="0"/>
        <w:i w:val="0"/>
        <w:sz w:val="21"/>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5">
    <w:nsid w:val="0607633F"/>
    <w:multiLevelType w:val="multilevel"/>
    <w:tmpl w:val="0607633F"/>
    <w:lvl w:ilvl="0" w:tentative="0">
      <w:start w:val="1"/>
      <w:numFmt w:val="decimal"/>
      <w:suff w:val="spac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0A7C748B"/>
    <w:multiLevelType w:val="multilevel"/>
    <w:tmpl w:val="0A7C748B"/>
    <w:lvl w:ilvl="0" w:tentative="0">
      <w:start w:val="1"/>
      <w:numFmt w:val="bullet"/>
      <w:lvlText w:val=""/>
      <w:lvlJc w:val="left"/>
      <w:pPr>
        <w:ind w:left="988" w:hanging="420"/>
      </w:pPr>
      <w:rPr>
        <w:rFonts w:hint="default" w:ascii="Wingdings" w:hAnsi="Wingdings"/>
      </w:rPr>
    </w:lvl>
    <w:lvl w:ilvl="1" w:tentative="0">
      <w:start w:val="1"/>
      <w:numFmt w:val="bullet"/>
      <w:lvlText w:val=""/>
      <w:lvlJc w:val="left"/>
      <w:pPr>
        <w:ind w:left="1408" w:hanging="420"/>
      </w:pPr>
      <w:rPr>
        <w:rFonts w:hint="default" w:ascii="Wingdings" w:hAnsi="Wingdings"/>
      </w:rPr>
    </w:lvl>
    <w:lvl w:ilvl="2" w:tentative="0">
      <w:start w:val="1"/>
      <w:numFmt w:val="bullet"/>
      <w:lvlText w:val=""/>
      <w:lvlJc w:val="left"/>
      <w:pPr>
        <w:ind w:left="1828" w:hanging="420"/>
      </w:pPr>
      <w:rPr>
        <w:rFonts w:hint="default" w:ascii="Wingdings" w:hAnsi="Wingdings"/>
      </w:rPr>
    </w:lvl>
    <w:lvl w:ilvl="3" w:tentative="0">
      <w:start w:val="1"/>
      <w:numFmt w:val="bullet"/>
      <w:lvlText w:val=""/>
      <w:lvlJc w:val="left"/>
      <w:pPr>
        <w:ind w:left="2248" w:hanging="420"/>
      </w:pPr>
      <w:rPr>
        <w:rFonts w:hint="default" w:ascii="Wingdings" w:hAnsi="Wingdings"/>
      </w:rPr>
    </w:lvl>
    <w:lvl w:ilvl="4" w:tentative="0">
      <w:start w:val="1"/>
      <w:numFmt w:val="bullet"/>
      <w:lvlText w:val=""/>
      <w:lvlJc w:val="left"/>
      <w:pPr>
        <w:ind w:left="2668" w:hanging="420"/>
      </w:pPr>
      <w:rPr>
        <w:rFonts w:hint="default" w:ascii="Wingdings" w:hAnsi="Wingdings"/>
      </w:rPr>
    </w:lvl>
    <w:lvl w:ilvl="5" w:tentative="0">
      <w:start w:val="1"/>
      <w:numFmt w:val="bullet"/>
      <w:lvlText w:val=""/>
      <w:lvlJc w:val="left"/>
      <w:pPr>
        <w:ind w:left="3088" w:hanging="420"/>
      </w:pPr>
      <w:rPr>
        <w:rFonts w:hint="default" w:ascii="Wingdings" w:hAnsi="Wingdings"/>
      </w:rPr>
    </w:lvl>
    <w:lvl w:ilvl="6" w:tentative="0">
      <w:start w:val="1"/>
      <w:numFmt w:val="bullet"/>
      <w:lvlText w:val=""/>
      <w:lvlJc w:val="left"/>
      <w:pPr>
        <w:ind w:left="3508" w:hanging="420"/>
      </w:pPr>
      <w:rPr>
        <w:rFonts w:hint="default" w:ascii="Wingdings" w:hAnsi="Wingdings"/>
      </w:rPr>
    </w:lvl>
    <w:lvl w:ilvl="7" w:tentative="0">
      <w:start w:val="1"/>
      <w:numFmt w:val="bullet"/>
      <w:lvlText w:val=""/>
      <w:lvlJc w:val="left"/>
      <w:pPr>
        <w:ind w:left="3928" w:hanging="420"/>
      </w:pPr>
      <w:rPr>
        <w:rFonts w:hint="default" w:ascii="Wingdings" w:hAnsi="Wingdings"/>
      </w:rPr>
    </w:lvl>
    <w:lvl w:ilvl="8" w:tentative="0">
      <w:start w:val="1"/>
      <w:numFmt w:val="bullet"/>
      <w:lvlText w:val=""/>
      <w:lvlJc w:val="left"/>
      <w:pPr>
        <w:ind w:left="4348" w:hanging="420"/>
      </w:pPr>
      <w:rPr>
        <w:rFonts w:hint="default" w:ascii="Wingdings" w:hAnsi="Wingdings"/>
      </w:rPr>
    </w:lvl>
  </w:abstractNum>
  <w:abstractNum w:abstractNumId="17">
    <w:nsid w:val="11F775A8"/>
    <w:multiLevelType w:val="multilevel"/>
    <w:tmpl w:val="11F775A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8">
    <w:nsid w:val="163F299F"/>
    <w:multiLevelType w:val="multilevel"/>
    <w:tmpl w:val="163F299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9">
    <w:nsid w:val="164A3DF2"/>
    <w:multiLevelType w:val="multilevel"/>
    <w:tmpl w:val="164A3DF2"/>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0">
    <w:nsid w:val="19E2B1E7"/>
    <w:multiLevelType w:val="singleLevel"/>
    <w:tmpl w:val="19E2B1E7"/>
    <w:lvl w:ilvl="0" w:tentative="0">
      <w:start w:val="1"/>
      <w:numFmt w:val="decimal"/>
      <w:suff w:val="space"/>
      <w:lvlText w:val="%1."/>
      <w:lvlJc w:val="left"/>
    </w:lvl>
  </w:abstractNum>
  <w:abstractNum w:abstractNumId="21">
    <w:nsid w:val="1C3A15CE"/>
    <w:multiLevelType w:val="multilevel"/>
    <w:tmpl w:val="1C3A15CE"/>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2">
    <w:nsid w:val="1D5A316B"/>
    <w:multiLevelType w:val="multilevel"/>
    <w:tmpl w:val="1D5A316B"/>
    <w:lvl w:ilvl="0" w:tentative="0">
      <w:start w:val="1"/>
      <w:numFmt w:val="decimal"/>
      <w:lvlText w:val="%1)"/>
      <w:lvlJc w:val="left"/>
      <w:pPr>
        <w:ind w:left="1070" w:hanging="420"/>
      </w:p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23">
    <w:nsid w:val="1F93701E"/>
    <w:multiLevelType w:val="multilevel"/>
    <w:tmpl w:val="1F93701E"/>
    <w:lvl w:ilvl="0" w:tentative="0">
      <w:start w:val="1"/>
      <w:numFmt w:val="decimal"/>
      <w:pStyle w:val="188"/>
      <w:lvlText w:val="%1)"/>
      <w:lvlJc w:val="left"/>
      <w:pPr>
        <w:ind w:left="840" w:hanging="4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20A62939"/>
    <w:multiLevelType w:val="multilevel"/>
    <w:tmpl w:val="20A62939"/>
    <w:lvl w:ilvl="0" w:tentative="0">
      <w:start w:val="1"/>
      <w:numFmt w:val="decimal"/>
      <w:suff w:val="spac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23B170BD"/>
    <w:multiLevelType w:val="multilevel"/>
    <w:tmpl w:val="23B170BD"/>
    <w:lvl w:ilvl="0" w:tentative="0">
      <w:start w:val="1"/>
      <w:numFmt w:val="decimal"/>
      <w:lvlText w:val="%1)"/>
      <w:lvlJc w:val="left"/>
      <w:pPr>
        <w:ind w:left="993" w:hanging="420"/>
      </w:pPr>
      <w:rPr>
        <w:rFonts w:ascii="宋体" w:hAnsi="宋体" w:eastAsia="宋体"/>
      </w:rPr>
    </w:lvl>
    <w:lvl w:ilvl="1" w:tentative="0">
      <w:start w:val="1"/>
      <w:numFmt w:val="lowerLetter"/>
      <w:lvlText w:val="%2)"/>
      <w:lvlJc w:val="left"/>
      <w:pPr>
        <w:ind w:left="1413" w:hanging="420"/>
      </w:pPr>
    </w:lvl>
    <w:lvl w:ilvl="2" w:tentative="0">
      <w:start w:val="1"/>
      <w:numFmt w:val="lowerRoman"/>
      <w:lvlText w:val="%3."/>
      <w:lvlJc w:val="right"/>
      <w:pPr>
        <w:ind w:left="1833" w:hanging="420"/>
      </w:pPr>
    </w:lvl>
    <w:lvl w:ilvl="3" w:tentative="0">
      <w:start w:val="1"/>
      <w:numFmt w:val="decimal"/>
      <w:lvlText w:val="%4."/>
      <w:lvlJc w:val="left"/>
      <w:pPr>
        <w:ind w:left="2253" w:hanging="420"/>
      </w:pPr>
    </w:lvl>
    <w:lvl w:ilvl="4" w:tentative="0">
      <w:start w:val="1"/>
      <w:numFmt w:val="lowerLetter"/>
      <w:lvlText w:val="%5)"/>
      <w:lvlJc w:val="left"/>
      <w:pPr>
        <w:ind w:left="2673" w:hanging="420"/>
      </w:pPr>
    </w:lvl>
    <w:lvl w:ilvl="5" w:tentative="0">
      <w:start w:val="1"/>
      <w:numFmt w:val="lowerRoman"/>
      <w:lvlText w:val="%6."/>
      <w:lvlJc w:val="right"/>
      <w:pPr>
        <w:ind w:left="3093" w:hanging="420"/>
      </w:pPr>
    </w:lvl>
    <w:lvl w:ilvl="6" w:tentative="0">
      <w:start w:val="1"/>
      <w:numFmt w:val="decimal"/>
      <w:lvlText w:val="%7."/>
      <w:lvlJc w:val="left"/>
      <w:pPr>
        <w:ind w:left="3513" w:hanging="420"/>
      </w:pPr>
    </w:lvl>
    <w:lvl w:ilvl="7" w:tentative="0">
      <w:start w:val="1"/>
      <w:numFmt w:val="lowerLetter"/>
      <w:lvlText w:val="%8)"/>
      <w:lvlJc w:val="left"/>
      <w:pPr>
        <w:ind w:left="3933" w:hanging="420"/>
      </w:pPr>
    </w:lvl>
    <w:lvl w:ilvl="8" w:tentative="0">
      <w:start w:val="1"/>
      <w:numFmt w:val="lowerRoman"/>
      <w:lvlText w:val="%9."/>
      <w:lvlJc w:val="right"/>
      <w:pPr>
        <w:ind w:left="4353" w:hanging="420"/>
      </w:pPr>
    </w:lvl>
  </w:abstractNum>
  <w:abstractNum w:abstractNumId="26">
    <w:nsid w:val="2859107A"/>
    <w:multiLevelType w:val="multilevel"/>
    <w:tmpl w:val="2859107A"/>
    <w:lvl w:ilvl="0" w:tentative="0">
      <w:start w:val="1"/>
      <w:numFmt w:val="decimal"/>
      <w:suff w:val="spac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2A7D3913"/>
    <w:multiLevelType w:val="multilevel"/>
    <w:tmpl w:val="2A7D391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8">
    <w:nsid w:val="2D5F4D43"/>
    <w:multiLevelType w:val="multilevel"/>
    <w:tmpl w:val="2D5F4D4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9">
    <w:nsid w:val="2DB70A38"/>
    <w:multiLevelType w:val="multilevel"/>
    <w:tmpl w:val="2DB70A38"/>
    <w:lvl w:ilvl="0" w:tentative="0">
      <w:start w:val="1"/>
      <w:numFmt w:val="decimal"/>
      <w:suff w:val="space"/>
      <w:lvlText w:val="%1)"/>
      <w:lvlJc w:val="left"/>
      <w:pPr>
        <w:ind w:left="1070" w:hanging="420"/>
      </w:pPr>
      <w:rPr>
        <w:rFonts w:hint="eastAsia"/>
      </w:r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30">
    <w:nsid w:val="30A315ED"/>
    <w:multiLevelType w:val="multilevel"/>
    <w:tmpl w:val="30A315ED"/>
    <w:lvl w:ilvl="0" w:tentative="0">
      <w:start w:val="1"/>
      <w:numFmt w:val="decimal"/>
      <w:lvlText w:val="%1)"/>
      <w:lvlJc w:val="left"/>
      <w:pPr>
        <w:ind w:left="1070" w:hanging="420"/>
      </w:p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31">
    <w:nsid w:val="30FF7194"/>
    <w:multiLevelType w:val="multilevel"/>
    <w:tmpl w:val="30FF7194"/>
    <w:lvl w:ilvl="0" w:tentative="0">
      <w:start w:val="1"/>
      <w:numFmt w:val="bullet"/>
      <w:lvlText w:val=""/>
      <w:lvlJc w:val="left"/>
      <w:pPr>
        <w:ind w:left="844" w:hanging="420"/>
      </w:pPr>
      <w:rPr>
        <w:rFonts w:hint="default" w:ascii="Wingdings" w:hAnsi="Wingdings"/>
      </w:rPr>
    </w:lvl>
    <w:lvl w:ilvl="1" w:tentative="0">
      <w:start w:val="1"/>
      <w:numFmt w:val="bullet"/>
      <w:lvlText w:val=""/>
      <w:lvlJc w:val="left"/>
      <w:pPr>
        <w:ind w:left="1264" w:hanging="420"/>
      </w:pPr>
      <w:rPr>
        <w:rFonts w:hint="default" w:ascii="Wingdings" w:hAnsi="Wingdings"/>
      </w:rPr>
    </w:lvl>
    <w:lvl w:ilvl="2" w:tentative="0">
      <w:start w:val="1"/>
      <w:numFmt w:val="bullet"/>
      <w:lvlText w:val=""/>
      <w:lvlJc w:val="left"/>
      <w:pPr>
        <w:ind w:left="1684" w:hanging="420"/>
      </w:pPr>
      <w:rPr>
        <w:rFonts w:hint="default" w:ascii="Wingdings" w:hAnsi="Wingdings"/>
      </w:rPr>
    </w:lvl>
    <w:lvl w:ilvl="3" w:tentative="0">
      <w:start w:val="1"/>
      <w:numFmt w:val="bullet"/>
      <w:lvlText w:val=""/>
      <w:lvlJc w:val="left"/>
      <w:pPr>
        <w:ind w:left="2104" w:hanging="420"/>
      </w:pPr>
      <w:rPr>
        <w:rFonts w:hint="default" w:ascii="Wingdings" w:hAnsi="Wingdings"/>
      </w:rPr>
    </w:lvl>
    <w:lvl w:ilvl="4" w:tentative="0">
      <w:start w:val="1"/>
      <w:numFmt w:val="bullet"/>
      <w:lvlText w:val=""/>
      <w:lvlJc w:val="left"/>
      <w:pPr>
        <w:ind w:left="2524" w:hanging="420"/>
      </w:pPr>
      <w:rPr>
        <w:rFonts w:hint="default" w:ascii="Wingdings" w:hAnsi="Wingdings"/>
      </w:rPr>
    </w:lvl>
    <w:lvl w:ilvl="5" w:tentative="0">
      <w:start w:val="1"/>
      <w:numFmt w:val="bullet"/>
      <w:lvlText w:val=""/>
      <w:lvlJc w:val="left"/>
      <w:pPr>
        <w:ind w:left="2944" w:hanging="420"/>
      </w:pPr>
      <w:rPr>
        <w:rFonts w:hint="default" w:ascii="Wingdings" w:hAnsi="Wingdings"/>
      </w:rPr>
    </w:lvl>
    <w:lvl w:ilvl="6" w:tentative="0">
      <w:start w:val="1"/>
      <w:numFmt w:val="bullet"/>
      <w:lvlText w:val=""/>
      <w:lvlJc w:val="left"/>
      <w:pPr>
        <w:ind w:left="3364" w:hanging="420"/>
      </w:pPr>
      <w:rPr>
        <w:rFonts w:hint="default" w:ascii="Wingdings" w:hAnsi="Wingdings"/>
      </w:rPr>
    </w:lvl>
    <w:lvl w:ilvl="7" w:tentative="0">
      <w:start w:val="1"/>
      <w:numFmt w:val="bullet"/>
      <w:lvlText w:val=""/>
      <w:lvlJc w:val="left"/>
      <w:pPr>
        <w:ind w:left="3784" w:hanging="420"/>
      </w:pPr>
      <w:rPr>
        <w:rFonts w:hint="default" w:ascii="Wingdings" w:hAnsi="Wingdings"/>
      </w:rPr>
    </w:lvl>
    <w:lvl w:ilvl="8" w:tentative="0">
      <w:start w:val="1"/>
      <w:numFmt w:val="bullet"/>
      <w:lvlText w:val=""/>
      <w:lvlJc w:val="left"/>
      <w:pPr>
        <w:ind w:left="4204" w:hanging="420"/>
      </w:pPr>
      <w:rPr>
        <w:rFonts w:hint="default" w:ascii="Wingdings" w:hAnsi="Wingdings"/>
      </w:rPr>
    </w:lvl>
  </w:abstractNum>
  <w:abstractNum w:abstractNumId="32">
    <w:nsid w:val="34D042A4"/>
    <w:multiLevelType w:val="multilevel"/>
    <w:tmpl w:val="34D042A4"/>
    <w:lvl w:ilvl="0" w:tentative="0">
      <w:start w:val="1"/>
      <w:numFmt w:val="bullet"/>
      <w:pStyle w:val="191"/>
      <w:suff w:val="space"/>
      <w:lvlText w:val=""/>
      <w:lvlJc w:val="left"/>
      <w:pPr>
        <w:ind w:left="0" w:firstLine="0"/>
      </w:pPr>
      <w:rPr>
        <w:rFonts w:hint="default" w:ascii="Wingdings" w:hAnsi="Wingdings"/>
      </w:rPr>
    </w:lvl>
    <w:lvl w:ilvl="1" w:tentative="0">
      <w:start w:val="1"/>
      <w:numFmt w:val="bullet"/>
      <w:lvlText w:val="o"/>
      <w:lvlJc w:val="left"/>
      <w:pPr>
        <w:ind w:left="2215" w:hanging="360"/>
      </w:pPr>
      <w:rPr>
        <w:rFonts w:hint="default" w:ascii="Courier New" w:hAnsi="Courier New"/>
      </w:rPr>
    </w:lvl>
    <w:lvl w:ilvl="2" w:tentative="0">
      <w:start w:val="1"/>
      <w:numFmt w:val="bullet"/>
      <w:lvlText w:val=""/>
      <w:lvlJc w:val="left"/>
      <w:pPr>
        <w:ind w:left="2935" w:hanging="360"/>
      </w:pPr>
      <w:rPr>
        <w:rFonts w:hint="default" w:ascii="Wingdings" w:hAnsi="Wingdings"/>
      </w:rPr>
    </w:lvl>
    <w:lvl w:ilvl="3" w:tentative="0">
      <w:start w:val="1"/>
      <w:numFmt w:val="bullet"/>
      <w:lvlText w:val=""/>
      <w:lvlJc w:val="left"/>
      <w:pPr>
        <w:ind w:left="3655" w:hanging="360"/>
      </w:pPr>
      <w:rPr>
        <w:rFonts w:hint="default" w:ascii="Symbol" w:hAnsi="Symbol"/>
      </w:rPr>
    </w:lvl>
    <w:lvl w:ilvl="4" w:tentative="0">
      <w:start w:val="1"/>
      <w:numFmt w:val="bullet"/>
      <w:lvlText w:val="o"/>
      <w:lvlJc w:val="left"/>
      <w:pPr>
        <w:ind w:left="4375" w:hanging="360"/>
      </w:pPr>
      <w:rPr>
        <w:rFonts w:hint="default" w:ascii="Courier New" w:hAnsi="Courier New"/>
      </w:rPr>
    </w:lvl>
    <w:lvl w:ilvl="5" w:tentative="0">
      <w:start w:val="1"/>
      <w:numFmt w:val="bullet"/>
      <w:lvlText w:val=""/>
      <w:lvlJc w:val="left"/>
      <w:pPr>
        <w:ind w:left="5095" w:hanging="360"/>
      </w:pPr>
      <w:rPr>
        <w:rFonts w:hint="default" w:ascii="Wingdings" w:hAnsi="Wingdings"/>
      </w:rPr>
    </w:lvl>
    <w:lvl w:ilvl="6" w:tentative="0">
      <w:start w:val="1"/>
      <w:numFmt w:val="bullet"/>
      <w:lvlText w:val=""/>
      <w:lvlJc w:val="left"/>
      <w:pPr>
        <w:ind w:left="5815" w:hanging="360"/>
      </w:pPr>
      <w:rPr>
        <w:rFonts w:hint="default" w:ascii="Symbol" w:hAnsi="Symbol"/>
      </w:rPr>
    </w:lvl>
    <w:lvl w:ilvl="7" w:tentative="0">
      <w:start w:val="1"/>
      <w:numFmt w:val="bullet"/>
      <w:lvlText w:val="o"/>
      <w:lvlJc w:val="left"/>
      <w:pPr>
        <w:ind w:left="6535" w:hanging="360"/>
      </w:pPr>
      <w:rPr>
        <w:rFonts w:hint="default" w:ascii="Courier New" w:hAnsi="Courier New"/>
      </w:rPr>
    </w:lvl>
    <w:lvl w:ilvl="8" w:tentative="0">
      <w:start w:val="1"/>
      <w:numFmt w:val="bullet"/>
      <w:lvlText w:val=""/>
      <w:lvlJc w:val="left"/>
      <w:pPr>
        <w:ind w:left="7255" w:hanging="360"/>
      </w:pPr>
      <w:rPr>
        <w:rFonts w:hint="default" w:ascii="Wingdings" w:hAnsi="Wingdings"/>
      </w:rPr>
    </w:lvl>
  </w:abstractNum>
  <w:abstractNum w:abstractNumId="33">
    <w:nsid w:val="38BE0D87"/>
    <w:multiLevelType w:val="multilevel"/>
    <w:tmpl w:val="38BE0D8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4">
    <w:nsid w:val="391A6683"/>
    <w:multiLevelType w:val="multilevel"/>
    <w:tmpl w:val="391A6683"/>
    <w:lvl w:ilvl="0" w:tentative="0">
      <w:start w:val="1"/>
      <w:numFmt w:val="bullet"/>
      <w:lvlText w:val=""/>
      <w:lvlJc w:val="left"/>
      <w:pPr>
        <w:ind w:left="1070" w:hanging="420"/>
      </w:pPr>
      <w:rPr>
        <w:rFonts w:hint="default" w:ascii="Wingdings" w:hAnsi="Wingdings"/>
      </w:r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35">
    <w:nsid w:val="3D423C89"/>
    <w:multiLevelType w:val="multilevel"/>
    <w:tmpl w:val="3D423C8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6">
    <w:nsid w:val="3E6B4D71"/>
    <w:multiLevelType w:val="multilevel"/>
    <w:tmpl w:val="3E6B4D71"/>
    <w:lvl w:ilvl="0" w:tentative="0">
      <w:start w:val="1"/>
      <w:numFmt w:val="chineseCountingThousand"/>
      <w:lvlText w:val="%1、"/>
      <w:lvlJc w:val="left"/>
      <w:pPr>
        <w:ind w:left="0" w:firstLine="0"/>
      </w:pPr>
      <w:rPr>
        <w:rFonts w:hint="eastAsia"/>
        <w:sz w:val="32"/>
      </w:rPr>
    </w:lvl>
    <w:lvl w:ilvl="1" w:tentative="0">
      <w:start w:val="1"/>
      <w:numFmt w:val="decimal"/>
      <w:isLgl/>
      <w:suff w:val="space"/>
      <w:lvlText w:val="%1.%2、"/>
      <w:lvlJc w:val="left"/>
      <w:pPr>
        <w:ind w:left="0" w:firstLine="113"/>
      </w:pPr>
      <w:rPr>
        <w:rFonts w:hint="eastAsia" w:ascii="宋体" w:hAnsi="宋体" w:eastAsia="宋体"/>
      </w:rPr>
    </w:lvl>
    <w:lvl w:ilvl="2" w:tentative="0">
      <w:start w:val="1"/>
      <w:numFmt w:val="decimal"/>
      <w:isLgl/>
      <w:suff w:val="space"/>
      <w:lvlText w:val="%1.%2.%3、"/>
      <w:lvlJc w:val="left"/>
      <w:pPr>
        <w:ind w:left="0" w:firstLine="227"/>
      </w:pPr>
      <w:rPr>
        <w:rFonts w:hint="eastAsia" w:ascii="宋体" w:hAnsi="宋体" w:eastAsia="宋体"/>
        <w:b/>
      </w:rPr>
    </w:lvl>
    <w:lvl w:ilvl="3" w:tentative="0">
      <w:start w:val="1"/>
      <w:numFmt w:val="decimal"/>
      <w:pStyle w:val="11"/>
      <w:isLgl/>
      <w:suff w:val="space"/>
      <w:lvlText w:val="%1.%2.%3.%4"/>
      <w:lvlJc w:val="left"/>
      <w:pPr>
        <w:ind w:left="0" w:firstLine="340"/>
      </w:pPr>
      <w:rPr>
        <w:rFonts w:hint="eastAsia"/>
      </w:rPr>
    </w:lvl>
    <w:lvl w:ilvl="4" w:tentative="0">
      <w:start w:val="1"/>
      <w:numFmt w:val="decimal"/>
      <w:isLgl/>
      <w:suff w:val="space"/>
      <w:lvlText w:val="%1.%2.%3.%4.%5"/>
      <w:lvlJc w:val="left"/>
      <w:pPr>
        <w:ind w:left="0" w:firstLine="454"/>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7">
    <w:nsid w:val="3E6C7D0D"/>
    <w:multiLevelType w:val="multilevel"/>
    <w:tmpl w:val="3E6C7D0D"/>
    <w:lvl w:ilvl="0" w:tentative="0">
      <w:start w:val="1"/>
      <w:numFmt w:val="decimal"/>
      <w:lvlText w:val="%1)"/>
      <w:lvlJc w:val="left"/>
      <w:pPr>
        <w:ind w:left="1070" w:hanging="420"/>
      </w:p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38">
    <w:nsid w:val="40BF2BF3"/>
    <w:multiLevelType w:val="multilevel"/>
    <w:tmpl w:val="40BF2BF3"/>
    <w:lvl w:ilvl="0" w:tentative="0">
      <w:start w:val="1"/>
      <w:numFmt w:val="decimal"/>
      <w:lvlText w:val="（%1）"/>
      <w:lvlJc w:val="left"/>
      <w:pPr>
        <w:ind w:left="846" w:hanging="420"/>
      </w:pPr>
      <w:rPr>
        <w:rFonts w:hint="eastAsia" w:eastAsia="宋体" w:cs="Arial"/>
        <w:b w:val="0"/>
        <w:i w:val="0"/>
        <w:sz w:val="21"/>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39">
    <w:nsid w:val="41FA64E9"/>
    <w:multiLevelType w:val="multilevel"/>
    <w:tmpl w:val="41FA64E9"/>
    <w:lvl w:ilvl="0" w:tentative="0">
      <w:start w:val="1"/>
      <w:numFmt w:val="bullet"/>
      <w:lvlText w:val=""/>
      <w:lvlJc w:val="left"/>
      <w:pPr>
        <w:ind w:left="1070" w:hanging="420"/>
      </w:pPr>
      <w:rPr>
        <w:rFonts w:hint="default" w:ascii="Wingdings" w:hAnsi="Wingdings"/>
      </w:rPr>
    </w:lvl>
    <w:lvl w:ilvl="1" w:tentative="0">
      <w:start w:val="1"/>
      <w:numFmt w:val="bullet"/>
      <w:lvlText w:val=""/>
      <w:lvlJc w:val="left"/>
      <w:pPr>
        <w:ind w:left="1490" w:hanging="420"/>
      </w:pPr>
      <w:rPr>
        <w:rFonts w:hint="default" w:ascii="Wingdings" w:hAnsi="Wingdings"/>
      </w:rPr>
    </w:lvl>
    <w:lvl w:ilvl="2" w:tentative="0">
      <w:start w:val="1"/>
      <w:numFmt w:val="bullet"/>
      <w:lvlText w:val=""/>
      <w:lvlJc w:val="left"/>
      <w:pPr>
        <w:ind w:left="1910" w:hanging="420"/>
      </w:pPr>
      <w:rPr>
        <w:rFonts w:hint="default" w:ascii="Wingdings" w:hAnsi="Wingdings"/>
      </w:rPr>
    </w:lvl>
    <w:lvl w:ilvl="3" w:tentative="0">
      <w:start w:val="1"/>
      <w:numFmt w:val="bullet"/>
      <w:lvlText w:val=""/>
      <w:lvlJc w:val="left"/>
      <w:pPr>
        <w:ind w:left="2330" w:hanging="420"/>
      </w:pPr>
      <w:rPr>
        <w:rFonts w:hint="default" w:ascii="Wingdings" w:hAnsi="Wingdings"/>
      </w:rPr>
    </w:lvl>
    <w:lvl w:ilvl="4" w:tentative="0">
      <w:start w:val="1"/>
      <w:numFmt w:val="bullet"/>
      <w:lvlText w:val=""/>
      <w:lvlJc w:val="left"/>
      <w:pPr>
        <w:ind w:left="2750" w:hanging="420"/>
      </w:pPr>
      <w:rPr>
        <w:rFonts w:hint="default" w:ascii="Wingdings" w:hAnsi="Wingdings"/>
      </w:rPr>
    </w:lvl>
    <w:lvl w:ilvl="5" w:tentative="0">
      <w:start w:val="1"/>
      <w:numFmt w:val="bullet"/>
      <w:lvlText w:val=""/>
      <w:lvlJc w:val="left"/>
      <w:pPr>
        <w:ind w:left="3170" w:hanging="420"/>
      </w:pPr>
      <w:rPr>
        <w:rFonts w:hint="default" w:ascii="Wingdings" w:hAnsi="Wingdings"/>
      </w:rPr>
    </w:lvl>
    <w:lvl w:ilvl="6" w:tentative="0">
      <w:start w:val="1"/>
      <w:numFmt w:val="bullet"/>
      <w:lvlText w:val=""/>
      <w:lvlJc w:val="left"/>
      <w:pPr>
        <w:ind w:left="3590" w:hanging="420"/>
      </w:pPr>
      <w:rPr>
        <w:rFonts w:hint="default" w:ascii="Wingdings" w:hAnsi="Wingdings"/>
      </w:rPr>
    </w:lvl>
    <w:lvl w:ilvl="7" w:tentative="0">
      <w:start w:val="1"/>
      <w:numFmt w:val="bullet"/>
      <w:lvlText w:val=""/>
      <w:lvlJc w:val="left"/>
      <w:pPr>
        <w:ind w:left="4010" w:hanging="420"/>
      </w:pPr>
      <w:rPr>
        <w:rFonts w:hint="default" w:ascii="Wingdings" w:hAnsi="Wingdings"/>
      </w:rPr>
    </w:lvl>
    <w:lvl w:ilvl="8" w:tentative="0">
      <w:start w:val="1"/>
      <w:numFmt w:val="bullet"/>
      <w:lvlText w:val=""/>
      <w:lvlJc w:val="left"/>
      <w:pPr>
        <w:ind w:left="4430" w:hanging="420"/>
      </w:pPr>
      <w:rPr>
        <w:rFonts w:hint="default" w:ascii="Wingdings" w:hAnsi="Wingdings"/>
      </w:rPr>
    </w:lvl>
  </w:abstractNum>
  <w:abstractNum w:abstractNumId="40">
    <w:nsid w:val="43D75EB1"/>
    <w:multiLevelType w:val="multilevel"/>
    <w:tmpl w:val="43D75EB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1">
    <w:nsid w:val="444B4714"/>
    <w:multiLevelType w:val="multilevel"/>
    <w:tmpl w:val="444B4714"/>
    <w:lvl w:ilvl="0" w:tentative="0">
      <w:start w:val="1"/>
      <w:numFmt w:val="decimal"/>
      <w:suff w:val="space"/>
      <w:lvlText w:val="%1）"/>
      <w:lvlJc w:val="left"/>
      <w:pPr>
        <w:ind w:left="0" w:firstLine="0"/>
      </w:pPr>
      <w:rPr>
        <w:rFonts w:hint="eastAsia" w:ascii="宋体" w:hAnsi="宋体" w:eastAsia="宋体" w:cs="宋体"/>
        <w:b w:val="0"/>
        <w:i w:val="0"/>
        <w:strike w:val="0"/>
        <w:dstrike w:val="0"/>
        <w:color w:val="000000"/>
        <w:sz w:val="24"/>
        <w:szCs w:val="24"/>
        <w:u w:val="none" w:color="000000"/>
        <w:shd w:val="clear" w:color="auto" w:fill="auto"/>
        <w:vertAlign w:val="baseline"/>
      </w:rPr>
    </w:lvl>
    <w:lvl w:ilvl="1" w:tentative="0">
      <w:start w:val="1"/>
      <w:numFmt w:val="lowerLetter"/>
      <w:lvlText w:val="%2"/>
      <w:lvlJc w:val="left"/>
      <w:pPr>
        <w:ind w:left="1560"/>
      </w:pPr>
      <w:rPr>
        <w:rFonts w:ascii="宋体" w:hAnsi="宋体" w:eastAsia="宋体" w:cs="宋体"/>
        <w:b w:val="0"/>
        <w:i w:val="0"/>
        <w:strike w:val="0"/>
        <w:dstrike w:val="0"/>
        <w:color w:val="000000"/>
        <w:sz w:val="24"/>
        <w:szCs w:val="24"/>
        <w:u w:val="none" w:color="000000"/>
        <w:shd w:val="clear" w:color="auto" w:fill="auto"/>
        <w:vertAlign w:val="baseline"/>
      </w:rPr>
    </w:lvl>
    <w:lvl w:ilvl="2" w:tentative="0">
      <w:start w:val="1"/>
      <w:numFmt w:val="lowerRoman"/>
      <w:lvlText w:val="%3"/>
      <w:lvlJc w:val="left"/>
      <w:pPr>
        <w:ind w:left="2280"/>
      </w:pPr>
      <w:rPr>
        <w:rFonts w:ascii="宋体" w:hAnsi="宋体" w:eastAsia="宋体" w:cs="宋体"/>
        <w:b w:val="0"/>
        <w:i w:val="0"/>
        <w:strike w:val="0"/>
        <w:dstrike w:val="0"/>
        <w:color w:val="000000"/>
        <w:sz w:val="24"/>
        <w:szCs w:val="24"/>
        <w:u w:val="none" w:color="000000"/>
        <w:shd w:val="clear" w:color="auto" w:fill="auto"/>
        <w:vertAlign w:val="baseline"/>
      </w:rPr>
    </w:lvl>
    <w:lvl w:ilvl="3" w:tentative="0">
      <w:start w:val="1"/>
      <w:numFmt w:val="decimal"/>
      <w:lvlText w:val="%4"/>
      <w:lvlJc w:val="left"/>
      <w:pPr>
        <w:ind w:left="3000"/>
      </w:pPr>
      <w:rPr>
        <w:rFonts w:ascii="宋体" w:hAnsi="宋体" w:eastAsia="宋体" w:cs="宋体"/>
        <w:b w:val="0"/>
        <w:i w:val="0"/>
        <w:strike w:val="0"/>
        <w:dstrike w:val="0"/>
        <w:color w:val="000000"/>
        <w:sz w:val="24"/>
        <w:szCs w:val="24"/>
        <w:u w:val="none" w:color="000000"/>
        <w:shd w:val="clear" w:color="auto" w:fill="auto"/>
        <w:vertAlign w:val="baseline"/>
      </w:rPr>
    </w:lvl>
    <w:lvl w:ilvl="4" w:tentative="0">
      <w:start w:val="1"/>
      <w:numFmt w:val="lowerLetter"/>
      <w:lvlText w:val="%5"/>
      <w:lvlJc w:val="left"/>
      <w:pPr>
        <w:ind w:left="3720"/>
      </w:pPr>
      <w:rPr>
        <w:rFonts w:ascii="宋体" w:hAnsi="宋体" w:eastAsia="宋体" w:cs="宋体"/>
        <w:b w:val="0"/>
        <w:i w:val="0"/>
        <w:strike w:val="0"/>
        <w:dstrike w:val="0"/>
        <w:color w:val="000000"/>
        <w:sz w:val="24"/>
        <w:szCs w:val="24"/>
        <w:u w:val="none" w:color="000000"/>
        <w:shd w:val="clear" w:color="auto" w:fill="auto"/>
        <w:vertAlign w:val="baseline"/>
      </w:rPr>
    </w:lvl>
    <w:lvl w:ilvl="5" w:tentative="0">
      <w:start w:val="1"/>
      <w:numFmt w:val="lowerRoman"/>
      <w:lvlText w:val="%6"/>
      <w:lvlJc w:val="left"/>
      <w:pPr>
        <w:ind w:left="4440"/>
      </w:pPr>
      <w:rPr>
        <w:rFonts w:ascii="宋体" w:hAnsi="宋体" w:eastAsia="宋体" w:cs="宋体"/>
        <w:b w:val="0"/>
        <w:i w:val="0"/>
        <w:strike w:val="0"/>
        <w:dstrike w:val="0"/>
        <w:color w:val="000000"/>
        <w:sz w:val="24"/>
        <w:szCs w:val="24"/>
        <w:u w:val="none" w:color="000000"/>
        <w:shd w:val="clear" w:color="auto" w:fill="auto"/>
        <w:vertAlign w:val="baseline"/>
      </w:rPr>
    </w:lvl>
    <w:lvl w:ilvl="6" w:tentative="0">
      <w:start w:val="1"/>
      <w:numFmt w:val="decimal"/>
      <w:lvlText w:val="%7"/>
      <w:lvlJc w:val="left"/>
      <w:pPr>
        <w:ind w:left="5160"/>
      </w:pPr>
      <w:rPr>
        <w:rFonts w:ascii="宋体" w:hAnsi="宋体" w:eastAsia="宋体" w:cs="宋体"/>
        <w:b w:val="0"/>
        <w:i w:val="0"/>
        <w:strike w:val="0"/>
        <w:dstrike w:val="0"/>
        <w:color w:val="000000"/>
        <w:sz w:val="24"/>
        <w:szCs w:val="24"/>
        <w:u w:val="none" w:color="000000"/>
        <w:shd w:val="clear" w:color="auto" w:fill="auto"/>
        <w:vertAlign w:val="baseline"/>
      </w:rPr>
    </w:lvl>
    <w:lvl w:ilvl="7" w:tentative="0">
      <w:start w:val="1"/>
      <w:numFmt w:val="lowerLetter"/>
      <w:lvlText w:val="%8"/>
      <w:lvlJc w:val="left"/>
      <w:pPr>
        <w:ind w:left="5880"/>
      </w:pPr>
      <w:rPr>
        <w:rFonts w:ascii="宋体" w:hAnsi="宋体" w:eastAsia="宋体" w:cs="宋体"/>
        <w:b w:val="0"/>
        <w:i w:val="0"/>
        <w:strike w:val="0"/>
        <w:dstrike w:val="0"/>
        <w:color w:val="000000"/>
        <w:sz w:val="24"/>
        <w:szCs w:val="24"/>
        <w:u w:val="none" w:color="000000"/>
        <w:shd w:val="clear" w:color="auto" w:fill="auto"/>
        <w:vertAlign w:val="baseline"/>
      </w:rPr>
    </w:lvl>
    <w:lvl w:ilvl="8" w:tentative="0">
      <w:start w:val="1"/>
      <w:numFmt w:val="lowerRoman"/>
      <w:lvlText w:val="%9"/>
      <w:lvlJc w:val="left"/>
      <w:pPr>
        <w:ind w:left="6600"/>
      </w:pPr>
      <w:rPr>
        <w:rFonts w:ascii="宋体" w:hAnsi="宋体" w:eastAsia="宋体" w:cs="宋体"/>
        <w:b w:val="0"/>
        <w:i w:val="0"/>
        <w:strike w:val="0"/>
        <w:dstrike w:val="0"/>
        <w:color w:val="000000"/>
        <w:sz w:val="24"/>
        <w:szCs w:val="24"/>
        <w:u w:val="none" w:color="000000"/>
        <w:shd w:val="clear" w:color="auto" w:fill="auto"/>
        <w:vertAlign w:val="baseline"/>
      </w:rPr>
    </w:lvl>
  </w:abstractNum>
  <w:abstractNum w:abstractNumId="42">
    <w:nsid w:val="462D682F"/>
    <w:multiLevelType w:val="multilevel"/>
    <w:tmpl w:val="462D682F"/>
    <w:lvl w:ilvl="0" w:tentative="0">
      <w:start w:val="1"/>
      <w:numFmt w:val="bullet"/>
      <w:pStyle w:val="150"/>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43">
    <w:nsid w:val="46340E64"/>
    <w:multiLevelType w:val="multilevel"/>
    <w:tmpl w:val="46340E64"/>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48C44D08"/>
    <w:multiLevelType w:val="multilevel"/>
    <w:tmpl w:val="48C44D08"/>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5">
    <w:nsid w:val="491F7217"/>
    <w:multiLevelType w:val="multilevel"/>
    <w:tmpl w:val="491F7217"/>
    <w:lvl w:ilvl="0" w:tentative="0">
      <w:start w:val="1"/>
      <w:numFmt w:val="bullet"/>
      <w:lvlText w:val=""/>
      <w:lvlJc w:val="left"/>
      <w:pPr>
        <w:ind w:left="420" w:hanging="420"/>
      </w:pPr>
      <w:rPr>
        <w:rFonts w:hint="default" w:ascii="Wingdings" w:hAnsi="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6">
    <w:nsid w:val="492CC1BA"/>
    <w:multiLevelType w:val="singleLevel"/>
    <w:tmpl w:val="492CC1BA"/>
    <w:lvl w:ilvl="0" w:tentative="0">
      <w:start w:val="1"/>
      <w:numFmt w:val="decimal"/>
      <w:lvlText w:val="%1."/>
      <w:lvlJc w:val="left"/>
      <w:pPr>
        <w:tabs>
          <w:tab w:val="left" w:pos="420"/>
        </w:tabs>
        <w:ind w:left="845" w:hanging="425"/>
      </w:pPr>
      <w:rPr>
        <w:rFonts w:hint="default"/>
      </w:rPr>
    </w:lvl>
  </w:abstractNum>
  <w:abstractNum w:abstractNumId="47">
    <w:nsid w:val="4A473E05"/>
    <w:multiLevelType w:val="multilevel"/>
    <w:tmpl w:val="4A473E05"/>
    <w:lvl w:ilvl="0" w:tentative="0">
      <w:start w:val="1"/>
      <w:numFmt w:val="decimal"/>
      <w:suff w:val="space"/>
      <w:lvlText w:val="%1)"/>
      <w:lvlJc w:val="left"/>
      <w:pPr>
        <w:ind w:left="1070" w:hanging="420"/>
      </w:pPr>
      <w:rPr>
        <w:rFonts w:hint="eastAsia"/>
      </w:r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48">
    <w:nsid w:val="508F4AEF"/>
    <w:multiLevelType w:val="multilevel"/>
    <w:tmpl w:val="508F4AEF"/>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49">
    <w:nsid w:val="50A34D4E"/>
    <w:multiLevelType w:val="multilevel"/>
    <w:tmpl w:val="50A34D4E"/>
    <w:lvl w:ilvl="0" w:tentative="0">
      <w:start w:val="1"/>
      <w:numFmt w:val="bullet"/>
      <w:pStyle w:val="190"/>
      <w:suff w:val="space"/>
      <w:lvlText w:val=""/>
      <w:lvlJc w:val="left"/>
      <w:pPr>
        <w:ind w:left="0" w:firstLine="0"/>
      </w:pPr>
      <w:rPr>
        <w:rFonts w:hint="default" w:ascii="Wingdings" w:hAnsi="Wingdings"/>
      </w:rPr>
    </w:lvl>
    <w:lvl w:ilvl="1" w:tentative="0">
      <w:start w:val="1"/>
      <w:numFmt w:val="bullet"/>
      <w:lvlText w:val=""/>
      <w:lvlJc w:val="left"/>
      <w:pPr>
        <w:ind w:left="1266" w:hanging="420"/>
      </w:pPr>
      <w:rPr>
        <w:rFonts w:hint="default" w:ascii="Wingdings" w:hAnsi="Wingdings"/>
      </w:rPr>
    </w:lvl>
    <w:lvl w:ilvl="2" w:tentative="0">
      <w:start w:val="1"/>
      <w:numFmt w:val="bullet"/>
      <w:lvlText w:val=""/>
      <w:lvlJc w:val="left"/>
      <w:pPr>
        <w:ind w:left="1686" w:hanging="420"/>
      </w:pPr>
      <w:rPr>
        <w:rFonts w:hint="default" w:ascii="Wingdings" w:hAnsi="Wingdings"/>
      </w:rPr>
    </w:lvl>
    <w:lvl w:ilvl="3" w:tentative="0">
      <w:start w:val="1"/>
      <w:numFmt w:val="bullet"/>
      <w:lvlText w:val=""/>
      <w:lvlJc w:val="left"/>
      <w:pPr>
        <w:ind w:left="2106" w:hanging="420"/>
      </w:pPr>
      <w:rPr>
        <w:rFonts w:hint="default" w:ascii="Wingdings" w:hAnsi="Wingdings"/>
      </w:rPr>
    </w:lvl>
    <w:lvl w:ilvl="4" w:tentative="0">
      <w:start w:val="1"/>
      <w:numFmt w:val="bullet"/>
      <w:lvlText w:val=""/>
      <w:lvlJc w:val="left"/>
      <w:pPr>
        <w:ind w:left="2526" w:hanging="420"/>
      </w:pPr>
      <w:rPr>
        <w:rFonts w:hint="default" w:ascii="Wingdings" w:hAnsi="Wingdings"/>
      </w:rPr>
    </w:lvl>
    <w:lvl w:ilvl="5" w:tentative="0">
      <w:start w:val="1"/>
      <w:numFmt w:val="bullet"/>
      <w:lvlText w:val=""/>
      <w:lvlJc w:val="left"/>
      <w:pPr>
        <w:ind w:left="2946" w:hanging="420"/>
      </w:pPr>
      <w:rPr>
        <w:rFonts w:hint="default" w:ascii="Wingdings" w:hAnsi="Wingdings"/>
      </w:rPr>
    </w:lvl>
    <w:lvl w:ilvl="6" w:tentative="0">
      <w:start w:val="1"/>
      <w:numFmt w:val="bullet"/>
      <w:lvlText w:val=""/>
      <w:lvlJc w:val="left"/>
      <w:pPr>
        <w:ind w:left="3366" w:hanging="420"/>
      </w:pPr>
      <w:rPr>
        <w:rFonts w:hint="default" w:ascii="Wingdings" w:hAnsi="Wingdings"/>
      </w:rPr>
    </w:lvl>
    <w:lvl w:ilvl="7" w:tentative="0">
      <w:start w:val="1"/>
      <w:numFmt w:val="bullet"/>
      <w:lvlText w:val=""/>
      <w:lvlJc w:val="left"/>
      <w:pPr>
        <w:ind w:left="3786" w:hanging="420"/>
      </w:pPr>
      <w:rPr>
        <w:rFonts w:hint="default" w:ascii="Wingdings" w:hAnsi="Wingdings"/>
      </w:rPr>
    </w:lvl>
    <w:lvl w:ilvl="8" w:tentative="0">
      <w:start w:val="1"/>
      <w:numFmt w:val="bullet"/>
      <w:lvlText w:val=""/>
      <w:lvlJc w:val="left"/>
      <w:pPr>
        <w:ind w:left="4206" w:hanging="420"/>
      </w:pPr>
      <w:rPr>
        <w:rFonts w:hint="default" w:ascii="Wingdings" w:hAnsi="Wingdings"/>
      </w:rPr>
    </w:lvl>
  </w:abstractNum>
  <w:abstractNum w:abstractNumId="50">
    <w:nsid w:val="524C6BAC"/>
    <w:multiLevelType w:val="multilevel"/>
    <w:tmpl w:val="524C6BAC"/>
    <w:lvl w:ilvl="0" w:tentative="0">
      <w:start w:val="1"/>
      <w:numFmt w:val="decimal"/>
      <w:suff w:val="space"/>
      <w:lvlText w:val="%1)"/>
      <w:lvlJc w:val="left"/>
      <w:pPr>
        <w:ind w:left="1070" w:hanging="420"/>
      </w:pPr>
      <w:rPr>
        <w:rFonts w:hint="eastAsia"/>
      </w:r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51">
    <w:nsid w:val="52AA0BB9"/>
    <w:multiLevelType w:val="multilevel"/>
    <w:tmpl w:val="52AA0BB9"/>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52">
    <w:nsid w:val="52CC18F8"/>
    <w:multiLevelType w:val="multilevel"/>
    <w:tmpl w:val="52CC18F8"/>
    <w:lvl w:ilvl="0" w:tentative="0">
      <w:start w:val="1"/>
      <w:numFmt w:val="decimal"/>
      <w:lvlText w:val="%1)"/>
      <w:lvlJc w:val="left"/>
      <w:pPr>
        <w:ind w:left="1070" w:hanging="420"/>
      </w:pPr>
    </w:lvl>
    <w:lvl w:ilvl="1" w:tentative="0">
      <w:start w:val="1"/>
      <w:numFmt w:val="lowerLetter"/>
      <w:lvlText w:val="%2)"/>
      <w:lvlJc w:val="left"/>
      <w:pPr>
        <w:ind w:left="1490" w:hanging="420"/>
      </w:pPr>
    </w:lvl>
    <w:lvl w:ilvl="2" w:tentative="0">
      <w:start w:val="1"/>
      <w:numFmt w:val="lowerRoman"/>
      <w:lvlText w:val="%3."/>
      <w:lvlJc w:val="right"/>
      <w:pPr>
        <w:ind w:left="1910" w:hanging="420"/>
      </w:pPr>
    </w:lvl>
    <w:lvl w:ilvl="3" w:tentative="0">
      <w:start w:val="1"/>
      <w:numFmt w:val="decimal"/>
      <w:lvlText w:val="%4."/>
      <w:lvlJc w:val="left"/>
      <w:pPr>
        <w:ind w:left="2330" w:hanging="420"/>
      </w:pPr>
    </w:lvl>
    <w:lvl w:ilvl="4" w:tentative="0">
      <w:start w:val="1"/>
      <w:numFmt w:val="lowerLetter"/>
      <w:lvlText w:val="%5)"/>
      <w:lvlJc w:val="left"/>
      <w:pPr>
        <w:ind w:left="2750" w:hanging="420"/>
      </w:pPr>
    </w:lvl>
    <w:lvl w:ilvl="5" w:tentative="0">
      <w:start w:val="1"/>
      <w:numFmt w:val="lowerRoman"/>
      <w:lvlText w:val="%6."/>
      <w:lvlJc w:val="right"/>
      <w:pPr>
        <w:ind w:left="3170" w:hanging="420"/>
      </w:pPr>
    </w:lvl>
    <w:lvl w:ilvl="6" w:tentative="0">
      <w:start w:val="1"/>
      <w:numFmt w:val="decimal"/>
      <w:lvlText w:val="%7."/>
      <w:lvlJc w:val="left"/>
      <w:pPr>
        <w:ind w:left="3590" w:hanging="420"/>
      </w:pPr>
    </w:lvl>
    <w:lvl w:ilvl="7" w:tentative="0">
      <w:start w:val="1"/>
      <w:numFmt w:val="lowerLetter"/>
      <w:lvlText w:val="%8)"/>
      <w:lvlJc w:val="left"/>
      <w:pPr>
        <w:ind w:left="4010" w:hanging="420"/>
      </w:pPr>
    </w:lvl>
    <w:lvl w:ilvl="8" w:tentative="0">
      <w:start w:val="1"/>
      <w:numFmt w:val="lowerRoman"/>
      <w:lvlText w:val="%9."/>
      <w:lvlJc w:val="right"/>
      <w:pPr>
        <w:ind w:left="4430" w:hanging="420"/>
      </w:pPr>
    </w:lvl>
  </w:abstractNum>
  <w:abstractNum w:abstractNumId="53">
    <w:nsid w:val="56652DCC"/>
    <w:multiLevelType w:val="multilevel"/>
    <w:tmpl w:val="56652DCC"/>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4">
    <w:nsid w:val="56873221"/>
    <w:multiLevelType w:val="multilevel"/>
    <w:tmpl w:val="5687322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5">
    <w:nsid w:val="56BE6F44"/>
    <w:multiLevelType w:val="multilevel"/>
    <w:tmpl w:val="56BE6F44"/>
    <w:lvl w:ilvl="0" w:tentative="0">
      <w:start w:val="1"/>
      <w:numFmt w:val="bullet"/>
      <w:lvlText w:val=""/>
      <w:lvlJc w:val="left"/>
      <w:pPr>
        <w:ind w:left="844" w:hanging="420"/>
      </w:pPr>
      <w:rPr>
        <w:rFonts w:hint="default" w:ascii="Wingdings" w:hAnsi="Wingdings"/>
        <w:color w:val="auto"/>
      </w:rPr>
    </w:lvl>
    <w:lvl w:ilvl="1" w:tentative="0">
      <w:start w:val="1"/>
      <w:numFmt w:val="bullet"/>
      <w:lvlText w:val=""/>
      <w:lvlJc w:val="left"/>
      <w:pPr>
        <w:ind w:left="1264" w:hanging="420"/>
      </w:pPr>
      <w:rPr>
        <w:rFonts w:hint="default" w:ascii="Wingdings" w:hAnsi="Wingdings"/>
      </w:rPr>
    </w:lvl>
    <w:lvl w:ilvl="2" w:tentative="0">
      <w:start w:val="1"/>
      <w:numFmt w:val="bullet"/>
      <w:lvlText w:val=""/>
      <w:lvlJc w:val="left"/>
      <w:pPr>
        <w:ind w:left="1684" w:hanging="420"/>
      </w:pPr>
      <w:rPr>
        <w:rFonts w:hint="default" w:ascii="Wingdings" w:hAnsi="Wingdings"/>
      </w:rPr>
    </w:lvl>
    <w:lvl w:ilvl="3" w:tentative="0">
      <w:start w:val="1"/>
      <w:numFmt w:val="bullet"/>
      <w:lvlText w:val=""/>
      <w:lvlJc w:val="left"/>
      <w:pPr>
        <w:ind w:left="2104" w:hanging="420"/>
      </w:pPr>
      <w:rPr>
        <w:rFonts w:hint="default" w:ascii="Wingdings" w:hAnsi="Wingdings"/>
      </w:rPr>
    </w:lvl>
    <w:lvl w:ilvl="4" w:tentative="0">
      <w:start w:val="1"/>
      <w:numFmt w:val="bullet"/>
      <w:lvlText w:val=""/>
      <w:lvlJc w:val="left"/>
      <w:pPr>
        <w:ind w:left="2524" w:hanging="420"/>
      </w:pPr>
      <w:rPr>
        <w:rFonts w:hint="default" w:ascii="Wingdings" w:hAnsi="Wingdings"/>
      </w:rPr>
    </w:lvl>
    <w:lvl w:ilvl="5" w:tentative="0">
      <w:start w:val="1"/>
      <w:numFmt w:val="bullet"/>
      <w:lvlText w:val=""/>
      <w:lvlJc w:val="left"/>
      <w:pPr>
        <w:ind w:left="2944" w:hanging="420"/>
      </w:pPr>
      <w:rPr>
        <w:rFonts w:hint="default" w:ascii="Wingdings" w:hAnsi="Wingdings"/>
      </w:rPr>
    </w:lvl>
    <w:lvl w:ilvl="6" w:tentative="0">
      <w:start w:val="1"/>
      <w:numFmt w:val="bullet"/>
      <w:lvlText w:val=""/>
      <w:lvlJc w:val="left"/>
      <w:pPr>
        <w:ind w:left="3364" w:hanging="420"/>
      </w:pPr>
      <w:rPr>
        <w:rFonts w:hint="default" w:ascii="Wingdings" w:hAnsi="Wingdings"/>
      </w:rPr>
    </w:lvl>
    <w:lvl w:ilvl="7" w:tentative="0">
      <w:start w:val="1"/>
      <w:numFmt w:val="bullet"/>
      <w:lvlText w:val=""/>
      <w:lvlJc w:val="left"/>
      <w:pPr>
        <w:ind w:left="3784" w:hanging="420"/>
      </w:pPr>
      <w:rPr>
        <w:rFonts w:hint="default" w:ascii="Wingdings" w:hAnsi="Wingdings"/>
      </w:rPr>
    </w:lvl>
    <w:lvl w:ilvl="8" w:tentative="0">
      <w:start w:val="1"/>
      <w:numFmt w:val="bullet"/>
      <w:lvlText w:val=""/>
      <w:lvlJc w:val="left"/>
      <w:pPr>
        <w:ind w:left="4204" w:hanging="420"/>
      </w:pPr>
      <w:rPr>
        <w:rFonts w:hint="default" w:ascii="Wingdings" w:hAnsi="Wingdings"/>
      </w:rPr>
    </w:lvl>
  </w:abstractNum>
  <w:abstractNum w:abstractNumId="56">
    <w:nsid w:val="5AC8797D"/>
    <w:multiLevelType w:val="multilevel"/>
    <w:tmpl w:val="5AC8797D"/>
    <w:lvl w:ilvl="0" w:tentative="0">
      <w:start w:val="1"/>
      <w:numFmt w:val="chineseCountingThousand"/>
      <w:pStyle w:val="195"/>
      <w:suff w:val="space"/>
      <w:lvlText w:val="%1"/>
      <w:lvlJc w:val="left"/>
      <w:pPr>
        <w:ind w:left="0" w:firstLine="0"/>
      </w:pPr>
      <w:rPr>
        <w:rFonts w:hint="eastAsia"/>
      </w:rPr>
    </w:lvl>
    <w:lvl w:ilvl="1" w:tentative="0">
      <w:start w:val="1"/>
      <w:numFmt w:val="decimal"/>
      <w:isLgl/>
      <w:suff w:val="space"/>
      <w:lvlText w:val="%1.%2"/>
      <w:lvlJc w:val="left"/>
      <w:pPr>
        <w:ind w:left="113" w:firstLine="0"/>
      </w:pPr>
      <w:rPr>
        <w:rFonts w:hint="eastAsia"/>
      </w:rPr>
    </w:lvl>
    <w:lvl w:ilvl="2" w:tentative="0">
      <w:start w:val="1"/>
      <w:numFmt w:val="decimal"/>
      <w:isLgl/>
      <w:suff w:val="space"/>
      <w:lvlText w:val="%1.%2.%3"/>
      <w:lvlJc w:val="left"/>
      <w:pPr>
        <w:ind w:left="226" w:firstLine="0"/>
      </w:pPr>
      <w:rPr>
        <w:rFonts w:hint="eastAsia"/>
      </w:rPr>
    </w:lvl>
    <w:lvl w:ilvl="3" w:tentative="0">
      <w:start w:val="1"/>
      <w:numFmt w:val="decimal"/>
      <w:isLgl/>
      <w:suff w:val="space"/>
      <w:lvlText w:val="%1.%2.%3.%4"/>
      <w:lvlJc w:val="left"/>
      <w:pPr>
        <w:ind w:left="993" w:firstLine="0"/>
      </w:pPr>
      <w:rPr>
        <w:rFonts w:hint="eastAsia"/>
      </w:rPr>
    </w:lvl>
    <w:lvl w:ilvl="4" w:tentative="0">
      <w:start w:val="1"/>
      <w:numFmt w:val="decimal"/>
      <w:pStyle w:val="194"/>
      <w:isLgl/>
      <w:suff w:val="space"/>
      <w:lvlText w:val="%1.%2.%3.%4.%5"/>
      <w:lvlJc w:val="left"/>
      <w:pPr>
        <w:ind w:left="452" w:firstLine="0"/>
      </w:pPr>
      <w:rPr>
        <w:rFonts w:hint="eastAsia"/>
      </w:rPr>
    </w:lvl>
    <w:lvl w:ilvl="5" w:tentative="0">
      <w:start w:val="1"/>
      <w:numFmt w:val="decimal"/>
      <w:isLgl/>
      <w:suff w:val="space"/>
      <w:lvlText w:val="%1.%2.%3.%4.%5.%6"/>
      <w:lvlJc w:val="left"/>
      <w:pPr>
        <w:ind w:left="565" w:firstLine="0"/>
      </w:pPr>
      <w:rPr>
        <w:rFonts w:hint="eastAsia"/>
      </w:rPr>
    </w:lvl>
    <w:lvl w:ilvl="6" w:tentative="0">
      <w:start w:val="1"/>
      <w:numFmt w:val="decimal"/>
      <w:isLgl/>
      <w:suff w:val="space"/>
      <w:lvlText w:val="%1.%2.%3.%4.%5.%6.%7"/>
      <w:lvlJc w:val="left"/>
      <w:pPr>
        <w:ind w:left="678" w:firstLine="0"/>
      </w:pPr>
      <w:rPr>
        <w:rFonts w:hint="eastAsia"/>
      </w:rPr>
    </w:lvl>
    <w:lvl w:ilvl="7" w:tentative="0">
      <w:start w:val="1"/>
      <w:numFmt w:val="decimal"/>
      <w:lvlText w:val="%1.%2.%3.%4.%5.%6.%7.%8"/>
      <w:lvlJc w:val="left"/>
      <w:pPr>
        <w:ind w:left="791" w:firstLine="0"/>
      </w:pPr>
      <w:rPr>
        <w:rFonts w:hint="eastAsia"/>
      </w:rPr>
    </w:lvl>
    <w:lvl w:ilvl="8" w:tentative="0">
      <w:start w:val="1"/>
      <w:numFmt w:val="decimal"/>
      <w:lvlText w:val="%1.%2.%3.%4.%5.%6.%7.%8.%9"/>
      <w:lvlJc w:val="left"/>
      <w:pPr>
        <w:ind w:left="904" w:firstLine="0"/>
      </w:pPr>
      <w:rPr>
        <w:rFonts w:hint="eastAsia"/>
      </w:rPr>
    </w:lvl>
  </w:abstractNum>
  <w:abstractNum w:abstractNumId="57">
    <w:nsid w:val="5B5514FB"/>
    <w:multiLevelType w:val="singleLevel"/>
    <w:tmpl w:val="5B5514FB"/>
    <w:lvl w:ilvl="0" w:tentative="0">
      <w:start w:val="1"/>
      <w:numFmt w:val="bullet"/>
      <w:pStyle w:val="133"/>
      <w:lvlText w:val=""/>
      <w:lvlJc w:val="left"/>
      <w:pPr>
        <w:tabs>
          <w:tab w:val="left" w:pos="425"/>
        </w:tabs>
        <w:ind w:left="425" w:hanging="425"/>
      </w:pPr>
      <w:rPr>
        <w:rFonts w:hint="default" w:ascii="Wingdings" w:hAnsi="Wingdings"/>
        <w:sz w:val="16"/>
      </w:rPr>
    </w:lvl>
  </w:abstractNum>
  <w:abstractNum w:abstractNumId="58">
    <w:nsid w:val="5B8C5F6E"/>
    <w:multiLevelType w:val="multilevel"/>
    <w:tmpl w:val="5B8C5F6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9">
    <w:nsid w:val="60765B27"/>
    <w:multiLevelType w:val="multilevel"/>
    <w:tmpl w:val="60765B27"/>
    <w:lvl w:ilvl="0" w:tentative="0">
      <w:start w:val="1"/>
      <w:numFmt w:val="decimal"/>
      <w:suff w:val="space"/>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0">
    <w:nsid w:val="614FF6FF"/>
    <w:multiLevelType w:val="singleLevel"/>
    <w:tmpl w:val="614FF6FF"/>
    <w:lvl w:ilvl="0" w:tentative="0">
      <w:start w:val="1"/>
      <w:numFmt w:val="decimal"/>
      <w:lvlText w:val="%1)"/>
      <w:lvlJc w:val="left"/>
      <w:pPr>
        <w:ind w:left="425" w:hanging="425"/>
      </w:pPr>
    </w:lvl>
  </w:abstractNum>
  <w:abstractNum w:abstractNumId="61">
    <w:nsid w:val="614FFD65"/>
    <w:multiLevelType w:val="singleLevel"/>
    <w:tmpl w:val="614FFD65"/>
    <w:lvl w:ilvl="0" w:tentative="0">
      <w:start w:val="1"/>
      <w:numFmt w:val="decimal"/>
      <w:lvlText w:val="%1)"/>
      <w:lvlJc w:val="left"/>
      <w:pPr>
        <w:ind w:left="425" w:hanging="425"/>
      </w:pPr>
    </w:lvl>
  </w:abstractNum>
  <w:abstractNum w:abstractNumId="62">
    <w:nsid w:val="67EE4BC8"/>
    <w:multiLevelType w:val="singleLevel"/>
    <w:tmpl w:val="67EE4BC8"/>
    <w:lvl w:ilvl="0" w:tentative="0">
      <w:start w:val="1"/>
      <w:numFmt w:val="bullet"/>
      <w:lvlText w:val=""/>
      <w:lvlJc w:val="left"/>
      <w:pPr>
        <w:ind w:left="420" w:hanging="420"/>
      </w:pPr>
      <w:rPr>
        <w:rFonts w:hint="default" w:ascii="Wingdings" w:hAnsi="Wingdings"/>
      </w:rPr>
    </w:lvl>
  </w:abstractNum>
  <w:abstractNum w:abstractNumId="63">
    <w:nsid w:val="69BC0CC8"/>
    <w:multiLevelType w:val="multilevel"/>
    <w:tmpl w:val="69BC0CC8"/>
    <w:lvl w:ilvl="0" w:tentative="0">
      <w:start w:val="1"/>
      <w:numFmt w:val="bullet"/>
      <w:suff w:val="space"/>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4">
    <w:nsid w:val="6A6C06C4"/>
    <w:multiLevelType w:val="multilevel"/>
    <w:tmpl w:val="6A6C06C4"/>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5">
    <w:nsid w:val="6A8D7D97"/>
    <w:multiLevelType w:val="multilevel"/>
    <w:tmpl w:val="6A8D7D9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6">
    <w:nsid w:val="6AB57973"/>
    <w:multiLevelType w:val="multilevel"/>
    <w:tmpl w:val="6AB5797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7">
    <w:nsid w:val="6BA3251F"/>
    <w:multiLevelType w:val="multilevel"/>
    <w:tmpl w:val="6BA3251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8">
    <w:nsid w:val="6CEA2025"/>
    <w:multiLevelType w:val="multilevel"/>
    <w:tmpl w:val="6CEA2025"/>
    <w:lvl w:ilvl="0" w:tentative="0">
      <w:start w:val="1"/>
      <w:numFmt w:val="none"/>
      <w:pStyle w:val="169"/>
      <w:suff w:val="nothing"/>
      <w:lvlText w:val="%1"/>
      <w:lvlJc w:val="left"/>
      <w:pPr>
        <w:ind w:left="0" w:firstLine="0"/>
      </w:pPr>
      <w:rPr>
        <w:rFonts w:hint="default" w:ascii="Times New Roman" w:hAnsi="Times New Roman"/>
        <w:b/>
        <w:i w:val="0"/>
        <w:sz w:val="21"/>
      </w:rPr>
    </w:lvl>
    <w:lvl w:ilvl="1" w:tentative="0">
      <w:start w:val="1"/>
      <w:numFmt w:val="decimal"/>
      <w:suff w:val="space"/>
      <w:lvlText w:val="%1%2　"/>
      <w:lvlJc w:val="left"/>
      <w:pPr>
        <w:ind w:left="0" w:firstLine="0"/>
      </w:pPr>
      <w:rPr>
        <w:rFonts w:hint="eastAsia" w:ascii="黑体" w:hAnsi="Times New Roman" w:eastAsia="黑体"/>
        <w:b w:val="0"/>
        <w:i w:val="0"/>
        <w:sz w:val="21"/>
      </w:rPr>
    </w:lvl>
    <w:lvl w:ilvl="2" w:tentative="0">
      <w:start w:val="1"/>
      <w:numFmt w:val="decimal"/>
      <w:suff w:val="space"/>
      <w:lvlText w:val="%15.%3　"/>
      <w:lvlJc w:val="left"/>
      <w:pPr>
        <w:ind w:left="0" w:firstLine="0"/>
      </w:pPr>
      <w:rPr>
        <w:rFonts w:hint="eastAsia" w:ascii="黑体" w:hAnsi="Times New Roman" w:eastAsia="黑体"/>
        <w:b w:val="0"/>
        <w:i w:val="0"/>
        <w:sz w:val="21"/>
      </w:rPr>
    </w:lvl>
    <w:lvl w:ilvl="3" w:tentative="0">
      <w:start w:val="1"/>
      <w:numFmt w:val="decimal"/>
      <w:suff w:val="space"/>
      <w:lvlText w:val="%15.%3.%4　"/>
      <w:lvlJc w:val="left"/>
      <w:pPr>
        <w:ind w:left="0" w:firstLine="0"/>
      </w:pPr>
      <w:rPr>
        <w:rFonts w:hint="eastAsia" w:ascii="黑体" w:hAnsi="Times New Roman" w:eastAsia="黑体"/>
        <w:b w:val="0"/>
        <w:i w:val="0"/>
        <w:sz w:val="21"/>
      </w:rPr>
    </w:lvl>
    <w:lvl w:ilvl="4" w:tentative="0">
      <w:start w:val="1"/>
      <w:numFmt w:val="decimal"/>
      <w:suff w:val="space"/>
      <w:lvlText w:val="%15.%3.%4.%5　"/>
      <w:lvlJc w:val="left"/>
      <w:pPr>
        <w:ind w:left="0" w:firstLine="0"/>
      </w:pPr>
      <w:rPr>
        <w:rFonts w:hint="eastAsia" w:ascii="黑体" w:hAnsi="Times New Roman" w:eastAsia="黑体"/>
        <w:b w:val="0"/>
        <w:i w:val="0"/>
        <w:sz w:val="21"/>
      </w:rPr>
    </w:lvl>
    <w:lvl w:ilvl="5" w:tentative="0">
      <w:start w:val="1"/>
      <w:numFmt w:val="decimal"/>
      <w:suff w:val="space"/>
      <w:lvlText w:val="%1%2.%3.%4.%5.%6　"/>
      <w:lvlJc w:val="left"/>
      <w:pPr>
        <w:ind w:left="0" w:firstLine="0"/>
      </w:pPr>
      <w:rPr>
        <w:rFonts w:hint="eastAsia" w:ascii="黑体" w:hAnsi="Times New Roman" w:eastAsia="黑体"/>
        <w:b w:val="0"/>
        <w:i w:val="0"/>
        <w:sz w:val="21"/>
      </w:rPr>
    </w:lvl>
    <w:lvl w:ilvl="6" w:tentative="0">
      <w:start w:val="1"/>
      <w:numFmt w:val="decimal"/>
      <w:suff w:val="space"/>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69">
    <w:nsid w:val="6E005507"/>
    <w:multiLevelType w:val="multilevel"/>
    <w:tmpl w:val="6E005507"/>
    <w:lvl w:ilvl="0" w:tentative="0">
      <w:start w:val="1"/>
      <w:numFmt w:val="decimal"/>
      <w:lvlText w:val="（%1）"/>
      <w:lvlJc w:val="left"/>
      <w:pPr>
        <w:ind w:left="846" w:hanging="420"/>
      </w:pPr>
      <w:rPr>
        <w:rFonts w:hint="eastAsia" w:eastAsia="宋体" w:cs="Arial"/>
        <w:b w:val="0"/>
        <w:i w:val="0"/>
        <w:sz w:val="21"/>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70">
    <w:nsid w:val="6E947C7A"/>
    <w:multiLevelType w:val="multilevel"/>
    <w:tmpl w:val="6E947C7A"/>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71">
    <w:nsid w:val="741B7131"/>
    <w:multiLevelType w:val="multilevel"/>
    <w:tmpl w:val="741B7131"/>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2">
    <w:nsid w:val="74FB010A"/>
    <w:multiLevelType w:val="singleLevel"/>
    <w:tmpl w:val="74FB010A"/>
    <w:lvl w:ilvl="0" w:tentative="0">
      <w:start w:val="1"/>
      <w:numFmt w:val="bullet"/>
      <w:lvlText w:val=""/>
      <w:lvlJc w:val="left"/>
      <w:pPr>
        <w:ind w:left="420" w:hanging="420"/>
      </w:pPr>
      <w:rPr>
        <w:rFonts w:hint="default" w:ascii="Wingdings" w:hAnsi="Wingdings"/>
      </w:rPr>
    </w:lvl>
  </w:abstractNum>
  <w:abstractNum w:abstractNumId="73">
    <w:nsid w:val="769A5526"/>
    <w:multiLevelType w:val="multilevel"/>
    <w:tmpl w:val="769A5526"/>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4">
    <w:nsid w:val="79871225"/>
    <w:multiLevelType w:val="multilevel"/>
    <w:tmpl w:val="79871225"/>
    <w:lvl w:ilvl="0" w:tentative="0">
      <w:start w:val="1"/>
      <w:numFmt w:val="bullet"/>
      <w:lvlText w:val=""/>
      <w:lvlJc w:val="left"/>
      <w:pPr>
        <w:ind w:left="1697" w:hanging="420"/>
      </w:pPr>
      <w:rPr>
        <w:rFonts w:hint="default" w:ascii="Wingdings" w:hAnsi="Wingdings"/>
      </w:rPr>
    </w:lvl>
    <w:lvl w:ilvl="1" w:tentative="0">
      <w:start w:val="1"/>
      <w:numFmt w:val="bullet"/>
      <w:lvlText w:val=""/>
      <w:lvlJc w:val="left"/>
      <w:pPr>
        <w:ind w:left="2117" w:hanging="420"/>
      </w:pPr>
      <w:rPr>
        <w:rFonts w:hint="default" w:ascii="Wingdings" w:hAnsi="Wingdings"/>
      </w:rPr>
    </w:lvl>
    <w:lvl w:ilvl="2" w:tentative="0">
      <w:start w:val="1"/>
      <w:numFmt w:val="bullet"/>
      <w:lvlText w:val=""/>
      <w:lvlJc w:val="left"/>
      <w:pPr>
        <w:ind w:left="2537" w:hanging="420"/>
      </w:pPr>
      <w:rPr>
        <w:rFonts w:hint="default" w:ascii="Wingdings" w:hAnsi="Wingdings"/>
      </w:rPr>
    </w:lvl>
    <w:lvl w:ilvl="3" w:tentative="0">
      <w:start w:val="1"/>
      <w:numFmt w:val="bullet"/>
      <w:lvlText w:val=""/>
      <w:lvlJc w:val="left"/>
      <w:pPr>
        <w:ind w:left="2957" w:hanging="420"/>
      </w:pPr>
      <w:rPr>
        <w:rFonts w:hint="default" w:ascii="Wingdings" w:hAnsi="Wingdings"/>
      </w:rPr>
    </w:lvl>
    <w:lvl w:ilvl="4" w:tentative="0">
      <w:start w:val="1"/>
      <w:numFmt w:val="bullet"/>
      <w:lvlText w:val=""/>
      <w:lvlJc w:val="left"/>
      <w:pPr>
        <w:ind w:left="3377" w:hanging="420"/>
      </w:pPr>
      <w:rPr>
        <w:rFonts w:hint="default" w:ascii="Wingdings" w:hAnsi="Wingdings"/>
      </w:rPr>
    </w:lvl>
    <w:lvl w:ilvl="5" w:tentative="0">
      <w:start w:val="1"/>
      <w:numFmt w:val="bullet"/>
      <w:lvlText w:val=""/>
      <w:lvlJc w:val="left"/>
      <w:pPr>
        <w:ind w:left="3797" w:hanging="420"/>
      </w:pPr>
      <w:rPr>
        <w:rFonts w:hint="default" w:ascii="Wingdings" w:hAnsi="Wingdings"/>
      </w:rPr>
    </w:lvl>
    <w:lvl w:ilvl="6" w:tentative="0">
      <w:start w:val="1"/>
      <w:numFmt w:val="bullet"/>
      <w:lvlText w:val=""/>
      <w:lvlJc w:val="left"/>
      <w:pPr>
        <w:ind w:left="4217" w:hanging="420"/>
      </w:pPr>
      <w:rPr>
        <w:rFonts w:hint="default" w:ascii="Wingdings" w:hAnsi="Wingdings"/>
      </w:rPr>
    </w:lvl>
    <w:lvl w:ilvl="7" w:tentative="0">
      <w:start w:val="1"/>
      <w:numFmt w:val="bullet"/>
      <w:lvlText w:val=""/>
      <w:lvlJc w:val="left"/>
      <w:pPr>
        <w:ind w:left="4637" w:hanging="420"/>
      </w:pPr>
      <w:rPr>
        <w:rFonts w:hint="default" w:ascii="Wingdings" w:hAnsi="Wingdings"/>
      </w:rPr>
    </w:lvl>
    <w:lvl w:ilvl="8" w:tentative="0">
      <w:start w:val="1"/>
      <w:numFmt w:val="bullet"/>
      <w:lvlText w:val=""/>
      <w:lvlJc w:val="left"/>
      <w:pPr>
        <w:ind w:left="5057" w:hanging="420"/>
      </w:pPr>
      <w:rPr>
        <w:rFonts w:hint="default" w:ascii="Wingdings" w:hAnsi="Wingdings"/>
      </w:rPr>
    </w:lvl>
  </w:abstractNum>
  <w:abstractNum w:abstractNumId="75">
    <w:nsid w:val="798B1B3A"/>
    <w:multiLevelType w:val="multilevel"/>
    <w:tmpl w:val="798B1B3A"/>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76">
    <w:nsid w:val="7B7A4570"/>
    <w:multiLevelType w:val="multilevel"/>
    <w:tmpl w:val="7B7A4570"/>
    <w:lvl w:ilvl="0" w:tentative="0">
      <w:start w:val="1"/>
      <w:numFmt w:val="bullet"/>
      <w:lvlText w:val=""/>
      <w:lvlJc w:val="left"/>
      <w:pPr>
        <w:ind w:left="562" w:hanging="420"/>
      </w:pPr>
      <w:rPr>
        <w:rFonts w:hint="default" w:ascii="Wingdings" w:hAnsi="Wingdings"/>
      </w:rPr>
    </w:lvl>
    <w:lvl w:ilvl="1" w:tentative="0">
      <w:start w:val="1"/>
      <w:numFmt w:val="bullet"/>
      <w:lvlText w:val=""/>
      <w:lvlJc w:val="left"/>
      <w:pPr>
        <w:ind w:left="982" w:hanging="420"/>
      </w:pPr>
      <w:rPr>
        <w:rFonts w:hint="default" w:ascii="Wingdings" w:hAnsi="Wingdings"/>
      </w:rPr>
    </w:lvl>
    <w:lvl w:ilvl="2" w:tentative="0">
      <w:start w:val="1"/>
      <w:numFmt w:val="bullet"/>
      <w:lvlText w:val=""/>
      <w:lvlJc w:val="left"/>
      <w:pPr>
        <w:ind w:left="1402" w:hanging="420"/>
      </w:pPr>
      <w:rPr>
        <w:rFonts w:hint="default" w:ascii="Wingdings" w:hAnsi="Wingdings"/>
      </w:rPr>
    </w:lvl>
    <w:lvl w:ilvl="3" w:tentative="0">
      <w:start w:val="1"/>
      <w:numFmt w:val="bullet"/>
      <w:lvlText w:val=""/>
      <w:lvlJc w:val="left"/>
      <w:pPr>
        <w:ind w:left="1822" w:hanging="420"/>
      </w:pPr>
      <w:rPr>
        <w:rFonts w:hint="default" w:ascii="Wingdings" w:hAnsi="Wingdings"/>
      </w:rPr>
    </w:lvl>
    <w:lvl w:ilvl="4" w:tentative="0">
      <w:start w:val="1"/>
      <w:numFmt w:val="bullet"/>
      <w:lvlText w:val=""/>
      <w:lvlJc w:val="left"/>
      <w:pPr>
        <w:ind w:left="2242" w:hanging="420"/>
      </w:pPr>
      <w:rPr>
        <w:rFonts w:hint="default" w:ascii="Wingdings" w:hAnsi="Wingdings"/>
      </w:rPr>
    </w:lvl>
    <w:lvl w:ilvl="5" w:tentative="0">
      <w:start w:val="1"/>
      <w:numFmt w:val="bullet"/>
      <w:lvlText w:val=""/>
      <w:lvlJc w:val="left"/>
      <w:pPr>
        <w:ind w:left="2662" w:hanging="420"/>
      </w:pPr>
      <w:rPr>
        <w:rFonts w:hint="default" w:ascii="Wingdings" w:hAnsi="Wingdings"/>
      </w:rPr>
    </w:lvl>
    <w:lvl w:ilvl="6" w:tentative="0">
      <w:start w:val="1"/>
      <w:numFmt w:val="bullet"/>
      <w:lvlText w:val=""/>
      <w:lvlJc w:val="left"/>
      <w:pPr>
        <w:ind w:left="3082" w:hanging="420"/>
      </w:pPr>
      <w:rPr>
        <w:rFonts w:hint="default" w:ascii="Wingdings" w:hAnsi="Wingdings"/>
      </w:rPr>
    </w:lvl>
    <w:lvl w:ilvl="7" w:tentative="0">
      <w:start w:val="1"/>
      <w:numFmt w:val="bullet"/>
      <w:lvlText w:val=""/>
      <w:lvlJc w:val="left"/>
      <w:pPr>
        <w:ind w:left="3502" w:hanging="420"/>
      </w:pPr>
      <w:rPr>
        <w:rFonts w:hint="default" w:ascii="Wingdings" w:hAnsi="Wingdings"/>
      </w:rPr>
    </w:lvl>
    <w:lvl w:ilvl="8" w:tentative="0">
      <w:start w:val="1"/>
      <w:numFmt w:val="bullet"/>
      <w:lvlText w:val=""/>
      <w:lvlJc w:val="left"/>
      <w:pPr>
        <w:ind w:left="3922" w:hanging="420"/>
      </w:pPr>
      <w:rPr>
        <w:rFonts w:hint="default" w:ascii="Wingdings" w:hAnsi="Wingdings"/>
      </w:rPr>
    </w:lvl>
  </w:abstractNum>
  <w:abstractNum w:abstractNumId="77">
    <w:nsid w:val="7C3A2119"/>
    <w:multiLevelType w:val="multilevel"/>
    <w:tmpl w:val="7C3A211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8">
    <w:nsid w:val="7E1278A8"/>
    <w:multiLevelType w:val="singleLevel"/>
    <w:tmpl w:val="7E1278A8"/>
    <w:lvl w:ilvl="0" w:tentative="0">
      <w:start w:val="1"/>
      <w:numFmt w:val="bullet"/>
      <w:lvlText w:val=""/>
      <w:lvlJc w:val="left"/>
      <w:pPr>
        <w:ind w:left="420" w:hanging="420"/>
      </w:pPr>
      <w:rPr>
        <w:rFonts w:hint="default" w:ascii="Wingdings" w:hAnsi="Wingdings"/>
      </w:rPr>
    </w:lvl>
  </w:abstractNum>
  <w:num w:numId="1">
    <w:abstractNumId w:val="1"/>
  </w:num>
  <w:num w:numId="2">
    <w:abstractNumId w:val="36"/>
  </w:num>
  <w:num w:numId="3">
    <w:abstractNumId w:val="9"/>
  </w:num>
  <w:num w:numId="4">
    <w:abstractNumId w:val="13"/>
  </w:num>
  <w:num w:numId="5">
    <w:abstractNumId w:val="57"/>
  </w:num>
  <w:num w:numId="6">
    <w:abstractNumId w:val="42"/>
  </w:num>
  <w:num w:numId="7">
    <w:abstractNumId w:val="68"/>
  </w:num>
  <w:num w:numId="8">
    <w:abstractNumId w:val="23"/>
  </w:num>
  <w:num w:numId="9">
    <w:abstractNumId w:val="49"/>
  </w:num>
  <w:num w:numId="10">
    <w:abstractNumId w:val="32"/>
  </w:num>
  <w:num w:numId="11">
    <w:abstractNumId w:val="56"/>
  </w:num>
  <w:num w:numId="12">
    <w:abstractNumId w:val="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6"/>
  </w:num>
  <w:num w:numId="14">
    <w:abstractNumId w:val="6"/>
  </w:num>
  <w:num w:numId="15">
    <w:abstractNumId w:val="2"/>
  </w:num>
  <w:num w:numId="16">
    <w:abstractNumId w:val="33"/>
  </w:num>
  <w:num w:numId="17">
    <w:abstractNumId w:val="5"/>
  </w:num>
  <w:num w:numId="18">
    <w:abstractNumId w:val="45"/>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5"/>
  </w:num>
  <w:num w:numId="20">
    <w:abstractNumId w:val="11"/>
  </w:num>
  <w:num w:numId="21">
    <w:abstractNumId w:val="62"/>
  </w:num>
  <w:num w:numId="22">
    <w:abstractNumId w:val="31"/>
  </w:num>
  <w:num w:numId="23">
    <w:abstractNumId w:val="8"/>
  </w:num>
  <w:num w:numId="24">
    <w:abstractNumId w:val="52"/>
  </w:num>
  <w:num w:numId="25">
    <w:abstractNumId w:val="67"/>
  </w:num>
  <w:num w:numId="26">
    <w:abstractNumId w:val="22"/>
  </w:num>
  <w:num w:numId="27">
    <w:abstractNumId w:val="12"/>
  </w:num>
  <w:num w:numId="28">
    <w:abstractNumId w:val="37"/>
  </w:num>
  <w:num w:numId="29">
    <w:abstractNumId w:val="58"/>
  </w:num>
  <w:num w:numId="30">
    <w:abstractNumId w:val="18"/>
  </w:num>
  <w:num w:numId="31">
    <w:abstractNumId w:val="44"/>
  </w:num>
  <w:num w:numId="32">
    <w:abstractNumId w:val="34"/>
  </w:num>
  <w:num w:numId="3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num>
  <w:num w:numId="37">
    <w:abstractNumId w:val="39"/>
  </w:num>
  <w:num w:numId="38">
    <w:abstractNumId w:val="27"/>
  </w:num>
  <w:num w:numId="39">
    <w:abstractNumId w:val="77"/>
  </w:num>
  <w:num w:numId="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5"/>
  </w:num>
  <w:num w:numId="4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6"/>
  </w:num>
  <w:num w:numId="49">
    <w:abstractNumId w:val="74"/>
  </w:num>
  <w:num w:numId="50">
    <w:abstractNumId w:val="76"/>
  </w:num>
  <w:num w:numId="5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0"/>
  </w:num>
  <w:num w:numId="5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0"/>
  </w:num>
  <w:num w:numId="58">
    <w:abstractNumId w:val="47"/>
  </w:num>
  <w:num w:numId="59">
    <w:abstractNumId w:val="29"/>
  </w:num>
  <w:num w:numId="60">
    <w:abstractNumId w:val="28"/>
  </w:num>
  <w:num w:numId="61">
    <w:abstractNumId w:val="60"/>
    <w:lvlOverride w:ilvl="0">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3"/>
  </w:num>
  <w:num w:numId="6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num>
  <w:num w:numId="66">
    <w:abstractNumId w:val="66"/>
  </w:num>
  <w:num w:numId="67">
    <w:abstractNumId w:val="7"/>
  </w:num>
  <w:num w:numId="6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0"/>
    <w:lvlOverride w:ilvl="0">
      <w:startOverride w:val="1"/>
    </w:lvlOverride>
  </w:num>
  <w:num w:numId="71">
    <w:abstractNumId w:val="78"/>
  </w:num>
  <w:num w:numId="7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2"/>
  </w:num>
  <w:num w:numId="76">
    <w:abstractNumId w:val="4"/>
  </w:num>
  <w:num w:numId="77">
    <w:abstractNumId w:val="3"/>
  </w:num>
  <w:num w:numId="78">
    <w:abstractNumId w:val="0"/>
  </w:num>
  <w:num w:numId="79">
    <w:abstractNumId w:val="10"/>
  </w:num>
  <w:num w:numId="80">
    <w:abstractNumId w:val="61"/>
    <w:lvlOverride w:ilvl="0">
      <w:startOverride w:val="1"/>
    </w:lvlOverride>
  </w:num>
  <w:num w:numId="81">
    <w:abstractNumId w:val="35"/>
  </w:num>
  <w:num w:numId="8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NotTrackMoves/>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E0D"/>
    <w:rsid w:val="00001F51"/>
    <w:rsid w:val="00005C78"/>
    <w:rsid w:val="00006E3C"/>
    <w:rsid w:val="00010AA9"/>
    <w:rsid w:val="00010FC0"/>
    <w:rsid w:val="0001178A"/>
    <w:rsid w:val="000131C3"/>
    <w:rsid w:val="00013EF2"/>
    <w:rsid w:val="000148EA"/>
    <w:rsid w:val="00015054"/>
    <w:rsid w:val="0001648D"/>
    <w:rsid w:val="00017EB2"/>
    <w:rsid w:val="000203AA"/>
    <w:rsid w:val="00023741"/>
    <w:rsid w:val="00024E79"/>
    <w:rsid w:val="00025763"/>
    <w:rsid w:val="00030173"/>
    <w:rsid w:val="000313BF"/>
    <w:rsid w:val="00033EF6"/>
    <w:rsid w:val="00034D9D"/>
    <w:rsid w:val="00035E63"/>
    <w:rsid w:val="00036707"/>
    <w:rsid w:val="00040086"/>
    <w:rsid w:val="000407E6"/>
    <w:rsid w:val="00042802"/>
    <w:rsid w:val="00042F79"/>
    <w:rsid w:val="00044E06"/>
    <w:rsid w:val="000452B1"/>
    <w:rsid w:val="00045316"/>
    <w:rsid w:val="000457AE"/>
    <w:rsid w:val="00046320"/>
    <w:rsid w:val="00046731"/>
    <w:rsid w:val="000472DB"/>
    <w:rsid w:val="00050ACF"/>
    <w:rsid w:val="00050E14"/>
    <w:rsid w:val="00051196"/>
    <w:rsid w:val="0005161F"/>
    <w:rsid w:val="00051BF7"/>
    <w:rsid w:val="00052139"/>
    <w:rsid w:val="000553D4"/>
    <w:rsid w:val="00056198"/>
    <w:rsid w:val="00057A44"/>
    <w:rsid w:val="00057B9E"/>
    <w:rsid w:val="00060362"/>
    <w:rsid w:val="000604F7"/>
    <w:rsid w:val="000623E4"/>
    <w:rsid w:val="0006283F"/>
    <w:rsid w:val="00064F32"/>
    <w:rsid w:val="00066AAB"/>
    <w:rsid w:val="00066B51"/>
    <w:rsid w:val="00070093"/>
    <w:rsid w:val="00071E52"/>
    <w:rsid w:val="00073948"/>
    <w:rsid w:val="00073A06"/>
    <w:rsid w:val="0007520B"/>
    <w:rsid w:val="00076565"/>
    <w:rsid w:val="00076E5A"/>
    <w:rsid w:val="000771FC"/>
    <w:rsid w:val="00080F39"/>
    <w:rsid w:val="0008109A"/>
    <w:rsid w:val="000823A2"/>
    <w:rsid w:val="000823EE"/>
    <w:rsid w:val="0008314C"/>
    <w:rsid w:val="0008377B"/>
    <w:rsid w:val="000838DC"/>
    <w:rsid w:val="00085FBE"/>
    <w:rsid w:val="00086E4C"/>
    <w:rsid w:val="00092A8B"/>
    <w:rsid w:val="0009324B"/>
    <w:rsid w:val="000935A9"/>
    <w:rsid w:val="00093698"/>
    <w:rsid w:val="0009459C"/>
    <w:rsid w:val="000A006F"/>
    <w:rsid w:val="000A0F8E"/>
    <w:rsid w:val="000A192F"/>
    <w:rsid w:val="000A1E43"/>
    <w:rsid w:val="000A2487"/>
    <w:rsid w:val="000A32F0"/>
    <w:rsid w:val="000A61EA"/>
    <w:rsid w:val="000A7302"/>
    <w:rsid w:val="000B004E"/>
    <w:rsid w:val="000B10ED"/>
    <w:rsid w:val="000B425C"/>
    <w:rsid w:val="000B486F"/>
    <w:rsid w:val="000B6DF3"/>
    <w:rsid w:val="000B710F"/>
    <w:rsid w:val="000B765A"/>
    <w:rsid w:val="000B7E04"/>
    <w:rsid w:val="000C067B"/>
    <w:rsid w:val="000C3111"/>
    <w:rsid w:val="000C353D"/>
    <w:rsid w:val="000C35DA"/>
    <w:rsid w:val="000C47B0"/>
    <w:rsid w:val="000C594E"/>
    <w:rsid w:val="000C5BA5"/>
    <w:rsid w:val="000C5E4A"/>
    <w:rsid w:val="000C620F"/>
    <w:rsid w:val="000C6AC8"/>
    <w:rsid w:val="000D0198"/>
    <w:rsid w:val="000D3568"/>
    <w:rsid w:val="000D3AB8"/>
    <w:rsid w:val="000D49E6"/>
    <w:rsid w:val="000D5EF9"/>
    <w:rsid w:val="000D6BAC"/>
    <w:rsid w:val="000D70CD"/>
    <w:rsid w:val="000E0378"/>
    <w:rsid w:val="000E0CAC"/>
    <w:rsid w:val="000E1C36"/>
    <w:rsid w:val="000E1E16"/>
    <w:rsid w:val="000E2928"/>
    <w:rsid w:val="000E2FA9"/>
    <w:rsid w:val="000E342C"/>
    <w:rsid w:val="000E3540"/>
    <w:rsid w:val="000E40F4"/>
    <w:rsid w:val="000E46B0"/>
    <w:rsid w:val="000E4FC7"/>
    <w:rsid w:val="000E7B8A"/>
    <w:rsid w:val="000F250D"/>
    <w:rsid w:val="000F26E5"/>
    <w:rsid w:val="000F52DA"/>
    <w:rsid w:val="000F6579"/>
    <w:rsid w:val="000F735B"/>
    <w:rsid w:val="00100351"/>
    <w:rsid w:val="001005B2"/>
    <w:rsid w:val="0010108F"/>
    <w:rsid w:val="00102750"/>
    <w:rsid w:val="00103149"/>
    <w:rsid w:val="001049B8"/>
    <w:rsid w:val="00105531"/>
    <w:rsid w:val="0010617D"/>
    <w:rsid w:val="00106904"/>
    <w:rsid w:val="00110CBF"/>
    <w:rsid w:val="001112D8"/>
    <w:rsid w:val="00111E64"/>
    <w:rsid w:val="0011253D"/>
    <w:rsid w:val="001147C9"/>
    <w:rsid w:val="00115C4F"/>
    <w:rsid w:val="00116104"/>
    <w:rsid w:val="00117B64"/>
    <w:rsid w:val="00117FFC"/>
    <w:rsid w:val="00121F84"/>
    <w:rsid w:val="00122841"/>
    <w:rsid w:val="00123349"/>
    <w:rsid w:val="001238E9"/>
    <w:rsid w:val="00123E6B"/>
    <w:rsid w:val="001244C4"/>
    <w:rsid w:val="00124D99"/>
    <w:rsid w:val="00125CC8"/>
    <w:rsid w:val="00126AED"/>
    <w:rsid w:val="00127288"/>
    <w:rsid w:val="001274F7"/>
    <w:rsid w:val="00127503"/>
    <w:rsid w:val="00130338"/>
    <w:rsid w:val="00130772"/>
    <w:rsid w:val="0013135F"/>
    <w:rsid w:val="00131A02"/>
    <w:rsid w:val="00133246"/>
    <w:rsid w:val="001333C9"/>
    <w:rsid w:val="00133910"/>
    <w:rsid w:val="001404D7"/>
    <w:rsid w:val="00140B1C"/>
    <w:rsid w:val="00140E41"/>
    <w:rsid w:val="00141D9D"/>
    <w:rsid w:val="001422DD"/>
    <w:rsid w:val="001425B5"/>
    <w:rsid w:val="00142D30"/>
    <w:rsid w:val="00142EDE"/>
    <w:rsid w:val="0014429E"/>
    <w:rsid w:val="0014504F"/>
    <w:rsid w:val="00146D2D"/>
    <w:rsid w:val="00146E09"/>
    <w:rsid w:val="00146E76"/>
    <w:rsid w:val="00146EF1"/>
    <w:rsid w:val="00147B43"/>
    <w:rsid w:val="00150485"/>
    <w:rsid w:val="00150611"/>
    <w:rsid w:val="001506BE"/>
    <w:rsid w:val="0015272C"/>
    <w:rsid w:val="00154ACF"/>
    <w:rsid w:val="001555D7"/>
    <w:rsid w:val="00155D3D"/>
    <w:rsid w:val="00155FD8"/>
    <w:rsid w:val="0015618D"/>
    <w:rsid w:val="00156E1C"/>
    <w:rsid w:val="00157B32"/>
    <w:rsid w:val="001615CF"/>
    <w:rsid w:val="00161FF1"/>
    <w:rsid w:val="001641F5"/>
    <w:rsid w:val="001658C2"/>
    <w:rsid w:val="001673C0"/>
    <w:rsid w:val="00167BFB"/>
    <w:rsid w:val="00171236"/>
    <w:rsid w:val="00171512"/>
    <w:rsid w:val="00171AAF"/>
    <w:rsid w:val="00172334"/>
    <w:rsid w:val="00172A27"/>
    <w:rsid w:val="0017319B"/>
    <w:rsid w:val="00173D28"/>
    <w:rsid w:val="0017413B"/>
    <w:rsid w:val="00175C89"/>
    <w:rsid w:val="001760AC"/>
    <w:rsid w:val="00177705"/>
    <w:rsid w:val="00177AAF"/>
    <w:rsid w:val="00180765"/>
    <w:rsid w:val="00180CB0"/>
    <w:rsid w:val="00181280"/>
    <w:rsid w:val="00181F16"/>
    <w:rsid w:val="00182E27"/>
    <w:rsid w:val="00183E4B"/>
    <w:rsid w:val="00185771"/>
    <w:rsid w:val="00185DCF"/>
    <w:rsid w:val="00186C97"/>
    <w:rsid w:val="00186C9C"/>
    <w:rsid w:val="00191354"/>
    <w:rsid w:val="00191F90"/>
    <w:rsid w:val="001923AB"/>
    <w:rsid w:val="00192B0F"/>
    <w:rsid w:val="00192DAD"/>
    <w:rsid w:val="001932BC"/>
    <w:rsid w:val="00194C21"/>
    <w:rsid w:val="00195E77"/>
    <w:rsid w:val="00196483"/>
    <w:rsid w:val="001970BE"/>
    <w:rsid w:val="00197663"/>
    <w:rsid w:val="001A05A4"/>
    <w:rsid w:val="001A36DB"/>
    <w:rsid w:val="001A3CDF"/>
    <w:rsid w:val="001A3DCC"/>
    <w:rsid w:val="001A44AA"/>
    <w:rsid w:val="001A5021"/>
    <w:rsid w:val="001A61AF"/>
    <w:rsid w:val="001A63B0"/>
    <w:rsid w:val="001A6E7F"/>
    <w:rsid w:val="001A6F2D"/>
    <w:rsid w:val="001B0D4A"/>
    <w:rsid w:val="001B261A"/>
    <w:rsid w:val="001B2D29"/>
    <w:rsid w:val="001B38D4"/>
    <w:rsid w:val="001B42F8"/>
    <w:rsid w:val="001B6313"/>
    <w:rsid w:val="001B687C"/>
    <w:rsid w:val="001B7609"/>
    <w:rsid w:val="001B7AE8"/>
    <w:rsid w:val="001C0C27"/>
    <w:rsid w:val="001C1C5D"/>
    <w:rsid w:val="001C2DDF"/>
    <w:rsid w:val="001C4200"/>
    <w:rsid w:val="001C65FA"/>
    <w:rsid w:val="001C79A4"/>
    <w:rsid w:val="001D075E"/>
    <w:rsid w:val="001D0A00"/>
    <w:rsid w:val="001D2032"/>
    <w:rsid w:val="001D3046"/>
    <w:rsid w:val="001D47F2"/>
    <w:rsid w:val="001D6219"/>
    <w:rsid w:val="001E11E3"/>
    <w:rsid w:val="001E1308"/>
    <w:rsid w:val="001E18C9"/>
    <w:rsid w:val="001E358B"/>
    <w:rsid w:val="001E5E5E"/>
    <w:rsid w:val="001E6E9B"/>
    <w:rsid w:val="001E6EB6"/>
    <w:rsid w:val="001E7812"/>
    <w:rsid w:val="001F086D"/>
    <w:rsid w:val="001F0F01"/>
    <w:rsid w:val="001F1731"/>
    <w:rsid w:val="001F1B86"/>
    <w:rsid w:val="001F33FC"/>
    <w:rsid w:val="001F463F"/>
    <w:rsid w:val="001F5AA3"/>
    <w:rsid w:val="001F6718"/>
    <w:rsid w:val="001F7A3B"/>
    <w:rsid w:val="002002F0"/>
    <w:rsid w:val="00200CD4"/>
    <w:rsid w:val="00203922"/>
    <w:rsid w:val="002063FA"/>
    <w:rsid w:val="002067DB"/>
    <w:rsid w:val="002117BE"/>
    <w:rsid w:val="00211EA1"/>
    <w:rsid w:val="00212B61"/>
    <w:rsid w:val="00212B6B"/>
    <w:rsid w:val="00213E01"/>
    <w:rsid w:val="00213FF3"/>
    <w:rsid w:val="00214FD4"/>
    <w:rsid w:val="0021549A"/>
    <w:rsid w:val="00215E7A"/>
    <w:rsid w:val="002161EB"/>
    <w:rsid w:val="00216616"/>
    <w:rsid w:val="00216C81"/>
    <w:rsid w:val="00220EB1"/>
    <w:rsid w:val="00221238"/>
    <w:rsid w:val="00221662"/>
    <w:rsid w:val="00222B34"/>
    <w:rsid w:val="00223BFC"/>
    <w:rsid w:val="002240A6"/>
    <w:rsid w:val="00224206"/>
    <w:rsid w:val="00225924"/>
    <w:rsid w:val="0022610A"/>
    <w:rsid w:val="0022797A"/>
    <w:rsid w:val="00230D00"/>
    <w:rsid w:val="00233892"/>
    <w:rsid w:val="00235B51"/>
    <w:rsid w:val="002360B0"/>
    <w:rsid w:val="00240269"/>
    <w:rsid w:val="002406DE"/>
    <w:rsid w:val="002409F8"/>
    <w:rsid w:val="00241120"/>
    <w:rsid w:val="0024416D"/>
    <w:rsid w:val="00244635"/>
    <w:rsid w:val="00244D30"/>
    <w:rsid w:val="00244E37"/>
    <w:rsid w:val="002465F6"/>
    <w:rsid w:val="00252FA1"/>
    <w:rsid w:val="00254269"/>
    <w:rsid w:val="0025524D"/>
    <w:rsid w:val="002559AF"/>
    <w:rsid w:val="002575CD"/>
    <w:rsid w:val="00261E14"/>
    <w:rsid w:val="00265F48"/>
    <w:rsid w:val="0026664D"/>
    <w:rsid w:val="002666CF"/>
    <w:rsid w:val="00266953"/>
    <w:rsid w:val="00267007"/>
    <w:rsid w:val="00267938"/>
    <w:rsid w:val="00267BDB"/>
    <w:rsid w:val="00271AEC"/>
    <w:rsid w:val="00272121"/>
    <w:rsid w:val="00272FA6"/>
    <w:rsid w:val="00273FB6"/>
    <w:rsid w:val="002749E4"/>
    <w:rsid w:val="00274DC8"/>
    <w:rsid w:val="0027651C"/>
    <w:rsid w:val="002775BD"/>
    <w:rsid w:val="00280547"/>
    <w:rsid w:val="002813E1"/>
    <w:rsid w:val="00281911"/>
    <w:rsid w:val="00283BD1"/>
    <w:rsid w:val="00284823"/>
    <w:rsid w:val="00284BA0"/>
    <w:rsid w:val="002869C1"/>
    <w:rsid w:val="00287D6D"/>
    <w:rsid w:val="00291027"/>
    <w:rsid w:val="002910ED"/>
    <w:rsid w:val="00292787"/>
    <w:rsid w:val="0029357D"/>
    <w:rsid w:val="00293938"/>
    <w:rsid w:val="00293BAD"/>
    <w:rsid w:val="0029503D"/>
    <w:rsid w:val="00295DE3"/>
    <w:rsid w:val="00295FD0"/>
    <w:rsid w:val="00297091"/>
    <w:rsid w:val="002A0D11"/>
    <w:rsid w:val="002A28C7"/>
    <w:rsid w:val="002A2B29"/>
    <w:rsid w:val="002A4D06"/>
    <w:rsid w:val="002A4DA8"/>
    <w:rsid w:val="002A5EBF"/>
    <w:rsid w:val="002A74CC"/>
    <w:rsid w:val="002B0EFC"/>
    <w:rsid w:val="002B46C5"/>
    <w:rsid w:val="002B4DB8"/>
    <w:rsid w:val="002B5803"/>
    <w:rsid w:val="002B60C8"/>
    <w:rsid w:val="002B7448"/>
    <w:rsid w:val="002C2D1B"/>
    <w:rsid w:val="002C3071"/>
    <w:rsid w:val="002C33A8"/>
    <w:rsid w:val="002C3631"/>
    <w:rsid w:val="002C4E19"/>
    <w:rsid w:val="002C5110"/>
    <w:rsid w:val="002C7D28"/>
    <w:rsid w:val="002D1896"/>
    <w:rsid w:val="002D23E3"/>
    <w:rsid w:val="002D390B"/>
    <w:rsid w:val="002D3964"/>
    <w:rsid w:val="002D7E5E"/>
    <w:rsid w:val="002E184F"/>
    <w:rsid w:val="002E22F4"/>
    <w:rsid w:val="002E269E"/>
    <w:rsid w:val="002E4D6F"/>
    <w:rsid w:val="002E584E"/>
    <w:rsid w:val="002E58C4"/>
    <w:rsid w:val="002E6AEB"/>
    <w:rsid w:val="002E7468"/>
    <w:rsid w:val="002E7A23"/>
    <w:rsid w:val="002E7BA7"/>
    <w:rsid w:val="002F0B5C"/>
    <w:rsid w:val="002F0E03"/>
    <w:rsid w:val="002F1569"/>
    <w:rsid w:val="002F1646"/>
    <w:rsid w:val="002F2A55"/>
    <w:rsid w:val="002F30FB"/>
    <w:rsid w:val="002F3436"/>
    <w:rsid w:val="002F368A"/>
    <w:rsid w:val="002F53A9"/>
    <w:rsid w:val="002F7B49"/>
    <w:rsid w:val="00300AFA"/>
    <w:rsid w:val="003014A6"/>
    <w:rsid w:val="0030183C"/>
    <w:rsid w:val="003023F2"/>
    <w:rsid w:val="00302585"/>
    <w:rsid w:val="00303E97"/>
    <w:rsid w:val="00304277"/>
    <w:rsid w:val="00304B7F"/>
    <w:rsid w:val="00307F67"/>
    <w:rsid w:val="003103D3"/>
    <w:rsid w:val="00310B16"/>
    <w:rsid w:val="00310CD0"/>
    <w:rsid w:val="003144E2"/>
    <w:rsid w:val="003147B4"/>
    <w:rsid w:val="00315FE8"/>
    <w:rsid w:val="003161EE"/>
    <w:rsid w:val="003171A3"/>
    <w:rsid w:val="0032052A"/>
    <w:rsid w:val="00321310"/>
    <w:rsid w:val="00321786"/>
    <w:rsid w:val="00323854"/>
    <w:rsid w:val="00324C58"/>
    <w:rsid w:val="00325ADD"/>
    <w:rsid w:val="00325FF8"/>
    <w:rsid w:val="00327864"/>
    <w:rsid w:val="00330CDF"/>
    <w:rsid w:val="00331522"/>
    <w:rsid w:val="00331D4B"/>
    <w:rsid w:val="00337E2F"/>
    <w:rsid w:val="003400FC"/>
    <w:rsid w:val="00340FA8"/>
    <w:rsid w:val="00343449"/>
    <w:rsid w:val="003441B6"/>
    <w:rsid w:val="00344BDE"/>
    <w:rsid w:val="00344D3C"/>
    <w:rsid w:val="00346A00"/>
    <w:rsid w:val="0035149D"/>
    <w:rsid w:val="00353971"/>
    <w:rsid w:val="00353BC8"/>
    <w:rsid w:val="00354B3A"/>
    <w:rsid w:val="0035500E"/>
    <w:rsid w:val="00355583"/>
    <w:rsid w:val="00356E56"/>
    <w:rsid w:val="00357DA1"/>
    <w:rsid w:val="00360490"/>
    <w:rsid w:val="00361859"/>
    <w:rsid w:val="00363219"/>
    <w:rsid w:val="00363EE6"/>
    <w:rsid w:val="003676E6"/>
    <w:rsid w:val="00367FD3"/>
    <w:rsid w:val="0037128D"/>
    <w:rsid w:val="003714E5"/>
    <w:rsid w:val="003716F9"/>
    <w:rsid w:val="00373D2A"/>
    <w:rsid w:val="0037567F"/>
    <w:rsid w:val="00377262"/>
    <w:rsid w:val="00380AFC"/>
    <w:rsid w:val="00381D74"/>
    <w:rsid w:val="00382147"/>
    <w:rsid w:val="0038322F"/>
    <w:rsid w:val="00384C1B"/>
    <w:rsid w:val="00386645"/>
    <w:rsid w:val="00386E53"/>
    <w:rsid w:val="00386F4A"/>
    <w:rsid w:val="00387519"/>
    <w:rsid w:val="00387667"/>
    <w:rsid w:val="0038792F"/>
    <w:rsid w:val="00390BDA"/>
    <w:rsid w:val="00391CF6"/>
    <w:rsid w:val="00392361"/>
    <w:rsid w:val="003932EA"/>
    <w:rsid w:val="00394526"/>
    <w:rsid w:val="00395D0B"/>
    <w:rsid w:val="0039612D"/>
    <w:rsid w:val="00397304"/>
    <w:rsid w:val="003A1637"/>
    <w:rsid w:val="003A1F07"/>
    <w:rsid w:val="003A3379"/>
    <w:rsid w:val="003A4FB4"/>
    <w:rsid w:val="003A5748"/>
    <w:rsid w:val="003A786C"/>
    <w:rsid w:val="003B0E1C"/>
    <w:rsid w:val="003B11D8"/>
    <w:rsid w:val="003B4571"/>
    <w:rsid w:val="003B63D3"/>
    <w:rsid w:val="003B63F2"/>
    <w:rsid w:val="003B7076"/>
    <w:rsid w:val="003B7CB9"/>
    <w:rsid w:val="003B7DF8"/>
    <w:rsid w:val="003C046B"/>
    <w:rsid w:val="003C120F"/>
    <w:rsid w:val="003C1AF7"/>
    <w:rsid w:val="003C2694"/>
    <w:rsid w:val="003C3EA4"/>
    <w:rsid w:val="003C4B4C"/>
    <w:rsid w:val="003C6053"/>
    <w:rsid w:val="003C6390"/>
    <w:rsid w:val="003C6F92"/>
    <w:rsid w:val="003C79E1"/>
    <w:rsid w:val="003D1172"/>
    <w:rsid w:val="003D2C1B"/>
    <w:rsid w:val="003D3AA3"/>
    <w:rsid w:val="003D3C98"/>
    <w:rsid w:val="003D3F0D"/>
    <w:rsid w:val="003D4BA3"/>
    <w:rsid w:val="003D5314"/>
    <w:rsid w:val="003D55DD"/>
    <w:rsid w:val="003D631B"/>
    <w:rsid w:val="003D68CC"/>
    <w:rsid w:val="003D6931"/>
    <w:rsid w:val="003E010F"/>
    <w:rsid w:val="003E144E"/>
    <w:rsid w:val="003E3A4B"/>
    <w:rsid w:val="003E3E3C"/>
    <w:rsid w:val="003E5CE6"/>
    <w:rsid w:val="003E6A7D"/>
    <w:rsid w:val="003F0614"/>
    <w:rsid w:val="003F1DD4"/>
    <w:rsid w:val="003F3AC9"/>
    <w:rsid w:val="003F3C5F"/>
    <w:rsid w:val="003F3FE1"/>
    <w:rsid w:val="003F461E"/>
    <w:rsid w:val="00401017"/>
    <w:rsid w:val="0040289F"/>
    <w:rsid w:val="00403566"/>
    <w:rsid w:val="00404130"/>
    <w:rsid w:val="0040430C"/>
    <w:rsid w:val="00404597"/>
    <w:rsid w:val="004051E0"/>
    <w:rsid w:val="0040566C"/>
    <w:rsid w:val="00406660"/>
    <w:rsid w:val="00406717"/>
    <w:rsid w:val="004067A3"/>
    <w:rsid w:val="00407243"/>
    <w:rsid w:val="004103F1"/>
    <w:rsid w:val="00413BE2"/>
    <w:rsid w:val="004158F1"/>
    <w:rsid w:val="00415E8C"/>
    <w:rsid w:val="00422181"/>
    <w:rsid w:val="004246C1"/>
    <w:rsid w:val="00426B6E"/>
    <w:rsid w:val="00427DD5"/>
    <w:rsid w:val="004300F6"/>
    <w:rsid w:val="00431875"/>
    <w:rsid w:val="004329C1"/>
    <w:rsid w:val="00432F7D"/>
    <w:rsid w:val="00434AE8"/>
    <w:rsid w:val="00434F57"/>
    <w:rsid w:val="0043551B"/>
    <w:rsid w:val="00440FDA"/>
    <w:rsid w:val="0044161C"/>
    <w:rsid w:val="004424C3"/>
    <w:rsid w:val="004426B0"/>
    <w:rsid w:val="00442ACD"/>
    <w:rsid w:val="00443A03"/>
    <w:rsid w:val="00444C94"/>
    <w:rsid w:val="004470F7"/>
    <w:rsid w:val="00453F20"/>
    <w:rsid w:val="00454ABA"/>
    <w:rsid w:val="00454B21"/>
    <w:rsid w:val="00455BF9"/>
    <w:rsid w:val="00456141"/>
    <w:rsid w:val="00456917"/>
    <w:rsid w:val="00456ED5"/>
    <w:rsid w:val="00457580"/>
    <w:rsid w:val="004615F8"/>
    <w:rsid w:val="00461B4E"/>
    <w:rsid w:val="00461F1E"/>
    <w:rsid w:val="00462A45"/>
    <w:rsid w:val="00462A62"/>
    <w:rsid w:val="00462F6F"/>
    <w:rsid w:val="0046546D"/>
    <w:rsid w:val="00465C88"/>
    <w:rsid w:val="00465D9E"/>
    <w:rsid w:val="00465F97"/>
    <w:rsid w:val="00467669"/>
    <w:rsid w:val="004719B6"/>
    <w:rsid w:val="00472B45"/>
    <w:rsid w:val="004736EF"/>
    <w:rsid w:val="0047451F"/>
    <w:rsid w:val="0047462B"/>
    <w:rsid w:val="00474FB9"/>
    <w:rsid w:val="00477B64"/>
    <w:rsid w:val="0048112D"/>
    <w:rsid w:val="00481602"/>
    <w:rsid w:val="00482541"/>
    <w:rsid w:val="004829F9"/>
    <w:rsid w:val="00485847"/>
    <w:rsid w:val="004866A7"/>
    <w:rsid w:val="00486C78"/>
    <w:rsid w:val="00486EAF"/>
    <w:rsid w:val="0048766B"/>
    <w:rsid w:val="0048785C"/>
    <w:rsid w:val="00490214"/>
    <w:rsid w:val="0049242E"/>
    <w:rsid w:val="00495552"/>
    <w:rsid w:val="00495614"/>
    <w:rsid w:val="004973E7"/>
    <w:rsid w:val="004A0237"/>
    <w:rsid w:val="004A4C26"/>
    <w:rsid w:val="004A6A29"/>
    <w:rsid w:val="004B0D45"/>
    <w:rsid w:val="004B46F4"/>
    <w:rsid w:val="004B4B50"/>
    <w:rsid w:val="004B5E25"/>
    <w:rsid w:val="004B62F0"/>
    <w:rsid w:val="004B63D9"/>
    <w:rsid w:val="004B6897"/>
    <w:rsid w:val="004B6C4E"/>
    <w:rsid w:val="004B6E13"/>
    <w:rsid w:val="004C2570"/>
    <w:rsid w:val="004C40AA"/>
    <w:rsid w:val="004C40FF"/>
    <w:rsid w:val="004C4601"/>
    <w:rsid w:val="004C6FB8"/>
    <w:rsid w:val="004C7125"/>
    <w:rsid w:val="004C7FD0"/>
    <w:rsid w:val="004D0548"/>
    <w:rsid w:val="004D06B8"/>
    <w:rsid w:val="004D1514"/>
    <w:rsid w:val="004D2492"/>
    <w:rsid w:val="004D2FAB"/>
    <w:rsid w:val="004D30A5"/>
    <w:rsid w:val="004D3F3D"/>
    <w:rsid w:val="004D4C9F"/>
    <w:rsid w:val="004D550A"/>
    <w:rsid w:val="004D6E2D"/>
    <w:rsid w:val="004E06E2"/>
    <w:rsid w:val="004E12CA"/>
    <w:rsid w:val="004E2609"/>
    <w:rsid w:val="004E377D"/>
    <w:rsid w:val="004E5825"/>
    <w:rsid w:val="004E5A91"/>
    <w:rsid w:val="004E7C06"/>
    <w:rsid w:val="004E7F68"/>
    <w:rsid w:val="004F20E1"/>
    <w:rsid w:val="004F2989"/>
    <w:rsid w:val="004F39E1"/>
    <w:rsid w:val="004F3F88"/>
    <w:rsid w:val="004F46B0"/>
    <w:rsid w:val="004F4AE8"/>
    <w:rsid w:val="004F4D72"/>
    <w:rsid w:val="004F5B25"/>
    <w:rsid w:val="004F6E48"/>
    <w:rsid w:val="004F74D2"/>
    <w:rsid w:val="00500D65"/>
    <w:rsid w:val="00501C54"/>
    <w:rsid w:val="005036DC"/>
    <w:rsid w:val="005059F5"/>
    <w:rsid w:val="00506B6F"/>
    <w:rsid w:val="00506E6F"/>
    <w:rsid w:val="005075C5"/>
    <w:rsid w:val="00507F80"/>
    <w:rsid w:val="005101E8"/>
    <w:rsid w:val="00510E94"/>
    <w:rsid w:val="005113A6"/>
    <w:rsid w:val="005116D2"/>
    <w:rsid w:val="005136F4"/>
    <w:rsid w:val="005138D4"/>
    <w:rsid w:val="005141DA"/>
    <w:rsid w:val="00516DB9"/>
    <w:rsid w:val="00520368"/>
    <w:rsid w:val="00520711"/>
    <w:rsid w:val="005209C2"/>
    <w:rsid w:val="005212C6"/>
    <w:rsid w:val="00522215"/>
    <w:rsid w:val="00522B5F"/>
    <w:rsid w:val="005260C2"/>
    <w:rsid w:val="00527FB8"/>
    <w:rsid w:val="00531FB2"/>
    <w:rsid w:val="005340B9"/>
    <w:rsid w:val="00534B33"/>
    <w:rsid w:val="00535511"/>
    <w:rsid w:val="00535D90"/>
    <w:rsid w:val="00537A65"/>
    <w:rsid w:val="00540148"/>
    <w:rsid w:val="00540D1A"/>
    <w:rsid w:val="0054218D"/>
    <w:rsid w:val="0054396D"/>
    <w:rsid w:val="00545143"/>
    <w:rsid w:val="00545562"/>
    <w:rsid w:val="00545D0E"/>
    <w:rsid w:val="005518E8"/>
    <w:rsid w:val="00551A38"/>
    <w:rsid w:val="00555BFD"/>
    <w:rsid w:val="005578E0"/>
    <w:rsid w:val="0056135A"/>
    <w:rsid w:val="005618E2"/>
    <w:rsid w:val="00561EA4"/>
    <w:rsid w:val="0056253E"/>
    <w:rsid w:val="005630C7"/>
    <w:rsid w:val="005636F7"/>
    <w:rsid w:val="00563A1B"/>
    <w:rsid w:val="00563E2A"/>
    <w:rsid w:val="0056449F"/>
    <w:rsid w:val="005651C9"/>
    <w:rsid w:val="00566256"/>
    <w:rsid w:val="00566313"/>
    <w:rsid w:val="00566CCA"/>
    <w:rsid w:val="00566F23"/>
    <w:rsid w:val="00567095"/>
    <w:rsid w:val="005678E6"/>
    <w:rsid w:val="005714A5"/>
    <w:rsid w:val="00571588"/>
    <w:rsid w:val="00571FD7"/>
    <w:rsid w:val="00575E54"/>
    <w:rsid w:val="00581838"/>
    <w:rsid w:val="00581E5E"/>
    <w:rsid w:val="00583093"/>
    <w:rsid w:val="0058353B"/>
    <w:rsid w:val="0058425E"/>
    <w:rsid w:val="005844C3"/>
    <w:rsid w:val="00585421"/>
    <w:rsid w:val="005854C5"/>
    <w:rsid w:val="00585B2F"/>
    <w:rsid w:val="00586494"/>
    <w:rsid w:val="005867C0"/>
    <w:rsid w:val="0058723A"/>
    <w:rsid w:val="00587CB1"/>
    <w:rsid w:val="005903D2"/>
    <w:rsid w:val="00590508"/>
    <w:rsid w:val="005910C9"/>
    <w:rsid w:val="00591518"/>
    <w:rsid w:val="00592020"/>
    <w:rsid w:val="00593076"/>
    <w:rsid w:val="00593529"/>
    <w:rsid w:val="005937A1"/>
    <w:rsid w:val="00594A04"/>
    <w:rsid w:val="00595185"/>
    <w:rsid w:val="00595573"/>
    <w:rsid w:val="00596AB1"/>
    <w:rsid w:val="00596F21"/>
    <w:rsid w:val="005A0888"/>
    <w:rsid w:val="005A3413"/>
    <w:rsid w:val="005A3E50"/>
    <w:rsid w:val="005A6C0E"/>
    <w:rsid w:val="005A7803"/>
    <w:rsid w:val="005B06A6"/>
    <w:rsid w:val="005B18D5"/>
    <w:rsid w:val="005B2AA4"/>
    <w:rsid w:val="005B2DBE"/>
    <w:rsid w:val="005B5F04"/>
    <w:rsid w:val="005B7BCD"/>
    <w:rsid w:val="005C2AE5"/>
    <w:rsid w:val="005C44D7"/>
    <w:rsid w:val="005C51AA"/>
    <w:rsid w:val="005C7D11"/>
    <w:rsid w:val="005D0986"/>
    <w:rsid w:val="005D17F5"/>
    <w:rsid w:val="005D36D5"/>
    <w:rsid w:val="005D390C"/>
    <w:rsid w:val="005D701B"/>
    <w:rsid w:val="005E0F5A"/>
    <w:rsid w:val="005E297B"/>
    <w:rsid w:val="005E39A1"/>
    <w:rsid w:val="005E597E"/>
    <w:rsid w:val="005E66C0"/>
    <w:rsid w:val="005E72CD"/>
    <w:rsid w:val="005E7B96"/>
    <w:rsid w:val="005F15A4"/>
    <w:rsid w:val="005F212E"/>
    <w:rsid w:val="005F22A7"/>
    <w:rsid w:val="005F329D"/>
    <w:rsid w:val="005F388D"/>
    <w:rsid w:val="005F3D3F"/>
    <w:rsid w:val="005F4C56"/>
    <w:rsid w:val="005F53E6"/>
    <w:rsid w:val="005F56CC"/>
    <w:rsid w:val="005F6107"/>
    <w:rsid w:val="005F6B26"/>
    <w:rsid w:val="005F76E1"/>
    <w:rsid w:val="005F7E0E"/>
    <w:rsid w:val="006002E0"/>
    <w:rsid w:val="00600A09"/>
    <w:rsid w:val="0060587D"/>
    <w:rsid w:val="006079CB"/>
    <w:rsid w:val="006118C0"/>
    <w:rsid w:val="006120B1"/>
    <w:rsid w:val="00613C54"/>
    <w:rsid w:val="006153B7"/>
    <w:rsid w:val="006164F5"/>
    <w:rsid w:val="00616923"/>
    <w:rsid w:val="00617382"/>
    <w:rsid w:val="006201AA"/>
    <w:rsid w:val="00620ED9"/>
    <w:rsid w:val="006223EE"/>
    <w:rsid w:val="00626B60"/>
    <w:rsid w:val="0062729E"/>
    <w:rsid w:val="00630ABE"/>
    <w:rsid w:val="006325DC"/>
    <w:rsid w:val="00632681"/>
    <w:rsid w:val="0063383B"/>
    <w:rsid w:val="0063409E"/>
    <w:rsid w:val="006340A3"/>
    <w:rsid w:val="006353CD"/>
    <w:rsid w:val="00640763"/>
    <w:rsid w:val="006420AF"/>
    <w:rsid w:val="006427BD"/>
    <w:rsid w:val="0064348F"/>
    <w:rsid w:val="00643917"/>
    <w:rsid w:val="006451C8"/>
    <w:rsid w:val="0064597D"/>
    <w:rsid w:val="00645A53"/>
    <w:rsid w:val="00646459"/>
    <w:rsid w:val="00646FAB"/>
    <w:rsid w:val="00647DB5"/>
    <w:rsid w:val="0065172F"/>
    <w:rsid w:val="0065220D"/>
    <w:rsid w:val="006540DC"/>
    <w:rsid w:val="0065439A"/>
    <w:rsid w:val="00655F35"/>
    <w:rsid w:val="00655FB2"/>
    <w:rsid w:val="00657182"/>
    <w:rsid w:val="00660CE7"/>
    <w:rsid w:val="0066157E"/>
    <w:rsid w:val="0066238F"/>
    <w:rsid w:val="00662AB8"/>
    <w:rsid w:val="00663AE6"/>
    <w:rsid w:val="00663E77"/>
    <w:rsid w:val="006649B0"/>
    <w:rsid w:val="00664E61"/>
    <w:rsid w:val="006651D1"/>
    <w:rsid w:val="00665602"/>
    <w:rsid w:val="00666174"/>
    <w:rsid w:val="0067026C"/>
    <w:rsid w:val="0067220B"/>
    <w:rsid w:val="006737A9"/>
    <w:rsid w:val="006774E4"/>
    <w:rsid w:val="00677C8B"/>
    <w:rsid w:val="00680C73"/>
    <w:rsid w:val="00682281"/>
    <w:rsid w:val="0068401A"/>
    <w:rsid w:val="006869DE"/>
    <w:rsid w:val="00686DAF"/>
    <w:rsid w:val="0069044F"/>
    <w:rsid w:val="00690C01"/>
    <w:rsid w:val="006938C1"/>
    <w:rsid w:val="00694A3B"/>
    <w:rsid w:val="006950DB"/>
    <w:rsid w:val="0069617F"/>
    <w:rsid w:val="006A01E5"/>
    <w:rsid w:val="006A0832"/>
    <w:rsid w:val="006A1683"/>
    <w:rsid w:val="006A1E9C"/>
    <w:rsid w:val="006A216F"/>
    <w:rsid w:val="006A2CA8"/>
    <w:rsid w:val="006A3217"/>
    <w:rsid w:val="006A3304"/>
    <w:rsid w:val="006A5505"/>
    <w:rsid w:val="006A6A15"/>
    <w:rsid w:val="006A7457"/>
    <w:rsid w:val="006B04D9"/>
    <w:rsid w:val="006B0ED5"/>
    <w:rsid w:val="006B1213"/>
    <w:rsid w:val="006B183B"/>
    <w:rsid w:val="006B192F"/>
    <w:rsid w:val="006B30B5"/>
    <w:rsid w:val="006B4086"/>
    <w:rsid w:val="006B4899"/>
    <w:rsid w:val="006B4AD1"/>
    <w:rsid w:val="006B6580"/>
    <w:rsid w:val="006B67F0"/>
    <w:rsid w:val="006B6AA5"/>
    <w:rsid w:val="006B6F56"/>
    <w:rsid w:val="006B748C"/>
    <w:rsid w:val="006B7570"/>
    <w:rsid w:val="006B7849"/>
    <w:rsid w:val="006C12A7"/>
    <w:rsid w:val="006C1E01"/>
    <w:rsid w:val="006C2F95"/>
    <w:rsid w:val="006C441F"/>
    <w:rsid w:val="006C44ED"/>
    <w:rsid w:val="006C6B84"/>
    <w:rsid w:val="006D00F1"/>
    <w:rsid w:val="006D3ED8"/>
    <w:rsid w:val="006D45B0"/>
    <w:rsid w:val="006D45B1"/>
    <w:rsid w:val="006D5186"/>
    <w:rsid w:val="006D51C3"/>
    <w:rsid w:val="006D5ED2"/>
    <w:rsid w:val="006D5FFA"/>
    <w:rsid w:val="006D674A"/>
    <w:rsid w:val="006D7177"/>
    <w:rsid w:val="006D7487"/>
    <w:rsid w:val="006E1525"/>
    <w:rsid w:val="006E2798"/>
    <w:rsid w:val="006E335A"/>
    <w:rsid w:val="006E3B37"/>
    <w:rsid w:val="006E4060"/>
    <w:rsid w:val="006E45CF"/>
    <w:rsid w:val="006E45FB"/>
    <w:rsid w:val="006E51BA"/>
    <w:rsid w:val="006E5540"/>
    <w:rsid w:val="006E5C2A"/>
    <w:rsid w:val="006E638D"/>
    <w:rsid w:val="006E6C1F"/>
    <w:rsid w:val="006F110E"/>
    <w:rsid w:val="006F3413"/>
    <w:rsid w:val="006F3F61"/>
    <w:rsid w:val="006F51BD"/>
    <w:rsid w:val="006F5240"/>
    <w:rsid w:val="006F590C"/>
    <w:rsid w:val="006F7D8B"/>
    <w:rsid w:val="00701F58"/>
    <w:rsid w:val="0070245D"/>
    <w:rsid w:val="007032D5"/>
    <w:rsid w:val="00703E66"/>
    <w:rsid w:val="00704AE2"/>
    <w:rsid w:val="007051CD"/>
    <w:rsid w:val="00707206"/>
    <w:rsid w:val="0070783D"/>
    <w:rsid w:val="00707D14"/>
    <w:rsid w:val="00710B89"/>
    <w:rsid w:val="00710EF3"/>
    <w:rsid w:val="00711DCB"/>
    <w:rsid w:val="00712C05"/>
    <w:rsid w:val="007134CA"/>
    <w:rsid w:val="00714270"/>
    <w:rsid w:val="007174F5"/>
    <w:rsid w:val="007177D6"/>
    <w:rsid w:val="00720028"/>
    <w:rsid w:val="0072078D"/>
    <w:rsid w:val="00722758"/>
    <w:rsid w:val="007248AB"/>
    <w:rsid w:val="007268EB"/>
    <w:rsid w:val="007322D2"/>
    <w:rsid w:val="00732831"/>
    <w:rsid w:val="007352E7"/>
    <w:rsid w:val="0073639D"/>
    <w:rsid w:val="00742F68"/>
    <w:rsid w:val="00744FAF"/>
    <w:rsid w:val="0074527B"/>
    <w:rsid w:val="00745D4E"/>
    <w:rsid w:val="00747A8A"/>
    <w:rsid w:val="00750020"/>
    <w:rsid w:val="00750FF2"/>
    <w:rsid w:val="007517B2"/>
    <w:rsid w:val="0075459B"/>
    <w:rsid w:val="00755081"/>
    <w:rsid w:val="0075788F"/>
    <w:rsid w:val="00760102"/>
    <w:rsid w:val="00760A98"/>
    <w:rsid w:val="00760B6C"/>
    <w:rsid w:val="00764527"/>
    <w:rsid w:val="00765DBD"/>
    <w:rsid w:val="0076644E"/>
    <w:rsid w:val="00766641"/>
    <w:rsid w:val="0076688A"/>
    <w:rsid w:val="00766AC1"/>
    <w:rsid w:val="00766C85"/>
    <w:rsid w:val="00770B0B"/>
    <w:rsid w:val="0077193D"/>
    <w:rsid w:val="00771AD9"/>
    <w:rsid w:val="00773F36"/>
    <w:rsid w:val="00774198"/>
    <w:rsid w:val="00774F87"/>
    <w:rsid w:val="00774FCA"/>
    <w:rsid w:val="00775B8D"/>
    <w:rsid w:val="00776359"/>
    <w:rsid w:val="00776ED0"/>
    <w:rsid w:val="007778C9"/>
    <w:rsid w:val="00780011"/>
    <w:rsid w:val="007812BA"/>
    <w:rsid w:val="007838B7"/>
    <w:rsid w:val="007840C4"/>
    <w:rsid w:val="007854F5"/>
    <w:rsid w:val="007861F6"/>
    <w:rsid w:val="00786322"/>
    <w:rsid w:val="0078669E"/>
    <w:rsid w:val="00786B36"/>
    <w:rsid w:val="007911A4"/>
    <w:rsid w:val="00791CED"/>
    <w:rsid w:val="0079255B"/>
    <w:rsid w:val="00792CFC"/>
    <w:rsid w:val="00795C4B"/>
    <w:rsid w:val="00795D3E"/>
    <w:rsid w:val="00795DF1"/>
    <w:rsid w:val="00795EA1"/>
    <w:rsid w:val="007977F9"/>
    <w:rsid w:val="00797AD7"/>
    <w:rsid w:val="00797B37"/>
    <w:rsid w:val="00797C66"/>
    <w:rsid w:val="007A23B4"/>
    <w:rsid w:val="007A2671"/>
    <w:rsid w:val="007A293C"/>
    <w:rsid w:val="007A413F"/>
    <w:rsid w:val="007A4E82"/>
    <w:rsid w:val="007A5DA2"/>
    <w:rsid w:val="007A6389"/>
    <w:rsid w:val="007A7C65"/>
    <w:rsid w:val="007B015B"/>
    <w:rsid w:val="007B24D7"/>
    <w:rsid w:val="007B270A"/>
    <w:rsid w:val="007B2721"/>
    <w:rsid w:val="007B38E3"/>
    <w:rsid w:val="007B41C4"/>
    <w:rsid w:val="007B5270"/>
    <w:rsid w:val="007B611F"/>
    <w:rsid w:val="007B64A6"/>
    <w:rsid w:val="007B65F9"/>
    <w:rsid w:val="007B6C9B"/>
    <w:rsid w:val="007C0907"/>
    <w:rsid w:val="007C17C9"/>
    <w:rsid w:val="007C1B97"/>
    <w:rsid w:val="007C2438"/>
    <w:rsid w:val="007C3E5E"/>
    <w:rsid w:val="007C63FC"/>
    <w:rsid w:val="007C7093"/>
    <w:rsid w:val="007C72F0"/>
    <w:rsid w:val="007C74EF"/>
    <w:rsid w:val="007D024A"/>
    <w:rsid w:val="007D1799"/>
    <w:rsid w:val="007D1CC4"/>
    <w:rsid w:val="007D1D38"/>
    <w:rsid w:val="007D268E"/>
    <w:rsid w:val="007D3B38"/>
    <w:rsid w:val="007D562B"/>
    <w:rsid w:val="007D6837"/>
    <w:rsid w:val="007D7A56"/>
    <w:rsid w:val="007E04E9"/>
    <w:rsid w:val="007E09C7"/>
    <w:rsid w:val="007E25E3"/>
    <w:rsid w:val="007E29CB"/>
    <w:rsid w:val="007E2A2B"/>
    <w:rsid w:val="007E355A"/>
    <w:rsid w:val="007E380E"/>
    <w:rsid w:val="007E3F40"/>
    <w:rsid w:val="007E3F83"/>
    <w:rsid w:val="007E58A2"/>
    <w:rsid w:val="007E6415"/>
    <w:rsid w:val="007E6906"/>
    <w:rsid w:val="007F0522"/>
    <w:rsid w:val="007F1628"/>
    <w:rsid w:val="007F2728"/>
    <w:rsid w:val="007F35D5"/>
    <w:rsid w:val="007F481D"/>
    <w:rsid w:val="007F51D3"/>
    <w:rsid w:val="00800AF5"/>
    <w:rsid w:val="00802D02"/>
    <w:rsid w:val="008052F2"/>
    <w:rsid w:val="00805FCD"/>
    <w:rsid w:val="008061B9"/>
    <w:rsid w:val="00807065"/>
    <w:rsid w:val="00807AD4"/>
    <w:rsid w:val="008100BF"/>
    <w:rsid w:val="0081016C"/>
    <w:rsid w:val="00810BF8"/>
    <w:rsid w:val="008116FC"/>
    <w:rsid w:val="008118A4"/>
    <w:rsid w:val="00813229"/>
    <w:rsid w:val="008138EC"/>
    <w:rsid w:val="00814A66"/>
    <w:rsid w:val="00816B95"/>
    <w:rsid w:val="0082156C"/>
    <w:rsid w:val="008244DB"/>
    <w:rsid w:val="00824D6D"/>
    <w:rsid w:val="00825CD4"/>
    <w:rsid w:val="00825DF4"/>
    <w:rsid w:val="0082639D"/>
    <w:rsid w:val="00826F3C"/>
    <w:rsid w:val="00827289"/>
    <w:rsid w:val="00832221"/>
    <w:rsid w:val="00833477"/>
    <w:rsid w:val="008336C8"/>
    <w:rsid w:val="00835CEE"/>
    <w:rsid w:val="008362FD"/>
    <w:rsid w:val="00842469"/>
    <w:rsid w:val="008425AB"/>
    <w:rsid w:val="0084437A"/>
    <w:rsid w:val="008450EB"/>
    <w:rsid w:val="00850560"/>
    <w:rsid w:val="00850FC1"/>
    <w:rsid w:val="00851260"/>
    <w:rsid w:val="00851610"/>
    <w:rsid w:val="008526B4"/>
    <w:rsid w:val="0085306D"/>
    <w:rsid w:val="00853FDF"/>
    <w:rsid w:val="008545B7"/>
    <w:rsid w:val="00855699"/>
    <w:rsid w:val="00856377"/>
    <w:rsid w:val="00857E15"/>
    <w:rsid w:val="00862129"/>
    <w:rsid w:val="0086221F"/>
    <w:rsid w:val="008626FC"/>
    <w:rsid w:val="008649A9"/>
    <w:rsid w:val="0086552A"/>
    <w:rsid w:val="00866166"/>
    <w:rsid w:val="00866F77"/>
    <w:rsid w:val="00867CEA"/>
    <w:rsid w:val="008703C9"/>
    <w:rsid w:val="00871067"/>
    <w:rsid w:val="008719D3"/>
    <w:rsid w:val="008729BB"/>
    <w:rsid w:val="00875AEA"/>
    <w:rsid w:val="008772AC"/>
    <w:rsid w:val="00877DAB"/>
    <w:rsid w:val="00877E7B"/>
    <w:rsid w:val="00880E6C"/>
    <w:rsid w:val="00881250"/>
    <w:rsid w:val="008823A3"/>
    <w:rsid w:val="00882D34"/>
    <w:rsid w:val="00884C6D"/>
    <w:rsid w:val="00884FD3"/>
    <w:rsid w:val="0088578A"/>
    <w:rsid w:val="008866C4"/>
    <w:rsid w:val="00892A87"/>
    <w:rsid w:val="0089318F"/>
    <w:rsid w:val="00893197"/>
    <w:rsid w:val="00893D1A"/>
    <w:rsid w:val="008953F7"/>
    <w:rsid w:val="00896F13"/>
    <w:rsid w:val="0089753E"/>
    <w:rsid w:val="008A0F17"/>
    <w:rsid w:val="008A18F2"/>
    <w:rsid w:val="008A27B3"/>
    <w:rsid w:val="008A2E30"/>
    <w:rsid w:val="008A32FF"/>
    <w:rsid w:val="008A3CDE"/>
    <w:rsid w:val="008A3D84"/>
    <w:rsid w:val="008A5263"/>
    <w:rsid w:val="008A557C"/>
    <w:rsid w:val="008A6D22"/>
    <w:rsid w:val="008A7451"/>
    <w:rsid w:val="008A7CC6"/>
    <w:rsid w:val="008B093A"/>
    <w:rsid w:val="008B1AF3"/>
    <w:rsid w:val="008B3760"/>
    <w:rsid w:val="008B43D3"/>
    <w:rsid w:val="008B478E"/>
    <w:rsid w:val="008B583B"/>
    <w:rsid w:val="008B729A"/>
    <w:rsid w:val="008C0C5F"/>
    <w:rsid w:val="008C205B"/>
    <w:rsid w:val="008C2204"/>
    <w:rsid w:val="008C36EC"/>
    <w:rsid w:val="008C3BEE"/>
    <w:rsid w:val="008C7BEB"/>
    <w:rsid w:val="008D1AD2"/>
    <w:rsid w:val="008D2DAE"/>
    <w:rsid w:val="008D31DA"/>
    <w:rsid w:val="008D43D0"/>
    <w:rsid w:val="008D4556"/>
    <w:rsid w:val="008D4C0A"/>
    <w:rsid w:val="008D641E"/>
    <w:rsid w:val="008D6860"/>
    <w:rsid w:val="008D6E79"/>
    <w:rsid w:val="008D73A5"/>
    <w:rsid w:val="008E128F"/>
    <w:rsid w:val="008E34A5"/>
    <w:rsid w:val="008E392E"/>
    <w:rsid w:val="008E5E34"/>
    <w:rsid w:val="008E6A18"/>
    <w:rsid w:val="008E7EF3"/>
    <w:rsid w:val="008F0145"/>
    <w:rsid w:val="008F01E8"/>
    <w:rsid w:val="008F0EFA"/>
    <w:rsid w:val="008F283A"/>
    <w:rsid w:val="008F5020"/>
    <w:rsid w:val="008F5A4C"/>
    <w:rsid w:val="008F61D4"/>
    <w:rsid w:val="008F77F1"/>
    <w:rsid w:val="008F7C5B"/>
    <w:rsid w:val="00900B08"/>
    <w:rsid w:val="009012B8"/>
    <w:rsid w:val="00903B6A"/>
    <w:rsid w:val="00904054"/>
    <w:rsid w:val="00904DC4"/>
    <w:rsid w:val="00905D3C"/>
    <w:rsid w:val="00906722"/>
    <w:rsid w:val="0090797A"/>
    <w:rsid w:val="00912EBD"/>
    <w:rsid w:val="00913512"/>
    <w:rsid w:val="00913A67"/>
    <w:rsid w:val="00914309"/>
    <w:rsid w:val="0091520D"/>
    <w:rsid w:val="009152B4"/>
    <w:rsid w:val="00915444"/>
    <w:rsid w:val="00915D78"/>
    <w:rsid w:val="009169A0"/>
    <w:rsid w:val="009209C6"/>
    <w:rsid w:val="00922372"/>
    <w:rsid w:val="00923438"/>
    <w:rsid w:val="00926C27"/>
    <w:rsid w:val="00926D9E"/>
    <w:rsid w:val="00926F36"/>
    <w:rsid w:val="00930A63"/>
    <w:rsid w:val="009318F2"/>
    <w:rsid w:val="009324A2"/>
    <w:rsid w:val="00932AB9"/>
    <w:rsid w:val="00933544"/>
    <w:rsid w:val="00934802"/>
    <w:rsid w:val="0093523D"/>
    <w:rsid w:val="00936789"/>
    <w:rsid w:val="009379A8"/>
    <w:rsid w:val="0094083E"/>
    <w:rsid w:val="00940BBE"/>
    <w:rsid w:val="00941A5F"/>
    <w:rsid w:val="00942C80"/>
    <w:rsid w:val="00942E27"/>
    <w:rsid w:val="00943458"/>
    <w:rsid w:val="00943478"/>
    <w:rsid w:val="009448B6"/>
    <w:rsid w:val="0094582B"/>
    <w:rsid w:val="009464C9"/>
    <w:rsid w:val="00950E44"/>
    <w:rsid w:val="00950F9F"/>
    <w:rsid w:val="009516D8"/>
    <w:rsid w:val="00952281"/>
    <w:rsid w:val="00952813"/>
    <w:rsid w:val="00952C3A"/>
    <w:rsid w:val="00956121"/>
    <w:rsid w:val="009611F4"/>
    <w:rsid w:val="00961838"/>
    <w:rsid w:val="00961BAD"/>
    <w:rsid w:val="00961DB2"/>
    <w:rsid w:val="00962382"/>
    <w:rsid w:val="00965391"/>
    <w:rsid w:val="009661E4"/>
    <w:rsid w:val="009670B7"/>
    <w:rsid w:val="00967375"/>
    <w:rsid w:val="00970782"/>
    <w:rsid w:val="00971D01"/>
    <w:rsid w:val="009733BC"/>
    <w:rsid w:val="00974DEA"/>
    <w:rsid w:val="00975703"/>
    <w:rsid w:val="009761E0"/>
    <w:rsid w:val="0097642E"/>
    <w:rsid w:val="00981B06"/>
    <w:rsid w:val="00981C16"/>
    <w:rsid w:val="00983AB5"/>
    <w:rsid w:val="00984199"/>
    <w:rsid w:val="00984886"/>
    <w:rsid w:val="0098688B"/>
    <w:rsid w:val="00992DFE"/>
    <w:rsid w:val="00994B69"/>
    <w:rsid w:val="00994BF7"/>
    <w:rsid w:val="00995FE5"/>
    <w:rsid w:val="009963A2"/>
    <w:rsid w:val="0099694F"/>
    <w:rsid w:val="00996F20"/>
    <w:rsid w:val="009A029A"/>
    <w:rsid w:val="009A229E"/>
    <w:rsid w:val="009A26F8"/>
    <w:rsid w:val="009A2B6A"/>
    <w:rsid w:val="009A4C31"/>
    <w:rsid w:val="009A6F05"/>
    <w:rsid w:val="009A75EF"/>
    <w:rsid w:val="009A7897"/>
    <w:rsid w:val="009B127C"/>
    <w:rsid w:val="009B2F4A"/>
    <w:rsid w:val="009B3021"/>
    <w:rsid w:val="009B352B"/>
    <w:rsid w:val="009B4892"/>
    <w:rsid w:val="009B5A3D"/>
    <w:rsid w:val="009C3141"/>
    <w:rsid w:val="009C389C"/>
    <w:rsid w:val="009C4A2C"/>
    <w:rsid w:val="009C4D51"/>
    <w:rsid w:val="009C7B9C"/>
    <w:rsid w:val="009D0103"/>
    <w:rsid w:val="009D03A6"/>
    <w:rsid w:val="009D1725"/>
    <w:rsid w:val="009D1E2B"/>
    <w:rsid w:val="009D353A"/>
    <w:rsid w:val="009D5759"/>
    <w:rsid w:val="009D59A0"/>
    <w:rsid w:val="009D7CCA"/>
    <w:rsid w:val="009D7DD7"/>
    <w:rsid w:val="009E0F31"/>
    <w:rsid w:val="009E1666"/>
    <w:rsid w:val="009E3472"/>
    <w:rsid w:val="009E41D4"/>
    <w:rsid w:val="009E44A0"/>
    <w:rsid w:val="009E451B"/>
    <w:rsid w:val="009E557F"/>
    <w:rsid w:val="009E56DB"/>
    <w:rsid w:val="009E5E64"/>
    <w:rsid w:val="009E61FC"/>
    <w:rsid w:val="009E668A"/>
    <w:rsid w:val="009E7716"/>
    <w:rsid w:val="009E7CF8"/>
    <w:rsid w:val="009F2691"/>
    <w:rsid w:val="009F2CA3"/>
    <w:rsid w:val="009F4433"/>
    <w:rsid w:val="009F79A4"/>
    <w:rsid w:val="009F7E9D"/>
    <w:rsid w:val="00A008EE"/>
    <w:rsid w:val="00A011D7"/>
    <w:rsid w:val="00A016CE"/>
    <w:rsid w:val="00A01C1C"/>
    <w:rsid w:val="00A021A4"/>
    <w:rsid w:val="00A04270"/>
    <w:rsid w:val="00A04F9D"/>
    <w:rsid w:val="00A1033D"/>
    <w:rsid w:val="00A103DE"/>
    <w:rsid w:val="00A115E8"/>
    <w:rsid w:val="00A11AD5"/>
    <w:rsid w:val="00A14829"/>
    <w:rsid w:val="00A1590B"/>
    <w:rsid w:val="00A160D5"/>
    <w:rsid w:val="00A16F9C"/>
    <w:rsid w:val="00A20A28"/>
    <w:rsid w:val="00A2242F"/>
    <w:rsid w:val="00A24CCA"/>
    <w:rsid w:val="00A25E8B"/>
    <w:rsid w:val="00A26918"/>
    <w:rsid w:val="00A26A7B"/>
    <w:rsid w:val="00A27A61"/>
    <w:rsid w:val="00A27F7D"/>
    <w:rsid w:val="00A30EEC"/>
    <w:rsid w:val="00A3356F"/>
    <w:rsid w:val="00A34968"/>
    <w:rsid w:val="00A36C01"/>
    <w:rsid w:val="00A36DC1"/>
    <w:rsid w:val="00A3769A"/>
    <w:rsid w:val="00A40211"/>
    <w:rsid w:val="00A41DD7"/>
    <w:rsid w:val="00A42140"/>
    <w:rsid w:val="00A42C28"/>
    <w:rsid w:val="00A42DF3"/>
    <w:rsid w:val="00A44C80"/>
    <w:rsid w:val="00A501F9"/>
    <w:rsid w:val="00A50942"/>
    <w:rsid w:val="00A51165"/>
    <w:rsid w:val="00A5147D"/>
    <w:rsid w:val="00A51DFC"/>
    <w:rsid w:val="00A51E49"/>
    <w:rsid w:val="00A52826"/>
    <w:rsid w:val="00A5524D"/>
    <w:rsid w:val="00A55DBA"/>
    <w:rsid w:val="00A564D1"/>
    <w:rsid w:val="00A56767"/>
    <w:rsid w:val="00A57F55"/>
    <w:rsid w:val="00A61AEE"/>
    <w:rsid w:val="00A64EDF"/>
    <w:rsid w:val="00A65C78"/>
    <w:rsid w:val="00A66535"/>
    <w:rsid w:val="00A66837"/>
    <w:rsid w:val="00A669A7"/>
    <w:rsid w:val="00A66B4B"/>
    <w:rsid w:val="00A706B1"/>
    <w:rsid w:val="00A70885"/>
    <w:rsid w:val="00A71923"/>
    <w:rsid w:val="00A722E4"/>
    <w:rsid w:val="00A76009"/>
    <w:rsid w:val="00A76156"/>
    <w:rsid w:val="00A77435"/>
    <w:rsid w:val="00A8170D"/>
    <w:rsid w:val="00A81D66"/>
    <w:rsid w:val="00A83E08"/>
    <w:rsid w:val="00A84275"/>
    <w:rsid w:val="00A860F3"/>
    <w:rsid w:val="00A866AB"/>
    <w:rsid w:val="00A86CA9"/>
    <w:rsid w:val="00A86FEF"/>
    <w:rsid w:val="00A87499"/>
    <w:rsid w:val="00A87872"/>
    <w:rsid w:val="00A87B89"/>
    <w:rsid w:val="00A90693"/>
    <w:rsid w:val="00A90B79"/>
    <w:rsid w:val="00A91282"/>
    <w:rsid w:val="00A9151F"/>
    <w:rsid w:val="00A97767"/>
    <w:rsid w:val="00AA05D2"/>
    <w:rsid w:val="00AA067C"/>
    <w:rsid w:val="00AA1A74"/>
    <w:rsid w:val="00AA1AB7"/>
    <w:rsid w:val="00AA23DA"/>
    <w:rsid w:val="00AA27BA"/>
    <w:rsid w:val="00AA3A7B"/>
    <w:rsid w:val="00AA3B1B"/>
    <w:rsid w:val="00AA471C"/>
    <w:rsid w:val="00AA5131"/>
    <w:rsid w:val="00AA59D6"/>
    <w:rsid w:val="00AA620F"/>
    <w:rsid w:val="00AA7685"/>
    <w:rsid w:val="00AB05B0"/>
    <w:rsid w:val="00AB0EC9"/>
    <w:rsid w:val="00AB1C9F"/>
    <w:rsid w:val="00AB1DB0"/>
    <w:rsid w:val="00AB2195"/>
    <w:rsid w:val="00AB5542"/>
    <w:rsid w:val="00AB6F01"/>
    <w:rsid w:val="00AC1663"/>
    <w:rsid w:val="00AC169B"/>
    <w:rsid w:val="00AC1B0B"/>
    <w:rsid w:val="00AC2AED"/>
    <w:rsid w:val="00AC3749"/>
    <w:rsid w:val="00AC3B20"/>
    <w:rsid w:val="00AC7C4A"/>
    <w:rsid w:val="00AD0921"/>
    <w:rsid w:val="00AD2EF9"/>
    <w:rsid w:val="00AD60A1"/>
    <w:rsid w:val="00AD6E5D"/>
    <w:rsid w:val="00AE6B53"/>
    <w:rsid w:val="00AE719E"/>
    <w:rsid w:val="00AF02EF"/>
    <w:rsid w:val="00AF04C1"/>
    <w:rsid w:val="00AF1AEC"/>
    <w:rsid w:val="00AF1B1C"/>
    <w:rsid w:val="00AF1EC9"/>
    <w:rsid w:val="00AF22C6"/>
    <w:rsid w:val="00AF42DD"/>
    <w:rsid w:val="00AF47DD"/>
    <w:rsid w:val="00AF48E5"/>
    <w:rsid w:val="00AF6C0B"/>
    <w:rsid w:val="00AF75F5"/>
    <w:rsid w:val="00B00D0C"/>
    <w:rsid w:val="00B011CD"/>
    <w:rsid w:val="00B0133A"/>
    <w:rsid w:val="00B02390"/>
    <w:rsid w:val="00B02425"/>
    <w:rsid w:val="00B024A5"/>
    <w:rsid w:val="00B035E1"/>
    <w:rsid w:val="00B04D25"/>
    <w:rsid w:val="00B06E4B"/>
    <w:rsid w:val="00B076ED"/>
    <w:rsid w:val="00B0781A"/>
    <w:rsid w:val="00B0787D"/>
    <w:rsid w:val="00B117CB"/>
    <w:rsid w:val="00B118E9"/>
    <w:rsid w:val="00B1239B"/>
    <w:rsid w:val="00B1266A"/>
    <w:rsid w:val="00B1341D"/>
    <w:rsid w:val="00B13945"/>
    <w:rsid w:val="00B1401B"/>
    <w:rsid w:val="00B15776"/>
    <w:rsid w:val="00B15BBD"/>
    <w:rsid w:val="00B1661E"/>
    <w:rsid w:val="00B179B3"/>
    <w:rsid w:val="00B2080D"/>
    <w:rsid w:val="00B20B49"/>
    <w:rsid w:val="00B20CC3"/>
    <w:rsid w:val="00B2113F"/>
    <w:rsid w:val="00B213EF"/>
    <w:rsid w:val="00B224C3"/>
    <w:rsid w:val="00B22C66"/>
    <w:rsid w:val="00B2522C"/>
    <w:rsid w:val="00B258EB"/>
    <w:rsid w:val="00B27310"/>
    <w:rsid w:val="00B30B4A"/>
    <w:rsid w:val="00B31D7F"/>
    <w:rsid w:val="00B34600"/>
    <w:rsid w:val="00B3472C"/>
    <w:rsid w:val="00B34DB1"/>
    <w:rsid w:val="00B34E42"/>
    <w:rsid w:val="00B35D99"/>
    <w:rsid w:val="00B37650"/>
    <w:rsid w:val="00B37E3F"/>
    <w:rsid w:val="00B40815"/>
    <w:rsid w:val="00B40E3C"/>
    <w:rsid w:val="00B42D22"/>
    <w:rsid w:val="00B43229"/>
    <w:rsid w:val="00B45AA3"/>
    <w:rsid w:val="00B45D70"/>
    <w:rsid w:val="00B470BC"/>
    <w:rsid w:val="00B47488"/>
    <w:rsid w:val="00B47647"/>
    <w:rsid w:val="00B50B45"/>
    <w:rsid w:val="00B513E5"/>
    <w:rsid w:val="00B51DBA"/>
    <w:rsid w:val="00B52883"/>
    <w:rsid w:val="00B528F3"/>
    <w:rsid w:val="00B52962"/>
    <w:rsid w:val="00B55203"/>
    <w:rsid w:val="00B554C5"/>
    <w:rsid w:val="00B5671F"/>
    <w:rsid w:val="00B60EE5"/>
    <w:rsid w:val="00B61C0A"/>
    <w:rsid w:val="00B626FA"/>
    <w:rsid w:val="00B63A6B"/>
    <w:rsid w:val="00B6406C"/>
    <w:rsid w:val="00B644CB"/>
    <w:rsid w:val="00B66498"/>
    <w:rsid w:val="00B719EF"/>
    <w:rsid w:val="00B721FA"/>
    <w:rsid w:val="00B731CB"/>
    <w:rsid w:val="00B73EDB"/>
    <w:rsid w:val="00B74CB6"/>
    <w:rsid w:val="00B74FC1"/>
    <w:rsid w:val="00B75760"/>
    <w:rsid w:val="00B75D34"/>
    <w:rsid w:val="00B76AE8"/>
    <w:rsid w:val="00B80D1B"/>
    <w:rsid w:val="00B82B39"/>
    <w:rsid w:val="00B83543"/>
    <w:rsid w:val="00B85577"/>
    <w:rsid w:val="00B861A8"/>
    <w:rsid w:val="00B86FF5"/>
    <w:rsid w:val="00B92CDA"/>
    <w:rsid w:val="00B93108"/>
    <w:rsid w:val="00B946AB"/>
    <w:rsid w:val="00B9495C"/>
    <w:rsid w:val="00B9517E"/>
    <w:rsid w:val="00B95435"/>
    <w:rsid w:val="00B96618"/>
    <w:rsid w:val="00B97149"/>
    <w:rsid w:val="00B9758C"/>
    <w:rsid w:val="00BA084F"/>
    <w:rsid w:val="00BA135C"/>
    <w:rsid w:val="00BA2280"/>
    <w:rsid w:val="00BA343C"/>
    <w:rsid w:val="00BA719A"/>
    <w:rsid w:val="00BA767F"/>
    <w:rsid w:val="00BA76D9"/>
    <w:rsid w:val="00BA76F4"/>
    <w:rsid w:val="00BB1A06"/>
    <w:rsid w:val="00BB265A"/>
    <w:rsid w:val="00BB27DB"/>
    <w:rsid w:val="00BB4713"/>
    <w:rsid w:val="00BB4940"/>
    <w:rsid w:val="00BB60F3"/>
    <w:rsid w:val="00BB6392"/>
    <w:rsid w:val="00BB647C"/>
    <w:rsid w:val="00BB7D98"/>
    <w:rsid w:val="00BC0AB2"/>
    <w:rsid w:val="00BC15F6"/>
    <w:rsid w:val="00BC169A"/>
    <w:rsid w:val="00BC226B"/>
    <w:rsid w:val="00BC232F"/>
    <w:rsid w:val="00BC2483"/>
    <w:rsid w:val="00BC262F"/>
    <w:rsid w:val="00BC27C5"/>
    <w:rsid w:val="00BC28A3"/>
    <w:rsid w:val="00BC2954"/>
    <w:rsid w:val="00BC4123"/>
    <w:rsid w:val="00BC553D"/>
    <w:rsid w:val="00BC673E"/>
    <w:rsid w:val="00BD27EE"/>
    <w:rsid w:val="00BD5125"/>
    <w:rsid w:val="00BD5A1F"/>
    <w:rsid w:val="00BD6515"/>
    <w:rsid w:val="00BD65C1"/>
    <w:rsid w:val="00BD72A5"/>
    <w:rsid w:val="00BE0D3B"/>
    <w:rsid w:val="00BE23CA"/>
    <w:rsid w:val="00BE262A"/>
    <w:rsid w:val="00BE2CA5"/>
    <w:rsid w:val="00BE2F87"/>
    <w:rsid w:val="00BE38F2"/>
    <w:rsid w:val="00BE60FF"/>
    <w:rsid w:val="00BE7A8E"/>
    <w:rsid w:val="00BE7B57"/>
    <w:rsid w:val="00BF09B9"/>
    <w:rsid w:val="00BF1319"/>
    <w:rsid w:val="00BF2445"/>
    <w:rsid w:val="00BF40F0"/>
    <w:rsid w:val="00BF47DD"/>
    <w:rsid w:val="00BF4ADE"/>
    <w:rsid w:val="00C013CF"/>
    <w:rsid w:val="00C01BFC"/>
    <w:rsid w:val="00C01C33"/>
    <w:rsid w:val="00C02F5E"/>
    <w:rsid w:val="00C041FD"/>
    <w:rsid w:val="00C043BA"/>
    <w:rsid w:val="00C0533D"/>
    <w:rsid w:val="00C0580D"/>
    <w:rsid w:val="00C064CD"/>
    <w:rsid w:val="00C07286"/>
    <w:rsid w:val="00C135D6"/>
    <w:rsid w:val="00C13869"/>
    <w:rsid w:val="00C138CF"/>
    <w:rsid w:val="00C138EB"/>
    <w:rsid w:val="00C15851"/>
    <w:rsid w:val="00C16587"/>
    <w:rsid w:val="00C17759"/>
    <w:rsid w:val="00C21897"/>
    <w:rsid w:val="00C23B64"/>
    <w:rsid w:val="00C24DE0"/>
    <w:rsid w:val="00C25073"/>
    <w:rsid w:val="00C2588A"/>
    <w:rsid w:val="00C25B4A"/>
    <w:rsid w:val="00C264C7"/>
    <w:rsid w:val="00C26907"/>
    <w:rsid w:val="00C26B21"/>
    <w:rsid w:val="00C272CD"/>
    <w:rsid w:val="00C35518"/>
    <w:rsid w:val="00C35D2C"/>
    <w:rsid w:val="00C35E9D"/>
    <w:rsid w:val="00C37AFC"/>
    <w:rsid w:val="00C41286"/>
    <w:rsid w:val="00C42C26"/>
    <w:rsid w:val="00C44EE4"/>
    <w:rsid w:val="00C461F5"/>
    <w:rsid w:val="00C47073"/>
    <w:rsid w:val="00C470C6"/>
    <w:rsid w:val="00C4758E"/>
    <w:rsid w:val="00C475E5"/>
    <w:rsid w:val="00C47BB7"/>
    <w:rsid w:val="00C51959"/>
    <w:rsid w:val="00C5323A"/>
    <w:rsid w:val="00C53DC6"/>
    <w:rsid w:val="00C56DB0"/>
    <w:rsid w:val="00C57193"/>
    <w:rsid w:val="00C57870"/>
    <w:rsid w:val="00C57928"/>
    <w:rsid w:val="00C57A76"/>
    <w:rsid w:val="00C57E15"/>
    <w:rsid w:val="00C60ED7"/>
    <w:rsid w:val="00C6562D"/>
    <w:rsid w:val="00C663F0"/>
    <w:rsid w:val="00C67576"/>
    <w:rsid w:val="00C7025E"/>
    <w:rsid w:val="00C70B78"/>
    <w:rsid w:val="00C73AFC"/>
    <w:rsid w:val="00C7413F"/>
    <w:rsid w:val="00C76690"/>
    <w:rsid w:val="00C76B15"/>
    <w:rsid w:val="00C76E9B"/>
    <w:rsid w:val="00C77A4A"/>
    <w:rsid w:val="00C81550"/>
    <w:rsid w:val="00C82402"/>
    <w:rsid w:val="00C845E4"/>
    <w:rsid w:val="00C9014B"/>
    <w:rsid w:val="00C92565"/>
    <w:rsid w:val="00C92EE3"/>
    <w:rsid w:val="00C94AB9"/>
    <w:rsid w:val="00C95B87"/>
    <w:rsid w:val="00C96E1E"/>
    <w:rsid w:val="00C97026"/>
    <w:rsid w:val="00C97506"/>
    <w:rsid w:val="00C97718"/>
    <w:rsid w:val="00CA0ABF"/>
    <w:rsid w:val="00CA21D0"/>
    <w:rsid w:val="00CA2D8D"/>
    <w:rsid w:val="00CA4177"/>
    <w:rsid w:val="00CA5AD4"/>
    <w:rsid w:val="00CB1825"/>
    <w:rsid w:val="00CB2121"/>
    <w:rsid w:val="00CB294D"/>
    <w:rsid w:val="00CB2E91"/>
    <w:rsid w:val="00CB442E"/>
    <w:rsid w:val="00CB4F95"/>
    <w:rsid w:val="00CB60E1"/>
    <w:rsid w:val="00CB67A7"/>
    <w:rsid w:val="00CB696A"/>
    <w:rsid w:val="00CB75E8"/>
    <w:rsid w:val="00CB7CD2"/>
    <w:rsid w:val="00CC0984"/>
    <w:rsid w:val="00CC23DE"/>
    <w:rsid w:val="00CC487B"/>
    <w:rsid w:val="00CC4C1B"/>
    <w:rsid w:val="00CC57F1"/>
    <w:rsid w:val="00CC6085"/>
    <w:rsid w:val="00CC6A38"/>
    <w:rsid w:val="00CC6B99"/>
    <w:rsid w:val="00CC700C"/>
    <w:rsid w:val="00CD03B1"/>
    <w:rsid w:val="00CD1C12"/>
    <w:rsid w:val="00CD21D6"/>
    <w:rsid w:val="00CD2BD9"/>
    <w:rsid w:val="00CD3366"/>
    <w:rsid w:val="00CD3854"/>
    <w:rsid w:val="00CD4A6A"/>
    <w:rsid w:val="00CD5A97"/>
    <w:rsid w:val="00CE1504"/>
    <w:rsid w:val="00CE18D6"/>
    <w:rsid w:val="00CE1C23"/>
    <w:rsid w:val="00CE239B"/>
    <w:rsid w:val="00CE2692"/>
    <w:rsid w:val="00CE3BF3"/>
    <w:rsid w:val="00CE5A38"/>
    <w:rsid w:val="00CF139E"/>
    <w:rsid w:val="00CF304C"/>
    <w:rsid w:val="00CF4ED1"/>
    <w:rsid w:val="00CF52A9"/>
    <w:rsid w:val="00CF6659"/>
    <w:rsid w:val="00D0025C"/>
    <w:rsid w:val="00D008F6"/>
    <w:rsid w:val="00D00DA3"/>
    <w:rsid w:val="00D02A07"/>
    <w:rsid w:val="00D036ED"/>
    <w:rsid w:val="00D03E99"/>
    <w:rsid w:val="00D043BD"/>
    <w:rsid w:val="00D046DA"/>
    <w:rsid w:val="00D04874"/>
    <w:rsid w:val="00D05E1F"/>
    <w:rsid w:val="00D061A3"/>
    <w:rsid w:val="00D06E6C"/>
    <w:rsid w:val="00D1059E"/>
    <w:rsid w:val="00D10F82"/>
    <w:rsid w:val="00D111C7"/>
    <w:rsid w:val="00D12543"/>
    <w:rsid w:val="00D13D03"/>
    <w:rsid w:val="00D14352"/>
    <w:rsid w:val="00D149F3"/>
    <w:rsid w:val="00D1500E"/>
    <w:rsid w:val="00D1762A"/>
    <w:rsid w:val="00D17FC6"/>
    <w:rsid w:val="00D2033D"/>
    <w:rsid w:val="00D20D04"/>
    <w:rsid w:val="00D2268C"/>
    <w:rsid w:val="00D24C2A"/>
    <w:rsid w:val="00D26513"/>
    <w:rsid w:val="00D26663"/>
    <w:rsid w:val="00D31D8A"/>
    <w:rsid w:val="00D31D9D"/>
    <w:rsid w:val="00D33443"/>
    <w:rsid w:val="00D33FFF"/>
    <w:rsid w:val="00D37946"/>
    <w:rsid w:val="00D401E9"/>
    <w:rsid w:val="00D41051"/>
    <w:rsid w:val="00D4179D"/>
    <w:rsid w:val="00D4223A"/>
    <w:rsid w:val="00D428AF"/>
    <w:rsid w:val="00D42953"/>
    <w:rsid w:val="00D4318A"/>
    <w:rsid w:val="00D44790"/>
    <w:rsid w:val="00D467EF"/>
    <w:rsid w:val="00D509B1"/>
    <w:rsid w:val="00D51686"/>
    <w:rsid w:val="00D52284"/>
    <w:rsid w:val="00D52952"/>
    <w:rsid w:val="00D53238"/>
    <w:rsid w:val="00D54702"/>
    <w:rsid w:val="00D55073"/>
    <w:rsid w:val="00D55087"/>
    <w:rsid w:val="00D56A36"/>
    <w:rsid w:val="00D56E0C"/>
    <w:rsid w:val="00D57A44"/>
    <w:rsid w:val="00D63118"/>
    <w:rsid w:val="00D646B7"/>
    <w:rsid w:val="00D67630"/>
    <w:rsid w:val="00D67DE3"/>
    <w:rsid w:val="00D70237"/>
    <w:rsid w:val="00D712B1"/>
    <w:rsid w:val="00D71319"/>
    <w:rsid w:val="00D735A5"/>
    <w:rsid w:val="00D7408D"/>
    <w:rsid w:val="00D74D8C"/>
    <w:rsid w:val="00D76927"/>
    <w:rsid w:val="00D80533"/>
    <w:rsid w:val="00D806F7"/>
    <w:rsid w:val="00D8227C"/>
    <w:rsid w:val="00D82CF6"/>
    <w:rsid w:val="00D847A9"/>
    <w:rsid w:val="00D85596"/>
    <w:rsid w:val="00D85F1C"/>
    <w:rsid w:val="00D87199"/>
    <w:rsid w:val="00D873AD"/>
    <w:rsid w:val="00D923B3"/>
    <w:rsid w:val="00D93ADC"/>
    <w:rsid w:val="00D96683"/>
    <w:rsid w:val="00D97877"/>
    <w:rsid w:val="00D97B63"/>
    <w:rsid w:val="00D97CA9"/>
    <w:rsid w:val="00DA0082"/>
    <w:rsid w:val="00DA0142"/>
    <w:rsid w:val="00DA085F"/>
    <w:rsid w:val="00DA0EAF"/>
    <w:rsid w:val="00DA1690"/>
    <w:rsid w:val="00DA2464"/>
    <w:rsid w:val="00DA276E"/>
    <w:rsid w:val="00DA2E03"/>
    <w:rsid w:val="00DA30A5"/>
    <w:rsid w:val="00DA4E40"/>
    <w:rsid w:val="00DA618E"/>
    <w:rsid w:val="00DA7A14"/>
    <w:rsid w:val="00DB0010"/>
    <w:rsid w:val="00DB075D"/>
    <w:rsid w:val="00DB11B7"/>
    <w:rsid w:val="00DB2C13"/>
    <w:rsid w:val="00DB4555"/>
    <w:rsid w:val="00DB598A"/>
    <w:rsid w:val="00DB5B1A"/>
    <w:rsid w:val="00DB6D9B"/>
    <w:rsid w:val="00DB7140"/>
    <w:rsid w:val="00DC101F"/>
    <w:rsid w:val="00DC16DA"/>
    <w:rsid w:val="00DC2A5A"/>
    <w:rsid w:val="00DC2DCA"/>
    <w:rsid w:val="00DC41E9"/>
    <w:rsid w:val="00DC7657"/>
    <w:rsid w:val="00DD36E4"/>
    <w:rsid w:val="00DD4BA7"/>
    <w:rsid w:val="00DD4DFA"/>
    <w:rsid w:val="00DD5117"/>
    <w:rsid w:val="00DD624E"/>
    <w:rsid w:val="00DE25DA"/>
    <w:rsid w:val="00DE277E"/>
    <w:rsid w:val="00DE38E4"/>
    <w:rsid w:val="00DE3B69"/>
    <w:rsid w:val="00DE4FA4"/>
    <w:rsid w:val="00DE62FC"/>
    <w:rsid w:val="00DE6B7A"/>
    <w:rsid w:val="00DE7C9D"/>
    <w:rsid w:val="00DF00FC"/>
    <w:rsid w:val="00DF294A"/>
    <w:rsid w:val="00DF47F6"/>
    <w:rsid w:val="00DF5576"/>
    <w:rsid w:val="00DF7130"/>
    <w:rsid w:val="00E00958"/>
    <w:rsid w:val="00E00E62"/>
    <w:rsid w:val="00E01C43"/>
    <w:rsid w:val="00E02DC0"/>
    <w:rsid w:val="00E03A5D"/>
    <w:rsid w:val="00E04AE0"/>
    <w:rsid w:val="00E056FD"/>
    <w:rsid w:val="00E07251"/>
    <w:rsid w:val="00E07743"/>
    <w:rsid w:val="00E07831"/>
    <w:rsid w:val="00E104DD"/>
    <w:rsid w:val="00E10ECB"/>
    <w:rsid w:val="00E1198B"/>
    <w:rsid w:val="00E14F36"/>
    <w:rsid w:val="00E15BCA"/>
    <w:rsid w:val="00E17CDE"/>
    <w:rsid w:val="00E201C5"/>
    <w:rsid w:val="00E21E0B"/>
    <w:rsid w:val="00E2444C"/>
    <w:rsid w:val="00E279CA"/>
    <w:rsid w:val="00E30952"/>
    <w:rsid w:val="00E31231"/>
    <w:rsid w:val="00E31790"/>
    <w:rsid w:val="00E321F9"/>
    <w:rsid w:val="00E36076"/>
    <w:rsid w:val="00E37E15"/>
    <w:rsid w:val="00E40683"/>
    <w:rsid w:val="00E4093D"/>
    <w:rsid w:val="00E409B4"/>
    <w:rsid w:val="00E40A6B"/>
    <w:rsid w:val="00E42AB4"/>
    <w:rsid w:val="00E42B57"/>
    <w:rsid w:val="00E4350B"/>
    <w:rsid w:val="00E44719"/>
    <w:rsid w:val="00E44A60"/>
    <w:rsid w:val="00E44D4D"/>
    <w:rsid w:val="00E44F66"/>
    <w:rsid w:val="00E45371"/>
    <w:rsid w:val="00E500AD"/>
    <w:rsid w:val="00E50E94"/>
    <w:rsid w:val="00E52968"/>
    <w:rsid w:val="00E53ACF"/>
    <w:rsid w:val="00E53EC0"/>
    <w:rsid w:val="00E54C9E"/>
    <w:rsid w:val="00E55BFF"/>
    <w:rsid w:val="00E55C06"/>
    <w:rsid w:val="00E56922"/>
    <w:rsid w:val="00E57E0D"/>
    <w:rsid w:val="00E60382"/>
    <w:rsid w:val="00E642BA"/>
    <w:rsid w:val="00E6662F"/>
    <w:rsid w:val="00E66C8A"/>
    <w:rsid w:val="00E67097"/>
    <w:rsid w:val="00E67D1C"/>
    <w:rsid w:val="00E71250"/>
    <w:rsid w:val="00E72C30"/>
    <w:rsid w:val="00E743B6"/>
    <w:rsid w:val="00E74CD6"/>
    <w:rsid w:val="00E75976"/>
    <w:rsid w:val="00E763FE"/>
    <w:rsid w:val="00E77107"/>
    <w:rsid w:val="00E82B10"/>
    <w:rsid w:val="00E8320B"/>
    <w:rsid w:val="00E84D60"/>
    <w:rsid w:val="00E86250"/>
    <w:rsid w:val="00E86A38"/>
    <w:rsid w:val="00E86B60"/>
    <w:rsid w:val="00E8713D"/>
    <w:rsid w:val="00E91FB6"/>
    <w:rsid w:val="00E937F7"/>
    <w:rsid w:val="00E95350"/>
    <w:rsid w:val="00EA186F"/>
    <w:rsid w:val="00EA1DDF"/>
    <w:rsid w:val="00EA3460"/>
    <w:rsid w:val="00EA4CBA"/>
    <w:rsid w:val="00EA662A"/>
    <w:rsid w:val="00EA740D"/>
    <w:rsid w:val="00EA7A78"/>
    <w:rsid w:val="00EA7A8C"/>
    <w:rsid w:val="00EB0B58"/>
    <w:rsid w:val="00EB102B"/>
    <w:rsid w:val="00EB1943"/>
    <w:rsid w:val="00EB19CE"/>
    <w:rsid w:val="00EB3090"/>
    <w:rsid w:val="00EB3295"/>
    <w:rsid w:val="00EB3DFE"/>
    <w:rsid w:val="00EC2203"/>
    <w:rsid w:val="00EC2CBF"/>
    <w:rsid w:val="00EC31C9"/>
    <w:rsid w:val="00EC6B48"/>
    <w:rsid w:val="00EC6C74"/>
    <w:rsid w:val="00EC704E"/>
    <w:rsid w:val="00ED0002"/>
    <w:rsid w:val="00ED003D"/>
    <w:rsid w:val="00ED0415"/>
    <w:rsid w:val="00ED0F30"/>
    <w:rsid w:val="00ED2153"/>
    <w:rsid w:val="00ED21D5"/>
    <w:rsid w:val="00ED34B4"/>
    <w:rsid w:val="00ED3521"/>
    <w:rsid w:val="00ED39D1"/>
    <w:rsid w:val="00ED3B3E"/>
    <w:rsid w:val="00ED7D6A"/>
    <w:rsid w:val="00EE063F"/>
    <w:rsid w:val="00EE4D6B"/>
    <w:rsid w:val="00EE4EC9"/>
    <w:rsid w:val="00EF0CCE"/>
    <w:rsid w:val="00EF0D3D"/>
    <w:rsid w:val="00EF1709"/>
    <w:rsid w:val="00EF2682"/>
    <w:rsid w:val="00EF29AE"/>
    <w:rsid w:val="00EF3847"/>
    <w:rsid w:val="00EF3AEF"/>
    <w:rsid w:val="00EF4047"/>
    <w:rsid w:val="00EF4265"/>
    <w:rsid w:val="00EF560D"/>
    <w:rsid w:val="00EF7B0B"/>
    <w:rsid w:val="00EF7B98"/>
    <w:rsid w:val="00F009E0"/>
    <w:rsid w:val="00F015AB"/>
    <w:rsid w:val="00F019DD"/>
    <w:rsid w:val="00F03E47"/>
    <w:rsid w:val="00F03EE9"/>
    <w:rsid w:val="00F05282"/>
    <w:rsid w:val="00F05669"/>
    <w:rsid w:val="00F066FC"/>
    <w:rsid w:val="00F06E0B"/>
    <w:rsid w:val="00F074E1"/>
    <w:rsid w:val="00F12E8B"/>
    <w:rsid w:val="00F162E3"/>
    <w:rsid w:val="00F17F04"/>
    <w:rsid w:val="00F20482"/>
    <w:rsid w:val="00F20D26"/>
    <w:rsid w:val="00F20F1A"/>
    <w:rsid w:val="00F20FF1"/>
    <w:rsid w:val="00F2114E"/>
    <w:rsid w:val="00F24151"/>
    <w:rsid w:val="00F24FC7"/>
    <w:rsid w:val="00F25487"/>
    <w:rsid w:val="00F26C9C"/>
    <w:rsid w:val="00F3095A"/>
    <w:rsid w:val="00F3133A"/>
    <w:rsid w:val="00F31EC9"/>
    <w:rsid w:val="00F31FC5"/>
    <w:rsid w:val="00F32E47"/>
    <w:rsid w:val="00F352D0"/>
    <w:rsid w:val="00F35676"/>
    <w:rsid w:val="00F37622"/>
    <w:rsid w:val="00F37E9A"/>
    <w:rsid w:val="00F40728"/>
    <w:rsid w:val="00F408E2"/>
    <w:rsid w:val="00F40C3E"/>
    <w:rsid w:val="00F40E88"/>
    <w:rsid w:val="00F41F66"/>
    <w:rsid w:val="00F4346D"/>
    <w:rsid w:val="00F4421C"/>
    <w:rsid w:val="00F443C3"/>
    <w:rsid w:val="00F448B6"/>
    <w:rsid w:val="00F44D0E"/>
    <w:rsid w:val="00F45071"/>
    <w:rsid w:val="00F45833"/>
    <w:rsid w:val="00F45CE2"/>
    <w:rsid w:val="00F4682B"/>
    <w:rsid w:val="00F50C8C"/>
    <w:rsid w:val="00F55189"/>
    <w:rsid w:val="00F60203"/>
    <w:rsid w:val="00F612A6"/>
    <w:rsid w:val="00F61AC7"/>
    <w:rsid w:val="00F61E84"/>
    <w:rsid w:val="00F6375E"/>
    <w:rsid w:val="00F648A8"/>
    <w:rsid w:val="00F64F3D"/>
    <w:rsid w:val="00F66A9E"/>
    <w:rsid w:val="00F67778"/>
    <w:rsid w:val="00F67885"/>
    <w:rsid w:val="00F70783"/>
    <w:rsid w:val="00F71DE6"/>
    <w:rsid w:val="00F733A3"/>
    <w:rsid w:val="00F73AC6"/>
    <w:rsid w:val="00F74F11"/>
    <w:rsid w:val="00F750BA"/>
    <w:rsid w:val="00F75799"/>
    <w:rsid w:val="00F761B1"/>
    <w:rsid w:val="00F76D99"/>
    <w:rsid w:val="00F8184F"/>
    <w:rsid w:val="00F81D23"/>
    <w:rsid w:val="00F8243A"/>
    <w:rsid w:val="00F84111"/>
    <w:rsid w:val="00F86238"/>
    <w:rsid w:val="00F8673A"/>
    <w:rsid w:val="00F87153"/>
    <w:rsid w:val="00F91142"/>
    <w:rsid w:val="00F9366E"/>
    <w:rsid w:val="00F93FFB"/>
    <w:rsid w:val="00F94489"/>
    <w:rsid w:val="00F945A4"/>
    <w:rsid w:val="00F94812"/>
    <w:rsid w:val="00F957BA"/>
    <w:rsid w:val="00F96F1E"/>
    <w:rsid w:val="00FA015E"/>
    <w:rsid w:val="00FA071F"/>
    <w:rsid w:val="00FA0954"/>
    <w:rsid w:val="00FA165E"/>
    <w:rsid w:val="00FA25D6"/>
    <w:rsid w:val="00FA2890"/>
    <w:rsid w:val="00FA2AE4"/>
    <w:rsid w:val="00FA3CB4"/>
    <w:rsid w:val="00FA4148"/>
    <w:rsid w:val="00FA6B41"/>
    <w:rsid w:val="00FA7A45"/>
    <w:rsid w:val="00FB0500"/>
    <w:rsid w:val="00FB0526"/>
    <w:rsid w:val="00FB0943"/>
    <w:rsid w:val="00FB1A0B"/>
    <w:rsid w:val="00FB4E37"/>
    <w:rsid w:val="00FB767E"/>
    <w:rsid w:val="00FC24DD"/>
    <w:rsid w:val="00FC27C2"/>
    <w:rsid w:val="00FC3DA3"/>
    <w:rsid w:val="00FC3FD5"/>
    <w:rsid w:val="00FC4C33"/>
    <w:rsid w:val="00FC4D7F"/>
    <w:rsid w:val="00FC6E53"/>
    <w:rsid w:val="00FD129C"/>
    <w:rsid w:val="00FD265D"/>
    <w:rsid w:val="00FD2704"/>
    <w:rsid w:val="00FD27E5"/>
    <w:rsid w:val="00FD42E3"/>
    <w:rsid w:val="00FD4CA5"/>
    <w:rsid w:val="00FD4CF7"/>
    <w:rsid w:val="00FD526E"/>
    <w:rsid w:val="00FD6E43"/>
    <w:rsid w:val="00FD75AF"/>
    <w:rsid w:val="00FD78F4"/>
    <w:rsid w:val="00FD7A4D"/>
    <w:rsid w:val="00FD7C9D"/>
    <w:rsid w:val="00FD7E1B"/>
    <w:rsid w:val="00FE030A"/>
    <w:rsid w:val="00FE0416"/>
    <w:rsid w:val="00FE142D"/>
    <w:rsid w:val="00FE53B9"/>
    <w:rsid w:val="00FE6067"/>
    <w:rsid w:val="00FE6F9F"/>
    <w:rsid w:val="00FE7ADA"/>
    <w:rsid w:val="00FE7E73"/>
    <w:rsid w:val="00FE7EE6"/>
    <w:rsid w:val="00FF044B"/>
    <w:rsid w:val="00FF27FF"/>
    <w:rsid w:val="00FF2BA8"/>
    <w:rsid w:val="00FF47DF"/>
    <w:rsid w:val="00FF5839"/>
    <w:rsid w:val="00FF58AD"/>
    <w:rsid w:val="00FF7184"/>
    <w:rsid w:val="00FF7D19"/>
    <w:rsid w:val="01187CD6"/>
    <w:rsid w:val="0138084E"/>
    <w:rsid w:val="013A5F7E"/>
    <w:rsid w:val="015304B1"/>
    <w:rsid w:val="015F7350"/>
    <w:rsid w:val="01A404FD"/>
    <w:rsid w:val="01A6345B"/>
    <w:rsid w:val="01BD39E6"/>
    <w:rsid w:val="02312E3D"/>
    <w:rsid w:val="023E13FC"/>
    <w:rsid w:val="025B7CF9"/>
    <w:rsid w:val="026E3136"/>
    <w:rsid w:val="02A53211"/>
    <w:rsid w:val="02B34619"/>
    <w:rsid w:val="02F52FAE"/>
    <w:rsid w:val="0302337A"/>
    <w:rsid w:val="030F55C2"/>
    <w:rsid w:val="0320147F"/>
    <w:rsid w:val="0329652C"/>
    <w:rsid w:val="038C4964"/>
    <w:rsid w:val="03AA4CCA"/>
    <w:rsid w:val="03B137FC"/>
    <w:rsid w:val="042202B7"/>
    <w:rsid w:val="04234809"/>
    <w:rsid w:val="0426050D"/>
    <w:rsid w:val="042C26E3"/>
    <w:rsid w:val="042C6FD8"/>
    <w:rsid w:val="04304944"/>
    <w:rsid w:val="045850D9"/>
    <w:rsid w:val="046F1974"/>
    <w:rsid w:val="04900A9B"/>
    <w:rsid w:val="0492459C"/>
    <w:rsid w:val="04CF04F4"/>
    <w:rsid w:val="04D14AB5"/>
    <w:rsid w:val="04D83E24"/>
    <w:rsid w:val="04E22470"/>
    <w:rsid w:val="04F27705"/>
    <w:rsid w:val="053676E7"/>
    <w:rsid w:val="05372949"/>
    <w:rsid w:val="05FA3054"/>
    <w:rsid w:val="06236126"/>
    <w:rsid w:val="06444D99"/>
    <w:rsid w:val="066954D0"/>
    <w:rsid w:val="06A332DF"/>
    <w:rsid w:val="06B2210E"/>
    <w:rsid w:val="06B36CBA"/>
    <w:rsid w:val="07191BD0"/>
    <w:rsid w:val="071B5C2F"/>
    <w:rsid w:val="07564DE1"/>
    <w:rsid w:val="07593405"/>
    <w:rsid w:val="078A2BB5"/>
    <w:rsid w:val="07BD15B7"/>
    <w:rsid w:val="07C34B13"/>
    <w:rsid w:val="080B2C2E"/>
    <w:rsid w:val="082A3AE0"/>
    <w:rsid w:val="085074E0"/>
    <w:rsid w:val="086B2556"/>
    <w:rsid w:val="08793FAA"/>
    <w:rsid w:val="08AD67A0"/>
    <w:rsid w:val="08D51542"/>
    <w:rsid w:val="09470DC0"/>
    <w:rsid w:val="094777A9"/>
    <w:rsid w:val="09513E1E"/>
    <w:rsid w:val="098E7BBC"/>
    <w:rsid w:val="099A04A5"/>
    <w:rsid w:val="099C3EA4"/>
    <w:rsid w:val="09AC726A"/>
    <w:rsid w:val="09CE0CEA"/>
    <w:rsid w:val="09F14AFE"/>
    <w:rsid w:val="0A363E93"/>
    <w:rsid w:val="0A3A44BB"/>
    <w:rsid w:val="0A6A7A3C"/>
    <w:rsid w:val="0A752B5B"/>
    <w:rsid w:val="0AC4217E"/>
    <w:rsid w:val="0ACB3D31"/>
    <w:rsid w:val="0ACD5CBF"/>
    <w:rsid w:val="0AFD3281"/>
    <w:rsid w:val="0B4126A5"/>
    <w:rsid w:val="0C336170"/>
    <w:rsid w:val="0C6B73BC"/>
    <w:rsid w:val="0C722E3E"/>
    <w:rsid w:val="0CEB149F"/>
    <w:rsid w:val="0CFE5757"/>
    <w:rsid w:val="0D3609CF"/>
    <w:rsid w:val="0D4D6982"/>
    <w:rsid w:val="0D6C1CC3"/>
    <w:rsid w:val="0D777370"/>
    <w:rsid w:val="0D97181F"/>
    <w:rsid w:val="0DC17CCB"/>
    <w:rsid w:val="0DD14D22"/>
    <w:rsid w:val="0DDC0336"/>
    <w:rsid w:val="0DE237E1"/>
    <w:rsid w:val="0DF062CB"/>
    <w:rsid w:val="0E1A298F"/>
    <w:rsid w:val="0E210543"/>
    <w:rsid w:val="0E52743A"/>
    <w:rsid w:val="0E5B6BA3"/>
    <w:rsid w:val="0E5E1E8F"/>
    <w:rsid w:val="0E5F546F"/>
    <w:rsid w:val="0E6077EB"/>
    <w:rsid w:val="0E8940D2"/>
    <w:rsid w:val="0EAF3962"/>
    <w:rsid w:val="0EC30EB6"/>
    <w:rsid w:val="0F3AB67A"/>
    <w:rsid w:val="0F571D28"/>
    <w:rsid w:val="0FC35587"/>
    <w:rsid w:val="0FC43611"/>
    <w:rsid w:val="0FCA4B1C"/>
    <w:rsid w:val="0FCB651E"/>
    <w:rsid w:val="0FCD188B"/>
    <w:rsid w:val="0FF66C4A"/>
    <w:rsid w:val="10016AD8"/>
    <w:rsid w:val="1009219F"/>
    <w:rsid w:val="101470E2"/>
    <w:rsid w:val="10221F24"/>
    <w:rsid w:val="10990B1D"/>
    <w:rsid w:val="10A95D74"/>
    <w:rsid w:val="11293DAA"/>
    <w:rsid w:val="11CD0FB0"/>
    <w:rsid w:val="11D27590"/>
    <w:rsid w:val="11F36ABF"/>
    <w:rsid w:val="11F62F13"/>
    <w:rsid w:val="125037CF"/>
    <w:rsid w:val="12696B3C"/>
    <w:rsid w:val="129409F3"/>
    <w:rsid w:val="12AC1965"/>
    <w:rsid w:val="12BB05DC"/>
    <w:rsid w:val="12BC0AA8"/>
    <w:rsid w:val="12CD537A"/>
    <w:rsid w:val="12CF4175"/>
    <w:rsid w:val="12D518D8"/>
    <w:rsid w:val="12DF6BB6"/>
    <w:rsid w:val="1314148A"/>
    <w:rsid w:val="131566A0"/>
    <w:rsid w:val="132A5152"/>
    <w:rsid w:val="1361415A"/>
    <w:rsid w:val="13B92EE9"/>
    <w:rsid w:val="13EE4D88"/>
    <w:rsid w:val="1405357D"/>
    <w:rsid w:val="140703A8"/>
    <w:rsid w:val="14104CAE"/>
    <w:rsid w:val="14184C8E"/>
    <w:rsid w:val="14594EF2"/>
    <w:rsid w:val="147219F3"/>
    <w:rsid w:val="14850012"/>
    <w:rsid w:val="149C423C"/>
    <w:rsid w:val="14C060FC"/>
    <w:rsid w:val="14CB13EB"/>
    <w:rsid w:val="150226AF"/>
    <w:rsid w:val="15031E29"/>
    <w:rsid w:val="15194F6B"/>
    <w:rsid w:val="153566B6"/>
    <w:rsid w:val="153A7AD4"/>
    <w:rsid w:val="15422D42"/>
    <w:rsid w:val="158C2321"/>
    <w:rsid w:val="158F1F09"/>
    <w:rsid w:val="15C2066F"/>
    <w:rsid w:val="162F604C"/>
    <w:rsid w:val="16412A76"/>
    <w:rsid w:val="169C29DE"/>
    <w:rsid w:val="16AA5630"/>
    <w:rsid w:val="16B223B9"/>
    <w:rsid w:val="16EC797B"/>
    <w:rsid w:val="16F87A38"/>
    <w:rsid w:val="174E7B04"/>
    <w:rsid w:val="17637F55"/>
    <w:rsid w:val="177732DE"/>
    <w:rsid w:val="179C6FF0"/>
    <w:rsid w:val="17B950DE"/>
    <w:rsid w:val="17C821A4"/>
    <w:rsid w:val="17D96C17"/>
    <w:rsid w:val="180B1AE2"/>
    <w:rsid w:val="18341D7D"/>
    <w:rsid w:val="18347236"/>
    <w:rsid w:val="18482C82"/>
    <w:rsid w:val="185C72AF"/>
    <w:rsid w:val="1876118C"/>
    <w:rsid w:val="188C209B"/>
    <w:rsid w:val="188D4493"/>
    <w:rsid w:val="18902015"/>
    <w:rsid w:val="189D4C91"/>
    <w:rsid w:val="18D016F9"/>
    <w:rsid w:val="18DB6A97"/>
    <w:rsid w:val="18FB05FF"/>
    <w:rsid w:val="190B7FE8"/>
    <w:rsid w:val="193A70B3"/>
    <w:rsid w:val="198113FC"/>
    <w:rsid w:val="1989349A"/>
    <w:rsid w:val="19A47AC9"/>
    <w:rsid w:val="19A753BF"/>
    <w:rsid w:val="19AE0F79"/>
    <w:rsid w:val="19E17177"/>
    <w:rsid w:val="19E80FFD"/>
    <w:rsid w:val="1A0C57D9"/>
    <w:rsid w:val="1A2A19E5"/>
    <w:rsid w:val="1A3E69DE"/>
    <w:rsid w:val="1A574EC3"/>
    <w:rsid w:val="1A8026D4"/>
    <w:rsid w:val="1A9F0063"/>
    <w:rsid w:val="1AED3459"/>
    <w:rsid w:val="1AEF7AEF"/>
    <w:rsid w:val="1B081835"/>
    <w:rsid w:val="1B5D3439"/>
    <w:rsid w:val="1B6E6387"/>
    <w:rsid w:val="1B913709"/>
    <w:rsid w:val="1BAC4336"/>
    <w:rsid w:val="1BC72DA9"/>
    <w:rsid w:val="1BCF2C08"/>
    <w:rsid w:val="1BD9277E"/>
    <w:rsid w:val="1C7D6B08"/>
    <w:rsid w:val="1C9335F4"/>
    <w:rsid w:val="1CAC5B10"/>
    <w:rsid w:val="1CAF49C9"/>
    <w:rsid w:val="1D1A188C"/>
    <w:rsid w:val="1D2C63D5"/>
    <w:rsid w:val="1DD63514"/>
    <w:rsid w:val="1DE1118B"/>
    <w:rsid w:val="1DF03F10"/>
    <w:rsid w:val="1DF36B68"/>
    <w:rsid w:val="1E05710D"/>
    <w:rsid w:val="1E1B13E5"/>
    <w:rsid w:val="1E3B2799"/>
    <w:rsid w:val="1E611C7A"/>
    <w:rsid w:val="1E7B7F77"/>
    <w:rsid w:val="1E9767EF"/>
    <w:rsid w:val="1EA74B03"/>
    <w:rsid w:val="1EAA6339"/>
    <w:rsid w:val="1F0C3DF5"/>
    <w:rsid w:val="1F130666"/>
    <w:rsid w:val="1F2668AD"/>
    <w:rsid w:val="1F2B4591"/>
    <w:rsid w:val="1FA72ADF"/>
    <w:rsid w:val="1FAB011E"/>
    <w:rsid w:val="1FD2399E"/>
    <w:rsid w:val="1FDA637B"/>
    <w:rsid w:val="1FEF2CAD"/>
    <w:rsid w:val="1FF9353B"/>
    <w:rsid w:val="20105C93"/>
    <w:rsid w:val="201D2A3D"/>
    <w:rsid w:val="203764C3"/>
    <w:rsid w:val="209F6421"/>
    <w:rsid w:val="20B03FA7"/>
    <w:rsid w:val="20C7643B"/>
    <w:rsid w:val="20E908E8"/>
    <w:rsid w:val="21155E74"/>
    <w:rsid w:val="211A7370"/>
    <w:rsid w:val="211F3FE2"/>
    <w:rsid w:val="214F7E5E"/>
    <w:rsid w:val="21543566"/>
    <w:rsid w:val="21B71F0F"/>
    <w:rsid w:val="21DA33E6"/>
    <w:rsid w:val="21E1765C"/>
    <w:rsid w:val="220313B8"/>
    <w:rsid w:val="22447E7D"/>
    <w:rsid w:val="225630F4"/>
    <w:rsid w:val="22916CF2"/>
    <w:rsid w:val="22B07DE6"/>
    <w:rsid w:val="22B45F8C"/>
    <w:rsid w:val="22C6080A"/>
    <w:rsid w:val="22D471EA"/>
    <w:rsid w:val="22F72760"/>
    <w:rsid w:val="23355371"/>
    <w:rsid w:val="233C51F2"/>
    <w:rsid w:val="234C0D47"/>
    <w:rsid w:val="23997EC7"/>
    <w:rsid w:val="239B0A7B"/>
    <w:rsid w:val="23A714C1"/>
    <w:rsid w:val="23B014D2"/>
    <w:rsid w:val="240F4D15"/>
    <w:rsid w:val="243372BF"/>
    <w:rsid w:val="243D4237"/>
    <w:rsid w:val="24536301"/>
    <w:rsid w:val="24583FB8"/>
    <w:rsid w:val="246863D7"/>
    <w:rsid w:val="248A753D"/>
    <w:rsid w:val="25024F71"/>
    <w:rsid w:val="25352ADB"/>
    <w:rsid w:val="25541FE2"/>
    <w:rsid w:val="257B7BAF"/>
    <w:rsid w:val="259617BF"/>
    <w:rsid w:val="25981EC6"/>
    <w:rsid w:val="25A82177"/>
    <w:rsid w:val="25DB1D93"/>
    <w:rsid w:val="25DC31C1"/>
    <w:rsid w:val="25DC67F1"/>
    <w:rsid w:val="26002335"/>
    <w:rsid w:val="262F0898"/>
    <w:rsid w:val="26BA7291"/>
    <w:rsid w:val="271D3435"/>
    <w:rsid w:val="2759460C"/>
    <w:rsid w:val="27655838"/>
    <w:rsid w:val="277F5FE7"/>
    <w:rsid w:val="27805CBA"/>
    <w:rsid w:val="278B7F14"/>
    <w:rsid w:val="27B90533"/>
    <w:rsid w:val="27CC2693"/>
    <w:rsid w:val="27E70C84"/>
    <w:rsid w:val="27EA353F"/>
    <w:rsid w:val="27EF51D8"/>
    <w:rsid w:val="27F91082"/>
    <w:rsid w:val="27FF62BB"/>
    <w:rsid w:val="28053800"/>
    <w:rsid w:val="2809648E"/>
    <w:rsid w:val="28294633"/>
    <w:rsid w:val="28534EB3"/>
    <w:rsid w:val="286E2437"/>
    <w:rsid w:val="287F6E74"/>
    <w:rsid w:val="28B60E2A"/>
    <w:rsid w:val="28FA05BA"/>
    <w:rsid w:val="29075E3F"/>
    <w:rsid w:val="29111720"/>
    <w:rsid w:val="29601354"/>
    <w:rsid w:val="297216F0"/>
    <w:rsid w:val="29976C83"/>
    <w:rsid w:val="29AB7A24"/>
    <w:rsid w:val="29C446C9"/>
    <w:rsid w:val="29D84296"/>
    <w:rsid w:val="29F20856"/>
    <w:rsid w:val="2A2048B1"/>
    <w:rsid w:val="2A3A42F4"/>
    <w:rsid w:val="2A3F11D3"/>
    <w:rsid w:val="2A473A65"/>
    <w:rsid w:val="2A975E4A"/>
    <w:rsid w:val="2AA46D72"/>
    <w:rsid w:val="2AB40CEF"/>
    <w:rsid w:val="2ADB1B2B"/>
    <w:rsid w:val="2B324C7B"/>
    <w:rsid w:val="2B8210E8"/>
    <w:rsid w:val="2B8F00DB"/>
    <w:rsid w:val="2C117CE2"/>
    <w:rsid w:val="2C5C73F8"/>
    <w:rsid w:val="2C6B75DE"/>
    <w:rsid w:val="2C830028"/>
    <w:rsid w:val="2C8A7793"/>
    <w:rsid w:val="2D012C5E"/>
    <w:rsid w:val="2D134F19"/>
    <w:rsid w:val="2D2A2744"/>
    <w:rsid w:val="2D6326FE"/>
    <w:rsid w:val="2D632AE4"/>
    <w:rsid w:val="2D7649BE"/>
    <w:rsid w:val="2DD12B89"/>
    <w:rsid w:val="2DD33D8E"/>
    <w:rsid w:val="2DD9329B"/>
    <w:rsid w:val="2E2A5195"/>
    <w:rsid w:val="2E63313D"/>
    <w:rsid w:val="2E814163"/>
    <w:rsid w:val="2EB60573"/>
    <w:rsid w:val="2EE7487D"/>
    <w:rsid w:val="2FA6247C"/>
    <w:rsid w:val="2FC757E0"/>
    <w:rsid w:val="2FE42881"/>
    <w:rsid w:val="304233F2"/>
    <w:rsid w:val="312346E8"/>
    <w:rsid w:val="312C43E4"/>
    <w:rsid w:val="313F0799"/>
    <w:rsid w:val="315816C8"/>
    <w:rsid w:val="31C804AB"/>
    <w:rsid w:val="31DA7A7B"/>
    <w:rsid w:val="3214231E"/>
    <w:rsid w:val="322E65BA"/>
    <w:rsid w:val="324477FC"/>
    <w:rsid w:val="3252702F"/>
    <w:rsid w:val="32895A9D"/>
    <w:rsid w:val="330A3598"/>
    <w:rsid w:val="33336112"/>
    <w:rsid w:val="33377B9F"/>
    <w:rsid w:val="33394239"/>
    <w:rsid w:val="33455D3D"/>
    <w:rsid w:val="336D622F"/>
    <w:rsid w:val="33740D0E"/>
    <w:rsid w:val="33754726"/>
    <w:rsid w:val="338F3BC1"/>
    <w:rsid w:val="33960A6D"/>
    <w:rsid w:val="3396546F"/>
    <w:rsid w:val="33BF4B60"/>
    <w:rsid w:val="33C65B56"/>
    <w:rsid w:val="33C71517"/>
    <w:rsid w:val="33D47A90"/>
    <w:rsid w:val="34096EC3"/>
    <w:rsid w:val="341A162E"/>
    <w:rsid w:val="342429EB"/>
    <w:rsid w:val="3437277B"/>
    <w:rsid w:val="349A3D0E"/>
    <w:rsid w:val="349C3451"/>
    <w:rsid w:val="34C65C66"/>
    <w:rsid w:val="3523498E"/>
    <w:rsid w:val="352729BC"/>
    <w:rsid w:val="3528511B"/>
    <w:rsid w:val="352975A5"/>
    <w:rsid w:val="35544C11"/>
    <w:rsid w:val="35823FF8"/>
    <w:rsid w:val="35830CE5"/>
    <w:rsid w:val="35AB1796"/>
    <w:rsid w:val="35F17DCE"/>
    <w:rsid w:val="36024180"/>
    <w:rsid w:val="36286404"/>
    <w:rsid w:val="363F3E6C"/>
    <w:rsid w:val="36512D9E"/>
    <w:rsid w:val="366C49AD"/>
    <w:rsid w:val="368F7636"/>
    <w:rsid w:val="36A035A4"/>
    <w:rsid w:val="36AB12B9"/>
    <w:rsid w:val="36C234C5"/>
    <w:rsid w:val="36DE046D"/>
    <w:rsid w:val="36DE749C"/>
    <w:rsid w:val="36EE6AF3"/>
    <w:rsid w:val="37190625"/>
    <w:rsid w:val="37387D78"/>
    <w:rsid w:val="374F76AD"/>
    <w:rsid w:val="375060BD"/>
    <w:rsid w:val="377B15B7"/>
    <w:rsid w:val="378146EB"/>
    <w:rsid w:val="379719F4"/>
    <w:rsid w:val="37DE7BB1"/>
    <w:rsid w:val="37EC1A7F"/>
    <w:rsid w:val="37F27072"/>
    <w:rsid w:val="38080E69"/>
    <w:rsid w:val="38344185"/>
    <w:rsid w:val="38550D96"/>
    <w:rsid w:val="38C357B0"/>
    <w:rsid w:val="38C75284"/>
    <w:rsid w:val="38F2226C"/>
    <w:rsid w:val="394758B6"/>
    <w:rsid w:val="394C625B"/>
    <w:rsid w:val="39747914"/>
    <w:rsid w:val="3993375D"/>
    <w:rsid w:val="39DC08DE"/>
    <w:rsid w:val="3A051091"/>
    <w:rsid w:val="3A326384"/>
    <w:rsid w:val="3ABB04FF"/>
    <w:rsid w:val="3ADE554D"/>
    <w:rsid w:val="3AEE398F"/>
    <w:rsid w:val="3AEF6746"/>
    <w:rsid w:val="3B2A5E93"/>
    <w:rsid w:val="3B414C1E"/>
    <w:rsid w:val="3B4B6A07"/>
    <w:rsid w:val="3B4C0875"/>
    <w:rsid w:val="3B57547A"/>
    <w:rsid w:val="3B7D772E"/>
    <w:rsid w:val="3B843B9A"/>
    <w:rsid w:val="3BC45A34"/>
    <w:rsid w:val="3BC5445C"/>
    <w:rsid w:val="3BEC4BAE"/>
    <w:rsid w:val="3BFC5F49"/>
    <w:rsid w:val="3C213CE6"/>
    <w:rsid w:val="3C225CE1"/>
    <w:rsid w:val="3C3109E8"/>
    <w:rsid w:val="3C3479BC"/>
    <w:rsid w:val="3C6C5E19"/>
    <w:rsid w:val="3CC9506D"/>
    <w:rsid w:val="3CEB784D"/>
    <w:rsid w:val="3D0F273A"/>
    <w:rsid w:val="3D195E75"/>
    <w:rsid w:val="3D37158C"/>
    <w:rsid w:val="3D6C46E9"/>
    <w:rsid w:val="3D704B68"/>
    <w:rsid w:val="3D8153D8"/>
    <w:rsid w:val="3D883429"/>
    <w:rsid w:val="3DD35CBE"/>
    <w:rsid w:val="3DD53017"/>
    <w:rsid w:val="3DD74F1E"/>
    <w:rsid w:val="3DEC5DC8"/>
    <w:rsid w:val="3DF60BDC"/>
    <w:rsid w:val="3DFFE87E"/>
    <w:rsid w:val="3E0045C8"/>
    <w:rsid w:val="3E1875E5"/>
    <w:rsid w:val="3E1F5901"/>
    <w:rsid w:val="3E2D0FF9"/>
    <w:rsid w:val="3E4E3307"/>
    <w:rsid w:val="3E9F293E"/>
    <w:rsid w:val="3EEE3043"/>
    <w:rsid w:val="3EFD4982"/>
    <w:rsid w:val="3F4970B9"/>
    <w:rsid w:val="3F71035C"/>
    <w:rsid w:val="3F94626F"/>
    <w:rsid w:val="3FAE75D6"/>
    <w:rsid w:val="3FDA721F"/>
    <w:rsid w:val="3FEE24AB"/>
    <w:rsid w:val="401B1766"/>
    <w:rsid w:val="405F326C"/>
    <w:rsid w:val="407B396C"/>
    <w:rsid w:val="407C759A"/>
    <w:rsid w:val="40AD0A7D"/>
    <w:rsid w:val="4172528C"/>
    <w:rsid w:val="41B5256D"/>
    <w:rsid w:val="41D614E3"/>
    <w:rsid w:val="41FD5F12"/>
    <w:rsid w:val="4224686C"/>
    <w:rsid w:val="423801E1"/>
    <w:rsid w:val="42BB19EC"/>
    <w:rsid w:val="42FA1E0B"/>
    <w:rsid w:val="43821ABD"/>
    <w:rsid w:val="43E15DDD"/>
    <w:rsid w:val="4421451D"/>
    <w:rsid w:val="44674DCF"/>
    <w:rsid w:val="44C70089"/>
    <w:rsid w:val="44EA7EBF"/>
    <w:rsid w:val="454331BA"/>
    <w:rsid w:val="455D3353"/>
    <w:rsid w:val="455F4D92"/>
    <w:rsid w:val="45657CFD"/>
    <w:rsid w:val="45722F17"/>
    <w:rsid w:val="458149A3"/>
    <w:rsid w:val="45845889"/>
    <w:rsid w:val="45BE1FDF"/>
    <w:rsid w:val="460A1193"/>
    <w:rsid w:val="461C2859"/>
    <w:rsid w:val="46572291"/>
    <w:rsid w:val="46580D70"/>
    <w:rsid w:val="466D00DE"/>
    <w:rsid w:val="469C318B"/>
    <w:rsid w:val="46BE360B"/>
    <w:rsid w:val="46EC6DFC"/>
    <w:rsid w:val="47297CD5"/>
    <w:rsid w:val="47BF1606"/>
    <w:rsid w:val="47D777E4"/>
    <w:rsid w:val="47E640C4"/>
    <w:rsid w:val="47FD461F"/>
    <w:rsid w:val="480E6E52"/>
    <w:rsid w:val="484F2DD1"/>
    <w:rsid w:val="488142C4"/>
    <w:rsid w:val="48835CC8"/>
    <w:rsid w:val="48913258"/>
    <w:rsid w:val="48D130EC"/>
    <w:rsid w:val="48F63F73"/>
    <w:rsid w:val="492630C2"/>
    <w:rsid w:val="494A5342"/>
    <w:rsid w:val="49505CF2"/>
    <w:rsid w:val="49521548"/>
    <w:rsid w:val="496D00DF"/>
    <w:rsid w:val="497C3301"/>
    <w:rsid w:val="497C59F1"/>
    <w:rsid w:val="49B92BE0"/>
    <w:rsid w:val="49BC14BF"/>
    <w:rsid w:val="49EE5424"/>
    <w:rsid w:val="49F40359"/>
    <w:rsid w:val="4AD90463"/>
    <w:rsid w:val="4AF801B1"/>
    <w:rsid w:val="4B202FD8"/>
    <w:rsid w:val="4B2A1C78"/>
    <w:rsid w:val="4B3420AD"/>
    <w:rsid w:val="4B497E4B"/>
    <w:rsid w:val="4B6903EE"/>
    <w:rsid w:val="4B75779F"/>
    <w:rsid w:val="4B856107"/>
    <w:rsid w:val="4B9931D5"/>
    <w:rsid w:val="4BB37D0B"/>
    <w:rsid w:val="4BEB17C5"/>
    <w:rsid w:val="4C1E3E78"/>
    <w:rsid w:val="4C525248"/>
    <w:rsid w:val="4C6E77DC"/>
    <w:rsid w:val="4CA43A2F"/>
    <w:rsid w:val="4CA93A70"/>
    <w:rsid w:val="4CCB217F"/>
    <w:rsid w:val="4CF17C30"/>
    <w:rsid w:val="4D004269"/>
    <w:rsid w:val="4D10320B"/>
    <w:rsid w:val="4D217B53"/>
    <w:rsid w:val="4D2D53DD"/>
    <w:rsid w:val="4D477680"/>
    <w:rsid w:val="4D5717BF"/>
    <w:rsid w:val="4D802E53"/>
    <w:rsid w:val="4D826077"/>
    <w:rsid w:val="4D9307E2"/>
    <w:rsid w:val="4DBE522F"/>
    <w:rsid w:val="4DCE0787"/>
    <w:rsid w:val="4DCE16A1"/>
    <w:rsid w:val="4DD854F1"/>
    <w:rsid w:val="4E02297E"/>
    <w:rsid w:val="4E106A35"/>
    <w:rsid w:val="4E2A0725"/>
    <w:rsid w:val="4E3F24C1"/>
    <w:rsid w:val="4E555B2B"/>
    <w:rsid w:val="4E5B12C3"/>
    <w:rsid w:val="4E6307E1"/>
    <w:rsid w:val="4E657474"/>
    <w:rsid w:val="4E673F04"/>
    <w:rsid w:val="4EE76427"/>
    <w:rsid w:val="4EFDC2EF"/>
    <w:rsid w:val="4F3651B1"/>
    <w:rsid w:val="4F5A402B"/>
    <w:rsid w:val="4F707380"/>
    <w:rsid w:val="4F813F0F"/>
    <w:rsid w:val="4F986E98"/>
    <w:rsid w:val="4FB11D24"/>
    <w:rsid w:val="4FF95ADC"/>
    <w:rsid w:val="50184191"/>
    <w:rsid w:val="502D33B0"/>
    <w:rsid w:val="504A0C9C"/>
    <w:rsid w:val="508353AE"/>
    <w:rsid w:val="50C02DEC"/>
    <w:rsid w:val="50C71357"/>
    <w:rsid w:val="50E1725C"/>
    <w:rsid w:val="50F272EF"/>
    <w:rsid w:val="50FA16EE"/>
    <w:rsid w:val="50FB131F"/>
    <w:rsid w:val="51120EF4"/>
    <w:rsid w:val="513052BE"/>
    <w:rsid w:val="513D2271"/>
    <w:rsid w:val="514B77E2"/>
    <w:rsid w:val="514E171B"/>
    <w:rsid w:val="515279BD"/>
    <w:rsid w:val="51714745"/>
    <w:rsid w:val="5173303B"/>
    <w:rsid w:val="5180065F"/>
    <w:rsid w:val="518E23A4"/>
    <w:rsid w:val="51B146CB"/>
    <w:rsid w:val="51B70820"/>
    <w:rsid w:val="51C72255"/>
    <w:rsid w:val="51C82BA2"/>
    <w:rsid w:val="51EE3678"/>
    <w:rsid w:val="522D0B85"/>
    <w:rsid w:val="524220CA"/>
    <w:rsid w:val="525A2C40"/>
    <w:rsid w:val="5295667A"/>
    <w:rsid w:val="52A37614"/>
    <w:rsid w:val="52F11485"/>
    <w:rsid w:val="53012E51"/>
    <w:rsid w:val="531552E5"/>
    <w:rsid w:val="53290E3B"/>
    <w:rsid w:val="53703885"/>
    <w:rsid w:val="537F5806"/>
    <w:rsid w:val="53BE0EA4"/>
    <w:rsid w:val="53C11301"/>
    <w:rsid w:val="53D60A14"/>
    <w:rsid w:val="53D97371"/>
    <w:rsid w:val="543218E8"/>
    <w:rsid w:val="54466C1D"/>
    <w:rsid w:val="54535E4F"/>
    <w:rsid w:val="546D0D14"/>
    <w:rsid w:val="550351A0"/>
    <w:rsid w:val="55301A57"/>
    <w:rsid w:val="55436B43"/>
    <w:rsid w:val="55486D2C"/>
    <w:rsid w:val="55487B8C"/>
    <w:rsid w:val="55AB3451"/>
    <w:rsid w:val="55BC31D6"/>
    <w:rsid w:val="55FB5B9F"/>
    <w:rsid w:val="55FF44C8"/>
    <w:rsid w:val="562F2A87"/>
    <w:rsid w:val="5637063F"/>
    <w:rsid w:val="56370929"/>
    <w:rsid w:val="565B5E67"/>
    <w:rsid w:val="569A470C"/>
    <w:rsid w:val="56A17832"/>
    <w:rsid w:val="57081990"/>
    <w:rsid w:val="57476B70"/>
    <w:rsid w:val="579B0F16"/>
    <w:rsid w:val="579C50A6"/>
    <w:rsid w:val="57E12334"/>
    <w:rsid w:val="57EB6ED5"/>
    <w:rsid w:val="58162E0A"/>
    <w:rsid w:val="58361C50"/>
    <w:rsid w:val="583C51C4"/>
    <w:rsid w:val="58425FCA"/>
    <w:rsid w:val="585A28B9"/>
    <w:rsid w:val="5880709D"/>
    <w:rsid w:val="589F0FA0"/>
    <w:rsid w:val="58AD5F8C"/>
    <w:rsid w:val="58B94B81"/>
    <w:rsid w:val="59130400"/>
    <w:rsid w:val="591D659D"/>
    <w:rsid w:val="595C7BD2"/>
    <w:rsid w:val="5963159F"/>
    <w:rsid w:val="59955D5A"/>
    <w:rsid w:val="599B0DCD"/>
    <w:rsid w:val="59AF19E0"/>
    <w:rsid w:val="59BC0FC6"/>
    <w:rsid w:val="59F54ECA"/>
    <w:rsid w:val="59FB0843"/>
    <w:rsid w:val="5A0B6A69"/>
    <w:rsid w:val="5A417D66"/>
    <w:rsid w:val="5A776367"/>
    <w:rsid w:val="5A8D1B09"/>
    <w:rsid w:val="5A915B96"/>
    <w:rsid w:val="5AB70139"/>
    <w:rsid w:val="5AD0323A"/>
    <w:rsid w:val="5B022A7C"/>
    <w:rsid w:val="5B2A7D1A"/>
    <w:rsid w:val="5B3E07EA"/>
    <w:rsid w:val="5B7153F9"/>
    <w:rsid w:val="5BA57D0E"/>
    <w:rsid w:val="5BB70DE4"/>
    <w:rsid w:val="5BEF1A3B"/>
    <w:rsid w:val="5BF7DEBD"/>
    <w:rsid w:val="5C614E23"/>
    <w:rsid w:val="5C8A72F1"/>
    <w:rsid w:val="5CAC191F"/>
    <w:rsid w:val="5CD031BC"/>
    <w:rsid w:val="5CF975D1"/>
    <w:rsid w:val="5CFC3BD6"/>
    <w:rsid w:val="5CFF2433"/>
    <w:rsid w:val="5D154A47"/>
    <w:rsid w:val="5D53795E"/>
    <w:rsid w:val="5D541801"/>
    <w:rsid w:val="5D961402"/>
    <w:rsid w:val="5DC61583"/>
    <w:rsid w:val="5E360695"/>
    <w:rsid w:val="5E6D5908"/>
    <w:rsid w:val="5E7477B1"/>
    <w:rsid w:val="5EC31080"/>
    <w:rsid w:val="5ED24DC2"/>
    <w:rsid w:val="5EDBC774"/>
    <w:rsid w:val="5F605789"/>
    <w:rsid w:val="5F8FDE4F"/>
    <w:rsid w:val="5F9A263C"/>
    <w:rsid w:val="5F9A39FE"/>
    <w:rsid w:val="5FA13DEE"/>
    <w:rsid w:val="5FBD4CC5"/>
    <w:rsid w:val="5FD94453"/>
    <w:rsid w:val="5FDF8201"/>
    <w:rsid w:val="5FE104FF"/>
    <w:rsid w:val="5FFF56BD"/>
    <w:rsid w:val="600259FE"/>
    <w:rsid w:val="602F4DDC"/>
    <w:rsid w:val="605F13C9"/>
    <w:rsid w:val="60D45E8D"/>
    <w:rsid w:val="61165312"/>
    <w:rsid w:val="614121D5"/>
    <w:rsid w:val="614D36B6"/>
    <w:rsid w:val="616C3A9A"/>
    <w:rsid w:val="617305C5"/>
    <w:rsid w:val="61996E53"/>
    <w:rsid w:val="61B11729"/>
    <w:rsid w:val="61B2463D"/>
    <w:rsid w:val="61E118CE"/>
    <w:rsid w:val="61FA6B50"/>
    <w:rsid w:val="62165B5C"/>
    <w:rsid w:val="62344B43"/>
    <w:rsid w:val="62627B5E"/>
    <w:rsid w:val="62776E92"/>
    <w:rsid w:val="62E378A0"/>
    <w:rsid w:val="630F587E"/>
    <w:rsid w:val="633A0208"/>
    <w:rsid w:val="63423B22"/>
    <w:rsid w:val="63625137"/>
    <w:rsid w:val="639E5610"/>
    <w:rsid w:val="63A81171"/>
    <w:rsid w:val="63AF0B11"/>
    <w:rsid w:val="6442587A"/>
    <w:rsid w:val="647710DE"/>
    <w:rsid w:val="64821668"/>
    <w:rsid w:val="64A61B38"/>
    <w:rsid w:val="64AB42D1"/>
    <w:rsid w:val="64B708CA"/>
    <w:rsid w:val="64C956EF"/>
    <w:rsid w:val="64CC02E3"/>
    <w:rsid w:val="64D3750E"/>
    <w:rsid w:val="6525548F"/>
    <w:rsid w:val="65535D10"/>
    <w:rsid w:val="65BE276A"/>
    <w:rsid w:val="65C52168"/>
    <w:rsid w:val="66112A5A"/>
    <w:rsid w:val="66537EDE"/>
    <w:rsid w:val="66592322"/>
    <w:rsid w:val="66977C7B"/>
    <w:rsid w:val="66AA6DE6"/>
    <w:rsid w:val="66B27312"/>
    <w:rsid w:val="66D8034D"/>
    <w:rsid w:val="66EEDA8D"/>
    <w:rsid w:val="66F3134C"/>
    <w:rsid w:val="678E36BF"/>
    <w:rsid w:val="6799371F"/>
    <w:rsid w:val="67A9DB5F"/>
    <w:rsid w:val="67AB258F"/>
    <w:rsid w:val="67ABC498"/>
    <w:rsid w:val="67F769A2"/>
    <w:rsid w:val="67FF8853"/>
    <w:rsid w:val="68AB48A6"/>
    <w:rsid w:val="68E01191"/>
    <w:rsid w:val="69371F6F"/>
    <w:rsid w:val="697FB2C6"/>
    <w:rsid w:val="69977584"/>
    <w:rsid w:val="69B10CA1"/>
    <w:rsid w:val="6A137749"/>
    <w:rsid w:val="6A18594F"/>
    <w:rsid w:val="6A1A4D7C"/>
    <w:rsid w:val="6A331175"/>
    <w:rsid w:val="6AB11178"/>
    <w:rsid w:val="6B0D766E"/>
    <w:rsid w:val="6B0F5CB2"/>
    <w:rsid w:val="6B1334A8"/>
    <w:rsid w:val="6B881E89"/>
    <w:rsid w:val="6BC152E5"/>
    <w:rsid w:val="6BDA2F08"/>
    <w:rsid w:val="6BF01232"/>
    <w:rsid w:val="6BF47A70"/>
    <w:rsid w:val="6C1C080C"/>
    <w:rsid w:val="6C5E3365"/>
    <w:rsid w:val="6C610E74"/>
    <w:rsid w:val="6C8C50C9"/>
    <w:rsid w:val="6CA974A1"/>
    <w:rsid w:val="6CE25856"/>
    <w:rsid w:val="6CF0086E"/>
    <w:rsid w:val="6CFA40AE"/>
    <w:rsid w:val="6D131F31"/>
    <w:rsid w:val="6D163FB2"/>
    <w:rsid w:val="6D4F3ACB"/>
    <w:rsid w:val="6D655DB0"/>
    <w:rsid w:val="6D896766"/>
    <w:rsid w:val="6DC423A2"/>
    <w:rsid w:val="6E2A5A6C"/>
    <w:rsid w:val="6E465D22"/>
    <w:rsid w:val="6E580423"/>
    <w:rsid w:val="6E5C5968"/>
    <w:rsid w:val="6E96114D"/>
    <w:rsid w:val="6EA70F7A"/>
    <w:rsid w:val="6EAA2F69"/>
    <w:rsid w:val="6ECE77F9"/>
    <w:rsid w:val="6F22382D"/>
    <w:rsid w:val="6F7634D6"/>
    <w:rsid w:val="6F7B0A80"/>
    <w:rsid w:val="6FF95C75"/>
    <w:rsid w:val="6FFA5091"/>
    <w:rsid w:val="6FFE0F8A"/>
    <w:rsid w:val="70066E52"/>
    <w:rsid w:val="704757B1"/>
    <w:rsid w:val="70526CD7"/>
    <w:rsid w:val="70571315"/>
    <w:rsid w:val="706633B1"/>
    <w:rsid w:val="707734AE"/>
    <w:rsid w:val="70E51D0A"/>
    <w:rsid w:val="70F47DA8"/>
    <w:rsid w:val="70F51B20"/>
    <w:rsid w:val="7163024E"/>
    <w:rsid w:val="71655341"/>
    <w:rsid w:val="71657F3B"/>
    <w:rsid w:val="71E13B1A"/>
    <w:rsid w:val="71E85903"/>
    <w:rsid w:val="71F74A2F"/>
    <w:rsid w:val="71FD04B3"/>
    <w:rsid w:val="72054F82"/>
    <w:rsid w:val="72705C4F"/>
    <w:rsid w:val="72B55098"/>
    <w:rsid w:val="72BC347D"/>
    <w:rsid w:val="72E474F8"/>
    <w:rsid w:val="73271A4D"/>
    <w:rsid w:val="732D1FD4"/>
    <w:rsid w:val="736623D9"/>
    <w:rsid w:val="736F6954"/>
    <w:rsid w:val="73934F15"/>
    <w:rsid w:val="73B14B80"/>
    <w:rsid w:val="73EF4273"/>
    <w:rsid w:val="740623EF"/>
    <w:rsid w:val="74067468"/>
    <w:rsid w:val="74382196"/>
    <w:rsid w:val="746007B3"/>
    <w:rsid w:val="74713EB0"/>
    <w:rsid w:val="74764D3B"/>
    <w:rsid w:val="749D706E"/>
    <w:rsid w:val="74AD721B"/>
    <w:rsid w:val="74B97F5C"/>
    <w:rsid w:val="74C052DE"/>
    <w:rsid w:val="74FE5B90"/>
    <w:rsid w:val="751A4DFF"/>
    <w:rsid w:val="752712E2"/>
    <w:rsid w:val="752D7CDC"/>
    <w:rsid w:val="75774879"/>
    <w:rsid w:val="75810686"/>
    <w:rsid w:val="759A57CD"/>
    <w:rsid w:val="75C31BBC"/>
    <w:rsid w:val="761122F9"/>
    <w:rsid w:val="762976A1"/>
    <w:rsid w:val="763D1F94"/>
    <w:rsid w:val="76474990"/>
    <w:rsid w:val="767526EC"/>
    <w:rsid w:val="767D4903"/>
    <w:rsid w:val="768F3979"/>
    <w:rsid w:val="76C34CA5"/>
    <w:rsid w:val="76CB6091"/>
    <w:rsid w:val="76F224E5"/>
    <w:rsid w:val="77021DAB"/>
    <w:rsid w:val="777C0FEE"/>
    <w:rsid w:val="777F0CDD"/>
    <w:rsid w:val="77800B4A"/>
    <w:rsid w:val="77951ECD"/>
    <w:rsid w:val="77971FAE"/>
    <w:rsid w:val="77D37FB6"/>
    <w:rsid w:val="77D4279F"/>
    <w:rsid w:val="77E62479"/>
    <w:rsid w:val="77EF3FC1"/>
    <w:rsid w:val="77FB27DC"/>
    <w:rsid w:val="77FD7208"/>
    <w:rsid w:val="782656EE"/>
    <w:rsid w:val="783B70D7"/>
    <w:rsid w:val="78735A01"/>
    <w:rsid w:val="787C6C98"/>
    <w:rsid w:val="78B46F2A"/>
    <w:rsid w:val="78CD6894"/>
    <w:rsid w:val="78D54B53"/>
    <w:rsid w:val="78DA59E5"/>
    <w:rsid w:val="79023CE2"/>
    <w:rsid w:val="79037FDE"/>
    <w:rsid w:val="79174B83"/>
    <w:rsid w:val="792E60D9"/>
    <w:rsid w:val="79366841"/>
    <w:rsid w:val="795C4EAD"/>
    <w:rsid w:val="795C6A56"/>
    <w:rsid w:val="797C6DA4"/>
    <w:rsid w:val="799E4D3B"/>
    <w:rsid w:val="79A51ED9"/>
    <w:rsid w:val="79A81C4A"/>
    <w:rsid w:val="79C34B53"/>
    <w:rsid w:val="79DA4A21"/>
    <w:rsid w:val="79F04A4E"/>
    <w:rsid w:val="7A064954"/>
    <w:rsid w:val="7A273AA6"/>
    <w:rsid w:val="7A332B17"/>
    <w:rsid w:val="7A4D2AF6"/>
    <w:rsid w:val="7A4D439C"/>
    <w:rsid w:val="7A6D353B"/>
    <w:rsid w:val="7A75217C"/>
    <w:rsid w:val="7AAD2F08"/>
    <w:rsid w:val="7AB730CB"/>
    <w:rsid w:val="7ACC21B0"/>
    <w:rsid w:val="7AD23F85"/>
    <w:rsid w:val="7AFE0B33"/>
    <w:rsid w:val="7B0B5953"/>
    <w:rsid w:val="7B383F99"/>
    <w:rsid w:val="7B42371E"/>
    <w:rsid w:val="7B573C17"/>
    <w:rsid w:val="7B6D4EDF"/>
    <w:rsid w:val="7B7E7E05"/>
    <w:rsid w:val="7B9A0EBF"/>
    <w:rsid w:val="7BD354D2"/>
    <w:rsid w:val="7C0B53C0"/>
    <w:rsid w:val="7C2F206A"/>
    <w:rsid w:val="7C37139D"/>
    <w:rsid w:val="7C7E35C7"/>
    <w:rsid w:val="7CC562AB"/>
    <w:rsid w:val="7D0A45AB"/>
    <w:rsid w:val="7D60517A"/>
    <w:rsid w:val="7D6917EB"/>
    <w:rsid w:val="7D9D7FC7"/>
    <w:rsid w:val="7DE16F73"/>
    <w:rsid w:val="7DE74417"/>
    <w:rsid w:val="7DED3A3E"/>
    <w:rsid w:val="7E1002E9"/>
    <w:rsid w:val="7E156663"/>
    <w:rsid w:val="7E776410"/>
    <w:rsid w:val="7E7F4D1C"/>
    <w:rsid w:val="7E877DBE"/>
    <w:rsid w:val="7EB03B7E"/>
    <w:rsid w:val="7EBD4E84"/>
    <w:rsid w:val="7ECC270A"/>
    <w:rsid w:val="7EF87DA0"/>
    <w:rsid w:val="7EFCE7CF"/>
    <w:rsid w:val="7F01511C"/>
    <w:rsid w:val="7F0C1BEC"/>
    <w:rsid w:val="7F2A54E4"/>
    <w:rsid w:val="7F956C58"/>
    <w:rsid w:val="7FAD7447"/>
    <w:rsid w:val="7FAFE0D9"/>
    <w:rsid w:val="7FC04E92"/>
    <w:rsid w:val="7FDC1086"/>
    <w:rsid w:val="7FDD5772"/>
    <w:rsid w:val="7FFF24A7"/>
    <w:rsid w:val="7FFF2C37"/>
    <w:rsid w:val="82FDA84C"/>
    <w:rsid w:val="8DD7ADD5"/>
    <w:rsid w:val="BB7E87A3"/>
    <w:rsid w:val="BE7FD9FD"/>
    <w:rsid w:val="BEFC5963"/>
    <w:rsid w:val="BFF78DAE"/>
    <w:rsid w:val="CEDDD2C1"/>
    <w:rsid w:val="CFBB1F57"/>
    <w:rsid w:val="D3F5D5B2"/>
    <w:rsid w:val="DBD6A92B"/>
    <w:rsid w:val="DBFF16D4"/>
    <w:rsid w:val="DDAF1C55"/>
    <w:rsid w:val="DFEB6E11"/>
    <w:rsid w:val="DFFF2F5A"/>
    <w:rsid w:val="E4664306"/>
    <w:rsid w:val="EBEF00CE"/>
    <w:rsid w:val="ED4F9340"/>
    <w:rsid w:val="EF5FD7E8"/>
    <w:rsid w:val="F3AEBCEA"/>
    <w:rsid w:val="F6FBB70C"/>
    <w:rsid w:val="F7CB7F19"/>
    <w:rsid w:val="F9F3A661"/>
    <w:rsid w:val="FDDFAFC0"/>
    <w:rsid w:val="FE9F8B27"/>
    <w:rsid w:val="FF434FC8"/>
    <w:rsid w:val="FF79CD82"/>
    <w:rsid w:val="FF9FE850"/>
    <w:rsid w:val="FFBDD139"/>
    <w:rsid w:val="FFF90FF2"/>
    <w:rsid w:val="FFFFD02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3,4,5,6,7,8,9,10,11,12,13"/>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nhideWhenUsed="0" w:uiPriority="99" w:semiHidden="0" w:name="heading 5"/>
    <w:lsdException w:qFormat="1" w:unhideWhenUsed="0" w:uiPriority="9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iPriority="99" w:semiHidden="0" w:name="Body Text 2"/>
    <w:lsdException w:uiPriority="99" w:name="Body Text 3"/>
    <w:lsdException w:qFormat="1" w:uiPriority="99" w:name="Body Text Indent 2"/>
    <w:lsdException w:qFormat="1" w:unhideWhenUsed="0" w:uiPriority="0" w:semiHidden="0" w:name="Body Text Indent 3"/>
    <w:lsdException w:qFormat="1" w:uiPriority="99" w:semiHidden="0" w:name="Block Text"/>
    <w:lsdException w:qFormat="1" w:uiPriority="99" w:semiHidden="0" w:name="Hyperlink"/>
    <w:lsdException w:qFormat="1" w:uiPriority="0"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pPr>
    <w:rPr>
      <w:rFonts w:ascii="宋体" w:hAnsi="宋体" w:eastAsia="宋体" w:cs="Times New Roman"/>
      <w:kern w:val="2"/>
      <w:sz w:val="24"/>
      <w:szCs w:val="24"/>
      <w:lang w:val="en-US" w:eastAsia="zh-CN" w:bidi="ar-SA"/>
    </w:rPr>
  </w:style>
  <w:style w:type="paragraph" w:styleId="6">
    <w:name w:val="heading 1"/>
    <w:basedOn w:val="1"/>
    <w:next w:val="1"/>
    <w:link w:val="53"/>
    <w:qFormat/>
    <w:uiPriority w:val="9"/>
    <w:pPr>
      <w:keepNext/>
      <w:keepLines/>
      <w:numPr>
        <w:ilvl w:val="0"/>
        <w:numId w:val="1"/>
      </w:numPr>
      <w:jc w:val="center"/>
      <w:outlineLvl w:val="0"/>
    </w:pPr>
    <w:rPr>
      <w:rFonts w:cs="宋体"/>
      <w:b/>
      <w:kern w:val="44"/>
      <w:sz w:val="30"/>
      <w:szCs w:val="20"/>
    </w:rPr>
  </w:style>
  <w:style w:type="paragraph" w:styleId="7">
    <w:name w:val="heading 2"/>
    <w:basedOn w:val="6"/>
    <w:next w:val="1"/>
    <w:link w:val="54"/>
    <w:qFormat/>
    <w:uiPriority w:val="9"/>
    <w:pPr>
      <w:numPr>
        <w:ilvl w:val="1"/>
      </w:numPr>
      <w:tabs>
        <w:tab w:val="left" w:pos="0"/>
        <w:tab w:val="left" w:pos="420"/>
      </w:tabs>
      <w:jc w:val="left"/>
      <w:outlineLvl w:val="1"/>
    </w:pPr>
    <w:rPr>
      <w:sz w:val="28"/>
      <w:szCs w:val="28"/>
    </w:rPr>
  </w:style>
  <w:style w:type="paragraph" w:styleId="8">
    <w:name w:val="heading 3"/>
    <w:basedOn w:val="7"/>
    <w:next w:val="1"/>
    <w:link w:val="55"/>
    <w:qFormat/>
    <w:uiPriority w:val="9"/>
    <w:pPr>
      <w:numPr>
        <w:ilvl w:val="2"/>
      </w:numPr>
      <w:tabs>
        <w:tab w:val="clear" w:pos="420"/>
      </w:tabs>
      <w:outlineLvl w:val="2"/>
    </w:pPr>
    <w:rPr>
      <w:bCs/>
    </w:rPr>
  </w:style>
  <w:style w:type="paragraph" w:styleId="9">
    <w:name w:val="heading 4"/>
    <w:basedOn w:val="1"/>
    <w:next w:val="1"/>
    <w:link w:val="56"/>
    <w:qFormat/>
    <w:uiPriority w:val="0"/>
    <w:pPr>
      <w:keepNext/>
      <w:keepLines/>
      <w:numPr>
        <w:ilvl w:val="3"/>
        <w:numId w:val="1"/>
      </w:numPr>
      <w:outlineLvl w:val="3"/>
    </w:pPr>
    <w:rPr>
      <w:b/>
      <w:bCs/>
    </w:rPr>
  </w:style>
  <w:style w:type="paragraph" w:styleId="10">
    <w:name w:val="heading 5"/>
    <w:basedOn w:val="11"/>
    <w:next w:val="1"/>
    <w:link w:val="58"/>
    <w:qFormat/>
    <w:uiPriority w:val="99"/>
    <w:pPr>
      <w:numPr>
        <w:ilvl w:val="4"/>
        <w:numId w:val="1"/>
      </w:numPr>
      <w:outlineLvl w:val="4"/>
    </w:pPr>
    <w:rPr>
      <w:b/>
      <w:bCs w:val="0"/>
      <w:sz w:val="24"/>
      <w:lang w:eastAsia="zh-Hans"/>
    </w:rPr>
  </w:style>
  <w:style w:type="paragraph" w:styleId="12">
    <w:name w:val="heading 6"/>
    <w:basedOn w:val="1"/>
    <w:next w:val="1"/>
    <w:link w:val="59"/>
    <w:qFormat/>
    <w:uiPriority w:val="99"/>
    <w:pPr>
      <w:keepNext/>
      <w:keepLines/>
      <w:numPr>
        <w:ilvl w:val="5"/>
        <w:numId w:val="1"/>
      </w:numPr>
      <w:outlineLvl w:val="5"/>
    </w:pPr>
    <w:rPr>
      <w:b/>
      <w:szCs w:val="21"/>
      <w:lang w:eastAsia="zh-Hans"/>
    </w:rPr>
  </w:style>
  <w:style w:type="paragraph" w:styleId="13">
    <w:name w:val="heading 7"/>
    <w:basedOn w:val="1"/>
    <w:next w:val="1"/>
    <w:link w:val="60"/>
    <w:qFormat/>
    <w:uiPriority w:val="9"/>
    <w:pPr>
      <w:keepNext/>
      <w:keepLines/>
      <w:numPr>
        <w:ilvl w:val="6"/>
        <w:numId w:val="1"/>
      </w:numPr>
      <w:spacing w:before="64" w:after="64"/>
      <w:outlineLvl w:val="6"/>
    </w:pPr>
    <w:rPr>
      <w:rFonts w:ascii="Times New Roman" w:hAnsi="Times New Roman"/>
      <w:b/>
      <w:bCs/>
    </w:rPr>
  </w:style>
  <w:style w:type="paragraph" w:styleId="14">
    <w:name w:val="heading 8"/>
    <w:basedOn w:val="1"/>
    <w:next w:val="1"/>
    <w:link w:val="61"/>
    <w:qFormat/>
    <w:uiPriority w:val="9"/>
    <w:pPr>
      <w:keepNext/>
      <w:keepLines/>
      <w:spacing w:before="240" w:after="64" w:line="320" w:lineRule="auto"/>
      <w:outlineLvl w:val="7"/>
    </w:pPr>
    <w:rPr>
      <w:rFonts w:ascii="等线 Light" w:hAnsi="等线 Light" w:eastAsia="等线 Light"/>
    </w:rPr>
  </w:style>
  <w:style w:type="paragraph" w:styleId="15">
    <w:name w:val="heading 9"/>
    <w:basedOn w:val="1"/>
    <w:next w:val="1"/>
    <w:link w:val="62"/>
    <w:qFormat/>
    <w:uiPriority w:val="9"/>
    <w:pPr>
      <w:keepNext/>
      <w:keepLines/>
      <w:spacing w:before="240" w:after="64" w:line="320" w:lineRule="auto"/>
      <w:outlineLvl w:val="8"/>
    </w:pPr>
    <w:rPr>
      <w:rFonts w:ascii="等线 Light" w:hAnsi="等线 Light" w:eastAsia="等线 Light"/>
      <w:sz w:val="21"/>
      <w:szCs w:val="21"/>
    </w:rPr>
  </w:style>
  <w:style w:type="character" w:default="1" w:styleId="45">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next w:val="4"/>
    <w:link w:val="93"/>
    <w:qFormat/>
    <w:uiPriority w:val="0"/>
    <w:pPr>
      <w:spacing w:line="300" w:lineRule="auto"/>
      <w:ind w:firstLine="360" w:firstLineChars="200"/>
    </w:pPr>
    <w:rPr>
      <w:rFonts w:hAnsi="Calibri"/>
      <w:sz w:val="18"/>
      <w:szCs w:val="20"/>
    </w:rPr>
  </w:style>
  <w:style w:type="paragraph" w:styleId="4">
    <w:name w:val="Body Text"/>
    <w:basedOn w:val="1"/>
    <w:next w:val="5"/>
    <w:link w:val="52"/>
    <w:qFormat/>
    <w:uiPriority w:val="99"/>
    <w:pPr>
      <w:adjustRightInd w:val="0"/>
    </w:pPr>
    <w:rPr>
      <w:kern w:val="0"/>
      <w:szCs w:val="20"/>
    </w:rPr>
  </w:style>
  <w:style w:type="paragraph" w:customStyle="1" w:styleId="5">
    <w:name w:val="Default"/>
    <w:next w:val="1"/>
    <w:qFormat/>
    <w:uiPriority w:val="0"/>
    <w:pPr>
      <w:widowControl w:val="0"/>
      <w:autoSpaceDE w:val="0"/>
      <w:autoSpaceDN w:val="0"/>
      <w:adjustRightInd w:val="0"/>
      <w:ind w:left="1225" w:hanging="357"/>
      <w:jc w:val="both"/>
    </w:pPr>
    <w:rPr>
      <w:rFonts w:ascii="宋体" w:hAnsi="Calibri" w:eastAsia="宋体" w:cs="宋体"/>
      <w:color w:val="000000"/>
      <w:sz w:val="24"/>
      <w:szCs w:val="24"/>
      <w:lang w:val="en-US" w:eastAsia="zh-CN" w:bidi="ar-SA"/>
    </w:rPr>
  </w:style>
  <w:style w:type="paragraph" w:customStyle="1" w:styleId="11">
    <w:name w:val="标题4"/>
    <w:basedOn w:val="9"/>
    <w:next w:val="1"/>
    <w:link w:val="57"/>
    <w:qFormat/>
    <w:uiPriority w:val="0"/>
    <w:pPr>
      <w:numPr>
        <w:numId w:val="2"/>
      </w:numPr>
    </w:pPr>
    <w:rPr>
      <w:b w:val="0"/>
      <w:sz w:val="30"/>
    </w:rPr>
  </w:style>
  <w:style w:type="paragraph" w:styleId="16">
    <w:name w:val="toc 7"/>
    <w:basedOn w:val="1"/>
    <w:next w:val="1"/>
    <w:unhideWhenUsed/>
    <w:qFormat/>
    <w:uiPriority w:val="39"/>
    <w:pPr>
      <w:spacing w:line="240" w:lineRule="auto"/>
      <w:ind w:left="2520" w:leftChars="1200"/>
    </w:pPr>
    <w:rPr>
      <w:rFonts w:ascii="等线" w:hAnsi="等线" w:eastAsia="等线"/>
      <w:sz w:val="21"/>
      <w:szCs w:val="22"/>
    </w:rPr>
  </w:style>
  <w:style w:type="paragraph" w:styleId="17">
    <w:name w:val="Normal Indent"/>
    <w:basedOn w:val="1"/>
    <w:link w:val="88"/>
    <w:qFormat/>
    <w:uiPriority w:val="0"/>
    <w:pPr>
      <w:adjustRightInd w:val="0"/>
      <w:ind w:firstLine="420"/>
      <w:textAlignment w:val="baseline"/>
    </w:pPr>
    <w:rPr>
      <w:rFonts w:eastAsia="楷体_GB2312"/>
      <w:szCs w:val="20"/>
    </w:rPr>
  </w:style>
  <w:style w:type="paragraph" w:styleId="18">
    <w:name w:val="caption"/>
    <w:basedOn w:val="1"/>
    <w:next w:val="1"/>
    <w:qFormat/>
    <w:uiPriority w:val="0"/>
    <w:pPr>
      <w:spacing w:before="50" w:beforeLines="50" w:after="50" w:afterLines="50" w:line="240" w:lineRule="auto"/>
      <w:ind w:firstLine="200" w:firstLineChars="200"/>
    </w:pPr>
    <w:rPr>
      <w:rFonts w:ascii="Calibri Light" w:hAnsi="Calibri Light" w:eastAsia="黑体"/>
      <w:sz w:val="20"/>
      <w:szCs w:val="20"/>
    </w:rPr>
  </w:style>
  <w:style w:type="paragraph" w:styleId="19">
    <w:name w:val="List Bullet"/>
    <w:basedOn w:val="1"/>
    <w:semiHidden/>
    <w:unhideWhenUsed/>
    <w:qFormat/>
    <w:uiPriority w:val="99"/>
    <w:pPr>
      <w:numPr>
        <w:ilvl w:val="0"/>
        <w:numId w:val="3"/>
      </w:numPr>
    </w:pPr>
  </w:style>
  <w:style w:type="paragraph" w:styleId="20">
    <w:name w:val="Document Map"/>
    <w:basedOn w:val="1"/>
    <w:link w:val="104"/>
    <w:qFormat/>
    <w:uiPriority w:val="0"/>
    <w:pPr>
      <w:spacing w:line="300" w:lineRule="auto"/>
      <w:ind w:firstLine="200" w:firstLineChars="200"/>
    </w:pPr>
    <w:rPr>
      <w:rFonts w:hAnsi="Calibri"/>
      <w:kern w:val="0"/>
      <w:sz w:val="18"/>
      <w:szCs w:val="20"/>
    </w:rPr>
  </w:style>
  <w:style w:type="paragraph" w:styleId="21">
    <w:name w:val="annotation text"/>
    <w:basedOn w:val="1"/>
    <w:link w:val="91"/>
    <w:unhideWhenUsed/>
    <w:qFormat/>
    <w:uiPriority w:val="0"/>
    <w:pPr>
      <w:spacing w:line="240" w:lineRule="auto"/>
    </w:pPr>
    <w:rPr>
      <w:sz w:val="21"/>
    </w:rPr>
  </w:style>
  <w:style w:type="paragraph" w:styleId="22">
    <w:name w:val="Block Text"/>
    <w:basedOn w:val="4"/>
    <w:next w:val="4"/>
    <w:unhideWhenUsed/>
    <w:qFormat/>
    <w:uiPriority w:val="99"/>
    <w:pPr>
      <w:widowControl/>
      <w:adjustRightInd/>
      <w:spacing w:before="100" w:after="100" w:line="240" w:lineRule="auto"/>
      <w:ind w:left="480" w:right="480"/>
    </w:pPr>
    <w:rPr>
      <w:rFonts w:ascii="等线" w:hAnsi="等线" w:eastAsia="等线"/>
      <w:szCs w:val="24"/>
      <w:lang w:eastAsia="en-US"/>
    </w:rPr>
  </w:style>
  <w:style w:type="paragraph" w:styleId="23">
    <w:name w:val="toc 5"/>
    <w:basedOn w:val="1"/>
    <w:next w:val="1"/>
    <w:unhideWhenUsed/>
    <w:qFormat/>
    <w:uiPriority w:val="39"/>
    <w:pPr>
      <w:spacing w:line="240" w:lineRule="auto"/>
      <w:ind w:left="1680" w:leftChars="800"/>
    </w:pPr>
    <w:rPr>
      <w:rFonts w:ascii="等线" w:hAnsi="等线" w:eastAsia="等线"/>
      <w:sz w:val="21"/>
      <w:szCs w:val="22"/>
    </w:rPr>
  </w:style>
  <w:style w:type="paragraph" w:styleId="24">
    <w:name w:val="toc 3"/>
    <w:basedOn w:val="1"/>
    <w:next w:val="1"/>
    <w:unhideWhenUsed/>
    <w:qFormat/>
    <w:uiPriority w:val="39"/>
    <w:pPr>
      <w:tabs>
        <w:tab w:val="right" w:leader="dot" w:pos="9060"/>
      </w:tabs>
      <w:ind w:left="960" w:leftChars="400"/>
    </w:pPr>
  </w:style>
  <w:style w:type="paragraph" w:styleId="25">
    <w:name w:val="Plain Text"/>
    <w:basedOn w:val="1"/>
    <w:link w:val="107"/>
    <w:qFormat/>
    <w:uiPriority w:val="99"/>
    <w:rPr>
      <w:rFonts w:hAnsi="Courier New"/>
      <w:kern w:val="0"/>
      <w:sz w:val="20"/>
      <w:szCs w:val="21"/>
    </w:rPr>
  </w:style>
  <w:style w:type="paragraph" w:styleId="26">
    <w:name w:val="toc 8"/>
    <w:basedOn w:val="1"/>
    <w:next w:val="1"/>
    <w:unhideWhenUsed/>
    <w:qFormat/>
    <w:uiPriority w:val="39"/>
    <w:pPr>
      <w:spacing w:line="240" w:lineRule="auto"/>
      <w:ind w:left="2940" w:leftChars="1400"/>
    </w:pPr>
    <w:rPr>
      <w:rFonts w:ascii="等线" w:hAnsi="等线" w:eastAsia="等线"/>
      <w:sz w:val="21"/>
      <w:szCs w:val="22"/>
    </w:rPr>
  </w:style>
  <w:style w:type="paragraph" w:styleId="27">
    <w:name w:val="Date"/>
    <w:basedOn w:val="1"/>
    <w:next w:val="1"/>
    <w:link w:val="73"/>
    <w:unhideWhenUsed/>
    <w:qFormat/>
    <w:uiPriority w:val="0"/>
    <w:pPr>
      <w:widowControl/>
      <w:ind w:left="100" w:leftChars="2500" w:firstLine="200" w:firstLineChars="200"/>
    </w:pPr>
    <w:rPr>
      <w:kern w:val="0"/>
      <w:szCs w:val="22"/>
    </w:rPr>
  </w:style>
  <w:style w:type="paragraph" w:styleId="28">
    <w:name w:val="Body Text Indent 2"/>
    <w:basedOn w:val="1"/>
    <w:link w:val="212"/>
    <w:semiHidden/>
    <w:unhideWhenUsed/>
    <w:qFormat/>
    <w:uiPriority w:val="99"/>
    <w:pPr>
      <w:spacing w:after="120" w:line="480" w:lineRule="auto"/>
      <w:ind w:left="420" w:leftChars="200"/>
    </w:pPr>
  </w:style>
  <w:style w:type="paragraph" w:styleId="29">
    <w:name w:val="Balloon Text"/>
    <w:basedOn w:val="1"/>
    <w:link w:val="109"/>
    <w:unhideWhenUsed/>
    <w:qFormat/>
    <w:uiPriority w:val="0"/>
    <w:pPr>
      <w:spacing w:line="240" w:lineRule="auto"/>
    </w:pPr>
    <w:rPr>
      <w:sz w:val="18"/>
      <w:szCs w:val="18"/>
    </w:rPr>
  </w:style>
  <w:style w:type="paragraph" w:styleId="30">
    <w:name w:val="footer"/>
    <w:basedOn w:val="1"/>
    <w:next w:val="1"/>
    <w:link w:val="89"/>
    <w:unhideWhenUsed/>
    <w:qFormat/>
    <w:uiPriority w:val="99"/>
    <w:pPr>
      <w:tabs>
        <w:tab w:val="center" w:pos="4153"/>
        <w:tab w:val="right" w:pos="8306"/>
      </w:tabs>
      <w:snapToGrid w:val="0"/>
    </w:pPr>
    <w:rPr>
      <w:sz w:val="18"/>
      <w:szCs w:val="18"/>
    </w:rPr>
  </w:style>
  <w:style w:type="paragraph" w:styleId="31">
    <w:name w:val="header"/>
    <w:basedOn w:val="1"/>
    <w:link w:val="64"/>
    <w:unhideWhenUsed/>
    <w:qFormat/>
    <w:uiPriority w:val="99"/>
    <w:pPr>
      <w:pBdr>
        <w:bottom w:val="single" w:color="auto" w:sz="6" w:space="1"/>
      </w:pBdr>
      <w:tabs>
        <w:tab w:val="center" w:pos="4153"/>
        <w:tab w:val="right" w:pos="8306"/>
      </w:tabs>
      <w:snapToGrid w:val="0"/>
      <w:jc w:val="center"/>
    </w:pPr>
    <w:rPr>
      <w:sz w:val="18"/>
      <w:szCs w:val="18"/>
    </w:rPr>
  </w:style>
  <w:style w:type="paragraph" w:styleId="32">
    <w:name w:val="toc 1"/>
    <w:basedOn w:val="1"/>
    <w:next w:val="1"/>
    <w:unhideWhenUsed/>
    <w:qFormat/>
    <w:uiPriority w:val="39"/>
  </w:style>
  <w:style w:type="paragraph" w:styleId="33">
    <w:name w:val="toc 4"/>
    <w:basedOn w:val="1"/>
    <w:next w:val="1"/>
    <w:unhideWhenUsed/>
    <w:qFormat/>
    <w:uiPriority w:val="39"/>
    <w:pPr>
      <w:ind w:left="1260" w:leftChars="600"/>
    </w:pPr>
  </w:style>
  <w:style w:type="paragraph" w:styleId="34">
    <w:name w:val="toc 6"/>
    <w:basedOn w:val="1"/>
    <w:next w:val="1"/>
    <w:unhideWhenUsed/>
    <w:qFormat/>
    <w:uiPriority w:val="39"/>
    <w:pPr>
      <w:spacing w:line="240" w:lineRule="auto"/>
      <w:ind w:left="2100" w:leftChars="1000"/>
    </w:pPr>
    <w:rPr>
      <w:rFonts w:ascii="等线" w:hAnsi="等线" w:eastAsia="等线"/>
      <w:sz w:val="21"/>
      <w:szCs w:val="22"/>
    </w:rPr>
  </w:style>
  <w:style w:type="paragraph" w:styleId="35">
    <w:name w:val="Body Text Indent 3"/>
    <w:basedOn w:val="1"/>
    <w:link w:val="184"/>
    <w:qFormat/>
    <w:uiPriority w:val="0"/>
    <w:pPr>
      <w:spacing w:before="50" w:beforeLines="50" w:after="120" w:afterLines="50" w:line="240" w:lineRule="auto"/>
      <w:ind w:left="420" w:leftChars="200" w:firstLine="200" w:firstLineChars="200"/>
    </w:pPr>
    <w:rPr>
      <w:rFonts w:ascii="Calibri" w:hAnsi="Calibri"/>
      <w:sz w:val="16"/>
      <w:szCs w:val="16"/>
    </w:rPr>
  </w:style>
  <w:style w:type="paragraph" w:styleId="36">
    <w:name w:val="toc 2"/>
    <w:basedOn w:val="1"/>
    <w:next w:val="1"/>
    <w:unhideWhenUsed/>
    <w:qFormat/>
    <w:uiPriority w:val="39"/>
    <w:pPr>
      <w:ind w:left="420" w:leftChars="200"/>
    </w:pPr>
  </w:style>
  <w:style w:type="paragraph" w:styleId="37">
    <w:name w:val="toc 9"/>
    <w:basedOn w:val="1"/>
    <w:next w:val="1"/>
    <w:unhideWhenUsed/>
    <w:qFormat/>
    <w:uiPriority w:val="39"/>
    <w:pPr>
      <w:spacing w:line="240" w:lineRule="auto"/>
      <w:ind w:left="3360" w:leftChars="1600"/>
    </w:pPr>
    <w:rPr>
      <w:rFonts w:ascii="等线" w:hAnsi="等线" w:eastAsia="等线"/>
      <w:sz w:val="21"/>
      <w:szCs w:val="22"/>
    </w:rPr>
  </w:style>
  <w:style w:type="paragraph" w:styleId="38">
    <w:name w:val="Body Text 2"/>
    <w:basedOn w:val="1"/>
    <w:link w:val="92"/>
    <w:unhideWhenUsed/>
    <w:qFormat/>
    <w:uiPriority w:val="99"/>
    <w:pPr>
      <w:spacing w:after="120" w:line="480" w:lineRule="auto"/>
    </w:pPr>
  </w:style>
  <w:style w:type="paragraph" w:styleId="39">
    <w:name w:val="Normal (Web)"/>
    <w:basedOn w:val="1"/>
    <w:link w:val="126"/>
    <w:unhideWhenUsed/>
    <w:qFormat/>
    <w:uiPriority w:val="99"/>
    <w:pPr>
      <w:widowControl/>
      <w:spacing w:before="100" w:beforeAutospacing="1" w:after="100" w:afterAutospacing="1" w:line="240" w:lineRule="auto"/>
    </w:pPr>
    <w:rPr>
      <w:rFonts w:cs="宋体"/>
      <w:kern w:val="0"/>
    </w:rPr>
  </w:style>
  <w:style w:type="paragraph" w:styleId="40">
    <w:name w:val="Title"/>
    <w:basedOn w:val="1"/>
    <w:next w:val="1"/>
    <w:link w:val="78"/>
    <w:qFormat/>
    <w:uiPriority w:val="10"/>
    <w:pPr>
      <w:spacing w:before="240" w:after="60" w:line="240" w:lineRule="auto"/>
      <w:jc w:val="center"/>
      <w:outlineLvl w:val="0"/>
    </w:pPr>
    <w:rPr>
      <w:rFonts w:ascii="等线 Light" w:hAnsi="等线 Light" w:eastAsia="等线 Light"/>
      <w:b/>
      <w:bCs/>
      <w:sz w:val="32"/>
      <w:szCs w:val="32"/>
    </w:rPr>
  </w:style>
  <w:style w:type="paragraph" w:styleId="41">
    <w:name w:val="annotation subject"/>
    <w:basedOn w:val="21"/>
    <w:next w:val="21"/>
    <w:link w:val="90"/>
    <w:unhideWhenUsed/>
    <w:qFormat/>
    <w:uiPriority w:val="0"/>
    <w:rPr>
      <w:b/>
      <w:bCs/>
    </w:rPr>
  </w:style>
  <w:style w:type="paragraph" w:styleId="42">
    <w:name w:val="Body Text First Indent"/>
    <w:basedOn w:val="1"/>
    <w:link w:val="117"/>
    <w:qFormat/>
    <w:uiPriority w:val="0"/>
    <w:pPr>
      <w:spacing w:before="156" w:after="156"/>
      <w:ind w:firstLine="480"/>
    </w:pPr>
    <w:rPr>
      <w:lang w:eastAsia="zh-Hans"/>
    </w:rPr>
  </w:style>
  <w:style w:type="table" w:styleId="44">
    <w:name w:val="Table Grid"/>
    <w:basedOn w:val="4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6">
    <w:name w:val="Strong"/>
    <w:qFormat/>
    <w:uiPriority w:val="22"/>
    <w:rPr>
      <w:b/>
      <w:sz w:val="24"/>
      <w:szCs w:val="24"/>
    </w:rPr>
  </w:style>
  <w:style w:type="character" w:styleId="47">
    <w:name w:val="page number"/>
    <w:basedOn w:val="45"/>
    <w:qFormat/>
    <w:uiPriority w:val="0"/>
  </w:style>
  <w:style w:type="character" w:styleId="48">
    <w:name w:val="FollowedHyperlink"/>
    <w:unhideWhenUsed/>
    <w:qFormat/>
    <w:uiPriority w:val="0"/>
    <w:rPr>
      <w:color w:val="800080"/>
      <w:u w:val="single"/>
    </w:rPr>
  </w:style>
  <w:style w:type="character" w:styleId="49">
    <w:name w:val="Emphasis"/>
    <w:qFormat/>
    <w:uiPriority w:val="20"/>
    <w:rPr>
      <w:i/>
      <w:iCs/>
    </w:rPr>
  </w:style>
  <w:style w:type="character" w:styleId="50">
    <w:name w:val="Hyperlink"/>
    <w:unhideWhenUsed/>
    <w:qFormat/>
    <w:uiPriority w:val="99"/>
    <w:rPr>
      <w:color w:val="0000FF"/>
      <w:u w:val="single"/>
    </w:rPr>
  </w:style>
  <w:style w:type="character" w:styleId="51">
    <w:name w:val="annotation reference"/>
    <w:unhideWhenUsed/>
    <w:qFormat/>
    <w:uiPriority w:val="0"/>
    <w:rPr>
      <w:sz w:val="21"/>
      <w:szCs w:val="21"/>
    </w:rPr>
  </w:style>
  <w:style w:type="character" w:customStyle="1" w:styleId="52">
    <w:name w:val="正文文本 字符"/>
    <w:link w:val="4"/>
    <w:qFormat/>
    <w:uiPriority w:val="99"/>
    <w:rPr>
      <w:rFonts w:ascii="宋体" w:hAnsi="宋体"/>
      <w:sz w:val="24"/>
    </w:rPr>
  </w:style>
  <w:style w:type="character" w:customStyle="1" w:styleId="53">
    <w:name w:val="标题 1 字符"/>
    <w:link w:val="6"/>
    <w:qFormat/>
    <w:uiPriority w:val="9"/>
    <w:rPr>
      <w:rFonts w:ascii="宋体" w:hAnsi="宋体" w:cs="宋体"/>
      <w:b/>
      <w:kern w:val="44"/>
      <w:sz w:val="30"/>
    </w:rPr>
  </w:style>
  <w:style w:type="character" w:customStyle="1" w:styleId="54">
    <w:name w:val="标题 2 字符"/>
    <w:link w:val="7"/>
    <w:qFormat/>
    <w:uiPriority w:val="9"/>
    <w:rPr>
      <w:rFonts w:ascii="宋体" w:hAnsi="宋体" w:cs="宋体"/>
      <w:b/>
      <w:kern w:val="44"/>
      <w:sz w:val="28"/>
      <w:szCs w:val="28"/>
    </w:rPr>
  </w:style>
  <w:style w:type="character" w:customStyle="1" w:styleId="55">
    <w:name w:val="标题 3 字符"/>
    <w:link w:val="8"/>
    <w:qFormat/>
    <w:uiPriority w:val="9"/>
    <w:rPr>
      <w:rFonts w:ascii="宋体" w:hAnsi="宋体" w:cs="宋体"/>
      <w:b/>
      <w:bCs/>
      <w:kern w:val="44"/>
      <w:sz w:val="28"/>
      <w:szCs w:val="28"/>
    </w:rPr>
  </w:style>
  <w:style w:type="character" w:customStyle="1" w:styleId="56">
    <w:name w:val="标题 4 字符"/>
    <w:link w:val="9"/>
    <w:qFormat/>
    <w:uiPriority w:val="0"/>
    <w:rPr>
      <w:rFonts w:ascii="宋体" w:hAnsi="宋体"/>
      <w:b/>
      <w:bCs/>
      <w:kern w:val="2"/>
      <w:sz w:val="24"/>
      <w:szCs w:val="24"/>
    </w:rPr>
  </w:style>
  <w:style w:type="character" w:customStyle="1" w:styleId="57">
    <w:name w:val="标题4 字符"/>
    <w:link w:val="11"/>
    <w:qFormat/>
    <w:uiPriority w:val="0"/>
    <w:rPr>
      <w:rFonts w:ascii="宋体" w:hAnsi="宋体"/>
      <w:bCs/>
      <w:kern w:val="2"/>
      <w:sz w:val="30"/>
      <w:szCs w:val="24"/>
    </w:rPr>
  </w:style>
  <w:style w:type="character" w:customStyle="1" w:styleId="58">
    <w:name w:val="标题 5 字符"/>
    <w:link w:val="10"/>
    <w:qFormat/>
    <w:uiPriority w:val="99"/>
    <w:rPr>
      <w:rFonts w:ascii="宋体" w:hAnsi="宋体"/>
      <w:b/>
      <w:kern w:val="2"/>
      <w:sz w:val="24"/>
      <w:szCs w:val="24"/>
      <w:lang w:eastAsia="zh-Hans"/>
    </w:rPr>
  </w:style>
  <w:style w:type="character" w:customStyle="1" w:styleId="59">
    <w:name w:val="标题 6 字符"/>
    <w:link w:val="12"/>
    <w:qFormat/>
    <w:uiPriority w:val="99"/>
    <w:rPr>
      <w:rFonts w:ascii="宋体" w:hAnsi="宋体"/>
      <w:b/>
      <w:kern w:val="2"/>
      <w:sz w:val="24"/>
      <w:szCs w:val="21"/>
      <w:lang w:eastAsia="zh-Hans"/>
    </w:rPr>
  </w:style>
  <w:style w:type="character" w:customStyle="1" w:styleId="60">
    <w:name w:val="标题 7 字符"/>
    <w:link w:val="13"/>
    <w:qFormat/>
    <w:uiPriority w:val="9"/>
    <w:rPr>
      <w:rFonts w:ascii="Times New Roman" w:hAnsi="Times New Roman"/>
      <w:b/>
      <w:bCs/>
      <w:kern w:val="2"/>
      <w:sz w:val="24"/>
      <w:szCs w:val="24"/>
    </w:rPr>
  </w:style>
  <w:style w:type="character" w:customStyle="1" w:styleId="61">
    <w:name w:val="标题 8 字符"/>
    <w:link w:val="14"/>
    <w:qFormat/>
    <w:uiPriority w:val="9"/>
    <w:rPr>
      <w:rFonts w:ascii="等线 Light" w:hAnsi="等线 Light" w:eastAsia="等线 Light" w:cs="Times New Roman"/>
      <w:kern w:val="2"/>
      <w:sz w:val="24"/>
      <w:szCs w:val="24"/>
    </w:rPr>
  </w:style>
  <w:style w:type="character" w:customStyle="1" w:styleId="62">
    <w:name w:val="标题 9 字符"/>
    <w:link w:val="15"/>
    <w:qFormat/>
    <w:uiPriority w:val="9"/>
    <w:rPr>
      <w:rFonts w:ascii="等线 Light" w:hAnsi="等线 Light" w:eastAsia="等线 Light"/>
      <w:kern w:val="2"/>
      <w:sz w:val="21"/>
      <w:szCs w:val="21"/>
    </w:rPr>
  </w:style>
  <w:style w:type="character" w:customStyle="1" w:styleId="63">
    <w:name w:val="标题 2 Char"/>
    <w:qFormat/>
    <w:uiPriority w:val="0"/>
    <w:rPr>
      <w:rFonts w:ascii="Cambria" w:hAnsi="Cambria" w:eastAsia="宋体"/>
      <w:b/>
      <w:kern w:val="2"/>
      <w:sz w:val="24"/>
      <w:lang w:val="zh-CN" w:eastAsia="zh-CN" w:bidi="ar-SA"/>
    </w:rPr>
  </w:style>
  <w:style w:type="character" w:customStyle="1" w:styleId="64">
    <w:name w:val="页眉 字符"/>
    <w:link w:val="31"/>
    <w:qFormat/>
    <w:uiPriority w:val="99"/>
    <w:rPr>
      <w:sz w:val="18"/>
      <w:szCs w:val="18"/>
    </w:rPr>
  </w:style>
  <w:style w:type="character" w:customStyle="1" w:styleId="65">
    <w:name w:val="Item List Text Char"/>
    <w:link w:val="66"/>
    <w:qFormat/>
    <w:uiPriority w:val="0"/>
    <w:rPr>
      <w:rFonts w:ascii="Times New Roman" w:hAnsi="Times New Roman" w:eastAsia="宋体"/>
      <w:kern w:val="2"/>
      <w:sz w:val="21"/>
      <w:szCs w:val="21"/>
    </w:rPr>
  </w:style>
  <w:style w:type="paragraph" w:customStyle="1" w:styleId="66">
    <w:name w:val="Item List Text"/>
    <w:link w:val="65"/>
    <w:qFormat/>
    <w:uiPriority w:val="0"/>
    <w:pPr>
      <w:adjustRightInd w:val="0"/>
      <w:snapToGrid w:val="0"/>
      <w:spacing w:before="80" w:after="80" w:line="240" w:lineRule="atLeast"/>
      <w:ind w:left="2126"/>
    </w:pPr>
    <w:rPr>
      <w:rFonts w:ascii="Calibri" w:hAnsi="Calibri" w:eastAsia="宋体" w:cs="Times New Roman"/>
      <w:kern w:val="2"/>
      <w:sz w:val="21"/>
      <w:szCs w:val="21"/>
      <w:lang w:val="en-US" w:eastAsia="zh-CN" w:bidi="ar-SA"/>
    </w:rPr>
  </w:style>
  <w:style w:type="character" w:customStyle="1" w:styleId="67">
    <w:name w:val="标题 4 Char"/>
    <w:qFormat/>
    <w:uiPriority w:val="0"/>
    <w:rPr>
      <w:rFonts w:ascii="Cambria" w:hAnsi="Cambria" w:eastAsia="宋体"/>
      <w:b/>
      <w:kern w:val="2"/>
      <w:sz w:val="24"/>
      <w:lang w:val="zh-CN" w:eastAsia="zh-CN" w:bidi="ar-SA"/>
    </w:rPr>
  </w:style>
  <w:style w:type="character" w:customStyle="1" w:styleId="68">
    <w:name w:val="标题 3 Char"/>
    <w:qFormat/>
    <w:uiPriority w:val="0"/>
    <w:rPr>
      <w:rFonts w:ascii="Calibri" w:hAnsi="Calibri" w:eastAsia="宋体"/>
      <w:b/>
      <w:kern w:val="2"/>
      <w:sz w:val="24"/>
      <w:lang w:val="zh-CN" w:eastAsia="zh-CN" w:bidi="ar-SA"/>
    </w:rPr>
  </w:style>
  <w:style w:type="character" w:customStyle="1" w:styleId="69">
    <w:name w:val="细化要求 Char"/>
    <w:link w:val="70"/>
    <w:qFormat/>
    <w:uiPriority w:val="0"/>
    <w:rPr>
      <w:rFonts w:ascii="楷体_GB2312" w:eastAsia="楷体_GB2312"/>
      <w:b/>
      <w:color w:val="FF0000"/>
      <w:kern w:val="2"/>
      <w:sz w:val="24"/>
    </w:rPr>
  </w:style>
  <w:style w:type="paragraph" w:customStyle="1" w:styleId="70">
    <w:name w:val="细化要求"/>
    <w:basedOn w:val="1"/>
    <w:link w:val="69"/>
    <w:qFormat/>
    <w:uiPriority w:val="0"/>
    <w:pPr>
      <w:ind w:firstLine="420"/>
    </w:pPr>
    <w:rPr>
      <w:rFonts w:ascii="楷体_GB2312" w:hAnsi="Calibri" w:eastAsia="楷体_GB2312"/>
      <w:b/>
      <w:color w:val="FF0000"/>
      <w:szCs w:val="20"/>
    </w:rPr>
  </w:style>
  <w:style w:type="character" w:customStyle="1" w:styleId="71">
    <w:name w:val="Item List Char1"/>
    <w:link w:val="72"/>
    <w:qFormat/>
    <w:uiPriority w:val="0"/>
    <w:rPr>
      <w:rFonts w:ascii="Arial" w:hAnsi="Arial" w:eastAsia="宋体" w:cs="Arial"/>
      <w:sz w:val="21"/>
      <w:szCs w:val="21"/>
    </w:rPr>
  </w:style>
  <w:style w:type="paragraph" w:customStyle="1" w:styleId="72">
    <w:name w:val="Item List"/>
    <w:link w:val="71"/>
    <w:qFormat/>
    <w:uiPriority w:val="0"/>
    <w:pPr>
      <w:spacing w:line="300" w:lineRule="auto"/>
      <w:jc w:val="both"/>
    </w:pPr>
    <w:rPr>
      <w:rFonts w:ascii="Arial" w:hAnsi="Arial" w:eastAsia="宋体" w:cs="Arial"/>
      <w:sz w:val="21"/>
      <w:szCs w:val="21"/>
      <w:lang w:val="en-US" w:eastAsia="zh-CN" w:bidi="ar-SA"/>
    </w:rPr>
  </w:style>
  <w:style w:type="character" w:customStyle="1" w:styleId="73">
    <w:name w:val="日期 字符"/>
    <w:link w:val="27"/>
    <w:qFormat/>
    <w:uiPriority w:val="0"/>
    <w:rPr>
      <w:rFonts w:ascii="宋体" w:hAnsi="宋体"/>
      <w:sz w:val="24"/>
      <w:szCs w:val="22"/>
    </w:rPr>
  </w:style>
  <w:style w:type="character" w:customStyle="1" w:styleId="74">
    <w:name w:val="列出段落 字符"/>
    <w:link w:val="75"/>
    <w:qFormat/>
    <w:uiPriority w:val="34"/>
    <w:rPr>
      <w:rFonts w:hint="eastAsia" w:ascii="宋体" w:hAnsi="宋体" w:eastAsia="宋体" w:cs="宋体"/>
      <w:sz w:val="24"/>
    </w:rPr>
  </w:style>
  <w:style w:type="paragraph" w:customStyle="1" w:styleId="75">
    <w:name w:val="列出段落1"/>
    <w:basedOn w:val="1"/>
    <w:link w:val="74"/>
    <w:qFormat/>
    <w:uiPriority w:val="34"/>
    <w:pPr>
      <w:ind w:firstLine="420" w:firstLineChars="200"/>
    </w:pPr>
    <w:rPr>
      <w:rFonts w:hint="eastAsia" w:ascii="等线" w:hAnsi="等线"/>
      <w:szCs w:val="22"/>
    </w:rPr>
  </w:style>
  <w:style w:type="character" w:customStyle="1" w:styleId="76">
    <w:name w:val="标题 2 Char Char"/>
    <w:qFormat/>
    <w:uiPriority w:val="0"/>
    <w:rPr>
      <w:sz w:val="28"/>
    </w:rPr>
  </w:style>
  <w:style w:type="character" w:customStyle="1" w:styleId="77">
    <w:name w:val="font11"/>
    <w:qFormat/>
    <w:uiPriority w:val="0"/>
    <w:rPr>
      <w:rFonts w:hint="default" w:ascii="Calibri" w:hAnsi="Calibri"/>
      <w:color w:val="000000"/>
      <w:sz w:val="20"/>
      <w:u w:val="none"/>
    </w:rPr>
  </w:style>
  <w:style w:type="character" w:customStyle="1" w:styleId="78">
    <w:name w:val="标题 字符"/>
    <w:link w:val="40"/>
    <w:qFormat/>
    <w:uiPriority w:val="10"/>
    <w:rPr>
      <w:rFonts w:ascii="等线 Light" w:hAnsi="等线 Light" w:eastAsia="等线 Light"/>
      <w:b/>
      <w:bCs/>
      <w:kern w:val="2"/>
      <w:sz w:val="32"/>
      <w:szCs w:val="32"/>
    </w:rPr>
  </w:style>
  <w:style w:type="character" w:customStyle="1" w:styleId="79">
    <w:name w:val="s1"/>
    <w:qFormat/>
    <w:uiPriority w:val="0"/>
    <w:rPr>
      <w:rFonts w:ascii="Helvetica Neue" w:hAnsi="Helvetica Neue" w:eastAsia="Helvetica Neue" w:cs="Helvetica Neue"/>
      <w:sz w:val="26"/>
      <w:szCs w:val="26"/>
    </w:rPr>
  </w:style>
  <w:style w:type="character" w:customStyle="1" w:styleId="80">
    <w:name w:val="正文文本缩进 字符"/>
    <w:semiHidden/>
    <w:qFormat/>
    <w:uiPriority w:val="0"/>
    <w:rPr>
      <w:rFonts w:ascii="宋体" w:hAnsi="宋体"/>
      <w:kern w:val="2"/>
      <w:sz w:val="24"/>
      <w:szCs w:val="24"/>
    </w:rPr>
  </w:style>
  <w:style w:type="character" w:customStyle="1" w:styleId="81">
    <w:name w:val="font21"/>
    <w:qFormat/>
    <w:uiPriority w:val="0"/>
    <w:rPr>
      <w:rFonts w:hint="eastAsia" w:ascii="宋体" w:hAnsi="宋体" w:eastAsia="宋体"/>
      <w:color w:val="252B3A"/>
      <w:sz w:val="21"/>
      <w:szCs w:val="21"/>
      <w:u w:val="none"/>
    </w:rPr>
  </w:style>
  <w:style w:type="character" w:customStyle="1" w:styleId="82">
    <w:name w:val="页脚 Char"/>
    <w:qFormat/>
    <w:uiPriority w:val="0"/>
    <w:rPr>
      <w:rFonts w:ascii="Calibri" w:hAnsi="Calibri" w:eastAsia="宋体"/>
      <w:sz w:val="18"/>
      <w:lang w:bidi="ar-SA"/>
    </w:rPr>
  </w:style>
  <w:style w:type="character" w:customStyle="1" w:styleId="83">
    <w:name w:val="页眉 字符1"/>
    <w:qFormat/>
    <w:uiPriority w:val="99"/>
    <w:rPr>
      <w:sz w:val="18"/>
      <w:szCs w:val="18"/>
    </w:rPr>
  </w:style>
  <w:style w:type="character" w:customStyle="1" w:styleId="84">
    <w:name w:val="fontstyle01"/>
    <w:qFormat/>
    <w:uiPriority w:val="0"/>
    <w:rPr>
      <w:rFonts w:hint="eastAsia" w:ascii="黑体" w:hAnsi="黑体" w:eastAsia="黑体"/>
      <w:color w:val="000000"/>
      <w:sz w:val="22"/>
      <w:szCs w:val="22"/>
    </w:rPr>
  </w:style>
  <w:style w:type="character" w:customStyle="1" w:styleId="85">
    <w:name w:val="font41"/>
    <w:qFormat/>
    <w:uiPriority w:val="0"/>
    <w:rPr>
      <w:rFonts w:hint="default" w:ascii="Times New Roman" w:hAnsi="Times New Roman" w:cs="Times New Roman"/>
      <w:color w:val="252B3A"/>
      <w:sz w:val="14"/>
      <w:szCs w:val="14"/>
      <w:u w:val="none"/>
    </w:rPr>
  </w:style>
  <w:style w:type="character" w:customStyle="1" w:styleId="86">
    <w:name w:val="1正文 Char"/>
    <w:link w:val="87"/>
    <w:qFormat/>
    <w:uiPriority w:val="0"/>
    <w:rPr>
      <w:rFonts w:ascii="宋体" w:hAnsi="宋体" w:cs="宋体"/>
      <w:snapToGrid w:val="0"/>
      <w:color w:val="000000"/>
      <w:sz w:val="21"/>
      <w:szCs w:val="21"/>
      <w:lang w:val="zh-CN"/>
    </w:rPr>
  </w:style>
  <w:style w:type="paragraph" w:customStyle="1" w:styleId="87">
    <w:name w:val="1正文"/>
    <w:basedOn w:val="1"/>
    <w:link w:val="86"/>
    <w:qFormat/>
    <w:uiPriority w:val="0"/>
    <w:pPr>
      <w:widowControl/>
      <w:adjustRightInd w:val="0"/>
      <w:snapToGrid w:val="0"/>
      <w:spacing w:before="120" w:beforeLines="50" w:after="120" w:afterLines="50"/>
      <w:ind w:left="991" w:leftChars="271" w:hanging="422" w:hangingChars="201"/>
    </w:pPr>
    <w:rPr>
      <w:rFonts w:cs="宋体"/>
      <w:snapToGrid w:val="0"/>
      <w:color w:val="000000"/>
      <w:kern w:val="0"/>
      <w:sz w:val="21"/>
      <w:szCs w:val="21"/>
      <w:lang w:val="zh-CN"/>
    </w:rPr>
  </w:style>
  <w:style w:type="character" w:customStyle="1" w:styleId="88">
    <w:name w:val="正文缩进 字符"/>
    <w:link w:val="17"/>
    <w:qFormat/>
    <w:uiPriority w:val="0"/>
    <w:rPr>
      <w:rFonts w:ascii="宋体" w:hAnsi="宋体" w:eastAsia="楷体_GB2312"/>
      <w:kern w:val="2"/>
      <w:sz w:val="24"/>
    </w:rPr>
  </w:style>
  <w:style w:type="character" w:customStyle="1" w:styleId="89">
    <w:name w:val="页脚 字符"/>
    <w:link w:val="30"/>
    <w:qFormat/>
    <w:uiPriority w:val="99"/>
    <w:rPr>
      <w:rFonts w:ascii="宋体" w:hAnsi="宋体"/>
      <w:kern w:val="2"/>
      <w:sz w:val="18"/>
      <w:szCs w:val="18"/>
    </w:rPr>
  </w:style>
  <w:style w:type="character" w:customStyle="1" w:styleId="90">
    <w:name w:val="批注主题 字符"/>
    <w:link w:val="41"/>
    <w:qFormat/>
    <w:uiPriority w:val="0"/>
    <w:rPr>
      <w:rFonts w:ascii="Times New Roman" w:hAnsi="Times New Roman" w:eastAsia="宋体"/>
      <w:b/>
      <w:bCs/>
      <w:kern w:val="2"/>
      <w:sz w:val="21"/>
      <w:szCs w:val="24"/>
    </w:rPr>
  </w:style>
  <w:style w:type="character" w:customStyle="1" w:styleId="91">
    <w:name w:val="批注文字 字符"/>
    <w:link w:val="21"/>
    <w:qFormat/>
    <w:uiPriority w:val="0"/>
    <w:rPr>
      <w:rFonts w:ascii="宋体" w:hAnsi="宋体"/>
      <w:kern w:val="2"/>
      <w:sz w:val="21"/>
      <w:szCs w:val="24"/>
    </w:rPr>
  </w:style>
  <w:style w:type="character" w:customStyle="1" w:styleId="92">
    <w:name w:val="正文文本 2 字符"/>
    <w:link w:val="38"/>
    <w:qFormat/>
    <w:uiPriority w:val="99"/>
    <w:rPr>
      <w:rFonts w:ascii="Times New Roman" w:hAnsi="Times New Roman" w:eastAsia="宋体" w:cs="Times New Roman"/>
      <w:sz w:val="24"/>
      <w:szCs w:val="24"/>
    </w:rPr>
  </w:style>
  <w:style w:type="character" w:customStyle="1" w:styleId="93">
    <w:name w:val="正文文本缩进 字符1"/>
    <w:link w:val="3"/>
    <w:qFormat/>
    <w:uiPriority w:val="0"/>
    <w:rPr>
      <w:rFonts w:ascii="宋体" w:hAnsi="Calibri"/>
      <w:kern w:val="2"/>
      <w:sz w:val="18"/>
    </w:rPr>
  </w:style>
  <w:style w:type="character" w:customStyle="1" w:styleId="94">
    <w:name w:val="页脚 字符1"/>
    <w:qFormat/>
    <w:uiPriority w:val="99"/>
    <w:rPr>
      <w:sz w:val="18"/>
      <w:szCs w:val="18"/>
    </w:rPr>
  </w:style>
  <w:style w:type="character" w:customStyle="1" w:styleId="95">
    <w:name w:val="font01"/>
    <w:qFormat/>
    <w:uiPriority w:val="0"/>
    <w:rPr>
      <w:rFonts w:hint="eastAsia" w:ascii="宋体" w:hAnsi="宋体" w:eastAsia="宋体" w:cs="宋体"/>
      <w:color w:val="000000"/>
      <w:sz w:val="22"/>
      <w:szCs w:val="22"/>
      <w:u w:val="none"/>
    </w:rPr>
  </w:style>
  <w:style w:type="character" w:customStyle="1" w:styleId="96">
    <w:name w:val="页眉 Char"/>
    <w:qFormat/>
    <w:uiPriority w:val="0"/>
    <w:rPr>
      <w:rFonts w:ascii="Calibri" w:hAnsi="Calibri" w:eastAsia="宋体"/>
      <w:sz w:val="18"/>
      <w:lang w:bidi="ar-SA"/>
    </w:rPr>
  </w:style>
  <w:style w:type="character" w:customStyle="1" w:styleId="97">
    <w:name w:val="Block Label Char"/>
    <w:link w:val="98"/>
    <w:qFormat/>
    <w:uiPriority w:val="0"/>
    <w:rPr>
      <w:rFonts w:ascii="Book Antiqua" w:hAnsi="Book Antiqua" w:eastAsia="黑体" w:cs="Book Antiqua"/>
      <w:bCs/>
      <w:sz w:val="26"/>
      <w:szCs w:val="26"/>
    </w:rPr>
  </w:style>
  <w:style w:type="paragraph" w:customStyle="1" w:styleId="98">
    <w:name w:val="Block Label"/>
    <w:basedOn w:val="1"/>
    <w:next w:val="1"/>
    <w:link w:val="97"/>
    <w:qFormat/>
    <w:uiPriority w:val="0"/>
    <w:pPr>
      <w:keepNext/>
      <w:keepLines/>
      <w:widowControl/>
      <w:topLinePunct/>
      <w:adjustRightInd w:val="0"/>
      <w:snapToGrid w:val="0"/>
      <w:spacing w:before="300" w:after="80" w:line="240" w:lineRule="atLeast"/>
      <w:outlineLvl w:val="3"/>
    </w:pPr>
    <w:rPr>
      <w:rFonts w:ascii="Book Antiqua" w:hAnsi="Book Antiqua" w:eastAsia="黑体" w:cs="Book Antiqua"/>
      <w:bCs/>
      <w:kern w:val="0"/>
      <w:sz w:val="26"/>
      <w:szCs w:val="26"/>
    </w:rPr>
  </w:style>
  <w:style w:type="character" w:customStyle="1" w:styleId="99">
    <w:name w:val="批注框文本 Char"/>
    <w:qFormat/>
    <w:uiPriority w:val="0"/>
    <w:rPr>
      <w:rFonts w:ascii="Calibri" w:hAnsi="Calibri" w:eastAsia="宋体"/>
      <w:sz w:val="18"/>
      <w:lang w:bidi="ar-SA"/>
    </w:rPr>
  </w:style>
  <w:style w:type="character" w:customStyle="1" w:styleId="100">
    <w:name w:val="发布"/>
    <w:qFormat/>
    <w:uiPriority w:val="0"/>
    <w:rPr>
      <w:rFonts w:ascii="黑体" w:eastAsia="黑体"/>
      <w:spacing w:val="22"/>
      <w:w w:val="100"/>
      <w:position w:val="3"/>
      <w:sz w:val="28"/>
    </w:rPr>
  </w:style>
  <w:style w:type="character" w:customStyle="1" w:styleId="101">
    <w:name w:val="批注主题 Char"/>
    <w:qFormat/>
    <w:uiPriority w:val="0"/>
    <w:rPr>
      <w:rFonts w:ascii="Calibri" w:hAnsi="Calibri" w:eastAsia="宋体"/>
      <w:b/>
      <w:bCs/>
      <w:kern w:val="2"/>
      <w:sz w:val="24"/>
      <w:lang w:val="en-US" w:eastAsia="zh-CN" w:bidi="ar-SA"/>
    </w:rPr>
  </w:style>
  <w:style w:type="character" w:customStyle="1" w:styleId="102">
    <w:name w:val="Bid_正文 Char"/>
    <w:link w:val="103"/>
    <w:qFormat/>
    <w:uiPriority w:val="0"/>
    <w:rPr>
      <w:b/>
      <w:kern w:val="2"/>
      <w:sz w:val="24"/>
    </w:rPr>
  </w:style>
  <w:style w:type="paragraph" w:customStyle="1" w:styleId="103">
    <w:name w:val="Bid_正文"/>
    <w:basedOn w:val="17"/>
    <w:link w:val="102"/>
    <w:qFormat/>
    <w:uiPriority w:val="0"/>
    <w:pPr>
      <w:adjustRightInd/>
      <w:spacing w:after="156" w:afterLines="50"/>
      <w:ind w:left="339" w:firstLine="97" w:firstLineChars="97"/>
      <w:jc w:val="both"/>
      <w:textAlignment w:val="auto"/>
    </w:pPr>
    <w:rPr>
      <w:rFonts w:ascii="Times New Roman" w:hAnsi="Times New Roman" w:eastAsia="宋体"/>
      <w:b/>
    </w:rPr>
  </w:style>
  <w:style w:type="character" w:customStyle="1" w:styleId="104">
    <w:name w:val="文档结构图 字符1"/>
    <w:link w:val="20"/>
    <w:qFormat/>
    <w:uiPriority w:val="0"/>
    <w:rPr>
      <w:rFonts w:ascii="宋体" w:hAnsi="Calibri"/>
      <w:sz w:val="18"/>
    </w:rPr>
  </w:style>
  <w:style w:type="character" w:customStyle="1" w:styleId="105">
    <w:name w:val="文档结构图 字符"/>
    <w:semiHidden/>
    <w:qFormat/>
    <w:uiPriority w:val="0"/>
    <w:rPr>
      <w:rFonts w:ascii="Microsoft YaHei UI" w:hAnsi="宋体" w:eastAsia="Microsoft YaHei UI"/>
      <w:kern w:val="2"/>
      <w:sz w:val="18"/>
      <w:szCs w:val="18"/>
    </w:rPr>
  </w:style>
  <w:style w:type="character" w:customStyle="1" w:styleId="106">
    <w:name w:val="font31"/>
    <w:qFormat/>
    <w:uiPriority w:val="0"/>
    <w:rPr>
      <w:rFonts w:hint="eastAsia" w:ascii="宋体" w:hAnsi="宋体" w:eastAsia="宋体"/>
      <w:color w:val="000000"/>
      <w:sz w:val="21"/>
      <w:szCs w:val="21"/>
      <w:u w:val="none"/>
    </w:rPr>
  </w:style>
  <w:style w:type="character" w:customStyle="1" w:styleId="107">
    <w:name w:val="纯文本 字符"/>
    <w:link w:val="25"/>
    <w:qFormat/>
    <w:uiPriority w:val="99"/>
    <w:rPr>
      <w:rFonts w:ascii="宋体" w:hAnsi="Courier New" w:eastAsia="宋体" w:cs="Times New Roman"/>
      <w:kern w:val="0"/>
      <w:sz w:val="20"/>
      <w:szCs w:val="21"/>
    </w:rPr>
  </w:style>
  <w:style w:type="character" w:customStyle="1" w:styleId="108">
    <w:name w:val="批注文字 Char"/>
    <w:qFormat/>
    <w:uiPriority w:val="0"/>
    <w:rPr>
      <w:rFonts w:ascii="Calibri" w:hAnsi="Calibri" w:eastAsia="宋体"/>
      <w:kern w:val="2"/>
      <w:sz w:val="24"/>
      <w:lang w:val="en-US" w:eastAsia="zh-CN" w:bidi="ar-SA"/>
    </w:rPr>
  </w:style>
  <w:style w:type="character" w:customStyle="1" w:styleId="109">
    <w:name w:val="批注框文本 字符"/>
    <w:link w:val="29"/>
    <w:qFormat/>
    <w:uiPriority w:val="0"/>
    <w:rPr>
      <w:rFonts w:ascii="Times New Roman" w:hAnsi="Times New Roman" w:eastAsia="宋体"/>
      <w:kern w:val="2"/>
      <w:sz w:val="18"/>
      <w:szCs w:val="18"/>
    </w:rPr>
  </w:style>
  <w:style w:type="character" w:customStyle="1" w:styleId="110">
    <w:name w:val="标题 Char"/>
    <w:qFormat/>
    <w:uiPriority w:val="0"/>
    <w:rPr>
      <w:rFonts w:ascii="Cambria" w:hAnsi="Cambria" w:eastAsia="宋体"/>
      <w:b/>
      <w:bCs/>
      <w:kern w:val="2"/>
      <w:sz w:val="32"/>
      <w:szCs w:val="32"/>
      <w:lang w:val="en-US" w:eastAsia="zh-CN" w:bidi="ar-SA"/>
    </w:rPr>
  </w:style>
  <w:style w:type="character" w:customStyle="1" w:styleId="111">
    <w:name w:val="标题 5 Char"/>
    <w:qFormat/>
    <w:uiPriority w:val="0"/>
    <w:rPr>
      <w:rFonts w:ascii="Calibri" w:hAnsi="Calibri" w:eastAsia="宋体"/>
      <w:b/>
      <w:sz w:val="28"/>
      <w:lang w:val="zh-CN" w:eastAsia="zh-CN" w:bidi="ar-SA"/>
    </w:rPr>
  </w:style>
  <w:style w:type="character" w:customStyle="1" w:styleId="112">
    <w:name w:val="标题 1 Char"/>
    <w:qFormat/>
    <w:uiPriority w:val="0"/>
    <w:rPr>
      <w:rFonts w:ascii="Calibri" w:hAnsi="Calibri" w:eastAsia="宋体"/>
      <w:b/>
      <w:kern w:val="44"/>
      <w:sz w:val="24"/>
      <w:lang w:val="zh-CN" w:eastAsia="zh-CN" w:bidi="ar-SA"/>
    </w:rPr>
  </w:style>
  <w:style w:type="character" w:customStyle="1" w:styleId="113">
    <w:name w:val="列表段落 字符"/>
    <w:link w:val="114"/>
    <w:qFormat/>
    <w:uiPriority w:val="34"/>
    <w:rPr>
      <w:rFonts w:ascii="Times New Roman" w:hAnsi="Times New Roman" w:eastAsia="宋体"/>
      <w:kern w:val="2"/>
      <w:sz w:val="24"/>
      <w:szCs w:val="24"/>
    </w:rPr>
  </w:style>
  <w:style w:type="paragraph" w:styleId="114">
    <w:name w:val="List Paragraph"/>
    <w:basedOn w:val="1"/>
    <w:link w:val="113"/>
    <w:qFormat/>
    <w:uiPriority w:val="34"/>
    <w:pPr>
      <w:ind w:firstLine="420"/>
    </w:pPr>
  </w:style>
  <w:style w:type="character" w:customStyle="1" w:styleId="115">
    <w:name w:val="Figure Char"/>
    <w:link w:val="116"/>
    <w:qFormat/>
    <w:uiPriority w:val="0"/>
    <w:rPr>
      <w:rFonts w:ascii="Times New Roman" w:hAnsi="Times New Roman" w:eastAsia="宋体" w:cs="Arial"/>
      <w:kern w:val="2"/>
      <w:sz w:val="21"/>
      <w:szCs w:val="21"/>
    </w:rPr>
  </w:style>
  <w:style w:type="paragraph" w:customStyle="1" w:styleId="116">
    <w:name w:val="Figure"/>
    <w:basedOn w:val="1"/>
    <w:next w:val="1"/>
    <w:link w:val="115"/>
    <w:qFormat/>
    <w:uiPriority w:val="0"/>
    <w:pPr>
      <w:widowControl/>
      <w:topLinePunct/>
      <w:adjustRightInd w:val="0"/>
      <w:snapToGrid w:val="0"/>
      <w:spacing w:after="20" w:line="240" w:lineRule="auto"/>
      <w:jc w:val="center"/>
    </w:pPr>
    <w:rPr>
      <w:rFonts w:cs="Arial"/>
      <w:sz w:val="21"/>
      <w:szCs w:val="21"/>
    </w:rPr>
  </w:style>
  <w:style w:type="character" w:customStyle="1" w:styleId="117">
    <w:name w:val="正文文本首行缩进 字符"/>
    <w:link w:val="42"/>
    <w:qFormat/>
    <w:uiPriority w:val="0"/>
    <w:rPr>
      <w:rFonts w:ascii="宋体" w:hAnsi="宋体"/>
      <w:kern w:val="2"/>
      <w:sz w:val="24"/>
      <w:szCs w:val="24"/>
      <w:lang w:eastAsia="zh-Hans"/>
    </w:rPr>
  </w:style>
  <w:style w:type="paragraph" w:customStyle="1" w:styleId="118">
    <w:name w:val="TOC 标题2"/>
    <w:basedOn w:val="6"/>
    <w:next w:val="1"/>
    <w:qFormat/>
    <w:uiPriority w:val="0"/>
    <w:pPr>
      <w:widowControl/>
      <w:numPr>
        <w:numId w:val="0"/>
      </w:numPr>
      <w:spacing w:before="480" w:line="276" w:lineRule="auto"/>
      <w:jc w:val="left"/>
      <w:outlineLvl w:val="9"/>
    </w:pPr>
    <w:rPr>
      <w:rFonts w:ascii="Cambria" w:hAnsi="Cambria" w:cs="Times New Roman"/>
      <w:bCs/>
      <w:color w:val="365F91"/>
      <w:kern w:val="0"/>
      <w:sz w:val="28"/>
      <w:szCs w:val="44"/>
    </w:rPr>
  </w:style>
  <w:style w:type="paragraph" w:customStyle="1" w:styleId="119">
    <w:name w:val="_Style 37"/>
    <w:basedOn w:val="1"/>
    <w:next w:val="114"/>
    <w:qFormat/>
    <w:uiPriority w:val="34"/>
    <w:pPr>
      <w:widowControl/>
      <w:ind w:firstLine="420" w:firstLineChars="200"/>
    </w:pPr>
    <w:rPr>
      <w:rFonts w:ascii="Calibri" w:hAnsi="Calibri"/>
      <w:kern w:val="0"/>
      <w:szCs w:val="22"/>
    </w:rPr>
  </w:style>
  <w:style w:type="paragraph" w:customStyle="1" w:styleId="120">
    <w:name w:val="发布日期"/>
    <w:qFormat/>
    <w:uiPriority w:val="0"/>
    <w:pPr>
      <w:ind w:left="1225" w:hanging="357"/>
      <w:jc w:val="both"/>
    </w:pPr>
    <w:rPr>
      <w:rFonts w:ascii="Calibri" w:hAnsi="Calibri" w:eastAsia="黑体" w:cs="Times New Roman"/>
      <w:sz w:val="28"/>
      <w:lang w:val="en-US" w:eastAsia="zh-CN" w:bidi="ar-SA"/>
    </w:rPr>
  </w:style>
  <w:style w:type="paragraph" w:customStyle="1" w:styleId="121">
    <w:name w:val="p2"/>
    <w:basedOn w:val="1"/>
    <w:qFormat/>
    <w:uiPriority w:val="0"/>
    <w:pPr>
      <w:spacing w:beforeLines="50" w:afterLines="50" w:line="240" w:lineRule="auto"/>
      <w:ind w:firstLine="200" w:firstLineChars="200"/>
    </w:pPr>
    <w:rPr>
      <w:rFonts w:ascii="Helvetica Neue" w:hAnsi="Helvetica Neue" w:eastAsia="Helvetica Neue"/>
      <w:kern w:val="0"/>
      <w:sz w:val="26"/>
      <w:szCs w:val="26"/>
    </w:rPr>
  </w:style>
  <w:style w:type="paragraph" w:customStyle="1" w:styleId="122">
    <w:name w:val="二级条标题"/>
    <w:basedOn w:val="123"/>
    <w:next w:val="125"/>
    <w:qFormat/>
    <w:uiPriority w:val="0"/>
    <w:pPr>
      <w:outlineLvl w:val="3"/>
    </w:pPr>
  </w:style>
  <w:style w:type="paragraph" w:customStyle="1" w:styleId="123">
    <w:name w:val="一级条标题"/>
    <w:basedOn w:val="124"/>
    <w:next w:val="125"/>
    <w:qFormat/>
    <w:uiPriority w:val="0"/>
    <w:pPr>
      <w:spacing w:before="0" w:after="0"/>
      <w:outlineLvl w:val="2"/>
    </w:pPr>
  </w:style>
  <w:style w:type="paragraph" w:customStyle="1" w:styleId="124">
    <w:name w:val="章标题"/>
    <w:next w:val="125"/>
    <w:qFormat/>
    <w:uiPriority w:val="0"/>
    <w:pPr>
      <w:spacing w:before="50" w:after="50"/>
      <w:jc w:val="both"/>
      <w:outlineLvl w:val="1"/>
    </w:pPr>
    <w:rPr>
      <w:rFonts w:ascii="黑体" w:hAnsi="Calibri" w:eastAsia="黑体" w:cs="Times New Roman"/>
      <w:sz w:val="21"/>
      <w:lang w:val="en-US" w:eastAsia="zh-CN" w:bidi="ar-SA"/>
    </w:rPr>
  </w:style>
  <w:style w:type="paragraph" w:customStyle="1" w:styleId="125">
    <w:name w:val="段"/>
    <w:qFormat/>
    <w:uiPriority w:val="0"/>
    <w:pPr>
      <w:autoSpaceDE w:val="0"/>
      <w:autoSpaceDN w:val="0"/>
      <w:ind w:left="1225" w:firstLine="200"/>
      <w:jc w:val="both"/>
    </w:pPr>
    <w:rPr>
      <w:rFonts w:ascii="宋体" w:hAnsi="Calibri" w:eastAsia="宋体" w:cs="Times New Roman"/>
      <w:sz w:val="21"/>
      <w:lang w:val="en-US" w:eastAsia="zh-CN" w:bidi="ar-SA"/>
    </w:rPr>
  </w:style>
  <w:style w:type="character" w:customStyle="1" w:styleId="126">
    <w:name w:val="普通(网站) 字符"/>
    <w:link w:val="39"/>
    <w:qFormat/>
    <w:uiPriority w:val="99"/>
    <w:rPr>
      <w:rFonts w:ascii="宋体" w:hAnsi="宋体" w:cs="宋体"/>
      <w:sz w:val="24"/>
      <w:szCs w:val="24"/>
    </w:rPr>
  </w:style>
  <w:style w:type="paragraph" w:customStyle="1" w:styleId="127">
    <w:name w:val="封面标准文稿编辑信息"/>
    <w:qFormat/>
    <w:uiPriority w:val="0"/>
    <w:pPr>
      <w:spacing w:before="180" w:line="180" w:lineRule="exact"/>
      <w:ind w:left="1225" w:hanging="357"/>
      <w:jc w:val="center"/>
    </w:pPr>
    <w:rPr>
      <w:rFonts w:ascii="宋体" w:hAnsi="Calibri" w:eastAsia="宋体" w:cs="Times New Roman"/>
      <w:sz w:val="21"/>
      <w:lang w:val="en-US" w:eastAsia="zh-CN" w:bidi="ar-SA"/>
    </w:rPr>
  </w:style>
  <w:style w:type="paragraph" w:customStyle="1" w:styleId="128">
    <w:name w:val="发布部门"/>
    <w:next w:val="1"/>
    <w:qFormat/>
    <w:uiPriority w:val="0"/>
    <w:pPr>
      <w:ind w:left="1225" w:hanging="357"/>
      <w:jc w:val="center"/>
    </w:pPr>
    <w:rPr>
      <w:rFonts w:ascii="宋体" w:hAnsi="Calibri" w:eastAsia="宋体" w:cs="Times New Roman"/>
      <w:b/>
      <w:spacing w:val="20"/>
      <w:w w:val="135"/>
      <w:sz w:val="36"/>
      <w:lang w:val="en-US" w:eastAsia="zh-CN" w:bidi="ar-SA"/>
    </w:rPr>
  </w:style>
  <w:style w:type="paragraph" w:customStyle="1" w:styleId="129">
    <w:name w:val="三级条标题"/>
    <w:basedOn w:val="122"/>
    <w:next w:val="125"/>
    <w:qFormat/>
    <w:uiPriority w:val="0"/>
    <w:pPr>
      <w:outlineLvl w:val="4"/>
    </w:pPr>
  </w:style>
  <w:style w:type="paragraph" w:customStyle="1" w:styleId="130">
    <w:name w:val="封面标准英文名称"/>
    <w:qFormat/>
    <w:uiPriority w:val="0"/>
    <w:pPr>
      <w:widowControl w:val="0"/>
      <w:spacing w:before="370" w:line="400" w:lineRule="exact"/>
      <w:ind w:left="1225" w:hanging="357"/>
      <w:jc w:val="center"/>
    </w:pPr>
    <w:rPr>
      <w:rFonts w:ascii="Calibri" w:hAnsi="Calibri" w:eastAsia="宋体" w:cs="Times New Roman"/>
      <w:sz w:val="28"/>
      <w:lang w:val="en-US" w:eastAsia="zh-CN" w:bidi="ar-SA"/>
    </w:rPr>
  </w:style>
  <w:style w:type="paragraph" w:customStyle="1" w:styleId="131">
    <w:name w:val="封面正文"/>
    <w:qFormat/>
    <w:uiPriority w:val="0"/>
    <w:pPr>
      <w:ind w:left="1225" w:hanging="357"/>
      <w:jc w:val="both"/>
    </w:pPr>
    <w:rPr>
      <w:rFonts w:ascii="Calibri" w:hAnsi="Calibri" w:eastAsia="宋体" w:cs="Times New Roman"/>
      <w:lang w:val="en-US" w:eastAsia="zh-CN" w:bidi="ar-SA"/>
    </w:rPr>
  </w:style>
  <w:style w:type="paragraph" w:customStyle="1" w:styleId="132">
    <w:name w:val="其他标准称谓"/>
    <w:qFormat/>
    <w:uiPriority w:val="0"/>
    <w:pPr>
      <w:numPr>
        <w:ilvl w:val="0"/>
        <w:numId w:val="4"/>
      </w:numPr>
      <w:spacing w:line="360" w:lineRule="auto"/>
      <w:jc w:val="both"/>
    </w:pPr>
    <w:rPr>
      <w:rFonts w:ascii="宋体" w:hAnsi="宋体" w:eastAsia="宋体" w:cs="Times New Roman"/>
      <w:sz w:val="24"/>
      <w:szCs w:val="24"/>
      <w:lang w:val="en-US" w:eastAsia="zh-CN" w:bidi="ar-SA"/>
    </w:rPr>
  </w:style>
  <w:style w:type="paragraph" w:customStyle="1" w:styleId="133">
    <w:name w:val="页眉（横）"/>
    <w:basedOn w:val="31"/>
    <w:qFormat/>
    <w:uiPriority w:val="0"/>
    <w:pPr>
      <w:widowControl/>
      <w:numPr>
        <w:ilvl w:val="0"/>
        <w:numId w:val="5"/>
      </w:numPr>
      <w:tabs>
        <w:tab w:val="clear" w:pos="425"/>
      </w:tabs>
      <w:ind w:left="0" w:firstLine="0" w:firstLineChars="200"/>
    </w:pPr>
    <w:rPr>
      <w:rFonts w:ascii="Calibri" w:hAnsi="Calibri"/>
      <w:kern w:val="0"/>
      <w:lang w:val="zh-CN"/>
    </w:rPr>
  </w:style>
  <w:style w:type="paragraph" w:customStyle="1" w:styleId="134">
    <w:name w:val="p1"/>
    <w:basedOn w:val="1"/>
    <w:qFormat/>
    <w:uiPriority w:val="0"/>
    <w:pPr>
      <w:spacing w:beforeLines="50" w:afterLines="50" w:line="240" w:lineRule="auto"/>
      <w:ind w:firstLine="200" w:firstLineChars="200"/>
    </w:pPr>
    <w:rPr>
      <w:rFonts w:ascii="pingfang sc" w:hAnsi="pingfang sc" w:eastAsia="pingfang sc"/>
      <w:kern w:val="0"/>
      <w:sz w:val="26"/>
      <w:szCs w:val="26"/>
    </w:rPr>
  </w:style>
  <w:style w:type="paragraph" w:customStyle="1" w:styleId="135">
    <w:name w:val="标准书脚_偶数页"/>
    <w:qFormat/>
    <w:uiPriority w:val="0"/>
    <w:pPr>
      <w:spacing w:before="120"/>
      <w:ind w:left="1225" w:hanging="357"/>
      <w:jc w:val="both"/>
    </w:pPr>
    <w:rPr>
      <w:rFonts w:ascii="Calibri" w:hAnsi="Calibri" w:eastAsia="宋体" w:cs="Times New Roman"/>
      <w:sz w:val="18"/>
      <w:lang w:val="en-US" w:eastAsia="zh-CN" w:bidi="ar-SA"/>
    </w:rPr>
  </w:style>
  <w:style w:type="paragraph" w:customStyle="1" w:styleId="136">
    <w:name w:val="0"/>
    <w:basedOn w:val="1"/>
    <w:qFormat/>
    <w:uiPriority w:val="0"/>
    <w:pPr>
      <w:widowControl/>
      <w:snapToGrid w:val="0"/>
      <w:spacing w:line="300" w:lineRule="auto"/>
    </w:pPr>
    <w:rPr>
      <w:rFonts w:ascii="Calibri" w:hAnsi="Calibri"/>
      <w:kern w:val="0"/>
      <w:szCs w:val="20"/>
    </w:rPr>
  </w:style>
  <w:style w:type="paragraph" w:customStyle="1" w:styleId="137">
    <w:name w:val="纯文本1"/>
    <w:basedOn w:val="1"/>
    <w:qFormat/>
    <w:uiPriority w:val="0"/>
    <w:pPr>
      <w:spacing w:line="240" w:lineRule="auto"/>
    </w:pPr>
    <w:rPr>
      <w:rFonts w:hint="eastAsia" w:hAnsi="Courier New"/>
      <w:sz w:val="21"/>
    </w:rPr>
  </w:style>
  <w:style w:type="paragraph" w:customStyle="1" w:styleId="138">
    <w:name w:val="msolistparagraph"/>
    <w:basedOn w:val="1"/>
    <w:qFormat/>
    <w:uiPriority w:val="0"/>
    <w:pPr>
      <w:spacing w:line="240" w:lineRule="auto"/>
      <w:ind w:firstLine="420"/>
    </w:pPr>
    <w:rPr>
      <w:sz w:val="21"/>
    </w:rPr>
  </w:style>
  <w:style w:type="paragraph" w:customStyle="1" w:styleId="139">
    <w:name w:val="p4"/>
    <w:basedOn w:val="1"/>
    <w:qFormat/>
    <w:uiPriority w:val="0"/>
    <w:pPr>
      <w:spacing w:line="240" w:lineRule="auto"/>
    </w:pPr>
    <w:rPr>
      <w:rFonts w:ascii="Helvetica Neue" w:hAnsi="Helvetica Neue" w:cs="宋体"/>
      <w:kern w:val="0"/>
      <w:sz w:val="26"/>
      <w:szCs w:val="26"/>
    </w:rPr>
  </w:style>
  <w:style w:type="paragraph" w:customStyle="1" w:styleId="140">
    <w:name w:val="实施日期"/>
    <w:basedOn w:val="120"/>
    <w:qFormat/>
    <w:uiPriority w:val="0"/>
    <w:pPr>
      <w:jc w:val="right"/>
    </w:pPr>
  </w:style>
  <w:style w:type="paragraph" w:customStyle="1" w:styleId="141">
    <w:name w:val="中文正文"/>
    <w:basedOn w:val="1"/>
    <w:qFormat/>
    <w:uiPriority w:val="0"/>
    <w:pPr>
      <w:spacing w:before="156" w:beforeLines="50" w:after="156" w:afterLines="50"/>
    </w:pPr>
    <w:rPr>
      <w:rFonts w:ascii="Times New Roman" w:hAnsi="Times New Roman"/>
      <w:sz w:val="21"/>
      <w:szCs w:val="20"/>
    </w:rPr>
  </w:style>
  <w:style w:type="paragraph" w:customStyle="1" w:styleId="142">
    <w:name w:val="正文 A"/>
    <w:qFormat/>
    <w:uiPriority w:val="0"/>
    <w:pPr>
      <w:spacing w:after="100"/>
    </w:pPr>
    <w:rPr>
      <w:rFonts w:ascii="Arial" w:hAnsi="Arial" w:eastAsia="Arial" w:cs="Arial"/>
      <w:color w:val="000000"/>
      <w:lang w:val="en-US" w:eastAsia="zh-CN" w:bidi="ar-SA"/>
    </w:rPr>
  </w:style>
  <w:style w:type="paragraph" w:customStyle="1" w:styleId="143">
    <w:name w:val="TOC 标题1"/>
    <w:basedOn w:val="6"/>
    <w:next w:val="1"/>
    <w:unhideWhenUsed/>
    <w:qFormat/>
    <w:uiPriority w:val="39"/>
    <w:pPr>
      <w:widowControl/>
      <w:numPr>
        <w:numId w:val="0"/>
      </w:numPr>
      <w:spacing w:before="240" w:line="259" w:lineRule="auto"/>
      <w:jc w:val="left"/>
      <w:outlineLvl w:val="9"/>
    </w:pPr>
    <w:rPr>
      <w:rFonts w:ascii="Cambria" w:hAnsi="Cambria" w:cs="Times New Roman"/>
      <w:b w:val="0"/>
      <w:color w:val="365F91"/>
      <w:kern w:val="0"/>
      <w:sz w:val="32"/>
      <w:szCs w:val="32"/>
    </w:rPr>
  </w:style>
  <w:style w:type="paragraph" w:customStyle="1" w:styleId="144">
    <w:name w:val="Text Char Char Char"/>
    <w:basedOn w:val="1"/>
    <w:qFormat/>
    <w:uiPriority w:val="0"/>
    <w:pPr>
      <w:widowControl/>
      <w:snapToGrid w:val="0"/>
      <w:spacing w:before="80" w:after="80" w:line="240" w:lineRule="auto"/>
      <w:ind w:left="150" w:hanging="150" w:hangingChars="150"/>
    </w:pPr>
    <w:rPr>
      <w:rFonts w:ascii="Arial" w:hAnsi="Arial"/>
      <w:sz w:val="21"/>
      <w:szCs w:val="21"/>
    </w:rPr>
  </w:style>
  <w:style w:type="paragraph" w:customStyle="1" w:styleId="145">
    <w:name w:val="正文1"/>
    <w:qFormat/>
    <w:uiPriority w:val="0"/>
    <w:pPr>
      <w:widowControl w:val="0"/>
      <w:adjustRightInd w:val="0"/>
      <w:spacing w:line="360" w:lineRule="atLeast"/>
      <w:textAlignment w:val="baseline"/>
    </w:pPr>
    <w:rPr>
      <w:rFonts w:ascii="宋体" w:hAnsi="Calibri" w:eastAsia="宋体" w:cs="Times New Roman"/>
      <w:b/>
      <w:position w:val="-10"/>
      <w:sz w:val="24"/>
      <w:lang w:val="en-US" w:eastAsia="zh-CN" w:bidi="ar-SA"/>
    </w:rPr>
  </w:style>
  <w:style w:type="paragraph" w:customStyle="1" w:styleId="146">
    <w:name w:val="正本正文"/>
    <w:basedOn w:val="1"/>
    <w:qFormat/>
    <w:uiPriority w:val="0"/>
    <w:pPr>
      <w:widowControl/>
      <w:ind w:firstLine="560" w:firstLineChars="200"/>
    </w:pPr>
    <w:rPr>
      <w:rFonts w:ascii="仿宋" w:hAnsi="仿宋" w:eastAsia="仿宋"/>
      <w:b/>
      <w:kern w:val="0"/>
      <w:szCs w:val="28"/>
      <w:lang w:val="zh-CN"/>
    </w:rPr>
  </w:style>
  <w:style w:type="paragraph" w:customStyle="1" w:styleId="147">
    <w:name w:val="五级条标题"/>
    <w:basedOn w:val="148"/>
    <w:next w:val="125"/>
    <w:qFormat/>
    <w:uiPriority w:val="0"/>
    <w:pPr>
      <w:outlineLvl w:val="6"/>
    </w:pPr>
  </w:style>
  <w:style w:type="paragraph" w:customStyle="1" w:styleId="148">
    <w:name w:val="四级条标题"/>
    <w:basedOn w:val="129"/>
    <w:next w:val="125"/>
    <w:qFormat/>
    <w:uiPriority w:val="0"/>
    <w:pPr>
      <w:outlineLvl w:val="5"/>
    </w:pPr>
  </w:style>
  <w:style w:type="paragraph" w:customStyle="1" w:styleId="149">
    <w:name w:val="列表段落2"/>
    <w:basedOn w:val="1"/>
    <w:qFormat/>
    <w:uiPriority w:val="34"/>
    <w:pPr>
      <w:spacing w:line="240" w:lineRule="auto"/>
      <w:ind w:firstLine="420" w:firstLineChars="200"/>
    </w:pPr>
    <w:rPr>
      <w:rFonts w:ascii="Calibri" w:hAnsi="Calibri"/>
      <w:sz w:val="21"/>
    </w:rPr>
  </w:style>
  <w:style w:type="paragraph" w:customStyle="1" w:styleId="150">
    <w:name w:val="正文一级小标题"/>
    <w:basedOn w:val="1"/>
    <w:next w:val="1"/>
    <w:unhideWhenUsed/>
    <w:qFormat/>
    <w:uiPriority w:val="39"/>
    <w:pPr>
      <w:numPr>
        <w:ilvl w:val="0"/>
        <w:numId w:val="6"/>
      </w:numPr>
      <w:snapToGrid w:val="0"/>
      <w:ind w:left="0" w:firstLine="482" w:firstLineChars="200"/>
    </w:pPr>
    <w:rPr>
      <w:b/>
    </w:rPr>
  </w:style>
  <w:style w:type="paragraph" w:customStyle="1" w:styleId="151">
    <w:name w:val="列表段落1"/>
    <w:basedOn w:val="1"/>
    <w:qFormat/>
    <w:uiPriority w:val="0"/>
    <w:pPr>
      <w:ind w:firstLine="420" w:firstLineChars="200"/>
    </w:pPr>
    <w:rPr>
      <w:rFonts w:ascii="等线" w:hAnsi="等线"/>
    </w:rPr>
  </w:style>
  <w:style w:type="paragraph" w:customStyle="1" w:styleId="152">
    <w:name w:val="正文11"/>
    <w:basedOn w:val="1"/>
    <w:qFormat/>
    <w:uiPriority w:val="0"/>
    <w:pPr>
      <w:tabs>
        <w:tab w:val="left" w:pos="0"/>
        <w:tab w:val="left" w:pos="1134"/>
        <w:tab w:val="left" w:pos="8505"/>
      </w:tabs>
      <w:spacing w:before="60" w:after="60" w:line="400" w:lineRule="exact"/>
      <w:ind w:left="1191" w:hanging="1191"/>
      <w:textAlignment w:val="baseline"/>
    </w:pPr>
    <w:rPr>
      <w:rFonts w:ascii="Arial" w:hAnsi="Arial"/>
      <w:kern w:val="0"/>
      <w:szCs w:val="20"/>
    </w:rPr>
  </w:style>
  <w:style w:type="paragraph" w:customStyle="1" w:styleId="153">
    <w:name w:val="标准称谓"/>
    <w:next w:val="1"/>
    <w:qFormat/>
    <w:uiPriority w:val="0"/>
    <w:pPr>
      <w:widowControl w:val="0"/>
      <w:kinsoku w:val="0"/>
      <w:overflowPunct w:val="0"/>
      <w:autoSpaceDE w:val="0"/>
      <w:autoSpaceDN w:val="0"/>
      <w:spacing w:line="0" w:lineRule="atLeast"/>
      <w:ind w:left="1225" w:hanging="357"/>
      <w:jc w:val="distribute"/>
    </w:pPr>
    <w:rPr>
      <w:rFonts w:ascii="宋体" w:hAnsi="Calibri" w:eastAsia="宋体" w:cs="Times New Roman"/>
      <w:b/>
      <w:spacing w:val="20"/>
      <w:w w:val="148"/>
      <w:sz w:val="52"/>
      <w:lang w:val="en-US" w:eastAsia="zh-CN" w:bidi="ar-SA"/>
    </w:rPr>
  </w:style>
  <w:style w:type="paragraph" w:customStyle="1" w:styleId="154">
    <w:name w:val="正文首行缩进1"/>
    <w:basedOn w:val="4"/>
    <w:qFormat/>
    <w:uiPriority w:val="0"/>
    <w:pPr>
      <w:widowControl/>
      <w:adjustRightInd/>
      <w:spacing w:before="100" w:beforeAutospacing="1" w:afterLines="50"/>
      <w:ind w:left="1080"/>
      <w:jc w:val="both"/>
    </w:pPr>
    <w:rPr>
      <w:rFonts w:ascii="Arial" w:hAnsi="Arial"/>
      <w:sz w:val="21"/>
      <w:szCs w:val="21"/>
    </w:rPr>
  </w:style>
  <w:style w:type="paragraph" w:customStyle="1" w:styleId="155">
    <w:name w:val="Text Char Char Char Char"/>
    <w:basedOn w:val="1"/>
    <w:qFormat/>
    <w:uiPriority w:val="0"/>
    <w:pPr>
      <w:widowControl/>
      <w:snapToGrid w:val="0"/>
      <w:spacing w:before="80" w:after="80" w:line="240" w:lineRule="auto"/>
      <w:ind w:left="150" w:hanging="150" w:hangingChars="150"/>
    </w:pPr>
    <w:rPr>
      <w:rFonts w:ascii="Arial" w:hAnsi="Arial"/>
      <w:sz w:val="21"/>
      <w:szCs w:val="21"/>
    </w:rPr>
  </w:style>
  <w:style w:type="paragraph" w:customStyle="1" w:styleId="156">
    <w:name w:val="标题2-小标"/>
    <w:basedOn w:val="1"/>
    <w:qFormat/>
    <w:uiPriority w:val="0"/>
    <w:rPr>
      <w:b/>
    </w:rPr>
  </w:style>
  <w:style w:type="paragraph" w:customStyle="1" w:styleId="157">
    <w:name w:val="正文（首行不缩进）"/>
    <w:basedOn w:val="1"/>
    <w:qFormat/>
    <w:uiPriority w:val="0"/>
    <w:pPr>
      <w:autoSpaceDE w:val="0"/>
      <w:autoSpaceDN w:val="0"/>
      <w:adjustRightInd w:val="0"/>
    </w:pPr>
    <w:rPr>
      <w:snapToGrid w:val="0"/>
      <w:kern w:val="0"/>
      <w:sz w:val="21"/>
      <w:szCs w:val="21"/>
    </w:rPr>
  </w:style>
  <w:style w:type="paragraph" w:customStyle="1" w:styleId="158">
    <w:name w:val="列举2"/>
    <w:basedOn w:val="1"/>
    <w:qFormat/>
    <w:uiPriority w:val="0"/>
    <w:pPr>
      <w:tabs>
        <w:tab w:val="left" w:pos="1106"/>
        <w:tab w:val="left" w:pos="2211"/>
        <w:tab w:val="left" w:pos="3317"/>
        <w:tab w:val="left" w:pos="4423"/>
        <w:tab w:val="left" w:pos="5528"/>
        <w:tab w:val="left" w:pos="6634"/>
        <w:tab w:val="left" w:pos="7740"/>
      </w:tabs>
      <w:spacing w:before="120" w:after="120"/>
    </w:pPr>
    <w:rPr>
      <w:rFonts w:cs="Arial"/>
      <w:kern w:val="0"/>
      <w:sz w:val="22"/>
      <w:szCs w:val="22"/>
    </w:rPr>
  </w:style>
  <w:style w:type="paragraph" w:customStyle="1" w:styleId="159">
    <w:name w:val="xl28"/>
    <w:basedOn w:val="1"/>
    <w:qFormat/>
    <w:uiPriority w:val="0"/>
    <w:pPr>
      <w:widowControl/>
      <w:spacing w:before="100" w:after="100"/>
      <w:jc w:val="center"/>
    </w:pPr>
    <w:rPr>
      <w:rFonts w:hint="eastAsia" w:ascii="Arial Unicode MS" w:hAnsi="Arial Unicode MS" w:eastAsia="Arial Unicode MS"/>
      <w:kern w:val="0"/>
      <w:szCs w:val="20"/>
    </w:rPr>
  </w:style>
  <w:style w:type="paragraph" w:customStyle="1" w:styleId="160">
    <w:name w:val="p3"/>
    <w:basedOn w:val="1"/>
    <w:qFormat/>
    <w:uiPriority w:val="0"/>
    <w:pPr>
      <w:spacing w:beforeLines="50" w:afterLines="50" w:line="240" w:lineRule="auto"/>
      <w:ind w:firstLine="200" w:firstLineChars="200"/>
    </w:pPr>
    <w:rPr>
      <w:rFonts w:ascii="pingfang sc" w:hAnsi="pingfang sc" w:eastAsia="pingfang sc"/>
      <w:kern w:val="0"/>
      <w:sz w:val="26"/>
      <w:szCs w:val="26"/>
    </w:rPr>
  </w:style>
  <w:style w:type="paragraph" w:customStyle="1" w:styleId="161">
    <w:name w:val="TOC Heading"/>
    <w:basedOn w:val="6"/>
    <w:next w:val="1"/>
    <w:qFormat/>
    <w:uiPriority w:val="39"/>
    <w:pPr>
      <w:widowControl/>
      <w:numPr>
        <w:numId w:val="0"/>
      </w:numPr>
      <w:spacing w:before="240" w:line="259" w:lineRule="auto"/>
      <w:jc w:val="left"/>
      <w:outlineLvl w:val="9"/>
    </w:pPr>
    <w:rPr>
      <w:rFonts w:ascii="等线 Light" w:hAnsi="等线 Light" w:eastAsia="等线 Light"/>
      <w:b w:val="0"/>
      <w:bCs/>
      <w:color w:val="2F5496"/>
      <w:kern w:val="0"/>
      <w:szCs w:val="32"/>
    </w:rPr>
  </w:style>
  <w:style w:type="paragraph" w:customStyle="1" w:styleId="162">
    <w:name w:val="图注"/>
    <w:basedOn w:val="1"/>
    <w:qFormat/>
    <w:uiPriority w:val="0"/>
    <w:pPr>
      <w:spacing w:before="120" w:after="120"/>
      <w:ind w:firstLine="454"/>
      <w:jc w:val="center"/>
    </w:pPr>
    <w:rPr>
      <w:rFonts w:eastAsia="华文楷体" w:cs="Arial"/>
      <w:kern w:val="0"/>
      <w:sz w:val="22"/>
      <w:szCs w:val="20"/>
    </w:rPr>
  </w:style>
  <w:style w:type="paragraph" w:customStyle="1" w:styleId="163">
    <w:name w:val="正文字缩1字"/>
    <w:basedOn w:val="1"/>
    <w:qFormat/>
    <w:uiPriority w:val="0"/>
    <w:pPr>
      <w:spacing w:before="60" w:after="60"/>
      <w:ind w:left="100" w:leftChars="100" w:firstLine="200" w:firstLineChars="200"/>
    </w:pPr>
    <w:rPr>
      <w:rFonts w:ascii="Times New Roman" w:hAnsi="Times New Roman"/>
      <w:szCs w:val="22"/>
    </w:rPr>
  </w:style>
  <w:style w:type="paragraph" w:customStyle="1" w:styleId="164">
    <w:name w:val="封面标准号1"/>
    <w:qFormat/>
    <w:uiPriority w:val="0"/>
    <w:pPr>
      <w:widowControl w:val="0"/>
      <w:kinsoku w:val="0"/>
      <w:overflowPunct w:val="0"/>
      <w:autoSpaceDE w:val="0"/>
      <w:autoSpaceDN w:val="0"/>
      <w:spacing w:before="308"/>
      <w:ind w:left="1225" w:hanging="357"/>
      <w:jc w:val="right"/>
    </w:pPr>
    <w:rPr>
      <w:rFonts w:ascii="Calibri" w:hAnsi="Calibri" w:eastAsia="宋体" w:cs="Times New Roman"/>
      <w:sz w:val="28"/>
      <w:lang w:val="en-US" w:eastAsia="zh-CN" w:bidi="ar-SA"/>
    </w:rPr>
  </w:style>
  <w:style w:type="paragraph" w:customStyle="1" w:styleId="165">
    <w:name w:val="标准书眉_奇数页"/>
    <w:next w:val="1"/>
    <w:qFormat/>
    <w:uiPriority w:val="0"/>
    <w:pPr>
      <w:tabs>
        <w:tab w:val="center" w:pos="4154"/>
        <w:tab w:val="right" w:pos="8306"/>
      </w:tabs>
      <w:spacing w:after="120"/>
      <w:ind w:left="1225" w:hanging="357"/>
      <w:jc w:val="right"/>
    </w:pPr>
    <w:rPr>
      <w:rFonts w:ascii="Calibri" w:hAnsi="Calibri" w:eastAsia="宋体" w:cs="Times New Roman"/>
      <w:sz w:val="21"/>
      <w:lang w:val="en-US" w:eastAsia="zh-CN" w:bidi="ar-SA"/>
    </w:rPr>
  </w:style>
  <w:style w:type="paragraph" w:customStyle="1" w:styleId="166">
    <w:name w:val="标书正文"/>
    <w:next w:val="114"/>
    <w:qFormat/>
    <w:uiPriority w:val="0"/>
    <w:pPr>
      <w:spacing w:beforeLines="50" w:afterLines="50" w:line="400" w:lineRule="exact"/>
      <w:ind w:firstLine="200" w:firstLineChars="200"/>
    </w:pPr>
    <w:rPr>
      <w:rFonts w:ascii="黑体" w:hAnsi="Calibri" w:eastAsia="宋体" w:cs="Times New Roman"/>
      <w:sz w:val="21"/>
      <w:lang w:val="en-US" w:eastAsia="zh-CN" w:bidi="ar-SA"/>
    </w:rPr>
  </w:style>
  <w:style w:type="paragraph" w:customStyle="1" w:styleId="167">
    <w:name w:val="Char Char Char Char Char Char Char Char Char Char Char Char Char Char Char Char"/>
    <w:basedOn w:val="1"/>
    <w:qFormat/>
    <w:uiPriority w:val="0"/>
    <w:pPr>
      <w:tabs>
        <w:tab w:val="left" w:pos="360"/>
      </w:tabs>
      <w:spacing w:line="240" w:lineRule="auto"/>
    </w:pPr>
    <w:rPr>
      <w:rFonts w:ascii="Calibri" w:hAnsi="Calibri"/>
      <w:szCs w:val="20"/>
    </w:rPr>
  </w:style>
  <w:style w:type="paragraph" w:customStyle="1" w:styleId="168">
    <w:name w:val="标准书脚_奇数页"/>
    <w:qFormat/>
    <w:uiPriority w:val="0"/>
    <w:pPr>
      <w:spacing w:before="120"/>
      <w:ind w:left="1225" w:hanging="357"/>
      <w:jc w:val="right"/>
    </w:pPr>
    <w:rPr>
      <w:rFonts w:ascii="Calibri" w:hAnsi="Calibri" w:eastAsia="宋体" w:cs="Times New Roman"/>
      <w:sz w:val="18"/>
      <w:lang w:val="en-US" w:eastAsia="zh-CN" w:bidi="ar-SA"/>
    </w:rPr>
  </w:style>
  <w:style w:type="paragraph" w:customStyle="1" w:styleId="169">
    <w:name w:val="前言、引言标题"/>
    <w:next w:val="1"/>
    <w:qFormat/>
    <w:uiPriority w:val="0"/>
    <w:pPr>
      <w:numPr>
        <w:ilvl w:val="0"/>
        <w:numId w:val="7"/>
      </w:numPr>
      <w:shd w:val="clear" w:color="FFFFFF" w:fill="FFFFFF"/>
      <w:spacing w:before="640" w:after="560"/>
      <w:jc w:val="center"/>
      <w:outlineLvl w:val="0"/>
    </w:pPr>
    <w:rPr>
      <w:rFonts w:ascii="黑体" w:hAnsi="Calibri" w:eastAsia="黑体" w:cs="Times New Roman"/>
      <w:sz w:val="32"/>
      <w:lang w:val="en-US" w:eastAsia="zh-CN" w:bidi="ar-SA"/>
    </w:rPr>
  </w:style>
  <w:style w:type="paragraph" w:customStyle="1" w:styleId="170">
    <w:name w:val="列表段落3"/>
    <w:basedOn w:val="1"/>
    <w:qFormat/>
    <w:uiPriority w:val="34"/>
    <w:pPr>
      <w:ind w:firstLine="420" w:firstLineChars="200"/>
    </w:pPr>
  </w:style>
  <w:style w:type="paragraph" w:customStyle="1" w:styleId="171">
    <w:name w:val="标准标志"/>
    <w:next w:val="1"/>
    <w:qFormat/>
    <w:uiPriority w:val="0"/>
    <w:pPr>
      <w:shd w:val="solid" w:color="FFFFFF" w:fill="FFFFFF"/>
      <w:spacing w:line="0" w:lineRule="atLeast"/>
      <w:ind w:left="1225" w:hanging="357"/>
      <w:jc w:val="right"/>
    </w:pPr>
    <w:rPr>
      <w:rFonts w:ascii="Calibri" w:hAnsi="Calibri" w:eastAsia="宋体" w:cs="Times New Roman"/>
      <w:b/>
      <w:w w:val="130"/>
      <w:sz w:val="96"/>
      <w:lang w:val="en-US" w:eastAsia="zh-CN" w:bidi="ar-SA"/>
    </w:rPr>
  </w:style>
  <w:style w:type="paragraph" w:customStyle="1" w:styleId="172">
    <w:name w:val="样式 首行缩进:  2 字符"/>
    <w:basedOn w:val="1"/>
    <w:qFormat/>
    <w:uiPriority w:val="0"/>
    <w:pPr>
      <w:spacing w:line="400" w:lineRule="exact"/>
      <w:ind w:firstLine="200" w:firstLineChars="200"/>
    </w:pPr>
    <w:rPr>
      <w:rFonts w:cs="宋体"/>
    </w:rPr>
  </w:style>
  <w:style w:type="table" w:customStyle="1" w:styleId="173">
    <w:name w:val="TableGrid"/>
    <w:qFormat/>
    <w:uiPriority w:val="0"/>
    <w:rPr>
      <w:kern w:val="2"/>
      <w:sz w:val="21"/>
      <w:szCs w:val="22"/>
    </w:rPr>
    <w:tblPr>
      <w:tblCellMar>
        <w:top w:w="0" w:type="dxa"/>
        <w:left w:w="0" w:type="dxa"/>
        <w:bottom w:w="0" w:type="dxa"/>
        <w:right w:w="0" w:type="dxa"/>
      </w:tblCellMar>
    </w:tblPr>
  </w:style>
  <w:style w:type="paragraph" w:customStyle="1" w:styleId="174">
    <w:name w:val="列表段落3111"/>
    <w:basedOn w:val="1"/>
    <w:qFormat/>
    <w:uiPriority w:val="34"/>
    <w:pPr>
      <w:ind w:firstLine="420" w:firstLineChars="200"/>
    </w:pPr>
  </w:style>
  <w:style w:type="paragraph" w:customStyle="1" w:styleId="175">
    <w:name w:val="列表段落21"/>
    <w:basedOn w:val="1"/>
    <w:qFormat/>
    <w:uiPriority w:val="99"/>
    <w:pPr>
      <w:spacing w:line="240" w:lineRule="auto"/>
      <w:ind w:firstLine="420" w:firstLineChars="200"/>
    </w:pPr>
    <w:rPr>
      <w:rFonts w:ascii="Calibri" w:hAnsi="Calibri"/>
      <w:sz w:val="21"/>
    </w:rPr>
  </w:style>
  <w:style w:type="paragraph" w:customStyle="1" w:styleId="176">
    <w:name w:val="表格内容"/>
    <w:basedOn w:val="1"/>
    <w:qFormat/>
    <w:uiPriority w:val="0"/>
    <w:pPr>
      <w:widowControl/>
      <w:jc w:val="center"/>
    </w:pPr>
    <w:rPr>
      <w:rFonts w:ascii="Arial" w:hAnsi="Arial"/>
      <w:color w:val="000000"/>
      <w:sz w:val="21"/>
    </w:rPr>
  </w:style>
  <w:style w:type="character" w:customStyle="1" w:styleId="177">
    <w:name w:val="纯文本 字符1"/>
    <w:qFormat/>
    <w:uiPriority w:val="0"/>
    <w:rPr>
      <w:rFonts w:ascii="宋体" w:hAnsi="Courier New" w:eastAsia="宋体" w:cs="Courier New"/>
      <w:kern w:val="2"/>
      <w:sz w:val="21"/>
      <w:szCs w:val="24"/>
    </w:rPr>
  </w:style>
  <w:style w:type="paragraph" w:customStyle="1" w:styleId="178">
    <w:name w:val="表头"/>
    <w:basedOn w:val="1"/>
    <w:link w:val="179"/>
    <w:qFormat/>
    <w:uiPriority w:val="0"/>
    <w:pPr>
      <w:widowControl/>
      <w:jc w:val="center"/>
    </w:pPr>
    <w:rPr>
      <w:rFonts w:ascii="Arial" w:hAnsi="Arial"/>
      <w:b/>
      <w:color w:val="000000"/>
      <w:sz w:val="21"/>
    </w:rPr>
  </w:style>
  <w:style w:type="character" w:customStyle="1" w:styleId="179">
    <w:name w:val="表头 Char Char"/>
    <w:link w:val="178"/>
    <w:qFormat/>
    <w:locked/>
    <w:uiPriority w:val="0"/>
    <w:rPr>
      <w:rFonts w:ascii="Arial" w:hAnsi="Arial"/>
      <w:b/>
      <w:color w:val="000000"/>
      <w:kern w:val="2"/>
      <w:sz w:val="21"/>
      <w:szCs w:val="24"/>
    </w:rPr>
  </w:style>
  <w:style w:type="character" w:customStyle="1" w:styleId="180">
    <w:name w:val="标书正文格式 Char Char"/>
    <w:link w:val="181"/>
    <w:qFormat/>
    <w:locked/>
    <w:uiPriority w:val="0"/>
    <w:rPr>
      <w:rFonts w:ascii="仿宋_GB2312" w:eastAsia="仿宋_GB2312"/>
      <w:sz w:val="30"/>
      <w:szCs w:val="24"/>
    </w:rPr>
  </w:style>
  <w:style w:type="paragraph" w:customStyle="1" w:styleId="181">
    <w:name w:val="标书正文格式"/>
    <w:link w:val="180"/>
    <w:qFormat/>
    <w:uiPriority w:val="0"/>
    <w:pPr>
      <w:spacing w:line="360" w:lineRule="auto"/>
      <w:ind w:firstLine="200" w:firstLineChars="200"/>
    </w:pPr>
    <w:rPr>
      <w:rFonts w:ascii="仿宋_GB2312" w:hAnsi="Calibri" w:eastAsia="仿宋_GB2312" w:cs="Times New Roman"/>
      <w:sz w:val="30"/>
      <w:szCs w:val="24"/>
      <w:lang w:val="en-US" w:eastAsia="zh-CN" w:bidi="ar-SA"/>
    </w:rPr>
  </w:style>
  <w:style w:type="table" w:customStyle="1" w:styleId="182">
    <w:name w:val="网格型1"/>
    <w:basedOn w:val="4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3">
    <w:name w:val="正文首行缩进211"/>
    <w:basedOn w:val="1"/>
    <w:qFormat/>
    <w:uiPriority w:val="0"/>
    <w:pPr>
      <w:spacing w:beforeLines="50" w:afterLines="50"/>
      <w:ind w:firstLine="480" w:firstLineChars="200"/>
    </w:pPr>
  </w:style>
  <w:style w:type="character" w:customStyle="1" w:styleId="184">
    <w:name w:val="正文文本缩进 3 字符"/>
    <w:link w:val="35"/>
    <w:qFormat/>
    <w:uiPriority w:val="0"/>
    <w:rPr>
      <w:kern w:val="2"/>
      <w:sz w:val="16"/>
      <w:szCs w:val="16"/>
    </w:rPr>
  </w:style>
  <w:style w:type="paragraph" w:customStyle="1" w:styleId="185">
    <w:name w:val="Revision"/>
    <w:hidden/>
    <w:unhideWhenUsed/>
    <w:qFormat/>
    <w:uiPriority w:val="99"/>
    <w:rPr>
      <w:rFonts w:ascii="宋体" w:hAnsi="宋体" w:eastAsia="宋体" w:cs="Times New Roman"/>
      <w:kern w:val="2"/>
      <w:sz w:val="24"/>
      <w:szCs w:val="24"/>
      <w:lang w:val="en-US" w:eastAsia="zh-CN" w:bidi="ar-SA"/>
    </w:rPr>
  </w:style>
  <w:style w:type="paragraph" w:customStyle="1" w:styleId="186">
    <w:name w:val="列表段落4"/>
    <w:basedOn w:val="1"/>
    <w:qFormat/>
    <w:uiPriority w:val="0"/>
    <w:pPr>
      <w:ind w:firstLine="420"/>
    </w:pPr>
  </w:style>
  <w:style w:type="character" w:customStyle="1" w:styleId="187">
    <w:name w:val="hpswebiiproductcatalogcategoryheaderdescription1"/>
    <w:qFormat/>
    <w:uiPriority w:val="0"/>
    <w:rPr>
      <w:rFonts w:hint="default" w:ascii="Arial" w:hAnsi="Arial" w:cs="Arial"/>
      <w:color w:val="333333"/>
      <w:sz w:val="17"/>
      <w:szCs w:val="17"/>
      <w:u w:val="none"/>
    </w:rPr>
  </w:style>
  <w:style w:type="paragraph" w:customStyle="1" w:styleId="188">
    <w:name w:val="正文首行缩进两字"/>
    <w:link w:val="189"/>
    <w:qFormat/>
    <w:uiPriority w:val="0"/>
    <w:pPr>
      <w:numPr>
        <w:ilvl w:val="0"/>
        <w:numId w:val="8"/>
      </w:numPr>
      <w:spacing w:line="360" w:lineRule="auto"/>
      <w:ind w:right="240" w:rightChars="100"/>
    </w:pPr>
    <w:rPr>
      <w:rFonts w:ascii="宋体" w:hAnsi="宋体" w:eastAsia="宋体" w:cs="Arial"/>
      <w:bCs/>
      <w:color w:val="000000"/>
      <w:sz w:val="24"/>
      <w:szCs w:val="24"/>
      <w:lang w:val="en-US" w:eastAsia="zh-CN" w:bidi="ar-SA"/>
    </w:rPr>
  </w:style>
  <w:style w:type="character" w:customStyle="1" w:styleId="189">
    <w:name w:val="正文首行缩进两字 Char"/>
    <w:link w:val="188"/>
    <w:qFormat/>
    <w:uiPriority w:val="0"/>
    <w:rPr>
      <w:rFonts w:ascii="宋体" w:hAnsi="宋体" w:cs="Arial"/>
      <w:bCs/>
      <w:color w:val="000000"/>
      <w:sz w:val="24"/>
      <w:szCs w:val="24"/>
    </w:rPr>
  </w:style>
  <w:style w:type="paragraph" w:customStyle="1" w:styleId="190">
    <w:name w:val="列举项"/>
    <w:basedOn w:val="1"/>
    <w:qFormat/>
    <w:uiPriority w:val="0"/>
    <w:pPr>
      <w:widowControl/>
      <w:numPr>
        <w:ilvl w:val="0"/>
        <w:numId w:val="9"/>
      </w:numPr>
      <w:tabs>
        <w:tab w:val="left" w:pos="709"/>
        <w:tab w:val="left" w:pos="2211"/>
        <w:tab w:val="left" w:pos="3317"/>
        <w:tab w:val="left" w:pos="4423"/>
        <w:tab w:val="left" w:pos="5528"/>
        <w:tab w:val="left" w:pos="6634"/>
        <w:tab w:val="left" w:pos="7740"/>
      </w:tabs>
      <w:spacing w:after="200"/>
      <w:contextualSpacing/>
    </w:pPr>
    <w:rPr>
      <w:rFonts w:ascii="Arial" w:hAnsi="Arial" w:cs="Arial"/>
      <w:b/>
      <w:kern w:val="0"/>
    </w:rPr>
  </w:style>
  <w:style w:type="paragraph" w:customStyle="1" w:styleId="191">
    <w:name w:val="列举分"/>
    <w:basedOn w:val="1"/>
    <w:link w:val="192"/>
    <w:qFormat/>
    <w:uiPriority w:val="0"/>
    <w:pPr>
      <w:widowControl/>
      <w:numPr>
        <w:ilvl w:val="0"/>
        <w:numId w:val="10"/>
      </w:numPr>
      <w:tabs>
        <w:tab w:val="left" w:pos="1106"/>
        <w:tab w:val="left" w:pos="2211"/>
        <w:tab w:val="left" w:pos="3317"/>
        <w:tab w:val="left" w:pos="4423"/>
        <w:tab w:val="left" w:pos="5528"/>
        <w:tab w:val="left" w:pos="6634"/>
        <w:tab w:val="left" w:pos="7740"/>
      </w:tabs>
      <w:spacing w:before="120" w:after="120" w:line="240" w:lineRule="auto"/>
    </w:pPr>
    <w:rPr>
      <w:rFonts w:ascii="Arial" w:hAnsi="Arial" w:cs="Arial"/>
      <w:kern w:val="0"/>
      <w:sz w:val="22"/>
      <w:szCs w:val="22"/>
    </w:rPr>
  </w:style>
  <w:style w:type="character" w:customStyle="1" w:styleId="192">
    <w:name w:val="列举分 Char"/>
    <w:link w:val="191"/>
    <w:qFormat/>
    <w:uiPriority w:val="0"/>
    <w:rPr>
      <w:rFonts w:ascii="Arial" w:hAnsi="Arial" w:cs="Arial"/>
      <w:sz w:val="22"/>
      <w:szCs w:val="22"/>
    </w:rPr>
  </w:style>
  <w:style w:type="paragraph" w:customStyle="1" w:styleId="193">
    <w:name w:val="正文（缩进）"/>
    <w:basedOn w:val="1"/>
    <w:qFormat/>
    <w:uiPriority w:val="0"/>
    <w:pPr>
      <w:spacing w:before="50" w:after="50" w:line="240" w:lineRule="auto"/>
      <w:ind w:firstLine="200" w:firstLineChars="200"/>
    </w:pPr>
    <w:rPr>
      <w:rFonts w:ascii="Calibri" w:hAnsi="Calibri" w:eastAsia="仿宋_GB2312"/>
      <w:sz w:val="32"/>
      <w:szCs w:val="32"/>
    </w:rPr>
  </w:style>
  <w:style w:type="paragraph" w:customStyle="1" w:styleId="194">
    <w:name w:val="样式 标题 1 + 行距: 单倍行距"/>
    <w:basedOn w:val="10"/>
    <w:qFormat/>
    <w:uiPriority w:val="0"/>
    <w:pPr>
      <w:keepNext w:val="0"/>
      <w:keepLines w:val="0"/>
      <w:numPr>
        <w:numId w:val="11"/>
      </w:numPr>
      <w:tabs>
        <w:tab w:val="left" w:pos="840"/>
        <w:tab w:val="right" w:leader="dot" w:pos="9170"/>
        <w:tab w:val="right" w:leader="dot" w:pos="9634"/>
      </w:tabs>
      <w:snapToGrid w:val="0"/>
      <w:spacing w:before="120" w:after="120" w:line="480" w:lineRule="auto"/>
      <w:ind w:firstLine="177" w:firstLineChars="177"/>
    </w:pPr>
    <w:rPr>
      <w:rFonts w:cs="Calibri"/>
      <w:caps/>
      <w:color w:val="000000"/>
      <w:sz w:val="21"/>
      <w:szCs w:val="21"/>
      <w:lang w:val="zh-CN" w:eastAsia="zh-CN"/>
    </w:rPr>
  </w:style>
  <w:style w:type="paragraph" w:customStyle="1" w:styleId="195">
    <w:name w:val="标题1"/>
    <w:basedOn w:val="6"/>
    <w:qFormat/>
    <w:uiPriority w:val="0"/>
    <w:pPr>
      <w:numPr>
        <w:numId w:val="11"/>
      </w:numPr>
      <w:spacing w:before="340" w:after="330" w:line="578" w:lineRule="auto"/>
      <w:jc w:val="left"/>
    </w:pPr>
    <w:rPr>
      <w:rFonts w:cs="Times New Roman"/>
      <w:bCs/>
      <w:sz w:val="32"/>
      <w:szCs w:val="44"/>
    </w:rPr>
  </w:style>
  <w:style w:type="paragraph" w:customStyle="1" w:styleId="196">
    <w:name w:val="列表段落31"/>
    <w:basedOn w:val="1"/>
    <w:qFormat/>
    <w:uiPriority w:val="34"/>
    <w:pPr>
      <w:ind w:firstLine="420" w:firstLineChars="200"/>
    </w:pPr>
  </w:style>
  <w:style w:type="paragraph" w:customStyle="1" w:styleId="197">
    <w:name w:val="球标"/>
    <w:basedOn w:val="198"/>
    <w:qFormat/>
    <w:uiPriority w:val="0"/>
    <w:pPr>
      <w:spacing w:line="200" w:lineRule="exact"/>
      <w:jc w:val="both"/>
    </w:pPr>
    <w:rPr>
      <w:rFonts w:ascii="Arial" w:hAnsi="Arial"/>
      <w:kern w:val="0"/>
      <w:sz w:val="21"/>
      <w:szCs w:val="21"/>
    </w:rPr>
  </w:style>
  <w:style w:type="paragraph" w:styleId="198">
    <w:name w:val="No Spacing"/>
    <w:qFormat/>
    <w:uiPriority w:val="99"/>
    <w:pPr>
      <w:widowControl w:val="0"/>
    </w:pPr>
    <w:rPr>
      <w:rFonts w:ascii="宋体" w:hAnsi="宋体" w:eastAsia="宋体" w:cs="Times New Roman"/>
      <w:kern w:val="2"/>
      <w:sz w:val="24"/>
      <w:szCs w:val="24"/>
      <w:lang w:val="en-US" w:eastAsia="zh-CN" w:bidi="ar-SA"/>
    </w:rPr>
  </w:style>
  <w:style w:type="paragraph" w:customStyle="1" w:styleId="199">
    <w:name w:val="First Paragraph"/>
    <w:basedOn w:val="4"/>
    <w:next w:val="4"/>
    <w:qFormat/>
    <w:uiPriority w:val="0"/>
    <w:pPr>
      <w:widowControl/>
      <w:adjustRightInd/>
      <w:spacing w:before="180" w:after="180" w:line="240" w:lineRule="auto"/>
    </w:pPr>
    <w:rPr>
      <w:rFonts w:ascii="Cambria" w:hAnsi="Cambria"/>
      <w:szCs w:val="24"/>
    </w:rPr>
  </w:style>
  <w:style w:type="paragraph" w:customStyle="1" w:styleId="200">
    <w:name w:val="Image Caption"/>
    <w:basedOn w:val="18"/>
    <w:qFormat/>
    <w:uiPriority w:val="0"/>
    <w:pPr>
      <w:widowControl/>
      <w:spacing w:before="0" w:beforeLines="0" w:after="120" w:afterLines="0"/>
      <w:ind w:firstLine="0" w:firstLineChars="0"/>
    </w:pPr>
    <w:rPr>
      <w:rFonts w:ascii="Cambria" w:hAnsi="Cambria" w:eastAsia="宋体"/>
      <w:i/>
      <w:iCs/>
      <w:kern w:val="0"/>
      <w:sz w:val="24"/>
      <w:szCs w:val="24"/>
    </w:rPr>
  </w:style>
  <w:style w:type="paragraph" w:customStyle="1" w:styleId="201">
    <w:name w:val="Captioned Figure"/>
    <w:basedOn w:val="1"/>
    <w:qFormat/>
    <w:uiPriority w:val="0"/>
    <w:pPr>
      <w:keepNext/>
      <w:widowControl/>
      <w:spacing w:before="100" w:beforeAutospacing="1" w:after="200" w:line="240" w:lineRule="auto"/>
    </w:pPr>
    <w:rPr>
      <w:rFonts w:ascii="Cambria" w:hAnsi="Cambria"/>
      <w:kern w:val="0"/>
    </w:rPr>
  </w:style>
  <w:style w:type="character" w:customStyle="1" w:styleId="202">
    <w:name w:val="15"/>
    <w:qFormat/>
    <w:uiPriority w:val="0"/>
    <w:rPr>
      <w:rFonts w:hint="default" w:ascii="Cambria" w:hAnsi="Cambria"/>
      <w:color w:val="4F81BD"/>
    </w:rPr>
  </w:style>
  <w:style w:type="paragraph" w:customStyle="1" w:styleId="203">
    <w:name w:val="正文首行缩进2"/>
    <w:basedOn w:val="1"/>
    <w:qFormat/>
    <w:uiPriority w:val="0"/>
    <w:pPr>
      <w:spacing w:beforeLines="50" w:afterLines="50"/>
      <w:ind w:firstLine="480" w:firstLineChars="200"/>
    </w:pPr>
  </w:style>
  <w:style w:type="paragraph" w:customStyle="1" w:styleId="204">
    <w:name w:val="TOC 标题3"/>
    <w:basedOn w:val="6"/>
    <w:next w:val="1"/>
    <w:qFormat/>
    <w:uiPriority w:val="39"/>
    <w:pPr>
      <w:widowControl/>
      <w:numPr>
        <w:numId w:val="0"/>
      </w:numPr>
      <w:spacing w:before="240" w:line="259" w:lineRule="auto"/>
      <w:jc w:val="left"/>
      <w:outlineLvl w:val="9"/>
    </w:pPr>
    <w:rPr>
      <w:rFonts w:ascii="等线 Light" w:hAnsi="等线 Light" w:eastAsia="等线 Light"/>
      <w:b w:val="0"/>
      <w:bCs/>
      <w:color w:val="2F5496"/>
      <w:kern w:val="0"/>
      <w:szCs w:val="32"/>
    </w:rPr>
  </w:style>
  <w:style w:type="paragraph" w:customStyle="1" w:styleId="205">
    <w:name w:val="列表段落311"/>
    <w:basedOn w:val="1"/>
    <w:qFormat/>
    <w:uiPriority w:val="34"/>
    <w:pPr>
      <w:ind w:firstLine="420" w:firstLineChars="200"/>
    </w:pPr>
  </w:style>
  <w:style w:type="paragraph" w:customStyle="1" w:styleId="206">
    <w:name w:val="修订1"/>
    <w:hidden/>
    <w:unhideWhenUsed/>
    <w:qFormat/>
    <w:uiPriority w:val="99"/>
    <w:rPr>
      <w:rFonts w:ascii="宋体" w:hAnsi="宋体" w:eastAsia="宋体" w:cs="Times New Roman"/>
      <w:kern w:val="2"/>
      <w:sz w:val="24"/>
      <w:szCs w:val="24"/>
      <w:lang w:val="en-US" w:eastAsia="zh-CN" w:bidi="ar-SA"/>
    </w:rPr>
  </w:style>
  <w:style w:type="paragraph" w:customStyle="1" w:styleId="207">
    <w:name w:val="无间隔1"/>
    <w:qFormat/>
    <w:uiPriority w:val="99"/>
    <w:pPr>
      <w:widowControl w:val="0"/>
    </w:pPr>
    <w:rPr>
      <w:rFonts w:ascii="宋体" w:hAnsi="宋体" w:eastAsia="宋体" w:cs="Times New Roman"/>
      <w:kern w:val="2"/>
      <w:sz w:val="24"/>
      <w:szCs w:val="24"/>
      <w:lang w:val="en-US" w:eastAsia="zh-CN" w:bidi="ar-SA"/>
    </w:rPr>
  </w:style>
  <w:style w:type="paragraph" w:customStyle="1" w:styleId="208">
    <w:name w:val="msonormal"/>
    <w:basedOn w:val="1"/>
    <w:qFormat/>
    <w:uiPriority w:val="0"/>
    <w:pPr>
      <w:widowControl/>
      <w:spacing w:before="100" w:beforeAutospacing="1" w:after="100" w:afterAutospacing="1" w:line="240" w:lineRule="auto"/>
    </w:pPr>
    <w:rPr>
      <w:rFonts w:cs="宋体"/>
      <w:kern w:val="0"/>
    </w:rPr>
  </w:style>
  <w:style w:type="paragraph" w:customStyle="1" w:styleId="209">
    <w:name w:val="列表段落5"/>
    <w:basedOn w:val="1"/>
    <w:qFormat/>
    <w:uiPriority w:val="0"/>
    <w:pPr>
      <w:spacing w:line="240" w:lineRule="auto"/>
      <w:ind w:firstLine="420" w:firstLineChars="200"/>
      <w:jc w:val="both"/>
    </w:pPr>
    <w:rPr>
      <w:rFonts w:ascii="等线" w:hAnsi="等线" w:eastAsia="等线"/>
      <w:sz w:val="21"/>
      <w:szCs w:val="21"/>
    </w:rPr>
  </w:style>
  <w:style w:type="paragraph" w:customStyle="1" w:styleId="210">
    <w:name w:val="引用1"/>
    <w:basedOn w:val="1"/>
    <w:next w:val="1"/>
    <w:qFormat/>
    <w:uiPriority w:val="0"/>
    <w:pPr>
      <w:spacing w:before="200" w:after="160" w:line="240" w:lineRule="auto"/>
      <w:ind w:left="864" w:right="864"/>
      <w:jc w:val="center"/>
    </w:pPr>
    <w:rPr>
      <w:rFonts w:ascii="等线" w:hAnsi="等线" w:eastAsia="等线"/>
      <w:i/>
      <w:iCs/>
      <w:color w:val="3F3F3F"/>
      <w:sz w:val="21"/>
      <w:szCs w:val="21"/>
    </w:rPr>
  </w:style>
  <w:style w:type="paragraph" w:customStyle="1" w:styleId="211">
    <w:name w:val="样式 10 磅13"/>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12">
    <w:name w:val="正文文本缩进 2 字符"/>
    <w:link w:val="28"/>
    <w:semiHidden/>
    <w:qFormat/>
    <w:uiPriority w:val="99"/>
    <w:rPr>
      <w:rFonts w:ascii="宋体" w:hAnsi="宋体"/>
      <w:kern w:val="2"/>
      <w:sz w:val="24"/>
      <w:szCs w:val="24"/>
    </w:rPr>
  </w:style>
  <w:style w:type="paragraph" w:customStyle="1" w:styleId="213">
    <w:name w:val="正文_小四"/>
    <w:qFormat/>
    <w:uiPriority w:val="0"/>
    <w:pPr>
      <w:widowControl w:val="0"/>
      <w:spacing w:line="360" w:lineRule="auto"/>
    </w:pPr>
    <w:rPr>
      <w:rFonts w:ascii="Calibri" w:hAnsi="Calibri" w:eastAsia="宋体" w:cs="Times New Roman"/>
      <w:kern w:val="2"/>
      <w:sz w:val="24"/>
      <w:szCs w:val="21"/>
      <w:lang w:val="en-US" w:eastAsia="zh-CN" w:bidi="ar-SA"/>
    </w:rPr>
  </w:style>
  <w:style w:type="character" w:customStyle="1" w:styleId="214">
    <w:name w:val="font61"/>
    <w:qFormat/>
    <w:uiPriority w:val="0"/>
    <w:rPr>
      <w:rFonts w:hint="eastAsia" w:ascii="宋体" w:hAnsi="宋体" w:eastAsia="宋体"/>
      <w:b/>
      <w:bCs/>
      <w:color w:val="000000"/>
      <w:sz w:val="18"/>
      <w:szCs w:val="18"/>
      <w:u w:val="none"/>
    </w:rPr>
  </w:style>
  <w:style w:type="character" w:customStyle="1" w:styleId="215">
    <w:name w:val="font71"/>
    <w:qFormat/>
    <w:uiPriority w:val="0"/>
    <w:rPr>
      <w:rFonts w:hint="eastAsia" w:ascii="宋体" w:hAnsi="宋体" w:eastAsia="宋体"/>
      <w:b/>
      <w:bCs/>
      <w:color w:val="000000"/>
      <w:sz w:val="21"/>
      <w:szCs w:val="21"/>
      <w:u w:val="none"/>
    </w:rPr>
  </w:style>
  <w:style w:type="character" w:customStyle="1" w:styleId="216">
    <w:name w:val="font51"/>
    <w:qFormat/>
    <w:uiPriority w:val="0"/>
    <w:rPr>
      <w:rFonts w:hint="eastAsia" w:ascii="宋体" w:hAnsi="宋体" w:eastAsia="宋体"/>
      <w:b/>
      <w:bCs/>
      <w:color w:val="000000"/>
      <w:sz w:val="18"/>
      <w:szCs w:val="18"/>
      <w:u w:val="none"/>
    </w:rPr>
  </w:style>
  <w:style w:type="character" w:customStyle="1" w:styleId="217">
    <w:name w:val="批注文字 字符1"/>
    <w:semiHidden/>
    <w:qFormat/>
    <w:uiPriority w:val="99"/>
    <w:rPr>
      <w:rFonts w:ascii="宋体" w:hAnsi="宋体" w:eastAsia="宋体" w:cs="Times New Roman"/>
      <w:sz w:val="24"/>
      <w:szCs w:val="24"/>
    </w:rPr>
  </w:style>
  <w:style w:type="character" w:customStyle="1" w:styleId="218">
    <w:name w:val="标题 字符1"/>
    <w:qFormat/>
    <w:uiPriority w:val="10"/>
    <w:rPr>
      <w:rFonts w:ascii="等线 Light" w:hAnsi="等线 Light" w:eastAsia="等线 Light" w:cs="Times New Roman"/>
      <w:b/>
      <w:bCs/>
      <w:sz w:val="32"/>
      <w:szCs w:val="32"/>
    </w:rPr>
  </w:style>
  <w:style w:type="paragraph" w:customStyle="1" w:styleId="219">
    <w:name w:val="正文首行缩进21"/>
    <w:basedOn w:val="1"/>
    <w:qFormat/>
    <w:uiPriority w:val="0"/>
    <w:pPr>
      <w:spacing w:beforeLines="50" w:afterLines="50"/>
      <w:ind w:firstLine="480" w:firstLineChars="200"/>
    </w:pPr>
  </w:style>
  <w:style w:type="character" w:customStyle="1" w:styleId="220">
    <w:name w:val="Unresolved Mention"/>
    <w:semiHidden/>
    <w:unhideWhenUsed/>
    <w:qFormat/>
    <w:uiPriority w:val="99"/>
    <w:rPr>
      <w:color w:val="605E5C"/>
      <w:shd w:val="clear" w:color="auto" w:fill="E1DFDD"/>
    </w:rPr>
  </w:style>
  <w:style w:type="character" w:customStyle="1" w:styleId="221">
    <w:name w:val="正文文本 字符1"/>
    <w:semiHidden/>
    <w:qFormat/>
    <w:uiPriority w:val="99"/>
    <w:rPr>
      <w:rFonts w:ascii="宋体" w:hAnsi="宋体" w:eastAsia="宋体" w:cs="Times New Roman"/>
      <w:sz w:val="24"/>
      <w:szCs w:val="24"/>
    </w:rPr>
  </w:style>
  <w:style w:type="character" w:customStyle="1" w:styleId="222">
    <w:name w:val="页眉 字符2"/>
    <w:semiHidden/>
    <w:qFormat/>
    <w:uiPriority w:val="99"/>
    <w:rPr>
      <w:rFonts w:ascii="宋体" w:hAnsi="宋体" w:eastAsia="宋体" w:cs="Times New Roman"/>
      <w:sz w:val="18"/>
      <w:szCs w:val="18"/>
    </w:rPr>
  </w:style>
  <w:style w:type="character" w:customStyle="1" w:styleId="223">
    <w:name w:val="正文文本缩进 字符2"/>
    <w:semiHidden/>
    <w:qFormat/>
    <w:uiPriority w:val="99"/>
    <w:rPr>
      <w:rFonts w:ascii="宋体" w:hAnsi="宋体" w:eastAsia="宋体" w:cs="Times New Roman"/>
      <w:sz w:val="24"/>
      <w:szCs w:val="24"/>
    </w:rPr>
  </w:style>
  <w:style w:type="character" w:customStyle="1" w:styleId="224">
    <w:name w:val="批注主题 字符1"/>
    <w:semiHidden/>
    <w:qFormat/>
    <w:uiPriority w:val="99"/>
    <w:rPr>
      <w:rFonts w:ascii="宋体" w:hAnsi="宋体" w:eastAsia="宋体" w:cs="Times New Roman"/>
      <w:b/>
      <w:bCs/>
      <w:sz w:val="24"/>
      <w:szCs w:val="24"/>
    </w:rPr>
  </w:style>
  <w:style w:type="character" w:customStyle="1" w:styleId="225">
    <w:name w:val="日期 字符1"/>
    <w:semiHidden/>
    <w:qFormat/>
    <w:uiPriority w:val="99"/>
    <w:rPr>
      <w:rFonts w:ascii="宋体" w:hAnsi="宋体" w:eastAsia="宋体" w:cs="Times New Roman"/>
      <w:sz w:val="24"/>
      <w:szCs w:val="24"/>
    </w:rPr>
  </w:style>
  <w:style w:type="character" w:customStyle="1" w:styleId="226">
    <w:name w:val="正文文本 2 字符1"/>
    <w:semiHidden/>
    <w:qFormat/>
    <w:uiPriority w:val="99"/>
    <w:rPr>
      <w:rFonts w:ascii="宋体" w:hAnsi="宋体" w:eastAsia="宋体" w:cs="Times New Roman"/>
      <w:sz w:val="24"/>
      <w:szCs w:val="24"/>
    </w:rPr>
  </w:style>
  <w:style w:type="character" w:customStyle="1" w:styleId="227">
    <w:name w:val="批注框文本 字符1"/>
    <w:semiHidden/>
    <w:qFormat/>
    <w:uiPriority w:val="99"/>
    <w:rPr>
      <w:rFonts w:ascii="宋体" w:hAnsi="宋体" w:eastAsia="宋体" w:cs="Times New Roman"/>
      <w:sz w:val="18"/>
      <w:szCs w:val="18"/>
    </w:rPr>
  </w:style>
  <w:style w:type="character" w:customStyle="1" w:styleId="228">
    <w:name w:val="文档结构图 字符2"/>
    <w:semiHidden/>
    <w:qFormat/>
    <w:uiPriority w:val="99"/>
    <w:rPr>
      <w:rFonts w:ascii="Microsoft YaHei UI" w:hAnsi="宋体" w:eastAsia="Microsoft YaHei UI" w:cs="Times New Roman"/>
      <w:sz w:val="18"/>
      <w:szCs w:val="18"/>
    </w:rPr>
  </w:style>
  <w:style w:type="character" w:customStyle="1" w:styleId="229">
    <w:name w:val="页脚 字符2"/>
    <w:semiHidden/>
    <w:qFormat/>
    <w:uiPriority w:val="99"/>
    <w:rPr>
      <w:rFonts w:ascii="宋体" w:hAnsi="宋体" w:eastAsia="宋体" w:cs="Times New Roman"/>
      <w:sz w:val="18"/>
      <w:szCs w:val="18"/>
    </w:rPr>
  </w:style>
  <w:style w:type="paragraph" w:customStyle="1" w:styleId="230">
    <w:name w:val="Table Paragraph"/>
    <w:basedOn w:val="1"/>
    <w:qFormat/>
    <w:uiPriority w:val="1"/>
    <w:rPr>
      <w:rFonts w:ascii="宋体" w:hAnsi="宋体" w:eastAsia="宋体" w:cs="宋体"/>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jpeg"/><Relationship Id="rId94" Type="http://schemas.openxmlformats.org/officeDocument/2006/relationships/image" Target="media/image85.jpeg"/><Relationship Id="rId93" Type="http://schemas.openxmlformats.org/officeDocument/2006/relationships/image" Target="media/image84.jpe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2.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header" Target="head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emf"/><Relationship Id="rId31" Type="http://schemas.openxmlformats.org/officeDocument/2006/relationships/image" Target="media/image22.emf"/><Relationship Id="rId30" Type="http://schemas.openxmlformats.org/officeDocument/2006/relationships/image" Target="media/image21.emf"/><Relationship Id="rId3" Type="http://schemas.openxmlformats.org/officeDocument/2006/relationships/footnotes" Target="footnotes.xml"/><Relationship Id="rId29" Type="http://schemas.openxmlformats.org/officeDocument/2006/relationships/image" Target="media/image20.emf"/><Relationship Id="rId28" Type="http://schemas.openxmlformats.org/officeDocument/2006/relationships/image" Target="media/image19.emf"/><Relationship Id="rId27" Type="http://schemas.openxmlformats.org/officeDocument/2006/relationships/image" Target="media/image18.emf"/><Relationship Id="rId26" Type="http://schemas.openxmlformats.org/officeDocument/2006/relationships/image" Target="media/image17.emf"/><Relationship Id="rId25" Type="http://schemas.openxmlformats.org/officeDocument/2006/relationships/image" Target="media/image16.emf"/><Relationship Id="rId24" Type="http://schemas.openxmlformats.org/officeDocument/2006/relationships/image" Target="media/image15.emf"/><Relationship Id="rId23" Type="http://schemas.openxmlformats.org/officeDocument/2006/relationships/image" Target="media/image14.emf"/><Relationship Id="rId22" Type="http://schemas.openxmlformats.org/officeDocument/2006/relationships/image" Target="media/image13.emf"/><Relationship Id="rId215" Type="http://schemas.openxmlformats.org/officeDocument/2006/relationships/fontTable" Target="fontTable.xml"/><Relationship Id="rId214" Type="http://schemas.openxmlformats.org/officeDocument/2006/relationships/numbering" Target="numbering.xml"/><Relationship Id="rId213" Type="http://schemas.openxmlformats.org/officeDocument/2006/relationships/customXml" Target="../customXml/item1.xml"/><Relationship Id="rId212" Type="http://schemas.openxmlformats.org/officeDocument/2006/relationships/image" Target="media/image196.png"/><Relationship Id="rId211" Type="http://schemas.openxmlformats.org/officeDocument/2006/relationships/image" Target="media/image195.png"/><Relationship Id="rId210" Type="http://schemas.openxmlformats.org/officeDocument/2006/relationships/image" Target="media/image194.png"/><Relationship Id="rId21" Type="http://schemas.openxmlformats.org/officeDocument/2006/relationships/image" Target="media/image12.emf"/><Relationship Id="rId209" Type="http://schemas.openxmlformats.org/officeDocument/2006/relationships/image" Target="media/image193.png"/><Relationship Id="rId208" Type="http://schemas.openxmlformats.org/officeDocument/2006/relationships/image" Target="media/image192.png"/><Relationship Id="rId207" Type="http://schemas.openxmlformats.org/officeDocument/2006/relationships/image" Target="media/image191.png"/><Relationship Id="rId206" Type="http://schemas.openxmlformats.org/officeDocument/2006/relationships/image" Target="media/image190.jpeg"/><Relationship Id="rId205" Type="http://schemas.openxmlformats.org/officeDocument/2006/relationships/image" Target="media/image189.png"/><Relationship Id="rId204" Type="http://schemas.openxmlformats.org/officeDocument/2006/relationships/image" Target="media/image188.png"/><Relationship Id="rId203" Type="http://schemas.openxmlformats.org/officeDocument/2006/relationships/image" Target="media/image187.png"/><Relationship Id="rId202" Type="http://schemas.openxmlformats.org/officeDocument/2006/relationships/image" Target="media/image186.png"/><Relationship Id="rId201" Type="http://schemas.openxmlformats.org/officeDocument/2006/relationships/image" Target="media/image185.png"/><Relationship Id="rId200" Type="http://schemas.openxmlformats.org/officeDocument/2006/relationships/image" Target="media/image184.png"/><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image" Target="media/image183.png"/><Relationship Id="rId198" Type="http://schemas.openxmlformats.org/officeDocument/2006/relationships/image" Target="media/image182.png"/><Relationship Id="rId197" Type="http://schemas.openxmlformats.org/officeDocument/2006/relationships/image" Target="media/image181.png"/><Relationship Id="rId196" Type="http://schemas.openxmlformats.org/officeDocument/2006/relationships/image" Target="media/image180.png"/><Relationship Id="rId195" Type="http://schemas.openxmlformats.org/officeDocument/2006/relationships/image" Target="media/image179.png"/><Relationship Id="rId194" Type="http://schemas.openxmlformats.org/officeDocument/2006/relationships/image" Target="media/image178.png"/><Relationship Id="rId193" Type="http://schemas.openxmlformats.org/officeDocument/2006/relationships/image" Target="media/image177.png"/><Relationship Id="rId192" Type="http://schemas.openxmlformats.org/officeDocument/2006/relationships/image" Target="media/image176.png"/><Relationship Id="rId191" Type="http://schemas.openxmlformats.org/officeDocument/2006/relationships/image" Target="media/image175.png"/><Relationship Id="rId190" Type="http://schemas.openxmlformats.org/officeDocument/2006/relationships/image" Target="media/image174.png"/><Relationship Id="rId19" Type="http://schemas.openxmlformats.org/officeDocument/2006/relationships/image" Target="media/image10.png"/><Relationship Id="rId189" Type="http://schemas.openxmlformats.org/officeDocument/2006/relationships/image" Target="media/image173.png"/><Relationship Id="rId188" Type="http://schemas.openxmlformats.org/officeDocument/2006/relationships/image" Target="media/image172.png"/><Relationship Id="rId187" Type="http://schemas.openxmlformats.org/officeDocument/2006/relationships/image" Target="media/image171.png"/><Relationship Id="rId186" Type="http://schemas.openxmlformats.org/officeDocument/2006/relationships/image" Target="media/image170.png"/><Relationship Id="rId185" Type="http://schemas.openxmlformats.org/officeDocument/2006/relationships/image" Target="../../ZENGZH~1/AppData/Local/Temp/ksohtml2692/wps16.png" TargetMode="External"/><Relationship Id="rId184" Type="http://schemas.openxmlformats.org/officeDocument/2006/relationships/image" Target="media/image169.png"/><Relationship Id="rId183" Type="http://schemas.openxmlformats.org/officeDocument/2006/relationships/image" Target="../../ZENGZH~1/AppData/Local/Temp/ksohtml2692/wps15.png" TargetMode="External"/><Relationship Id="rId182" Type="http://schemas.openxmlformats.org/officeDocument/2006/relationships/image" Target="media/image168.png"/><Relationship Id="rId181" Type="http://schemas.openxmlformats.org/officeDocument/2006/relationships/image" Target="../../ZENGZH~1/AppData/Local/Temp/ksohtml2692/wps14.png" TargetMode="External"/><Relationship Id="rId180" Type="http://schemas.openxmlformats.org/officeDocument/2006/relationships/image" Target="media/image167.png"/><Relationship Id="rId18" Type="http://schemas.openxmlformats.org/officeDocument/2006/relationships/image" Target="media/image9.png"/><Relationship Id="rId179" Type="http://schemas.openxmlformats.org/officeDocument/2006/relationships/image" Target="../../ZENGZH~1/AppData/Local/Temp/ksohtml2692/wps13.png" TargetMode="External"/><Relationship Id="rId178" Type="http://schemas.openxmlformats.org/officeDocument/2006/relationships/image" Target="media/image166.png"/><Relationship Id="rId177" Type="http://schemas.openxmlformats.org/officeDocument/2006/relationships/image" Target="../../ZENGZH~1/AppData/Local/Temp/ksohtml2692/wps12.png" TargetMode="External"/><Relationship Id="rId176" Type="http://schemas.openxmlformats.org/officeDocument/2006/relationships/image" Target="media/image165.png"/><Relationship Id="rId175" Type="http://schemas.openxmlformats.org/officeDocument/2006/relationships/image" Target="../../ZENGZH~1/AppData/Local/Temp/ksohtml2692/wps11.jpg" TargetMode="External"/><Relationship Id="rId174" Type="http://schemas.openxmlformats.org/officeDocument/2006/relationships/image" Target="media/image164.jpeg"/><Relationship Id="rId173" Type="http://schemas.openxmlformats.org/officeDocument/2006/relationships/image" Target="../../ZENGZH~1/AppData/Local/Temp/ksohtml2692/wps10.jpg" TargetMode="External"/><Relationship Id="rId172" Type="http://schemas.openxmlformats.org/officeDocument/2006/relationships/image" Target="media/image163.jpe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jpeg"/><Relationship Id="rId130" Type="http://schemas.openxmlformats.org/officeDocument/2006/relationships/image" Target="media/image121.jpe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357</Pages>
  <Words>6680</Words>
  <Characters>7343</Characters>
  <Lines>12819</Lines>
  <Paragraphs>3609</Paragraphs>
  <TotalTime>1</TotalTime>
  <ScaleCrop>false</ScaleCrop>
  <LinksUpToDate>false</LinksUpToDate>
  <CharactersWithSpaces>7503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2021-09-25T05:21:00Z</dcterms:created>
  <dc:creator>李勇</dc:creator>
  <cp:lastModifiedBy>WPS_1516069980</cp:lastModifiedBy>
  <cp:lastPrinted>2021-09-30T01:05:00Z</cp:lastPrinted>
  <dcterms:modified xsi:type="dcterms:W3CDTF">2025-04-08T03:31:32Z</dcterms:modified>
  <cp:revision>157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ContentTypeId">
    <vt:lpwstr>0x0101009D1D9E2393F2AC4FA5A1A415458A4545</vt:lpwstr>
  </property>
  <property fmtid="{D5CDD505-2E9C-101B-9397-08002B2CF9AE}" pid="4" name="KSOTemplateDocerSaveRecord">
    <vt:lpwstr>eyJoZGlkIjoiOWM0MzJhZjM1ODE1MjU3ZDc1YzM0ZTFiMzE0YjA3ZTkiLCJ1c2VySWQiOiIzMzkxNDY3OTUifQ==</vt:lpwstr>
  </property>
  <property fmtid="{D5CDD505-2E9C-101B-9397-08002B2CF9AE}" pid="5" name="ICV">
    <vt:lpwstr>85FC9AEB48534AB1B18F55FDA84525B4_12</vt:lpwstr>
  </property>
</Properties>
</file>