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A18ADC">
      <w:pPr>
        <w:pStyle w:val="2"/>
        <w:rPr>
          <w:rFonts w:hint="default"/>
          <w:lang w:val="en-US" w:eastAsia="zh-CN"/>
        </w:rPr>
      </w:pPr>
    </w:p>
    <w:p w14:paraId="572803AA">
      <w:pPr>
        <w:widowControl/>
        <w:jc w:val="center"/>
        <w:rPr>
          <w:rFonts w:ascii="黑体" w:hAnsi="黑体" w:eastAsia="黑体" w:cs="宋体"/>
          <w:b/>
          <w:color w:val="000000"/>
          <w:kern w:val="0"/>
          <w:sz w:val="44"/>
          <w:szCs w:val="44"/>
        </w:rPr>
      </w:pPr>
      <w:r>
        <w:rPr>
          <w:rFonts w:hint="eastAsia" w:ascii="黑体" w:hAnsi="黑体" w:eastAsia="黑体" w:cs="宋体"/>
          <w:b/>
          <w:color w:val="000000"/>
          <w:kern w:val="0"/>
          <w:sz w:val="44"/>
          <w:szCs w:val="44"/>
        </w:rPr>
        <w:t>内蒙古昆明卷烟有限责任公司</w:t>
      </w:r>
    </w:p>
    <w:p w14:paraId="4DA81C02">
      <w:pPr>
        <w:widowControl/>
        <w:jc w:val="center"/>
        <w:rPr>
          <w:rFonts w:ascii="黑体" w:hAnsi="黑体" w:eastAsia="黑体" w:cs="宋体"/>
          <w:b/>
          <w:color w:val="000000"/>
          <w:kern w:val="0"/>
          <w:sz w:val="44"/>
          <w:szCs w:val="44"/>
        </w:rPr>
      </w:pPr>
      <w:r>
        <w:rPr>
          <w:rFonts w:hint="eastAsia" w:ascii="黑体" w:hAnsi="黑体" w:eastAsia="黑体" w:cs="宋体"/>
          <w:b/>
          <w:color w:val="000000"/>
          <w:kern w:val="0"/>
          <w:sz w:val="44"/>
          <w:szCs w:val="44"/>
        </w:rPr>
        <w:t xml:space="preserve"> 202</w:t>
      </w:r>
      <w:r>
        <w:rPr>
          <w:rFonts w:hint="eastAsia" w:ascii="黑体" w:hAnsi="黑体" w:eastAsia="黑体" w:cs="宋体"/>
          <w:b/>
          <w:color w:val="000000"/>
          <w:kern w:val="0"/>
          <w:sz w:val="44"/>
          <w:szCs w:val="44"/>
          <w:lang w:val="en-US" w:eastAsia="zh-CN"/>
        </w:rPr>
        <w:t>4</w:t>
      </w:r>
      <w:r>
        <w:rPr>
          <w:rFonts w:hint="eastAsia" w:ascii="黑体" w:hAnsi="黑体" w:eastAsia="黑体" w:cs="宋体"/>
          <w:b/>
          <w:color w:val="000000"/>
          <w:kern w:val="0"/>
          <w:sz w:val="44"/>
          <w:szCs w:val="44"/>
        </w:rPr>
        <w:t>年度企业网站维保服务合同</w:t>
      </w:r>
    </w:p>
    <w:p w14:paraId="27C4BE93">
      <w:pPr>
        <w:jc w:val="center"/>
        <w:rPr>
          <w:rFonts w:ascii="宋体" w:hAnsi="宋体"/>
          <w:b/>
          <w:sz w:val="44"/>
          <w:szCs w:val="44"/>
        </w:rPr>
      </w:pPr>
    </w:p>
    <w:p w14:paraId="2858F693">
      <w:pPr>
        <w:jc w:val="center"/>
        <w:rPr>
          <w:rFonts w:ascii="宋体" w:hAnsi="宋体"/>
          <w:b/>
          <w:sz w:val="44"/>
          <w:szCs w:val="44"/>
        </w:rPr>
      </w:pPr>
    </w:p>
    <w:p w14:paraId="1BECE9F4">
      <w:pPr>
        <w:jc w:val="center"/>
        <w:rPr>
          <w:rFonts w:ascii="宋体" w:hAnsi="宋体"/>
          <w:b/>
          <w:sz w:val="44"/>
          <w:szCs w:val="44"/>
        </w:rPr>
      </w:pPr>
    </w:p>
    <w:p w14:paraId="35BD03C7">
      <w:pPr>
        <w:jc w:val="center"/>
        <w:rPr>
          <w:rFonts w:ascii="宋体" w:hAnsi="宋体"/>
          <w:b/>
          <w:sz w:val="44"/>
          <w:szCs w:val="44"/>
        </w:rPr>
      </w:pPr>
    </w:p>
    <w:p w14:paraId="708B5E3D">
      <w:pPr>
        <w:jc w:val="center"/>
        <w:rPr>
          <w:rFonts w:ascii="宋体" w:hAnsi="宋体"/>
          <w:b/>
          <w:sz w:val="44"/>
          <w:szCs w:val="44"/>
        </w:rPr>
      </w:pPr>
    </w:p>
    <w:p w14:paraId="16683448">
      <w:pPr>
        <w:jc w:val="center"/>
        <w:rPr>
          <w:rFonts w:ascii="宋体" w:hAnsi="宋体"/>
          <w:b/>
          <w:sz w:val="44"/>
          <w:szCs w:val="44"/>
        </w:rPr>
      </w:pPr>
    </w:p>
    <w:p w14:paraId="5666C609">
      <w:pPr>
        <w:jc w:val="center"/>
        <w:rPr>
          <w:rFonts w:ascii="宋体" w:hAnsi="宋体"/>
          <w:b/>
          <w:sz w:val="44"/>
          <w:szCs w:val="44"/>
        </w:rPr>
      </w:pPr>
    </w:p>
    <w:p w14:paraId="5011467F">
      <w:pPr>
        <w:rPr>
          <w:rFonts w:ascii="宋体" w:hAnsi="宋体"/>
          <w:b/>
          <w:sz w:val="44"/>
          <w:szCs w:val="44"/>
        </w:rPr>
      </w:pPr>
    </w:p>
    <w:p w14:paraId="30C7A168">
      <w:pPr>
        <w:jc w:val="center"/>
        <w:rPr>
          <w:rFonts w:ascii="黑体" w:hAnsi="黑体" w:eastAsia="黑体"/>
          <w:b/>
          <w:sz w:val="32"/>
          <w:szCs w:val="32"/>
        </w:rPr>
      </w:pPr>
    </w:p>
    <w:p w14:paraId="3099456F">
      <w:pPr>
        <w:ind w:firstLine="992" w:firstLineChars="310"/>
        <w:rPr>
          <w:rFonts w:hint="default" w:ascii="黑体" w:hAnsi="黑体" w:eastAsia="黑体"/>
          <w:sz w:val="32"/>
          <w:szCs w:val="32"/>
          <w:lang w:val="en-US" w:eastAsia="zh-CN"/>
        </w:rPr>
      </w:pPr>
      <w:r>
        <w:rPr>
          <w:rFonts w:hint="eastAsia" w:ascii="黑体" w:hAnsi="黑体" w:eastAsia="黑体"/>
          <w:sz w:val="32"/>
          <w:szCs w:val="32"/>
        </w:rPr>
        <w:t>委托方（甲方）：</w:t>
      </w:r>
      <w:r>
        <w:rPr>
          <w:rFonts w:hint="eastAsia" w:ascii="黑体" w:hAnsi="黑体" w:eastAsia="黑体"/>
          <w:sz w:val="32"/>
          <w:szCs w:val="32"/>
          <w:u w:val="single"/>
          <w:lang w:val="en-US" w:eastAsia="zh-CN"/>
        </w:rPr>
        <w:t>北京创联致信科技有限公司</w:t>
      </w:r>
    </w:p>
    <w:p w14:paraId="4EE37BCE">
      <w:pPr>
        <w:ind w:firstLine="992" w:firstLineChars="310"/>
        <w:rPr>
          <w:rFonts w:ascii="黑体" w:hAnsi="黑体" w:eastAsia="黑体"/>
          <w:sz w:val="32"/>
          <w:szCs w:val="32"/>
        </w:rPr>
      </w:pPr>
      <w:r>
        <w:rPr>
          <w:rFonts w:hint="eastAsia" w:ascii="黑体" w:hAnsi="黑体" w:eastAsia="黑体"/>
          <w:sz w:val="32"/>
          <w:szCs w:val="32"/>
        </w:rPr>
        <w:t>服务方（乙方）：</w:t>
      </w:r>
      <w:r>
        <w:rPr>
          <w:rFonts w:hint="eastAsia" w:ascii="黑体" w:hAnsi="黑体" w:eastAsia="黑体"/>
          <w:sz w:val="32"/>
          <w:szCs w:val="32"/>
          <w:u w:val="single"/>
        </w:rPr>
        <w:t>内蒙古世纪泓科技有限公司</w:t>
      </w:r>
    </w:p>
    <w:p w14:paraId="72653B06">
      <w:pPr>
        <w:ind w:firstLine="992" w:firstLineChars="310"/>
        <w:rPr>
          <w:rFonts w:ascii="黑体" w:hAnsi="黑体" w:eastAsia="黑体"/>
          <w:sz w:val="32"/>
          <w:szCs w:val="32"/>
        </w:rPr>
      </w:pPr>
      <w:r>
        <w:rPr>
          <w:rFonts w:hint="eastAsia" w:ascii="黑体" w:hAnsi="黑体" w:eastAsia="黑体"/>
          <w:sz w:val="32"/>
          <w:szCs w:val="32"/>
        </w:rPr>
        <w:t>签订地点：</w:t>
      </w:r>
      <w:r>
        <w:rPr>
          <w:rFonts w:hint="eastAsia" w:ascii="黑体" w:hAnsi="黑体" w:eastAsia="黑体"/>
          <w:sz w:val="32"/>
          <w:szCs w:val="32"/>
          <w:u w:val="single"/>
        </w:rPr>
        <w:t>呼和浩特市</w:t>
      </w:r>
    </w:p>
    <w:p w14:paraId="79BD35B6">
      <w:pPr>
        <w:jc w:val="center"/>
        <w:rPr>
          <w:rFonts w:ascii="宋体" w:hAnsi="宋体"/>
          <w:sz w:val="24"/>
        </w:rPr>
      </w:pPr>
    </w:p>
    <w:p w14:paraId="4ACA6608">
      <w:pPr>
        <w:jc w:val="center"/>
        <w:rPr>
          <w:rFonts w:ascii="宋体" w:hAnsi="宋体"/>
          <w:sz w:val="24"/>
        </w:rPr>
      </w:pPr>
    </w:p>
    <w:p w14:paraId="069439A3">
      <w:pPr>
        <w:jc w:val="center"/>
        <w:rPr>
          <w:rFonts w:ascii="宋体" w:hAnsi="宋体"/>
          <w:sz w:val="24"/>
        </w:rPr>
      </w:pPr>
    </w:p>
    <w:p w14:paraId="7B906A37">
      <w:pPr>
        <w:jc w:val="center"/>
        <w:rPr>
          <w:rFonts w:ascii="宋体" w:hAnsi="宋体"/>
          <w:sz w:val="24"/>
        </w:rPr>
      </w:pPr>
    </w:p>
    <w:p w14:paraId="2FE567BC">
      <w:pPr>
        <w:jc w:val="center"/>
        <w:rPr>
          <w:rFonts w:ascii="宋体" w:hAnsi="宋体"/>
          <w:sz w:val="24"/>
        </w:rPr>
      </w:pPr>
    </w:p>
    <w:p w14:paraId="398C03F2">
      <w:pPr>
        <w:jc w:val="center"/>
        <w:rPr>
          <w:rFonts w:ascii="宋体" w:hAnsi="宋体"/>
          <w:sz w:val="24"/>
        </w:rPr>
      </w:pPr>
    </w:p>
    <w:p w14:paraId="2C913F0B">
      <w:pPr>
        <w:jc w:val="center"/>
        <w:rPr>
          <w:rFonts w:ascii="宋体" w:hAnsi="宋体"/>
          <w:sz w:val="24"/>
        </w:rPr>
      </w:pPr>
    </w:p>
    <w:p w14:paraId="64E42124">
      <w:pPr>
        <w:jc w:val="center"/>
        <w:rPr>
          <w:rFonts w:ascii="宋体" w:hAnsi="宋体"/>
          <w:sz w:val="24"/>
        </w:rPr>
      </w:pPr>
    </w:p>
    <w:p w14:paraId="07E05F35">
      <w:pPr>
        <w:jc w:val="center"/>
        <w:rPr>
          <w:rFonts w:ascii="宋体" w:hAnsi="宋体"/>
          <w:sz w:val="24"/>
        </w:rPr>
      </w:pPr>
    </w:p>
    <w:p w14:paraId="6EFC37E1">
      <w:pPr>
        <w:jc w:val="center"/>
        <w:rPr>
          <w:rFonts w:ascii="宋体" w:hAnsi="宋体"/>
          <w:sz w:val="24"/>
        </w:rPr>
      </w:pPr>
    </w:p>
    <w:p w14:paraId="2602C354">
      <w:pPr>
        <w:jc w:val="center"/>
        <w:rPr>
          <w:rFonts w:ascii="宋体" w:hAnsi="宋体"/>
          <w:sz w:val="24"/>
        </w:rPr>
      </w:pPr>
    </w:p>
    <w:p w14:paraId="27499514">
      <w:pPr>
        <w:jc w:val="center"/>
        <w:rPr>
          <w:rFonts w:ascii="仿宋_GB2312" w:hAnsi="宋体" w:eastAsia="仿宋_GB2312"/>
          <w:b/>
          <w:sz w:val="32"/>
          <w:szCs w:val="32"/>
        </w:rPr>
      </w:pPr>
      <w:r>
        <w:rPr>
          <w:rFonts w:hint="eastAsia" w:ascii="仿宋_GB2312" w:hAnsi="宋体" w:eastAsia="仿宋_GB2312"/>
          <w:b/>
          <w:sz w:val="32"/>
          <w:szCs w:val="32"/>
        </w:rPr>
        <w:t>本合同签署时，必须加盖双方骑缝</w:t>
      </w:r>
    </w:p>
    <w:p w14:paraId="093A8AF0">
      <w:pPr>
        <w:rPr>
          <w:rFonts w:hint="eastAsia" w:ascii="黑体" w:hAnsi="黑体" w:eastAsia="黑体"/>
          <w:b/>
          <w:bCs/>
          <w:sz w:val="28"/>
          <w:szCs w:val="28"/>
        </w:rPr>
      </w:pPr>
      <w:r>
        <w:rPr>
          <w:rFonts w:hint="eastAsia" w:ascii="黑体" w:hAnsi="黑体" w:eastAsia="黑体"/>
          <w:b/>
          <w:bCs/>
          <w:sz w:val="28"/>
          <w:szCs w:val="28"/>
        </w:rPr>
        <w:br w:type="page"/>
      </w:r>
    </w:p>
    <w:p w14:paraId="587347C8">
      <w:pPr>
        <w:spacing w:line="360" w:lineRule="auto"/>
        <w:jc w:val="center"/>
        <w:rPr>
          <w:rFonts w:ascii="黑体" w:hAnsi="黑体" w:eastAsia="黑体"/>
          <w:b/>
          <w:bCs/>
          <w:sz w:val="28"/>
          <w:szCs w:val="28"/>
        </w:rPr>
      </w:pPr>
      <w:r>
        <w:rPr>
          <w:rFonts w:hint="eastAsia" w:ascii="黑体" w:hAnsi="黑体" w:eastAsia="黑体"/>
          <w:b/>
          <w:bCs/>
          <w:sz w:val="28"/>
          <w:szCs w:val="28"/>
        </w:rPr>
        <w:t>目  录</w:t>
      </w:r>
    </w:p>
    <w:p w14:paraId="74BA7986">
      <w:pPr>
        <w:spacing w:line="360" w:lineRule="auto"/>
        <w:jc w:val="center"/>
        <w:rPr>
          <w:rFonts w:ascii="黑体" w:hAnsi="黑体" w:eastAsia="黑体"/>
          <w:b/>
          <w:sz w:val="28"/>
          <w:szCs w:val="28"/>
        </w:rPr>
      </w:pPr>
    </w:p>
    <w:p w14:paraId="1BF270D0">
      <w:pPr>
        <w:spacing w:line="360" w:lineRule="auto"/>
        <w:rPr>
          <w:rFonts w:ascii="黑体" w:hAnsi="黑体" w:eastAsia="黑体"/>
          <w:sz w:val="28"/>
          <w:szCs w:val="28"/>
        </w:rPr>
      </w:pPr>
      <w:r>
        <w:rPr>
          <w:rFonts w:hint="eastAsia" w:ascii="黑体" w:hAnsi="黑体" w:eastAsia="黑体"/>
          <w:sz w:val="28"/>
          <w:szCs w:val="28"/>
        </w:rPr>
        <w:t>第一章</w:t>
      </w:r>
      <w:r>
        <w:rPr>
          <w:rFonts w:ascii="黑体" w:hAnsi="黑体" w:eastAsia="黑体"/>
          <w:sz w:val="28"/>
          <w:szCs w:val="28"/>
        </w:rPr>
        <w:t xml:space="preserve">        </w:t>
      </w:r>
      <w:r>
        <w:rPr>
          <w:rFonts w:hint="eastAsia" w:ascii="黑体" w:hAnsi="黑体" w:eastAsia="黑体"/>
          <w:sz w:val="28"/>
          <w:szCs w:val="28"/>
        </w:rPr>
        <w:t>合同定义</w:t>
      </w:r>
    </w:p>
    <w:p w14:paraId="61A2E251">
      <w:pPr>
        <w:spacing w:line="360" w:lineRule="auto"/>
        <w:rPr>
          <w:rFonts w:ascii="黑体" w:hAnsi="黑体" w:eastAsia="黑体"/>
          <w:sz w:val="28"/>
          <w:szCs w:val="28"/>
        </w:rPr>
      </w:pPr>
      <w:r>
        <w:rPr>
          <w:rFonts w:hint="eastAsia" w:ascii="黑体" w:hAnsi="黑体" w:eastAsia="黑体"/>
          <w:sz w:val="28"/>
          <w:szCs w:val="28"/>
        </w:rPr>
        <w:t>第二章</w:t>
      </w:r>
      <w:r>
        <w:rPr>
          <w:rFonts w:hint="eastAsia" w:ascii="黑体" w:hAnsi="黑体" w:eastAsia="黑体"/>
          <w:sz w:val="28"/>
          <w:szCs w:val="28"/>
        </w:rPr>
        <w:tab/>
      </w:r>
      <w:r>
        <w:rPr>
          <w:rFonts w:hint="eastAsia" w:ascii="黑体" w:hAnsi="黑体" w:eastAsia="黑体"/>
          <w:sz w:val="28"/>
          <w:szCs w:val="28"/>
        </w:rPr>
        <w:tab/>
      </w:r>
      <w:r>
        <w:rPr>
          <w:rFonts w:hint="eastAsia" w:ascii="黑体" w:hAnsi="黑体" w:eastAsia="黑体"/>
          <w:sz w:val="28"/>
          <w:szCs w:val="28"/>
        </w:rPr>
        <w:t xml:space="preserve">  服务期限及内容、方式</w:t>
      </w:r>
    </w:p>
    <w:p w14:paraId="5E340493">
      <w:pPr>
        <w:spacing w:line="360" w:lineRule="auto"/>
        <w:rPr>
          <w:rFonts w:ascii="黑体" w:hAnsi="黑体" w:eastAsia="黑体"/>
          <w:sz w:val="28"/>
          <w:szCs w:val="28"/>
        </w:rPr>
      </w:pPr>
      <w:r>
        <w:rPr>
          <w:rFonts w:hint="eastAsia" w:ascii="黑体" w:hAnsi="黑体" w:eastAsia="黑体"/>
          <w:sz w:val="28"/>
          <w:szCs w:val="28"/>
        </w:rPr>
        <w:t>第三章</w:t>
      </w:r>
      <w:r>
        <w:rPr>
          <w:rFonts w:ascii="黑体" w:hAnsi="黑体" w:eastAsia="黑体"/>
          <w:sz w:val="28"/>
          <w:szCs w:val="28"/>
        </w:rPr>
        <w:t xml:space="preserve">        </w:t>
      </w:r>
      <w:r>
        <w:rPr>
          <w:rFonts w:hint="eastAsia" w:ascii="黑体" w:hAnsi="黑体" w:eastAsia="黑体"/>
          <w:sz w:val="28"/>
          <w:szCs w:val="28"/>
        </w:rPr>
        <w:t>付款条款</w:t>
      </w:r>
    </w:p>
    <w:p w14:paraId="2921F697">
      <w:pPr>
        <w:spacing w:line="360" w:lineRule="auto"/>
        <w:rPr>
          <w:rFonts w:ascii="黑体" w:hAnsi="黑体" w:eastAsia="黑体"/>
          <w:sz w:val="28"/>
          <w:szCs w:val="28"/>
        </w:rPr>
      </w:pPr>
      <w:r>
        <w:rPr>
          <w:rFonts w:hint="eastAsia" w:ascii="黑体" w:hAnsi="黑体" w:eastAsia="黑体"/>
          <w:sz w:val="28"/>
          <w:szCs w:val="28"/>
        </w:rPr>
        <w:t xml:space="preserve">第四章 </w:t>
      </w:r>
      <w:r>
        <w:rPr>
          <w:rFonts w:ascii="黑体" w:hAnsi="黑体" w:eastAsia="黑体"/>
          <w:sz w:val="28"/>
          <w:szCs w:val="28"/>
        </w:rPr>
        <w:t xml:space="preserve">       </w:t>
      </w:r>
      <w:r>
        <w:rPr>
          <w:rFonts w:hint="eastAsia" w:ascii="黑体" w:hAnsi="黑体" w:eastAsia="黑体"/>
          <w:sz w:val="28"/>
          <w:szCs w:val="28"/>
        </w:rPr>
        <w:t>双方权利义务</w:t>
      </w:r>
    </w:p>
    <w:p w14:paraId="2BBA9910">
      <w:pPr>
        <w:spacing w:line="360" w:lineRule="auto"/>
        <w:rPr>
          <w:rFonts w:ascii="黑体" w:hAnsi="黑体" w:eastAsia="黑体"/>
          <w:sz w:val="28"/>
          <w:szCs w:val="28"/>
        </w:rPr>
      </w:pPr>
      <w:r>
        <w:rPr>
          <w:rFonts w:hint="eastAsia" w:ascii="黑体" w:hAnsi="黑体" w:eastAsia="黑体"/>
          <w:sz w:val="28"/>
          <w:szCs w:val="28"/>
        </w:rPr>
        <w:t>第五章</w:t>
      </w:r>
      <w:r>
        <w:rPr>
          <w:rFonts w:ascii="黑体" w:hAnsi="黑体" w:eastAsia="黑体"/>
          <w:sz w:val="28"/>
          <w:szCs w:val="28"/>
        </w:rPr>
        <w:t xml:space="preserve">       </w:t>
      </w:r>
      <w:r>
        <w:rPr>
          <w:rFonts w:hint="eastAsia" w:ascii="黑体" w:hAnsi="黑体" w:eastAsia="黑体"/>
          <w:sz w:val="28"/>
          <w:szCs w:val="28"/>
        </w:rPr>
        <w:t xml:space="preserve"> 服务验收</w:t>
      </w:r>
    </w:p>
    <w:p w14:paraId="767A4640">
      <w:pPr>
        <w:spacing w:line="360" w:lineRule="auto"/>
        <w:rPr>
          <w:rFonts w:ascii="黑体" w:hAnsi="黑体" w:eastAsia="黑体"/>
          <w:sz w:val="28"/>
          <w:szCs w:val="28"/>
        </w:rPr>
      </w:pPr>
      <w:r>
        <w:rPr>
          <w:rFonts w:hint="eastAsia" w:ascii="黑体" w:hAnsi="黑体" w:eastAsia="黑体"/>
          <w:sz w:val="28"/>
          <w:szCs w:val="28"/>
        </w:rPr>
        <w:t xml:space="preserve">第六章 </w:t>
      </w:r>
      <w:r>
        <w:rPr>
          <w:rFonts w:ascii="黑体" w:hAnsi="黑体" w:eastAsia="黑体"/>
          <w:sz w:val="28"/>
          <w:szCs w:val="28"/>
        </w:rPr>
        <w:t xml:space="preserve">       </w:t>
      </w:r>
      <w:r>
        <w:rPr>
          <w:rFonts w:hint="eastAsia" w:ascii="黑体" w:hAnsi="黑体" w:eastAsia="黑体"/>
          <w:sz w:val="28"/>
          <w:szCs w:val="28"/>
        </w:rPr>
        <w:t>违约责任</w:t>
      </w:r>
    </w:p>
    <w:p w14:paraId="0F7B90CF">
      <w:pPr>
        <w:spacing w:line="360" w:lineRule="auto"/>
        <w:rPr>
          <w:rFonts w:ascii="黑体" w:hAnsi="黑体" w:eastAsia="黑体"/>
          <w:sz w:val="28"/>
          <w:szCs w:val="28"/>
        </w:rPr>
      </w:pPr>
      <w:r>
        <w:rPr>
          <w:rFonts w:hint="eastAsia" w:ascii="黑体" w:hAnsi="黑体" w:eastAsia="黑体"/>
          <w:sz w:val="28"/>
          <w:szCs w:val="28"/>
        </w:rPr>
        <w:t>第七章</w:t>
      </w:r>
      <w:r>
        <w:rPr>
          <w:rFonts w:ascii="黑体" w:hAnsi="黑体" w:eastAsia="黑体"/>
          <w:sz w:val="28"/>
          <w:szCs w:val="28"/>
        </w:rPr>
        <w:t xml:space="preserve">        </w:t>
      </w:r>
      <w:r>
        <w:rPr>
          <w:rFonts w:hint="eastAsia" w:ascii="黑体" w:hAnsi="黑体" w:eastAsia="黑体"/>
          <w:sz w:val="28"/>
          <w:szCs w:val="28"/>
        </w:rPr>
        <w:t>保密条款和知识产权</w:t>
      </w:r>
    </w:p>
    <w:p w14:paraId="40BFF041">
      <w:pPr>
        <w:spacing w:line="360" w:lineRule="auto"/>
        <w:rPr>
          <w:rFonts w:ascii="黑体" w:hAnsi="黑体" w:eastAsia="黑体"/>
          <w:sz w:val="28"/>
          <w:szCs w:val="28"/>
        </w:rPr>
      </w:pPr>
      <w:r>
        <w:rPr>
          <w:rFonts w:hint="eastAsia" w:ascii="黑体" w:hAnsi="黑体" w:eastAsia="黑体"/>
          <w:sz w:val="28"/>
          <w:szCs w:val="28"/>
        </w:rPr>
        <w:t>第八章</w:t>
      </w:r>
      <w:r>
        <w:rPr>
          <w:rFonts w:ascii="黑体" w:hAnsi="黑体" w:eastAsia="黑体"/>
          <w:sz w:val="28"/>
          <w:szCs w:val="28"/>
        </w:rPr>
        <w:t xml:space="preserve">        </w:t>
      </w:r>
      <w:r>
        <w:rPr>
          <w:rFonts w:hint="eastAsia" w:ascii="黑体" w:hAnsi="黑体" w:eastAsia="黑体"/>
          <w:sz w:val="28"/>
          <w:szCs w:val="28"/>
        </w:rPr>
        <w:t>不可抗力</w:t>
      </w:r>
    </w:p>
    <w:p w14:paraId="5374DB3E">
      <w:pPr>
        <w:spacing w:line="360" w:lineRule="auto"/>
        <w:rPr>
          <w:rFonts w:ascii="黑体" w:hAnsi="黑体" w:eastAsia="黑体"/>
          <w:sz w:val="28"/>
          <w:szCs w:val="28"/>
        </w:rPr>
      </w:pPr>
      <w:r>
        <w:rPr>
          <w:rFonts w:hint="eastAsia" w:ascii="黑体" w:hAnsi="黑体" w:eastAsia="黑体"/>
          <w:sz w:val="28"/>
          <w:szCs w:val="28"/>
        </w:rPr>
        <w:t>第九章</w:t>
      </w:r>
      <w:r>
        <w:rPr>
          <w:rFonts w:ascii="黑体" w:hAnsi="黑体" w:eastAsia="黑体"/>
          <w:sz w:val="28"/>
          <w:szCs w:val="28"/>
        </w:rPr>
        <w:t xml:space="preserve">        </w:t>
      </w:r>
      <w:r>
        <w:rPr>
          <w:rFonts w:hint="eastAsia" w:ascii="黑体" w:hAnsi="黑体" w:eastAsia="黑体"/>
          <w:sz w:val="28"/>
          <w:szCs w:val="28"/>
        </w:rPr>
        <w:t>争议解决及法律适用</w:t>
      </w:r>
    </w:p>
    <w:p w14:paraId="2754D466">
      <w:pPr>
        <w:spacing w:line="360" w:lineRule="auto"/>
        <w:rPr>
          <w:rFonts w:ascii="黑体" w:hAnsi="黑体" w:eastAsia="黑体"/>
          <w:sz w:val="28"/>
          <w:szCs w:val="28"/>
        </w:rPr>
      </w:pPr>
      <w:r>
        <w:rPr>
          <w:rFonts w:hint="eastAsia" w:ascii="黑体" w:hAnsi="黑体" w:eastAsia="黑体"/>
          <w:sz w:val="28"/>
          <w:szCs w:val="28"/>
        </w:rPr>
        <w:t>第十章</w:t>
      </w:r>
      <w:r>
        <w:rPr>
          <w:rFonts w:ascii="黑体" w:hAnsi="黑体" w:eastAsia="黑体"/>
          <w:sz w:val="28"/>
          <w:szCs w:val="28"/>
        </w:rPr>
        <w:t xml:space="preserve">        </w:t>
      </w:r>
      <w:r>
        <w:rPr>
          <w:rFonts w:hint="eastAsia" w:ascii="黑体" w:hAnsi="黑体" w:eastAsia="黑体"/>
          <w:sz w:val="28"/>
          <w:szCs w:val="28"/>
        </w:rPr>
        <w:t>合同的生效、终止及其他</w:t>
      </w:r>
    </w:p>
    <w:p w14:paraId="634AF200">
      <w:pPr>
        <w:spacing w:line="360" w:lineRule="auto"/>
        <w:rPr>
          <w:rFonts w:ascii="宋体" w:hAnsi="宋体"/>
          <w:sz w:val="24"/>
        </w:rPr>
      </w:pPr>
    </w:p>
    <w:p w14:paraId="3C707687">
      <w:pPr>
        <w:spacing w:line="360" w:lineRule="auto"/>
        <w:rPr>
          <w:rFonts w:ascii="宋体" w:hAnsi="宋体"/>
          <w:sz w:val="24"/>
        </w:rPr>
      </w:pPr>
    </w:p>
    <w:p w14:paraId="03B6B286">
      <w:pPr>
        <w:spacing w:line="360" w:lineRule="auto"/>
        <w:rPr>
          <w:rFonts w:ascii="宋体" w:hAnsi="宋体"/>
          <w:sz w:val="24"/>
        </w:rPr>
      </w:pPr>
    </w:p>
    <w:p w14:paraId="178022D5">
      <w:pPr>
        <w:spacing w:line="360" w:lineRule="auto"/>
        <w:rPr>
          <w:rFonts w:ascii="宋体" w:hAnsi="宋体"/>
          <w:sz w:val="24"/>
        </w:rPr>
      </w:pPr>
    </w:p>
    <w:p w14:paraId="7A13450A">
      <w:pPr>
        <w:spacing w:line="360" w:lineRule="auto"/>
        <w:rPr>
          <w:rFonts w:ascii="宋体" w:hAnsi="宋体"/>
          <w:sz w:val="24"/>
        </w:rPr>
      </w:pPr>
    </w:p>
    <w:p w14:paraId="1F2E8A2E">
      <w:pPr>
        <w:spacing w:line="360" w:lineRule="auto"/>
        <w:rPr>
          <w:rFonts w:ascii="宋体" w:hAnsi="宋体"/>
          <w:sz w:val="24"/>
        </w:rPr>
      </w:pPr>
    </w:p>
    <w:p w14:paraId="7A39F532">
      <w:pPr>
        <w:spacing w:line="360" w:lineRule="auto"/>
        <w:rPr>
          <w:rFonts w:ascii="宋体" w:hAnsi="宋体"/>
          <w:sz w:val="24"/>
        </w:rPr>
      </w:pPr>
    </w:p>
    <w:p w14:paraId="364263B9">
      <w:pPr>
        <w:spacing w:line="360" w:lineRule="auto"/>
        <w:rPr>
          <w:rFonts w:ascii="宋体" w:hAnsi="宋体"/>
          <w:sz w:val="24"/>
        </w:rPr>
      </w:pPr>
    </w:p>
    <w:p w14:paraId="711D614A">
      <w:pPr>
        <w:spacing w:line="360" w:lineRule="auto"/>
        <w:rPr>
          <w:rFonts w:ascii="宋体" w:hAnsi="宋体"/>
          <w:sz w:val="24"/>
        </w:rPr>
      </w:pPr>
    </w:p>
    <w:p w14:paraId="102B7C66">
      <w:pPr>
        <w:spacing w:line="360" w:lineRule="auto"/>
        <w:rPr>
          <w:rFonts w:ascii="宋体" w:hAnsi="宋体"/>
          <w:sz w:val="24"/>
        </w:rPr>
      </w:pPr>
    </w:p>
    <w:p w14:paraId="17C97A29">
      <w:pPr>
        <w:spacing w:line="360" w:lineRule="auto"/>
        <w:rPr>
          <w:rFonts w:ascii="宋体" w:hAnsi="宋体"/>
          <w:sz w:val="24"/>
        </w:rPr>
      </w:pPr>
    </w:p>
    <w:p w14:paraId="33A291FB">
      <w:pPr>
        <w:spacing w:line="360" w:lineRule="auto"/>
        <w:rPr>
          <w:rFonts w:ascii="宋体" w:hAnsi="宋体"/>
          <w:sz w:val="24"/>
        </w:rPr>
      </w:pPr>
    </w:p>
    <w:p w14:paraId="7985CCE8">
      <w:pPr>
        <w:jc w:val="left"/>
        <w:rPr>
          <w:rFonts w:ascii="宋体" w:hAnsi="宋体"/>
          <w:sz w:val="24"/>
        </w:rPr>
      </w:pPr>
    </w:p>
    <w:p w14:paraId="0C6E2931">
      <w:pPr>
        <w:rPr>
          <w:rFonts w:hint="eastAsia" w:ascii="仿宋_GB2312" w:hAnsi="宋体" w:eastAsia="仿宋_GB2312"/>
          <w:sz w:val="24"/>
        </w:rPr>
      </w:pPr>
      <w:r>
        <w:rPr>
          <w:rFonts w:hint="eastAsia" w:ascii="仿宋_GB2312" w:hAnsi="宋体" w:eastAsia="仿宋_GB2312"/>
          <w:sz w:val="24"/>
        </w:rPr>
        <w:br w:type="page"/>
      </w:r>
    </w:p>
    <w:p w14:paraId="3BE5D3CB">
      <w:pPr>
        <w:spacing w:line="500" w:lineRule="exact"/>
        <w:jc w:val="left"/>
        <w:rPr>
          <w:rFonts w:hint="default" w:ascii="仿宋_GB2312" w:hAnsi="宋体" w:eastAsia="仿宋_GB2312"/>
          <w:sz w:val="24"/>
          <w:u w:val="single"/>
          <w:lang w:val="en-US" w:eastAsia="zh-CN"/>
        </w:rPr>
      </w:pPr>
      <w:r>
        <w:rPr>
          <w:rFonts w:hint="eastAsia" w:ascii="仿宋_GB2312" w:hAnsi="宋体" w:eastAsia="仿宋_GB2312"/>
          <w:sz w:val="24"/>
        </w:rPr>
        <w:t>委托方（甲方）：</w:t>
      </w:r>
      <w:r>
        <w:rPr>
          <w:rFonts w:hint="eastAsia" w:ascii="仿宋_GB2312" w:hAnsi="宋体" w:eastAsia="仿宋_GB2312"/>
          <w:sz w:val="24"/>
          <w:u w:val="single"/>
          <w:lang w:val="en-US" w:eastAsia="zh-CN"/>
        </w:rPr>
        <w:t>北京创联致信科技有限公司</w:t>
      </w:r>
    </w:p>
    <w:p w14:paraId="31000E20">
      <w:pPr>
        <w:spacing w:line="500" w:lineRule="exact"/>
        <w:jc w:val="left"/>
        <w:rPr>
          <w:rFonts w:ascii="仿宋_GB2312" w:hAnsi="宋体" w:eastAsia="仿宋_GB2312"/>
          <w:sz w:val="24"/>
          <w:u w:val="single"/>
        </w:rPr>
      </w:pPr>
      <w:r>
        <w:rPr>
          <w:rFonts w:hint="eastAsia" w:ascii="仿宋_GB2312" w:hAnsi="宋体" w:eastAsia="仿宋_GB2312"/>
          <w:sz w:val="24"/>
        </w:rPr>
        <w:t>住  所：</w:t>
      </w:r>
      <w:r>
        <w:rPr>
          <w:rFonts w:hint="eastAsia" w:ascii="仿宋_GB2312" w:eastAsia="仿宋_GB2312" w:cs="Times New Roman" w:hAnsiTheme="minorEastAsia"/>
          <w:sz w:val="24"/>
          <w:szCs w:val="24"/>
          <w:u w:val="single"/>
        </w:rPr>
        <w:t>北京市朝阳区小营北路19号二层206室</w:t>
      </w:r>
    </w:p>
    <w:p w14:paraId="53D2C26F">
      <w:pPr>
        <w:spacing w:line="500" w:lineRule="exact"/>
        <w:jc w:val="left"/>
        <w:rPr>
          <w:rFonts w:ascii="仿宋_GB2312" w:hAnsi="宋体" w:eastAsia="仿宋_GB2312"/>
          <w:sz w:val="24"/>
          <w:u w:val="single"/>
        </w:rPr>
      </w:pPr>
      <w:r>
        <w:rPr>
          <w:rFonts w:hint="eastAsia" w:ascii="仿宋_GB2312" w:hAnsi="宋体" w:eastAsia="仿宋_GB2312"/>
          <w:sz w:val="24"/>
        </w:rPr>
        <w:t>服务方（乙方）：</w:t>
      </w:r>
      <w:r>
        <w:rPr>
          <w:rFonts w:hint="eastAsia" w:ascii="仿宋_GB2312" w:hAnsi="宋体" w:eastAsia="仿宋_GB2312" w:cs="Times New Roman"/>
          <w:sz w:val="24"/>
          <w:u w:val="single"/>
          <w:lang w:val="en-US" w:eastAsia="zh-CN"/>
        </w:rPr>
        <w:t>内蒙古世纪泓科技有限公司</w:t>
      </w:r>
    </w:p>
    <w:p w14:paraId="17B4D1B0">
      <w:pPr>
        <w:spacing w:line="500" w:lineRule="exact"/>
        <w:jc w:val="left"/>
        <w:rPr>
          <w:rFonts w:hint="eastAsia" w:ascii="仿宋_GB2312" w:hAnsi="宋体" w:eastAsia="仿宋_GB2312"/>
          <w:sz w:val="24"/>
          <w:u w:val="single"/>
          <w:lang w:eastAsia="zh-CN"/>
        </w:rPr>
      </w:pPr>
      <w:r>
        <w:rPr>
          <w:rFonts w:hint="eastAsia" w:ascii="仿宋_GB2312" w:hAnsi="宋体" w:eastAsia="仿宋_GB2312"/>
          <w:sz w:val="24"/>
        </w:rPr>
        <w:t>住  所：</w:t>
      </w:r>
      <w:bookmarkStart w:id="0" w:name="_GoBack"/>
      <w:bookmarkEnd w:id="0"/>
      <w:r>
        <w:rPr>
          <w:rFonts w:hint="eastAsia" w:ascii="仿宋_GB2312" w:eastAsia="仿宋_GB2312" w:hAnsiTheme="minorEastAsia"/>
          <w:sz w:val="24"/>
          <w:szCs w:val="24"/>
          <w:u w:val="single"/>
          <w:lang w:eastAsia="zh-CN"/>
        </w:rPr>
        <w:t>呼和浩特市如意工业园区晨光街2号呼和浩特科创中心509室</w:t>
      </w:r>
    </w:p>
    <w:p w14:paraId="3C1D8C72">
      <w:pPr>
        <w:spacing w:line="500" w:lineRule="exact"/>
        <w:ind w:firstLine="420"/>
        <w:rPr>
          <w:rFonts w:ascii="仿宋_GB2312" w:hAnsi="宋体" w:eastAsia="仿宋_GB2312"/>
          <w:sz w:val="24"/>
        </w:rPr>
      </w:pPr>
      <w:r>
        <w:rPr>
          <w:rFonts w:hint="eastAsia" w:ascii="仿宋_GB2312" w:hAnsi="宋体" w:eastAsia="仿宋_GB2312"/>
          <w:sz w:val="24"/>
        </w:rPr>
        <w:t>依照《中华人民共和国民法典》等相关法律法规规定，甲乙双方在自由、公平、平等、诚实信用原则的基础上，就乙方为甲方提供企业网站维保服务相关事宜协商一致，共同签订本合同，以资双方共同信守。</w:t>
      </w:r>
    </w:p>
    <w:p w14:paraId="6DF16305">
      <w:pPr>
        <w:spacing w:line="500" w:lineRule="exact"/>
        <w:jc w:val="center"/>
        <w:rPr>
          <w:rFonts w:ascii="黑体" w:hAnsi="黑体" w:eastAsia="黑体"/>
          <w:sz w:val="28"/>
          <w:szCs w:val="28"/>
        </w:rPr>
      </w:pPr>
      <w:r>
        <w:rPr>
          <w:rFonts w:hint="eastAsia" w:ascii="黑体" w:hAnsi="黑体" w:eastAsia="黑体"/>
          <w:sz w:val="28"/>
          <w:szCs w:val="28"/>
        </w:rPr>
        <w:t xml:space="preserve">第一章 </w:t>
      </w:r>
      <w:r>
        <w:rPr>
          <w:rFonts w:hint="eastAsia" w:ascii="黑体" w:hAnsi="黑体" w:eastAsia="黑体"/>
          <w:sz w:val="28"/>
          <w:szCs w:val="28"/>
        </w:rPr>
        <w:tab/>
      </w:r>
      <w:r>
        <w:rPr>
          <w:rFonts w:hint="eastAsia" w:ascii="黑体" w:hAnsi="黑体" w:eastAsia="黑体"/>
          <w:sz w:val="28"/>
          <w:szCs w:val="28"/>
        </w:rPr>
        <w:t>合同定义</w:t>
      </w:r>
    </w:p>
    <w:p w14:paraId="48A210B6">
      <w:pPr>
        <w:spacing w:line="500" w:lineRule="exact"/>
        <w:rPr>
          <w:rFonts w:ascii="仿宋_GB2312" w:hAnsi="宋体" w:eastAsia="仿宋_GB2312"/>
          <w:sz w:val="24"/>
        </w:rPr>
      </w:pPr>
      <w:r>
        <w:rPr>
          <w:rFonts w:hint="eastAsia" w:ascii="仿宋_GB2312" w:hAnsi="宋体" w:eastAsia="仿宋_GB2312"/>
          <w:sz w:val="24"/>
        </w:rPr>
        <w:t>1.1“甲方”指</w:t>
      </w:r>
      <w:r>
        <w:rPr>
          <w:rFonts w:hint="eastAsia" w:ascii="仿宋_GB2312" w:hAnsi="宋体" w:eastAsia="仿宋_GB2312"/>
          <w:sz w:val="24"/>
          <w:u w:val="single"/>
          <w:lang w:val="en-US" w:eastAsia="zh-CN"/>
        </w:rPr>
        <w:t>北京创联致信科技有限公司</w:t>
      </w:r>
      <w:r>
        <w:rPr>
          <w:rFonts w:hint="eastAsia" w:ascii="仿宋_GB2312" w:hAnsi="宋体" w:eastAsia="仿宋_GB2312"/>
          <w:sz w:val="24"/>
        </w:rPr>
        <w:t>。</w:t>
      </w:r>
    </w:p>
    <w:p w14:paraId="3A4EEC99">
      <w:pPr>
        <w:spacing w:line="500" w:lineRule="exact"/>
        <w:ind w:left="540" w:hanging="540"/>
        <w:rPr>
          <w:rFonts w:hint="eastAsia" w:ascii="仿宋_GB2312" w:hAnsi="宋体" w:eastAsia="仿宋_GB2312"/>
          <w:sz w:val="24"/>
        </w:rPr>
      </w:pPr>
      <w:r>
        <w:rPr>
          <w:rFonts w:hint="eastAsia" w:ascii="仿宋_GB2312" w:hAnsi="宋体" w:eastAsia="仿宋_GB2312"/>
          <w:sz w:val="24"/>
        </w:rPr>
        <w:t>1.2“乙方”指</w:t>
      </w:r>
      <w:r>
        <w:rPr>
          <w:rFonts w:hint="eastAsia" w:ascii="仿宋_GB2312" w:hAnsi="宋体" w:eastAsia="仿宋_GB2312"/>
          <w:sz w:val="24"/>
          <w:u w:val="single"/>
        </w:rPr>
        <w:t>内蒙古世纪泓科技有限公司</w:t>
      </w:r>
      <w:r>
        <w:rPr>
          <w:rFonts w:hint="eastAsia" w:ascii="仿宋_GB2312" w:hAnsi="宋体" w:eastAsia="仿宋_GB2312"/>
          <w:sz w:val="24"/>
        </w:rPr>
        <w:t>。</w:t>
      </w:r>
    </w:p>
    <w:p w14:paraId="426C592B">
      <w:pPr>
        <w:spacing w:line="500" w:lineRule="exact"/>
        <w:ind w:left="540" w:hanging="540"/>
      </w:pPr>
      <w:r>
        <w:rPr>
          <w:rFonts w:hint="eastAsia" w:ascii="仿宋_GB2312" w:hAnsi="宋体" w:eastAsia="仿宋_GB2312"/>
          <w:sz w:val="24"/>
        </w:rPr>
        <w:t>1.</w:t>
      </w:r>
      <w:r>
        <w:rPr>
          <w:rFonts w:hint="eastAsia" w:ascii="仿宋_GB2312" w:hAnsi="宋体" w:eastAsia="仿宋_GB2312"/>
          <w:sz w:val="24"/>
          <w:lang w:val="en-US" w:eastAsia="zh-CN"/>
        </w:rPr>
        <w:t>3</w:t>
      </w:r>
      <w:r>
        <w:rPr>
          <w:rFonts w:hint="eastAsia" w:ascii="仿宋_GB2312" w:hAnsi="宋体" w:eastAsia="仿宋_GB2312"/>
          <w:sz w:val="24"/>
        </w:rPr>
        <w:t>“</w:t>
      </w:r>
      <w:r>
        <w:rPr>
          <w:rFonts w:hint="eastAsia" w:ascii="仿宋_GB2312" w:hAnsi="宋体" w:eastAsia="仿宋_GB2312"/>
          <w:sz w:val="24"/>
          <w:lang w:val="en-US" w:eastAsia="zh-CN"/>
        </w:rPr>
        <w:t>最终用户</w:t>
      </w:r>
      <w:r>
        <w:rPr>
          <w:rFonts w:hint="eastAsia" w:ascii="仿宋_GB2312" w:hAnsi="宋体" w:eastAsia="仿宋_GB2312"/>
          <w:sz w:val="24"/>
        </w:rPr>
        <w:t>”指</w:t>
      </w:r>
      <w:r>
        <w:rPr>
          <w:rFonts w:hint="eastAsia" w:ascii="仿宋_GB2312" w:hAnsi="宋体" w:eastAsia="仿宋_GB2312"/>
          <w:sz w:val="24"/>
          <w:u w:val="single"/>
          <w:lang w:val="en-US" w:eastAsia="zh-CN"/>
        </w:rPr>
        <w:t>内蒙古昆明卷烟有限责任公司</w:t>
      </w:r>
      <w:r>
        <w:rPr>
          <w:rFonts w:hint="eastAsia" w:ascii="仿宋_GB2312" w:hAnsi="宋体" w:eastAsia="仿宋_GB2312"/>
          <w:sz w:val="24"/>
        </w:rPr>
        <w:t>。</w:t>
      </w:r>
    </w:p>
    <w:p w14:paraId="10C346FC">
      <w:pPr>
        <w:spacing w:line="500" w:lineRule="exact"/>
        <w:ind w:left="540" w:hanging="540"/>
        <w:rPr>
          <w:rFonts w:ascii="仿宋_GB2312" w:hAnsi="宋体" w:eastAsia="仿宋_GB2312"/>
          <w:sz w:val="24"/>
        </w:rPr>
      </w:pPr>
      <w:r>
        <w:rPr>
          <w:rFonts w:hint="eastAsia" w:ascii="仿宋_GB2312" w:hAnsi="宋体" w:eastAsia="仿宋_GB2312"/>
          <w:sz w:val="24"/>
        </w:rPr>
        <w:t>1.3“合同一方”指乙方或甲方。</w:t>
      </w:r>
    </w:p>
    <w:p w14:paraId="3E00F23D">
      <w:pPr>
        <w:spacing w:line="500" w:lineRule="exact"/>
        <w:ind w:left="540" w:hanging="540"/>
        <w:rPr>
          <w:rFonts w:ascii="仿宋_GB2312" w:hAnsi="宋体" w:eastAsia="仿宋_GB2312"/>
          <w:sz w:val="24"/>
        </w:rPr>
      </w:pPr>
      <w:r>
        <w:rPr>
          <w:rFonts w:hint="eastAsia" w:ascii="仿宋_GB2312" w:hAnsi="宋体" w:eastAsia="仿宋_GB2312"/>
          <w:sz w:val="24"/>
        </w:rPr>
        <w:t>1.4“合同各方”指乙方和甲方。</w:t>
      </w:r>
    </w:p>
    <w:p w14:paraId="55126BFB">
      <w:pPr>
        <w:spacing w:line="500" w:lineRule="exact"/>
        <w:ind w:left="540" w:hanging="540"/>
        <w:rPr>
          <w:rFonts w:ascii="仿宋_GB2312" w:hAnsi="宋体" w:eastAsia="仿宋_GB2312"/>
          <w:sz w:val="24"/>
        </w:rPr>
      </w:pPr>
      <w:r>
        <w:rPr>
          <w:rFonts w:hint="eastAsia" w:ascii="仿宋_GB2312" w:hAnsi="宋体" w:eastAsia="仿宋_GB2312"/>
          <w:sz w:val="24"/>
        </w:rPr>
        <w:t>1.5“合同”指本合同正文及其构成本合同不可分割部分的附件。</w:t>
      </w:r>
    </w:p>
    <w:p w14:paraId="4289097B">
      <w:pPr>
        <w:spacing w:line="500" w:lineRule="exact"/>
        <w:rPr>
          <w:rFonts w:ascii="仿宋_GB2312" w:hAnsi="宋体" w:eastAsia="仿宋_GB2312"/>
          <w:sz w:val="24"/>
        </w:rPr>
      </w:pPr>
      <w:r>
        <w:rPr>
          <w:rFonts w:hint="eastAsia" w:ascii="仿宋_GB2312" w:hAnsi="宋体" w:eastAsia="仿宋_GB2312"/>
          <w:sz w:val="24"/>
        </w:rPr>
        <w:t>1.6</w:t>
      </w:r>
      <w:r>
        <w:rPr>
          <w:rFonts w:hint="eastAsia" w:ascii="仿宋_GB2312" w:hAnsi="宋体" w:eastAsia="仿宋_GB2312"/>
          <w:sz w:val="24"/>
        </w:rPr>
        <w:tab/>
      </w:r>
      <w:r>
        <w:rPr>
          <w:rFonts w:hint="eastAsia" w:ascii="仿宋_GB2312" w:hAnsi="宋体" w:eastAsia="仿宋_GB2312"/>
          <w:sz w:val="24"/>
        </w:rPr>
        <w:t>“系统”指本合同约定的服务指向</w:t>
      </w:r>
      <w:r>
        <w:rPr>
          <w:rFonts w:hint="eastAsia" w:ascii="仿宋_GB2312" w:hAnsi="宋体" w:eastAsia="仿宋_GB2312"/>
          <w:sz w:val="24"/>
          <w:lang w:val="en-US" w:eastAsia="zh-CN"/>
        </w:rPr>
        <w:t>最终用户</w:t>
      </w:r>
      <w:r>
        <w:rPr>
          <w:rFonts w:hint="eastAsia" w:ascii="仿宋_GB2312" w:hAnsi="宋体" w:eastAsia="仿宋_GB2312"/>
          <w:sz w:val="24"/>
        </w:rPr>
        <w:t>软硬件设施。</w:t>
      </w:r>
    </w:p>
    <w:p w14:paraId="7EC6590E">
      <w:pPr>
        <w:spacing w:line="500" w:lineRule="exact"/>
        <w:rPr>
          <w:rFonts w:ascii="仿宋_GB2312" w:hAnsi="宋体" w:eastAsia="仿宋_GB2312"/>
          <w:sz w:val="24"/>
        </w:rPr>
      </w:pPr>
      <w:r>
        <w:rPr>
          <w:rFonts w:hint="eastAsia" w:ascii="仿宋_GB2312" w:hAnsi="宋体" w:eastAsia="仿宋_GB2312"/>
          <w:sz w:val="24"/>
        </w:rPr>
        <w:t>1.7</w:t>
      </w:r>
      <w:r>
        <w:rPr>
          <w:rFonts w:hint="eastAsia" w:ascii="仿宋_GB2312" w:hAnsi="宋体" w:eastAsia="仿宋_GB2312"/>
          <w:sz w:val="24"/>
        </w:rPr>
        <w:tab/>
      </w:r>
      <w:r>
        <w:rPr>
          <w:rFonts w:hint="eastAsia" w:ascii="仿宋_GB2312" w:hAnsi="宋体" w:eastAsia="仿宋_GB2312"/>
          <w:sz w:val="24"/>
        </w:rPr>
        <w:t>“合同服务”或“服务”指依照合同约定，乙方向</w:t>
      </w:r>
      <w:r>
        <w:rPr>
          <w:rFonts w:hint="eastAsia" w:ascii="仿宋_GB2312" w:hAnsi="宋体" w:eastAsia="仿宋_GB2312"/>
          <w:sz w:val="24"/>
          <w:lang w:val="en-US" w:eastAsia="zh-CN"/>
        </w:rPr>
        <w:t>最终用户</w:t>
      </w:r>
      <w:r>
        <w:rPr>
          <w:rFonts w:hint="eastAsia" w:ascii="仿宋_GB2312" w:hAnsi="宋体" w:eastAsia="仿宋_GB2312"/>
          <w:sz w:val="24"/>
        </w:rPr>
        <w:t>提供的现场软硬件系统运维、巡检、故障处理、技术培训和数据核对等服务。</w:t>
      </w:r>
    </w:p>
    <w:p w14:paraId="6D0C1C5B">
      <w:pPr>
        <w:spacing w:line="500" w:lineRule="exact"/>
        <w:rPr>
          <w:rFonts w:ascii="仿宋_GB2312" w:hAnsi="宋体" w:eastAsia="仿宋_GB2312"/>
          <w:sz w:val="24"/>
        </w:rPr>
      </w:pPr>
      <w:r>
        <w:rPr>
          <w:rFonts w:hint="eastAsia" w:ascii="仿宋_GB2312" w:hAnsi="宋体" w:eastAsia="仿宋_GB2312"/>
          <w:sz w:val="24"/>
        </w:rPr>
        <w:t>1.8“现场”指</w:t>
      </w:r>
      <w:r>
        <w:rPr>
          <w:rFonts w:hint="eastAsia" w:ascii="仿宋_GB2312" w:hAnsi="宋体" w:eastAsia="仿宋_GB2312"/>
          <w:sz w:val="24"/>
          <w:lang w:val="en-US" w:eastAsia="zh-CN"/>
        </w:rPr>
        <w:t>最终用户</w:t>
      </w:r>
      <w:r>
        <w:rPr>
          <w:rFonts w:hint="eastAsia" w:ascii="仿宋_GB2312" w:hAnsi="宋体" w:eastAsia="仿宋_GB2312"/>
          <w:sz w:val="24"/>
        </w:rPr>
        <w:t xml:space="preserve">系统所在的场所； </w:t>
      </w:r>
    </w:p>
    <w:p w14:paraId="1F894050">
      <w:pPr>
        <w:spacing w:line="500" w:lineRule="exact"/>
        <w:rPr>
          <w:rFonts w:ascii="仿宋_GB2312" w:hAnsi="宋体" w:eastAsia="仿宋_GB2312"/>
          <w:sz w:val="24"/>
        </w:rPr>
      </w:pPr>
      <w:r>
        <w:rPr>
          <w:rFonts w:hint="eastAsia" w:ascii="仿宋_GB2312" w:hAnsi="宋体" w:eastAsia="仿宋_GB2312"/>
          <w:sz w:val="24"/>
        </w:rPr>
        <w:t>1.9“紧急现场服务”指系统出现紧急情况时，乙方根据甲方的要求派遣专家赴</w:t>
      </w:r>
      <w:r>
        <w:rPr>
          <w:rFonts w:hint="eastAsia" w:ascii="仿宋_GB2312" w:hAnsi="宋体" w:eastAsia="仿宋_GB2312"/>
          <w:sz w:val="24"/>
          <w:lang w:val="en-US" w:eastAsia="zh-CN"/>
        </w:rPr>
        <w:t>最终用户</w:t>
      </w:r>
      <w:r>
        <w:rPr>
          <w:rFonts w:hint="eastAsia" w:ascii="仿宋_GB2312" w:hAnsi="宋体" w:eastAsia="仿宋_GB2312"/>
          <w:sz w:val="24"/>
        </w:rPr>
        <w:t>现场给予的技术支持。在甲方的合理要求下，乙方应当进行“紧急处理”。</w:t>
      </w:r>
    </w:p>
    <w:p w14:paraId="67EDA439">
      <w:pPr>
        <w:spacing w:line="500" w:lineRule="exact"/>
        <w:ind w:left="540" w:hanging="540"/>
        <w:rPr>
          <w:rFonts w:ascii="仿宋_GB2312" w:hAnsi="宋体" w:eastAsia="仿宋_GB2312"/>
          <w:sz w:val="24"/>
        </w:rPr>
      </w:pPr>
      <w:r>
        <w:rPr>
          <w:rFonts w:hint="eastAsia" w:ascii="仿宋_GB2312" w:hAnsi="宋体" w:eastAsia="仿宋_GB2312"/>
          <w:sz w:val="24"/>
        </w:rPr>
        <w:t>1.10 “合同价款”指合同第三章规定的合同价格。</w:t>
      </w:r>
    </w:p>
    <w:p w14:paraId="05A62BCC">
      <w:pPr>
        <w:spacing w:line="500" w:lineRule="exact"/>
        <w:ind w:firstLine="560"/>
        <w:jc w:val="center"/>
        <w:rPr>
          <w:rFonts w:ascii="黑体" w:hAnsi="黑体" w:eastAsia="黑体"/>
          <w:b/>
          <w:sz w:val="28"/>
          <w:szCs w:val="28"/>
        </w:rPr>
      </w:pPr>
      <w:r>
        <w:rPr>
          <w:rFonts w:hint="eastAsia" w:ascii="黑体" w:hAnsi="黑体" w:eastAsia="黑体"/>
          <w:b/>
          <w:sz w:val="28"/>
          <w:szCs w:val="28"/>
        </w:rPr>
        <w:t>第二章  服务期限及内容、方式</w:t>
      </w:r>
    </w:p>
    <w:p w14:paraId="3A680943">
      <w:pPr>
        <w:spacing w:line="500" w:lineRule="exact"/>
        <w:rPr>
          <w:rFonts w:ascii="仿宋_GB2312" w:hAnsi="宋体" w:eastAsia="仿宋_GB2312"/>
          <w:sz w:val="24"/>
          <w:u w:val="single"/>
        </w:rPr>
      </w:pPr>
      <w:r>
        <w:rPr>
          <w:rFonts w:hint="eastAsia" w:ascii="仿宋_GB2312" w:hAnsi="宋体" w:eastAsia="仿宋_GB2312"/>
          <w:sz w:val="24"/>
        </w:rPr>
        <w:t>2.1乙方为甲方提供维保服务期限：</w:t>
      </w:r>
      <w:r>
        <w:rPr>
          <w:rFonts w:hint="eastAsia" w:ascii="仿宋_GB2312" w:hAnsi="宋体" w:eastAsia="仿宋_GB2312"/>
          <w:sz w:val="24"/>
          <w:u w:val="single"/>
        </w:rPr>
        <w:t>自202</w:t>
      </w:r>
      <w:r>
        <w:rPr>
          <w:rFonts w:hint="eastAsia" w:ascii="仿宋_GB2312" w:hAnsi="宋体" w:eastAsia="仿宋_GB2312"/>
          <w:sz w:val="24"/>
          <w:u w:val="single"/>
          <w:lang w:val="en-US" w:eastAsia="zh-CN"/>
        </w:rPr>
        <w:t>4</w:t>
      </w:r>
      <w:r>
        <w:rPr>
          <w:rFonts w:hint="eastAsia" w:ascii="仿宋_GB2312" w:hAnsi="宋体" w:eastAsia="仿宋_GB2312"/>
          <w:sz w:val="24"/>
          <w:u w:val="single"/>
        </w:rPr>
        <w:t>年</w:t>
      </w:r>
      <w:r>
        <w:rPr>
          <w:rFonts w:hint="eastAsia" w:ascii="仿宋_GB2312" w:hAnsi="宋体" w:eastAsia="仿宋_GB2312"/>
          <w:sz w:val="24"/>
          <w:u w:val="single"/>
          <w:lang w:val="en-US" w:eastAsia="zh-CN"/>
        </w:rPr>
        <w:t>11</w:t>
      </w:r>
      <w:r>
        <w:rPr>
          <w:rFonts w:hint="eastAsia" w:ascii="仿宋_GB2312" w:hAnsi="宋体" w:eastAsia="仿宋_GB2312"/>
          <w:sz w:val="24"/>
          <w:u w:val="single"/>
        </w:rPr>
        <w:t>月</w:t>
      </w:r>
      <w:r>
        <w:rPr>
          <w:rFonts w:hint="eastAsia" w:ascii="仿宋_GB2312" w:hAnsi="宋体" w:eastAsia="仿宋_GB2312"/>
          <w:sz w:val="24"/>
          <w:u w:val="single"/>
          <w:lang w:val="en-US" w:eastAsia="zh-CN"/>
        </w:rPr>
        <w:t>3</w:t>
      </w:r>
      <w:r>
        <w:rPr>
          <w:rFonts w:hint="eastAsia" w:ascii="仿宋_GB2312" w:hAnsi="宋体" w:eastAsia="仿宋_GB2312"/>
          <w:sz w:val="24"/>
          <w:u w:val="single"/>
        </w:rPr>
        <w:t>日起至202</w:t>
      </w:r>
      <w:r>
        <w:rPr>
          <w:rFonts w:hint="eastAsia" w:ascii="仿宋_GB2312" w:hAnsi="宋体" w:eastAsia="仿宋_GB2312"/>
          <w:sz w:val="24"/>
          <w:u w:val="single"/>
          <w:lang w:val="en-US" w:eastAsia="zh-CN"/>
        </w:rPr>
        <w:t>5</w:t>
      </w:r>
      <w:r>
        <w:rPr>
          <w:rFonts w:hint="eastAsia" w:ascii="仿宋_GB2312" w:hAnsi="宋体" w:eastAsia="仿宋_GB2312"/>
          <w:sz w:val="24"/>
          <w:u w:val="single"/>
        </w:rPr>
        <w:t>年</w:t>
      </w:r>
      <w:r>
        <w:rPr>
          <w:rFonts w:hint="eastAsia" w:ascii="仿宋_GB2312" w:hAnsi="宋体" w:eastAsia="仿宋_GB2312"/>
          <w:sz w:val="24"/>
          <w:u w:val="single"/>
          <w:lang w:val="en-US" w:eastAsia="zh-CN"/>
        </w:rPr>
        <w:t>11</w:t>
      </w:r>
      <w:r>
        <w:rPr>
          <w:rFonts w:hint="eastAsia" w:ascii="仿宋_GB2312" w:hAnsi="宋体" w:eastAsia="仿宋_GB2312"/>
          <w:sz w:val="24"/>
          <w:u w:val="single"/>
        </w:rPr>
        <w:t>月</w:t>
      </w:r>
      <w:r>
        <w:rPr>
          <w:rFonts w:hint="eastAsia" w:ascii="仿宋_GB2312" w:hAnsi="宋体" w:eastAsia="仿宋_GB2312"/>
          <w:sz w:val="24"/>
          <w:u w:val="single"/>
          <w:lang w:val="en-US" w:eastAsia="zh-CN"/>
        </w:rPr>
        <w:t>2</w:t>
      </w:r>
      <w:r>
        <w:rPr>
          <w:rFonts w:hint="eastAsia" w:ascii="仿宋_GB2312" w:hAnsi="宋体" w:eastAsia="仿宋_GB2312"/>
          <w:sz w:val="24"/>
          <w:u w:val="single"/>
        </w:rPr>
        <w:t>日止</w:t>
      </w:r>
    </w:p>
    <w:p w14:paraId="222E2028">
      <w:pPr>
        <w:spacing w:line="500" w:lineRule="exact"/>
        <w:rPr>
          <w:rFonts w:ascii="仿宋_GB2312" w:hAnsi="宋体" w:eastAsia="仿宋_GB2312"/>
          <w:sz w:val="24"/>
        </w:rPr>
      </w:pPr>
      <w:r>
        <w:rPr>
          <w:rFonts w:hint="eastAsia" w:ascii="仿宋_GB2312" w:hAnsi="宋体" w:eastAsia="仿宋_GB2312"/>
          <w:sz w:val="24"/>
        </w:rPr>
        <w:t>2.2 服务内容：</w:t>
      </w:r>
      <w:r>
        <w:rPr>
          <w:rFonts w:ascii="仿宋_GB2312" w:hAnsi="宋体" w:eastAsia="仿宋_GB2312"/>
          <w:sz w:val="24"/>
          <w:u w:val="single"/>
        </w:rPr>
        <w:t xml:space="preserve"> </w:t>
      </w:r>
      <w:r>
        <w:rPr>
          <w:rFonts w:hint="eastAsia" w:ascii="仿宋_GB2312" w:hAnsi="宋体" w:eastAsia="仿宋_GB2312"/>
          <w:sz w:val="24"/>
          <w:u w:val="single"/>
        </w:rPr>
        <w:t xml:space="preserve">详见本合同附件《门户网站维保服务内容》 </w:t>
      </w:r>
    </w:p>
    <w:p w14:paraId="5979FB5B">
      <w:pPr>
        <w:spacing w:line="500" w:lineRule="exact"/>
        <w:rPr>
          <w:rFonts w:ascii="仿宋_GB2312" w:hAnsi="宋体" w:eastAsia="仿宋_GB2312"/>
          <w:sz w:val="24"/>
          <w:u w:val="single"/>
        </w:rPr>
      </w:pPr>
      <w:r>
        <w:rPr>
          <w:rFonts w:hint="eastAsia" w:ascii="仿宋_GB2312" w:hAnsi="宋体" w:eastAsia="仿宋_GB2312"/>
          <w:sz w:val="24"/>
        </w:rPr>
        <w:t>2.3维护服务方式：</w:t>
      </w:r>
      <w:r>
        <w:rPr>
          <w:rFonts w:hint="eastAsia" w:ascii="仿宋_GB2312" w:hAnsi="宋体" w:eastAsia="仿宋_GB2312"/>
          <w:sz w:val="24"/>
          <w:u w:val="single"/>
        </w:rPr>
        <w:t>乙方不派遣运维人员常驻现场，主要采取远程服务的方式，对门户网站提供维保服务。若部分维保问题远程服务无法解决时，乙方派遣运维人员到</w:t>
      </w:r>
      <w:r>
        <w:rPr>
          <w:rFonts w:hint="eastAsia" w:ascii="仿宋_GB2312" w:hAnsi="宋体" w:eastAsia="仿宋_GB2312"/>
          <w:sz w:val="24"/>
          <w:u w:val="single"/>
          <w:lang w:val="en-US" w:eastAsia="zh-CN"/>
        </w:rPr>
        <w:t>最终用户</w:t>
      </w:r>
      <w:r>
        <w:rPr>
          <w:rFonts w:hint="eastAsia" w:ascii="仿宋_GB2312" w:hAnsi="宋体" w:eastAsia="仿宋_GB2312"/>
          <w:sz w:val="24"/>
          <w:u w:val="single"/>
        </w:rPr>
        <w:t>现场提供服务，所需费用由乙方自行承担。</w:t>
      </w:r>
    </w:p>
    <w:p w14:paraId="0994D460">
      <w:pPr>
        <w:spacing w:line="500" w:lineRule="exact"/>
        <w:rPr>
          <w:rFonts w:ascii="仿宋_GB2312" w:hAnsi="宋体" w:eastAsia="仿宋_GB2312"/>
          <w:sz w:val="24"/>
        </w:rPr>
      </w:pPr>
      <w:r>
        <w:rPr>
          <w:rFonts w:hint="eastAsia" w:ascii="仿宋_GB2312" w:hAnsi="宋体" w:eastAsia="仿宋_GB2312"/>
          <w:sz w:val="24"/>
        </w:rPr>
        <w:t>2.</w:t>
      </w:r>
      <w:r>
        <w:rPr>
          <w:rFonts w:hint="eastAsia" w:ascii="仿宋_GB2312" w:hAnsi="宋体" w:eastAsia="仿宋_GB2312"/>
          <w:sz w:val="24"/>
          <w:lang w:val="en-US" w:eastAsia="zh-CN"/>
        </w:rPr>
        <w:t>4</w:t>
      </w:r>
      <w:r>
        <w:rPr>
          <w:rFonts w:hint="eastAsia" w:ascii="仿宋_GB2312" w:hAnsi="宋体" w:eastAsia="仿宋_GB2312"/>
          <w:sz w:val="24"/>
        </w:rPr>
        <w:t>针对</w:t>
      </w:r>
      <w:r>
        <w:rPr>
          <w:rFonts w:hint="eastAsia" w:ascii="仿宋_GB2312" w:hAnsi="宋体" w:eastAsia="仿宋_GB2312"/>
          <w:sz w:val="24"/>
          <w:lang w:val="en-US" w:eastAsia="zh-CN"/>
        </w:rPr>
        <w:t>最终用户</w:t>
      </w:r>
      <w:r>
        <w:rPr>
          <w:rFonts w:hint="eastAsia" w:ascii="仿宋_GB2312" w:hAnsi="宋体" w:eastAsia="仿宋_GB2312"/>
          <w:sz w:val="24"/>
        </w:rPr>
        <w:t>或</w:t>
      </w:r>
      <w:r>
        <w:rPr>
          <w:rFonts w:hint="eastAsia" w:ascii="仿宋_GB2312" w:hAnsi="宋体" w:eastAsia="仿宋_GB2312"/>
          <w:sz w:val="24"/>
          <w:lang w:val="en-US" w:eastAsia="zh-CN"/>
        </w:rPr>
        <w:t>最终用户</w:t>
      </w:r>
      <w:r>
        <w:rPr>
          <w:rFonts w:hint="eastAsia" w:ascii="仿宋_GB2312" w:hAnsi="宋体" w:eastAsia="仿宋_GB2312"/>
          <w:sz w:val="24"/>
        </w:rPr>
        <w:t>聘请的第三方检测发现的网络安全问题，乙方必须在规定期限内免费完成处理，符合</w:t>
      </w:r>
      <w:r>
        <w:rPr>
          <w:rFonts w:hint="eastAsia" w:ascii="仿宋_GB2312" w:hAnsi="宋体" w:eastAsia="仿宋_GB2312"/>
          <w:sz w:val="24"/>
          <w:lang w:val="en-US" w:eastAsia="zh-CN"/>
        </w:rPr>
        <w:t>最终用户</w:t>
      </w:r>
      <w:r>
        <w:rPr>
          <w:rFonts w:hint="eastAsia" w:ascii="仿宋_GB2312" w:hAnsi="宋体" w:eastAsia="仿宋_GB2312"/>
          <w:sz w:val="24"/>
        </w:rPr>
        <w:t>网络安全要求。</w:t>
      </w:r>
    </w:p>
    <w:p w14:paraId="6F141840">
      <w:pPr>
        <w:spacing w:line="500" w:lineRule="exact"/>
        <w:jc w:val="center"/>
        <w:rPr>
          <w:rFonts w:ascii="黑体" w:hAnsi="黑体" w:eastAsia="黑体"/>
          <w:b/>
          <w:sz w:val="28"/>
          <w:szCs w:val="28"/>
        </w:rPr>
      </w:pPr>
      <w:r>
        <w:rPr>
          <w:rFonts w:hint="eastAsia" w:ascii="黑体" w:hAnsi="黑体" w:eastAsia="黑体"/>
          <w:b/>
          <w:sz w:val="28"/>
          <w:szCs w:val="28"/>
        </w:rPr>
        <w:t>第三章  付款条款</w:t>
      </w:r>
    </w:p>
    <w:p w14:paraId="7FCDFB82">
      <w:pPr>
        <w:spacing w:line="500" w:lineRule="exact"/>
        <w:ind w:left="360" w:hanging="360"/>
        <w:rPr>
          <w:rFonts w:ascii="仿宋_GB2312" w:hAnsi="宋体" w:eastAsia="仿宋_GB2312"/>
          <w:sz w:val="24"/>
        </w:rPr>
      </w:pPr>
      <w:r>
        <w:rPr>
          <w:rFonts w:hint="eastAsia" w:ascii="仿宋_GB2312" w:hAnsi="宋体" w:eastAsia="仿宋_GB2312"/>
          <w:sz w:val="24"/>
        </w:rPr>
        <w:t>3.1</w:t>
      </w:r>
      <w:r>
        <w:rPr>
          <w:rFonts w:hint="eastAsia" w:ascii="仿宋_GB2312" w:hAnsi="宋体" w:eastAsia="仿宋_GB2312"/>
          <w:sz w:val="24"/>
        </w:rPr>
        <w:tab/>
      </w:r>
      <w:r>
        <w:rPr>
          <w:rFonts w:hint="eastAsia" w:ascii="仿宋_GB2312" w:hAnsi="宋体" w:eastAsia="仿宋_GB2312"/>
          <w:sz w:val="24"/>
        </w:rPr>
        <w:t>合同项下所有款额应通过甲方和乙方在合同签名处记录的银行账户用人民币支付。</w:t>
      </w:r>
    </w:p>
    <w:p w14:paraId="5D9A1E71">
      <w:pPr>
        <w:spacing w:line="500" w:lineRule="exact"/>
        <w:rPr>
          <w:rFonts w:ascii="仿宋_GB2312" w:hAnsi="宋体" w:eastAsia="仿宋_GB2312"/>
          <w:sz w:val="24"/>
        </w:rPr>
      </w:pPr>
      <w:r>
        <w:rPr>
          <w:rFonts w:hint="eastAsia" w:ascii="仿宋_GB2312" w:hAnsi="宋体" w:eastAsia="仿宋_GB2312"/>
          <w:sz w:val="24"/>
        </w:rPr>
        <w:t xml:space="preserve">3.2甲方按如下方式与乙方进行结算： </w:t>
      </w:r>
    </w:p>
    <w:p w14:paraId="620D510F">
      <w:pPr>
        <w:spacing w:line="500" w:lineRule="exact"/>
        <w:rPr>
          <w:rFonts w:ascii="仿宋_GB2312" w:hAnsi="宋体" w:eastAsia="仿宋_GB2312"/>
          <w:sz w:val="24"/>
          <w:szCs w:val="24"/>
          <w:u w:val="single"/>
        </w:rPr>
      </w:pPr>
      <w:r>
        <w:rPr>
          <w:rFonts w:hint="eastAsia" w:ascii="仿宋_GB2312" w:hAnsi="宋体" w:eastAsia="仿宋_GB2312"/>
          <w:sz w:val="24"/>
          <w:szCs w:val="24"/>
        </w:rPr>
        <w:t>3.2.1本合同价款共计￥</w:t>
      </w:r>
      <w:r>
        <w:rPr>
          <w:rFonts w:hint="eastAsia" w:ascii="仿宋_GB2312" w:eastAsia="仿宋_GB2312" w:hAnsiTheme="minorEastAsia"/>
          <w:sz w:val="24"/>
          <w:szCs w:val="24"/>
          <w:highlight w:val="none"/>
          <w:u w:val="single"/>
        </w:rPr>
        <w:t>11000.00</w:t>
      </w:r>
      <w:r>
        <w:rPr>
          <w:rFonts w:hint="eastAsia" w:ascii="仿宋_GB2312" w:hAnsi="宋体" w:eastAsia="仿宋_GB2312"/>
          <w:sz w:val="24"/>
          <w:szCs w:val="24"/>
        </w:rPr>
        <w:t>元（大写：</w:t>
      </w:r>
      <w:r>
        <w:rPr>
          <w:rFonts w:hint="eastAsia" w:ascii="仿宋_GB2312" w:eastAsia="仿宋_GB2312" w:hAnsiTheme="minorEastAsia"/>
          <w:sz w:val="24"/>
          <w:szCs w:val="24"/>
          <w:highlight w:val="none"/>
          <w:u w:val="single"/>
        </w:rPr>
        <w:t>人民币壹万壹仟元</w:t>
      </w:r>
      <w:r>
        <w:rPr>
          <w:rFonts w:hint="eastAsia" w:ascii="仿宋_GB2312" w:hAnsi="宋体" w:eastAsia="仿宋_GB2312"/>
          <w:sz w:val="24"/>
          <w:szCs w:val="24"/>
          <w:u w:val="single"/>
        </w:rPr>
        <w:t>整</w:t>
      </w:r>
      <w:r>
        <w:rPr>
          <w:rFonts w:hint="eastAsia" w:ascii="仿宋_GB2312" w:hAnsi="宋体" w:eastAsia="仿宋_GB2312"/>
          <w:sz w:val="24"/>
          <w:szCs w:val="24"/>
        </w:rPr>
        <w:t>）（含</w:t>
      </w:r>
      <w:r>
        <w:rPr>
          <w:rFonts w:hint="eastAsia" w:ascii="仿宋_GB2312" w:eastAsia="仿宋_GB2312" w:hAnsiTheme="minorEastAsia"/>
          <w:sz w:val="24"/>
          <w:szCs w:val="24"/>
          <w:u w:val="single"/>
          <w:lang w:val="en-US" w:eastAsia="zh-CN"/>
        </w:rPr>
        <w:t>6%</w:t>
      </w:r>
      <w:r>
        <w:rPr>
          <w:rFonts w:hint="eastAsia" w:ascii="仿宋_GB2312" w:hAnsi="宋体" w:eastAsia="仿宋_GB2312"/>
          <w:sz w:val="24"/>
          <w:szCs w:val="24"/>
        </w:rPr>
        <w:t>税金）,不含税金额为￥</w:t>
      </w:r>
      <w:r>
        <w:rPr>
          <w:rFonts w:hint="eastAsia" w:ascii="仿宋_GB2312" w:eastAsia="仿宋_GB2312" w:hAnsiTheme="minorEastAsia"/>
          <w:sz w:val="24"/>
          <w:szCs w:val="24"/>
          <w:highlight w:val="none"/>
          <w:u w:val="single"/>
        </w:rPr>
        <w:t>10377.36</w:t>
      </w:r>
      <w:r>
        <w:rPr>
          <w:rFonts w:hint="eastAsia" w:ascii="仿宋_GB2312" w:hAnsi="宋体" w:eastAsia="仿宋_GB2312"/>
          <w:sz w:val="24"/>
          <w:szCs w:val="24"/>
        </w:rPr>
        <w:t>元（大写：人民币</w:t>
      </w:r>
      <w:r>
        <w:rPr>
          <w:rFonts w:hint="eastAsia" w:ascii="仿宋_GB2312" w:eastAsia="仿宋_GB2312" w:hAnsiTheme="minorEastAsia"/>
          <w:sz w:val="24"/>
          <w:szCs w:val="24"/>
          <w:highlight w:val="none"/>
          <w:u w:val="single"/>
        </w:rPr>
        <w:t>壹万零叁佰柒拾柒元叁角陆分</w:t>
      </w:r>
      <w:r>
        <w:rPr>
          <w:rFonts w:hint="eastAsia" w:ascii="仿宋_GB2312" w:hAnsi="宋体" w:eastAsia="仿宋_GB2312"/>
          <w:sz w:val="24"/>
          <w:szCs w:val="24"/>
        </w:rPr>
        <w:t>）</w:t>
      </w:r>
      <w:r>
        <w:rPr>
          <w:rFonts w:hint="eastAsia" w:ascii="仿宋_GB2312" w:hAnsi="宋体" w:eastAsia="仿宋_GB2312"/>
          <w:sz w:val="24"/>
          <w:szCs w:val="24"/>
          <w:lang w:eastAsia="zh-CN"/>
        </w:rPr>
        <w:t>，</w:t>
      </w:r>
      <w:r>
        <w:rPr>
          <w:rFonts w:hint="eastAsia" w:ascii="仿宋_GB2312" w:hAnsi="宋体" w:eastAsia="仿宋_GB2312"/>
          <w:sz w:val="24"/>
          <w:szCs w:val="24"/>
          <w:lang w:val="en-US" w:eastAsia="zh-CN"/>
        </w:rPr>
        <w:t>增值税税款为</w:t>
      </w:r>
      <w:r>
        <w:rPr>
          <w:rFonts w:hint="eastAsia" w:ascii="仿宋_GB2312" w:hAnsi="宋体" w:eastAsia="仿宋_GB2312"/>
          <w:sz w:val="24"/>
          <w:szCs w:val="24"/>
        </w:rPr>
        <w:t>￥</w:t>
      </w:r>
      <w:r>
        <w:rPr>
          <w:rFonts w:hint="eastAsia" w:ascii="仿宋_GB2312" w:hAnsi="宋体" w:eastAsia="仿宋_GB2312"/>
          <w:sz w:val="24"/>
          <w:szCs w:val="24"/>
          <w:u w:val="single"/>
        </w:rPr>
        <w:t>622.64</w:t>
      </w:r>
      <w:r>
        <w:rPr>
          <w:rFonts w:hint="eastAsia" w:ascii="仿宋_GB2312" w:hAnsi="宋体" w:eastAsia="仿宋_GB2312"/>
          <w:sz w:val="24"/>
          <w:szCs w:val="24"/>
        </w:rPr>
        <w:t>元（大写：人民币</w:t>
      </w:r>
      <w:r>
        <w:rPr>
          <w:rFonts w:hint="eastAsia" w:ascii="仿宋_GB2312" w:hAnsi="宋体" w:eastAsia="仿宋_GB2312"/>
          <w:sz w:val="24"/>
          <w:szCs w:val="24"/>
          <w:u w:val="single"/>
          <w:lang w:val="en-US" w:eastAsia="zh-CN"/>
        </w:rPr>
        <w:t>陆佰贰拾贰元陆角肆分</w:t>
      </w:r>
      <w:r>
        <w:rPr>
          <w:rFonts w:hint="eastAsia" w:ascii="仿宋_GB2312" w:hAnsi="宋体" w:eastAsia="仿宋_GB2312"/>
          <w:sz w:val="24"/>
          <w:szCs w:val="24"/>
        </w:rPr>
        <w:t>）。此价款已包括乙方提供本合同约定的全部服务后甲方应向乙方支付的全部款项，除此价款外，甲方无需向乙方支付任何款项。</w:t>
      </w:r>
    </w:p>
    <w:p w14:paraId="62B3E8AE">
      <w:pPr>
        <w:spacing w:line="500" w:lineRule="exact"/>
        <w:rPr>
          <w:rFonts w:ascii="仿宋_GB2312" w:hAnsi="宋体" w:eastAsia="仿宋_GB2312"/>
          <w:sz w:val="24"/>
          <w:u w:val="single"/>
        </w:rPr>
      </w:pPr>
      <w:r>
        <w:rPr>
          <w:rFonts w:hint="eastAsia" w:ascii="仿宋_GB2312" w:hAnsi="宋体" w:eastAsia="仿宋_GB2312"/>
          <w:sz w:val="24"/>
        </w:rPr>
        <w:t>3.2.2</w:t>
      </w:r>
      <w:r>
        <w:rPr>
          <w:rFonts w:hint="eastAsia" w:ascii="仿宋_GB2312" w:hAnsi="宋体" w:eastAsia="仿宋_GB2312"/>
          <w:sz w:val="24"/>
          <w:u w:val="single"/>
        </w:rPr>
        <w:t>本合同价款甲方一次性向乙方进行支付：乙方提供维保服务期满，乙方提供的服务经甲方验收合格后，乙方应向甲方提供符合税法要求的与合同总金额相符的合法增值税专用发票，甲方在收到乙方发票20个工作日内，甲方向乙方支付总款项的100%，</w:t>
      </w:r>
      <w:r>
        <w:rPr>
          <w:rFonts w:hint="eastAsia" w:ascii="仿宋_GB2312" w:eastAsia="仿宋_GB2312" w:hAnsiTheme="minorEastAsia"/>
          <w:sz w:val="24"/>
          <w:szCs w:val="24"/>
          <w:u w:val="single"/>
        </w:rPr>
        <w:t>即</w:t>
      </w:r>
      <w:r>
        <w:rPr>
          <w:rFonts w:hint="eastAsia" w:ascii="仿宋_GB2312" w:eastAsia="仿宋_GB2312" w:hAnsiTheme="minorEastAsia"/>
          <w:sz w:val="24"/>
          <w:szCs w:val="24"/>
          <w:highlight w:val="none"/>
          <w:u w:val="single"/>
        </w:rPr>
        <w:t>￥11000.00元（大写：人民币壹万壹仟元整）</w:t>
      </w:r>
      <w:r>
        <w:rPr>
          <w:rFonts w:hint="eastAsia" w:ascii="仿宋_GB2312" w:hAnsi="宋体" w:eastAsia="仿宋_GB2312"/>
          <w:sz w:val="24"/>
          <w:u w:val="single"/>
        </w:rPr>
        <w:t>。</w:t>
      </w:r>
    </w:p>
    <w:p w14:paraId="27936C6F">
      <w:pPr>
        <w:spacing w:line="500" w:lineRule="exact"/>
        <w:rPr>
          <w:rFonts w:ascii="仿宋_GB2312" w:hAnsi="宋体" w:eastAsia="仿宋_GB2312"/>
          <w:sz w:val="24"/>
        </w:rPr>
      </w:pPr>
      <w:r>
        <w:rPr>
          <w:rFonts w:hint="eastAsia" w:ascii="仿宋_GB2312" w:hAnsi="宋体" w:eastAsia="仿宋_GB2312"/>
          <w:sz w:val="24"/>
        </w:rPr>
        <w:t>3</w:t>
      </w:r>
      <w:r>
        <w:rPr>
          <w:rFonts w:ascii="仿宋_GB2312" w:hAnsi="宋体" w:eastAsia="仿宋_GB2312"/>
          <w:sz w:val="24"/>
        </w:rPr>
        <w:t>.</w:t>
      </w:r>
      <w:r>
        <w:rPr>
          <w:rFonts w:hint="eastAsia" w:ascii="仿宋_GB2312" w:hAnsi="宋体" w:eastAsia="仿宋_GB2312"/>
          <w:sz w:val="24"/>
        </w:rPr>
        <w:t>2</w:t>
      </w:r>
      <w:r>
        <w:rPr>
          <w:rFonts w:ascii="仿宋_GB2312" w:hAnsi="宋体" w:eastAsia="仿宋_GB2312"/>
          <w:sz w:val="24"/>
        </w:rPr>
        <w:t>.3</w:t>
      </w:r>
      <w:r>
        <w:rPr>
          <w:rFonts w:hint="eastAsia" w:ascii="仿宋_GB2312" w:hAnsi="宋体" w:eastAsia="仿宋_GB2312"/>
          <w:sz w:val="24"/>
        </w:rPr>
        <w:t>乙方交付合格发票前，甲方有权拒绝付款，且不承担逾期付款的违约责任，乙方不得以此为由拒绝履行合同义务。因乙方开具的发票不规范、不合法或涉嫌虚开发票引起税务问题的，乙方需依法向甲方重新开具发票，并向甲方承担赔偿责任，包括但不限于税款、滞纳金、罚款及相关损失。</w:t>
      </w:r>
    </w:p>
    <w:p w14:paraId="0D6E616B">
      <w:pPr>
        <w:spacing w:line="500" w:lineRule="exact"/>
        <w:rPr>
          <w:rFonts w:ascii="仿宋_GB2312" w:hAnsi="宋体" w:eastAsia="仿宋_GB2312"/>
          <w:sz w:val="24"/>
        </w:rPr>
      </w:pPr>
      <w:r>
        <w:rPr>
          <w:rFonts w:hint="eastAsia" w:ascii="仿宋_GB2312" w:hAnsi="宋体" w:eastAsia="仿宋_GB2312"/>
          <w:sz w:val="24"/>
        </w:rPr>
        <w:t>3.3合同双方承担各自的税务责任，甲方不因签署本合同而导致连带承担乙方的税务责任，如因此而导致甲方的损失，乙方应当承担赔偿责任。</w:t>
      </w:r>
    </w:p>
    <w:p w14:paraId="047A7541">
      <w:pPr>
        <w:spacing w:line="500" w:lineRule="exact"/>
        <w:jc w:val="center"/>
        <w:rPr>
          <w:rFonts w:ascii="黑体" w:hAnsi="黑体" w:eastAsia="黑体"/>
          <w:sz w:val="28"/>
          <w:szCs w:val="28"/>
        </w:rPr>
      </w:pPr>
      <w:r>
        <w:rPr>
          <w:rFonts w:hint="eastAsia" w:ascii="黑体" w:hAnsi="黑体" w:eastAsia="黑体"/>
          <w:sz w:val="28"/>
          <w:szCs w:val="28"/>
        </w:rPr>
        <w:t>第四章  双方权利义务</w:t>
      </w:r>
    </w:p>
    <w:p w14:paraId="7F871007">
      <w:pPr>
        <w:spacing w:line="500" w:lineRule="exact"/>
        <w:rPr>
          <w:rFonts w:ascii="仿宋_GB2312" w:hAnsi="宋体" w:eastAsia="仿宋_GB2312"/>
          <w:sz w:val="24"/>
        </w:rPr>
      </w:pPr>
      <w:r>
        <w:rPr>
          <w:rFonts w:hint="eastAsia" w:ascii="仿宋_GB2312" w:hAnsi="宋体" w:eastAsia="仿宋_GB2312"/>
          <w:sz w:val="24"/>
        </w:rPr>
        <w:t>4.1甲方为乙方提供必要的工作条件和相关资料。乙方应事先向甲方明确提出所需工作条件和相关资料，经甲方审核同意后，由甲方提供。</w:t>
      </w:r>
    </w:p>
    <w:p w14:paraId="1A87D23C">
      <w:pPr>
        <w:spacing w:line="500" w:lineRule="exact"/>
        <w:rPr>
          <w:rFonts w:ascii="仿宋_GB2312" w:hAnsi="宋体" w:eastAsia="仿宋_GB2312"/>
          <w:sz w:val="24"/>
        </w:rPr>
      </w:pPr>
      <w:r>
        <w:rPr>
          <w:rFonts w:hint="eastAsia" w:ascii="仿宋_GB2312" w:hAnsi="宋体" w:eastAsia="仿宋_GB2312"/>
          <w:sz w:val="24"/>
        </w:rPr>
        <w:t>4.2合同履行期间，如产生甲乙双方的协同工作要求，由双方视具体情况、实际问题及时协商。</w:t>
      </w:r>
    </w:p>
    <w:p w14:paraId="44FE4D62">
      <w:pPr>
        <w:spacing w:line="500" w:lineRule="exact"/>
        <w:rPr>
          <w:rFonts w:ascii="仿宋_GB2312" w:hAnsi="宋体" w:eastAsia="仿宋_GB2312"/>
          <w:sz w:val="24"/>
        </w:rPr>
      </w:pPr>
      <w:r>
        <w:rPr>
          <w:rFonts w:hint="eastAsia" w:ascii="仿宋_GB2312" w:hAnsi="宋体" w:eastAsia="仿宋_GB2312"/>
          <w:sz w:val="24"/>
        </w:rPr>
        <w:t>4.3甲、乙双方均应确保系统有专人负责使用和管理，并建立相关规章制度，防止因操作不当而造成计算机设备感染病毒或第三方产品的故障、计算机设备故障、网络故障等致使系统无法正常运行。双方确定，在本合同有效期内，甲方指定</w:t>
      </w:r>
      <w:r>
        <w:rPr>
          <w:rFonts w:hint="eastAsia" w:ascii="仿宋_GB2312" w:hAnsi="宋体" w:eastAsia="仿宋_GB2312"/>
          <w:sz w:val="24"/>
          <w:u w:val="single"/>
          <w:lang w:val="en-US" w:eastAsia="zh-CN"/>
        </w:rPr>
        <w:t>贺之超</w:t>
      </w:r>
      <w:r>
        <w:rPr>
          <w:rFonts w:hint="eastAsia" w:ascii="仿宋_GB2312" w:hAnsi="宋体" w:eastAsia="仿宋_GB2312"/>
          <w:sz w:val="24"/>
        </w:rPr>
        <w:t>为联系人，联系电话：</w:t>
      </w:r>
      <w:r>
        <w:rPr>
          <w:rFonts w:hint="eastAsia" w:ascii="仿宋_GB2312" w:hAnsi="宋体" w:eastAsia="仿宋_GB2312"/>
          <w:sz w:val="24"/>
          <w:u w:val="single"/>
        </w:rPr>
        <w:t>15661271012</w:t>
      </w:r>
      <w:r>
        <w:rPr>
          <w:rFonts w:hint="eastAsia" w:ascii="仿宋_GB2312" w:hAnsi="宋体" w:eastAsia="仿宋_GB2312"/>
          <w:sz w:val="24"/>
        </w:rPr>
        <w:t>，乙方指定</w:t>
      </w:r>
      <w:r>
        <w:rPr>
          <w:rFonts w:hint="eastAsia" w:ascii="仿宋_GB2312" w:hAnsi="宋体" w:eastAsia="仿宋_GB2312"/>
          <w:sz w:val="24"/>
          <w:u w:val="single"/>
          <w:lang w:val="en-US" w:eastAsia="zh-CN"/>
        </w:rPr>
        <w:t>巴信荣</w:t>
      </w:r>
      <w:r>
        <w:rPr>
          <w:rFonts w:hint="eastAsia" w:ascii="仿宋_GB2312" w:hAnsi="宋体" w:eastAsia="仿宋_GB2312"/>
          <w:sz w:val="24"/>
        </w:rPr>
        <w:t>为乙方项目联系人，联系电话：</w:t>
      </w:r>
      <w:r>
        <w:rPr>
          <w:rFonts w:hint="eastAsia" w:ascii="仿宋_GB2312" w:hAnsi="宋体" w:eastAsia="仿宋_GB2312"/>
          <w:sz w:val="24"/>
          <w:u w:val="single"/>
          <w:lang w:val="en-US" w:eastAsia="zh-CN"/>
        </w:rPr>
        <w:t>15847168188</w:t>
      </w:r>
      <w:r>
        <w:rPr>
          <w:rFonts w:hint="eastAsia" w:ascii="仿宋_GB2312" w:hAnsi="宋体" w:eastAsia="仿宋_GB2312"/>
          <w:sz w:val="24"/>
        </w:rPr>
        <w:t>。一方变更项目联系人的，应当在五日内以书面形式通知另一方。因未及时通知对方，影响本合同履行或造成损失的，违约方应向守约方承担赔偿责任。</w:t>
      </w:r>
    </w:p>
    <w:p w14:paraId="4E3BF180">
      <w:pPr>
        <w:spacing w:line="500" w:lineRule="exact"/>
        <w:rPr>
          <w:rFonts w:ascii="仿宋_GB2312" w:hAnsi="宋体" w:eastAsia="仿宋_GB2312"/>
          <w:sz w:val="24"/>
        </w:rPr>
      </w:pPr>
      <w:r>
        <w:rPr>
          <w:rFonts w:hint="eastAsia" w:ascii="仿宋_GB2312" w:hAnsi="宋体" w:eastAsia="仿宋_GB2312"/>
          <w:sz w:val="24"/>
        </w:rPr>
        <w:t>4.4乙方应做好系统数据备份，并对备份数据进行妥善保管。</w:t>
      </w:r>
    </w:p>
    <w:p w14:paraId="4DA9867E">
      <w:pPr>
        <w:spacing w:line="500" w:lineRule="exact"/>
        <w:rPr>
          <w:rFonts w:ascii="仿宋_GB2312" w:hAnsi="宋体" w:eastAsia="仿宋_GB2312"/>
          <w:sz w:val="24"/>
        </w:rPr>
      </w:pPr>
      <w:r>
        <w:rPr>
          <w:rFonts w:hint="eastAsia" w:ascii="仿宋_GB2312" w:hAnsi="宋体" w:eastAsia="仿宋_GB2312"/>
          <w:sz w:val="24"/>
        </w:rPr>
        <w:t>4.5乙方有责任对</w:t>
      </w:r>
      <w:r>
        <w:rPr>
          <w:rFonts w:hint="eastAsia" w:ascii="仿宋_GB2312" w:hAnsi="宋体" w:eastAsia="仿宋_GB2312"/>
          <w:sz w:val="24"/>
          <w:lang w:val="en-US" w:eastAsia="zh-CN"/>
        </w:rPr>
        <w:t>最终用户</w:t>
      </w:r>
      <w:r>
        <w:rPr>
          <w:rFonts w:hint="eastAsia" w:ascii="仿宋_GB2312" w:hAnsi="宋体" w:eastAsia="仿宋_GB2312"/>
          <w:sz w:val="24"/>
        </w:rPr>
        <w:t>相关人员进行技术培训，帮助</w:t>
      </w:r>
      <w:r>
        <w:rPr>
          <w:rFonts w:hint="eastAsia" w:ascii="仿宋_GB2312" w:hAnsi="宋体" w:eastAsia="仿宋_GB2312"/>
          <w:sz w:val="24"/>
          <w:lang w:val="en-US" w:eastAsia="zh-CN"/>
        </w:rPr>
        <w:t>最终用户</w:t>
      </w:r>
      <w:r>
        <w:rPr>
          <w:rFonts w:hint="eastAsia" w:ascii="仿宋_GB2312" w:hAnsi="宋体" w:eastAsia="仿宋_GB2312"/>
          <w:sz w:val="24"/>
        </w:rPr>
        <w:t>相关人员学习、掌握相关技术,使</w:t>
      </w:r>
      <w:r>
        <w:rPr>
          <w:rFonts w:hint="eastAsia" w:ascii="仿宋_GB2312" w:hAnsi="宋体" w:eastAsia="仿宋_GB2312"/>
          <w:sz w:val="24"/>
          <w:lang w:val="en-US" w:eastAsia="zh-CN"/>
        </w:rPr>
        <w:t>最终用户</w:t>
      </w:r>
      <w:r>
        <w:rPr>
          <w:rFonts w:hint="eastAsia" w:ascii="仿宋_GB2312" w:hAnsi="宋体" w:eastAsia="仿宋_GB2312"/>
          <w:sz w:val="24"/>
        </w:rPr>
        <w:t>相关人员能够独立操作应用系统。</w:t>
      </w:r>
    </w:p>
    <w:p w14:paraId="23C314FF">
      <w:pPr>
        <w:spacing w:line="500" w:lineRule="exact"/>
        <w:rPr>
          <w:rFonts w:ascii="仿宋_GB2312" w:hAnsi="宋体" w:eastAsia="仿宋_GB2312"/>
          <w:sz w:val="24"/>
        </w:rPr>
      </w:pPr>
      <w:r>
        <w:rPr>
          <w:rFonts w:hint="eastAsia" w:ascii="仿宋_GB2312" w:hAnsi="宋体" w:eastAsia="仿宋_GB2312"/>
          <w:sz w:val="24"/>
        </w:rPr>
        <w:t>4.6乙方的维护人员应熟悉本系统，技术人员相对固定，以确保问题及时处理。</w:t>
      </w:r>
    </w:p>
    <w:p w14:paraId="3801BDF8">
      <w:pPr>
        <w:spacing w:line="500" w:lineRule="exact"/>
        <w:rPr>
          <w:rFonts w:ascii="仿宋_GB2312" w:hAnsi="宋体" w:eastAsia="仿宋_GB2312"/>
          <w:sz w:val="24"/>
        </w:rPr>
      </w:pPr>
      <w:r>
        <w:rPr>
          <w:rFonts w:hint="eastAsia" w:ascii="仿宋_GB2312" w:hAnsi="宋体" w:eastAsia="仿宋_GB2312"/>
          <w:sz w:val="24"/>
        </w:rPr>
        <w:t>4.7乙方应保证维护记录完整，同时保证与软件相关的技术文档的同步更新。</w:t>
      </w:r>
    </w:p>
    <w:p w14:paraId="361AE2A6">
      <w:pPr>
        <w:spacing w:line="500" w:lineRule="exact"/>
        <w:rPr>
          <w:rFonts w:ascii="仿宋_GB2312" w:hAnsi="宋体" w:eastAsia="仿宋_GB2312"/>
          <w:sz w:val="24"/>
        </w:rPr>
      </w:pPr>
      <w:r>
        <w:rPr>
          <w:rFonts w:hint="eastAsia" w:ascii="仿宋_GB2312" w:hAnsi="宋体" w:eastAsia="仿宋_GB2312"/>
          <w:sz w:val="24"/>
        </w:rPr>
        <w:t>4.8乙方合同签订、履行、收款、发票开具的主体必须保持一致，若确因客观情况乙方主体需要变更、注销合同主体的，必须提前通知甲方，并提供法律规定的相关证明材料。未提前通知甲方或不能提供法律规定的相关证明材料的，甲方有权要求乙方按照合同总价款的20%向甲方支付违约金。</w:t>
      </w:r>
    </w:p>
    <w:p w14:paraId="30B1401D">
      <w:pPr>
        <w:spacing w:line="500" w:lineRule="exact"/>
        <w:rPr>
          <w:rFonts w:ascii="仿宋_GB2312" w:hAnsi="宋体" w:eastAsia="仿宋_GB2312"/>
          <w:sz w:val="24"/>
        </w:rPr>
      </w:pPr>
      <w:r>
        <w:rPr>
          <w:rFonts w:hint="eastAsia" w:ascii="仿宋_GB2312" w:hAnsi="宋体" w:eastAsia="仿宋_GB2312"/>
          <w:sz w:val="24"/>
        </w:rPr>
        <w:t>4</w:t>
      </w:r>
      <w:r>
        <w:rPr>
          <w:rFonts w:ascii="仿宋_GB2312" w:hAnsi="宋体" w:eastAsia="仿宋_GB2312"/>
          <w:sz w:val="24"/>
        </w:rPr>
        <w:t>.</w:t>
      </w:r>
      <w:r>
        <w:rPr>
          <w:rFonts w:hint="eastAsia" w:ascii="仿宋_GB2312" w:hAnsi="宋体" w:eastAsia="仿宋_GB2312"/>
          <w:sz w:val="24"/>
        </w:rPr>
        <w:t>9乙方人员在甲方现场提供服务期间，应遵守</w:t>
      </w:r>
      <w:r>
        <w:rPr>
          <w:rFonts w:hint="eastAsia" w:ascii="仿宋_GB2312" w:hAnsi="宋体" w:eastAsia="仿宋_GB2312"/>
          <w:sz w:val="24"/>
          <w:lang w:val="en-US" w:eastAsia="zh-CN"/>
        </w:rPr>
        <w:t>最终用户</w:t>
      </w:r>
      <w:r>
        <w:rPr>
          <w:rFonts w:hint="eastAsia" w:ascii="仿宋_GB2312" w:hAnsi="宋体" w:eastAsia="仿宋_GB2312"/>
          <w:sz w:val="24"/>
        </w:rPr>
        <w:t>各项规章制度，服从</w:t>
      </w:r>
      <w:r>
        <w:rPr>
          <w:rFonts w:hint="eastAsia" w:ascii="仿宋_GB2312" w:hAnsi="宋体" w:eastAsia="仿宋_GB2312"/>
          <w:sz w:val="24"/>
          <w:lang w:val="en-US" w:eastAsia="zh-CN"/>
        </w:rPr>
        <w:t>最终用户</w:t>
      </w:r>
      <w:r>
        <w:rPr>
          <w:rFonts w:hint="eastAsia" w:ascii="仿宋_GB2312" w:hAnsi="宋体" w:eastAsia="仿宋_GB2312"/>
          <w:sz w:val="24"/>
        </w:rPr>
        <w:t>管理。如有违反，被</w:t>
      </w:r>
      <w:r>
        <w:rPr>
          <w:rFonts w:hint="eastAsia" w:ascii="仿宋_GB2312" w:hAnsi="宋体" w:eastAsia="仿宋_GB2312"/>
          <w:sz w:val="24"/>
          <w:lang w:val="en-US" w:eastAsia="zh-CN"/>
        </w:rPr>
        <w:t>最终用户</w:t>
      </w:r>
      <w:r>
        <w:rPr>
          <w:rFonts w:hint="eastAsia" w:ascii="仿宋_GB2312" w:hAnsi="宋体" w:eastAsia="仿宋_GB2312"/>
          <w:sz w:val="24"/>
        </w:rPr>
        <w:t>相关部门通报，每出现一次，乙方应按本合同约定价款总额的1‰向甲方支付违约金，且甲方有权要求乙方更换服务人员。且乙方应按照合同总价款的5%向甲方支付违约金，违约金不足以弥补甲方损失的，乙方需赔偿</w:t>
      </w:r>
      <w:r>
        <w:rPr>
          <w:rFonts w:hint="eastAsia" w:ascii="仿宋_GB2312" w:hAnsi="宋体" w:eastAsia="仿宋_GB2312"/>
          <w:sz w:val="24"/>
          <w:lang w:val="en-US" w:eastAsia="zh-CN"/>
        </w:rPr>
        <w:t>最终用户</w:t>
      </w:r>
      <w:r>
        <w:rPr>
          <w:rFonts w:hint="eastAsia" w:ascii="仿宋_GB2312" w:hAnsi="宋体" w:eastAsia="仿宋_GB2312"/>
          <w:sz w:val="24"/>
        </w:rPr>
        <w:t>因此产生的直接及间接损失。</w:t>
      </w:r>
    </w:p>
    <w:p w14:paraId="3A9167A4">
      <w:pPr>
        <w:spacing w:line="500" w:lineRule="exact"/>
        <w:rPr>
          <w:rFonts w:ascii="仿宋_GB2312" w:hAnsi="宋体" w:eastAsia="仿宋_GB2312"/>
          <w:sz w:val="24"/>
        </w:rPr>
      </w:pPr>
      <w:r>
        <w:rPr>
          <w:rFonts w:ascii="仿宋_GB2312" w:hAnsi="宋体" w:eastAsia="仿宋_GB2312"/>
          <w:sz w:val="24"/>
        </w:rPr>
        <w:t>4.</w:t>
      </w:r>
      <w:r>
        <w:rPr>
          <w:rFonts w:hint="eastAsia" w:ascii="仿宋_GB2312" w:hAnsi="宋体" w:eastAsia="仿宋_GB2312"/>
          <w:sz w:val="24"/>
        </w:rPr>
        <w:t>10乙方应确保本合同约定的服务期限内，</w:t>
      </w:r>
      <w:r>
        <w:rPr>
          <w:rFonts w:hint="eastAsia" w:ascii="仿宋_GB2312" w:hAnsi="宋体" w:eastAsia="仿宋_GB2312"/>
          <w:sz w:val="24"/>
          <w:lang w:val="en-US" w:eastAsia="zh-CN"/>
        </w:rPr>
        <w:t>最终用户</w:t>
      </w:r>
      <w:r>
        <w:rPr>
          <w:rFonts w:hint="eastAsia" w:ascii="仿宋_GB2312" w:hAnsi="宋体" w:eastAsia="仿宋_GB2312"/>
          <w:sz w:val="24"/>
        </w:rPr>
        <w:t>系统始终处于安全、稳定、正常运行状态。如出现系统运行故障，乙方应在本合同约定的期限内及时予以维修。系统维修及保养所需更换的零部件设施、设备由乙方提供，所需费用由乙方承担。甲方对乙方提供的零部件设施、设备有异议的，乙方应按甲方要求进行更换。</w:t>
      </w:r>
    </w:p>
    <w:p w14:paraId="28C584F4">
      <w:pPr>
        <w:spacing w:line="500" w:lineRule="exact"/>
        <w:rPr>
          <w:rFonts w:ascii="仿宋_GB2312" w:hAnsi="宋体" w:eastAsia="仿宋_GB2312"/>
          <w:sz w:val="24"/>
        </w:rPr>
      </w:pPr>
      <w:r>
        <w:rPr>
          <w:rFonts w:hint="eastAsia" w:ascii="仿宋_GB2312" w:hAnsi="宋体" w:eastAsia="仿宋_GB2312"/>
          <w:sz w:val="24"/>
        </w:rPr>
        <w:t>4</w:t>
      </w:r>
      <w:r>
        <w:rPr>
          <w:rFonts w:ascii="仿宋_GB2312" w:hAnsi="宋体" w:eastAsia="仿宋_GB2312"/>
          <w:sz w:val="24"/>
        </w:rPr>
        <w:t>.</w:t>
      </w:r>
      <w:r>
        <w:rPr>
          <w:rFonts w:hint="eastAsia" w:ascii="仿宋_GB2312" w:hAnsi="宋体" w:eastAsia="仿宋_GB2312"/>
          <w:sz w:val="24"/>
        </w:rPr>
        <w:t>11如乙方派出的服务人员所提供的服务不符合本合同约定或</w:t>
      </w:r>
      <w:r>
        <w:rPr>
          <w:rFonts w:hint="eastAsia" w:ascii="仿宋_GB2312" w:hAnsi="宋体" w:eastAsia="仿宋_GB2312"/>
          <w:sz w:val="24"/>
          <w:lang w:val="en-US" w:eastAsia="zh-CN"/>
        </w:rPr>
        <w:t>最终用户</w:t>
      </w:r>
      <w:r>
        <w:rPr>
          <w:rFonts w:hint="eastAsia" w:ascii="仿宋_GB2312" w:hAnsi="宋体" w:eastAsia="仿宋_GB2312"/>
          <w:sz w:val="24"/>
        </w:rPr>
        <w:t>要求的，甲方有权要求乙方更换服务人员，乙方应按甲方要求更换符合甲方要求的服务人员。</w:t>
      </w:r>
    </w:p>
    <w:p w14:paraId="42566A00">
      <w:pPr>
        <w:spacing w:line="500" w:lineRule="exact"/>
        <w:rPr>
          <w:rFonts w:hint="eastAsia" w:ascii="仿宋_GB2312" w:hAnsi="宋体" w:eastAsia="仿宋_GB2312"/>
          <w:sz w:val="24"/>
        </w:rPr>
      </w:pPr>
      <w:r>
        <w:rPr>
          <w:rFonts w:hint="eastAsia" w:ascii="仿宋_GB2312" w:hAnsi="宋体" w:eastAsia="仿宋_GB2312"/>
          <w:sz w:val="24"/>
        </w:rPr>
        <w:t>4.12乙方应确保其提供维保服务的系统安全。如该系统存在安全风险，乙方应确保及时发现并采取有效措施予以规避。如因系统安全风险造成</w:t>
      </w:r>
      <w:r>
        <w:rPr>
          <w:rFonts w:hint="eastAsia" w:ascii="仿宋_GB2312" w:hAnsi="宋体" w:eastAsia="仿宋_GB2312"/>
          <w:sz w:val="24"/>
          <w:lang w:val="en-US" w:eastAsia="zh-CN"/>
        </w:rPr>
        <w:t>最终用户</w:t>
      </w:r>
      <w:r>
        <w:rPr>
          <w:rFonts w:hint="eastAsia" w:ascii="仿宋_GB2312" w:hAnsi="宋体" w:eastAsia="仿宋_GB2312"/>
          <w:sz w:val="24"/>
        </w:rPr>
        <w:t>损失的，乙方应赔偿</w:t>
      </w:r>
      <w:r>
        <w:rPr>
          <w:rFonts w:hint="eastAsia" w:ascii="仿宋_GB2312" w:hAnsi="宋体" w:eastAsia="仿宋_GB2312"/>
          <w:sz w:val="24"/>
          <w:lang w:val="en-US" w:eastAsia="zh-CN"/>
        </w:rPr>
        <w:t>最终用户</w:t>
      </w:r>
      <w:r>
        <w:rPr>
          <w:rFonts w:hint="eastAsia" w:ascii="仿宋_GB2312" w:hAnsi="宋体" w:eastAsia="仿宋_GB2312"/>
          <w:sz w:val="24"/>
        </w:rPr>
        <w:t>全部直接及间接损失。</w:t>
      </w:r>
    </w:p>
    <w:p w14:paraId="3E4D0702">
      <w:pPr>
        <w:spacing w:line="500" w:lineRule="exact"/>
        <w:rPr>
          <w:rFonts w:ascii="仿宋_GB2312" w:hAnsi="宋体" w:eastAsia="仿宋_GB2312"/>
          <w:sz w:val="36"/>
        </w:rPr>
      </w:pPr>
      <w:r>
        <w:rPr>
          <w:rFonts w:hint="eastAsia" w:ascii="仿宋_GB2312" w:hAnsi="宋体" w:eastAsia="仿宋_GB2312"/>
          <w:sz w:val="24"/>
        </w:rPr>
        <w:t>4.13在相关案件查办时，乙方应积极依法履行配合提供证据及作证的义务。如果发生拒不配合监委调查工作的情形，甲方（采购人）有权对乙方采取警示约谈，降低考核评价分数、降低供货份额、缩短服务期限、终止或解除合同等多种处理措施，对甲方的此类处理措施，乙方完全接受。如甲方终止或解除合同的，自甲方的终止或解除合同通知送达乙方时生效。如甲方因乙方发生拒不配合监委调查工作的情形（认定依据包括但不限于甲方及甲方上级相关部门的通报反馈），甲方采取以上措施后造成甲方损失的，乙方自愿承担赔偿损失等全部法律责任。</w:t>
      </w:r>
    </w:p>
    <w:p w14:paraId="79C02CFC">
      <w:pPr>
        <w:spacing w:line="500" w:lineRule="exact"/>
        <w:jc w:val="center"/>
        <w:rPr>
          <w:rFonts w:ascii="黑体" w:hAnsi="黑体" w:eastAsia="黑体"/>
          <w:sz w:val="28"/>
          <w:szCs w:val="28"/>
        </w:rPr>
      </w:pPr>
      <w:r>
        <w:rPr>
          <w:rFonts w:hint="eastAsia" w:ascii="黑体" w:hAnsi="黑体" w:eastAsia="黑体"/>
          <w:sz w:val="28"/>
          <w:szCs w:val="28"/>
        </w:rPr>
        <w:t>第五章  服 务 验 收</w:t>
      </w:r>
    </w:p>
    <w:p w14:paraId="7B169508">
      <w:pPr>
        <w:spacing w:line="500" w:lineRule="exact"/>
        <w:rPr>
          <w:rFonts w:ascii="仿宋_GB2312" w:hAnsi="宋体" w:eastAsia="仿宋_GB2312"/>
          <w:sz w:val="24"/>
          <w:u w:val="single"/>
        </w:rPr>
      </w:pPr>
      <w:r>
        <w:rPr>
          <w:rFonts w:hint="eastAsia" w:ascii="仿宋_GB2312" w:hAnsi="宋体" w:eastAsia="仿宋_GB2312"/>
          <w:sz w:val="24"/>
        </w:rPr>
        <w:t>5.1</w:t>
      </w:r>
      <w:r>
        <w:rPr>
          <w:rFonts w:hint="eastAsia" w:ascii="仿宋_GB2312" w:hAnsi="宋体" w:eastAsia="仿宋_GB2312"/>
          <w:sz w:val="24"/>
          <w:u w:val="single"/>
        </w:rPr>
        <w:t>乙方提供的维保服务满一年由甲方验收一次，乙方应向甲方提供年度运维服务报告，甲方组织相关部门进行验收，验收合格后在年度运维服务报告上书面签字确认，作为乙方维保服务经甲方验收合格的凭据；</w:t>
      </w:r>
    </w:p>
    <w:p w14:paraId="6A9DD178">
      <w:pPr>
        <w:spacing w:line="500" w:lineRule="exact"/>
        <w:rPr>
          <w:rFonts w:ascii="仿宋_GB2312" w:hAnsi="宋体" w:eastAsia="仿宋_GB2312"/>
          <w:sz w:val="24"/>
        </w:rPr>
      </w:pPr>
      <w:r>
        <w:rPr>
          <w:rFonts w:hint="eastAsia" w:ascii="仿宋_GB2312" w:hAnsi="宋体" w:eastAsia="仿宋_GB2312"/>
          <w:sz w:val="24"/>
        </w:rPr>
        <w:t>5.2乙方向甲方出具的运维服务报告。如经甲方对乙方维保服务验收不合格的，乙方应按甲方要求在30天内完成整改，并按照本合同的约定继续履行本合同项下的义务直至甲方验收合格，同时，乙方应按照本合同总价款的 10 %向甲方支付违约金，由此所产生的一切费用和由此给</w:t>
      </w:r>
      <w:r>
        <w:rPr>
          <w:rFonts w:hint="eastAsia" w:ascii="仿宋_GB2312" w:hAnsi="宋体" w:eastAsia="仿宋_GB2312"/>
          <w:sz w:val="24"/>
          <w:lang w:val="en-US" w:eastAsia="zh-CN"/>
        </w:rPr>
        <w:t>最终用户</w:t>
      </w:r>
      <w:r>
        <w:rPr>
          <w:rFonts w:hint="eastAsia" w:ascii="仿宋_GB2312" w:hAnsi="宋体" w:eastAsia="仿宋_GB2312"/>
          <w:sz w:val="24"/>
        </w:rPr>
        <w:t>造成的一切直接及间接损失均由乙方承担。如系统维保服务期满后30日内，系统维保服务仍未能通过甲方验收的，甲方有权解除本合同，不再向乙方支付任何合同价款，已支付的合同价款全额退还，由此所产生的一切费用和由此给甲方造成的一切直接及间接损失均由乙方承担。</w:t>
      </w:r>
    </w:p>
    <w:p w14:paraId="5694D563">
      <w:pPr>
        <w:spacing w:line="500" w:lineRule="exact"/>
        <w:jc w:val="center"/>
        <w:rPr>
          <w:rFonts w:ascii="黑体" w:hAnsi="黑体" w:eastAsia="黑体"/>
          <w:sz w:val="28"/>
          <w:szCs w:val="28"/>
        </w:rPr>
      </w:pPr>
      <w:r>
        <w:rPr>
          <w:rFonts w:hint="eastAsia" w:ascii="黑体" w:hAnsi="黑体" w:eastAsia="黑体"/>
          <w:sz w:val="28"/>
          <w:szCs w:val="28"/>
        </w:rPr>
        <w:t>第六章  违 约 责 任</w:t>
      </w:r>
    </w:p>
    <w:p w14:paraId="7BE21381">
      <w:pPr>
        <w:spacing w:line="500" w:lineRule="exact"/>
        <w:rPr>
          <w:rFonts w:ascii="仿宋_GB2312" w:hAnsi="宋体" w:eastAsia="仿宋_GB2312"/>
          <w:sz w:val="24"/>
        </w:rPr>
      </w:pPr>
      <w:r>
        <w:rPr>
          <w:rFonts w:hint="eastAsia" w:ascii="仿宋_GB2312" w:hAnsi="宋体" w:eastAsia="仿宋_GB2312"/>
          <w:sz w:val="24"/>
        </w:rPr>
        <w:t>6.1乙方提供的服务不符合本合同约定的，甲方有权要求乙方限期纠正，乙方逾期七日未纠正的，每逾期一日，乙方应按合同价款的1‰向甲方支付违约金，逾期超过30日，甲方有权解除合同，乙方应按照合同总价款的20%向甲方支付违约金，由此所产生的一切费用和由此给</w:t>
      </w:r>
      <w:r>
        <w:rPr>
          <w:rFonts w:hint="eastAsia" w:ascii="仿宋_GB2312" w:hAnsi="宋体" w:eastAsia="仿宋_GB2312"/>
          <w:sz w:val="24"/>
          <w:lang w:val="en-US" w:eastAsia="zh-CN"/>
        </w:rPr>
        <w:t>最终用户</w:t>
      </w:r>
      <w:r>
        <w:rPr>
          <w:rFonts w:hint="eastAsia" w:ascii="仿宋_GB2312" w:hAnsi="宋体" w:eastAsia="仿宋_GB2312"/>
          <w:sz w:val="24"/>
        </w:rPr>
        <w:t>造成的一切直接及间接损失均由乙方承担。</w:t>
      </w:r>
    </w:p>
    <w:p w14:paraId="236C313E">
      <w:pPr>
        <w:spacing w:line="500" w:lineRule="exact"/>
        <w:rPr>
          <w:rFonts w:ascii="仿宋_GB2312" w:hAnsi="宋体" w:eastAsia="仿宋_GB2312"/>
          <w:sz w:val="24"/>
        </w:rPr>
      </w:pPr>
      <w:r>
        <w:rPr>
          <w:rFonts w:hint="eastAsia" w:ascii="仿宋_GB2312" w:hAnsi="宋体" w:eastAsia="仿宋_GB2312"/>
          <w:sz w:val="24"/>
        </w:rPr>
        <w:t>6.2在合同服务期内，如因乙方原因或者系统自身原因导致</w:t>
      </w:r>
      <w:r>
        <w:rPr>
          <w:rFonts w:hint="eastAsia" w:ascii="仿宋_GB2312" w:hAnsi="宋体" w:eastAsia="仿宋_GB2312"/>
          <w:sz w:val="24"/>
          <w:lang w:val="en-US" w:eastAsia="zh-CN"/>
        </w:rPr>
        <w:t>最终用户</w:t>
      </w:r>
      <w:r>
        <w:rPr>
          <w:rFonts w:hint="eastAsia" w:ascii="仿宋_GB2312" w:hAnsi="宋体" w:eastAsia="仿宋_GB2312"/>
          <w:sz w:val="24"/>
        </w:rPr>
        <w:t>公司范围的系统瘫痪</w:t>
      </w:r>
      <w:r>
        <w:rPr>
          <w:rFonts w:hint="eastAsia" w:ascii="仿宋_GB2312" w:hAnsi="宋体" w:eastAsia="仿宋_GB2312"/>
          <w:sz w:val="24"/>
          <w:u w:val="single"/>
          <w:lang w:val="en-US" w:eastAsia="zh-CN"/>
        </w:rPr>
        <w:t xml:space="preserve"> </w:t>
      </w:r>
      <w:r>
        <w:rPr>
          <w:rFonts w:hint="eastAsia" w:ascii="仿宋_GB2312" w:hAnsi="宋体" w:eastAsia="仿宋_GB2312"/>
          <w:sz w:val="24"/>
          <w:u w:val="single"/>
        </w:rPr>
        <w:t>8</w:t>
      </w:r>
      <w:r>
        <w:rPr>
          <w:rFonts w:ascii="仿宋_GB2312" w:hAnsi="宋体" w:eastAsia="仿宋_GB2312"/>
          <w:sz w:val="24"/>
        </w:rPr>
        <w:t>小时以上</w:t>
      </w:r>
      <w:r>
        <w:rPr>
          <w:rFonts w:hint="eastAsia" w:ascii="仿宋_GB2312" w:hAnsi="宋体" w:eastAsia="仿宋_GB2312"/>
          <w:sz w:val="24"/>
        </w:rPr>
        <w:t>，造成</w:t>
      </w:r>
      <w:r>
        <w:rPr>
          <w:rFonts w:hint="eastAsia" w:ascii="仿宋_GB2312" w:hAnsi="宋体" w:eastAsia="仿宋_GB2312"/>
          <w:sz w:val="24"/>
          <w:lang w:val="en-US" w:eastAsia="zh-CN"/>
        </w:rPr>
        <w:t>最终用户</w:t>
      </w:r>
      <w:r>
        <w:rPr>
          <w:rFonts w:hint="eastAsia" w:ascii="仿宋_GB2312" w:hAnsi="宋体" w:eastAsia="仿宋_GB2312"/>
          <w:sz w:val="24"/>
        </w:rPr>
        <w:t>生产经营受影响，甲方有权解除合同，乙方应按照合同总价款的20%向甲方支付违约金，由此所产生的一切费用和由此给</w:t>
      </w:r>
      <w:r>
        <w:rPr>
          <w:rFonts w:hint="eastAsia" w:ascii="仿宋_GB2312" w:hAnsi="宋体" w:eastAsia="仿宋_GB2312"/>
          <w:sz w:val="24"/>
          <w:lang w:val="en-US" w:eastAsia="zh-CN"/>
        </w:rPr>
        <w:t>最终用户</w:t>
      </w:r>
      <w:r>
        <w:rPr>
          <w:rFonts w:hint="eastAsia" w:ascii="仿宋_GB2312" w:hAnsi="宋体" w:eastAsia="仿宋_GB2312"/>
          <w:sz w:val="24"/>
        </w:rPr>
        <w:t>造成的一切直接及间接损失均由乙方承担。</w:t>
      </w:r>
    </w:p>
    <w:p w14:paraId="63EC86FA">
      <w:pPr>
        <w:spacing w:line="500" w:lineRule="exact"/>
        <w:rPr>
          <w:rFonts w:ascii="仿宋_GB2312" w:hAnsi="宋体" w:eastAsia="仿宋_GB2312"/>
          <w:sz w:val="24"/>
        </w:rPr>
      </w:pPr>
      <w:r>
        <w:rPr>
          <w:rFonts w:hint="eastAsia" w:ascii="仿宋_GB2312" w:hAnsi="宋体" w:eastAsia="仿宋_GB2312"/>
          <w:sz w:val="24"/>
        </w:rPr>
        <w:t>6.3本合同约定的违约金不足以弥补甲方损失的，乙方应赔偿甲方全部直接及间接损失。乙方应向甲方支付的违约金、赔偿金或其它款项，甲方均有权从未付合同价款中扣除，未付合同价款不足乙方应付款项金额的，由乙方向甲方补足差额。</w:t>
      </w:r>
    </w:p>
    <w:p w14:paraId="283CFB65">
      <w:pPr>
        <w:spacing w:line="500" w:lineRule="exact"/>
        <w:rPr>
          <w:rFonts w:ascii="仿宋_GB2312" w:hAnsi="宋体" w:eastAsia="仿宋_GB2312"/>
          <w:sz w:val="24"/>
        </w:rPr>
      </w:pPr>
      <w:r>
        <w:rPr>
          <w:rFonts w:hint="eastAsia" w:ascii="仿宋_GB2312" w:hAnsi="宋体" w:eastAsia="仿宋_GB2312"/>
          <w:sz w:val="24"/>
        </w:rPr>
        <w:t>6.4签订本合同后，如甲方发现乙方存在违反《廉洁合同》约定的情形，或存在《列入内蒙古昆明卷烟有限责任公司供应商黑名单的情形和处理措施》规定的列入甲方公司供应商黑名单的情形，甲方有权解除本合同，并按照本合同和《廉洁合同》的约定进行相应的处理和追究乙方的违约责任，且甲方有权将乙方列入甲方供应商黑名单并上报</w:t>
      </w:r>
      <w:r>
        <w:rPr>
          <w:rFonts w:hint="eastAsia" w:ascii="仿宋_GB2312" w:hAnsi="宋体" w:eastAsia="仿宋_GB2312"/>
          <w:sz w:val="24"/>
          <w:lang w:val="en-US" w:eastAsia="zh-CN"/>
        </w:rPr>
        <w:t>最终用户</w:t>
      </w:r>
      <w:r>
        <w:rPr>
          <w:rFonts w:hint="eastAsia" w:ascii="仿宋_GB2312" w:hAnsi="宋体" w:eastAsia="仿宋_GB2312"/>
          <w:sz w:val="24"/>
        </w:rPr>
        <w:t>上级单位及中国烟草总公司，将乙方列入烟草行业供应商黑名单，实施相应禁入措施。</w:t>
      </w:r>
    </w:p>
    <w:p w14:paraId="4DFDAEAD">
      <w:pPr>
        <w:spacing w:line="500" w:lineRule="exact"/>
        <w:rPr>
          <w:rFonts w:ascii="仿宋_GB2312" w:hAnsi="宋体" w:eastAsia="仿宋_GB2312"/>
          <w:sz w:val="24"/>
        </w:rPr>
      </w:pPr>
      <w:r>
        <w:rPr>
          <w:rFonts w:hint="eastAsia" w:ascii="仿宋_GB2312" w:hAnsi="宋体" w:eastAsia="仿宋_GB2312"/>
          <w:sz w:val="24"/>
        </w:rPr>
        <w:t>6.5乙方的企业类型为</w:t>
      </w:r>
      <w:r>
        <w:rPr>
          <w:rFonts w:hint="eastAsia" w:ascii="仿宋_GB2312" w:hAnsi="宋体" w:eastAsia="仿宋_GB2312"/>
          <w:sz w:val="24"/>
          <w:u w:val="single"/>
        </w:rPr>
        <w:t>③</w:t>
      </w:r>
      <w:r>
        <w:rPr>
          <w:rFonts w:hint="eastAsia" w:ascii="仿宋_GB2312" w:hAnsi="宋体" w:eastAsia="仿宋_GB2312"/>
          <w:sz w:val="24"/>
        </w:rPr>
        <w:t>（①民营企业 ②中小企业 ③民营中小企业 ④其他企业）。乙方应对此信息的真实性、准确性负责，如与实际不符，乙方自行承担由此产生的一切后果。</w:t>
      </w:r>
    </w:p>
    <w:p w14:paraId="3EB9F617">
      <w:pPr>
        <w:spacing w:line="500" w:lineRule="exact"/>
        <w:rPr>
          <w:rFonts w:ascii="仿宋_GB2312" w:hAnsi="宋体" w:eastAsia="仿宋_GB2312"/>
          <w:sz w:val="24"/>
        </w:rPr>
      </w:pPr>
      <w:r>
        <w:rPr>
          <w:rFonts w:hint="eastAsia" w:ascii="仿宋_GB2312" w:hAnsi="宋体" w:eastAsia="仿宋_GB2312"/>
          <w:sz w:val="24"/>
        </w:rPr>
        <w:t>6.6针对</w:t>
      </w:r>
      <w:r>
        <w:rPr>
          <w:rFonts w:hint="eastAsia" w:ascii="仿宋_GB2312" w:hAnsi="宋体" w:eastAsia="仿宋_GB2312"/>
          <w:sz w:val="24"/>
          <w:lang w:val="en-US" w:eastAsia="zh-CN"/>
        </w:rPr>
        <w:t>最终用户</w:t>
      </w:r>
      <w:r>
        <w:rPr>
          <w:rFonts w:hint="eastAsia" w:ascii="仿宋_GB2312" w:hAnsi="宋体" w:eastAsia="仿宋_GB2312"/>
          <w:sz w:val="24"/>
        </w:rPr>
        <w:t>或</w:t>
      </w:r>
      <w:r>
        <w:rPr>
          <w:rFonts w:hint="eastAsia" w:ascii="仿宋_GB2312" w:hAnsi="宋体" w:eastAsia="仿宋_GB2312"/>
          <w:sz w:val="24"/>
          <w:lang w:val="en-US" w:eastAsia="zh-CN"/>
        </w:rPr>
        <w:t>最终用户</w:t>
      </w:r>
      <w:r>
        <w:rPr>
          <w:rFonts w:hint="eastAsia" w:ascii="仿宋_GB2312" w:hAnsi="宋体" w:eastAsia="仿宋_GB2312"/>
          <w:sz w:val="24"/>
        </w:rPr>
        <w:t>聘请的第三方检测发现的网络安全问题，乙方未在规定期限内完成处理，每出现一次，乙方应向甲方支付2000元违约金，从运维服务费用中扣除。</w:t>
      </w:r>
    </w:p>
    <w:p w14:paraId="7077E5D5">
      <w:pPr>
        <w:spacing w:line="500" w:lineRule="exact"/>
        <w:jc w:val="center"/>
        <w:rPr>
          <w:rFonts w:ascii="黑体" w:hAnsi="黑体" w:eastAsia="黑体"/>
          <w:sz w:val="28"/>
          <w:szCs w:val="28"/>
        </w:rPr>
      </w:pPr>
      <w:r>
        <w:rPr>
          <w:rFonts w:hint="eastAsia" w:ascii="黑体" w:hAnsi="黑体" w:eastAsia="黑体"/>
          <w:sz w:val="28"/>
          <w:szCs w:val="28"/>
        </w:rPr>
        <w:t>第七章  保密条款和知识产权</w:t>
      </w:r>
    </w:p>
    <w:p w14:paraId="1904193D">
      <w:pPr>
        <w:spacing w:line="500" w:lineRule="exact"/>
        <w:rPr>
          <w:rFonts w:ascii="仿宋_GB2312" w:hAnsi="宋体" w:eastAsia="仿宋_GB2312"/>
          <w:sz w:val="24"/>
        </w:rPr>
      </w:pPr>
      <w:r>
        <w:rPr>
          <w:rFonts w:hint="eastAsia" w:ascii="仿宋_GB2312" w:hAnsi="宋体" w:eastAsia="仿宋_GB2312"/>
          <w:sz w:val="24"/>
        </w:rPr>
        <w:t>7.1乙方承诺，非经甲方书面许可，乙方不得以任何形式将甲方的业务流程及各项数据或信息泄露给第三方。</w:t>
      </w:r>
    </w:p>
    <w:p w14:paraId="7E5B88B5">
      <w:pPr>
        <w:spacing w:line="500" w:lineRule="exact"/>
        <w:rPr>
          <w:rFonts w:ascii="仿宋_GB2312" w:hAnsi="宋体" w:eastAsia="仿宋_GB2312"/>
          <w:sz w:val="24"/>
        </w:rPr>
      </w:pPr>
      <w:r>
        <w:rPr>
          <w:rFonts w:hint="eastAsia" w:ascii="仿宋_GB2312" w:hAnsi="宋体" w:eastAsia="仿宋_GB2312"/>
          <w:sz w:val="24"/>
        </w:rPr>
        <w:t>7.2 甲方承诺，非经乙方书面许可，甲方不得以任何形式将乙方的技术方案、项目阶段报告、系统及各项数据或信息泄露给第三方。</w:t>
      </w:r>
    </w:p>
    <w:p w14:paraId="795C0FC9">
      <w:pPr>
        <w:spacing w:line="500" w:lineRule="exact"/>
        <w:rPr>
          <w:rFonts w:ascii="仿宋_GB2312" w:hAnsi="宋体" w:eastAsia="仿宋_GB2312"/>
          <w:sz w:val="24"/>
        </w:rPr>
      </w:pPr>
      <w:r>
        <w:rPr>
          <w:rFonts w:hint="eastAsia" w:ascii="仿宋_GB2312" w:hAnsi="宋体" w:eastAsia="仿宋_GB2312"/>
          <w:sz w:val="24"/>
        </w:rPr>
        <w:t>7.3本合同任何一方未经其他各方一致同意，不得向任何第三方透露合同内容。合同各方一致同意任何一方在任何时候对其持有的有关另一方的事务或其事物运转操作方法等保密信息以及商业秘密实行严格保密。非经对方书面许可，任何一方不得在任何时间向本合同以外的任何第三方披露或提供保密信息的任何内容（法律另有约定的除外）。除非有信息提供方的书面许可或出于履行本合同义务的合理要求，任何一方不得对保密信息进行拷贝或复制。</w:t>
      </w:r>
    </w:p>
    <w:p w14:paraId="031D1C0F">
      <w:pPr>
        <w:spacing w:line="500" w:lineRule="exact"/>
        <w:ind w:left="720" w:hanging="720"/>
        <w:rPr>
          <w:rFonts w:ascii="仿宋_GB2312" w:hAnsi="宋体" w:eastAsia="仿宋_GB2312"/>
          <w:sz w:val="24"/>
        </w:rPr>
      </w:pPr>
      <w:r>
        <w:rPr>
          <w:rFonts w:hint="eastAsia" w:ascii="仿宋_GB2312" w:hAnsi="宋体" w:eastAsia="仿宋_GB2312"/>
          <w:sz w:val="24"/>
        </w:rPr>
        <w:t>7.4本保密条款对以下情形不适用：</w:t>
      </w:r>
    </w:p>
    <w:p w14:paraId="37266D0A">
      <w:pPr>
        <w:spacing w:line="500" w:lineRule="exact"/>
        <w:rPr>
          <w:rFonts w:ascii="仿宋_GB2312" w:hAnsi="宋体" w:eastAsia="仿宋_GB2312"/>
          <w:sz w:val="24"/>
        </w:rPr>
      </w:pPr>
      <w:r>
        <w:rPr>
          <w:rFonts w:hint="eastAsia" w:ascii="仿宋_GB2312" w:hAnsi="宋体" w:eastAsia="仿宋_GB2312"/>
          <w:sz w:val="24"/>
        </w:rPr>
        <w:t>7.4.1 已被公众熟知的内容；</w:t>
      </w:r>
    </w:p>
    <w:p w14:paraId="2269D034">
      <w:pPr>
        <w:spacing w:line="500" w:lineRule="exact"/>
        <w:rPr>
          <w:rFonts w:ascii="仿宋_GB2312" w:hAnsi="宋体" w:eastAsia="仿宋_GB2312"/>
          <w:sz w:val="24"/>
        </w:rPr>
      </w:pPr>
      <w:r>
        <w:rPr>
          <w:rFonts w:hint="eastAsia" w:ascii="仿宋_GB2312" w:hAnsi="宋体" w:eastAsia="仿宋_GB2312"/>
          <w:sz w:val="24"/>
        </w:rPr>
        <w:t>7.4.2已通过出版物或其他原因（未经授权行为或疏忽除外）而向大众公开的内容；</w:t>
      </w:r>
    </w:p>
    <w:p w14:paraId="7F24014A">
      <w:pPr>
        <w:spacing w:line="500" w:lineRule="exact"/>
        <w:rPr>
          <w:rFonts w:ascii="仿宋_GB2312" w:hAnsi="宋体" w:eastAsia="仿宋_GB2312"/>
          <w:sz w:val="24"/>
        </w:rPr>
      </w:pPr>
      <w:r>
        <w:rPr>
          <w:rFonts w:hint="eastAsia" w:ascii="仿宋_GB2312" w:hAnsi="宋体" w:eastAsia="仿宋_GB2312"/>
          <w:sz w:val="24"/>
        </w:rPr>
        <w:t>7.4.3由任何第三方未加任何约束提供的内容，且该第三方对这些内容无任何明确、暗含或暗示的保密义务；</w:t>
      </w:r>
    </w:p>
    <w:p w14:paraId="061D5B77">
      <w:pPr>
        <w:spacing w:line="500" w:lineRule="exact"/>
        <w:rPr>
          <w:rFonts w:ascii="仿宋_GB2312" w:hAnsi="宋体" w:eastAsia="仿宋_GB2312"/>
          <w:sz w:val="24"/>
        </w:rPr>
      </w:pPr>
      <w:r>
        <w:rPr>
          <w:rFonts w:hint="eastAsia" w:ascii="仿宋_GB2312" w:hAnsi="宋体" w:eastAsia="仿宋_GB2312"/>
          <w:sz w:val="24"/>
        </w:rPr>
        <w:t>7.4.4 按法律要求需向任何机关、机构或媒介公开的内容。</w:t>
      </w:r>
    </w:p>
    <w:p w14:paraId="18AA85AB">
      <w:pPr>
        <w:spacing w:line="500" w:lineRule="exact"/>
        <w:rPr>
          <w:rFonts w:ascii="仿宋_GB2312" w:hAnsi="宋体" w:eastAsia="仿宋_GB2312"/>
          <w:sz w:val="24"/>
        </w:rPr>
      </w:pPr>
      <w:r>
        <w:rPr>
          <w:rFonts w:hint="eastAsia" w:ascii="仿宋_GB2312" w:hAnsi="宋体" w:eastAsia="仿宋_GB2312"/>
          <w:sz w:val="24"/>
        </w:rPr>
        <w:t>7.5信息提供方的保密信息将被认为是具有所有权的信息，如果它属于甲方，未经信息提供方书面许可，乙方不得就这些资料信息向甲方以外的任何第三方传达。乙方无权拷贝、修改、补充或仿造该具有所有权的信息。只有在甲方的书面许可下，方可对保密信息进行作为记录和操作目的的拷贝。所有此类拷贝都必须标上与原件同样的所有权参考标签。乙方应该完整地或部分地将此类保密信息包括所有副本、拷贝、修改和重绘图纸妥善保存。合同履行完毕后，乙方应将上述保密信息包括所有副本、拷贝、修改和重绘图纸完整的交还甲方。</w:t>
      </w:r>
    </w:p>
    <w:p w14:paraId="0D30FE3F">
      <w:pPr>
        <w:spacing w:line="500" w:lineRule="exact"/>
        <w:rPr>
          <w:rFonts w:ascii="仿宋_GB2312" w:hAnsi="宋体" w:eastAsia="仿宋_GB2312"/>
          <w:sz w:val="24"/>
        </w:rPr>
      </w:pPr>
      <w:r>
        <w:rPr>
          <w:rFonts w:hint="eastAsia" w:ascii="仿宋_GB2312" w:hAnsi="宋体" w:eastAsia="仿宋_GB2312"/>
          <w:sz w:val="24"/>
        </w:rPr>
        <w:t>7.6乙方保证，</w:t>
      </w:r>
      <w:r>
        <w:rPr>
          <w:rFonts w:hint="eastAsia" w:ascii="仿宋_GB2312" w:hAnsi="宋体" w:eastAsia="仿宋_GB2312"/>
          <w:sz w:val="24"/>
          <w:lang w:val="en-US" w:eastAsia="zh-CN"/>
        </w:rPr>
        <w:t>最终用户</w:t>
      </w:r>
      <w:r>
        <w:rPr>
          <w:rFonts w:hint="eastAsia" w:ascii="仿宋_GB2312" w:hAnsi="宋体" w:eastAsia="仿宋_GB2312"/>
          <w:sz w:val="24"/>
        </w:rPr>
        <w:t>依据本合同持有和使用乙方提供的软件、设备、技术文件不会侵犯任何第三方知识产权或其他在先权利。如</w:t>
      </w:r>
      <w:r>
        <w:rPr>
          <w:rFonts w:hint="eastAsia" w:ascii="仿宋_GB2312" w:hAnsi="宋体" w:eastAsia="仿宋_GB2312"/>
          <w:sz w:val="24"/>
          <w:lang w:val="en-US" w:eastAsia="zh-CN"/>
        </w:rPr>
        <w:t>最终用户</w:t>
      </w:r>
      <w:r>
        <w:rPr>
          <w:rFonts w:hint="eastAsia" w:ascii="仿宋_GB2312" w:hAnsi="宋体" w:eastAsia="仿宋_GB2312"/>
          <w:sz w:val="24"/>
        </w:rPr>
        <w:t>因使用乙方提供的设备、软件及技术文件而侵犯他人的知识产权或致使除本合同各方以外的第三人向其提出索赔或权利请求，应由乙方负责处理和赔偿，同时乙方应赔偿因此给</w:t>
      </w:r>
      <w:r>
        <w:rPr>
          <w:rFonts w:hint="eastAsia" w:ascii="仿宋_GB2312" w:hAnsi="宋体" w:eastAsia="仿宋_GB2312"/>
          <w:sz w:val="24"/>
          <w:lang w:val="en-US" w:eastAsia="zh-CN"/>
        </w:rPr>
        <w:t>最终用户</w:t>
      </w:r>
      <w:r>
        <w:rPr>
          <w:rFonts w:hint="eastAsia" w:ascii="仿宋_GB2312" w:hAnsi="宋体" w:eastAsia="仿宋_GB2312"/>
          <w:sz w:val="24"/>
        </w:rPr>
        <w:t>造成的直接及间接损失，同时乙方应立即无偿更换被指责侵权的系统、部件、软件、及技术文件，以保证</w:t>
      </w:r>
      <w:r>
        <w:rPr>
          <w:rFonts w:hint="eastAsia" w:ascii="仿宋_GB2312" w:hAnsi="宋体" w:eastAsia="仿宋_GB2312"/>
          <w:sz w:val="24"/>
          <w:lang w:val="en-US" w:eastAsia="zh-CN"/>
        </w:rPr>
        <w:t>最终用户</w:t>
      </w:r>
      <w:r>
        <w:rPr>
          <w:rFonts w:hint="eastAsia" w:ascii="仿宋_GB2312" w:hAnsi="宋体" w:eastAsia="仿宋_GB2312"/>
          <w:sz w:val="24"/>
        </w:rPr>
        <w:t>免受上述赔偿请求。</w:t>
      </w:r>
    </w:p>
    <w:p w14:paraId="6B59D65D">
      <w:pPr>
        <w:spacing w:line="500" w:lineRule="exact"/>
        <w:jc w:val="left"/>
        <w:rPr>
          <w:rFonts w:hint="eastAsia" w:ascii="仿宋_GB2312" w:hAnsi="宋体" w:eastAsia="仿宋_GB2312"/>
          <w:sz w:val="24"/>
        </w:rPr>
      </w:pPr>
      <w:r>
        <w:rPr>
          <w:rFonts w:ascii="仿宋_GB2312" w:hAnsi="宋体" w:eastAsia="仿宋_GB2312"/>
          <w:sz w:val="24"/>
        </w:rPr>
        <w:t>7.</w:t>
      </w:r>
      <w:r>
        <w:rPr>
          <w:rFonts w:hint="eastAsia" w:ascii="仿宋_GB2312" w:hAnsi="宋体" w:eastAsia="仿宋_GB2312"/>
          <w:sz w:val="24"/>
        </w:rPr>
        <w:t>7乙方违反本合同约定保密义务的，甲方有权解除合同，乙方应向甲方支付合同价款总额30%的违约金，违约金不足以弥补甲方损失，乙方应赔偿甲方由此造成的全部直接及间接损失。</w:t>
      </w:r>
    </w:p>
    <w:p w14:paraId="501C2DAD">
      <w:pPr>
        <w:spacing w:line="500" w:lineRule="exact"/>
        <w:jc w:val="left"/>
        <w:rPr>
          <w:rFonts w:hint="eastAsia" w:ascii="仿宋_GB2312" w:hAnsi="宋体" w:eastAsia="仿宋_GB2312"/>
          <w:sz w:val="24"/>
        </w:rPr>
      </w:pPr>
      <w:r>
        <w:rPr>
          <w:rFonts w:hint="eastAsia" w:ascii="仿宋_GB2312" w:hAnsi="宋体" w:eastAsia="仿宋_GB2312"/>
          <w:sz w:val="24"/>
        </w:rPr>
        <w:t>7.8乙方不得将本合同项目部分或全部转让（包）给他人（含外购烟用物资的半成品或在制品）；经甲方书面许可，乙方可以将合同项目的非主体、非关键性工作分包给他人完成，接受分包的人应当具备相应的资格条件并不得再次分包。如乙方或相关方违反上述约定，乙方应向甲方支付本合同价款30%的违约金，违约金不足以弥补甲方损失的，乙方还需赔偿甲方由此遭受的全部直接及间接损失，且甲方有权单方解除合同，合同解除的，乙方除应全额返还甲方已支付的价款外，乙方仍应承担前述违约责任并弥补甲方的全部损失。</w:t>
      </w:r>
    </w:p>
    <w:p w14:paraId="411F9D81">
      <w:pPr>
        <w:spacing w:line="500" w:lineRule="exact"/>
        <w:ind w:left="540" w:hanging="540"/>
        <w:rPr>
          <w:rFonts w:ascii="仿宋_GB2312" w:hAnsi="宋体" w:eastAsia="仿宋_GB2312"/>
          <w:sz w:val="24"/>
        </w:rPr>
      </w:pPr>
      <w:r>
        <w:rPr>
          <w:rFonts w:hint="eastAsia" w:ascii="仿宋_GB2312" w:hAnsi="宋体" w:eastAsia="仿宋_GB2312"/>
          <w:sz w:val="24"/>
        </w:rPr>
        <w:t xml:space="preserve">7.9 </w:t>
      </w:r>
      <w:r>
        <w:rPr>
          <w:rFonts w:ascii="仿宋_GB2312" w:hAnsi="宋体" w:eastAsia="仿宋_GB2312"/>
          <w:sz w:val="24"/>
        </w:rPr>
        <w:t>保密期限</w:t>
      </w:r>
      <w:r>
        <w:rPr>
          <w:rFonts w:hint="eastAsia" w:ascii="仿宋_GB2312" w:hAnsi="宋体" w:eastAsia="仿宋_GB2312"/>
          <w:sz w:val="24"/>
        </w:rPr>
        <w:t>至本合同约定的所有信息合法公开时</w:t>
      </w:r>
      <w:r>
        <w:rPr>
          <w:rFonts w:ascii="仿宋_GB2312" w:hAnsi="宋体" w:eastAsia="仿宋_GB2312"/>
          <w:sz w:val="24"/>
        </w:rPr>
        <w:t>。</w:t>
      </w:r>
    </w:p>
    <w:p w14:paraId="231C9627">
      <w:pPr>
        <w:spacing w:line="500" w:lineRule="exact"/>
        <w:jc w:val="center"/>
        <w:rPr>
          <w:rFonts w:ascii="黑体" w:hAnsi="黑体" w:eastAsia="黑体"/>
          <w:sz w:val="28"/>
          <w:szCs w:val="28"/>
        </w:rPr>
      </w:pPr>
      <w:r>
        <w:rPr>
          <w:rFonts w:hint="eastAsia" w:ascii="黑体" w:hAnsi="黑体" w:eastAsia="黑体"/>
          <w:sz w:val="28"/>
          <w:szCs w:val="28"/>
        </w:rPr>
        <w:t>第八章  不可抗力</w:t>
      </w:r>
    </w:p>
    <w:p w14:paraId="2DD7591C">
      <w:pPr>
        <w:spacing w:line="500" w:lineRule="exact"/>
        <w:rPr>
          <w:rFonts w:ascii="仿宋_GB2312" w:hAnsi="宋体" w:eastAsia="仿宋_GB2312"/>
          <w:sz w:val="24"/>
        </w:rPr>
      </w:pPr>
      <w:r>
        <w:rPr>
          <w:rFonts w:hint="eastAsia" w:ascii="仿宋_GB2312" w:hAnsi="宋体" w:eastAsia="仿宋_GB2312"/>
          <w:sz w:val="24"/>
        </w:rPr>
        <w:t>8.1</w:t>
      </w:r>
      <w:r>
        <w:rPr>
          <w:rFonts w:hint="eastAsia" w:ascii="仿宋_GB2312" w:hAnsi="宋体" w:eastAsia="仿宋_GB2312"/>
          <w:sz w:val="24"/>
        </w:rPr>
        <w:tab/>
      </w:r>
      <w:r>
        <w:rPr>
          <w:rFonts w:hint="eastAsia" w:ascii="仿宋_GB2312" w:hAnsi="宋体" w:eastAsia="仿宋_GB2312"/>
          <w:sz w:val="24"/>
        </w:rPr>
        <w:t>如果各方中的任何一方因为不可抗力，如：战争，火灾，台风，洪水，地震或其他各方共认为属于不可抗力的原因而被迫停止或推迟合同的执行，则合同执行将相应顺延，顺延的时间等于不可抗力发生作用的时间。</w:t>
      </w:r>
    </w:p>
    <w:p w14:paraId="38D4FB6D">
      <w:pPr>
        <w:spacing w:line="500" w:lineRule="exact"/>
        <w:rPr>
          <w:rFonts w:ascii="仿宋_GB2312" w:hAnsi="宋体" w:eastAsia="仿宋_GB2312"/>
          <w:sz w:val="24"/>
        </w:rPr>
      </w:pPr>
      <w:r>
        <w:rPr>
          <w:rFonts w:hint="eastAsia" w:ascii="仿宋_GB2312" w:hAnsi="宋体" w:eastAsia="仿宋_GB2312"/>
          <w:sz w:val="24"/>
        </w:rPr>
        <w:t>8.2</w:t>
      </w:r>
      <w:r>
        <w:rPr>
          <w:rFonts w:hint="eastAsia" w:ascii="仿宋_GB2312" w:hAnsi="宋体" w:eastAsia="仿宋_GB2312"/>
          <w:sz w:val="24"/>
        </w:rPr>
        <w:tab/>
      </w:r>
      <w:r>
        <w:rPr>
          <w:rFonts w:hint="eastAsia" w:ascii="仿宋_GB2312" w:hAnsi="宋体" w:eastAsia="仿宋_GB2312"/>
          <w:sz w:val="24"/>
        </w:rPr>
        <w:t>受影响的一方应将不可抗力的出现在24小时内通过电传或传真方式通知其他方。在不可抗力出现后14天内，受影响的一方应向其他方提供一份有关权威机构出具的证书并通过快件或挂号信寄至另一方以便其检验和确认。</w:t>
      </w:r>
    </w:p>
    <w:p w14:paraId="7C6696CD">
      <w:pPr>
        <w:spacing w:line="500" w:lineRule="exact"/>
        <w:rPr>
          <w:rFonts w:ascii="仿宋_GB2312" w:hAnsi="宋体" w:eastAsia="仿宋_GB2312"/>
          <w:sz w:val="24"/>
        </w:rPr>
      </w:pPr>
      <w:r>
        <w:rPr>
          <w:rFonts w:hint="eastAsia" w:ascii="仿宋_GB2312" w:hAnsi="宋体" w:eastAsia="仿宋_GB2312"/>
          <w:sz w:val="24"/>
        </w:rPr>
        <w:t>8.3</w:t>
      </w:r>
      <w:r>
        <w:rPr>
          <w:rFonts w:hint="eastAsia" w:ascii="仿宋_GB2312" w:hAnsi="宋体" w:eastAsia="仿宋_GB2312"/>
          <w:sz w:val="24"/>
        </w:rPr>
        <w:tab/>
      </w:r>
      <w:r>
        <w:rPr>
          <w:rFonts w:hint="eastAsia" w:ascii="仿宋_GB2312" w:hAnsi="宋体" w:eastAsia="仿宋_GB2312"/>
          <w:sz w:val="24"/>
        </w:rPr>
        <w:t>受影响的一方应在不可抗力终止或被排除后尽快通过电传或传真通知其他方，并通过挂号信方式通知其他方不可抗力已终结或排除，并继续合同的履行。</w:t>
      </w:r>
    </w:p>
    <w:p w14:paraId="5EF6F326">
      <w:pPr>
        <w:spacing w:line="360" w:lineRule="auto"/>
        <w:ind w:firstLine="480"/>
        <w:rPr>
          <w:rFonts w:ascii="仿宋_GB2312" w:hAnsi="宋体" w:eastAsia="仿宋_GB2312"/>
          <w:sz w:val="24"/>
        </w:rPr>
      </w:pPr>
      <w:r>
        <w:rPr>
          <w:rFonts w:hint="eastAsia" w:ascii="仿宋_GB2312" w:hAnsi="宋体" w:eastAsia="仿宋_GB2312"/>
          <w:sz w:val="24"/>
        </w:rPr>
        <w:t>8.4如果不可抗力持续作用超过60天，各方将通过友好协商解决未来的合同执行问题。</w:t>
      </w:r>
    </w:p>
    <w:p w14:paraId="2F7ABB07">
      <w:pPr>
        <w:widowControl/>
        <w:autoSpaceDE w:val="0"/>
        <w:autoSpaceDN w:val="0"/>
        <w:spacing w:line="500" w:lineRule="exact"/>
        <w:jc w:val="center"/>
        <w:textAlignment w:val="bottom"/>
        <w:rPr>
          <w:rFonts w:ascii="黑体" w:hAnsi="黑体" w:eastAsia="黑体"/>
          <w:sz w:val="28"/>
          <w:szCs w:val="28"/>
        </w:rPr>
      </w:pPr>
      <w:r>
        <w:rPr>
          <w:rFonts w:hint="eastAsia" w:ascii="黑体" w:hAnsi="黑体" w:eastAsia="黑体"/>
          <w:sz w:val="28"/>
          <w:szCs w:val="28"/>
        </w:rPr>
        <w:t>第九章  争议解决及法律适用</w:t>
      </w:r>
    </w:p>
    <w:p w14:paraId="66A27585">
      <w:pPr>
        <w:spacing w:line="500" w:lineRule="exact"/>
        <w:rPr>
          <w:rFonts w:ascii="仿宋_GB2312" w:hAnsi="宋体" w:eastAsia="仿宋_GB2312"/>
          <w:sz w:val="24"/>
        </w:rPr>
      </w:pPr>
      <w:r>
        <w:rPr>
          <w:rFonts w:hint="eastAsia" w:ascii="仿宋_GB2312" w:hAnsi="宋体" w:eastAsia="仿宋_GB2312"/>
          <w:sz w:val="24"/>
        </w:rPr>
        <w:t>9.1所有与合同有关的争议将通过各方友好协商解决。如果不能通过友好协商解决争议，由甲方所在地有管辖权的人民法院管辖。</w:t>
      </w:r>
    </w:p>
    <w:p w14:paraId="1B1BEC04">
      <w:pPr>
        <w:spacing w:line="500" w:lineRule="exact"/>
        <w:ind w:left="540" w:hanging="540"/>
        <w:rPr>
          <w:rFonts w:ascii="仿宋_GB2312" w:hAnsi="宋体" w:eastAsia="仿宋_GB2312"/>
          <w:sz w:val="24"/>
        </w:rPr>
      </w:pPr>
      <w:r>
        <w:rPr>
          <w:rFonts w:hint="eastAsia" w:ascii="仿宋_GB2312" w:hAnsi="宋体" w:eastAsia="仿宋_GB2312"/>
          <w:sz w:val="24"/>
        </w:rPr>
        <w:t>9.2</w:t>
      </w:r>
      <w:r>
        <w:rPr>
          <w:rFonts w:ascii="仿宋_GB2312" w:hAnsi="宋体" w:eastAsia="仿宋_GB2312"/>
          <w:sz w:val="24"/>
        </w:rPr>
        <w:t xml:space="preserve"> </w:t>
      </w:r>
      <w:r>
        <w:rPr>
          <w:rFonts w:hint="eastAsia" w:ascii="仿宋_GB2312" w:hAnsi="宋体" w:eastAsia="仿宋_GB2312"/>
          <w:sz w:val="24"/>
        </w:rPr>
        <w:t>本合同适用中华人民共和国相关法律。</w:t>
      </w:r>
    </w:p>
    <w:p w14:paraId="03B8F60F">
      <w:pPr>
        <w:spacing w:line="500" w:lineRule="exact"/>
        <w:jc w:val="left"/>
        <w:rPr>
          <w:rFonts w:ascii="仿宋_GB2312" w:hAnsi="宋体" w:eastAsia="仿宋_GB2312"/>
          <w:sz w:val="24"/>
        </w:rPr>
      </w:pPr>
      <w:r>
        <w:rPr>
          <w:rFonts w:hint="eastAsia" w:ascii="仿宋_GB2312" w:hAnsi="宋体" w:eastAsia="仿宋_GB2312"/>
          <w:sz w:val="24"/>
        </w:rPr>
        <w:t>9</w:t>
      </w:r>
      <w:r>
        <w:rPr>
          <w:rFonts w:ascii="仿宋_GB2312" w:hAnsi="宋体" w:eastAsia="仿宋_GB2312"/>
          <w:sz w:val="24"/>
        </w:rPr>
        <w:t xml:space="preserve">.3 </w:t>
      </w:r>
      <w:r>
        <w:rPr>
          <w:rFonts w:hint="eastAsia" w:ascii="仿宋_GB2312" w:hAnsi="宋体" w:eastAsia="仿宋_GB2312"/>
          <w:sz w:val="24"/>
        </w:rPr>
        <w:t>甲、乙双方承诺本合同签字、盖章处载明的地址为通讯及联系地址，凡与本合同有关的任何材料，包括司法机关相关法律文书、诉讼文书送达地址均以此为准。任一方地址发生变更的，应在变更前 15 日内通知对方，否则按本合同载明的通讯及联系方式送达上述材料及文书的均为有效送达，由此引发的相关法律责任由变更一方自行承担。</w:t>
      </w:r>
    </w:p>
    <w:p w14:paraId="52A3F438">
      <w:pPr>
        <w:spacing w:line="500" w:lineRule="exact"/>
        <w:jc w:val="center"/>
        <w:rPr>
          <w:rFonts w:ascii="黑体" w:hAnsi="黑体" w:eastAsia="黑体"/>
          <w:sz w:val="28"/>
          <w:szCs w:val="28"/>
        </w:rPr>
      </w:pPr>
      <w:r>
        <w:rPr>
          <w:rFonts w:hint="eastAsia" w:ascii="黑体" w:hAnsi="黑体" w:eastAsia="黑体"/>
          <w:sz w:val="28"/>
          <w:szCs w:val="28"/>
        </w:rPr>
        <w:t>第十章  合同的生效、终止及其他</w:t>
      </w:r>
    </w:p>
    <w:p w14:paraId="421A669A">
      <w:pPr>
        <w:spacing w:line="500" w:lineRule="exact"/>
        <w:rPr>
          <w:rFonts w:ascii="仿宋_GB2312" w:hAnsi="宋体" w:eastAsia="仿宋_GB2312"/>
          <w:sz w:val="24"/>
        </w:rPr>
      </w:pPr>
      <w:r>
        <w:rPr>
          <w:rFonts w:hint="eastAsia" w:ascii="仿宋_GB2312" w:hAnsi="宋体" w:eastAsia="仿宋_GB2312"/>
          <w:sz w:val="24"/>
        </w:rPr>
        <w:t xml:space="preserve">10.1 本合同未尽事宜，由甲乙双方根据国家法律、法规及有关规定协商另行订立书面补充协议，补充协议与本合同具有同等法律效力 </w:t>
      </w:r>
    </w:p>
    <w:p w14:paraId="5FD83414">
      <w:pPr>
        <w:spacing w:line="500" w:lineRule="exact"/>
        <w:rPr>
          <w:rFonts w:ascii="仿宋_GB2312" w:hAnsi="宋体" w:eastAsia="仿宋_GB2312"/>
          <w:sz w:val="24"/>
        </w:rPr>
      </w:pPr>
      <w:r>
        <w:rPr>
          <w:rFonts w:hint="eastAsia" w:ascii="仿宋_GB2312" w:hAnsi="宋体" w:eastAsia="仿宋_GB2312"/>
          <w:sz w:val="24"/>
        </w:rPr>
        <w:t>10.2乙方合同签订、履行、收款、发票开具的主体必须保持一致，若确因实际情况需要变更、注销合同主体的，必须提前通知甲方，并提供法律规定的相关证明材料。未提前通知甲方或不能提供法律规定的相关证明材料的，甲方有权扣除未支付款项或合同价款的20%违约金。</w:t>
      </w:r>
    </w:p>
    <w:p w14:paraId="6602780E">
      <w:pPr>
        <w:spacing w:line="500" w:lineRule="exact"/>
        <w:rPr>
          <w:rFonts w:ascii="仿宋_GB2312" w:hAnsi="宋体" w:eastAsia="仿宋_GB2312"/>
          <w:sz w:val="24"/>
        </w:rPr>
      </w:pPr>
      <w:r>
        <w:rPr>
          <w:rFonts w:hint="eastAsia" w:ascii="仿宋_GB2312" w:hAnsi="宋体" w:eastAsia="仿宋_GB2312"/>
          <w:sz w:val="24"/>
        </w:rPr>
        <w:t>10.3若因国家政策调整，引起税率发生变化，甲乙双方须签订补充协议，以不含税价及最新税率政策作为结算依据，对合同总价做出相应调整。</w:t>
      </w:r>
    </w:p>
    <w:p w14:paraId="31F0BD26">
      <w:pPr>
        <w:spacing w:line="500" w:lineRule="exact"/>
        <w:rPr>
          <w:rFonts w:ascii="仿宋_GB2312" w:hAnsi="宋体" w:eastAsia="仿宋_GB2312"/>
          <w:sz w:val="24"/>
        </w:rPr>
      </w:pPr>
      <w:r>
        <w:rPr>
          <w:rFonts w:hint="eastAsia" w:ascii="仿宋_GB2312" w:hAnsi="宋体" w:eastAsia="仿宋_GB2312"/>
          <w:sz w:val="24"/>
        </w:rPr>
        <w:t>10.4 本合同的附件为本合同不可分割的部分，与本合同具有同等法律效力。</w:t>
      </w:r>
    </w:p>
    <w:p w14:paraId="5A17C42A">
      <w:pPr>
        <w:spacing w:line="500" w:lineRule="exact"/>
        <w:rPr>
          <w:rFonts w:ascii="仿宋_GB2312" w:hAnsi="宋体" w:eastAsia="仿宋_GB2312"/>
          <w:sz w:val="24"/>
        </w:rPr>
      </w:pPr>
      <w:r>
        <w:rPr>
          <w:rFonts w:hint="eastAsia" w:ascii="仿宋_GB2312" w:hAnsi="宋体" w:eastAsia="仿宋_GB2312"/>
          <w:sz w:val="24"/>
        </w:rPr>
        <w:t>10.5 任何与合同相关但未在合同中明确规定的事项将由双方友好协商并达成协议予以解决。</w:t>
      </w:r>
    </w:p>
    <w:p w14:paraId="11253CA0">
      <w:pPr>
        <w:spacing w:line="500" w:lineRule="exact"/>
        <w:rPr>
          <w:rFonts w:hint="eastAsia" w:ascii="仿宋_GB2312" w:hAnsi="宋体" w:eastAsia="仿宋_GB2312"/>
          <w:sz w:val="24"/>
        </w:rPr>
      </w:pPr>
      <w:r>
        <w:rPr>
          <w:rFonts w:hint="eastAsia" w:ascii="仿宋_GB2312" w:hAnsi="宋体" w:eastAsia="仿宋_GB2312"/>
          <w:sz w:val="24"/>
        </w:rPr>
        <w:t>10.6 本合同一式柒份，甲方执肆份，乙方执叁份，均具有相同的法律效力。本合同自双方法定代表人或委托代理人签字并加盖公章（或合同专用章）及双方骑缝章之日起生效。</w:t>
      </w:r>
    </w:p>
    <w:p w14:paraId="05491743">
      <w:pPr>
        <w:pStyle w:val="2"/>
      </w:pPr>
    </w:p>
    <w:p w14:paraId="4FFDD953">
      <w:pPr>
        <w:spacing w:line="500" w:lineRule="exact"/>
        <w:rPr>
          <w:rFonts w:hint="eastAsia" w:ascii="仿宋_GB2312" w:hAnsi="宋体" w:eastAsia="仿宋_GB2312"/>
          <w:sz w:val="24"/>
        </w:rPr>
      </w:pPr>
      <w:r>
        <w:rPr>
          <w:rFonts w:hint="eastAsia" w:ascii="仿宋_GB2312" w:hAnsi="宋体" w:eastAsia="仿宋_GB2312"/>
          <w:sz w:val="24"/>
        </w:rPr>
        <w:t>（以下无正文）</w:t>
      </w:r>
    </w:p>
    <w:tbl>
      <w:tblPr>
        <w:tblStyle w:val="6"/>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Layout w:type="autofit"/>
        <w:tblCellMar>
          <w:top w:w="0" w:type="dxa"/>
          <w:left w:w="108" w:type="dxa"/>
          <w:bottom w:w="0" w:type="dxa"/>
          <w:right w:w="108" w:type="dxa"/>
        </w:tblCellMar>
      </w:tblPr>
      <w:tblGrid>
        <w:gridCol w:w="4260"/>
        <w:gridCol w:w="4260"/>
      </w:tblGrid>
      <w:tr w14:paraId="3C44B2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5" w:hRule="atLeast"/>
        </w:trPr>
        <w:tc>
          <w:tcPr>
            <w:tcW w:w="4260" w:type="dxa"/>
            <w:tcBorders>
              <w:tl2br w:val="nil"/>
              <w:tr2bl w:val="nil"/>
            </w:tcBorders>
            <w:shd w:val="clear" w:color="auto" w:fill="FFFFFF" w:themeFill="background1"/>
            <w:vAlign w:val="top"/>
          </w:tcPr>
          <w:p w14:paraId="29035605">
            <w:pPr>
              <w:pStyle w:val="2"/>
              <w:rPr>
                <w:rFonts w:hint="eastAsia"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甲方(盖章)：</w:t>
            </w:r>
          </w:p>
          <w:p w14:paraId="58DE7C22">
            <w:pPr>
              <w:pStyle w:val="2"/>
              <w:rPr>
                <w:rFonts w:hint="eastAsia" w:ascii="仿宋_GB2312" w:hAnsi="宋体" w:eastAsia="仿宋_GB2312"/>
                <w:color w:val="000000" w:themeColor="text1"/>
                <w:sz w:val="24"/>
                <w:u w:val="single"/>
                <w:lang w:val="en-US" w:eastAsia="zh-CN"/>
                <w14:textFill>
                  <w14:solidFill>
                    <w14:schemeClr w14:val="tx1"/>
                  </w14:solidFill>
                </w14:textFill>
              </w:rPr>
            </w:pPr>
            <w:r>
              <w:rPr>
                <w:rFonts w:hint="eastAsia" w:ascii="仿宋_GB2312" w:hAnsi="宋体" w:eastAsia="仿宋_GB2312"/>
                <w:color w:val="000000" w:themeColor="text1"/>
                <w:sz w:val="24"/>
                <w:u w:val="single"/>
                <w:lang w:val="en-US" w:eastAsia="zh-CN"/>
                <w14:textFill>
                  <w14:solidFill>
                    <w14:schemeClr w14:val="tx1"/>
                  </w14:solidFill>
                </w14:textFill>
              </w:rPr>
              <w:t>北京创联致信科技有限公司</w:t>
            </w:r>
          </w:p>
          <w:p w14:paraId="4191C418">
            <w:pPr>
              <w:pStyle w:val="2"/>
              <w:rPr>
                <w:rFonts w:hint="default" w:ascii="仿宋_GB2312" w:hAnsi="宋体" w:eastAsia="仿宋_GB2312"/>
                <w:color w:val="000000" w:themeColor="text1"/>
                <w:sz w:val="24"/>
                <w:u w:val="single"/>
                <w:lang w:val="en-US" w:eastAsia="zh-CN"/>
                <w14:textFill>
                  <w14:solidFill>
                    <w14:schemeClr w14:val="tx1"/>
                  </w14:solidFill>
                </w14:textFill>
              </w:rPr>
            </w:pPr>
          </w:p>
        </w:tc>
        <w:tc>
          <w:tcPr>
            <w:tcW w:w="4260" w:type="dxa"/>
            <w:tcBorders>
              <w:tl2br w:val="nil"/>
              <w:tr2bl w:val="nil"/>
            </w:tcBorders>
            <w:shd w:val="clear" w:color="auto" w:fill="FFFFFF" w:themeFill="background1"/>
            <w:vAlign w:val="top"/>
          </w:tcPr>
          <w:p w14:paraId="3E5761EF">
            <w:pPr>
              <w:pStyle w:val="2"/>
              <w:rPr>
                <w:rFonts w:hint="eastAsia"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u w:val="none"/>
                <w:lang w:val="en-US" w:eastAsia="zh-CN"/>
                <w14:textFill>
                  <w14:solidFill>
                    <w14:schemeClr w14:val="tx1"/>
                  </w14:solidFill>
                </w14:textFill>
              </w:rPr>
              <w:t xml:space="preserve"> </w:t>
            </w:r>
            <w:r>
              <w:rPr>
                <w:rFonts w:hint="eastAsia" w:ascii="仿宋_GB2312" w:hAnsi="宋体" w:eastAsia="仿宋_GB2312"/>
                <w:color w:val="000000" w:themeColor="text1"/>
                <w:sz w:val="24"/>
                <w14:textFill>
                  <w14:solidFill>
                    <w14:schemeClr w14:val="tx1"/>
                  </w14:solidFill>
                </w14:textFill>
              </w:rPr>
              <w:t>乙方（盖章）：</w:t>
            </w:r>
          </w:p>
          <w:p w14:paraId="0A5E54D9">
            <w:pPr>
              <w:pStyle w:val="2"/>
              <w:rPr>
                <w:rFonts w:hint="default" w:eastAsia="仿宋_GB2312"/>
                <w:color w:val="000000" w:themeColor="text1"/>
                <w:vertAlign w:val="baseline"/>
                <w:lang w:val="en-US" w:eastAsia="zh-CN"/>
                <w14:textFill>
                  <w14:solidFill>
                    <w14:schemeClr w14:val="tx1"/>
                  </w14:solidFill>
                </w14:textFill>
              </w:rPr>
            </w:pPr>
            <w:r>
              <w:rPr>
                <w:rFonts w:hint="eastAsia" w:ascii="仿宋_GB2312" w:eastAsia="仿宋_GB2312" w:hAnsiTheme="minorEastAsia"/>
                <w:color w:val="000000" w:themeColor="text1"/>
                <w:sz w:val="24"/>
                <w:szCs w:val="24"/>
                <w:u w:val="single"/>
                <w14:textFill>
                  <w14:solidFill>
                    <w14:schemeClr w14:val="tx1"/>
                  </w14:solidFill>
                </w14:textFill>
              </w:rPr>
              <w:t>内蒙古世纪泓科技</w:t>
            </w:r>
            <w:r>
              <w:rPr>
                <w:rFonts w:hint="eastAsia" w:ascii="仿宋_GB2312" w:eastAsia="仿宋_GB2312" w:hAnsiTheme="minorEastAsia"/>
                <w:color w:val="000000" w:themeColor="text1"/>
                <w:sz w:val="24"/>
                <w:szCs w:val="24"/>
                <w:u w:val="single"/>
                <w:lang w:val="en-US" w:eastAsia="zh-CN"/>
                <w14:textFill>
                  <w14:solidFill>
                    <w14:schemeClr w14:val="tx1"/>
                  </w14:solidFill>
                </w14:textFill>
              </w:rPr>
              <w:t>有限公司</w:t>
            </w:r>
          </w:p>
        </w:tc>
      </w:tr>
      <w:tr w14:paraId="28B371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995" w:hRule="atLeast"/>
        </w:trPr>
        <w:tc>
          <w:tcPr>
            <w:tcW w:w="4260" w:type="dxa"/>
            <w:tcBorders>
              <w:tl2br w:val="nil"/>
              <w:tr2bl w:val="nil"/>
            </w:tcBorders>
            <w:shd w:val="clear" w:color="auto" w:fill="FFFFFF" w:themeFill="background1"/>
            <w:vAlign w:val="top"/>
          </w:tcPr>
          <w:p w14:paraId="697E38AC">
            <w:pPr>
              <w:pStyle w:val="2"/>
              <w:rPr>
                <w:rFonts w:hint="default" w:eastAsia="宋体"/>
                <w:color w:val="000000" w:themeColor="text1"/>
                <w:vertAlign w:val="baseline"/>
                <w:lang w:val="en-US" w:eastAsia="zh-CN"/>
                <w14:textFill>
                  <w14:solidFill>
                    <w14:schemeClr w14:val="tx1"/>
                  </w14:solidFill>
                </w14:textFill>
              </w:rPr>
            </w:pPr>
            <w:r>
              <w:rPr>
                <w:rFonts w:hint="eastAsia" w:ascii="仿宋_GB2312" w:hAnsi="宋体" w:eastAsia="仿宋_GB2312" w:cs="Times New Roman"/>
                <w:color w:val="000000" w:themeColor="text1"/>
                <w:sz w:val="24"/>
                <w:lang w:val="en-US" w:eastAsia="zh-CN"/>
                <w14:textFill>
                  <w14:solidFill>
                    <w14:schemeClr w14:val="tx1"/>
                  </w14:solidFill>
                </w14:textFill>
              </w:rPr>
              <w:t>通讯地址：</w:t>
            </w:r>
            <w:r>
              <w:rPr>
                <w:rFonts w:hint="eastAsia" w:ascii="仿宋_GB2312" w:hAnsi="宋体" w:eastAsia="仿宋_GB2312" w:cs="Times New Roman"/>
                <w:color w:val="000000" w:themeColor="text1"/>
                <w:sz w:val="24"/>
                <w:u w:val="single"/>
                <w14:textFill>
                  <w14:solidFill>
                    <w14:schemeClr w14:val="tx1"/>
                  </w14:solidFill>
                </w14:textFill>
              </w:rPr>
              <w:t>北京市朝阳区小营北路19号二层206室</w:t>
            </w:r>
          </w:p>
        </w:tc>
        <w:tc>
          <w:tcPr>
            <w:tcW w:w="4260" w:type="dxa"/>
            <w:tcBorders>
              <w:tl2br w:val="nil"/>
              <w:tr2bl w:val="nil"/>
            </w:tcBorders>
            <w:shd w:val="clear" w:color="auto" w:fill="FFFFFF" w:themeFill="background1"/>
            <w:vAlign w:val="top"/>
          </w:tcPr>
          <w:p w14:paraId="5C4697A1">
            <w:pPr>
              <w:pStyle w:val="2"/>
              <w:rPr>
                <w:rFonts w:hint="eastAsia" w:eastAsia="仿宋_GB2312"/>
                <w:color w:val="000000" w:themeColor="text1"/>
                <w:vertAlign w:val="baseline"/>
                <w:lang w:eastAsia="zh-CN"/>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通讯地址：</w:t>
            </w:r>
            <w:r>
              <w:rPr>
                <w:rFonts w:hint="eastAsia" w:ascii="仿宋_GB2312" w:eastAsia="仿宋_GB2312" w:hAnsiTheme="minorEastAsia"/>
                <w:color w:val="000000" w:themeColor="text1"/>
                <w:sz w:val="24"/>
                <w:szCs w:val="24"/>
                <w:u w:val="single"/>
                <w:lang w:eastAsia="zh-CN"/>
                <w14:textFill>
                  <w14:solidFill>
                    <w14:schemeClr w14:val="tx1"/>
                  </w14:solidFill>
                </w14:textFill>
              </w:rPr>
              <w:t>呼和浩特市如意工业园区晨光街2号呼和浩特科创中心509室</w:t>
            </w:r>
          </w:p>
        </w:tc>
      </w:tr>
      <w:tr w14:paraId="1987F3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493" w:hRule="atLeast"/>
        </w:trPr>
        <w:tc>
          <w:tcPr>
            <w:tcW w:w="4260" w:type="dxa"/>
            <w:tcBorders>
              <w:tl2br w:val="nil"/>
              <w:tr2bl w:val="nil"/>
            </w:tcBorders>
            <w:shd w:val="clear" w:color="auto" w:fill="FFFFFF" w:themeFill="background1"/>
            <w:vAlign w:val="top"/>
          </w:tcPr>
          <w:p w14:paraId="6FC35A98">
            <w:pPr>
              <w:pStyle w:val="2"/>
              <w:rPr>
                <w:rFonts w:hint="eastAsia"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法定代表人或委托代理人</w:t>
            </w:r>
          </w:p>
          <w:p w14:paraId="4C2AE4C1">
            <w:pPr>
              <w:pStyle w:val="2"/>
              <w:rPr>
                <w:color w:val="000000" w:themeColor="text1"/>
                <w:vertAlign w:val="baseline"/>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签字：</w:t>
            </w:r>
          </w:p>
        </w:tc>
        <w:tc>
          <w:tcPr>
            <w:tcW w:w="4260" w:type="dxa"/>
            <w:tcBorders>
              <w:tl2br w:val="nil"/>
              <w:tr2bl w:val="nil"/>
            </w:tcBorders>
            <w:shd w:val="clear" w:color="auto" w:fill="FFFFFF" w:themeFill="background1"/>
            <w:vAlign w:val="top"/>
          </w:tcPr>
          <w:p w14:paraId="01E73811">
            <w:pPr>
              <w:pStyle w:val="2"/>
              <w:rPr>
                <w:rFonts w:hint="eastAsia"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法定代表人或委托代理人</w:t>
            </w:r>
          </w:p>
          <w:p w14:paraId="0B05B0CF">
            <w:pPr>
              <w:pStyle w:val="2"/>
              <w:rPr>
                <w:rFonts w:hint="eastAsia"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签字：</w:t>
            </w:r>
          </w:p>
          <w:p w14:paraId="4F3BB769">
            <w:pPr>
              <w:pStyle w:val="2"/>
              <w:rPr>
                <w:rFonts w:hint="eastAsia" w:ascii="仿宋_GB2312" w:hAnsi="宋体" w:eastAsia="仿宋_GB2312"/>
                <w:color w:val="000000" w:themeColor="text1"/>
                <w:sz w:val="24"/>
                <w14:textFill>
                  <w14:solidFill>
                    <w14:schemeClr w14:val="tx1"/>
                  </w14:solidFill>
                </w14:textFill>
              </w:rPr>
            </w:pPr>
          </w:p>
        </w:tc>
      </w:tr>
      <w:tr w14:paraId="4CF253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995" w:hRule="atLeast"/>
        </w:trPr>
        <w:tc>
          <w:tcPr>
            <w:tcW w:w="4260" w:type="dxa"/>
            <w:tcBorders>
              <w:tl2br w:val="nil"/>
              <w:tr2bl w:val="nil"/>
            </w:tcBorders>
            <w:shd w:val="clear" w:color="auto" w:fill="FFFFFF" w:themeFill="background1"/>
            <w:vAlign w:val="top"/>
          </w:tcPr>
          <w:p w14:paraId="70EB61BC">
            <w:pPr>
              <w:pStyle w:val="2"/>
              <w:rPr>
                <w:rFonts w:hint="eastAsia" w:ascii="仿宋_GB2312" w:hAnsi="宋体" w:eastAsia="仿宋_GB2312" w:cs="Times New Roman"/>
                <w:color w:val="000000" w:themeColor="text1"/>
                <w:kern w:val="2"/>
                <w:sz w:val="24"/>
                <w:szCs w:val="24"/>
                <w:lang w:val="en-US" w:eastAsia="zh-CN" w:bidi="ar-SA"/>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开户行：</w:t>
            </w:r>
            <w:r>
              <w:rPr>
                <w:rFonts w:hint="eastAsia" w:ascii="仿宋_GB2312" w:eastAsia="仿宋_GB2312" w:cs="Times New Roman" w:hAnsiTheme="minorEastAsia"/>
                <w:color w:val="000000" w:themeColor="text1"/>
                <w:sz w:val="24"/>
                <w:szCs w:val="24"/>
                <w:u w:val="single"/>
                <w14:textFill>
                  <w14:solidFill>
                    <w14:schemeClr w14:val="tx1"/>
                  </w14:solidFill>
                </w14:textFill>
              </w:rPr>
              <w:t>招商银行股份有限公司北京慧忠北里支行</w:t>
            </w:r>
          </w:p>
        </w:tc>
        <w:tc>
          <w:tcPr>
            <w:tcW w:w="4260" w:type="dxa"/>
            <w:tcBorders>
              <w:tl2br w:val="nil"/>
              <w:tr2bl w:val="nil"/>
            </w:tcBorders>
            <w:shd w:val="clear" w:color="auto" w:fill="FFFFFF" w:themeFill="background1"/>
            <w:vAlign w:val="top"/>
          </w:tcPr>
          <w:p w14:paraId="08E53D37">
            <w:pPr>
              <w:pStyle w:val="2"/>
              <w:rPr>
                <w:rFonts w:hint="eastAsia"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开户行：</w:t>
            </w:r>
            <w:r>
              <w:rPr>
                <w:rFonts w:hint="eastAsia" w:ascii="仿宋_GB2312" w:eastAsia="仿宋_GB2312" w:hAnsiTheme="minorEastAsia"/>
                <w:color w:val="000000" w:themeColor="text1"/>
                <w:sz w:val="24"/>
                <w:szCs w:val="24"/>
                <w:u w:val="single"/>
                <w14:textFill>
                  <w14:solidFill>
                    <w14:schemeClr w14:val="tx1"/>
                  </w14:solidFill>
                </w14:textFill>
              </w:rPr>
              <w:t>内蒙古银行呼和浩特满达支行</w:t>
            </w:r>
          </w:p>
        </w:tc>
      </w:tr>
      <w:tr w14:paraId="1BF5D5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98" w:hRule="atLeast"/>
        </w:trPr>
        <w:tc>
          <w:tcPr>
            <w:tcW w:w="4260" w:type="dxa"/>
            <w:tcBorders>
              <w:tl2br w:val="nil"/>
              <w:tr2bl w:val="nil"/>
            </w:tcBorders>
            <w:shd w:val="clear" w:color="auto" w:fill="FFFFFF" w:themeFill="background1"/>
            <w:vAlign w:val="top"/>
          </w:tcPr>
          <w:p w14:paraId="34708855">
            <w:pPr>
              <w:pStyle w:val="2"/>
              <w:rPr>
                <w:rFonts w:hint="eastAsia" w:ascii="仿宋_GB2312" w:hAnsi="宋体" w:eastAsia="仿宋_GB2312" w:cs="Times New Roman"/>
                <w:color w:val="000000" w:themeColor="text1"/>
                <w:kern w:val="2"/>
                <w:sz w:val="24"/>
                <w:szCs w:val="24"/>
                <w:lang w:val="en-US" w:eastAsia="zh-CN" w:bidi="ar-SA"/>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账号：</w:t>
            </w:r>
            <w:r>
              <w:rPr>
                <w:rFonts w:hint="eastAsia" w:ascii="宋体" w:hAnsi="宋体" w:eastAsia="宋体" w:cs="宋体"/>
                <w:color w:val="000000" w:themeColor="text1"/>
                <w:sz w:val="24"/>
                <w:szCs w:val="36"/>
                <w:u w:val="single"/>
                <w14:textFill>
                  <w14:solidFill>
                    <w14:schemeClr w14:val="tx1"/>
                  </w14:solidFill>
                </w14:textFill>
              </w:rPr>
              <w:t>110946919610501</w:t>
            </w:r>
          </w:p>
        </w:tc>
        <w:tc>
          <w:tcPr>
            <w:tcW w:w="4260" w:type="dxa"/>
            <w:tcBorders>
              <w:tl2br w:val="nil"/>
              <w:tr2bl w:val="nil"/>
            </w:tcBorders>
            <w:shd w:val="clear" w:color="auto" w:fill="FFFFFF" w:themeFill="background1"/>
            <w:vAlign w:val="top"/>
          </w:tcPr>
          <w:p w14:paraId="074457AE">
            <w:pPr>
              <w:pStyle w:val="2"/>
              <w:rPr>
                <w:rFonts w:hint="eastAsia"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账号：</w:t>
            </w:r>
            <w:r>
              <w:rPr>
                <w:rFonts w:hint="eastAsia" w:ascii="仿宋_GB2312" w:eastAsia="仿宋_GB2312" w:hAnsiTheme="minorEastAsia"/>
                <w:color w:val="000000" w:themeColor="text1"/>
                <w:sz w:val="24"/>
                <w:szCs w:val="24"/>
                <w:u w:val="single"/>
                <w14:textFill>
                  <w14:solidFill>
                    <w14:schemeClr w14:val="tx1"/>
                  </w14:solidFill>
                </w14:textFill>
              </w:rPr>
              <w:t>106401201050112046</w:t>
            </w:r>
          </w:p>
        </w:tc>
      </w:tr>
      <w:tr w14:paraId="213ADB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995" w:hRule="atLeast"/>
        </w:trPr>
        <w:tc>
          <w:tcPr>
            <w:tcW w:w="4260" w:type="dxa"/>
            <w:tcBorders>
              <w:tl2br w:val="nil"/>
              <w:tr2bl w:val="nil"/>
            </w:tcBorders>
            <w:shd w:val="clear" w:color="auto" w:fill="FFFFFF" w:themeFill="background1"/>
            <w:vAlign w:val="top"/>
          </w:tcPr>
          <w:p w14:paraId="582262D9">
            <w:pPr>
              <w:pStyle w:val="2"/>
              <w:rPr>
                <w:rFonts w:hint="eastAsia"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统一社会信用代码：</w:t>
            </w:r>
          </w:p>
          <w:p w14:paraId="5E7AA8DA">
            <w:pPr>
              <w:pStyle w:val="2"/>
              <w:rPr>
                <w:rFonts w:hint="eastAsia" w:ascii="仿宋_GB2312" w:hAnsi="宋体" w:eastAsia="仿宋_GB2312" w:cs="Times New Roman"/>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36"/>
                <w:u w:val="single"/>
                <w14:textFill>
                  <w14:solidFill>
                    <w14:schemeClr w14:val="tx1"/>
                  </w14:solidFill>
                </w14:textFill>
              </w:rPr>
              <w:t>91110108596007659D</w:t>
            </w:r>
          </w:p>
        </w:tc>
        <w:tc>
          <w:tcPr>
            <w:tcW w:w="4260" w:type="dxa"/>
            <w:tcBorders>
              <w:tl2br w:val="nil"/>
              <w:tr2bl w:val="nil"/>
            </w:tcBorders>
            <w:shd w:val="clear" w:color="auto" w:fill="FFFFFF" w:themeFill="background1"/>
            <w:vAlign w:val="top"/>
          </w:tcPr>
          <w:p w14:paraId="794F10A0">
            <w:pPr>
              <w:pStyle w:val="2"/>
              <w:rPr>
                <w:rFonts w:hint="eastAsia"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统一社会信用代码：</w:t>
            </w:r>
          </w:p>
          <w:p w14:paraId="063C9E91">
            <w:pPr>
              <w:pStyle w:val="2"/>
              <w:rPr>
                <w:rFonts w:hint="eastAsia" w:ascii="仿宋_GB2312" w:hAnsi="宋体" w:eastAsia="仿宋_GB2312"/>
                <w:color w:val="000000" w:themeColor="text1"/>
                <w:sz w:val="24"/>
                <w14:textFill>
                  <w14:solidFill>
                    <w14:schemeClr w14:val="tx1"/>
                  </w14:solidFill>
                </w14:textFill>
              </w:rPr>
            </w:pPr>
            <w:r>
              <w:rPr>
                <w:rFonts w:hint="eastAsia" w:ascii="仿宋_GB2312" w:eastAsia="仿宋_GB2312" w:hAnsiTheme="minorEastAsia"/>
                <w:color w:val="000000" w:themeColor="text1"/>
                <w:sz w:val="24"/>
                <w:szCs w:val="24"/>
                <w:u w:val="single"/>
                <w14:textFill>
                  <w14:solidFill>
                    <w14:schemeClr w14:val="tx1"/>
                  </w14:solidFill>
                </w14:textFill>
              </w:rPr>
              <w:t>911501027678798745</w:t>
            </w:r>
          </w:p>
        </w:tc>
      </w:tr>
      <w:tr w14:paraId="0EF2A1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98" w:hRule="atLeast"/>
        </w:trPr>
        <w:tc>
          <w:tcPr>
            <w:tcW w:w="4260" w:type="dxa"/>
            <w:tcBorders>
              <w:tl2br w:val="nil"/>
              <w:tr2bl w:val="nil"/>
            </w:tcBorders>
            <w:shd w:val="clear" w:color="auto" w:fill="FFFFFF" w:themeFill="background1"/>
            <w:vAlign w:val="top"/>
          </w:tcPr>
          <w:p w14:paraId="4A7C9D65">
            <w:pPr>
              <w:pStyle w:val="2"/>
              <w:rPr>
                <w:rFonts w:hint="default" w:ascii="仿宋_GB2312" w:hAnsi="宋体" w:eastAsia="仿宋_GB2312" w:cs="Times New Roman"/>
                <w:color w:val="000000" w:themeColor="text1"/>
                <w:kern w:val="2"/>
                <w:sz w:val="24"/>
                <w:szCs w:val="24"/>
                <w:lang w:val="en-US" w:eastAsia="zh-CN" w:bidi="ar-SA"/>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经办人：</w:t>
            </w:r>
            <w:r>
              <w:rPr>
                <w:rFonts w:hint="eastAsia" w:ascii="仿宋_GB2312" w:hAnsi="宋体" w:eastAsia="仿宋_GB2312"/>
                <w:color w:val="000000" w:themeColor="text1"/>
                <w:sz w:val="24"/>
                <w:lang w:val="en-US" w:eastAsia="zh-CN"/>
                <w14:textFill>
                  <w14:solidFill>
                    <w14:schemeClr w14:val="tx1"/>
                  </w14:solidFill>
                </w14:textFill>
              </w:rPr>
              <w:t>胡乐怡</w:t>
            </w:r>
          </w:p>
        </w:tc>
        <w:tc>
          <w:tcPr>
            <w:tcW w:w="4260" w:type="dxa"/>
            <w:tcBorders>
              <w:tl2br w:val="nil"/>
              <w:tr2bl w:val="nil"/>
            </w:tcBorders>
            <w:shd w:val="clear" w:color="auto" w:fill="FFFFFF" w:themeFill="background1"/>
            <w:vAlign w:val="top"/>
          </w:tcPr>
          <w:p w14:paraId="33699AFB">
            <w:pPr>
              <w:pStyle w:val="2"/>
              <w:rPr>
                <w:rFonts w:hint="eastAsia"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经办人：</w:t>
            </w:r>
            <w:r>
              <w:rPr>
                <w:rFonts w:hint="eastAsia" w:ascii="仿宋_GB2312" w:hAnsi="宋体" w:eastAsia="仿宋_GB2312"/>
                <w:color w:val="000000" w:themeColor="text1"/>
                <w:sz w:val="24"/>
                <w:lang w:val="en-US" w:eastAsia="zh-CN"/>
                <w14:textFill>
                  <w14:solidFill>
                    <w14:schemeClr w14:val="tx1"/>
                  </w14:solidFill>
                </w14:textFill>
              </w:rPr>
              <w:t>巴信荣</w:t>
            </w:r>
          </w:p>
        </w:tc>
      </w:tr>
      <w:tr w14:paraId="42C62F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98" w:hRule="atLeast"/>
        </w:trPr>
        <w:tc>
          <w:tcPr>
            <w:tcW w:w="4260" w:type="dxa"/>
            <w:tcBorders>
              <w:tl2br w:val="nil"/>
              <w:tr2bl w:val="nil"/>
            </w:tcBorders>
            <w:shd w:val="clear" w:color="auto" w:fill="FFFFFF" w:themeFill="background1"/>
            <w:vAlign w:val="top"/>
          </w:tcPr>
          <w:p w14:paraId="36361367">
            <w:pPr>
              <w:pStyle w:val="2"/>
              <w:rPr>
                <w:rFonts w:hint="default" w:ascii="仿宋_GB2312" w:hAnsi="宋体" w:eastAsia="仿宋_GB2312" w:cs="Times New Roman"/>
                <w:color w:val="000000" w:themeColor="text1"/>
                <w:kern w:val="2"/>
                <w:sz w:val="24"/>
                <w:szCs w:val="24"/>
                <w:lang w:val="en-US" w:eastAsia="zh-CN" w:bidi="ar-SA"/>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电话：</w:t>
            </w:r>
            <w:r>
              <w:rPr>
                <w:rFonts w:hint="eastAsia" w:ascii="仿宋_GB2312" w:hAnsi="宋体" w:eastAsia="仿宋_GB2312"/>
                <w:color w:val="000000" w:themeColor="text1"/>
                <w:sz w:val="24"/>
                <w:u w:val="single"/>
                <w:lang w:val="en-US" w:eastAsia="zh-CN"/>
                <w14:textFill>
                  <w14:solidFill>
                    <w14:schemeClr w14:val="tx1"/>
                  </w14:solidFill>
                </w14:textFill>
              </w:rPr>
              <w:t>17800126617</w:t>
            </w:r>
          </w:p>
        </w:tc>
        <w:tc>
          <w:tcPr>
            <w:tcW w:w="4260" w:type="dxa"/>
            <w:tcBorders>
              <w:tl2br w:val="nil"/>
              <w:tr2bl w:val="nil"/>
            </w:tcBorders>
            <w:shd w:val="clear" w:color="auto" w:fill="FFFFFF" w:themeFill="background1"/>
            <w:vAlign w:val="top"/>
          </w:tcPr>
          <w:p w14:paraId="6E5B1EE5">
            <w:pPr>
              <w:pStyle w:val="2"/>
              <w:rPr>
                <w:rFonts w:hint="eastAsia"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电话：</w:t>
            </w:r>
            <w:r>
              <w:rPr>
                <w:rFonts w:hint="eastAsia" w:ascii="仿宋_GB2312" w:hAnsi="宋体" w:eastAsia="仿宋_GB2312"/>
                <w:color w:val="000000" w:themeColor="text1"/>
                <w:sz w:val="24"/>
                <w:u w:val="single"/>
                <w:lang w:val="en-US" w:eastAsia="zh-CN"/>
                <w14:textFill>
                  <w14:solidFill>
                    <w14:schemeClr w14:val="tx1"/>
                  </w14:solidFill>
                </w14:textFill>
              </w:rPr>
              <w:t>15847168188</w:t>
            </w:r>
          </w:p>
        </w:tc>
      </w:tr>
      <w:tr w14:paraId="478D58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98" w:hRule="atLeast"/>
        </w:trPr>
        <w:tc>
          <w:tcPr>
            <w:tcW w:w="4260" w:type="dxa"/>
            <w:tcBorders>
              <w:tl2br w:val="nil"/>
              <w:tr2bl w:val="nil"/>
            </w:tcBorders>
            <w:shd w:val="clear" w:color="auto" w:fill="FFFFFF" w:themeFill="background1"/>
            <w:vAlign w:val="top"/>
          </w:tcPr>
          <w:p w14:paraId="34A50626">
            <w:pPr>
              <w:pStyle w:val="2"/>
              <w:rPr>
                <w:rFonts w:hint="default" w:ascii="仿宋_GB2312" w:hAnsi="宋体" w:eastAsia="仿宋_GB2312" w:cs="Times New Roman"/>
                <w:color w:val="000000" w:themeColor="text1"/>
                <w:kern w:val="2"/>
                <w:sz w:val="24"/>
                <w:szCs w:val="24"/>
                <w:lang w:val="en-US" w:eastAsia="zh-CN" w:bidi="ar-SA"/>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邮箱：</w:t>
            </w:r>
            <w:r>
              <w:rPr>
                <w:rFonts w:hint="eastAsia" w:ascii="仿宋_GB2312" w:hAnsi="宋体" w:eastAsia="仿宋_GB2312"/>
                <w:color w:val="000000" w:themeColor="text1"/>
                <w:sz w:val="24"/>
                <w:lang w:val="en-US" w:eastAsia="zh-CN"/>
                <w14:textFill>
                  <w14:solidFill>
                    <w14:schemeClr w14:val="tx1"/>
                  </w14:solidFill>
                </w14:textFill>
              </w:rPr>
              <w:t>2482781993@qq.com</w:t>
            </w:r>
          </w:p>
        </w:tc>
        <w:tc>
          <w:tcPr>
            <w:tcW w:w="4260" w:type="dxa"/>
            <w:tcBorders>
              <w:tl2br w:val="nil"/>
              <w:tr2bl w:val="nil"/>
            </w:tcBorders>
            <w:shd w:val="clear" w:color="auto" w:fill="FFFFFF" w:themeFill="background1"/>
            <w:vAlign w:val="top"/>
          </w:tcPr>
          <w:p w14:paraId="355253F3">
            <w:pPr>
              <w:pStyle w:val="2"/>
              <w:rPr>
                <w:rFonts w:hint="eastAsia"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邮箱：mkt@ceeye.com</w:t>
            </w:r>
          </w:p>
        </w:tc>
      </w:tr>
      <w:tr w14:paraId="6AEF54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98" w:hRule="atLeast"/>
        </w:trPr>
        <w:tc>
          <w:tcPr>
            <w:tcW w:w="4260" w:type="dxa"/>
            <w:tcBorders>
              <w:tl2br w:val="nil"/>
              <w:tr2bl w:val="nil"/>
            </w:tcBorders>
            <w:shd w:val="clear" w:color="auto" w:fill="FFFFFF" w:themeFill="background1"/>
            <w:vAlign w:val="top"/>
          </w:tcPr>
          <w:p w14:paraId="29D39F54">
            <w:pPr>
              <w:pStyle w:val="2"/>
              <w:rPr>
                <w:rFonts w:hint="eastAsia" w:ascii="仿宋_GB2312" w:hAnsi="宋体" w:eastAsia="仿宋_GB2312" w:cs="Times New Roman"/>
                <w:color w:val="000000" w:themeColor="text1"/>
                <w:kern w:val="2"/>
                <w:sz w:val="24"/>
                <w:szCs w:val="24"/>
                <w:lang w:val="en-US" w:eastAsia="zh-CN" w:bidi="ar-SA"/>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日期：      年   月   日</w:t>
            </w:r>
          </w:p>
        </w:tc>
        <w:tc>
          <w:tcPr>
            <w:tcW w:w="4260" w:type="dxa"/>
            <w:tcBorders>
              <w:tl2br w:val="nil"/>
              <w:tr2bl w:val="nil"/>
            </w:tcBorders>
            <w:shd w:val="clear" w:color="auto" w:fill="FFFFFF" w:themeFill="background1"/>
            <w:vAlign w:val="top"/>
          </w:tcPr>
          <w:p w14:paraId="2687916C">
            <w:pPr>
              <w:pStyle w:val="2"/>
              <w:rPr>
                <w:rFonts w:hint="eastAsia"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日期：      年   月   日</w:t>
            </w:r>
          </w:p>
        </w:tc>
      </w:tr>
    </w:tbl>
    <w:p w14:paraId="27B47F33">
      <w:pPr>
        <w:pStyle w:val="2"/>
        <w:rPr>
          <w:rFonts w:ascii="仿宋_GB2312" w:hAnsi="宋体" w:eastAsia="仿宋_GB2312"/>
        </w:rPr>
      </w:pPr>
    </w:p>
    <w:p w14:paraId="7EAD0B2E">
      <w:pPr>
        <w:spacing w:line="500" w:lineRule="exact"/>
        <w:rPr>
          <w:rFonts w:ascii="仿宋_GB2312" w:hAnsi="宋体" w:eastAsia="仿宋_GB2312"/>
          <w:sz w:val="24"/>
        </w:rPr>
      </w:pPr>
      <w:r>
        <w:rPr>
          <w:rFonts w:hint="eastAsia" w:ascii="仿宋_GB2312" w:hAnsi="宋体" w:eastAsia="仿宋_GB2312"/>
          <w:sz w:val="24"/>
        </w:rPr>
        <w:t>附件：</w:t>
      </w:r>
    </w:p>
    <w:p w14:paraId="40A1DDE7">
      <w:pPr>
        <w:spacing w:line="500" w:lineRule="exact"/>
        <w:rPr>
          <w:rFonts w:ascii="宋体" w:hAnsi="宋体"/>
          <w:b/>
          <w:sz w:val="24"/>
        </w:rPr>
      </w:pPr>
      <w:r>
        <w:rPr>
          <w:rFonts w:hint="eastAsia" w:ascii="宋体" w:hAnsi="宋体"/>
          <w:b/>
          <w:sz w:val="24"/>
        </w:rPr>
        <w:t>附件《门户网站维保服务内容》</w:t>
      </w:r>
    </w:p>
    <w:p w14:paraId="48FFAD4A">
      <w:pPr>
        <w:spacing w:line="500" w:lineRule="exact"/>
        <w:rPr>
          <w:rFonts w:ascii="宋体" w:hAnsi="宋体"/>
          <w:b/>
          <w:sz w:val="24"/>
        </w:rPr>
      </w:pPr>
      <w:r>
        <w:rPr>
          <w:rFonts w:hint="eastAsia" w:ascii="宋体" w:hAnsi="宋体"/>
          <w:b/>
          <w:sz w:val="24"/>
        </w:rPr>
        <w:t>本次维保服务的</w:t>
      </w:r>
      <w:r>
        <w:rPr>
          <w:rFonts w:hint="eastAsia" w:ascii="宋体" w:hAnsi="宋体"/>
          <w:b/>
          <w:sz w:val="24"/>
          <w:lang w:val="en-US" w:eastAsia="zh-CN"/>
        </w:rPr>
        <w:t>内容为</w:t>
      </w:r>
      <w:r>
        <w:rPr>
          <w:rFonts w:hint="eastAsia" w:ascii="宋体" w:hAnsi="宋体"/>
          <w:b/>
          <w:sz w:val="24"/>
        </w:rPr>
        <w:t>内蒙古昆明卷烟有限责任公司的门户网站（含党建专题）</w:t>
      </w:r>
    </w:p>
    <w:tbl>
      <w:tblPr>
        <w:tblStyle w:val="5"/>
        <w:tblW w:w="80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1"/>
        <w:gridCol w:w="1530"/>
        <w:gridCol w:w="5854"/>
      </w:tblGrid>
      <w:tr w14:paraId="115C8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1" w:type="dxa"/>
            <w:shd w:val="clear" w:color="auto" w:fill="DCE6F2"/>
            <w:noWrap w:val="0"/>
            <w:vAlign w:val="top"/>
          </w:tcPr>
          <w:p w14:paraId="5F66D1E3">
            <w:pPr>
              <w:tabs>
                <w:tab w:val="left" w:pos="630"/>
              </w:tabs>
              <w:spacing w:line="360" w:lineRule="auto"/>
              <w:jc w:val="center"/>
              <w:rPr>
                <w:rFonts w:ascii="宋体" w:hAnsi="宋体"/>
                <w:b/>
                <w:bCs/>
                <w:sz w:val="24"/>
              </w:rPr>
            </w:pPr>
            <w:r>
              <w:rPr>
                <w:rFonts w:hint="eastAsia" w:ascii="宋体" w:hAnsi="宋体"/>
                <w:b/>
                <w:bCs/>
                <w:sz w:val="24"/>
              </w:rPr>
              <w:t>序号</w:t>
            </w:r>
          </w:p>
        </w:tc>
        <w:tc>
          <w:tcPr>
            <w:tcW w:w="1530" w:type="dxa"/>
            <w:shd w:val="clear" w:color="auto" w:fill="DCE6F2"/>
            <w:noWrap w:val="0"/>
            <w:vAlign w:val="top"/>
          </w:tcPr>
          <w:p w14:paraId="30B12315">
            <w:pPr>
              <w:tabs>
                <w:tab w:val="left" w:pos="630"/>
              </w:tabs>
              <w:spacing w:line="360" w:lineRule="auto"/>
              <w:jc w:val="center"/>
              <w:rPr>
                <w:rFonts w:ascii="宋体" w:hAnsi="宋体"/>
                <w:b/>
                <w:bCs/>
                <w:sz w:val="24"/>
              </w:rPr>
            </w:pPr>
            <w:r>
              <w:rPr>
                <w:rFonts w:hint="eastAsia" w:ascii="宋体" w:hAnsi="宋体"/>
                <w:b/>
                <w:bCs/>
                <w:sz w:val="24"/>
              </w:rPr>
              <w:t>服务内容</w:t>
            </w:r>
          </w:p>
        </w:tc>
        <w:tc>
          <w:tcPr>
            <w:tcW w:w="5854" w:type="dxa"/>
            <w:shd w:val="clear" w:color="auto" w:fill="DCE6F2"/>
            <w:noWrap w:val="0"/>
            <w:vAlign w:val="top"/>
          </w:tcPr>
          <w:p w14:paraId="1ACE9A2B">
            <w:pPr>
              <w:tabs>
                <w:tab w:val="left" w:pos="630"/>
              </w:tabs>
              <w:spacing w:line="360" w:lineRule="auto"/>
              <w:jc w:val="center"/>
              <w:rPr>
                <w:rFonts w:ascii="宋体" w:hAnsi="宋体"/>
                <w:b/>
                <w:bCs/>
                <w:sz w:val="24"/>
              </w:rPr>
            </w:pPr>
            <w:r>
              <w:rPr>
                <w:rFonts w:hint="eastAsia" w:ascii="宋体" w:hAnsi="宋体"/>
                <w:b/>
                <w:bCs/>
                <w:sz w:val="24"/>
              </w:rPr>
              <w:t>描述</w:t>
            </w:r>
          </w:p>
        </w:tc>
      </w:tr>
      <w:tr w14:paraId="25D37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1" w:type="dxa"/>
            <w:noWrap w:val="0"/>
            <w:vAlign w:val="center"/>
          </w:tcPr>
          <w:p w14:paraId="6E603D9C">
            <w:pPr>
              <w:tabs>
                <w:tab w:val="left" w:pos="630"/>
              </w:tabs>
              <w:spacing w:line="360" w:lineRule="auto"/>
              <w:jc w:val="center"/>
              <w:rPr>
                <w:rFonts w:ascii="宋体" w:hAnsi="宋体"/>
                <w:sz w:val="24"/>
              </w:rPr>
            </w:pPr>
            <w:r>
              <w:rPr>
                <w:rFonts w:hint="eastAsia" w:ascii="宋体" w:hAnsi="宋体"/>
                <w:sz w:val="24"/>
              </w:rPr>
              <w:t>1</w:t>
            </w:r>
          </w:p>
        </w:tc>
        <w:tc>
          <w:tcPr>
            <w:tcW w:w="1530" w:type="dxa"/>
            <w:noWrap w:val="0"/>
            <w:vAlign w:val="center"/>
          </w:tcPr>
          <w:p w14:paraId="4C63521A">
            <w:pPr>
              <w:tabs>
                <w:tab w:val="left" w:pos="630"/>
              </w:tabs>
              <w:spacing w:line="360" w:lineRule="auto"/>
              <w:jc w:val="center"/>
              <w:rPr>
                <w:rFonts w:ascii="宋体" w:hAnsi="宋体"/>
                <w:sz w:val="24"/>
              </w:rPr>
            </w:pPr>
            <w:r>
              <w:rPr>
                <w:rFonts w:hint="eastAsia" w:ascii="宋体" w:hAnsi="宋体"/>
                <w:sz w:val="24"/>
              </w:rPr>
              <w:t>内容运维</w:t>
            </w:r>
          </w:p>
        </w:tc>
        <w:tc>
          <w:tcPr>
            <w:tcW w:w="5854" w:type="dxa"/>
            <w:noWrap w:val="0"/>
            <w:vAlign w:val="top"/>
          </w:tcPr>
          <w:p w14:paraId="7ED86981">
            <w:pPr>
              <w:tabs>
                <w:tab w:val="left" w:pos="630"/>
              </w:tabs>
              <w:spacing w:line="360" w:lineRule="auto"/>
              <w:rPr>
                <w:rFonts w:ascii="宋体" w:hAnsi="宋体"/>
                <w:sz w:val="24"/>
              </w:rPr>
            </w:pPr>
            <w:r>
              <w:rPr>
                <w:rFonts w:hint="eastAsia" w:ascii="宋体" w:hAnsi="宋体"/>
                <w:sz w:val="24"/>
              </w:rPr>
              <w:t>包括网站内容修改、发布、删除、格式调整等。</w:t>
            </w:r>
          </w:p>
        </w:tc>
      </w:tr>
      <w:tr w14:paraId="002C6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1" w:type="dxa"/>
            <w:noWrap w:val="0"/>
            <w:vAlign w:val="center"/>
          </w:tcPr>
          <w:p w14:paraId="4301ACB5">
            <w:pPr>
              <w:tabs>
                <w:tab w:val="left" w:pos="630"/>
              </w:tabs>
              <w:spacing w:line="360" w:lineRule="auto"/>
              <w:jc w:val="center"/>
              <w:rPr>
                <w:rFonts w:ascii="宋体" w:hAnsi="宋体"/>
                <w:sz w:val="24"/>
              </w:rPr>
            </w:pPr>
            <w:r>
              <w:rPr>
                <w:rFonts w:hint="eastAsia" w:ascii="宋体" w:hAnsi="宋体"/>
                <w:sz w:val="24"/>
              </w:rPr>
              <w:t>2</w:t>
            </w:r>
          </w:p>
        </w:tc>
        <w:tc>
          <w:tcPr>
            <w:tcW w:w="1530" w:type="dxa"/>
            <w:noWrap w:val="0"/>
            <w:vAlign w:val="center"/>
          </w:tcPr>
          <w:p w14:paraId="64EF2F6E">
            <w:pPr>
              <w:tabs>
                <w:tab w:val="left" w:pos="630"/>
              </w:tabs>
              <w:spacing w:line="360" w:lineRule="auto"/>
              <w:jc w:val="center"/>
              <w:rPr>
                <w:rFonts w:ascii="宋体" w:hAnsi="宋体"/>
                <w:sz w:val="24"/>
              </w:rPr>
            </w:pPr>
            <w:r>
              <w:rPr>
                <w:rFonts w:hint="eastAsia" w:ascii="宋体" w:hAnsi="宋体"/>
                <w:sz w:val="24"/>
              </w:rPr>
              <w:t>页面运维</w:t>
            </w:r>
          </w:p>
        </w:tc>
        <w:tc>
          <w:tcPr>
            <w:tcW w:w="5854" w:type="dxa"/>
            <w:noWrap w:val="0"/>
            <w:vAlign w:val="top"/>
          </w:tcPr>
          <w:p w14:paraId="29D98C61">
            <w:pPr>
              <w:tabs>
                <w:tab w:val="left" w:pos="630"/>
              </w:tabs>
              <w:spacing w:line="360" w:lineRule="auto"/>
              <w:rPr>
                <w:rFonts w:ascii="宋体" w:hAnsi="宋体" w:cs="宋体"/>
                <w:color w:val="FF0000"/>
              </w:rPr>
            </w:pPr>
            <w:r>
              <w:rPr>
                <w:rFonts w:hint="eastAsia" w:ascii="宋体" w:hAnsi="宋体"/>
                <w:sz w:val="24"/>
              </w:rPr>
              <w:t>在不改变或少改变网站整体页面布局的前提下，提供网站局部页面调整服务，包括页面样式修改、图片设计、飘窗制作、动画效果修改等。</w:t>
            </w:r>
          </w:p>
        </w:tc>
      </w:tr>
      <w:tr w14:paraId="2354B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1" w:type="dxa"/>
            <w:noWrap w:val="0"/>
            <w:vAlign w:val="center"/>
          </w:tcPr>
          <w:p w14:paraId="4D1E8318">
            <w:pPr>
              <w:tabs>
                <w:tab w:val="left" w:pos="630"/>
              </w:tabs>
              <w:spacing w:line="360" w:lineRule="auto"/>
              <w:jc w:val="center"/>
              <w:rPr>
                <w:rFonts w:ascii="宋体" w:hAnsi="宋体"/>
                <w:sz w:val="24"/>
              </w:rPr>
            </w:pPr>
            <w:r>
              <w:rPr>
                <w:rFonts w:hint="eastAsia" w:ascii="宋体" w:hAnsi="宋体"/>
                <w:sz w:val="24"/>
              </w:rPr>
              <w:t>3</w:t>
            </w:r>
          </w:p>
        </w:tc>
        <w:tc>
          <w:tcPr>
            <w:tcW w:w="1530" w:type="dxa"/>
            <w:noWrap w:val="0"/>
            <w:vAlign w:val="center"/>
          </w:tcPr>
          <w:p w14:paraId="5B34115F">
            <w:pPr>
              <w:tabs>
                <w:tab w:val="left" w:pos="630"/>
              </w:tabs>
              <w:spacing w:line="360" w:lineRule="auto"/>
              <w:jc w:val="center"/>
              <w:rPr>
                <w:rFonts w:ascii="宋体" w:hAnsi="宋体"/>
                <w:sz w:val="24"/>
              </w:rPr>
            </w:pPr>
            <w:r>
              <w:rPr>
                <w:rFonts w:hint="eastAsia" w:ascii="宋体" w:hAnsi="宋体"/>
                <w:sz w:val="24"/>
              </w:rPr>
              <w:t>栏目运维</w:t>
            </w:r>
          </w:p>
        </w:tc>
        <w:tc>
          <w:tcPr>
            <w:tcW w:w="5854" w:type="dxa"/>
            <w:noWrap w:val="0"/>
            <w:vAlign w:val="top"/>
          </w:tcPr>
          <w:p w14:paraId="3C061E58">
            <w:pPr>
              <w:tabs>
                <w:tab w:val="left" w:pos="630"/>
              </w:tabs>
              <w:spacing w:line="360" w:lineRule="auto"/>
              <w:rPr>
                <w:rFonts w:ascii="宋体" w:hAnsi="宋体"/>
                <w:sz w:val="24"/>
              </w:rPr>
            </w:pPr>
            <w:r>
              <w:rPr>
                <w:rFonts w:hint="eastAsia" w:ascii="宋体" w:hAnsi="宋体"/>
                <w:sz w:val="24"/>
              </w:rPr>
              <w:t>提供网站栏目新建、删除、修改服务。</w:t>
            </w:r>
          </w:p>
        </w:tc>
      </w:tr>
      <w:tr w14:paraId="386FB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1" w:type="dxa"/>
            <w:noWrap w:val="0"/>
            <w:vAlign w:val="center"/>
          </w:tcPr>
          <w:p w14:paraId="189F842E">
            <w:pPr>
              <w:tabs>
                <w:tab w:val="left" w:pos="630"/>
              </w:tabs>
              <w:spacing w:line="360" w:lineRule="auto"/>
              <w:jc w:val="center"/>
              <w:rPr>
                <w:rFonts w:ascii="宋体" w:hAnsi="宋体"/>
                <w:sz w:val="24"/>
              </w:rPr>
            </w:pPr>
            <w:r>
              <w:rPr>
                <w:rFonts w:hint="eastAsia" w:ascii="宋体" w:hAnsi="宋体"/>
                <w:sz w:val="24"/>
              </w:rPr>
              <w:t>4</w:t>
            </w:r>
          </w:p>
        </w:tc>
        <w:tc>
          <w:tcPr>
            <w:tcW w:w="1530" w:type="dxa"/>
            <w:noWrap w:val="0"/>
            <w:vAlign w:val="center"/>
          </w:tcPr>
          <w:p w14:paraId="3D3C6722">
            <w:pPr>
              <w:tabs>
                <w:tab w:val="left" w:pos="630"/>
              </w:tabs>
              <w:spacing w:line="360" w:lineRule="auto"/>
              <w:jc w:val="center"/>
              <w:rPr>
                <w:rFonts w:ascii="宋体" w:hAnsi="宋体"/>
                <w:sz w:val="24"/>
              </w:rPr>
            </w:pPr>
            <w:r>
              <w:rPr>
                <w:rFonts w:hint="eastAsia" w:ascii="宋体" w:hAnsi="宋体"/>
                <w:sz w:val="24"/>
              </w:rPr>
              <w:t>漏洞修复</w:t>
            </w:r>
          </w:p>
        </w:tc>
        <w:tc>
          <w:tcPr>
            <w:tcW w:w="5854" w:type="dxa"/>
            <w:noWrap w:val="0"/>
            <w:vAlign w:val="top"/>
          </w:tcPr>
          <w:p w14:paraId="3E1111D2">
            <w:pPr>
              <w:tabs>
                <w:tab w:val="left" w:pos="630"/>
              </w:tabs>
              <w:spacing w:line="360" w:lineRule="auto"/>
              <w:rPr>
                <w:rFonts w:ascii="宋体" w:hAnsi="宋体"/>
                <w:sz w:val="24"/>
              </w:rPr>
            </w:pPr>
            <w:r>
              <w:rPr>
                <w:rFonts w:hint="eastAsia" w:ascii="宋体" w:hAnsi="宋体"/>
                <w:sz w:val="24"/>
              </w:rPr>
              <w:t>根据各上级监管部门的安全漏洞通报文件对门户网站存在的安全漏洞进行修复。</w:t>
            </w:r>
          </w:p>
        </w:tc>
      </w:tr>
      <w:tr w14:paraId="13D30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1" w:type="dxa"/>
            <w:noWrap w:val="0"/>
            <w:vAlign w:val="center"/>
          </w:tcPr>
          <w:p w14:paraId="4F4697B7">
            <w:pPr>
              <w:tabs>
                <w:tab w:val="left" w:pos="630"/>
              </w:tabs>
              <w:spacing w:line="360" w:lineRule="auto"/>
              <w:jc w:val="center"/>
              <w:rPr>
                <w:rFonts w:ascii="宋体" w:hAnsi="宋体"/>
                <w:sz w:val="24"/>
              </w:rPr>
            </w:pPr>
            <w:r>
              <w:rPr>
                <w:rFonts w:hint="eastAsia" w:ascii="宋体" w:hAnsi="宋体"/>
                <w:sz w:val="24"/>
              </w:rPr>
              <w:t>5</w:t>
            </w:r>
          </w:p>
        </w:tc>
        <w:tc>
          <w:tcPr>
            <w:tcW w:w="1530" w:type="dxa"/>
            <w:noWrap w:val="0"/>
            <w:vAlign w:val="center"/>
          </w:tcPr>
          <w:p w14:paraId="4E2B338A">
            <w:pPr>
              <w:tabs>
                <w:tab w:val="left" w:pos="630"/>
              </w:tabs>
              <w:spacing w:line="360" w:lineRule="auto"/>
              <w:jc w:val="center"/>
              <w:rPr>
                <w:rFonts w:ascii="宋体" w:hAnsi="宋体"/>
                <w:sz w:val="24"/>
              </w:rPr>
            </w:pPr>
            <w:r>
              <w:rPr>
                <w:rFonts w:hint="eastAsia" w:ascii="宋体" w:hAnsi="宋体"/>
                <w:sz w:val="24"/>
              </w:rPr>
              <w:t>敏感词处理</w:t>
            </w:r>
          </w:p>
        </w:tc>
        <w:tc>
          <w:tcPr>
            <w:tcW w:w="5854" w:type="dxa"/>
            <w:noWrap w:val="0"/>
            <w:vAlign w:val="top"/>
          </w:tcPr>
          <w:p w14:paraId="2ADC3457">
            <w:pPr>
              <w:tabs>
                <w:tab w:val="left" w:pos="630"/>
              </w:tabs>
              <w:spacing w:line="360" w:lineRule="auto"/>
              <w:rPr>
                <w:rFonts w:ascii="宋体" w:hAnsi="宋体"/>
                <w:sz w:val="24"/>
              </w:rPr>
            </w:pPr>
            <w:r>
              <w:rPr>
                <w:rFonts w:hint="eastAsia" w:ascii="宋体" w:hAnsi="宋体"/>
                <w:sz w:val="24"/>
              </w:rPr>
              <w:t>根据各上级监管部门的要求和文件，对整站敏感词信息进行排查处理。</w:t>
            </w:r>
          </w:p>
        </w:tc>
      </w:tr>
      <w:tr w14:paraId="39ED5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1" w:type="dxa"/>
            <w:noWrap w:val="0"/>
            <w:vAlign w:val="center"/>
          </w:tcPr>
          <w:p w14:paraId="767BD538">
            <w:pPr>
              <w:tabs>
                <w:tab w:val="left" w:pos="630"/>
              </w:tabs>
              <w:spacing w:line="360" w:lineRule="auto"/>
              <w:jc w:val="center"/>
              <w:rPr>
                <w:rFonts w:ascii="宋体" w:hAnsi="宋体"/>
                <w:sz w:val="24"/>
              </w:rPr>
            </w:pPr>
            <w:r>
              <w:rPr>
                <w:rFonts w:hint="eastAsia" w:ascii="宋体" w:hAnsi="宋体"/>
                <w:sz w:val="24"/>
              </w:rPr>
              <w:t>6</w:t>
            </w:r>
          </w:p>
        </w:tc>
        <w:tc>
          <w:tcPr>
            <w:tcW w:w="1530" w:type="dxa"/>
            <w:noWrap w:val="0"/>
            <w:vAlign w:val="center"/>
          </w:tcPr>
          <w:p w14:paraId="1D10E32C">
            <w:pPr>
              <w:tabs>
                <w:tab w:val="left" w:pos="630"/>
              </w:tabs>
              <w:spacing w:line="360" w:lineRule="auto"/>
              <w:jc w:val="center"/>
              <w:rPr>
                <w:rFonts w:ascii="宋体" w:hAnsi="宋体"/>
                <w:sz w:val="24"/>
              </w:rPr>
            </w:pPr>
            <w:r>
              <w:rPr>
                <w:rFonts w:hint="eastAsia" w:ascii="宋体" w:hAnsi="宋体"/>
                <w:sz w:val="24"/>
              </w:rPr>
              <w:t>数据备份</w:t>
            </w:r>
          </w:p>
        </w:tc>
        <w:tc>
          <w:tcPr>
            <w:tcW w:w="5854" w:type="dxa"/>
            <w:noWrap w:val="0"/>
            <w:vAlign w:val="top"/>
          </w:tcPr>
          <w:p w14:paraId="608A3989">
            <w:pPr>
              <w:tabs>
                <w:tab w:val="left" w:pos="630"/>
              </w:tabs>
              <w:spacing w:line="360" w:lineRule="auto"/>
              <w:rPr>
                <w:rFonts w:ascii="宋体" w:hAnsi="宋体" w:cs="宋体"/>
                <w:color w:val="FF0000"/>
              </w:rPr>
            </w:pPr>
            <w:r>
              <w:rPr>
                <w:rFonts w:hint="eastAsia" w:ascii="宋体" w:hAnsi="宋体" w:cs="宋体"/>
                <w:sz w:val="24"/>
              </w:rPr>
              <w:t>提供数据备份服务。</w:t>
            </w:r>
          </w:p>
        </w:tc>
      </w:tr>
      <w:tr w14:paraId="636EB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1" w:type="dxa"/>
            <w:noWrap w:val="0"/>
            <w:vAlign w:val="center"/>
          </w:tcPr>
          <w:p w14:paraId="6F0A9FA5">
            <w:pPr>
              <w:tabs>
                <w:tab w:val="left" w:pos="630"/>
              </w:tabs>
              <w:spacing w:line="360" w:lineRule="auto"/>
              <w:jc w:val="center"/>
              <w:rPr>
                <w:rFonts w:ascii="宋体" w:hAnsi="宋体"/>
                <w:sz w:val="24"/>
              </w:rPr>
            </w:pPr>
            <w:r>
              <w:rPr>
                <w:rFonts w:hint="eastAsia" w:ascii="宋体" w:hAnsi="宋体"/>
                <w:sz w:val="24"/>
              </w:rPr>
              <w:t>7</w:t>
            </w:r>
          </w:p>
        </w:tc>
        <w:tc>
          <w:tcPr>
            <w:tcW w:w="1530" w:type="dxa"/>
            <w:noWrap w:val="0"/>
            <w:vAlign w:val="center"/>
          </w:tcPr>
          <w:p w14:paraId="747850B5">
            <w:pPr>
              <w:tabs>
                <w:tab w:val="left" w:pos="630"/>
              </w:tabs>
              <w:spacing w:line="360" w:lineRule="auto"/>
              <w:jc w:val="center"/>
              <w:rPr>
                <w:rFonts w:ascii="宋体" w:hAnsi="宋体"/>
                <w:sz w:val="24"/>
              </w:rPr>
            </w:pPr>
            <w:r>
              <w:rPr>
                <w:rFonts w:hint="eastAsia" w:ascii="宋体" w:hAnsi="宋体"/>
                <w:sz w:val="24"/>
              </w:rPr>
              <w:t>其它运维</w:t>
            </w:r>
          </w:p>
        </w:tc>
        <w:tc>
          <w:tcPr>
            <w:tcW w:w="5854" w:type="dxa"/>
            <w:noWrap w:val="0"/>
            <w:vAlign w:val="top"/>
          </w:tcPr>
          <w:p w14:paraId="78F2F220">
            <w:pPr>
              <w:tabs>
                <w:tab w:val="left" w:pos="630"/>
              </w:tabs>
              <w:spacing w:line="360" w:lineRule="auto"/>
              <w:rPr>
                <w:rFonts w:ascii="宋体" w:hAnsi="宋体"/>
                <w:sz w:val="24"/>
              </w:rPr>
            </w:pPr>
            <w:r>
              <w:rPr>
                <w:rFonts w:hint="eastAsia" w:ascii="宋体" w:hAnsi="宋体"/>
                <w:sz w:val="24"/>
              </w:rPr>
              <w:t>确保网站正常运行，对网站无法正常访问等问题进行及时处理。</w:t>
            </w:r>
          </w:p>
        </w:tc>
      </w:tr>
      <w:tr w14:paraId="01D0D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1" w:type="dxa"/>
            <w:noWrap w:val="0"/>
            <w:vAlign w:val="center"/>
          </w:tcPr>
          <w:p w14:paraId="214006F0">
            <w:pPr>
              <w:tabs>
                <w:tab w:val="left" w:pos="630"/>
              </w:tabs>
              <w:spacing w:line="360" w:lineRule="auto"/>
              <w:jc w:val="center"/>
              <w:rPr>
                <w:rFonts w:ascii="宋体" w:hAnsi="宋体"/>
                <w:sz w:val="24"/>
              </w:rPr>
            </w:pPr>
            <w:r>
              <w:rPr>
                <w:rFonts w:hint="eastAsia" w:ascii="宋体" w:hAnsi="宋体"/>
                <w:sz w:val="24"/>
              </w:rPr>
              <w:t>8</w:t>
            </w:r>
          </w:p>
        </w:tc>
        <w:tc>
          <w:tcPr>
            <w:tcW w:w="1530" w:type="dxa"/>
            <w:noWrap w:val="0"/>
            <w:vAlign w:val="center"/>
          </w:tcPr>
          <w:p w14:paraId="2B92C6A9">
            <w:pPr>
              <w:tabs>
                <w:tab w:val="left" w:pos="630"/>
              </w:tabs>
              <w:spacing w:line="360" w:lineRule="auto"/>
              <w:jc w:val="center"/>
              <w:rPr>
                <w:rFonts w:ascii="宋体" w:hAnsi="宋体"/>
                <w:sz w:val="24"/>
              </w:rPr>
            </w:pPr>
            <w:r>
              <w:rPr>
                <w:rFonts w:hint="eastAsia" w:ascii="宋体" w:hAnsi="宋体"/>
                <w:sz w:val="24"/>
              </w:rPr>
              <w:t>技术支持</w:t>
            </w:r>
          </w:p>
        </w:tc>
        <w:tc>
          <w:tcPr>
            <w:tcW w:w="5854" w:type="dxa"/>
            <w:noWrap w:val="0"/>
            <w:vAlign w:val="top"/>
          </w:tcPr>
          <w:p w14:paraId="43B2161C">
            <w:pPr>
              <w:tabs>
                <w:tab w:val="left" w:pos="630"/>
              </w:tabs>
              <w:spacing w:line="360" w:lineRule="auto"/>
              <w:rPr>
                <w:rFonts w:ascii="宋体" w:hAnsi="宋体"/>
                <w:sz w:val="24"/>
              </w:rPr>
            </w:pPr>
            <w:r>
              <w:rPr>
                <w:rFonts w:hint="eastAsia" w:ascii="宋体" w:hAnsi="宋体"/>
                <w:sz w:val="24"/>
              </w:rPr>
              <w:t>技术支持及操作指导。</w:t>
            </w:r>
          </w:p>
        </w:tc>
      </w:tr>
    </w:tbl>
    <w:p w14:paraId="44C9EBEF">
      <w:pPr>
        <w:rPr>
          <w:rFonts w:hint="eastAsia"/>
          <w:b/>
          <w:sz w:val="24"/>
        </w:rPr>
      </w:pPr>
    </w:p>
    <w:p w14:paraId="3AABFC25">
      <w:pPr>
        <w:rPr>
          <w:rFonts w:hint="eastAsia"/>
          <w:b/>
          <w:sz w:val="24"/>
        </w:rPr>
      </w:pPr>
    </w:p>
    <w:p w14:paraId="73648996">
      <w:pPr>
        <w:rPr>
          <w:b/>
          <w:sz w:val="24"/>
        </w:rPr>
      </w:pPr>
      <w:r>
        <w:rPr>
          <w:rFonts w:hint="eastAsia"/>
          <w:b/>
          <w:sz w:val="24"/>
        </w:rPr>
        <w:t>附件：列入内蒙古昆明卷烟有限责任公司供应商黑名单的情形和处理措施</w:t>
      </w:r>
    </w:p>
    <w:p w14:paraId="5DDBC83E">
      <w:pPr>
        <w:spacing w:line="440" w:lineRule="exact"/>
        <w:ind w:firstLine="482" w:firstLineChars="200"/>
        <w:rPr>
          <w:sz w:val="24"/>
        </w:rPr>
      </w:pPr>
      <w:r>
        <w:rPr>
          <w:rFonts w:hint="eastAsia"/>
          <w:b/>
          <w:sz w:val="24"/>
        </w:rPr>
        <w:t xml:space="preserve">第一条 </w:t>
      </w:r>
      <w:r>
        <w:rPr>
          <w:rFonts w:hint="eastAsia"/>
          <w:sz w:val="24"/>
        </w:rPr>
        <w:t xml:space="preserve"> 供应商在参加烟草行业采购活动中，向烟草行业干部职工行贿的，将其列入存在行贿行为供应商黑名单，实施严格的禁入措施，禁止参加新采购项目。根据生效的刑事判决书、刑事裁定书、党政纪处分决定认定的行贿数额：</w:t>
      </w:r>
    </w:p>
    <w:p w14:paraId="65DF10FD">
      <w:pPr>
        <w:spacing w:line="440" w:lineRule="exact"/>
        <w:ind w:firstLine="480" w:firstLineChars="200"/>
        <w:rPr>
          <w:sz w:val="24"/>
        </w:rPr>
      </w:pPr>
      <w:r>
        <w:rPr>
          <w:rFonts w:hint="eastAsia"/>
          <w:sz w:val="24"/>
        </w:rPr>
        <w:t>（一）行贿数额不满100万元的，禁入期限1年；</w:t>
      </w:r>
    </w:p>
    <w:p w14:paraId="76605C83">
      <w:pPr>
        <w:spacing w:line="440" w:lineRule="exact"/>
        <w:ind w:firstLine="480" w:firstLineChars="200"/>
        <w:rPr>
          <w:sz w:val="24"/>
        </w:rPr>
      </w:pPr>
      <w:r>
        <w:rPr>
          <w:rFonts w:hint="eastAsia"/>
          <w:sz w:val="24"/>
        </w:rPr>
        <w:t>（二）行贿数额在100万元以上不满500万元的，禁入期限2年；</w:t>
      </w:r>
    </w:p>
    <w:p w14:paraId="212E2C11">
      <w:pPr>
        <w:spacing w:line="440" w:lineRule="exact"/>
        <w:ind w:firstLine="480" w:firstLineChars="200"/>
        <w:rPr>
          <w:sz w:val="24"/>
        </w:rPr>
      </w:pPr>
      <w:r>
        <w:rPr>
          <w:rFonts w:hint="eastAsia"/>
          <w:sz w:val="24"/>
        </w:rPr>
        <w:t>（三）行贿数额在500万元（含）以上的，禁入期限3年；</w:t>
      </w:r>
    </w:p>
    <w:p w14:paraId="2D7AEF7D">
      <w:pPr>
        <w:spacing w:line="440" w:lineRule="exact"/>
        <w:ind w:firstLine="480" w:firstLineChars="200"/>
        <w:rPr>
          <w:sz w:val="24"/>
        </w:rPr>
      </w:pPr>
      <w:r>
        <w:rPr>
          <w:rFonts w:hint="eastAsia"/>
          <w:sz w:val="24"/>
        </w:rPr>
        <w:t>（四）行贿行为情节特别严重的，永久禁入。</w:t>
      </w:r>
    </w:p>
    <w:p w14:paraId="70A9B2CB">
      <w:pPr>
        <w:spacing w:line="440" w:lineRule="exact"/>
        <w:ind w:firstLine="482" w:firstLineChars="200"/>
        <w:rPr>
          <w:sz w:val="24"/>
        </w:rPr>
      </w:pPr>
      <w:r>
        <w:rPr>
          <w:rFonts w:hint="eastAsia"/>
          <w:b/>
          <w:sz w:val="24"/>
        </w:rPr>
        <w:t>第二条</w:t>
      </w:r>
      <w:r>
        <w:rPr>
          <w:rFonts w:hint="eastAsia"/>
          <w:sz w:val="24"/>
        </w:rPr>
        <w:t xml:space="preserve">  存在行贿行为供应商在禁入期满后再次向烟草行业干部职工行贿的，分别按以上禁入期限标准加1倍处理，直至永久禁入。</w:t>
      </w:r>
    </w:p>
    <w:p w14:paraId="115AC010">
      <w:pPr>
        <w:spacing w:line="440" w:lineRule="exact"/>
        <w:ind w:firstLine="482" w:firstLineChars="200"/>
        <w:rPr>
          <w:sz w:val="24"/>
        </w:rPr>
      </w:pPr>
      <w:r>
        <w:rPr>
          <w:rFonts w:hint="eastAsia"/>
          <w:b/>
          <w:sz w:val="24"/>
        </w:rPr>
        <w:t>第三条</w:t>
      </w:r>
      <w:r>
        <w:rPr>
          <w:rFonts w:hint="eastAsia"/>
          <w:sz w:val="24"/>
        </w:rPr>
        <w:t xml:space="preserve">  对存在行贿行为供应商的禁入处理措施，适用于其法定代表人/负责人和行贿人。在禁入期限内，上述人员担任法定代表人/负责人或实际控制人的其他企业，均不得参加新采购项目。</w:t>
      </w:r>
    </w:p>
    <w:p w14:paraId="246E9D69">
      <w:pPr>
        <w:spacing w:line="440" w:lineRule="exact"/>
        <w:ind w:firstLine="482" w:firstLineChars="200"/>
        <w:rPr>
          <w:sz w:val="24"/>
        </w:rPr>
      </w:pPr>
      <w:r>
        <w:rPr>
          <w:rFonts w:hint="eastAsia"/>
          <w:b/>
          <w:sz w:val="24"/>
        </w:rPr>
        <w:t>第四条</w:t>
      </w:r>
      <w:r>
        <w:rPr>
          <w:rFonts w:hint="eastAsia"/>
          <w:sz w:val="24"/>
        </w:rPr>
        <w:t xml:space="preserve">  禁止行贿供应商因被列入烟草行业或蒙昆公司列入黑名单后，通过“换马甲”“换壳”行为继续参与新的采购项目。</w:t>
      </w:r>
    </w:p>
    <w:p w14:paraId="7698C29A">
      <w:pPr>
        <w:spacing w:line="440" w:lineRule="exact"/>
        <w:ind w:firstLine="482" w:firstLineChars="200"/>
        <w:rPr>
          <w:sz w:val="24"/>
        </w:rPr>
      </w:pPr>
      <w:r>
        <w:rPr>
          <w:rFonts w:hint="eastAsia"/>
          <w:b/>
          <w:sz w:val="24"/>
        </w:rPr>
        <w:t>第五条</w:t>
      </w:r>
      <w:r>
        <w:rPr>
          <w:rFonts w:hint="eastAsia"/>
          <w:sz w:val="24"/>
        </w:rPr>
        <w:t xml:space="preserve">  因供应商提供的工程、物资、服务暂时无法替代的，可以暂缓执行黑名单禁入处理措施。蒙昆公司有权采取警示约谈等措施进行督促整改，并根据合同约定采取降低评价分数、降低供货份额、缩短服务期限、终止合同或解除合同等处理措施。同时按照合同约定，将存在行贿行为供应商的核心技术资料公开，交给其他供应商使用。</w:t>
      </w:r>
    </w:p>
    <w:p w14:paraId="18B06DF8">
      <w:pPr>
        <w:spacing w:line="440" w:lineRule="exact"/>
        <w:ind w:firstLine="482" w:firstLineChars="200"/>
        <w:rPr>
          <w:sz w:val="24"/>
        </w:rPr>
      </w:pPr>
      <w:r>
        <w:rPr>
          <w:rFonts w:hint="eastAsia"/>
          <w:b/>
          <w:sz w:val="24"/>
        </w:rPr>
        <w:t>第六条</w:t>
      </w:r>
      <w:r>
        <w:rPr>
          <w:rFonts w:hint="eastAsia"/>
          <w:sz w:val="24"/>
        </w:rPr>
        <w:t xml:space="preserve">  供应商提供虚假材料谋取中标、成交，有下列情形之一的，禁入期限1年。情节较重的，禁入期限3年。情节严重的，永久禁入：</w:t>
      </w:r>
    </w:p>
    <w:p w14:paraId="56DDE2CB">
      <w:pPr>
        <w:spacing w:line="440" w:lineRule="exact"/>
        <w:ind w:firstLine="480" w:firstLineChars="200"/>
        <w:rPr>
          <w:sz w:val="24"/>
        </w:rPr>
      </w:pPr>
      <w:r>
        <w:rPr>
          <w:rFonts w:hint="eastAsia"/>
          <w:sz w:val="24"/>
        </w:rPr>
        <w:t>（一）使用通过受让或者租借等方式获取的资格、资质证书的；</w:t>
      </w:r>
    </w:p>
    <w:p w14:paraId="72DD5C24">
      <w:pPr>
        <w:spacing w:line="440" w:lineRule="exact"/>
        <w:ind w:firstLine="480" w:firstLineChars="200"/>
        <w:rPr>
          <w:sz w:val="24"/>
        </w:rPr>
      </w:pPr>
      <w:r>
        <w:rPr>
          <w:rFonts w:hint="eastAsia"/>
          <w:sz w:val="24"/>
        </w:rPr>
        <w:t>（二）使用伪造、变造的许可证件的；</w:t>
      </w:r>
    </w:p>
    <w:p w14:paraId="292E4BFD">
      <w:pPr>
        <w:spacing w:line="440" w:lineRule="exact"/>
        <w:ind w:firstLine="480" w:firstLineChars="200"/>
        <w:rPr>
          <w:sz w:val="24"/>
        </w:rPr>
      </w:pPr>
      <w:r>
        <w:rPr>
          <w:rFonts w:hint="eastAsia"/>
          <w:sz w:val="24"/>
        </w:rPr>
        <w:t>（三）提供虚假的财务状况或者业绩、奖项等材料的；</w:t>
      </w:r>
    </w:p>
    <w:p w14:paraId="1DDD7783">
      <w:pPr>
        <w:spacing w:line="440" w:lineRule="exact"/>
        <w:ind w:firstLine="480" w:firstLineChars="200"/>
        <w:rPr>
          <w:sz w:val="24"/>
        </w:rPr>
      </w:pPr>
      <w:r>
        <w:rPr>
          <w:rFonts w:hint="eastAsia"/>
          <w:sz w:val="24"/>
        </w:rPr>
        <w:t>（四）提供虚假的项目负责人或者主要技术人员简历、劳动关系证明及其他资质证明的；</w:t>
      </w:r>
    </w:p>
    <w:p w14:paraId="663F524A">
      <w:pPr>
        <w:spacing w:line="440" w:lineRule="exact"/>
        <w:ind w:firstLine="480" w:firstLineChars="200"/>
        <w:rPr>
          <w:sz w:val="24"/>
        </w:rPr>
      </w:pPr>
      <w:r>
        <w:rPr>
          <w:rFonts w:hint="eastAsia"/>
          <w:sz w:val="24"/>
        </w:rPr>
        <w:t>（五）提供虚假信用状况的；</w:t>
      </w:r>
    </w:p>
    <w:p w14:paraId="772F0461">
      <w:pPr>
        <w:spacing w:line="440" w:lineRule="exact"/>
        <w:ind w:firstLine="480" w:firstLineChars="200"/>
        <w:rPr>
          <w:sz w:val="24"/>
        </w:rPr>
      </w:pPr>
      <w:r>
        <w:rPr>
          <w:rFonts w:hint="eastAsia"/>
          <w:sz w:val="24"/>
        </w:rPr>
        <w:t>（六）经认定的其他弄虚作假的行为。</w:t>
      </w:r>
    </w:p>
    <w:p w14:paraId="466651F8">
      <w:pPr>
        <w:spacing w:line="440" w:lineRule="exact"/>
        <w:ind w:firstLine="482" w:firstLineChars="200"/>
        <w:rPr>
          <w:sz w:val="24"/>
        </w:rPr>
      </w:pPr>
      <w:r>
        <w:rPr>
          <w:rFonts w:hint="eastAsia"/>
          <w:b/>
          <w:sz w:val="24"/>
        </w:rPr>
        <w:t>第七条</w:t>
      </w:r>
      <w:r>
        <w:rPr>
          <w:rFonts w:hint="eastAsia"/>
          <w:sz w:val="24"/>
        </w:rPr>
        <w:t xml:space="preserve">  供应商采取不正当手段诋毁、排挤其他供应商，影响采购活动顺利进行，禁入期限1年，情节较重的，禁入期限2年。</w:t>
      </w:r>
    </w:p>
    <w:p w14:paraId="03FF1726">
      <w:pPr>
        <w:spacing w:line="440" w:lineRule="exact"/>
        <w:ind w:firstLine="482" w:firstLineChars="200"/>
        <w:rPr>
          <w:sz w:val="24"/>
        </w:rPr>
      </w:pPr>
      <w:r>
        <w:rPr>
          <w:rFonts w:hint="eastAsia"/>
          <w:b/>
          <w:sz w:val="24"/>
        </w:rPr>
        <w:t>第八条</w:t>
      </w:r>
      <w:r>
        <w:rPr>
          <w:rFonts w:hint="eastAsia"/>
          <w:sz w:val="24"/>
        </w:rPr>
        <w:t xml:space="preserve">  供应商与蒙昆公司、其他供应商或者招标代理机构恶意串通的，禁入期限1年，情节较重的，禁入期限2年。</w:t>
      </w:r>
    </w:p>
    <w:p w14:paraId="2968129E">
      <w:pPr>
        <w:spacing w:line="440" w:lineRule="exact"/>
        <w:ind w:firstLine="482" w:firstLineChars="200"/>
        <w:rPr>
          <w:sz w:val="24"/>
        </w:rPr>
      </w:pPr>
      <w:r>
        <w:rPr>
          <w:rFonts w:hint="eastAsia"/>
          <w:b/>
          <w:sz w:val="24"/>
        </w:rPr>
        <w:t xml:space="preserve">第九条 </w:t>
      </w:r>
      <w:r>
        <w:rPr>
          <w:rFonts w:hint="eastAsia"/>
          <w:sz w:val="24"/>
        </w:rPr>
        <w:t xml:space="preserve"> 供应商向招标代理机构行贿或者提供其他不正当利益的，禁入期限1年，情节较重的，禁入期限3年，情节严重的，永久禁入。</w:t>
      </w:r>
    </w:p>
    <w:p w14:paraId="083FE89E">
      <w:pPr>
        <w:spacing w:line="440" w:lineRule="exact"/>
        <w:ind w:firstLine="482" w:firstLineChars="200"/>
        <w:rPr>
          <w:sz w:val="24"/>
        </w:rPr>
      </w:pPr>
      <w:r>
        <w:rPr>
          <w:rFonts w:hint="eastAsia"/>
          <w:b/>
          <w:sz w:val="24"/>
        </w:rPr>
        <w:t>第十条</w:t>
      </w:r>
      <w:r>
        <w:rPr>
          <w:rFonts w:hint="eastAsia"/>
          <w:sz w:val="24"/>
        </w:rPr>
        <w:t xml:space="preserve">  供应商存在拒绝采购单位有关部门监督检查或者提供虚假情况等不良行为，有下列情形之一的，禁入期限1年，情节较重的，禁入期限3年，情节严重的，永久禁入：</w:t>
      </w:r>
    </w:p>
    <w:p w14:paraId="76E9938E">
      <w:pPr>
        <w:spacing w:line="440" w:lineRule="exact"/>
        <w:ind w:firstLine="480" w:firstLineChars="200"/>
        <w:rPr>
          <w:sz w:val="24"/>
        </w:rPr>
      </w:pPr>
      <w:r>
        <w:rPr>
          <w:rFonts w:hint="eastAsia"/>
          <w:sz w:val="24"/>
        </w:rPr>
        <w:t>（一）对招标代理机构或采购单位在处理异议或投诉过程中，需供应商配合提供相关材料而拒不配合或提供虚假材料的；</w:t>
      </w:r>
    </w:p>
    <w:p w14:paraId="1920848C">
      <w:pPr>
        <w:spacing w:line="440" w:lineRule="exact"/>
        <w:ind w:firstLine="480" w:firstLineChars="200"/>
        <w:rPr>
          <w:sz w:val="24"/>
        </w:rPr>
      </w:pPr>
      <w:r>
        <w:rPr>
          <w:rFonts w:hint="eastAsia"/>
          <w:sz w:val="24"/>
        </w:rPr>
        <w:t>（二）对采购单位监督部门因履行过程监督或事后检查职责所需的资料拒绝提供或提供虚假资料的；</w:t>
      </w:r>
    </w:p>
    <w:p w14:paraId="6146FCAD">
      <w:pPr>
        <w:spacing w:line="440" w:lineRule="exact"/>
        <w:ind w:firstLine="480" w:firstLineChars="200"/>
        <w:rPr>
          <w:sz w:val="24"/>
        </w:rPr>
      </w:pPr>
      <w:r>
        <w:rPr>
          <w:rFonts w:hint="eastAsia"/>
          <w:sz w:val="24"/>
        </w:rPr>
        <w:t>（三）经认定的其他拒不接受监督检查或提供虚假情况等不良行为。</w:t>
      </w:r>
    </w:p>
    <w:p w14:paraId="50AF4968">
      <w:pPr>
        <w:spacing w:line="440" w:lineRule="exact"/>
        <w:ind w:firstLine="482" w:firstLineChars="200"/>
        <w:rPr>
          <w:sz w:val="24"/>
        </w:rPr>
      </w:pPr>
      <w:r>
        <w:rPr>
          <w:rFonts w:hint="eastAsia"/>
          <w:b/>
          <w:sz w:val="24"/>
        </w:rPr>
        <w:t>第十一条</w:t>
      </w:r>
      <w:r>
        <w:rPr>
          <w:rFonts w:hint="eastAsia"/>
          <w:sz w:val="24"/>
        </w:rPr>
        <w:t xml:space="preserve"> 供应商存在将中标（成交）项目转让（包）、违法分包或违约转让（分包）给他人（含外购烟用物资的半成品或在制品），禁入期限1年，情节较重的，禁入期限3年，情节严重的，永久禁入。</w:t>
      </w:r>
    </w:p>
    <w:p w14:paraId="7A694C8D">
      <w:pPr>
        <w:spacing w:line="440" w:lineRule="exact"/>
        <w:ind w:firstLine="482" w:firstLineChars="200"/>
        <w:rPr>
          <w:sz w:val="24"/>
        </w:rPr>
      </w:pPr>
      <w:r>
        <w:rPr>
          <w:rFonts w:hint="eastAsia"/>
          <w:b/>
          <w:sz w:val="24"/>
        </w:rPr>
        <w:t>第十二条</w:t>
      </w:r>
      <w:r>
        <w:rPr>
          <w:rFonts w:hint="eastAsia"/>
          <w:sz w:val="24"/>
        </w:rPr>
        <w:t xml:space="preserve">  招标代理机构在代理采购业务中存在收受贿赂、恶意串通、开标前泄露标底、伪造变造采购文件等违法行为的，禁入期限1年，情节较重的，禁入期限3年，情节严重的，永久禁入。</w:t>
      </w:r>
    </w:p>
    <w:p w14:paraId="0EE0E83E">
      <w:pPr>
        <w:spacing w:line="440" w:lineRule="exact"/>
        <w:ind w:firstLine="482" w:firstLineChars="200"/>
        <w:rPr>
          <w:sz w:val="24"/>
        </w:rPr>
      </w:pPr>
      <w:r>
        <w:rPr>
          <w:rFonts w:hint="eastAsia"/>
          <w:b/>
          <w:sz w:val="24"/>
        </w:rPr>
        <w:t>第十三条</w:t>
      </w:r>
      <w:r>
        <w:rPr>
          <w:rFonts w:hint="eastAsia"/>
          <w:sz w:val="24"/>
        </w:rPr>
        <w:t xml:space="preserve">  对供应商黑名单行为情节较重、情节严重的认定，根据采购项目实际情况，综合供应商行为性质、主观恶意程度、造成损失大小、不良影响范围等因素研究认定。</w:t>
      </w:r>
    </w:p>
    <w:p w14:paraId="603F9112">
      <w:pPr>
        <w:spacing w:line="440" w:lineRule="exact"/>
        <w:ind w:firstLine="482" w:firstLineChars="200"/>
        <w:rPr>
          <w:sz w:val="24"/>
        </w:rPr>
      </w:pPr>
      <w:r>
        <w:rPr>
          <w:rFonts w:hint="eastAsia"/>
          <w:b/>
          <w:sz w:val="24"/>
        </w:rPr>
        <w:t>第十四条</w:t>
      </w:r>
      <w:r>
        <w:rPr>
          <w:rFonts w:hint="eastAsia"/>
          <w:sz w:val="24"/>
        </w:rPr>
        <w:t xml:space="preserve">  对供应商存在黑名单行为情形，但情节轻微危害不大，且主动赔偿损失、消除影响的，蒙昆公司可不纳入黑名单管理，但有权采取警示约谈、督促整改、降低考核评价分数、减少采购份额、缩短服务期限等处理措施，防范化解各类风险。</w:t>
      </w:r>
    </w:p>
    <w:p w14:paraId="60936583">
      <w:pPr>
        <w:spacing w:line="440" w:lineRule="exact"/>
        <w:ind w:firstLine="482" w:firstLineChars="200"/>
        <w:rPr>
          <w:sz w:val="24"/>
        </w:rPr>
      </w:pPr>
      <w:r>
        <w:rPr>
          <w:rFonts w:hint="eastAsia"/>
          <w:b/>
          <w:sz w:val="24"/>
        </w:rPr>
        <w:t>第十五条</w:t>
      </w:r>
      <w:r>
        <w:rPr>
          <w:rFonts w:hint="eastAsia"/>
          <w:sz w:val="24"/>
        </w:rPr>
        <w:t xml:space="preserve">  被烟草行业或蒙昆公司上级单位列为禁止参加烟草企业采购项目的供应商，蒙昆公司将予以承认并执行相应管理措施，同时列入蒙昆公司的供应商黑名单。</w:t>
      </w:r>
    </w:p>
    <w:p w14:paraId="03E8E2E1">
      <w:pPr>
        <w:spacing w:line="440" w:lineRule="exact"/>
        <w:ind w:firstLine="482" w:firstLineChars="200"/>
        <w:rPr>
          <w:sz w:val="24"/>
        </w:rPr>
      </w:pPr>
      <w:r>
        <w:rPr>
          <w:rFonts w:hint="eastAsia"/>
          <w:b/>
          <w:sz w:val="24"/>
        </w:rPr>
        <w:t>第十六条</w:t>
      </w:r>
      <w:r>
        <w:rPr>
          <w:rFonts w:hint="eastAsia"/>
          <w:sz w:val="24"/>
        </w:rPr>
        <w:t xml:space="preserve">  对于在企业信用信息公示系统等平台查询到的供应商不良行为记录的，有关法律、法规、规章、国务院文件及行业主管部门有禁止或者限制性规定的，按规定执行。</w:t>
      </w:r>
    </w:p>
    <w:p w14:paraId="08BFC03E">
      <w:pPr>
        <w:spacing w:line="440" w:lineRule="exact"/>
        <w:ind w:firstLine="482" w:firstLineChars="200"/>
        <w:rPr>
          <w:sz w:val="24"/>
        </w:rPr>
      </w:pPr>
      <w:r>
        <w:rPr>
          <w:rFonts w:hint="eastAsia"/>
          <w:b/>
          <w:sz w:val="24"/>
        </w:rPr>
        <w:t>第十七条</w:t>
      </w:r>
      <w:r>
        <w:rPr>
          <w:rFonts w:hint="eastAsia"/>
          <w:sz w:val="24"/>
        </w:rPr>
        <w:t xml:space="preserve">  对供应商实施黑名单处理措施，不影响蒙昆公司依法追究供应商其他相关责任。</w:t>
      </w:r>
    </w:p>
    <w:p w14:paraId="5D017900">
      <w:pPr>
        <w:pStyle w:val="3"/>
        <w:spacing w:line="360" w:lineRule="auto"/>
        <w:rPr>
          <w:rFonts w:hint="eastAsia"/>
          <w:b w:val="0"/>
          <w:bCs w:val="0"/>
          <w:sz w:val="24"/>
          <w:szCs w:val="24"/>
        </w:rPr>
      </w:pPr>
      <w:r>
        <w:rPr>
          <w:rFonts w:hint="eastAsia"/>
          <w:sz w:val="24"/>
          <w:szCs w:val="24"/>
        </w:rPr>
        <w:t>（注：“内蒙古昆明卷烟有限责任公司”简称“蒙昆公司”）</w:t>
      </w:r>
    </w:p>
    <w:p w14:paraId="66667F0A">
      <w:pPr>
        <w:pStyle w:val="3"/>
        <w:spacing w:line="360" w:lineRule="auto"/>
        <w:jc w:val="both"/>
      </w:pPr>
    </w:p>
    <w:sectPr>
      <w:pgSz w:w="11906" w:h="16838"/>
      <w:pgMar w:top="1440" w:right="1417" w:bottom="1440" w:left="1417"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MxM2I3YTI0ZTc4NDU3NGYyNjMxMDRkOWZkMTgzOGYifQ=="/>
    <w:docVar w:name="KSO_WPS_MARK_KEY" w:val="33f5d9a9-bc78-4c30-9f11-1ff7f43bc2b2"/>
  </w:docVars>
  <w:rsids>
    <w:rsidRoot w:val="246E0582"/>
    <w:rsid w:val="03F637F9"/>
    <w:rsid w:val="06304DB7"/>
    <w:rsid w:val="096A12FE"/>
    <w:rsid w:val="0FF4136C"/>
    <w:rsid w:val="12415B33"/>
    <w:rsid w:val="21A146F0"/>
    <w:rsid w:val="231A787D"/>
    <w:rsid w:val="246E0582"/>
    <w:rsid w:val="2D2C25A6"/>
    <w:rsid w:val="311D3C5A"/>
    <w:rsid w:val="32171DD9"/>
    <w:rsid w:val="385206C8"/>
    <w:rsid w:val="40A315E2"/>
    <w:rsid w:val="47017063"/>
    <w:rsid w:val="53B139D4"/>
    <w:rsid w:val="54F71322"/>
    <w:rsid w:val="58CF00A0"/>
    <w:rsid w:val="5E863B5F"/>
    <w:rsid w:val="6D0029A8"/>
    <w:rsid w:val="774F5A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36"/>
      <w:szCs w:val="24"/>
      <w:lang w:val="en-US" w:eastAsia="zh-CN" w:bidi="ar-SA"/>
    </w:rPr>
  </w:style>
  <w:style w:type="paragraph" w:styleId="3">
    <w:name w:val="heading 1"/>
    <w:basedOn w:val="1"/>
    <w:next w:val="4"/>
    <w:qFormat/>
    <w:uiPriority w:val="0"/>
    <w:pPr>
      <w:keepNext/>
      <w:jc w:val="center"/>
      <w:outlineLvl w:val="0"/>
    </w:pPr>
    <w:rPr>
      <w:b/>
      <w:bCs/>
      <w:sz w:val="20"/>
      <w:szCs w:val="20"/>
    </w:rPr>
  </w:style>
  <w:style w:type="paragraph" w:styleId="4">
    <w:name w:val="heading 2"/>
    <w:basedOn w:val="1"/>
    <w:next w:val="1"/>
    <w:qFormat/>
    <w:uiPriority w:val="0"/>
    <w:pPr>
      <w:keepNext/>
      <w:keepLines/>
      <w:adjustRightInd w:val="0"/>
      <w:snapToGrid w:val="0"/>
      <w:spacing w:before="260" w:beforeLines="0" w:after="260" w:afterLines="0" w:line="500" w:lineRule="atLeast"/>
      <w:jc w:val="center"/>
      <w:outlineLvl w:val="1"/>
    </w:pPr>
    <w:rPr>
      <w:rFonts w:ascii="楷体_GB2312" w:hAnsi="Arial" w:eastAsia="宋体"/>
      <w:b/>
      <w:bCs/>
      <w:szCs w:val="32"/>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line="500" w:lineRule="atLeast"/>
    </w:pPr>
    <w:rPr>
      <w:color w:val="0000FF"/>
      <w:sz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8194</Words>
  <Characters>8574</Characters>
  <Lines>0</Lines>
  <Paragraphs>0</Paragraphs>
  <TotalTime>7</TotalTime>
  <ScaleCrop>false</ScaleCrop>
  <LinksUpToDate>false</LinksUpToDate>
  <CharactersWithSpaces>8772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2023-03-16T08:22:00Z</dcterms:created>
  <dc:creator>轩</dc:creator>
  <cp:lastModifiedBy>WPS_1516069980</cp:lastModifiedBy>
  <dcterms:modified xsi:type="dcterms:W3CDTF">2025-03-24T07:47:47Z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CF8E5CE38F304F3984AB5C47595F3724_13</vt:lpwstr>
  </property>
  <property fmtid="{D5CDD505-2E9C-101B-9397-08002B2CF9AE}" pid="4" name="KSOTemplateDocerSaveRecord">
    <vt:lpwstr>eyJoZGlkIjoiOWM0MzJhZjM1ODE1MjU3ZDc1YzM0ZTFiMzE0YjA3ZTkiLCJ1c2VySWQiOiIzMzkxNDY3OTUifQ==</vt:lpwstr>
  </property>
</Properties>
</file>