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FCD27">
      <w:pPr>
        <w:tabs>
          <w:tab w:val="left" w:pos="1075"/>
        </w:tabs>
        <w:rPr>
          <w:rFonts w:ascii="宋体" w:hAnsi="宋体" w:eastAsia="宋体" w:cs="宋体"/>
          <w:color w:val="000000" w:themeColor="text1"/>
          <w:sz w:val="21"/>
          <w:szCs w:val="21"/>
          <w14:textFill>
            <w14:solidFill>
              <w14:schemeClr w14:val="tx1"/>
            </w14:solidFill>
          </w14:textFill>
        </w:rPr>
      </w:pPr>
      <w:commentRangeStart w:id="0"/>
      <w:r>
        <w:rPr>
          <w:rFonts w:hint="eastAsia" w:ascii="宋体" w:hAnsi="宋体" w:eastAsia="宋体" w:cs="宋体"/>
          <w:color w:val="000000" w:themeColor="text1"/>
          <w:sz w:val="21"/>
          <w:szCs w:val="21"/>
          <w14:textFill>
            <w14:solidFill>
              <w14:schemeClr w14:val="tx1"/>
            </w14:solidFill>
          </w14:textFill>
        </w:rPr>
        <w:t>合同编号：</w:t>
      </w:r>
      <w:commentRangeEnd w:id="0"/>
      <w:r>
        <w:commentReference w:id="0"/>
      </w:r>
    </w:p>
    <w:p w14:paraId="7A8B0897">
      <w:pPr>
        <w:tabs>
          <w:tab w:val="left" w:pos="1075"/>
        </w:tabs>
        <w:jc w:val="center"/>
        <w:rPr>
          <w:rFonts w:ascii="宋体" w:hAnsi="宋体" w:eastAsia="宋体" w:cs="宋体"/>
          <w:b/>
          <w:color w:val="000000" w:themeColor="text1"/>
          <w:sz w:val="48"/>
          <w:szCs w:val="48"/>
          <w14:textFill>
            <w14:solidFill>
              <w14:schemeClr w14:val="tx1"/>
            </w14:solidFill>
          </w14:textFill>
        </w:rPr>
      </w:pPr>
    </w:p>
    <w:p w14:paraId="52267BA3">
      <w:pPr>
        <w:tabs>
          <w:tab w:val="left" w:pos="1075"/>
        </w:tabs>
        <w:jc w:val="center"/>
        <w:rPr>
          <w:rFonts w:hint="eastAsia" w:ascii="宋体" w:hAnsi="宋体" w:eastAsia="宋体" w:cs="宋体"/>
          <w:b/>
          <w:color w:val="000000" w:themeColor="text1"/>
          <w:sz w:val="48"/>
          <w:szCs w:val="48"/>
          <w14:textFill>
            <w14:solidFill>
              <w14:schemeClr w14:val="tx1"/>
            </w14:solidFill>
          </w14:textFill>
        </w:rPr>
      </w:pPr>
    </w:p>
    <w:p w14:paraId="02BEB631">
      <w:pPr>
        <w:pStyle w:val="20"/>
      </w:pPr>
    </w:p>
    <w:p w14:paraId="63620616">
      <w:pPr>
        <w:pStyle w:val="20"/>
      </w:pPr>
    </w:p>
    <w:p w14:paraId="0A144615">
      <w:pPr>
        <w:pStyle w:val="20"/>
      </w:pPr>
    </w:p>
    <w:p w14:paraId="1A8805C7">
      <w:pPr>
        <w:pStyle w:val="20"/>
      </w:pPr>
    </w:p>
    <w:p w14:paraId="41DACD48">
      <w:pPr>
        <w:tabs>
          <w:tab w:val="left" w:pos="1075"/>
        </w:tabs>
        <w:jc w:val="center"/>
        <w:rPr>
          <w:rFonts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内蒙古昆明卷烟有限责任公司</w:t>
      </w:r>
    </w:p>
    <w:p w14:paraId="1FFE2C04">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Arial"/>
          <w:b/>
          <w:kern w:val="0"/>
          <w:sz w:val="52"/>
          <w:szCs w:val="52"/>
          <w:u w:val="single"/>
          <w:lang w:eastAsia="zh-CN"/>
        </w:rPr>
      </w:pPr>
      <w:r>
        <w:rPr>
          <w:rFonts w:hint="eastAsia" w:ascii="宋体" w:hAnsi="宋体" w:cs="Arial"/>
          <w:b/>
          <w:kern w:val="0"/>
          <w:sz w:val="52"/>
          <w:szCs w:val="52"/>
          <w:u w:val="single"/>
          <w:lang w:eastAsia="zh-CN"/>
        </w:rPr>
        <w:t>2024年度安全运维管控、网信全生命周期系统维保（ZQ）项目</w:t>
      </w:r>
    </w:p>
    <w:p w14:paraId="1F77CB60">
      <w:pPr>
        <w:tabs>
          <w:tab w:val="left" w:pos="1075"/>
        </w:tabs>
        <w:jc w:val="center"/>
        <w:rPr>
          <w:rFonts w:ascii="宋体" w:hAnsi="宋体" w:eastAsia="宋体" w:cs="宋体"/>
          <w:b/>
          <w:color w:val="000000" w:themeColor="text1"/>
          <w:sz w:val="48"/>
          <w:szCs w:val="48"/>
          <w14:textFill>
            <w14:solidFill>
              <w14:schemeClr w14:val="tx1"/>
            </w14:solidFill>
          </w14:textFill>
        </w:rPr>
      </w:pPr>
    </w:p>
    <w:p w14:paraId="40D0BE23">
      <w:pPr>
        <w:pStyle w:val="20"/>
        <w:jc w:val="center"/>
        <w:rPr>
          <w:rFonts w:cs="宋体"/>
          <w:b/>
          <w:color w:val="000000" w:themeColor="text1"/>
          <w:sz w:val="48"/>
          <w:szCs w:val="48"/>
          <w14:textFill>
            <w14:solidFill>
              <w14:schemeClr w14:val="tx1"/>
            </w14:solidFill>
          </w14:textFill>
        </w:rPr>
      </w:pPr>
      <w:r>
        <w:rPr>
          <w:rFonts w:cs="宋体"/>
          <w:b/>
          <w:color w:val="000000" w:themeColor="text1"/>
          <w:sz w:val="48"/>
          <w:szCs w:val="48"/>
          <w14:textFill>
            <w14:solidFill>
              <w14:schemeClr w14:val="tx1"/>
            </w14:solidFill>
          </w14:textFill>
        </w:rPr>
        <w:t>合同书</w:t>
      </w:r>
    </w:p>
    <w:p w14:paraId="0F4C0AA6">
      <w:pPr>
        <w:pStyle w:val="20"/>
        <w:rPr>
          <w:rFonts w:cs="宋体"/>
          <w:b/>
          <w:color w:val="000000" w:themeColor="text1"/>
          <w:sz w:val="48"/>
          <w:szCs w:val="48"/>
          <w14:textFill>
            <w14:solidFill>
              <w14:schemeClr w14:val="tx1"/>
            </w14:solidFill>
          </w14:textFill>
        </w:rPr>
      </w:pPr>
    </w:p>
    <w:p w14:paraId="53C7F1C4">
      <w:pPr>
        <w:pStyle w:val="20"/>
        <w:jc w:val="center"/>
        <w:rPr>
          <w:rFonts w:cs="宋体"/>
          <w:b/>
          <w:color w:val="000000" w:themeColor="text1"/>
          <w:sz w:val="36"/>
          <w:szCs w:val="36"/>
          <w14:textFill>
            <w14:solidFill>
              <w14:schemeClr w14:val="tx1"/>
            </w14:solidFill>
          </w14:textFill>
        </w:rPr>
      </w:pPr>
    </w:p>
    <w:p w14:paraId="40ED334C">
      <w:pPr>
        <w:pStyle w:val="20"/>
        <w:rPr>
          <w:rFonts w:cs="宋体"/>
          <w:b/>
          <w:color w:val="000000" w:themeColor="text1"/>
          <w:sz w:val="48"/>
          <w:szCs w:val="48"/>
          <w14:textFill>
            <w14:solidFill>
              <w14:schemeClr w14:val="tx1"/>
            </w14:solidFill>
          </w14:textFill>
        </w:rPr>
      </w:pPr>
    </w:p>
    <w:p w14:paraId="7AB14F6B">
      <w:pPr>
        <w:pStyle w:val="20"/>
        <w:rPr>
          <w:rFonts w:cs="宋体"/>
          <w:b/>
          <w:color w:val="000000" w:themeColor="text1"/>
          <w:sz w:val="48"/>
          <w:szCs w:val="48"/>
          <w14:textFill>
            <w14:solidFill>
              <w14:schemeClr w14:val="tx1"/>
            </w14:solidFill>
          </w14:textFill>
        </w:rPr>
      </w:pPr>
    </w:p>
    <w:p w14:paraId="7ED8B5A8">
      <w:pPr>
        <w:pStyle w:val="20"/>
        <w:rPr>
          <w:rFonts w:cs="宋体"/>
          <w:b/>
          <w:color w:val="000000" w:themeColor="text1"/>
          <w:sz w:val="48"/>
          <w:szCs w:val="48"/>
          <w14:textFill>
            <w14:solidFill>
              <w14:schemeClr w14:val="tx1"/>
            </w14:solidFill>
          </w14:textFill>
        </w:rPr>
      </w:pPr>
    </w:p>
    <w:p w14:paraId="26185B11">
      <w:pPr>
        <w:pStyle w:val="20"/>
        <w:rPr>
          <w:rFonts w:cs="宋体"/>
          <w:b/>
          <w:color w:val="000000" w:themeColor="text1"/>
          <w:sz w:val="48"/>
          <w:szCs w:val="48"/>
          <w14:textFill>
            <w14:solidFill>
              <w14:schemeClr w14:val="tx1"/>
            </w14:solidFill>
          </w14:textFill>
        </w:rPr>
      </w:pPr>
    </w:p>
    <w:p w14:paraId="7D77D187">
      <w:pPr>
        <w:pStyle w:val="20"/>
        <w:rPr>
          <w:rFonts w:cs="宋体"/>
          <w:b/>
          <w:color w:val="000000" w:themeColor="text1"/>
          <w:sz w:val="48"/>
          <w:szCs w:val="48"/>
          <w14:textFill>
            <w14:solidFill>
              <w14:schemeClr w14:val="tx1"/>
            </w14:solidFill>
          </w14:textFill>
        </w:rPr>
      </w:pPr>
    </w:p>
    <w:p w14:paraId="6B483851">
      <w:pPr>
        <w:pStyle w:val="20"/>
        <w:ind w:firstLine="360" w:firstLineChars="100"/>
        <w:rPr>
          <w:bCs/>
          <w:color w:val="000000" w:themeColor="text1"/>
          <w:sz w:val="36"/>
          <w:szCs w:val="36"/>
          <w:lang w:val="zh-CN"/>
          <w14:textFill>
            <w14:solidFill>
              <w14:schemeClr w14:val="tx1"/>
            </w14:solidFill>
          </w14:textFill>
        </w:rPr>
      </w:pPr>
      <w:r>
        <w:rPr>
          <w:rFonts w:hint="eastAsia" w:cs="宋体"/>
          <w:bCs/>
          <w:color w:val="000000" w:themeColor="text1"/>
          <w:sz w:val="36"/>
          <w:szCs w:val="36"/>
          <w14:textFill>
            <w14:solidFill>
              <w14:schemeClr w14:val="tx1"/>
            </w14:solidFill>
          </w14:textFill>
        </w:rPr>
        <w:t>甲方：</w:t>
      </w:r>
      <w:r>
        <w:rPr>
          <w:rFonts w:hint="eastAsia"/>
          <w:bCs/>
          <w:color w:val="000000" w:themeColor="text1"/>
          <w:sz w:val="36"/>
          <w:szCs w:val="36"/>
          <w:lang w:val="zh-CN"/>
          <w14:textFill>
            <w14:solidFill>
              <w14:schemeClr w14:val="tx1"/>
            </w14:solidFill>
          </w14:textFill>
        </w:rPr>
        <w:t>内蒙古昆明卷烟有限责任公司</w:t>
      </w:r>
    </w:p>
    <w:p w14:paraId="6EFFACD0">
      <w:pPr>
        <w:pStyle w:val="20"/>
        <w:ind w:firstLine="360" w:firstLineChars="100"/>
        <w:rPr>
          <w:rFonts w:hint="default" w:eastAsia="FangSong_GB2312"/>
          <w:bCs/>
          <w:color w:val="000000" w:themeColor="text1"/>
          <w:sz w:val="36"/>
          <w:szCs w:val="36"/>
          <w:lang w:val="en-US" w:eastAsia="zh-CN"/>
          <w14:textFill>
            <w14:solidFill>
              <w14:schemeClr w14:val="tx1"/>
            </w14:solidFill>
          </w14:textFill>
        </w:rPr>
      </w:pPr>
      <w:r>
        <w:rPr>
          <w:rFonts w:hint="eastAsia" w:cs="宋体"/>
          <w:bCs/>
          <w:color w:val="000000" w:themeColor="text1"/>
          <w:sz w:val="36"/>
          <w:szCs w:val="36"/>
          <w14:textFill>
            <w14:solidFill>
              <w14:schemeClr w14:val="tx1"/>
            </w14:solidFill>
          </w14:textFill>
        </w:rPr>
        <w:t>乙方：</w:t>
      </w:r>
      <w:r>
        <w:rPr>
          <w:rFonts w:hint="eastAsia"/>
          <w:bCs/>
          <w:color w:val="000000" w:themeColor="text1"/>
          <w:sz w:val="36"/>
          <w:szCs w:val="36"/>
          <w14:textFill>
            <w14:solidFill>
              <w14:schemeClr w14:val="tx1"/>
            </w14:solidFill>
          </w14:textFill>
        </w:rPr>
        <w:t>北京</w:t>
      </w:r>
      <w:r>
        <w:rPr>
          <w:rFonts w:hint="eastAsia"/>
          <w:bCs/>
          <w:color w:val="000000" w:themeColor="text1"/>
          <w:sz w:val="36"/>
          <w:szCs w:val="36"/>
          <w:lang w:val="en-US" w:eastAsia="zh-CN"/>
          <w14:textFill>
            <w14:solidFill>
              <w14:schemeClr w14:val="tx1"/>
            </w14:solidFill>
          </w14:textFill>
        </w:rPr>
        <w:t>创联致信科技有限公司</w:t>
      </w:r>
    </w:p>
    <w:p w14:paraId="5B331441">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10B8E46B">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56F785D2">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5153E6C1">
      <w:pPr>
        <w:pageBreakBefore w:val="0"/>
        <w:kinsoku/>
        <w:wordWrap/>
        <w:overflowPunct/>
        <w:topLinePunct w:val="0"/>
        <w:bidi w:val="0"/>
        <w:adjustRightInd w:val="0"/>
        <w:snapToGrid w:val="0"/>
        <w:spacing w:beforeAutospacing="0" w:afterAutospacing="0" w:line="360" w:lineRule="auto"/>
        <w:ind w:firstLine="843"/>
        <w:jc w:val="center"/>
        <w:rPr>
          <w:rFonts w:ascii="宋体" w:hAnsi="宋体" w:eastAsia="宋体" w:cs="Times New Roman"/>
          <w:sz w:val="24"/>
          <w:szCs w:val="24"/>
        </w:rPr>
      </w:pPr>
      <w:r>
        <w:rPr>
          <w:rFonts w:hint="eastAsia" w:ascii="宋体" w:hAnsi="宋体" w:eastAsia="宋体" w:cs="Times New Roman"/>
          <w:b/>
          <w:bCs/>
          <w:kern w:val="0"/>
          <w:sz w:val="24"/>
          <w:szCs w:val="24"/>
        </w:rPr>
        <w:br w:type="page"/>
      </w:r>
    </w:p>
    <w:p w14:paraId="6316AFBE">
      <w:pPr>
        <w:pageBreakBefore w:val="0"/>
        <w:kinsoku/>
        <w:wordWrap/>
        <w:overflowPunct/>
        <w:topLinePunct w:val="0"/>
        <w:bidi w:val="0"/>
        <w:adjustRightInd w:val="0"/>
        <w:snapToGrid w:val="0"/>
        <w:spacing w:beforeAutospacing="0" w:afterAutospacing="0" w:line="360" w:lineRule="auto"/>
        <w:jc w:val="center"/>
        <w:outlineLvl w:val="0"/>
        <w:rPr>
          <w:rFonts w:hint="eastAsia" w:ascii="宋体" w:hAnsi="宋体"/>
          <w:color w:val="000000"/>
          <w:sz w:val="32"/>
          <w:szCs w:val="32"/>
          <w:lang w:val="zh-CN"/>
        </w:rPr>
      </w:pPr>
      <w:bookmarkStart w:id="0" w:name="_Toc15691"/>
      <w:r>
        <w:rPr>
          <w:rFonts w:hint="eastAsia" w:ascii="宋体" w:hAnsi="宋体"/>
          <w:color w:val="000000"/>
          <w:sz w:val="32"/>
          <w:szCs w:val="32"/>
          <w:lang w:val="zh-CN"/>
        </w:rPr>
        <w:t>合同主要条款</w:t>
      </w:r>
      <w:bookmarkEnd w:id="0"/>
    </w:p>
    <w:p w14:paraId="137A684E">
      <w:pPr>
        <w:pageBreakBefore w:val="0"/>
        <w:kinsoku/>
        <w:wordWrap/>
        <w:overflowPunct/>
        <w:topLinePunct w:val="0"/>
        <w:bidi w:val="0"/>
        <w:adjustRightInd w:val="0"/>
        <w:snapToGrid w:val="0"/>
        <w:spacing w:beforeAutospacing="0" w:afterAutospacing="0" w:line="360" w:lineRule="auto"/>
        <w:jc w:val="both"/>
        <w:outlineLvl w:val="0"/>
        <w:rPr>
          <w:rFonts w:ascii="宋体" w:hAnsi="宋体"/>
          <w:color w:val="000000"/>
          <w:sz w:val="24"/>
          <w:lang w:val="zh-CN"/>
        </w:rPr>
      </w:pPr>
      <w:bookmarkStart w:id="1" w:name="_Toc18116"/>
      <w:r>
        <w:rPr>
          <w:rFonts w:hint="eastAsia" w:ascii="宋体" w:hAnsi="宋体"/>
          <w:color w:val="000000"/>
          <w:sz w:val="24"/>
          <w:lang w:val="zh-CN"/>
        </w:rPr>
        <w:t>甲  方：内蒙古昆明卷烟有限责任公司</w:t>
      </w:r>
      <w:bookmarkEnd w:id="1"/>
    </w:p>
    <w:p w14:paraId="2BB4C1BB">
      <w:pPr>
        <w:pageBreakBefore w:val="0"/>
        <w:kinsoku/>
        <w:wordWrap/>
        <w:overflowPunct/>
        <w:topLinePunct w:val="0"/>
        <w:bidi w:val="0"/>
        <w:adjustRightInd w:val="0"/>
        <w:snapToGrid w:val="0"/>
        <w:spacing w:beforeAutospacing="0" w:afterAutospacing="0" w:line="360" w:lineRule="auto"/>
        <w:rPr>
          <w:rFonts w:hint="eastAsia" w:ascii="宋体" w:hAnsi="宋体"/>
          <w:color w:val="000000"/>
          <w:sz w:val="24"/>
          <w:lang w:val="zh-CN"/>
        </w:rPr>
      </w:pPr>
      <w:r>
        <w:rPr>
          <w:rFonts w:hint="eastAsia" w:ascii="宋体" w:hAnsi="宋体"/>
          <w:color w:val="000000"/>
          <w:sz w:val="24"/>
          <w:lang w:val="zh-CN"/>
        </w:rPr>
        <w:t>住所地：内蒙古呼和浩特市赛罕区达尔登北路19号</w:t>
      </w:r>
    </w:p>
    <w:p w14:paraId="4AEBDC1B">
      <w:pPr>
        <w:pageBreakBefore w:val="0"/>
        <w:kinsoku/>
        <w:wordWrap/>
        <w:overflowPunct/>
        <w:topLinePunct w:val="0"/>
        <w:bidi w:val="0"/>
        <w:adjustRightInd w:val="0"/>
        <w:snapToGrid w:val="0"/>
        <w:spacing w:beforeAutospacing="0" w:afterAutospacing="0" w:line="360" w:lineRule="auto"/>
        <w:rPr>
          <w:rFonts w:hint="default" w:ascii="宋体" w:hAnsi="宋体" w:eastAsiaTheme="minorEastAsia"/>
          <w:color w:val="000000"/>
          <w:sz w:val="24"/>
          <w:lang w:val="en-US" w:eastAsia="zh-CN"/>
        </w:rPr>
      </w:pPr>
      <w:r>
        <w:rPr>
          <w:rFonts w:hint="eastAsia" w:ascii="宋体" w:hAnsi="宋体"/>
          <w:color w:val="000000"/>
          <w:sz w:val="24"/>
          <w:lang w:val="en-US" w:eastAsia="zh-CN"/>
        </w:rPr>
        <w:t>法定代表人：</w:t>
      </w:r>
    </w:p>
    <w:p w14:paraId="61EF5514">
      <w:pPr>
        <w:pageBreakBefore w:val="0"/>
        <w:kinsoku/>
        <w:wordWrap/>
        <w:overflowPunct/>
        <w:topLinePunct w:val="0"/>
        <w:bidi w:val="0"/>
        <w:adjustRightInd w:val="0"/>
        <w:snapToGrid w:val="0"/>
        <w:spacing w:beforeAutospacing="0" w:afterAutospacing="0" w:line="360" w:lineRule="auto"/>
        <w:rPr>
          <w:rFonts w:hint="default" w:ascii="宋体" w:hAnsi="宋体" w:eastAsiaTheme="minorEastAsia"/>
          <w:color w:val="000000"/>
          <w:sz w:val="24"/>
          <w:u w:val="single"/>
          <w:lang w:val="en-US" w:eastAsia="zh-CN"/>
        </w:rPr>
      </w:pPr>
      <w:r>
        <w:rPr>
          <w:rFonts w:hint="eastAsia" w:ascii="宋体" w:hAnsi="宋体"/>
          <w:color w:val="000000"/>
          <w:sz w:val="24"/>
          <w:lang w:val="zh-CN"/>
        </w:rPr>
        <w:t>乙  方：</w:t>
      </w:r>
      <w:r>
        <w:rPr>
          <w:rFonts w:hint="eastAsia" w:ascii="宋体" w:hAnsi="宋体"/>
          <w:color w:val="000000"/>
          <w:sz w:val="24"/>
          <w:u w:val="single"/>
          <w:lang w:val="en-US" w:eastAsia="zh-CN"/>
        </w:rPr>
        <w:t>北京创联致信科技有限公司</w:t>
      </w:r>
    </w:p>
    <w:p w14:paraId="0269467D">
      <w:pPr>
        <w:pageBreakBefore w:val="0"/>
        <w:kinsoku/>
        <w:wordWrap/>
        <w:overflowPunct/>
        <w:topLinePunct w:val="0"/>
        <w:bidi w:val="0"/>
        <w:adjustRightInd w:val="0"/>
        <w:snapToGrid w:val="0"/>
        <w:spacing w:beforeAutospacing="0" w:afterAutospacing="0" w:line="360" w:lineRule="auto"/>
        <w:rPr>
          <w:rFonts w:hint="eastAsia" w:ascii="宋体" w:hAnsi="宋体"/>
          <w:color w:val="000000"/>
          <w:sz w:val="24"/>
          <w:lang w:val="zh-CN"/>
        </w:rPr>
      </w:pPr>
      <w:r>
        <w:rPr>
          <w:rFonts w:hint="eastAsia" w:ascii="宋体" w:hAnsi="宋体"/>
          <w:color w:val="000000"/>
          <w:sz w:val="24"/>
          <w:lang w:val="zh-CN"/>
        </w:rPr>
        <w:t>住所地：</w:t>
      </w:r>
      <w:r>
        <w:rPr>
          <w:rFonts w:hint="eastAsia" w:ascii="宋体" w:hAnsi="宋体" w:eastAsia="宋体"/>
          <w:color w:val="000000"/>
          <w:sz w:val="24"/>
          <w:u w:val="single"/>
        </w:rPr>
        <w:t>北京市朝阳区小营北路19号裕发大厦201</w:t>
      </w:r>
    </w:p>
    <w:p w14:paraId="5C5F6F62">
      <w:pPr>
        <w:pageBreakBefore w:val="0"/>
        <w:kinsoku/>
        <w:wordWrap/>
        <w:overflowPunct/>
        <w:topLinePunct w:val="0"/>
        <w:bidi w:val="0"/>
        <w:adjustRightInd w:val="0"/>
        <w:snapToGrid w:val="0"/>
        <w:spacing w:beforeAutospacing="0" w:afterAutospacing="0" w:line="360" w:lineRule="auto"/>
        <w:rPr>
          <w:rFonts w:hint="default" w:ascii="宋体" w:hAnsi="宋体"/>
          <w:color w:val="000000"/>
          <w:sz w:val="24"/>
          <w:lang w:val="en-US" w:eastAsia="zh-CN"/>
        </w:rPr>
      </w:pPr>
      <w:r>
        <w:rPr>
          <w:rFonts w:hint="eastAsia" w:ascii="宋体" w:hAnsi="宋体"/>
          <w:color w:val="000000"/>
          <w:sz w:val="24"/>
          <w:lang w:val="en-US" w:eastAsia="zh-CN"/>
        </w:rPr>
        <w:t>法定代表人：</w:t>
      </w:r>
      <w:r>
        <w:rPr>
          <w:rFonts w:hint="eastAsia" w:ascii="宋体" w:hAnsi="宋体"/>
          <w:color w:val="000000"/>
          <w:sz w:val="24"/>
          <w:u w:val="single"/>
          <w:lang w:val="en-US" w:eastAsia="zh-CN"/>
        </w:rPr>
        <w:t>蔡建</w:t>
      </w:r>
    </w:p>
    <w:p w14:paraId="6543210C">
      <w:pPr>
        <w:pageBreakBefore w:val="0"/>
        <w:kinsoku/>
        <w:wordWrap/>
        <w:overflowPunct/>
        <w:topLinePunct w:val="0"/>
        <w:bidi w:val="0"/>
        <w:adjustRightInd w:val="0"/>
        <w:snapToGrid w:val="0"/>
        <w:spacing w:beforeAutospacing="0" w:afterAutospacing="0" w:line="360" w:lineRule="auto"/>
        <w:rPr>
          <w:rFonts w:hint="default" w:ascii="宋体" w:hAnsi="宋体"/>
          <w:color w:val="000000"/>
          <w:sz w:val="24"/>
          <w:lang w:val="en-US" w:eastAsia="zh-CN"/>
        </w:rPr>
      </w:pPr>
    </w:p>
    <w:p w14:paraId="540330A0">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甲乙双方在平等协商，真实、充分地表达各自意愿的基础上，根据《中华人民共和国民法典》等相关法律、行政法规的规定，就乙方为甲方2024年度安全运维管控、网信全生命周期系统维保（ZQ）项目提供服务的相关事宜达成如下合同条款，以资双方共同遵守。</w:t>
      </w:r>
    </w:p>
    <w:p w14:paraId="40FA39F6">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bookmarkStart w:id="2" w:name="OLE_LINK10"/>
      <w:bookmarkStart w:id="3" w:name="OLE_LINK4"/>
      <w:bookmarkStart w:id="4" w:name="OLE_LINK5"/>
      <w:r>
        <w:rPr>
          <w:rFonts w:hint="eastAsia" w:ascii="宋体" w:hAnsi="宋体"/>
          <w:color w:val="000000"/>
          <w:sz w:val="24"/>
          <w:lang w:val="zh-CN"/>
        </w:rPr>
        <w:t>合同文件的优先顺序</w:t>
      </w:r>
    </w:p>
    <w:p w14:paraId="1F2EA8EE">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下列文件是组成本合同的一部分，并互为补充和解释，如各部分存在冲突之处，以如下排列次序在前者优先适用：</w:t>
      </w:r>
    </w:p>
    <w:p w14:paraId="63A87482">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（1）本合同期间双方签订的补充协议或修正文件；</w:t>
      </w:r>
    </w:p>
    <w:p w14:paraId="53418F11">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（2）本合同文本及合同附件；</w:t>
      </w:r>
    </w:p>
    <w:p w14:paraId="17EF33AA">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（3）中标通知书/成交通知书；</w:t>
      </w:r>
    </w:p>
    <w:p w14:paraId="0C057ED6">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（4）</w:t>
      </w:r>
      <w:bookmarkStart w:id="6" w:name="_GoBack"/>
      <w:r>
        <w:rPr>
          <w:rFonts w:hint="eastAsia" w:ascii="宋体" w:hAnsi="宋体"/>
          <w:color w:val="000000"/>
          <w:sz w:val="24"/>
          <w:lang w:val="zh-CN"/>
        </w:rPr>
        <w:t>投标</w:t>
      </w:r>
      <w:bookmarkEnd w:id="6"/>
      <w:r>
        <w:rPr>
          <w:rFonts w:hint="eastAsia" w:ascii="宋体" w:hAnsi="宋体"/>
          <w:color w:val="000000"/>
          <w:sz w:val="24"/>
          <w:lang w:val="zh-CN"/>
        </w:rPr>
        <w:t>文件/响应文件及其附件；</w:t>
      </w:r>
    </w:p>
    <w:p w14:paraId="0E1A881C">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（5）招标文件/采购文件；</w:t>
      </w:r>
    </w:p>
    <w:p w14:paraId="0030465F">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6）投标文件/响应文件对招标文件/采购文件要求未注明偏离的，以招标文件/采购文件为准。如合同正文与“技术文件”规定的相关标准、规程和规范要求出现不一致时，以最严格的条款为准；如合同正文及附件未约定，以合同组成部分（包括但不限于投标文件/响应文件、招标文件/采购文件）规定为准，出现不一致时，以最有利于采购人的为准。</w:t>
      </w:r>
      <w:bookmarkEnd w:id="2"/>
      <w:bookmarkEnd w:id="3"/>
      <w:bookmarkEnd w:id="4"/>
    </w:p>
    <w:p w14:paraId="54562652">
      <w:pPr>
        <w:pageBreakBefore w:val="0"/>
        <w:kinsoku/>
        <w:wordWrap/>
        <w:overflowPunct/>
        <w:topLinePunct w:val="0"/>
        <w:bidi w:val="0"/>
        <w:adjustRightInd w:val="0"/>
        <w:snapToGrid w:val="0"/>
        <w:spacing w:beforeAutospacing="0" w:afterAutospacing="0" w:line="360" w:lineRule="auto"/>
        <w:ind w:firstLine="482" w:firstLineChars="200"/>
        <w:rPr>
          <w:rFonts w:ascii="宋体" w:hAnsi="宋体"/>
          <w:b/>
          <w:bCs/>
          <w:color w:val="000000"/>
          <w:sz w:val="24"/>
          <w:lang w:val="zh-CN"/>
        </w:rPr>
      </w:pPr>
      <w:r>
        <w:rPr>
          <w:rFonts w:hint="eastAsia" w:ascii="宋体" w:hAnsi="宋体"/>
          <w:b/>
          <w:bCs/>
          <w:color w:val="000000"/>
          <w:sz w:val="24"/>
          <w:lang w:val="zh-CN"/>
        </w:rPr>
        <w:t>第一条</w:t>
      </w:r>
      <w:r>
        <w:rPr>
          <w:rFonts w:hint="eastAsia" w:ascii="宋体" w:hAnsi="宋体"/>
          <w:b/>
          <w:bCs/>
          <w:color w:val="000000"/>
          <w:sz w:val="24"/>
        </w:rPr>
        <w:t>、</w:t>
      </w:r>
      <w:r>
        <w:rPr>
          <w:rFonts w:hint="eastAsia" w:ascii="宋体" w:hAnsi="宋体"/>
          <w:b/>
          <w:bCs/>
          <w:color w:val="000000"/>
          <w:sz w:val="24"/>
          <w:lang w:val="zh-CN"/>
        </w:rPr>
        <w:t>合同内容</w:t>
      </w:r>
    </w:p>
    <w:p w14:paraId="0F449CDF">
      <w:pPr>
        <w:pageBreakBefore w:val="0"/>
        <w:kinsoku/>
        <w:wordWrap/>
        <w:overflowPunct/>
        <w:topLinePunct w:val="0"/>
        <w:bidi w:val="0"/>
        <w:adjustRightInd w:val="0"/>
        <w:snapToGrid w:val="0"/>
        <w:spacing w:beforeAutospacing="0" w:afterAutospacing="0" w:line="360" w:lineRule="auto"/>
        <w:ind w:firstLine="480"/>
        <w:rPr>
          <w:rFonts w:hint="eastAsia" w:ascii="宋体" w:hAnsi="宋体"/>
          <w:b/>
          <w:bCs/>
          <w:color w:val="000000"/>
          <w:sz w:val="24"/>
          <w:lang w:val="zh-CN"/>
        </w:rPr>
      </w:pPr>
      <w:r>
        <w:rPr>
          <w:rFonts w:hint="eastAsia" w:ascii="宋体" w:hAnsi="宋体"/>
          <w:color w:val="000000"/>
          <w:sz w:val="24"/>
          <w:lang w:val="zh-CN"/>
        </w:rPr>
        <w:t>保障甲方安全运维管控系统和网信全生命周期系统正常运转，服务内容包括但不限于日常性维护、纠错性维护、适应性维护、预防性维护和完善性维护等。</w:t>
      </w:r>
    </w:p>
    <w:p w14:paraId="70FC5250">
      <w:pPr>
        <w:pageBreakBefore w:val="0"/>
        <w:kinsoku/>
        <w:wordWrap/>
        <w:overflowPunct/>
        <w:topLinePunct w:val="0"/>
        <w:bidi w:val="0"/>
        <w:adjustRightInd w:val="0"/>
        <w:snapToGrid w:val="0"/>
        <w:spacing w:beforeAutospacing="0" w:afterAutospacing="0" w:line="360" w:lineRule="auto"/>
        <w:ind w:firstLine="480"/>
        <w:rPr>
          <w:rFonts w:ascii="宋体" w:hAnsi="宋体"/>
          <w:b/>
          <w:bCs/>
          <w:color w:val="000000"/>
          <w:sz w:val="24"/>
          <w:lang w:val="zh-CN"/>
        </w:rPr>
      </w:pPr>
      <w:r>
        <w:rPr>
          <w:rFonts w:hint="eastAsia" w:ascii="宋体" w:hAnsi="宋体"/>
          <w:b/>
          <w:bCs/>
          <w:color w:val="000000"/>
          <w:sz w:val="24"/>
          <w:lang w:val="zh-CN"/>
        </w:rPr>
        <w:t>第二条</w:t>
      </w:r>
      <w:r>
        <w:rPr>
          <w:rFonts w:hint="eastAsia" w:ascii="宋体" w:hAnsi="宋体"/>
          <w:b/>
          <w:bCs/>
          <w:color w:val="000000"/>
          <w:sz w:val="24"/>
        </w:rPr>
        <w:t>、</w:t>
      </w:r>
      <w:r>
        <w:rPr>
          <w:rFonts w:hint="eastAsia" w:ascii="宋体" w:hAnsi="宋体"/>
          <w:b/>
          <w:bCs/>
          <w:color w:val="000000"/>
          <w:sz w:val="24"/>
          <w:lang w:val="zh-CN"/>
        </w:rPr>
        <w:t>项目交付期、合同价款及支付方式</w:t>
      </w:r>
    </w:p>
    <w:p w14:paraId="38136760">
      <w:pPr>
        <w:pageBreakBefore w:val="0"/>
        <w:kinsoku/>
        <w:wordWrap/>
        <w:overflowPunct/>
        <w:topLinePunct w:val="0"/>
        <w:bidi w:val="0"/>
        <w:adjustRightInd w:val="0"/>
        <w:snapToGrid w:val="0"/>
        <w:spacing w:beforeAutospacing="0" w:afterAutospacing="0" w:line="360" w:lineRule="auto"/>
        <w:ind w:left="239" w:leftChars="114" w:firstLine="240" w:firstLineChars="100"/>
        <w:rPr>
          <w:rFonts w:ascii="宋体" w:hAnsi="宋体"/>
          <w:color w:val="000000"/>
          <w:sz w:val="24"/>
          <w:lang w:val="zh-CN"/>
        </w:rPr>
      </w:pPr>
      <w:r>
        <w:rPr>
          <w:rFonts w:hint="eastAsia" w:ascii="宋体" w:hAnsi="宋体"/>
          <w:color w:val="000000"/>
          <w:sz w:val="24"/>
          <w:lang w:val="zh-CN"/>
        </w:rPr>
        <w:t>1、项目服务期：合同签订之日起</w:t>
      </w:r>
      <w:r>
        <w:rPr>
          <w:rFonts w:hint="eastAsia" w:ascii="宋体" w:hAnsi="宋体"/>
          <w:color w:val="000000"/>
          <w:sz w:val="24"/>
          <w:lang w:val="en-US" w:eastAsia="zh-CN"/>
        </w:rPr>
        <w:t>三</w:t>
      </w:r>
      <w:r>
        <w:rPr>
          <w:rFonts w:hint="eastAsia" w:ascii="宋体" w:hAnsi="宋体"/>
          <w:color w:val="000000"/>
          <w:sz w:val="24"/>
          <w:lang w:val="zh-CN"/>
        </w:rPr>
        <w:t>年，</w:t>
      </w:r>
      <w:commentRangeStart w:id="1"/>
      <w:r>
        <w:rPr>
          <w:rFonts w:hint="eastAsia" w:ascii="宋体" w:hAnsi="宋体"/>
          <w:color w:val="000000"/>
          <w:sz w:val="24"/>
          <w:lang w:val="zh-CN"/>
        </w:rPr>
        <w:t>即自</w:t>
      </w:r>
      <w:r>
        <w:rPr>
          <w:rFonts w:hint="eastAsia" w:ascii="宋体" w:hAnsi="宋体"/>
          <w:color w:val="000000"/>
          <w:sz w:val="24"/>
          <w:u w:val="single"/>
          <w:lang w:val="en-US" w:eastAsia="zh-CN"/>
        </w:rPr>
        <w:t xml:space="preserve">    </w:t>
      </w:r>
      <w:r>
        <w:rPr>
          <w:rFonts w:hint="eastAsia" w:ascii="宋体" w:hAnsi="宋体"/>
          <w:color w:val="000000"/>
          <w:sz w:val="24"/>
          <w:lang w:val="zh-CN"/>
        </w:rPr>
        <w:t>年</w:t>
      </w:r>
      <w:r>
        <w:rPr>
          <w:rFonts w:hint="eastAsia" w:ascii="宋体" w:hAnsi="宋体"/>
          <w:color w:val="000000"/>
          <w:sz w:val="24"/>
          <w:u w:val="single"/>
          <w:lang w:val="en-US" w:eastAsia="zh-CN"/>
        </w:rPr>
        <w:t xml:space="preserve">  </w:t>
      </w:r>
      <w:r>
        <w:rPr>
          <w:rFonts w:hint="eastAsia" w:ascii="宋体" w:hAnsi="宋体"/>
          <w:color w:val="000000"/>
          <w:sz w:val="24"/>
          <w:lang w:val="zh-CN"/>
        </w:rPr>
        <w:t>月</w:t>
      </w:r>
      <w:r>
        <w:rPr>
          <w:rFonts w:hint="eastAsia" w:ascii="宋体" w:hAnsi="宋体"/>
          <w:color w:val="000000"/>
          <w:sz w:val="24"/>
          <w:u w:val="single"/>
          <w:lang w:val="en-US" w:eastAsia="zh-CN"/>
        </w:rPr>
        <w:t xml:space="preserve">  </w:t>
      </w:r>
      <w:r>
        <w:rPr>
          <w:rFonts w:hint="eastAsia" w:ascii="宋体" w:hAnsi="宋体"/>
          <w:color w:val="000000"/>
          <w:sz w:val="24"/>
          <w:lang w:val="zh-CN"/>
        </w:rPr>
        <w:t>日起至</w:t>
      </w:r>
      <w:r>
        <w:rPr>
          <w:rFonts w:hint="eastAsia" w:ascii="宋体" w:hAnsi="宋体"/>
          <w:color w:val="000000"/>
          <w:sz w:val="24"/>
          <w:u w:val="single"/>
          <w:lang w:val="en-US" w:eastAsia="zh-CN"/>
        </w:rPr>
        <w:t xml:space="preserve">    </w:t>
      </w:r>
      <w:r>
        <w:rPr>
          <w:rFonts w:hint="eastAsia" w:ascii="宋体" w:hAnsi="宋体"/>
          <w:color w:val="000000"/>
          <w:sz w:val="24"/>
          <w:lang w:val="zh-CN"/>
        </w:rPr>
        <w:t>年</w:t>
      </w:r>
      <w:r>
        <w:rPr>
          <w:rFonts w:hint="eastAsia" w:ascii="宋体" w:hAnsi="宋体"/>
          <w:color w:val="000000"/>
          <w:sz w:val="24"/>
          <w:u w:val="single"/>
          <w:lang w:val="en-US" w:eastAsia="zh-CN"/>
        </w:rPr>
        <w:t xml:space="preserve">  </w:t>
      </w:r>
      <w:r>
        <w:rPr>
          <w:rFonts w:hint="eastAsia" w:ascii="宋体" w:hAnsi="宋体"/>
          <w:color w:val="000000"/>
          <w:sz w:val="24"/>
          <w:lang w:val="zh-CN"/>
        </w:rPr>
        <w:t>月</w:t>
      </w:r>
      <w:r>
        <w:rPr>
          <w:rFonts w:hint="eastAsia" w:ascii="宋体" w:hAnsi="宋体"/>
          <w:color w:val="000000"/>
          <w:sz w:val="24"/>
          <w:u w:val="single"/>
          <w:lang w:val="en-US" w:eastAsia="zh-CN"/>
        </w:rPr>
        <w:t xml:space="preserve">  </w:t>
      </w:r>
      <w:r>
        <w:rPr>
          <w:rFonts w:hint="eastAsia" w:ascii="宋体" w:hAnsi="宋体"/>
          <w:color w:val="000000"/>
          <w:sz w:val="24"/>
          <w:lang w:val="zh-CN"/>
        </w:rPr>
        <w:t>日止。</w:t>
      </w:r>
      <w:commentRangeEnd w:id="1"/>
      <w:r>
        <w:commentReference w:id="1"/>
      </w:r>
    </w:p>
    <w:p w14:paraId="0FF56AA6">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2、合同价款：本合同</w:t>
      </w:r>
      <w:r>
        <w:rPr>
          <w:rFonts w:hint="eastAsia" w:ascii="宋体" w:hAnsi="宋体"/>
          <w:color w:val="000000"/>
          <w:sz w:val="24"/>
          <w:highlight w:val="none"/>
          <w:lang w:val="zh-CN"/>
        </w:rPr>
        <w:t>年度运维费用为</w:t>
      </w:r>
      <w:r>
        <w:rPr>
          <w:rFonts w:hint="eastAsia" w:ascii="宋体" w:hAnsi="宋体"/>
          <w:color w:val="000000"/>
          <w:sz w:val="24"/>
          <w:lang w:val="zh-CN"/>
        </w:rPr>
        <w:t>含税金额为¥</w:t>
      </w:r>
      <w:r>
        <w:rPr>
          <w:rFonts w:hint="eastAsia" w:ascii="宋体" w:hAnsi="宋体" w:eastAsia="宋体" w:cs="Times New Roman"/>
          <w:b/>
          <w:bCs/>
          <w:kern w:val="2"/>
          <w:sz w:val="24"/>
          <w:szCs w:val="24"/>
          <w:u w:val="single"/>
        </w:rPr>
        <w:t>110000</w:t>
      </w:r>
      <w:r>
        <w:rPr>
          <w:rFonts w:hint="eastAsia" w:ascii="宋体" w:hAnsi="宋体" w:eastAsia="宋体" w:cs="Times New Roman"/>
          <w:b/>
          <w:bCs/>
          <w:kern w:val="2"/>
          <w:sz w:val="24"/>
          <w:szCs w:val="24"/>
          <w:u w:val="single"/>
          <w:lang w:val="en-US" w:eastAsia="zh-CN"/>
        </w:rPr>
        <w:t>.00</w:t>
      </w:r>
      <w:r>
        <w:rPr>
          <w:rFonts w:hint="eastAsia" w:ascii="宋体" w:hAnsi="宋体"/>
          <w:color w:val="000000"/>
          <w:sz w:val="24"/>
          <w:lang w:val="zh-CN"/>
        </w:rPr>
        <w:t>元（大写：人民币</w:t>
      </w:r>
      <w:r>
        <w:rPr>
          <w:rFonts w:hint="eastAsia" w:ascii="宋体" w:hAnsi="宋体" w:eastAsia="宋体" w:cs="Times New Roman"/>
          <w:b/>
          <w:bCs/>
          <w:kern w:val="2"/>
          <w:sz w:val="21"/>
          <w:szCs w:val="21"/>
          <w:u w:val="single"/>
          <w:lang w:val="en-US" w:eastAsia="zh-CN"/>
        </w:rPr>
        <w:t>壹拾壹万</w:t>
      </w:r>
      <w:r>
        <w:rPr>
          <w:rFonts w:hint="eastAsia" w:ascii="宋体" w:hAnsi="宋体" w:eastAsia="宋体" w:cs="Times New Roman"/>
          <w:b w:val="0"/>
          <w:bCs w:val="0"/>
          <w:kern w:val="2"/>
          <w:sz w:val="24"/>
          <w:szCs w:val="24"/>
          <w:u w:val="none"/>
          <w:lang w:val="en-US" w:eastAsia="zh-CN"/>
        </w:rPr>
        <w:t>元</w:t>
      </w:r>
      <w:r>
        <w:rPr>
          <w:rFonts w:hint="eastAsia" w:ascii="宋体" w:hAnsi="宋体" w:eastAsia="宋体" w:cs="Times New Roman"/>
          <w:kern w:val="2"/>
          <w:sz w:val="24"/>
          <w:szCs w:val="24"/>
          <w:lang w:val="en-US" w:eastAsia="zh-CN"/>
        </w:rPr>
        <w:t>整</w:t>
      </w:r>
      <w:r>
        <w:rPr>
          <w:rFonts w:hint="eastAsia" w:ascii="宋体" w:hAnsi="宋体"/>
          <w:color w:val="000000"/>
          <w:sz w:val="24"/>
          <w:lang w:val="zh-CN"/>
        </w:rPr>
        <w:t>）（含</w:t>
      </w:r>
      <w:r>
        <w:rPr>
          <w:rFonts w:hint="eastAsia" w:ascii="宋体" w:hAnsi="宋体"/>
          <w:b/>
          <w:bCs/>
          <w:color w:val="000000"/>
          <w:sz w:val="24"/>
          <w:u w:val="single"/>
          <w:lang w:val="en-US" w:eastAsia="zh-CN"/>
        </w:rPr>
        <w:t xml:space="preserve">  6  </w:t>
      </w:r>
      <w:r>
        <w:rPr>
          <w:rFonts w:hint="eastAsia" w:ascii="宋体" w:hAnsi="宋体"/>
          <w:color w:val="000000"/>
          <w:sz w:val="24"/>
          <w:lang w:val="zh-CN"/>
        </w:rPr>
        <w:t>%税，税额为¥</w:t>
      </w:r>
      <w:r>
        <w:rPr>
          <w:rFonts w:hint="eastAsia" w:ascii="宋体" w:hAnsi="宋体"/>
          <w:color w:val="000000"/>
          <w:sz w:val="24"/>
          <w:lang w:val="en-US" w:eastAsia="zh-CN"/>
        </w:rPr>
        <w:t xml:space="preserve"> </w:t>
      </w:r>
      <w:r>
        <w:rPr>
          <w:rFonts w:hint="eastAsia" w:ascii="宋体" w:hAnsi="宋体" w:eastAsia="宋体" w:cs="Times New Roman"/>
          <w:b/>
          <w:bCs/>
          <w:kern w:val="2"/>
          <w:sz w:val="24"/>
          <w:szCs w:val="24"/>
          <w:u w:val="single"/>
        </w:rPr>
        <w:t>6226.42</w:t>
      </w:r>
      <w:r>
        <w:rPr>
          <w:rFonts w:hint="eastAsia" w:ascii="宋体" w:hAnsi="宋体"/>
          <w:color w:val="000000"/>
          <w:sz w:val="24"/>
          <w:lang w:val="zh-CN"/>
        </w:rPr>
        <w:t>元），不含税金额为</w:t>
      </w:r>
      <w:r>
        <w:rPr>
          <w:rFonts w:ascii="宋体" w:hAnsi="宋体"/>
          <w:color w:val="000000"/>
          <w:sz w:val="24"/>
          <w:lang w:val="zh-CN"/>
        </w:rPr>
        <w:t>¥</w:t>
      </w:r>
      <w:r>
        <w:rPr>
          <w:rFonts w:hint="eastAsia" w:ascii="宋体" w:hAnsi="宋体" w:eastAsia="宋体" w:cs="Times New Roman"/>
          <w:b/>
          <w:bCs/>
          <w:kern w:val="2"/>
          <w:sz w:val="24"/>
          <w:szCs w:val="24"/>
          <w:u w:val="single"/>
        </w:rPr>
        <w:t>103773.5</w:t>
      </w:r>
      <w:r>
        <w:rPr>
          <w:rFonts w:hint="eastAsia" w:ascii="宋体" w:hAnsi="宋体" w:eastAsia="宋体" w:cs="Times New Roman"/>
          <w:b/>
          <w:bCs/>
          <w:kern w:val="2"/>
          <w:sz w:val="24"/>
          <w:szCs w:val="24"/>
          <w:u w:val="single"/>
          <w:lang w:val="en-US" w:eastAsia="zh-CN"/>
        </w:rPr>
        <w:t>8</w:t>
      </w:r>
      <w:r>
        <w:rPr>
          <w:rFonts w:hint="eastAsia" w:ascii="宋体" w:hAnsi="宋体"/>
          <w:color w:val="000000"/>
          <w:sz w:val="24"/>
          <w:lang w:val="zh-CN"/>
        </w:rPr>
        <w:t>元（大写：人民币</w:t>
      </w:r>
      <w:r>
        <w:rPr>
          <w:rFonts w:hint="eastAsia" w:ascii="宋体" w:hAnsi="宋体" w:eastAsia="宋体" w:cs="Times New Roman"/>
          <w:b/>
          <w:bCs/>
          <w:kern w:val="2"/>
          <w:sz w:val="21"/>
          <w:szCs w:val="21"/>
          <w:u w:val="single"/>
          <w:lang w:val="en-US" w:eastAsia="zh-CN"/>
        </w:rPr>
        <w:t>壹拾万零叁仟柒佰柒拾叁元伍角捌分</w:t>
      </w:r>
      <w:r>
        <w:rPr>
          <w:rFonts w:hint="eastAsia" w:ascii="宋体" w:hAnsi="宋体"/>
          <w:color w:val="000000"/>
          <w:sz w:val="24"/>
          <w:lang w:val="zh-CN"/>
        </w:rPr>
        <w:t>）。本合同价款含税总金额为¥</w:t>
      </w:r>
      <w:r>
        <w:rPr>
          <w:rFonts w:hint="eastAsia" w:ascii="宋体" w:hAnsi="宋体" w:eastAsia="宋体" w:cs="Times New Roman"/>
          <w:b/>
          <w:bCs/>
          <w:kern w:val="2"/>
          <w:sz w:val="24"/>
          <w:szCs w:val="24"/>
          <w:u w:val="single"/>
        </w:rPr>
        <w:t>110000</w:t>
      </w:r>
      <w:r>
        <w:rPr>
          <w:rFonts w:hint="eastAsia" w:ascii="宋体" w:hAnsi="宋体" w:eastAsia="宋体" w:cs="Times New Roman"/>
          <w:b/>
          <w:bCs/>
          <w:kern w:val="2"/>
          <w:sz w:val="24"/>
          <w:szCs w:val="24"/>
          <w:u w:val="single"/>
          <w:lang w:val="en-US" w:eastAsia="zh-CN"/>
        </w:rPr>
        <w:t>.00</w:t>
      </w:r>
      <w:r>
        <w:rPr>
          <w:rFonts w:hint="eastAsia" w:ascii="宋体" w:hAnsi="宋体"/>
          <w:color w:val="000000"/>
          <w:sz w:val="24"/>
          <w:lang w:val="zh-CN"/>
        </w:rPr>
        <w:t>元（大写：人民币</w:t>
      </w:r>
      <w:r>
        <w:rPr>
          <w:rFonts w:hint="eastAsia" w:ascii="宋体" w:hAnsi="宋体" w:eastAsia="宋体" w:cs="Times New Roman"/>
          <w:b/>
          <w:bCs/>
          <w:kern w:val="2"/>
          <w:sz w:val="21"/>
          <w:szCs w:val="21"/>
          <w:u w:val="single"/>
          <w:lang w:val="en-US" w:eastAsia="zh-CN"/>
        </w:rPr>
        <w:t>壹拾壹万</w:t>
      </w:r>
      <w:r>
        <w:rPr>
          <w:rFonts w:hint="eastAsia" w:ascii="宋体" w:hAnsi="宋体" w:eastAsia="宋体" w:cs="Times New Roman"/>
          <w:b w:val="0"/>
          <w:bCs w:val="0"/>
          <w:kern w:val="2"/>
          <w:sz w:val="24"/>
          <w:szCs w:val="24"/>
          <w:u w:val="none"/>
          <w:lang w:val="en-US" w:eastAsia="zh-CN"/>
        </w:rPr>
        <w:t>元</w:t>
      </w:r>
      <w:r>
        <w:rPr>
          <w:rFonts w:hint="eastAsia" w:ascii="宋体" w:hAnsi="宋体" w:eastAsia="宋体" w:cs="Times New Roman"/>
          <w:kern w:val="2"/>
          <w:sz w:val="24"/>
          <w:szCs w:val="24"/>
          <w:lang w:val="en-US" w:eastAsia="zh-CN"/>
        </w:rPr>
        <w:t>整</w:t>
      </w:r>
      <w:r>
        <w:rPr>
          <w:rFonts w:hint="eastAsia" w:ascii="宋体" w:hAnsi="宋体"/>
          <w:color w:val="000000"/>
          <w:sz w:val="24"/>
          <w:lang w:val="zh-CN"/>
        </w:rPr>
        <w:t>）（含</w:t>
      </w:r>
      <w:r>
        <w:rPr>
          <w:rFonts w:hint="eastAsia" w:ascii="宋体" w:hAnsi="宋体"/>
          <w:b/>
          <w:bCs/>
          <w:color w:val="000000"/>
          <w:sz w:val="24"/>
          <w:u w:val="single"/>
          <w:lang w:val="en-US" w:eastAsia="zh-CN"/>
        </w:rPr>
        <w:t xml:space="preserve"> 6 </w:t>
      </w:r>
      <w:r>
        <w:rPr>
          <w:rFonts w:hint="eastAsia" w:ascii="宋体" w:hAnsi="宋体"/>
          <w:color w:val="000000"/>
          <w:sz w:val="24"/>
          <w:lang w:val="zh-CN"/>
        </w:rPr>
        <w:t>%税，税额为¥</w:t>
      </w:r>
      <w:r>
        <w:rPr>
          <w:rFonts w:hint="eastAsia" w:ascii="宋体" w:hAnsi="宋体" w:eastAsia="宋体" w:cs="Times New Roman"/>
          <w:b/>
          <w:bCs/>
          <w:kern w:val="2"/>
          <w:sz w:val="24"/>
          <w:szCs w:val="24"/>
          <w:u w:val="single"/>
        </w:rPr>
        <w:t>6226.42</w:t>
      </w:r>
      <w:r>
        <w:rPr>
          <w:rFonts w:hint="eastAsia" w:ascii="宋体" w:hAnsi="宋体"/>
          <w:color w:val="000000"/>
          <w:sz w:val="24"/>
          <w:lang w:val="zh-CN"/>
        </w:rPr>
        <w:t>元），不含税金额为</w:t>
      </w:r>
      <w:r>
        <w:rPr>
          <w:rFonts w:ascii="宋体" w:hAnsi="宋体"/>
          <w:color w:val="000000"/>
          <w:sz w:val="24"/>
          <w:lang w:val="zh-CN"/>
        </w:rPr>
        <w:t>¥</w:t>
      </w:r>
      <w:r>
        <w:rPr>
          <w:rFonts w:hint="eastAsia" w:ascii="宋体" w:hAnsi="宋体" w:eastAsia="宋体" w:cs="Times New Roman"/>
          <w:b/>
          <w:bCs/>
          <w:kern w:val="2"/>
          <w:sz w:val="24"/>
          <w:szCs w:val="24"/>
          <w:u w:val="single"/>
        </w:rPr>
        <w:t>103773.5</w:t>
      </w:r>
      <w:r>
        <w:rPr>
          <w:rFonts w:hint="eastAsia" w:ascii="宋体" w:hAnsi="宋体" w:eastAsia="宋体" w:cs="Times New Roman"/>
          <w:b/>
          <w:bCs/>
          <w:kern w:val="2"/>
          <w:sz w:val="24"/>
          <w:szCs w:val="24"/>
          <w:u w:val="single"/>
          <w:lang w:val="en-US" w:eastAsia="zh-CN"/>
        </w:rPr>
        <w:t>8</w:t>
      </w:r>
      <w:r>
        <w:rPr>
          <w:rFonts w:hint="eastAsia" w:ascii="宋体" w:hAnsi="宋体"/>
          <w:color w:val="000000"/>
          <w:sz w:val="24"/>
          <w:lang w:val="zh-CN"/>
        </w:rPr>
        <w:t>元（大写：人民币</w:t>
      </w:r>
      <w:r>
        <w:rPr>
          <w:rFonts w:hint="eastAsia" w:ascii="宋体" w:hAnsi="宋体" w:eastAsia="宋体" w:cs="Times New Roman"/>
          <w:b/>
          <w:bCs/>
          <w:kern w:val="2"/>
          <w:sz w:val="21"/>
          <w:szCs w:val="21"/>
          <w:u w:val="single"/>
          <w:lang w:val="en-US" w:eastAsia="zh-CN"/>
        </w:rPr>
        <w:t>壹拾万零叁仟柒佰柒拾叁元伍角捌分</w:t>
      </w:r>
      <w:r>
        <w:rPr>
          <w:rFonts w:hint="eastAsia" w:ascii="宋体" w:hAnsi="宋体"/>
          <w:color w:val="000000"/>
          <w:sz w:val="24"/>
          <w:lang w:val="en-US" w:eastAsia="zh-CN"/>
        </w:rPr>
        <w:t xml:space="preserve"> </w:t>
      </w:r>
      <w:r>
        <w:rPr>
          <w:rFonts w:hint="eastAsia" w:ascii="宋体" w:hAnsi="宋体"/>
          <w:color w:val="000000"/>
          <w:sz w:val="24"/>
          <w:lang w:val="zh-CN"/>
        </w:rPr>
        <w:t>）。</w:t>
      </w:r>
    </w:p>
    <w:p w14:paraId="46173E90">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此价款已包括乙方提供本合同约定的全部服务可能产生的一切费用，除此价款外，甲方无需向乙方支付其他任何款项。</w:t>
      </w:r>
    </w:p>
    <w:p w14:paraId="539264B2">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3、支付方式：在本合同期内，按照以下方式结算</w:t>
      </w:r>
    </w:p>
    <w:p w14:paraId="74AE5E3B">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本合同项下的合同价款，甲方分六次向乙方进行支付：乙方提供维保服务每满半年，乙方提供的服务经甲方验收合格并双方签字确认运维服务报告后，乙方应向甲方提供符合税法要求的与应付款额等额的增值税专用发票，甲方在收到乙方交付的合格发票后</w:t>
      </w:r>
      <w:r>
        <w:rPr>
          <w:rFonts w:hint="eastAsia" w:ascii="宋体" w:hAnsi="宋体"/>
          <w:color w:val="000000"/>
          <w:sz w:val="24"/>
          <w:lang w:val="en-US" w:eastAsia="zh-CN"/>
        </w:rPr>
        <w:t>3</w:t>
      </w:r>
      <w:r>
        <w:rPr>
          <w:rFonts w:hint="eastAsia" w:ascii="宋体" w:hAnsi="宋体"/>
          <w:color w:val="000000"/>
          <w:sz w:val="24"/>
          <w:lang w:val="zh-CN"/>
        </w:rPr>
        <w:t>0个工作日内，甲方向乙方支付合同</w:t>
      </w:r>
      <w:r>
        <w:rPr>
          <w:rFonts w:hint="eastAsia" w:ascii="宋体" w:hAnsi="宋体"/>
          <w:color w:val="000000"/>
          <w:sz w:val="24"/>
          <w:highlight w:val="none"/>
          <w:lang w:val="zh-CN"/>
        </w:rPr>
        <w:t>年度运维费用价款金额</w:t>
      </w:r>
      <w:r>
        <w:rPr>
          <w:rFonts w:hint="eastAsia" w:ascii="宋体" w:hAnsi="宋体"/>
          <w:color w:val="000000"/>
          <w:sz w:val="24"/>
          <w:lang w:val="zh-CN"/>
        </w:rPr>
        <w:t>的50%，即￥</w:t>
      </w:r>
      <w:commentRangeStart w:id="2"/>
      <w:r>
        <w:rPr>
          <w:rFonts w:hint="eastAsia" w:ascii="宋体" w:hAnsi="宋体"/>
          <w:b/>
          <w:bCs/>
          <w:color w:val="000000"/>
          <w:sz w:val="24"/>
          <w:u w:val="single"/>
          <w:lang w:val="en-US" w:eastAsia="zh-CN"/>
        </w:rPr>
        <w:t>55000</w:t>
      </w:r>
      <w:r>
        <w:rPr>
          <w:rFonts w:hint="eastAsia" w:ascii="宋体" w:hAnsi="宋体"/>
          <w:color w:val="000000"/>
          <w:sz w:val="24"/>
          <w:lang w:val="zh-CN"/>
        </w:rPr>
        <w:t>元（大写：人民币</w:t>
      </w:r>
      <w:r>
        <w:rPr>
          <w:rFonts w:hint="eastAsia" w:ascii="宋体" w:hAnsi="宋体"/>
          <w:b/>
          <w:bCs/>
          <w:color w:val="000000"/>
          <w:sz w:val="21"/>
          <w:szCs w:val="21"/>
          <w:u w:val="single"/>
          <w:lang w:val="en-US" w:eastAsia="zh-CN"/>
        </w:rPr>
        <w:t>伍万伍仟元</w:t>
      </w:r>
      <w:r>
        <w:rPr>
          <w:rFonts w:hint="eastAsia" w:ascii="宋体" w:hAnsi="宋体"/>
          <w:color w:val="000000"/>
          <w:sz w:val="24"/>
          <w:lang w:val="en-US" w:eastAsia="zh-CN"/>
        </w:rPr>
        <w:t>整</w:t>
      </w:r>
      <w:r>
        <w:rPr>
          <w:rFonts w:hint="eastAsia" w:ascii="宋体" w:hAnsi="宋体"/>
          <w:color w:val="000000"/>
          <w:sz w:val="24"/>
          <w:lang w:val="zh-CN"/>
        </w:rPr>
        <w:t>）</w:t>
      </w:r>
      <w:commentRangeEnd w:id="2"/>
      <w:r>
        <w:commentReference w:id="2"/>
      </w:r>
      <w:r>
        <w:rPr>
          <w:rFonts w:hint="eastAsia" w:ascii="宋体" w:hAnsi="宋体"/>
          <w:color w:val="000000"/>
          <w:sz w:val="24"/>
          <w:lang w:val="zh-CN"/>
        </w:rPr>
        <w:t>。</w:t>
      </w:r>
    </w:p>
    <w:p w14:paraId="17A20086">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备注：乙方提供的发票不符合甲方要求的，甲方有权拒绝向乙方支付本合同约定款项且甲方在此情况下无需承担任何违约责任，乙方不得因此拒绝履行合同义务。因乙方开具的发票不规范、不合法或涉嫌虚开发票引起税务问题的，乙方需依法向甲方重新开具发票，并向甲方承担赔偿责任，包括但不限于税款、滞纳金、罚款及相关损失等。</w:t>
      </w:r>
    </w:p>
    <w:p w14:paraId="6BF695F4">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4、履约保证金</w:t>
      </w:r>
    </w:p>
    <w:p w14:paraId="0ED9567E">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履约保证金为大写</w:t>
      </w:r>
      <w:r>
        <w:rPr>
          <w:rFonts w:hint="eastAsia" w:ascii="宋体" w:hAnsi="宋体"/>
          <w:color w:val="000000"/>
          <w:sz w:val="24"/>
          <w:highlight w:val="none"/>
          <w:lang w:val="zh-CN"/>
        </w:rPr>
        <w:t>：</w:t>
      </w:r>
      <w:r>
        <w:rPr>
          <w:rFonts w:hint="eastAsia" w:ascii="宋体" w:hAnsi="宋体"/>
          <w:color w:val="000000"/>
          <w:sz w:val="24"/>
          <w:lang w:val="zh-CN"/>
        </w:rPr>
        <w:t>人民币</w:t>
      </w:r>
      <w:r>
        <w:rPr>
          <w:rFonts w:hint="eastAsia" w:ascii="宋体" w:hAnsi="宋体"/>
          <w:color w:val="000000"/>
          <w:sz w:val="24"/>
          <w:lang w:val="en-US" w:eastAsia="zh-CN"/>
        </w:rPr>
        <w:t>捌仟元整</w:t>
      </w:r>
      <w:r>
        <w:rPr>
          <w:rFonts w:hint="eastAsia" w:ascii="宋体" w:hAnsi="宋体"/>
          <w:color w:val="000000"/>
          <w:sz w:val="24"/>
          <w:lang w:val="zh-CN"/>
        </w:rPr>
        <w:t>（￥</w:t>
      </w:r>
      <w:r>
        <w:rPr>
          <w:rFonts w:hint="eastAsia" w:ascii="宋体" w:hAnsi="宋体"/>
          <w:color w:val="000000"/>
          <w:sz w:val="24"/>
          <w:lang w:val="en-US" w:eastAsia="zh-CN"/>
        </w:rPr>
        <w:t>8,000.00</w:t>
      </w:r>
      <w:r>
        <w:rPr>
          <w:rFonts w:hint="eastAsia" w:ascii="宋体" w:hAnsi="宋体"/>
          <w:color w:val="000000"/>
          <w:sz w:val="24"/>
          <w:lang w:val="zh-CN"/>
        </w:rPr>
        <w:t>元）</w:t>
      </w:r>
      <w:r>
        <w:rPr>
          <w:rFonts w:hint="eastAsia" w:ascii="宋体" w:hAnsi="宋体"/>
          <w:color w:val="000000"/>
          <w:sz w:val="24"/>
          <w:highlight w:val="none"/>
          <w:lang w:val="zh-CN"/>
        </w:rPr>
        <w:t>，在</w:t>
      </w:r>
      <w:r>
        <w:rPr>
          <w:rFonts w:hint="eastAsia" w:ascii="宋体" w:hAnsi="宋体"/>
          <w:color w:val="auto"/>
          <w:sz w:val="24"/>
          <w:highlight w:val="none"/>
          <w:lang w:val="zh-CN"/>
        </w:rPr>
        <w:t>合同服务期满</w:t>
      </w:r>
      <w:r>
        <w:rPr>
          <w:rFonts w:hint="default" w:ascii="宋体" w:hAnsi="宋体"/>
          <w:color w:val="000000"/>
          <w:sz w:val="24"/>
          <w:lang w:val="en-US"/>
        </w:rPr>
        <w:t>之日起且乙方无任何其他违约情况下，甲方在</w:t>
      </w:r>
      <w:r>
        <w:rPr>
          <w:rFonts w:hint="eastAsia" w:ascii="宋体" w:hAnsi="宋体"/>
          <w:color w:val="000000"/>
          <w:sz w:val="24"/>
          <w:lang w:val="en-US" w:eastAsia="zh-CN"/>
        </w:rPr>
        <w:t>30</w:t>
      </w:r>
      <w:r>
        <w:rPr>
          <w:rFonts w:hint="eastAsia" w:ascii="宋体" w:hAnsi="宋体"/>
          <w:color w:val="000000"/>
          <w:sz w:val="24"/>
          <w:lang w:val="zh-CN"/>
        </w:rPr>
        <w:t>个工作日内退还全额履约保证金。如乙方存在违约情形，甲方有权从履约保证金中直接扣除违约金、赔偿金或其他应付甲方费用，履约保证金不足以支付上述费用的，不足部分由乙方补足。履约保证金被扣除后，乙方应于接到甲方通知之日起2日内补足履约保证金被扣除部分，乙方逾期补足的，每逾期一日应按应补足数额的</w:t>
      </w:r>
      <w:r>
        <w:rPr>
          <w:rFonts w:hint="eastAsia" w:ascii="宋体" w:hAnsi="宋体"/>
          <w:color w:val="000000"/>
          <w:sz w:val="24"/>
          <w:lang w:val="en-US" w:eastAsia="zh-CN"/>
        </w:rPr>
        <w:t>0.</w:t>
      </w:r>
      <w:r>
        <w:rPr>
          <w:rFonts w:hint="eastAsia" w:ascii="宋体" w:hAnsi="宋体"/>
          <w:color w:val="000000"/>
          <w:sz w:val="24"/>
          <w:lang w:val="zh-CN"/>
        </w:rPr>
        <w:t>3‰向甲方支付违约金，逾期超过15日的，甲方有权解除本合同。</w:t>
      </w:r>
    </w:p>
    <w:p w14:paraId="2FD66C12">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Theme="minorEastAsia"/>
          <w:color w:val="000000"/>
          <w:sz w:val="24"/>
          <w:lang w:val="en-US" w:eastAsia="zh-CN"/>
        </w:rPr>
      </w:pPr>
      <w:r>
        <w:rPr>
          <w:rFonts w:hint="eastAsia" w:ascii="宋体" w:hAnsi="宋体"/>
          <w:color w:val="000000"/>
          <w:sz w:val="24"/>
          <w:lang w:val="en-US" w:eastAsia="zh-CN"/>
        </w:rPr>
        <w:t>5、若因国家政策调整等特殊原因引起税率发生变化，以不含税价及最新税率政策作为结算依据，对合同价款做出相应调整。</w:t>
      </w:r>
    </w:p>
    <w:p w14:paraId="12DD61E1">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第三条、双方的权利与义务</w:t>
      </w:r>
    </w:p>
    <w:p w14:paraId="7C0A1861">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1、甲方为乙方提供必要的工作条件和相关资料。乙方应事先向甲方明确提出所需工作条件和相关资料，经甲方审核同意后，由甲方提供。</w:t>
      </w:r>
    </w:p>
    <w:p w14:paraId="1B92B09B">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2、合同履行期间，如产生需要甲乙双方进行协作的工作，由双方视具体情况、实际问题及时协商。</w:t>
      </w:r>
    </w:p>
    <w:p w14:paraId="769E0F0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3、甲乙双方均应防止因操作不当而造成计算机设备感染病毒或第三方产品的故障、计算机设备故障、网络故障等致使系统无法正常运行。双方确定，在本合同有效期内，甲方指</w:t>
      </w:r>
    </w:p>
    <w:p w14:paraId="229FF0BE">
      <w:pPr>
        <w:pageBreakBefore w:val="0"/>
        <w:kinsoku/>
        <w:wordWrap/>
        <w:overflowPunct/>
        <w:topLinePunct w:val="0"/>
        <w:bidi w:val="0"/>
        <w:adjustRightInd w:val="0"/>
        <w:snapToGrid w:val="0"/>
        <w:spacing w:beforeAutospacing="0" w:afterAutospacing="0" w:line="360" w:lineRule="auto"/>
        <w:rPr>
          <w:rFonts w:hint="eastAsia" w:ascii="宋体" w:hAnsi="宋体"/>
          <w:color w:val="000000"/>
          <w:sz w:val="24"/>
          <w:lang w:val="zh-CN"/>
        </w:rPr>
      </w:pPr>
      <w:r>
        <w:rPr>
          <w:rFonts w:hint="eastAsia" w:ascii="宋体" w:hAnsi="宋体"/>
          <w:color w:val="000000"/>
          <w:sz w:val="24"/>
          <w:lang w:val="zh-CN"/>
        </w:rPr>
        <w:t>定</w:t>
      </w:r>
      <w:commentRangeStart w:id="3"/>
      <w:r>
        <w:rPr>
          <w:rFonts w:hint="eastAsia" w:ascii="宋体" w:hAnsi="宋体"/>
          <w:color w:val="000000"/>
          <w:sz w:val="24"/>
          <w:u w:val="single"/>
          <w:lang w:val="en-US" w:eastAsia="zh-CN"/>
        </w:rPr>
        <w:t xml:space="preserve">    </w:t>
      </w:r>
      <w:r>
        <w:rPr>
          <w:rFonts w:hint="eastAsia" w:ascii="宋体" w:hAnsi="宋体"/>
          <w:color w:val="000000"/>
          <w:sz w:val="24"/>
          <w:lang w:val="zh-CN"/>
        </w:rPr>
        <w:t>为联系人，联系电话：</w:t>
      </w:r>
      <w:r>
        <w:rPr>
          <w:rFonts w:hint="eastAsia" w:ascii="宋体" w:hAnsi="宋体"/>
          <w:b/>
          <w:bCs/>
          <w:color w:val="000000"/>
          <w:sz w:val="24"/>
          <w:u w:val="single"/>
          <w:lang w:val="en-US" w:eastAsia="zh-CN"/>
        </w:rPr>
        <w:t xml:space="preserve">       </w:t>
      </w:r>
      <w:commentRangeEnd w:id="3"/>
      <w:r>
        <w:commentReference w:id="3"/>
      </w:r>
      <w:r>
        <w:rPr>
          <w:rFonts w:hint="eastAsia" w:ascii="宋体" w:hAnsi="宋体"/>
          <w:color w:val="000000"/>
          <w:sz w:val="24"/>
          <w:lang w:val="zh-CN"/>
        </w:rPr>
        <w:t>，乙方指定</w:t>
      </w:r>
      <w:r>
        <w:rPr>
          <w:rFonts w:hint="eastAsia" w:ascii="宋体" w:hAnsi="宋体"/>
          <w:color w:val="000000"/>
          <w:sz w:val="24"/>
          <w:u w:val="single"/>
          <w:lang w:val="en-US" w:eastAsia="zh-CN"/>
        </w:rPr>
        <w:t xml:space="preserve">  </w:t>
      </w:r>
      <w:r>
        <w:rPr>
          <w:rFonts w:hint="eastAsia" w:ascii="宋体" w:hAnsi="宋体"/>
          <w:b/>
          <w:bCs/>
          <w:color w:val="000000"/>
          <w:sz w:val="24"/>
          <w:u w:val="single"/>
          <w:lang w:val="en-US" w:eastAsia="zh-CN"/>
        </w:rPr>
        <w:t>王琪</w:t>
      </w:r>
      <w:r>
        <w:rPr>
          <w:rFonts w:hint="eastAsia" w:ascii="宋体" w:hAnsi="宋体"/>
          <w:color w:val="000000"/>
          <w:sz w:val="24"/>
          <w:u w:val="single"/>
          <w:lang w:val="en-US" w:eastAsia="zh-CN"/>
        </w:rPr>
        <w:t xml:space="preserve">  </w:t>
      </w:r>
      <w:r>
        <w:rPr>
          <w:rFonts w:hint="eastAsia" w:ascii="宋体" w:hAnsi="宋体"/>
          <w:color w:val="000000"/>
          <w:sz w:val="24"/>
          <w:lang w:val="zh-CN"/>
        </w:rPr>
        <w:t>（身份证号：</w:t>
      </w:r>
      <w:r>
        <w:rPr>
          <w:rFonts w:hint="eastAsia" w:ascii="宋体" w:hAnsi="宋体"/>
          <w:color w:val="000000"/>
          <w:sz w:val="24"/>
          <w:u w:val="single"/>
          <w:lang w:val="en-US" w:eastAsia="zh-CN"/>
        </w:rPr>
        <w:t xml:space="preserve"> </w:t>
      </w:r>
      <w:r>
        <w:rPr>
          <w:rFonts w:hint="eastAsia" w:ascii="宋体" w:hAnsi="宋体"/>
          <w:b/>
          <w:bCs/>
          <w:color w:val="000000"/>
          <w:sz w:val="24"/>
          <w:u w:val="single"/>
          <w:lang w:val="en-US" w:eastAsia="zh-CN"/>
        </w:rPr>
        <w:t>130982198304028416</w:t>
      </w:r>
      <w:r>
        <w:rPr>
          <w:rFonts w:hint="eastAsia" w:ascii="宋体" w:hAnsi="宋体"/>
          <w:color w:val="000000"/>
          <w:sz w:val="24"/>
          <w:u w:val="single"/>
          <w:lang w:val="en-US" w:eastAsia="zh-CN"/>
        </w:rPr>
        <w:t xml:space="preserve"> </w:t>
      </w:r>
      <w:r>
        <w:rPr>
          <w:rFonts w:hint="eastAsia" w:ascii="宋体" w:hAnsi="宋体"/>
          <w:color w:val="000000"/>
          <w:sz w:val="24"/>
          <w:lang w:val="zh-CN"/>
        </w:rPr>
        <w:t>）为乙方项目联系人，联系电话：</w:t>
      </w:r>
      <w:r>
        <w:rPr>
          <w:rFonts w:hint="eastAsia" w:ascii="宋体" w:hAnsi="宋体"/>
          <w:color w:val="000000"/>
          <w:sz w:val="24"/>
          <w:u w:val="single"/>
          <w:lang w:val="en-US" w:eastAsia="zh-CN"/>
        </w:rPr>
        <w:t xml:space="preserve"> </w:t>
      </w:r>
      <w:r>
        <w:rPr>
          <w:rFonts w:hint="eastAsia" w:ascii="宋体" w:hAnsi="宋体"/>
          <w:b/>
          <w:bCs/>
          <w:color w:val="000000"/>
          <w:sz w:val="24"/>
          <w:u w:val="single"/>
          <w:lang w:val="en-US" w:eastAsia="zh-CN"/>
        </w:rPr>
        <w:t>15811003607</w:t>
      </w:r>
      <w:r>
        <w:rPr>
          <w:rFonts w:hint="eastAsia" w:ascii="宋体" w:hAnsi="宋体"/>
          <w:color w:val="000000"/>
          <w:sz w:val="24"/>
          <w:u w:val="single"/>
          <w:lang w:val="en-US" w:eastAsia="zh-CN"/>
        </w:rPr>
        <w:t xml:space="preserve"> </w:t>
      </w:r>
      <w:r>
        <w:rPr>
          <w:rFonts w:hint="eastAsia" w:ascii="宋体" w:hAnsi="宋体"/>
          <w:color w:val="000000"/>
          <w:sz w:val="24"/>
          <w:lang w:val="zh-CN"/>
        </w:rPr>
        <w:t>。一方变更项目联系人的，应当在五日内以书面形式通知另一方。因未及时通知对方，影响本合同履行或造成损失的，违约方应向守约方承担赔偿责任。</w:t>
      </w:r>
    </w:p>
    <w:p w14:paraId="50BC5A7E">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4、乙方应做好系统数据备份，并对备份数据进行妥善保管。</w:t>
      </w:r>
    </w:p>
    <w:p w14:paraId="76180FED">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5、乙方有责任对甲方相关人员进行技术培训，帮助甲方相关人员学习、掌握相关技术，使甲方相关人员能够独立操作应用系统。</w:t>
      </w:r>
    </w:p>
    <w:p w14:paraId="6EC1EC7D">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6、乙方的维护人员应熟悉本系统，技术人员相对固定，以确保问题及时处理。在本合同服务期内，乙方不得随意更换服务人员，如因特殊原因需要更换的，乙方需提前一周向甲方书面提交申请，说明更换理由以及保证更换后不降低服务水平和服务质量的说明和承诺，经甲方签字认可后才可更换，否则视为违约。乙方须确保人员变更后根据项目实际情况进行妥善的工作交接，工作交接时间不少于20个工作日。</w:t>
      </w:r>
    </w:p>
    <w:p w14:paraId="6DD61BDC">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7、乙方应保证维护记录完整，同时保证与软件相关的技术文档的同步更新。</w:t>
      </w:r>
    </w:p>
    <w:p w14:paraId="3D9CDE74">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8、合同维护服务期内，乙方应记录系统运维服务内容，内容包括但不限于合同维护服务期内的软件系统运行情况、硬件设备运行情况、系统备份情况、异常故障处理情况、系统bug修复情况、系统升级部署情况、培训情况等。</w:t>
      </w:r>
    </w:p>
    <w:p w14:paraId="1C39B69C">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9、乙方合同签订、履行、收款、发票开具的主体必须保持一致，若确因客观情况乙方主体需要变更、注销合同主体的，必须提前以书面的方式通知甲方，并提供法律规定的相关证明材料。未提前通知甲方或不能提供法律规定的相关证明材料的，甲方有权要求乙方按照合同总价款的</w:t>
      </w:r>
      <w:r>
        <w:rPr>
          <w:rFonts w:hint="eastAsia" w:ascii="宋体" w:hAnsi="宋体"/>
          <w:color w:val="000000"/>
          <w:sz w:val="24"/>
          <w:lang w:val="en-US" w:eastAsia="zh-CN"/>
        </w:rPr>
        <w:t>5</w:t>
      </w:r>
      <w:r>
        <w:rPr>
          <w:rFonts w:hint="eastAsia" w:ascii="宋体" w:hAnsi="宋体"/>
          <w:color w:val="000000"/>
          <w:sz w:val="24"/>
          <w:lang w:val="zh-CN"/>
        </w:rPr>
        <w:t>%向甲方支付违约金。</w:t>
      </w:r>
    </w:p>
    <w:p w14:paraId="0B6E97CC">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10、乙方应确保本合同约定的服务期限内，甲方系统始终处于安全、稳定、正常运行状态。如出现系统运行故障，乙方应根据甲方要求在甲方规定的期限内及时予以维修。</w:t>
      </w:r>
    </w:p>
    <w:p w14:paraId="3868E49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1</w:t>
      </w:r>
      <w:r>
        <w:rPr>
          <w:rFonts w:hint="eastAsia" w:ascii="宋体" w:hAnsi="宋体"/>
          <w:color w:val="000000"/>
          <w:sz w:val="24"/>
          <w:lang w:val="zh-CN"/>
        </w:rPr>
        <w:t>、如乙方委派的服务人员所提供的服务不符合本合同约定或甲方要求的，甲方有权要求乙方更换服务人员，乙方应按甲方要求更换符合甲方要求的服务人员。</w:t>
      </w:r>
    </w:p>
    <w:p w14:paraId="17AED79F">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2</w:t>
      </w:r>
      <w:r>
        <w:rPr>
          <w:rFonts w:hint="eastAsia" w:ascii="宋体" w:hAnsi="宋体"/>
          <w:color w:val="000000"/>
          <w:sz w:val="24"/>
          <w:lang w:val="zh-CN"/>
        </w:rPr>
        <w:t>、乙方应确保其提供维保服务的系统安全。如该系统存在安全风险，乙方应确保及时发现并采取有效措施予以规避。如因系统安全风险造成甲方损失的，乙方应赔偿甲方由此产生的全部直接及间接损失。</w:t>
      </w:r>
    </w:p>
    <w:p w14:paraId="49A294BF">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3</w:t>
      </w:r>
      <w:r>
        <w:rPr>
          <w:rFonts w:hint="eastAsia" w:ascii="宋体" w:hAnsi="宋体"/>
          <w:color w:val="000000"/>
          <w:sz w:val="24"/>
          <w:lang w:val="zh-CN"/>
        </w:rPr>
        <w:t>、针对业务新增、变更、集成等事件，乙方承诺提供后台</w:t>
      </w:r>
      <w:r>
        <w:rPr>
          <w:rFonts w:hint="eastAsia" w:ascii="宋体" w:hAnsi="宋体"/>
          <w:color w:val="000000"/>
          <w:sz w:val="24"/>
          <w:u w:val="single"/>
          <w:lang w:val="en-US" w:eastAsia="zh-CN"/>
        </w:rPr>
        <w:t xml:space="preserve"> 30 </w:t>
      </w:r>
      <w:r>
        <w:rPr>
          <w:rFonts w:hint="eastAsia" w:ascii="宋体" w:hAnsi="宋体"/>
          <w:color w:val="000000"/>
          <w:sz w:val="24"/>
          <w:lang w:val="zh-CN"/>
        </w:rPr>
        <w:t>天开发工作量免费服务，具体工作内容按照甲方实际需求确定。</w:t>
      </w:r>
    </w:p>
    <w:p w14:paraId="27101136">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14、乙方需按甲方要求，每月3日前向甲方提交上个月的运维报告。</w:t>
      </w:r>
    </w:p>
    <w:p w14:paraId="7FD09846">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15、如遇特殊情况，乙方应响应甲方要求，临时增加驻场人员，乙方承诺不另行收费。</w:t>
      </w:r>
      <w:r>
        <w:rPr>
          <w:rFonts w:hint="eastAsia" w:ascii="宋体" w:hAnsi="宋体"/>
          <w:color w:val="000000"/>
          <w:sz w:val="24"/>
          <w:lang w:val="zh-CN"/>
        </w:rPr>
        <w:t>乙方人员在甲方现场提供服务期间，应遵守甲方相关规章制度，服从甲方管理。如出现由于乙方人员造成自身损失、甲方损失或造成第三方损失的情况，由乙方承担全部赔偿义务，并应赔偿甲方由此产生的一切直接和间接损失。</w:t>
      </w:r>
    </w:p>
    <w:p w14:paraId="6F4CC769">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en-US" w:eastAsia="zh-CN"/>
        </w:rPr>
        <w:t>16、</w:t>
      </w:r>
      <w:r>
        <w:rPr>
          <w:rFonts w:hint="eastAsia" w:ascii="宋体" w:hAnsi="宋体"/>
          <w:color w:val="000000"/>
          <w:sz w:val="24"/>
          <w:lang w:val="zh-CN"/>
        </w:rPr>
        <w:t>乙方的企业类型为</w:t>
      </w:r>
      <w:r>
        <w:rPr>
          <w:rFonts w:hint="eastAsia" w:ascii="宋体" w:hAnsi="宋体"/>
          <w:color w:val="000000"/>
          <w:sz w:val="24"/>
          <w:u w:val="single"/>
          <w:lang w:val="zh-CN"/>
        </w:rPr>
        <w:t xml:space="preserve"> </w:t>
      </w:r>
      <w:r>
        <w:rPr>
          <w:rFonts w:hint="eastAsia" w:ascii="宋体" w:hAnsi="宋体" w:eastAsia="宋体"/>
          <w:sz w:val="24"/>
          <w:u w:val="single"/>
        </w:rPr>
        <w:t>民营中小型企业</w:t>
      </w:r>
      <w:r>
        <w:rPr>
          <w:rFonts w:hint="eastAsia" w:ascii="宋体" w:hAnsi="宋体"/>
          <w:color w:val="000000"/>
          <w:sz w:val="24"/>
          <w:u w:val="single"/>
          <w:lang w:val="en-US" w:eastAsia="zh-CN"/>
        </w:rPr>
        <w:t xml:space="preserve"> </w:t>
      </w:r>
      <w:r>
        <w:rPr>
          <w:rFonts w:hint="eastAsia" w:ascii="宋体" w:hAnsi="宋体"/>
          <w:color w:val="000000"/>
          <w:sz w:val="24"/>
          <w:u w:val="single"/>
          <w:lang w:val="zh-CN"/>
        </w:rPr>
        <w:t xml:space="preserve"> </w:t>
      </w:r>
      <w:r>
        <w:rPr>
          <w:rFonts w:hint="eastAsia" w:ascii="宋体" w:hAnsi="宋体"/>
          <w:color w:val="000000"/>
          <w:sz w:val="24"/>
          <w:lang w:val="zh-CN"/>
        </w:rPr>
        <w:t>（①民营企业 ②中小企业 ③民营中小企业 ④其他企业）。乙方应对此信息的真实性、准确性负责，如与实际不符，乙方自行承担由此产生的一切后果。</w:t>
      </w:r>
    </w:p>
    <w:p w14:paraId="7B5028C7">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7</w:t>
      </w:r>
      <w:r>
        <w:rPr>
          <w:rFonts w:hint="eastAsia" w:ascii="宋体" w:hAnsi="宋体"/>
          <w:color w:val="000000"/>
          <w:sz w:val="24"/>
          <w:lang w:val="zh-CN"/>
        </w:rPr>
        <w:t>、根据国家有关法律法规、烟草行业有关规定，合同各方应严格规范交往行为，建立“亲”“清”健康关系，要以党规党纪、法律法规和烟草行业制度规定为准绳。（具体要求详见附件）</w:t>
      </w:r>
    </w:p>
    <w:p w14:paraId="4ACCD638">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第四条、验收条款</w:t>
      </w:r>
    </w:p>
    <w:p w14:paraId="1895BC13">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乙方提供的维保服务每满半年由甲方验收一次，维保服务满半年时，乙方应向甲方提供项目运维服务报告，甲方组织相关部门进行验收，验收合格后在运维服务报告上书面签字确认，作为乙方维保服务经甲方验收合格的凭据。</w:t>
      </w:r>
    </w:p>
    <w:p w14:paraId="5CEA23E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b/>
          <w:bCs/>
          <w:sz w:val="24"/>
          <w:lang w:val="zh-CN"/>
        </w:rPr>
      </w:pPr>
      <w:r>
        <w:rPr>
          <w:rFonts w:hint="eastAsia" w:ascii="宋体" w:hAnsi="宋体"/>
          <w:color w:val="000000"/>
          <w:sz w:val="24"/>
          <w:lang w:val="zh-CN"/>
        </w:rPr>
        <w:t>2、乙方向甲方出具的运维服务报告，应包括系统运维服务内容、次数、完成情况等详细记录。如经甲方对乙方维保服务验收不合格的，乙方应按甲方要求在30天内完成整改，并按照本合同的约定继续履行本合同项下的义务直至甲方验收合格，同时乙方应按照本合同总价款的10%向甲方支付违约金，违约金不足以弥补甲方损失的，乙方应赔偿甲方由此造成的全部直接及间接损失。如系统维保服务期满后30日内，系统维保服务仍未能通过甲方验收的，甲方有权解除本合同，不再向乙方支付任何合同价款，已支付的合同价款全额退还，且由此所产生的一切费用和由此给甲方造成的一切直接及间接损失均由乙方承担。</w:t>
      </w:r>
    </w:p>
    <w:p w14:paraId="09753946">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第五条、网络安全要求</w:t>
      </w:r>
    </w:p>
    <w:p w14:paraId="172A43D5">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1、乙方须接受甲方、烟草行业、其他网络安全和信息化工作主管部门的网络安全监管。乙方须配合并接受甲方网络安全检查工作，提供相应的支持和服务。甲方在网络安全检查中提出的安全隐患、漏洞、不合规等问题，乙方须在规定时间内完成整改。</w:t>
      </w:r>
    </w:p>
    <w:p w14:paraId="5CC0ACA0">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2、乙方应保证未经授权（含软件植入恶意代码、操作不当、故意、恶意等行为）不得窃取、改动、删除、毁坏甲方数据、信息及系统。乙方应保证提供给甲方的软件和产品不得留有后门、病毒、蠕虫、或能获取数据及信息的任何方式方法（除经甲方审批同意的之外）。</w:t>
      </w:r>
    </w:p>
    <w:p w14:paraId="202539A6">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3、</w:t>
      </w:r>
      <w:r>
        <w:rPr>
          <w:rFonts w:hint="eastAsia" w:ascii="宋体" w:hAnsi="宋体"/>
          <w:sz w:val="24"/>
          <w:lang w:val="zh-CN"/>
        </w:rPr>
        <w:t>遵循网络安全“四项原则”。一是保护知识产权，为甲方专门开发的软件以及系统所收集、产生的数据和相关信息的知识产权属于甲方，乙方不能擅自读取、存储、缓存、使用和转接、转交第三方。二是保障技术安全，乙方需确保所提供的软件、硬件产品安全的信息系统安全，并加强内部管理，确保相关服务人员严格遵守上述“保护知识产权”原则。三是保守商业秘密，双方共同履行针对合作意图、技术路径和管理要求等内容的保密责任。四是坚持归口管理，双方合作的具体业务遵循行业有关要求并接受国家局、总公司有关部门和专业公司工作指导，确保涉及烟草行业全局性、战略性业务的政策和标准一致性。</w:t>
      </w:r>
    </w:p>
    <w:p w14:paraId="58AD2860">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甲乙双方共同加强数据安全防护和处理，避免发生数据泄露、丢失、被篡改、被损毁、数据违规使用等内容。乙方应确保数据处理活动符合所有适用的法律法规，包括但不限于《数据安全法》及《个人信息保护法》。</w:t>
      </w:r>
    </w:p>
    <w:p w14:paraId="226B31FA">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乙方要按照甲方“谁主管、谁负责”的原则加强数据处理工作，非经甲方业务主管部门书面审批同意，乙方按照口头通知或自行进行数据修改、删除等违规操作的，甲方有权单方面终止合同，并保留追究乙方责任的权利。</w:t>
      </w:r>
    </w:p>
    <w:p w14:paraId="481A25ED">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本合同期限内，因甲方需要或者业务需求，乙方在提供系统软件运行服务过程中进行系统软件功能调整开发所产生的技术成果归甲方所有。未经甲方同意，包括乙方在内的任何单位或个人不得使用该技术成果，但乙方为履行本合同使用的除外。</w:t>
      </w:r>
    </w:p>
    <w:p w14:paraId="69B79A87">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第六条、保密条款</w:t>
      </w:r>
    </w:p>
    <w:p w14:paraId="2EBFDFE1">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1、乙方应当对本合同内容、因履行本合同或在合同期内获得或收到甲方商务、财务、技术、产品的信息、资料或其他未向社会公开的文件或信息（以下统称“保密信息”）严格保密，未经甲方书面同意，不得以任何形式向本合同外第三方披露以上保密信息。</w:t>
      </w:r>
    </w:p>
    <w:p w14:paraId="383BDDF5">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2、甲方应当对乙方实施该项目所使用的技术及有关资料（含所涉及的第三方提供技术资料）进行保密，保护乙方技术权利不受侵害。甲方承诺，非经乙方书面许可或本合同约定的情形，甲方不得以任何形式将乙方的技术方案、项目阶段报告、系统及各项数据或信息泄露给第三方。</w:t>
      </w:r>
    </w:p>
    <w:p w14:paraId="2D65A5AE">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3、甲乙任何一方被公安、司法机关依法强制要求披露对方任何保密信息，应立即书面通知对方，并审慎披露依法被要求强制公开的保密信息，同时尽最大努力保证对方相关保密信息不被过度、广泛的披露。此情况下，被强制要求披露一方依然不得向本合同外第三方披露对方的保密信息。</w:t>
      </w:r>
    </w:p>
    <w:p w14:paraId="33E2CD37">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4、本保密条款对以下情形不适用：</w:t>
      </w:r>
    </w:p>
    <w:p w14:paraId="57F07C72">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1</w:t>
      </w:r>
      <w:r>
        <w:rPr>
          <w:rFonts w:hint="eastAsia" w:ascii="宋体" w:hAnsi="宋体"/>
          <w:sz w:val="24"/>
          <w:lang w:val="zh-CN"/>
        </w:rPr>
        <w:t>）已被公众熟知的内容；</w:t>
      </w:r>
    </w:p>
    <w:p w14:paraId="3393B74D">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2</w:t>
      </w:r>
      <w:r>
        <w:rPr>
          <w:rFonts w:hint="eastAsia" w:ascii="宋体" w:hAnsi="宋体"/>
          <w:sz w:val="24"/>
          <w:lang w:val="zh-CN"/>
        </w:rPr>
        <w:t>）已通过出版物或其他原因（未经授权行为或疏忽除外）而向大众公开的内容；</w:t>
      </w:r>
    </w:p>
    <w:p w14:paraId="5DCCF039">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3</w:t>
      </w:r>
      <w:r>
        <w:rPr>
          <w:rFonts w:hint="eastAsia" w:ascii="宋体" w:hAnsi="宋体"/>
          <w:sz w:val="24"/>
          <w:lang w:val="zh-CN"/>
        </w:rPr>
        <w:t>）由任何第三方未加任何约束提供的内容，且该第三方对这些内容无任何明确、暗含或暗示的保密义务；</w:t>
      </w:r>
    </w:p>
    <w:p w14:paraId="529A5552">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4</w:t>
      </w:r>
      <w:r>
        <w:rPr>
          <w:rFonts w:hint="eastAsia" w:ascii="宋体" w:hAnsi="宋体"/>
          <w:sz w:val="24"/>
          <w:lang w:val="zh-CN"/>
        </w:rPr>
        <w:t>） 按法律要求需向任何机关、机构或媒介公开的内容。</w:t>
      </w:r>
    </w:p>
    <w:p w14:paraId="453DFC5A">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5、乙方保证，甲方依据本合同持有和使用乙方提供的软件、设备、技术文件等不会侵犯任何第三方知识产权或其他在先权利。如甲方因使用乙方提供的设备、软件及技术文件等而侵犯他人的知识产权或致使除本合同各方以外的第三人向甲方提出索赔或权利请求，应由乙方负责处理和赔偿，同时乙方应赔偿因此给甲方造成的直接及间接损失，同时乙方应立即无偿更换被控侵权的系统、部件、软件及技术文件等，以保证甲方免受上述赔偿请求。</w:t>
      </w:r>
    </w:p>
    <w:p w14:paraId="6E6B5F8E">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6、乙方违反本合同约定保密义务的，甲方有权解除合同，乙方应向甲方支付合同价款总额</w:t>
      </w:r>
      <w:r>
        <w:rPr>
          <w:rFonts w:hint="eastAsia" w:ascii="宋体" w:hAnsi="宋体"/>
          <w:sz w:val="24"/>
          <w:lang w:val="en-US" w:eastAsia="zh-CN"/>
        </w:rPr>
        <w:t>1</w:t>
      </w:r>
      <w:r>
        <w:rPr>
          <w:rFonts w:hint="eastAsia" w:ascii="宋体" w:hAnsi="宋体"/>
          <w:sz w:val="24"/>
          <w:lang w:val="zh-CN"/>
        </w:rPr>
        <w:t>0%的违约金，违约金不足以弥补甲方损失，乙方应赔偿甲方由此造成的全部直接及间接损失。</w:t>
      </w:r>
    </w:p>
    <w:p w14:paraId="50110706">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7、保密期限在本合同期满、解除或终止后仍然有效，保密期限至相关信息合法公开时止。</w:t>
      </w:r>
    </w:p>
    <w:p w14:paraId="0E06385A">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第七条、知识产权</w:t>
      </w:r>
    </w:p>
    <w:p w14:paraId="567B5E90">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1、乙方确保项目收集、产生的数据和相关信息（含在本合同履行期间内产生的各种专用维护文档等信息）的知识产权属于甲方。乙方不得擅自读取、存储、缓存、使用和转接、转交第三方。未经甲方书面许可，乙方不得以任何形式将甲方的软件、数据、个人信息和相关信息的知识产权泄露给第三方。</w:t>
      </w:r>
    </w:p>
    <w:p w14:paraId="4E6C7DED">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2、经甲乙双方协商一致，乙方因履行本合同而向甲方交付的工作成果的相关知识产权归甲方所有，未经甲方书面同意，乙方不得擅自使用或许可他人使用，如有违反，应按照本合同违约条款约定承担相关违约责任。</w:t>
      </w:r>
    </w:p>
    <w:p w14:paraId="72E19544">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3、乙方保证合同期内提供的产品和服务不侵犯任何第三方的知识产权以及其他相关权益。若因乙方提供的产品或服务存在侵犯第三方合法权益的行为，乙方应自行负责处理纠纷，如导致甲方被追究侵权责任的，乙方应赔偿甲方由此造成的全部直接及间接损失（包括担不限于直接损失、间接损失、律师费、诉讼费，处理因乙方原因引起的与第三方的知识产权及其它任何侵权纠纷而支付的一切费用）。</w:t>
      </w:r>
    </w:p>
    <w:p w14:paraId="0DA0EF39">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4、甲方临时需要乙方提供有关涉密技术资料给第三方的，甲方应出具书面意见，乙方应按书面要求积极配合。</w:t>
      </w:r>
    </w:p>
    <w:p w14:paraId="25EF183E">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5、无商标许可：除非另有约定，本合同及本合同的履行并不授予任何一方公司名称、商标或其他商业标识中与此相关的任何权利、利益或许可。</w:t>
      </w:r>
    </w:p>
    <w:p w14:paraId="024504A2">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第八条、违约责任</w:t>
      </w:r>
    </w:p>
    <w:p w14:paraId="6A6A183A">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1、乙方所提供的服务内容和方式不符合本合同双方约定的内容和方式，乙方应负责按照甲方要求改正直至达到合同及甲方的要求，由此导致甲方软件无法正常使用，乙方应承担违约责任。如经甲方两次验收仍不合格的，甲方有权解除本合同，乙方应退还甲方已付款项并向甲方支付合同价款总金额</w:t>
      </w:r>
      <w:r>
        <w:rPr>
          <w:rFonts w:hint="eastAsia" w:ascii="宋体" w:hAnsi="宋体"/>
          <w:sz w:val="24"/>
          <w:lang w:val="en-US" w:eastAsia="zh-CN"/>
        </w:rPr>
        <w:t>1</w:t>
      </w:r>
      <w:r>
        <w:rPr>
          <w:rFonts w:hint="eastAsia" w:ascii="宋体" w:hAnsi="宋体"/>
          <w:sz w:val="24"/>
          <w:lang w:val="zh-CN"/>
        </w:rPr>
        <w:t>0%的违约金，违约金不足以弥补甲方损失，乙方应赔偿甲方由此造成的全部直接及间接损失。</w:t>
      </w:r>
    </w:p>
    <w:p w14:paraId="2FF129AF">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2、乙方未按合同约定为甲方提供服务的，每出现一次应向甲方支付违约金人民币1000元，且甲方有权委托他人提供该服务。所需费用由乙方承担。</w:t>
      </w:r>
    </w:p>
    <w:p w14:paraId="78F063A9">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3</w:t>
      </w:r>
      <w:r>
        <w:rPr>
          <w:rFonts w:hint="eastAsia" w:ascii="宋体" w:hAnsi="宋体"/>
          <w:sz w:val="24"/>
          <w:lang w:val="zh-CN"/>
        </w:rPr>
        <w:t>、乙方在未经甲方书面同意的情况下擅自更换项目人员，每发生一次，乙方应向甲方支付本合同价款总金额</w:t>
      </w:r>
      <w:r>
        <w:rPr>
          <w:rFonts w:hint="eastAsia" w:ascii="宋体" w:hAnsi="宋体"/>
          <w:sz w:val="24"/>
          <w:lang w:val="en-US" w:eastAsia="zh-CN"/>
        </w:rPr>
        <w:t>0.0</w:t>
      </w:r>
      <w:r>
        <w:rPr>
          <w:rFonts w:hint="eastAsia" w:ascii="宋体" w:hAnsi="宋体"/>
          <w:sz w:val="24"/>
          <w:lang w:val="zh-CN"/>
        </w:rPr>
        <w:t>5％的违约金并予以纠正。发生二次及以上的，甲方有权解除合同，乙方应向甲方支付合同价款总金额</w:t>
      </w:r>
      <w:r>
        <w:rPr>
          <w:rFonts w:hint="eastAsia" w:ascii="宋体" w:hAnsi="宋体"/>
          <w:sz w:val="24"/>
          <w:lang w:val="en-US" w:eastAsia="zh-CN"/>
        </w:rPr>
        <w:t>1</w:t>
      </w:r>
      <w:r>
        <w:rPr>
          <w:rFonts w:hint="eastAsia" w:ascii="宋体" w:hAnsi="宋体"/>
          <w:sz w:val="24"/>
          <w:lang w:val="zh-CN"/>
        </w:rPr>
        <w:t>0%的违约金，违约金不足以弥补甲方损失的，乙方应赔偿甲方因此产生的全部直接及间接损失。</w:t>
      </w:r>
    </w:p>
    <w:p w14:paraId="095A151C">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、甲乙任何一方不按本合同第六条的相关约定承担保密责任的，违约方需向守约方支付相当于本合同总金额10%的违约金，违约金不足以弥补守约方损失的，违约方须赔偿守约方因此产生的直接及间接损失。</w:t>
      </w:r>
    </w:p>
    <w:p w14:paraId="5355308E">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如乙方违反本合同项下知识产权条款的约定，则甲方有权解除本合同，乙方应退还甲方已付全部合同价款，并向甲方支付本合同价款总金额10%的违约金，违约金不足以弥补甲方损失的，乙方应赔偿甲方因此产生的全部直接及间接损失。</w:t>
      </w:r>
    </w:p>
    <w:p w14:paraId="7D0DD852">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签订本合同后，如甲方发现乙方存在违反《廉洁合同》约定的情形，或存在本合同附件《列入内蒙古昆明卷烟有限责任公司供应商黑名单的情形和处理措施》规定的列入甲方公司供应商黑名单的情形，甲方有权解除本合同，并按照本合同和《廉洁合同》的约定进行相应的处理和追究乙方的违约责任，且甲方有权将乙方列入甲方供应商黑名单并上报甲方上级单位及中国烟草总公司，将乙方列入烟草行业供应商黑名单，实施相应禁入措施。</w:t>
      </w:r>
    </w:p>
    <w:p w14:paraId="78C28E38">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7</w:t>
      </w:r>
      <w:r>
        <w:rPr>
          <w:rFonts w:hint="eastAsia" w:ascii="宋体" w:hAnsi="宋体"/>
          <w:sz w:val="24"/>
          <w:lang w:val="zh-CN"/>
        </w:rPr>
        <w:t>、乙方不得解除本合同，否则应向甲方支付合同价款总金额</w:t>
      </w:r>
      <w:r>
        <w:rPr>
          <w:rFonts w:hint="eastAsia" w:ascii="宋体" w:hAnsi="宋体"/>
          <w:sz w:val="24"/>
          <w:lang w:val="en-US" w:eastAsia="zh-CN"/>
        </w:rPr>
        <w:t>1</w:t>
      </w:r>
      <w:r>
        <w:rPr>
          <w:rFonts w:hint="eastAsia" w:ascii="宋体" w:hAnsi="宋体"/>
          <w:sz w:val="24"/>
          <w:lang w:val="zh-CN"/>
        </w:rPr>
        <w:t>0%的违约金，违约金不足以弥补甲方损失的，乙方还应赔偿甲方由此造成的全部直接及间接损失。</w:t>
      </w:r>
    </w:p>
    <w:p w14:paraId="7FF711D9">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8</w:t>
      </w:r>
      <w:r>
        <w:rPr>
          <w:rFonts w:hint="eastAsia" w:ascii="宋体" w:hAnsi="宋体"/>
          <w:sz w:val="24"/>
          <w:lang w:val="zh-CN"/>
        </w:rPr>
        <w:t>、</w:t>
      </w:r>
      <w:r>
        <w:rPr>
          <w:rFonts w:hint="eastAsia" w:ascii="宋体" w:hAnsi="宋体"/>
          <w:sz w:val="24"/>
          <w:highlight w:val="none"/>
          <w:lang w:val="zh-CN"/>
        </w:rPr>
        <w:t>乙方不得将本合同项目部分或全部转让给他人</w:t>
      </w:r>
      <w:r>
        <w:rPr>
          <w:rFonts w:hint="eastAsia" w:ascii="宋体" w:hAnsi="宋体"/>
          <w:sz w:val="24"/>
          <w:lang w:val="zh-CN"/>
        </w:rPr>
        <w:t>；经甲方书面许可，乙方可以将合同项目的非主体、非关键性工作分包给他人完成，接受分包的人应当具备相应的资格条件并不得再次分包。如乙方或相关方违反上述约定，乙方应向甲方支付本合同价款</w:t>
      </w:r>
      <w:r>
        <w:rPr>
          <w:rFonts w:hint="eastAsia" w:ascii="宋体" w:hAnsi="宋体"/>
          <w:sz w:val="24"/>
          <w:lang w:val="en-US" w:eastAsia="zh-CN"/>
        </w:rPr>
        <w:t>1</w:t>
      </w:r>
      <w:r>
        <w:rPr>
          <w:rFonts w:hint="eastAsia" w:ascii="宋体" w:hAnsi="宋体"/>
          <w:sz w:val="24"/>
          <w:lang w:val="zh-CN"/>
        </w:rPr>
        <w:t>0%的违约金，违约金不足以弥补甲方损失的，乙方还需赔偿甲方由此遭受的全部直接及间接损失，且甲方有权单方解除合同，合同解除的，乙方仍应承担前述违约责任。</w:t>
      </w:r>
    </w:p>
    <w:p w14:paraId="4C5140DA">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9</w:t>
      </w:r>
      <w:r>
        <w:rPr>
          <w:rFonts w:hint="eastAsia" w:ascii="宋体" w:hAnsi="宋体"/>
          <w:sz w:val="24"/>
          <w:lang w:val="zh-CN"/>
        </w:rPr>
        <w:t>、除本合同另有约定外，乙方存在任何违反本合同约定的行为，甲方均有权要求乙方纠正，乙方未及时纠正，甲方有权解除合同，乙方应向甲方支付合同价款总金额30%的违约金，违约金不足以弥补甲方损失，乙方还应赔偿甲方由此造成的全部直接及间接损失。</w:t>
      </w:r>
    </w:p>
    <w:p w14:paraId="566FC261">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1</w:t>
      </w:r>
      <w:r>
        <w:rPr>
          <w:rFonts w:hint="eastAsia" w:ascii="宋体" w:hAnsi="宋体"/>
          <w:sz w:val="24"/>
          <w:lang w:val="en-US" w:eastAsia="zh-CN"/>
        </w:rPr>
        <w:t>0</w:t>
      </w:r>
      <w:r>
        <w:rPr>
          <w:rFonts w:hint="eastAsia" w:ascii="宋体" w:hAnsi="宋体"/>
          <w:sz w:val="24"/>
          <w:lang w:val="zh-CN"/>
        </w:rPr>
        <w:t>、乙方因违反本合同约定应向甲方支付违约金、赔偿金或其他费用的，甲方有权在履约保证金、尚未支付的款项中扣除，不足部分，乙方仍应支付给甲方。</w:t>
      </w:r>
    </w:p>
    <w:p w14:paraId="25CEE05F">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en-US" w:eastAsia="zh-CN"/>
        </w:rPr>
      </w:pPr>
      <w:r>
        <w:rPr>
          <w:rFonts w:hint="eastAsia" w:ascii="宋体" w:hAnsi="宋体"/>
          <w:sz w:val="24"/>
          <w:lang w:val="en-US" w:eastAsia="zh-CN"/>
        </w:rPr>
        <w:t>11、每缺少1份月度运维报告，乙方同意扣除运维费用总额的1%。</w:t>
      </w:r>
    </w:p>
    <w:p w14:paraId="73AD86B8">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en-US" w:eastAsia="zh-CN"/>
        </w:rPr>
      </w:pPr>
      <w:r>
        <w:rPr>
          <w:rFonts w:hint="eastAsia" w:ascii="宋体" w:hAnsi="宋体"/>
          <w:sz w:val="24"/>
          <w:lang w:val="en-US" w:eastAsia="zh-CN"/>
        </w:rPr>
        <w:t>12、在合同服务期内，如因乙方原因或者系统自身原因导致甲方系统瘫痪8小时以上，造成甲方生产经营受影响，甲方有权解除合同，已支付的合同价款全额退还，乙方应按照合同总价款的10%向甲方支付违约金，违约金不足以弥补甲方损失的，乙方应赔偿甲方由此造成的全部直接及间接损失。</w:t>
      </w:r>
    </w:p>
    <w:p w14:paraId="0C32568F">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en-US" w:eastAsia="zh-CN"/>
        </w:rPr>
      </w:pPr>
      <w:r>
        <w:rPr>
          <w:rFonts w:hint="eastAsia" w:ascii="宋体" w:hAnsi="宋体"/>
          <w:sz w:val="24"/>
          <w:lang w:val="en-US" w:eastAsia="zh-CN"/>
        </w:rPr>
        <w:t>13、针对甲方或甲方聘请的第三方检测发现的网络安全问题，乙方未在甲方规定期限内完成处理，每出现一次，乙方应向甲方支付违约金人民币2000元。累计出现3次的，甲方有权解除合同，已支付的合同价款全额退还，乙方应向甲方支付合同价款总额10%的违约金，违约金不足以弥补甲方损失的，乙方应赔偿甲方由此造成的全部直接及间接损失。</w:t>
      </w:r>
    </w:p>
    <w:p w14:paraId="7EE875A9">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en-US" w:eastAsia="zh-CN"/>
        </w:rPr>
      </w:pPr>
      <w:r>
        <w:rPr>
          <w:rFonts w:hint="eastAsia" w:ascii="宋体" w:hAnsi="宋体"/>
          <w:sz w:val="24"/>
          <w:lang w:val="en-US" w:eastAsia="zh-CN"/>
        </w:rPr>
        <w:t>14、在相关案件查办时，乙方应积极依法履行配合提供证据及作证的义务。如果发生拒不配合监委调查工作的情形，甲方（采购人）有权对乙方采取警示约谈，降低考核评价分数、降低供货份额、缩短服务期限、终止或解除合同等多种处理措施，对甲方的此类处理措施，乙方完全接受。如甲方终止或解除合同的，自甲方的终止或解除合同通知送达乙方时生效。如甲方因乙方发生拒不配合监委调查工作的情形（认定依据包括但不限于甲方及甲方上级相关部门的通报反馈），甲方采取以上措施后造成甲方损失的，乙方自愿承担赔偿损失等全部法律责任。</w:t>
      </w:r>
    </w:p>
    <w:p w14:paraId="2C420D84">
      <w:pPr>
        <w:pageBreakBefore w:val="0"/>
        <w:kinsoku/>
        <w:wordWrap/>
        <w:overflowPunct/>
        <w:topLinePunct w:val="0"/>
        <w:bidi w:val="0"/>
        <w:adjustRightInd w:val="0"/>
        <w:snapToGrid w:val="0"/>
        <w:spacing w:beforeAutospacing="0" w:afterAutospacing="0" w:line="360" w:lineRule="auto"/>
        <w:ind w:firstLine="480"/>
        <w:rPr>
          <w:rFonts w:hint="default" w:ascii="宋体" w:hAnsi="宋体"/>
          <w:sz w:val="24"/>
          <w:lang w:val="en-US" w:eastAsia="zh-CN"/>
        </w:rPr>
      </w:pPr>
      <w:r>
        <w:rPr>
          <w:rFonts w:hint="eastAsia" w:ascii="宋体" w:hAnsi="宋体"/>
          <w:sz w:val="24"/>
          <w:lang w:val="en-US" w:eastAsia="zh-CN"/>
        </w:rPr>
        <w:t>15、如果乙方不能完成运维任务，甲方有权自行寻找运维服务商替代并解除合同，在此期间产生的运维费用由乙方全额承担，如甲方已支付部分运维费用，乙方应全额退还；同时甲方有权没收履约保证金。</w:t>
      </w:r>
    </w:p>
    <w:p w14:paraId="227D5E2E">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第九条、争议解决办法</w:t>
      </w:r>
    </w:p>
    <w:p w14:paraId="428F8388">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在本合同履行过程中，如发生争议和纠纷，双方应友好协商解决，协商不成，可向甲方所在地有管辖权的人民法院起诉。</w:t>
      </w:r>
    </w:p>
    <w:p w14:paraId="1F5AC795">
      <w:pPr>
        <w:pageBreakBefore w:val="0"/>
        <w:numPr>
          <w:ilvl w:val="0"/>
          <w:numId w:val="7"/>
        </w:numPr>
        <w:kinsoku/>
        <w:wordWrap/>
        <w:overflowPunct/>
        <w:topLinePunct w:val="0"/>
        <w:bidi w:val="0"/>
        <w:adjustRightInd w:val="0"/>
        <w:snapToGrid w:val="0"/>
        <w:spacing w:beforeAutospacing="0" w:afterAutospacing="0" w:line="360" w:lineRule="auto"/>
        <w:rPr>
          <w:rFonts w:ascii="宋体" w:hAnsi="宋体"/>
          <w:b/>
          <w:bCs/>
          <w:sz w:val="24"/>
        </w:rPr>
      </w:pPr>
      <w:r>
        <w:rPr>
          <w:rFonts w:hint="eastAsia" w:ascii="宋体" w:hAnsi="宋体"/>
          <w:b/>
          <w:bCs/>
          <w:sz w:val="24"/>
          <w:lang w:val="zh-CN"/>
        </w:rPr>
        <w:t>合同的变更和终止</w:t>
      </w:r>
      <w:r>
        <w:rPr>
          <w:rFonts w:hint="eastAsia" w:ascii="宋体" w:hAnsi="宋体"/>
          <w:b/>
          <w:bCs/>
          <w:sz w:val="24"/>
        </w:rPr>
        <w:t xml:space="preserve"> </w:t>
      </w:r>
    </w:p>
    <w:p w14:paraId="378AD380">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1、本合同履行过程中经双方授权代表签字并盖章确认的变更视为本合同的补充条款，与本合同具有同等法律效力。</w:t>
      </w:r>
    </w:p>
    <w:p w14:paraId="393DCC53">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2、发生下列情形之一，守约方有权用书面形式通知违约方解除本合同：</w:t>
      </w:r>
    </w:p>
    <w:p w14:paraId="39758560">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1</w:t>
      </w:r>
      <w:r>
        <w:rPr>
          <w:rFonts w:hint="eastAsia" w:ascii="宋体" w:hAnsi="宋体"/>
          <w:sz w:val="24"/>
          <w:lang w:val="zh-CN"/>
        </w:rPr>
        <w:t>）违约方违反本合同相关约定，守约方以书面形式通知其纠正违约行为，违约方在收到书面通知后30日内仍未能纠正其违约行为的。</w:t>
      </w:r>
    </w:p>
    <w:p w14:paraId="36834544">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2</w:t>
      </w:r>
      <w:r>
        <w:rPr>
          <w:rFonts w:hint="eastAsia" w:ascii="宋体" w:hAnsi="宋体"/>
          <w:sz w:val="24"/>
          <w:lang w:val="zh-CN"/>
        </w:rPr>
        <w:t>）对方履行本合同不合法或将成为不合法，或者发生不可抗力事件，致使合同义务全部或部分不能履行的。</w:t>
      </w:r>
    </w:p>
    <w:p w14:paraId="39305007">
      <w:pPr>
        <w:pageBreakBefore w:val="0"/>
        <w:kinsoku/>
        <w:wordWrap/>
        <w:overflowPunct/>
        <w:topLinePunct w:val="0"/>
        <w:bidi w:val="0"/>
        <w:adjustRightInd w:val="0"/>
        <w:snapToGrid w:val="0"/>
        <w:spacing w:beforeAutospacing="0" w:afterAutospacing="0" w:line="360" w:lineRule="auto"/>
        <w:ind w:firstLine="482" w:firstLineChars="200"/>
        <w:rPr>
          <w:rFonts w:ascii="宋体" w:hAnsi="宋体"/>
          <w:b/>
          <w:bCs/>
          <w:sz w:val="24"/>
        </w:rPr>
      </w:pPr>
      <w:r>
        <w:rPr>
          <w:rFonts w:hint="eastAsia" w:ascii="宋体" w:hAnsi="宋体"/>
          <w:b/>
          <w:bCs/>
          <w:sz w:val="24"/>
          <w:lang w:val="zh-CN"/>
        </w:rPr>
        <w:t>第十一条、不可抗力</w:t>
      </w:r>
      <w:r>
        <w:rPr>
          <w:rFonts w:hint="eastAsia" w:ascii="宋体" w:hAnsi="宋体"/>
          <w:b/>
          <w:bCs/>
          <w:sz w:val="24"/>
        </w:rPr>
        <w:t xml:space="preserve"> </w:t>
      </w:r>
    </w:p>
    <w:p w14:paraId="513F6BDA">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本合同所称不可抗力是指甲、乙双方不能预见、不能避免且不能克服的客观情况，既包括地震、台风、火灾、水灾、海啸、雷电、重大疫病等自然灾害，也包括某些社会现象，如政治活动或上级有关部门的指示、相关政策的变化、战争、暴乱、罢工等。因不可抗力致使本合同任何一方不能部分或全部履行本合同，遭受不可抗力的一方当事人无需向对方当事人承担责任，但应在不可抗力发生之日起</w:t>
      </w:r>
      <w:r>
        <w:rPr>
          <w:rFonts w:hint="eastAsia" w:ascii="宋体" w:hAnsi="宋体"/>
          <w:sz w:val="24"/>
          <w:u w:val="single"/>
          <w:lang w:val="zh-CN"/>
        </w:rPr>
        <w:t>10</w:t>
      </w:r>
      <w:r>
        <w:rPr>
          <w:rFonts w:hint="eastAsia" w:ascii="宋体" w:hAnsi="宋体"/>
          <w:sz w:val="24"/>
          <w:lang w:val="zh-CN"/>
        </w:rPr>
        <w:t>个工作日内向另一方当事人发出书面通知，说明不可抗力的状况和不能全部或部分履行本合同的原因，并在不可抗力发生之日起</w:t>
      </w:r>
      <w:r>
        <w:rPr>
          <w:rFonts w:hint="eastAsia" w:ascii="宋体" w:hAnsi="宋体"/>
          <w:sz w:val="24"/>
          <w:u w:val="single"/>
          <w:lang w:val="zh-CN"/>
        </w:rPr>
        <w:t>10</w:t>
      </w:r>
      <w:r>
        <w:rPr>
          <w:rFonts w:hint="eastAsia" w:ascii="宋体" w:hAnsi="宋体"/>
          <w:sz w:val="24"/>
          <w:lang w:val="zh-CN"/>
        </w:rPr>
        <w:t>个工作日内提供发生不可抗力的合法证明资料。在任何一方遭遇不可抗力的情况下，双方应当尽快进行协商，寻求双方认可的解决方案，尽量将不可抗力造成的影响降至最低。如不可抗力及其影响持续</w:t>
      </w:r>
      <w:r>
        <w:rPr>
          <w:rFonts w:hint="eastAsia" w:ascii="宋体" w:hAnsi="宋体"/>
          <w:sz w:val="24"/>
          <w:u w:val="single"/>
          <w:lang w:val="zh-CN"/>
        </w:rPr>
        <w:t>90</w:t>
      </w:r>
      <w:r>
        <w:rPr>
          <w:rFonts w:hint="eastAsia" w:ascii="宋体" w:hAnsi="宋体"/>
          <w:sz w:val="24"/>
          <w:lang w:val="zh-CN"/>
        </w:rPr>
        <w:t>天，双方仍未达成解决方案，任何一方有权以书面形式通知对方而解除本合同。本合同的后继事宜由双方另行协商解决。</w:t>
      </w:r>
    </w:p>
    <w:p w14:paraId="5BB87A57">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第十二条、其他</w:t>
      </w:r>
    </w:p>
    <w:p w14:paraId="2AF18E7A">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1、本合同未尽事宜，经双方协商一致，可签订补充协议，补充协议与本合同具有同等效力。</w:t>
      </w:r>
    </w:p>
    <w:p w14:paraId="2E3A9E80">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2、附件：合同附件与本合同具有同等法律效力。</w:t>
      </w:r>
    </w:p>
    <w:p w14:paraId="5CED713D">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第十三条、合同的生效与收执</w:t>
      </w:r>
    </w:p>
    <w:p w14:paraId="5C3D34ED">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本合同壹式</w:t>
      </w:r>
      <w:r>
        <w:rPr>
          <w:rFonts w:hint="eastAsia" w:ascii="宋体" w:hAnsi="宋体"/>
          <w:sz w:val="24"/>
          <w:lang w:val="en-US" w:eastAsia="zh-CN"/>
        </w:rPr>
        <w:t>伍</w:t>
      </w:r>
      <w:r>
        <w:rPr>
          <w:rFonts w:hint="eastAsia" w:ascii="宋体" w:hAnsi="宋体"/>
          <w:sz w:val="24"/>
          <w:lang w:val="zh-CN"/>
        </w:rPr>
        <w:t>份，甲方持叁份，乙方持</w:t>
      </w:r>
      <w:r>
        <w:rPr>
          <w:rFonts w:hint="eastAsia" w:ascii="宋体" w:hAnsi="宋体"/>
          <w:sz w:val="24"/>
          <w:lang w:val="en-US" w:eastAsia="zh-CN"/>
        </w:rPr>
        <w:t>贰</w:t>
      </w:r>
      <w:r>
        <w:rPr>
          <w:rFonts w:hint="eastAsia" w:ascii="宋体" w:hAnsi="宋体"/>
          <w:sz w:val="24"/>
          <w:lang w:val="zh-CN"/>
        </w:rPr>
        <w:t>份，自双方法定代表人或委托代理人签字并加盖公章（或合同章）之日起生效。</w:t>
      </w:r>
    </w:p>
    <w:p w14:paraId="733AF865">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附件</w:t>
      </w:r>
      <w:r>
        <w:rPr>
          <w:rFonts w:hint="eastAsia" w:ascii="宋体" w:hAnsi="宋体"/>
          <w:sz w:val="24"/>
          <w:lang w:val="en-US" w:eastAsia="zh-CN"/>
        </w:rPr>
        <w:t>1</w:t>
      </w:r>
      <w:r>
        <w:rPr>
          <w:rFonts w:hint="eastAsia" w:ascii="宋体" w:hAnsi="宋体"/>
          <w:sz w:val="24"/>
          <w:lang w:val="zh-CN"/>
        </w:rPr>
        <w:t>：网络安全保密条款</w:t>
      </w:r>
    </w:p>
    <w:p w14:paraId="6F2930E6">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附件</w:t>
      </w:r>
      <w:r>
        <w:rPr>
          <w:rFonts w:hint="eastAsia" w:ascii="宋体" w:hAnsi="宋体"/>
          <w:sz w:val="24"/>
          <w:lang w:val="en-US" w:eastAsia="zh-CN"/>
        </w:rPr>
        <w:t>2</w:t>
      </w:r>
      <w:r>
        <w:rPr>
          <w:rFonts w:hint="eastAsia" w:ascii="宋体" w:hAnsi="宋体"/>
          <w:sz w:val="24"/>
          <w:lang w:val="zh-CN"/>
        </w:rPr>
        <w:t>：列入内蒙古昆明卷烟有限责任公司供应商黑名单的情形和处理措施</w:t>
      </w:r>
    </w:p>
    <w:p w14:paraId="10F37D7D">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附件3：内蒙古昆明卷烟有限责任公司与供应商交往相关规定</w:t>
      </w:r>
    </w:p>
    <w:p w14:paraId="58CF1697">
      <w:pPr>
        <w:pageBreakBefore w:val="0"/>
        <w:kinsoku/>
        <w:wordWrap/>
        <w:overflowPunct/>
        <w:topLinePunct w:val="0"/>
        <w:bidi w:val="0"/>
        <w:adjustRightInd w:val="0"/>
        <w:snapToGrid w:val="0"/>
        <w:spacing w:beforeAutospacing="0" w:afterAutospacing="0" w:line="360" w:lineRule="auto"/>
        <w:ind w:firstLine="480"/>
        <w:rPr>
          <w:rFonts w:hint="default" w:ascii="宋体" w:hAnsi="宋体" w:eastAsiaTheme="minorEastAsia"/>
          <w:sz w:val="24"/>
          <w:lang w:val="en-US" w:eastAsia="zh-CN"/>
        </w:rPr>
      </w:pPr>
      <w:r>
        <w:rPr>
          <w:rFonts w:hint="eastAsia" w:ascii="宋体" w:hAnsi="宋体"/>
          <w:sz w:val="24"/>
          <w:lang w:val="zh-CN"/>
        </w:rPr>
        <w:t>附件</w:t>
      </w:r>
      <w:r>
        <w:rPr>
          <w:rFonts w:hint="eastAsia" w:ascii="宋体" w:hAnsi="宋体"/>
          <w:sz w:val="24"/>
          <w:lang w:val="en-US" w:eastAsia="zh-CN"/>
        </w:rPr>
        <w:t>4</w:t>
      </w:r>
      <w:r>
        <w:rPr>
          <w:rFonts w:hint="eastAsia" w:ascii="宋体" w:hAnsi="宋体"/>
          <w:sz w:val="24"/>
          <w:lang w:val="zh-CN"/>
        </w:rPr>
        <w:t>：</w:t>
      </w:r>
      <w:r>
        <w:rPr>
          <w:rFonts w:hint="eastAsia" w:ascii="宋体" w:hAnsi="宋体"/>
          <w:sz w:val="24"/>
          <w:lang w:val="en-US" w:eastAsia="zh-CN"/>
        </w:rPr>
        <w:t>运维服务方案</w:t>
      </w:r>
    </w:p>
    <w:p w14:paraId="33AB4E73">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p>
    <w:p w14:paraId="7D5D37CB">
      <w:pPr>
        <w:pageBreakBefore w:val="0"/>
        <w:kinsoku/>
        <w:wordWrap/>
        <w:overflowPunct/>
        <w:topLinePunct w:val="0"/>
        <w:bidi w:val="0"/>
        <w:adjustRightInd w:val="0"/>
        <w:snapToGrid w:val="0"/>
        <w:spacing w:beforeAutospacing="0" w:afterAutospacing="0" w:line="360" w:lineRule="auto"/>
        <w:rPr>
          <w:rFonts w:hint="eastAsia" w:ascii="宋体" w:hAnsi="宋体"/>
          <w:sz w:val="24"/>
          <w:lang w:val="zh-CN"/>
        </w:rPr>
      </w:pPr>
    </w:p>
    <w:p w14:paraId="3AB50B6C">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szCs w:val="21"/>
          <w:lang w:val="en-GB"/>
        </w:rPr>
      </w:pPr>
      <w:r>
        <w:rPr>
          <w:rFonts w:hint="eastAsia" w:ascii="宋体" w:hAnsi="宋体"/>
          <w:szCs w:val="21"/>
          <w:lang w:val="en-GB"/>
        </w:rPr>
        <w:t>（以下无正文）</w:t>
      </w:r>
    </w:p>
    <w:tbl>
      <w:tblPr>
        <w:tblStyle w:val="46"/>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8"/>
        <w:gridCol w:w="4741"/>
      </w:tblGrid>
      <w:tr w14:paraId="661A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4718" w:type="dxa"/>
            <w:tcBorders>
              <w:top w:val="single" w:color="auto" w:sz="4" w:space="0"/>
              <w:left w:val="single" w:color="auto" w:sz="4" w:space="0"/>
              <w:bottom w:val="single" w:color="auto" w:sz="4" w:space="0"/>
              <w:right w:val="single" w:color="auto" w:sz="4" w:space="0"/>
            </w:tcBorders>
            <w:noWrap w:val="0"/>
            <w:vAlign w:val="top"/>
          </w:tcPr>
          <w:p w14:paraId="0009DAC8">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甲方名称：内蒙古昆明卷烟有限责任公司</w:t>
            </w:r>
          </w:p>
          <w:p w14:paraId="46809085">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地址：呼和浩特市赛罕区达尔登北路19号</w:t>
            </w:r>
          </w:p>
          <w:p w14:paraId="78CC7971">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邮编：010020</w:t>
            </w:r>
          </w:p>
          <w:p w14:paraId="7C9FF958">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commentRangeStart w:id="4"/>
            <w:r>
              <w:rPr>
                <w:rFonts w:hint="eastAsia" w:ascii="宋体" w:hAnsi="宋体" w:cs="宋体"/>
                <w:sz w:val="21"/>
                <w:szCs w:val="21"/>
              </w:rPr>
              <w:t>电话：</w:t>
            </w:r>
          </w:p>
          <w:p w14:paraId="5D2C1144">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kern w:val="2"/>
                <w:sz w:val="21"/>
                <w:szCs w:val="21"/>
                <w:lang w:eastAsia="zh-CN"/>
              </w:rPr>
            </w:pPr>
            <w:r>
              <w:rPr>
                <w:rFonts w:hint="eastAsia" w:ascii="宋体" w:hAnsi="宋体" w:cs="宋体"/>
                <w:kern w:val="2"/>
                <w:sz w:val="21"/>
                <w:szCs w:val="21"/>
              </w:rPr>
              <w:t>经办人：</w:t>
            </w:r>
          </w:p>
          <w:p w14:paraId="58C003FE">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kern w:val="2"/>
                <w:sz w:val="21"/>
                <w:szCs w:val="21"/>
                <w:lang w:val="en-US" w:eastAsia="zh-CN"/>
              </w:rPr>
            </w:pPr>
            <w:r>
              <w:rPr>
                <w:rFonts w:hint="eastAsia" w:ascii="宋体" w:hAnsi="宋体" w:cs="宋体"/>
                <w:kern w:val="2"/>
                <w:sz w:val="21"/>
                <w:szCs w:val="21"/>
              </w:rPr>
              <w:t>邮箱：</w:t>
            </w:r>
            <w:commentRangeEnd w:id="4"/>
            <w:r>
              <w:commentReference w:id="4"/>
            </w:r>
          </w:p>
          <w:p w14:paraId="08E6D4AC">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开户银行：工行新城东街支行</w:t>
            </w:r>
          </w:p>
          <w:p w14:paraId="52151020">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账户名称：内蒙古昆明卷烟有限责任公司</w:t>
            </w:r>
          </w:p>
          <w:p w14:paraId="6B067AD2">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银行账号：0602002509022132503</w:t>
            </w:r>
          </w:p>
          <w:p w14:paraId="3D376DF9">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统一社会信用代码：911501001141552117</w:t>
            </w:r>
          </w:p>
          <w:p w14:paraId="02911E13">
            <w:pPr>
              <w:pageBreakBefore w:val="0"/>
              <w:kinsoku/>
              <w:wordWrap/>
              <w:overflowPunct/>
              <w:topLinePunct w:val="0"/>
              <w:bidi w:val="0"/>
              <w:adjustRightInd w:val="0"/>
              <w:snapToGrid w:val="0"/>
              <w:spacing w:beforeAutospacing="0" w:afterAutospacing="0" w:line="360" w:lineRule="auto"/>
              <w:rPr>
                <w:rFonts w:hint="eastAsia" w:ascii="宋体" w:hAnsi="宋体" w:cs="宋体"/>
                <w:sz w:val="21"/>
                <w:szCs w:val="21"/>
              </w:rPr>
            </w:pPr>
            <w:r>
              <w:rPr>
                <w:rFonts w:hint="eastAsia" w:ascii="宋体" w:hAnsi="宋体" w:cs="宋体"/>
                <w:sz w:val="21"/>
                <w:szCs w:val="21"/>
              </w:rPr>
              <w:t>法定代表人或委托代理人：</w:t>
            </w:r>
          </w:p>
          <w:p w14:paraId="16567EDC">
            <w:pPr>
              <w:pStyle w:val="20"/>
              <w:jc w:val="left"/>
              <w:rPr>
                <w:rFonts w:hint="default" w:eastAsia="FangSong_GB2312"/>
                <w:lang w:val="en-US" w:eastAsia="zh-CN"/>
              </w:rPr>
            </w:pPr>
            <w:r>
              <w:rPr>
                <w:rFonts w:hint="eastAsia" w:ascii="宋体" w:hAnsi="宋体" w:eastAsia="宋体" w:cs="宋体"/>
                <w:sz w:val="21"/>
                <w:szCs w:val="21"/>
                <w:lang w:val="en-US" w:eastAsia="zh-CN"/>
              </w:rPr>
              <w:t>签订日期：</w:t>
            </w:r>
          </w:p>
        </w:tc>
        <w:tc>
          <w:tcPr>
            <w:tcW w:w="4741" w:type="dxa"/>
            <w:tcBorders>
              <w:top w:val="single" w:color="auto" w:sz="4" w:space="0"/>
              <w:left w:val="single" w:color="auto" w:sz="4" w:space="0"/>
              <w:bottom w:val="single" w:color="auto" w:sz="4" w:space="0"/>
              <w:right w:val="single" w:color="auto" w:sz="4" w:space="0"/>
            </w:tcBorders>
            <w:noWrap w:val="0"/>
            <w:vAlign w:val="top"/>
          </w:tcPr>
          <w:p w14:paraId="62695E5F">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乙方名称：</w:t>
            </w:r>
            <w:r>
              <w:rPr>
                <w:rFonts w:hint="eastAsia" w:ascii="宋体" w:hAnsi="宋体" w:eastAsia="宋体" w:cs="宋体"/>
                <w:sz w:val="21"/>
                <w:szCs w:val="21"/>
              </w:rPr>
              <w:t>北京创联致信科技有限公司</w:t>
            </w:r>
          </w:p>
          <w:p w14:paraId="69E7F38F">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地址：</w:t>
            </w:r>
            <w:r>
              <w:rPr>
                <w:rFonts w:hint="eastAsia" w:ascii="宋体" w:hAnsi="宋体" w:eastAsia="宋体" w:cs="宋体"/>
                <w:sz w:val="21"/>
                <w:szCs w:val="21"/>
              </w:rPr>
              <w:t>北京市朝阳区小营北路19号裕发大厦201</w:t>
            </w:r>
          </w:p>
          <w:p w14:paraId="0CB9DEA6">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u w:val="single"/>
              </w:rPr>
            </w:pPr>
            <w:r>
              <w:rPr>
                <w:rFonts w:hint="eastAsia" w:ascii="宋体" w:hAnsi="宋体" w:cs="宋体"/>
                <w:sz w:val="21"/>
                <w:szCs w:val="21"/>
              </w:rPr>
              <w:t>邮编：</w:t>
            </w:r>
            <w:r>
              <w:rPr>
                <w:rFonts w:hint="eastAsia" w:ascii="宋体" w:hAnsi="宋体" w:eastAsia="宋体" w:cs="宋体"/>
                <w:sz w:val="21"/>
                <w:szCs w:val="21"/>
              </w:rPr>
              <w:t>100101</w:t>
            </w:r>
          </w:p>
          <w:p w14:paraId="5870D19C">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u w:val="single"/>
              </w:rPr>
            </w:pPr>
            <w:r>
              <w:rPr>
                <w:rFonts w:hint="eastAsia" w:ascii="宋体" w:hAnsi="宋体" w:cs="宋体"/>
                <w:sz w:val="21"/>
                <w:szCs w:val="21"/>
              </w:rPr>
              <w:t>电话：</w:t>
            </w:r>
            <w:r>
              <w:rPr>
                <w:rFonts w:hint="eastAsia" w:ascii="宋体" w:hAnsi="宋体" w:eastAsia="宋体" w:cs="宋体"/>
                <w:sz w:val="21"/>
                <w:szCs w:val="21"/>
              </w:rPr>
              <w:t>010-82746952</w:t>
            </w:r>
          </w:p>
          <w:p w14:paraId="33410C4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kern w:val="2"/>
                <w:sz w:val="21"/>
                <w:szCs w:val="21"/>
                <w:lang w:eastAsia="zh-CN"/>
              </w:rPr>
            </w:pPr>
            <w:r>
              <w:rPr>
                <w:rFonts w:hint="eastAsia" w:ascii="宋体" w:hAnsi="宋体" w:cs="宋体"/>
                <w:kern w:val="2"/>
                <w:sz w:val="21"/>
                <w:szCs w:val="21"/>
              </w:rPr>
              <w:t>经办人：</w:t>
            </w:r>
            <w:r>
              <w:rPr>
                <w:rFonts w:hint="eastAsia" w:ascii="宋体" w:hAnsi="宋体" w:eastAsia="宋体" w:cs="宋体"/>
                <w:sz w:val="21"/>
                <w:szCs w:val="21"/>
              </w:rPr>
              <w:t>刘建军</w:t>
            </w:r>
          </w:p>
          <w:p w14:paraId="32FAB0A4">
            <w:pPr>
              <w:pageBreakBefore w:val="0"/>
              <w:kinsoku/>
              <w:wordWrap/>
              <w:overflowPunct/>
              <w:topLinePunct w:val="0"/>
              <w:bidi w:val="0"/>
              <w:adjustRightInd w:val="0"/>
              <w:snapToGrid w:val="0"/>
              <w:spacing w:beforeAutospacing="0" w:afterAutospacing="0" w:line="360" w:lineRule="auto"/>
              <w:rPr>
                <w:rFonts w:hint="default" w:eastAsiaTheme="minorEastAsia"/>
                <w:sz w:val="21"/>
                <w:szCs w:val="21"/>
                <w:lang w:val="en-US" w:eastAsia="zh-CN"/>
              </w:rPr>
            </w:pPr>
            <w:r>
              <w:rPr>
                <w:rFonts w:hint="eastAsia" w:ascii="宋体" w:hAnsi="宋体" w:cs="宋体"/>
                <w:kern w:val="2"/>
                <w:sz w:val="21"/>
                <w:szCs w:val="21"/>
              </w:rPr>
              <w:t>邮箱：</w:t>
            </w:r>
            <w:r>
              <w:rPr>
                <w:rFonts w:hint="eastAsia" w:ascii="宋体" w:hAnsi="宋体" w:cs="宋体"/>
                <w:kern w:val="2"/>
                <w:sz w:val="21"/>
                <w:szCs w:val="21"/>
                <w:lang w:val="en-US" w:eastAsia="zh-CN"/>
              </w:rPr>
              <w:t>itime@iufc.cn</w:t>
            </w:r>
          </w:p>
          <w:p w14:paraId="4FF04CC3">
            <w:pPr>
              <w:spacing w:line="360" w:lineRule="auto"/>
              <w:rPr>
                <w:rFonts w:hint="eastAsia" w:ascii="宋体" w:hAnsi="宋体" w:eastAsia="宋体" w:cs="宋体"/>
                <w:sz w:val="21"/>
                <w:szCs w:val="21"/>
              </w:rPr>
            </w:pPr>
            <w:r>
              <w:rPr>
                <w:rFonts w:hint="eastAsia" w:ascii="宋体" w:hAnsi="宋体" w:cs="宋体"/>
                <w:sz w:val="21"/>
                <w:szCs w:val="21"/>
              </w:rPr>
              <w:t>开户银行：</w:t>
            </w:r>
            <w:r>
              <w:rPr>
                <w:rFonts w:hint="eastAsia" w:ascii="宋体" w:hAnsi="宋体" w:eastAsia="宋体" w:cs="宋体"/>
                <w:sz w:val="21"/>
                <w:szCs w:val="21"/>
              </w:rPr>
              <w:t>招商银行股份有限公司北京慧忠北里支行</w:t>
            </w:r>
          </w:p>
          <w:p w14:paraId="16C5FCA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sz w:val="21"/>
                <w:szCs w:val="21"/>
              </w:rPr>
            </w:pPr>
            <w:r>
              <w:rPr>
                <w:rFonts w:hint="eastAsia" w:ascii="宋体" w:hAnsi="宋体" w:cs="宋体"/>
                <w:sz w:val="21"/>
                <w:szCs w:val="21"/>
              </w:rPr>
              <w:t>账户名称：</w:t>
            </w:r>
            <w:r>
              <w:rPr>
                <w:rFonts w:hint="eastAsia" w:ascii="宋体" w:hAnsi="宋体" w:eastAsia="宋体" w:cs="宋体"/>
                <w:sz w:val="21"/>
                <w:szCs w:val="21"/>
              </w:rPr>
              <w:t>北京创联致信科技有限公司</w:t>
            </w:r>
          </w:p>
          <w:p w14:paraId="7444CEA0">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sz w:val="21"/>
                <w:szCs w:val="21"/>
              </w:rPr>
            </w:pPr>
            <w:r>
              <w:rPr>
                <w:rFonts w:hint="eastAsia" w:ascii="宋体" w:hAnsi="宋体" w:cs="宋体"/>
                <w:sz w:val="21"/>
                <w:szCs w:val="21"/>
              </w:rPr>
              <w:t>银行账号：</w:t>
            </w:r>
            <w:r>
              <w:rPr>
                <w:rFonts w:hint="eastAsia" w:ascii="宋体" w:hAnsi="宋体" w:eastAsia="宋体" w:cs="宋体"/>
                <w:sz w:val="21"/>
                <w:szCs w:val="21"/>
              </w:rPr>
              <w:t>110946919610501</w:t>
            </w:r>
          </w:p>
          <w:p w14:paraId="338160AB">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sz w:val="21"/>
                <w:szCs w:val="21"/>
              </w:rPr>
            </w:pPr>
            <w:r>
              <w:rPr>
                <w:rFonts w:hint="eastAsia" w:ascii="宋体" w:hAnsi="宋体" w:cs="宋体"/>
                <w:sz w:val="21"/>
                <w:szCs w:val="21"/>
              </w:rPr>
              <w:t>统一社会信用代码：</w:t>
            </w:r>
            <w:r>
              <w:rPr>
                <w:rFonts w:hint="eastAsia" w:ascii="宋体" w:hAnsi="宋体" w:eastAsia="宋体" w:cs="宋体"/>
                <w:sz w:val="21"/>
                <w:szCs w:val="21"/>
              </w:rPr>
              <w:t>91110108596007659D</w:t>
            </w:r>
          </w:p>
          <w:p w14:paraId="580ED666">
            <w:pPr>
              <w:pageBreakBefore w:val="0"/>
              <w:kinsoku/>
              <w:wordWrap/>
              <w:overflowPunct/>
              <w:topLinePunct w:val="0"/>
              <w:bidi w:val="0"/>
              <w:adjustRightInd w:val="0"/>
              <w:snapToGrid w:val="0"/>
              <w:spacing w:beforeAutospacing="0" w:afterAutospacing="0" w:line="360" w:lineRule="auto"/>
              <w:rPr>
                <w:rFonts w:hint="eastAsia" w:ascii="宋体" w:hAnsi="宋体" w:cs="宋体"/>
                <w:sz w:val="21"/>
                <w:szCs w:val="21"/>
              </w:rPr>
            </w:pPr>
            <w:r>
              <w:rPr>
                <w:rFonts w:hint="eastAsia" w:ascii="宋体" w:hAnsi="宋体" w:cs="宋体"/>
                <w:sz w:val="21"/>
                <w:szCs w:val="21"/>
              </w:rPr>
              <w:t>法定代表人（或负责人）或委托代理人：</w:t>
            </w:r>
          </w:p>
          <w:p w14:paraId="7863B48E">
            <w:pPr>
              <w:pStyle w:val="20"/>
              <w:jc w:val="left"/>
              <w:rPr>
                <w:rFonts w:hint="eastAsia" w:ascii="宋体" w:hAnsi="宋体" w:cs="宋体"/>
                <w:sz w:val="21"/>
                <w:szCs w:val="21"/>
              </w:rPr>
            </w:pPr>
            <w:r>
              <w:rPr>
                <w:rFonts w:hint="eastAsia" w:ascii="宋体" w:hAnsi="宋体" w:eastAsia="宋体" w:cs="宋体"/>
                <w:sz w:val="21"/>
                <w:szCs w:val="21"/>
                <w:lang w:val="en-US" w:eastAsia="zh-CN"/>
              </w:rPr>
              <w:t>签订日期：</w:t>
            </w:r>
          </w:p>
          <w:p w14:paraId="2A5EC52D">
            <w:pPr>
              <w:pStyle w:val="20"/>
              <w:jc w:val="both"/>
              <w:rPr>
                <w:rFonts w:hint="eastAsia" w:ascii="宋体" w:hAnsi="宋体" w:cs="宋体"/>
                <w:sz w:val="21"/>
                <w:szCs w:val="21"/>
              </w:rPr>
            </w:pPr>
          </w:p>
        </w:tc>
      </w:tr>
    </w:tbl>
    <w:p w14:paraId="600F4626">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br w:type="page"/>
      </w:r>
      <w:r>
        <w:rPr>
          <w:rFonts w:hint="eastAsia" w:ascii="宋体" w:hAnsi="宋体" w:eastAsia="宋体" w:cs="宋体"/>
          <w:b/>
          <w:bCs/>
          <w:sz w:val="24"/>
          <w:szCs w:val="24"/>
          <w:lang w:eastAsia="zh-CN"/>
        </w:rPr>
        <w:t>附件</w:t>
      </w: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：网络安全保密条款</w:t>
      </w:r>
    </w:p>
    <w:p w14:paraId="530B5A3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为了明确乙方的保密义务，根据《中华人民共和国网络安全法》等相关法律法规及烟草行业制度要求，乙方因在甲方单位开展相关服务，乙方同意对与合同有关的信息及因该合同履行乙方知悉甲方的秘密或其他未向社会公开的信息采取严格保密措施，承诺非经法律要求或征得甲方书面同意，不得以任何方式向第三方透露、给予或传达该等信息，甲、乙双方订立本保密条款。</w:t>
      </w:r>
    </w:p>
    <w:p w14:paraId="06CDD54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一、保密内容</w:t>
      </w:r>
    </w:p>
    <w:p w14:paraId="76618D3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乙方应本着谨慎、诚实的态度，采取任何必要、合理的措施，维护其于服务期间知悉或者持有的任何属于甲方或者属于第三方但甲方承诺或负有保密义务的技术秘密或其他秘密信息，以保持其机密性。除甲方书面表明为非保密信息外，乙方从甲方获取的所有信息及材料，不论是书面、口头、磁记录、光学记录、电子记录还是其它记录形式都属于保密信息，包括但不仅限于：</w:t>
      </w:r>
    </w:p>
    <w:p w14:paraId="7F16CB0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1.所有与甲方的业务、经营、计划、交易、市场、财务，目前或将来拟采用的经营方式、财务、交易等有关的不被公众领域所知的文件、资料和信息。</w:t>
      </w:r>
    </w:p>
    <w:p w14:paraId="33045BC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2.所有甲方计算机应用系统的IT规划、软件设计方案、数据结构、设计方案、实施方案、技术细节、实现方式、设备参数配置、操作监控手段、数据加密算法、源代码、系统日志等相关信息和技术文档。</w:t>
      </w:r>
    </w:p>
    <w:p w14:paraId="6F9C15A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3.所有甲方计算机设备、网络设备、存储设备、安全设备、监控设备的参数配置、IP地址、口令、操作监控手段等相关信息，计算机主机系统和网络设备运行记录、运行报告及应急方案。</w:t>
      </w:r>
    </w:p>
    <w:p w14:paraId="7D2FB6F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4.所有甲方计算机应用系统中保存的生产数据、业务数据、生产经营信息及甲方客户信息等相关信息。</w:t>
      </w:r>
    </w:p>
    <w:p w14:paraId="304AB8B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5.所有甲方网络规划、网络架构、网络拓扑、IP地址信息及运行维护方案等相关信息。</w:t>
      </w:r>
    </w:p>
    <w:p w14:paraId="257B10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6.所有甲方网络安全规划、策略、设计、实施方案等网络安全方面的相关信息。</w:t>
      </w:r>
    </w:p>
    <w:p w14:paraId="53108B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7.所有甲方的工程实施文档、项目文档、管理文档等。</w:t>
      </w:r>
    </w:p>
    <w:p w14:paraId="003E57E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8.所有甲方及上下级单位的采购需求、采购计划及与第三方厂商签订的合作协议等信息。</w:t>
      </w:r>
    </w:p>
    <w:p w14:paraId="467E85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9.乙方在工作过程中发现的甲方系统、管理流程中存在的漏洞、缺陷等。</w:t>
      </w:r>
    </w:p>
    <w:p w14:paraId="78D5171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10.乙方在对甲方进行服务时提交的工作成果。</w:t>
      </w:r>
    </w:p>
    <w:p w14:paraId="29664BB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二、保密义务</w:t>
      </w:r>
    </w:p>
    <w:p w14:paraId="7AB9E91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1.乙方及乙方工作人员应当严格遵守保密义务，承担保密责任，禁止将保密信息对外传输、披露、公布以及私自窃取使用和贩卖。</w:t>
      </w:r>
    </w:p>
    <w:p w14:paraId="7D408FB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2.乙方应以不低于其对自己拥有的类似资料的保密程度来对待甲方保密信息，应在任何情况下，对保密信息的保护程度都不得低于合理程度。</w:t>
      </w:r>
    </w:p>
    <w:p w14:paraId="0369BA0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3.除根据甲乙双方合同目的必须知晓甲方保密信息的相关人员，未经甲方书面同意，乙方及其工作人员不得向第三方公开和披露甲方任何保密信息，或以其他方式使用保密资料。</w:t>
      </w:r>
    </w:p>
    <w:p w14:paraId="1DF4EED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4.乙方保证其合作中有必要知晓保密信息的人员及关联方，受到本条款同等严格保密义务的约束。</w:t>
      </w:r>
    </w:p>
    <w:p w14:paraId="23E37AB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5.乙方对下列信息可免于承担保密义务：</w:t>
      </w:r>
    </w:p>
    <w:p w14:paraId="49C5F62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（1）在甲方披露时，该保密信息已经合法公开；</w:t>
      </w:r>
    </w:p>
    <w:p w14:paraId="0D6A2F6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（2）非因违反本条款约定的行为，保密信息已经被公开；</w:t>
      </w:r>
    </w:p>
    <w:p w14:paraId="553397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（3）因中华人民共和国法律法规要求提供或者司法机关依职权要求乙方提供的相关信息。</w:t>
      </w:r>
    </w:p>
    <w:p w14:paraId="337B8EF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6.如果乙方根据法律程序或行政要求必须披露保密信息，乙方应事先书面通知甲方，并协助甲方采取保护措施，在不违反法律法规的前提下，防止或限制保密信息的进一步扩散，尽量避免、减少因透露该等信息而造成的损失。</w:t>
      </w:r>
    </w:p>
    <w:p w14:paraId="13164E3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三、保密期限</w:t>
      </w:r>
    </w:p>
    <w:p w14:paraId="1954881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无限期保密，保密义务不随合同的终止而终止，直至甲方宣布解密或者秘密信息实际上已经公开。</w:t>
      </w:r>
    </w:p>
    <w:p w14:paraId="66B631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四、违约责任</w:t>
      </w:r>
    </w:p>
    <w:p w14:paraId="0B3EE2A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 乙方违反本条款中的约定，将保密信息泄露给第三方或未经甲方同意使用保密信息的，甲方有权解除双方签订的主合同并终止双方合作项目，乙方承担相应的违约责任。</w:t>
      </w:r>
    </w:p>
    <w:p w14:paraId="5133BD5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2、若乙方已交纳履约保证金，甲方有权从乙方已经交纳的履约保证金中直接扣除乙方应向甲方支付的违约金或给甲方造成的损失。</w:t>
      </w:r>
    </w:p>
    <w:p w14:paraId="50A07E0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3、乙方恶意泄露保密信息造成严重后果的，甲方将通过法律手段追究其侵权责任，包括但不限于民事责任、刑事责任。</w:t>
      </w:r>
    </w:p>
    <w:p w14:paraId="760661E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五、其他</w:t>
      </w:r>
    </w:p>
    <w:p w14:paraId="72C923E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乙方确认已仔细审阅过上述条款内容，完全了解上述条款的法律含义，并知悉和认可甲方网络安全保密条款。</w:t>
      </w:r>
    </w:p>
    <w:p w14:paraId="065637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imes New Roman" w:hAnsi="Times New Roman" w:eastAsia="宋体" w:cs="Times New Roman"/>
          <w:sz w:val="24"/>
        </w:rPr>
      </w:pPr>
    </w:p>
    <w:p w14:paraId="0D5C895A">
      <w:pPr>
        <w:pageBreakBefore w:val="0"/>
        <w:kinsoku/>
        <w:wordWrap/>
        <w:overflowPunct/>
        <w:topLinePunct w:val="0"/>
        <w:bidi w:val="0"/>
        <w:adjustRightInd w:val="0"/>
        <w:snapToGrid w:val="0"/>
        <w:spacing w:beforeAutospacing="0" w:afterAutospacing="0" w:line="360" w:lineRule="auto"/>
        <w:rPr>
          <w:b/>
          <w:sz w:val="24"/>
        </w:rPr>
      </w:pPr>
      <w:r>
        <w:rPr>
          <w:rFonts w:hint="eastAsia" w:ascii="Times New Roman" w:hAnsi="Times New Roman" w:eastAsia="宋体" w:cs="Times New Roman"/>
          <w:sz w:val="24"/>
        </w:rPr>
        <w:br w:type="page"/>
      </w:r>
      <w:r>
        <w:rPr>
          <w:rFonts w:hint="eastAsia"/>
          <w:b/>
          <w:sz w:val="24"/>
        </w:rPr>
        <w:t>附件</w:t>
      </w:r>
      <w:r>
        <w:rPr>
          <w:rFonts w:hint="eastAsia"/>
          <w:b/>
          <w:sz w:val="24"/>
          <w:lang w:val="en-US" w:eastAsia="zh-CN"/>
        </w:rPr>
        <w:t>2</w:t>
      </w:r>
      <w:r>
        <w:rPr>
          <w:rFonts w:hint="eastAsia"/>
          <w:b/>
          <w:sz w:val="24"/>
        </w:rPr>
        <w:t>：列入内蒙古昆明卷烟有限责任公司供应商黑名单的情形和处理措施</w:t>
      </w:r>
    </w:p>
    <w:p w14:paraId="5A0996E9">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 xml:space="preserve">第一条 </w:t>
      </w:r>
      <w:r>
        <w:rPr>
          <w:rFonts w:hint="eastAsia"/>
          <w:sz w:val="24"/>
        </w:rPr>
        <w:t xml:space="preserve"> 供应商在参加蒙昆公司采购活动中，向蒙昆公司干部职工行贿的，将其列入蒙昆公司存在行贿行为供应商黑名单，实施严格的禁入措施，禁止参加新采购项目。根据生效的刑事判决书、刑事裁定书、党政纪处分决定认定的行贿数额：</w:t>
      </w:r>
    </w:p>
    <w:p w14:paraId="6885DCE6">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（一）行贿数额不满100万元的，禁入期限1年；</w:t>
      </w:r>
    </w:p>
    <w:p w14:paraId="1BF30D70">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（二）行贿数额在100万元以上不满500万元的，禁入期限2年；</w:t>
      </w:r>
    </w:p>
    <w:p w14:paraId="7511EC8B">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（三）行贿数额在500万元（含）以上的，禁入期限3年；</w:t>
      </w:r>
    </w:p>
    <w:p w14:paraId="2AF7DC20">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（四）行贿行为情节特别严重的，永久禁入。</w:t>
      </w:r>
    </w:p>
    <w:p w14:paraId="46E6A1B6">
      <w:pPr>
        <w:pageBreakBefore w:val="0"/>
        <w:kinsoku/>
        <w:wordWrap/>
        <w:overflowPunct/>
        <w:topLinePunct w:val="0"/>
        <w:bidi w:val="0"/>
        <w:adjustRightInd w:val="0"/>
        <w:snapToGrid w:val="0"/>
        <w:spacing w:beforeAutospacing="0" w:afterAutospacing="0" w:line="360" w:lineRule="auto"/>
        <w:ind w:firstLine="480" w:firstLineChars="200"/>
        <w:rPr>
          <w:sz w:val="24"/>
        </w:rPr>
      </w:pPr>
      <w:r>
        <w:rPr>
          <w:rFonts w:hint="eastAsia"/>
          <w:sz w:val="24"/>
        </w:rPr>
        <w:t>存在行贿行为供应商在禁入期满后再次向蒙昆公司干部职工行贿的，按以上禁入期限标准加1倍处理，直至永久禁入。</w:t>
      </w:r>
    </w:p>
    <w:p w14:paraId="0C4291C4">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第二条</w:t>
      </w:r>
      <w:r>
        <w:rPr>
          <w:rFonts w:hint="eastAsia"/>
          <w:sz w:val="24"/>
        </w:rPr>
        <w:t xml:space="preserve">  被烟草行业（含直属单位）列入存在行贿行为供应商名单，蒙昆公司将予以承认并执行相应处理措施，同时列入蒙昆公司存在行贿行为供应商黑名单。</w:t>
      </w:r>
    </w:p>
    <w:p w14:paraId="2CAE0C8E">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第三条</w:t>
      </w:r>
      <w:r>
        <w:rPr>
          <w:rFonts w:hint="eastAsia"/>
          <w:sz w:val="24"/>
        </w:rPr>
        <w:t xml:space="preserve">  对存在行贿行为供应商的禁入处理措施，适用于其法定代表人、主要负责人和行贿人。在禁入期限内，上述人员担任法定代表人、主要负责人或实际控制人的其他企业，均不得参加新采购项目。</w:t>
      </w:r>
    </w:p>
    <w:p w14:paraId="2020799B">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第四条</w:t>
      </w:r>
      <w:r>
        <w:rPr>
          <w:rFonts w:hint="eastAsia"/>
          <w:sz w:val="24"/>
        </w:rPr>
        <w:t xml:space="preserve">  对列入行贿行为供应商黑名单的在供供应商，蒙昆公司有权对其进行警示约谈等措施进行督促整改，并有权根据合同特点及履约进度等情况采取降低考核评价分数、降低供货份额（金额）、禁入期内暂缓付款、缩短服务周期、终止或解除合同等一项或多项处理措施。在禁入期限内，名单内行贿供应商的法定代表人、主要负责人和行贿人所担任法定代表人、主要负责人或实际控制人的其他在供供应商同样适用该处理措施。</w:t>
      </w:r>
    </w:p>
    <w:p w14:paraId="1FBB3CEE">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第五条</w:t>
      </w:r>
      <w:r>
        <w:rPr>
          <w:rFonts w:hint="eastAsia"/>
          <w:sz w:val="24"/>
        </w:rPr>
        <w:t xml:space="preserve">  如合同项目涉及香精香料配方、软件源代码等核心技术资料，供应商同意与蒙昆公司共同在蒙昆公司外聘律师的见证下，将合同项下涉及真实的核心技术资料铅封交给蒙昆公司指定的第三方（银行）保存。供应商应保证所提供的核心技术资料真实、准确、完整，否则蒙昆公司有权随时单方解除合同。如果供应商在合同履约期间向烟草干部职工行贿，蒙昆公司有权单方解除本合同，并将供应商的核心技术资料公开，交给其他供应商使用，由此造成的损失及一切法律后果均由供应商自行承担。</w:t>
      </w:r>
    </w:p>
    <w:p w14:paraId="409E8200">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第六条</w:t>
      </w:r>
      <w:r>
        <w:rPr>
          <w:rFonts w:hint="eastAsia"/>
          <w:sz w:val="24"/>
        </w:rPr>
        <w:t xml:space="preserve">  禁止供应商因行贿被列入黑名单后，通过“换马甲”“换壳”行为继续参与新的采购项目。</w:t>
      </w:r>
    </w:p>
    <w:p w14:paraId="4048580A">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第七条</w:t>
      </w:r>
      <w:r>
        <w:rPr>
          <w:rFonts w:hint="eastAsia"/>
          <w:sz w:val="24"/>
        </w:rPr>
        <w:t xml:space="preserve">  对确实存在向烟草行业外人员行贿的在供供应商（以中国裁判文书网查询结果为准），未签订廉洁合同的应及时补充签订廉洁合同、并进行警示约谈，明确廉洁要求。</w:t>
      </w:r>
    </w:p>
    <w:p w14:paraId="45CC3BE3">
      <w:pPr>
        <w:pageBreakBefore w:val="0"/>
        <w:kinsoku/>
        <w:wordWrap/>
        <w:overflowPunct/>
        <w:topLinePunct w:val="0"/>
        <w:bidi w:val="0"/>
        <w:adjustRightInd w:val="0"/>
        <w:snapToGrid w:val="0"/>
        <w:spacing w:beforeAutospacing="0" w:afterAutospacing="0" w:line="360" w:lineRule="auto"/>
        <w:ind w:firstLine="482" w:firstLineChars="200"/>
        <w:rPr>
          <w:rFonts w:hint="eastAsia"/>
          <w:sz w:val="24"/>
        </w:rPr>
      </w:pPr>
      <w:r>
        <w:rPr>
          <w:rFonts w:hint="eastAsia"/>
          <w:b/>
          <w:sz w:val="24"/>
        </w:rPr>
        <w:t>第八条</w:t>
      </w:r>
      <w:r>
        <w:rPr>
          <w:rFonts w:hint="eastAsia"/>
          <w:sz w:val="24"/>
        </w:rPr>
        <w:t xml:space="preserve">  供应商在参加蒙昆公司采购活动中，存在以下情形之一的，将其列入蒙昆公司的供应商黑名单，并采取相应的禁入措施：</w:t>
      </w:r>
    </w:p>
    <w:p w14:paraId="5C9C390B">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（一）提供虚假材料谋取中标、成交，有下列情形之一的，禁入期限1年，情节较重的，禁入期限3年，情节严重的，永久禁入：</w:t>
      </w:r>
    </w:p>
    <w:p w14:paraId="75F6E85D">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1、使用通过受让或者租借等方式获取的资格、资质证书的；</w:t>
      </w:r>
    </w:p>
    <w:p w14:paraId="08C37AF7">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2、使用伪造、变造的许可证件的；</w:t>
      </w:r>
    </w:p>
    <w:p w14:paraId="2C8FFA66">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3、提供虚假的财务状况或者业绩、奖项等材料的；</w:t>
      </w:r>
    </w:p>
    <w:p w14:paraId="15EC5ADD">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4、提供虚假的项目负责人或者主要技术人员简历、劳动关系证明及其他资质证明的；</w:t>
      </w:r>
    </w:p>
    <w:p w14:paraId="3E2F9A28">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5、提供虚假信用状况的；</w:t>
      </w:r>
    </w:p>
    <w:p w14:paraId="71BC522A">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 xml:space="preserve">6、 未经采购人同意擅自更换合同约定或投标、响应文件承诺的货物、原材料、组部件、降低标的物标准的； </w:t>
      </w:r>
    </w:p>
    <w:p w14:paraId="126B5EF0">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7、经认定的其他弄虚作假的行为。</w:t>
      </w:r>
    </w:p>
    <w:p w14:paraId="17CFB73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（二）采取不正当手段诋毁、排挤其他供应商，影响采购活动顺利进行，禁入期限1年，情节严重的，禁入期限2年。</w:t>
      </w:r>
    </w:p>
    <w:p w14:paraId="2EF1539E">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（三）与蒙昆公司、其他供应商或者招标代理机构恶意串通的，禁入期限1年，情节严重的，禁入期限2年。</w:t>
      </w:r>
    </w:p>
    <w:p w14:paraId="510AB2B5">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（四）向招标代理机构行贿或者提供其他不正当利益的，禁入期限1年，情节较重的，禁入期限3年，情节严重的，永久禁入。</w:t>
      </w:r>
    </w:p>
    <w:p w14:paraId="4172BC63">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（五）存在拒绝有关部门监督检查或者提供虚假情况等不良行为，有下列情形之一的，禁入期限1年，情节较重的，禁入期限3年，情节严重的，永久禁入：</w:t>
      </w:r>
    </w:p>
    <w:p w14:paraId="5E93235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1、对招标代理机构或蒙昆公司在处理异议或投诉过程中，需配合提供相关材料而拒不配合或提供虚假材料的；</w:t>
      </w:r>
    </w:p>
    <w:p w14:paraId="771EEE23">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2、捏造事实、伪造材料或以非法手段取得证明材料向采购人进行异议或投诉的；</w:t>
      </w:r>
    </w:p>
    <w:p w14:paraId="152F90C9">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3、对蒙昆公司监督部门因履行过程监督或事后检查职责所需的资料拒绝提供或提供虚假资料的；</w:t>
      </w:r>
    </w:p>
    <w:p w14:paraId="2D245ED7">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4、经认定的其他拒不接受监督检查或提供虚假情况等不良行为。</w:t>
      </w:r>
    </w:p>
    <w:p w14:paraId="22ED110A">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（六）存在将中标（成交）项目转让（包）、违法分包或违约转让（分包）给他人（含外购烟用物资的半成品或在制品），禁入期限1年，情节较重的，禁入期限3年，情节严重的，永久禁入。</w:t>
      </w:r>
    </w:p>
    <w:p w14:paraId="1860249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（七）招标代理机构在代理采购业务中存在收受贿赂、恶意串通、开标前泄露标底、伪造变造采购文件等违法行为的，禁入期限1年，情节较重的，禁入期限3年，情节严重的，永久禁入。</w:t>
      </w:r>
    </w:p>
    <w:p w14:paraId="6D246C60">
      <w:pPr>
        <w:pageBreakBefore w:val="0"/>
        <w:kinsoku/>
        <w:wordWrap/>
        <w:overflowPunct/>
        <w:topLinePunct w:val="0"/>
        <w:bidi w:val="0"/>
        <w:adjustRightInd w:val="0"/>
        <w:snapToGrid w:val="0"/>
        <w:spacing w:beforeAutospacing="0" w:afterAutospacing="0" w:line="360" w:lineRule="auto"/>
        <w:ind w:firstLine="480" w:firstLineChars="200"/>
        <w:rPr>
          <w:sz w:val="24"/>
        </w:rPr>
      </w:pPr>
      <w:r>
        <w:rPr>
          <w:rFonts w:hint="eastAsia"/>
          <w:sz w:val="24"/>
        </w:rPr>
        <w:t>对以上供应商黑名单行为情节较重、情节严重的认定，根据采购项目实际情况，综合供应商行为性质、主观恶意程度、造成损失大小、不良影响范围等因素研究认定。</w:t>
      </w:r>
    </w:p>
    <w:p w14:paraId="609792A1">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 xml:space="preserve">第九条 </w:t>
      </w:r>
      <w:r>
        <w:rPr>
          <w:rFonts w:hint="eastAsia"/>
          <w:sz w:val="24"/>
        </w:rPr>
        <w:t xml:space="preserve"> 如供应商提供的工程、物资、服务暂时无法替代的，可以暂缓执行黑名单禁入处理措施，蒙昆公司有权将行贿行为黑名单供应商的核心技术资料（如有）公开，交给其他供应商使用。</w:t>
      </w:r>
    </w:p>
    <w:p w14:paraId="2786619E">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第十条</w:t>
      </w:r>
      <w:r>
        <w:rPr>
          <w:rFonts w:hint="eastAsia"/>
          <w:sz w:val="24"/>
        </w:rPr>
        <w:t xml:space="preserve">  对于通过企业信用信息公示系统等平台查询到的供应商不良行为记录，有关法律、法规、规章、国务院文件及行业主管部门有禁止或者限制性规定的，蒙昆公司按规定执行。</w:t>
      </w:r>
    </w:p>
    <w:p w14:paraId="113867C3">
      <w:pPr>
        <w:pageBreakBefore w:val="0"/>
        <w:kinsoku/>
        <w:wordWrap/>
        <w:overflowPunct/>
        <w:topLinePunct w:val="0"/>
        <w:bidi w:val="0"/>
        <w:adjustRightInd w:val="0"/>
        <w:snapToGrid w:val="0"/>
        <w:spacing w:beforeAutospacing="0" w:afterAutospacing="0" w:line="360" w:lineRule="auto"/>
        <w:ind w:firstLine="482" w:firstLineChars="200"/>
        <w:rPr>
          <w:rFonts w:hint="eastAsia"/>
          <w:sz w:val="24"/>
        </w:rPr>
      </w:pPr>
      <w:r>
        <w:rPr>
          <w:rFonts w:hint="eastAsia"/>
          <w:b/>
          <w:sz w:val="24"/>
        </w:rPr>
        <w:t>第十一条</w:t>
      </w:r>
      <w:r>
        <w:rPr>
          <w:rFonts w:hint="eastAsia"/>
          <w:sz w:val="24"/>
        </w:rPr>
        <w:t xml:space="preserve"> 对供应商实施黑名单处理措施，不影响蒙昆公司依法追究供应商的其他相关责任。</w:t>
      </w:r>
    </w:p>
    <w:p w14:paraId="295077DC">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bookmarkStart w:id="5" w:name="_Toc19530"/>
      <w:r>
        <w:rPr>
          <w:rFonts w:hint="eastAsia"/>
          <w:sz w:val="24"/>
        </w:rPr>
        <w:t>（注：“内蒙古昆明卷烟有限责任公司”简称“蒙昆公司”）</w:t>
      </w:r>
      <w:bookmarkEnd w:id="5"/>
    </w:p>
    <w:p w14:paraId="046F4AF8">
      <w:pPr>
        <w:bidi w:val="0"/>
        <w:rPr>
          <w:rFonts w:hint="eastAsia"/>
        </w:rPr>
      </w:pPr>
    </w:p>
    <w:p w14:paraId="42BCD423">
      <w:pPr>
        <w:bidi w:val="0"/>
        <w:rPr>
          <w:rFonts w:hint="eastAsia"/>
        </w:rPr>
      </w:pPr>
    </w:p>
    <w:p w14:paraId="5C550302">
      <w:pPr>
        <w:bidi w:val="0"/>
        <w:rPr>
          <w:rFonts w:hint="eastAsia"/>
        </w:rPr>
      </w:pPr>
    </w:p>
    <w:p w14:paraId="7A930E4F">
      <w:pPr>
        <w:bidi w:val="0"/>
        <w:rPr>
          <w:rFonts w:hint="eastAsia"/>
        </w:rPr>
      </w:pPr>
    </w:p>
    <w:p w14:paraId="72A22B4D">
      <w:pPr>
        <w:bidi w:val="0"/>
        <w:rPr>
          <w:rFonts w:hint="eastAsia"/>
        </w:rPr>
      </w:pPr>
    </w:p>
    <w:p w14:paraId="30E08A56">
      <w:pPr>
        <w:bidi w:val="0"/>
        <w:rPr>
          <w:rFonts w:hint="eastAsia"/>
        </w:rPr>
      </w:pPr>
    </w:p>
    <w:p w14:paraId="644A0CEF">
      <w:pPr>
        <w:bidi w:val="0"/>
        <w:rPr>
          <w:rFonts w:hint="eastAsia"/>
        </w:rPr>
      </w:pPr>
    </w:p>
    <w:p w14:paraId="74291520">
      <w:pPr>
        <w:bidi w:val="0"/>
        <w:rPr>
          <w:rFonts w:hint="eastAsia"/>
        </w:rPr>
      </w:pPr>
    </w:p>
    <w:p w14:paraId="6B070B53">
      <w:pPr>
        <w:bidi w:val="0"/>
        <w:rPr>
          <w:rFonts w:hint="eastAsia"/>
        </w:rPr>
      </w:pPr>
    </w:p>
    <w:p w14:paraId="44992B5D">
      <w:pPr>
        <w:bidi w:val="0"/>
        <w:rPr>
          <w:rFonts w:hint="eastAsia"/>
        </w:rPr>
      </w:pPr>
    </w:p>
    <w:p w14:paraId="1B96ED88">
      <w:pPr>
        <w:bidi w:val="0"/>
        <w:rPr>
          <w:rFonts w:hint="eastAsia"/>
          <w:b/>
        </w:rPr>
      </w:pPr>
      <w:r>
        <w:rPr>
          <w:rFonts w:hint="eastAsia"/>
        </w:rPr>
        <w:br w:type="page"/>
      </w:r>
    </w:p>
    <w:p w14:paraId="3E6DC6D6">
      <w:pPr>
        <w:pageBreakBefore w:val="0"/>
        <w:kinsoku/>
        <w:wordWrap/>
        <w:overflowPunct/>
        <w:topLinePunct w:val="0"/>
        <w:bidi w:val="0"/>
        <w:adjustRightInd w:val="0"/>
        <w:snapToGrid w:val="0"/>
        <w:spacing w:beforeAutospacing="0" w:afterAutospacing="0" w:line="360" w:lineRule="auto"/>
        <w:rPr>
          <w:rFonts w:hint="eastAsia"/>
          <w:b/>
          <w:sz w:val="24"/>
        </w:rPr>
      </w:pPr>
      <w:r>
        <w:rPr>
          <w:rFonts w:hint="eastAsia"/>
          <w:b/>
          <w:sz w:val="24"/>
        </w:rPr>
        <w:t>附件3：内蒙古昆明卷烟有限责任公司与供应商交往相关规定</w:t>
      </w:r>
    </w:p>
    <w:p w14:paraId="4BFB7C0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1、严禁与供应商私下接触，禁止私自在非办公场所会见、接洽供应商。</w:t>
      </w:r>
    </w:p>
    <w:p w14:paraId="0E5823E4">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2、严禁索要或收受供应商赠送的礼品、礼金、消费卡（券）、电子红包和有价证券、土特产及其他财物。</w:t>
      </w:r>
    </w:p>
    <w:p w14:paraId="5CAF28C6">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3、严禁索要或接受供应商提供的宴请或旅游、健身、娱乐、“管家式服务”等活动安排。</w:t>
      </w:r>
    </w:p>
    <w:p w14:paraId="55FD8012">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4、严禁由供应商报销应当由本人及近亲属或其他特定关系人个人支付的费用，禁止向供应商借用钱款、住房、车辆等。</w:t>
      </w:r>
    </w:p>
    <w:p w14:paraId="77F30C85">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5、严禁索要或收受、低价购买或以其他方式违规持有供应商的股权、原始股、干股、分红及其他金融产品等。</w:t>
      </w:r>
    </w:p>
    <w:p w14:paraId="1E619E34">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6、严禁违规在供应商或其关联企业任职、兼职或挂名、挂证取酬。</w:t>
      </w:r>
    </w:p>
    <w:p w14:paraId="05CD2AC3">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7、严禁为近亲属或其他特定关系人在供应商企业违规安排工作或“吃空饷”。</w:t>
      </w:r>
    </w:p>
    <w:p w14:paraId="433708E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8、严禁撮合交易、勾兑利益，通过“期权腐败”等形式谋取私利。</w:t>
      </w:r>
    </w:p>
    <w:p w14:paraId="7178A15A">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9、严禁请托供应商或者接受供应商请托，插手干预干部选拔任用或干部、职工招聘录用等工作；禁止与供应商内外勾结，违规插手干预烟草行业有关政策制定、修改和施行。</w:t>
      </w:r>
    </w:p>
    <w:p w14:paraId="365DE9DD">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10、不得以任何形式向烟草行业人员及其特定关系人搞利益输送。</w:t>
      </w:r>
    </w:p>
    <w:p w14:paraId="67A3FFB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11、不得在招投标等采购活动中恶意串通、弄虚作假，或以其他不正当手段谋取利益。</w:t>
      </w:r>
    </w:p>
    <w:p w14:paraId="54264383">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12、不得违反合同约定，擅自变更、中止或终止合同。</w:t>
      </w:r>
    </w:p>
    <w:p w14:paraId="0D17632D">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13、不得拒绝配合有关部门监督检查或提供虚假情况。</w:t>
      </w:r>
    </w:p>
    <w:p w14:paraId="52F5A1A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14、不得利用举报等方式歪曲捏造事实，诬告陷害烟草行业人员或诋毁其他潜在供应商。</w:t>
      </w:r>
    </w:p>
    <w:p w14:paraId="5EDCE190">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15、严禁其他违规违纪违法的交往行为。</w:t>
      </w:r>
    </w:p>
    <w:p w14:paraId="4163982F">
      <w:pPr>
        <w:pStyle w:val="20"/>
        <w:rPr>
          <w:rFonts w:hint="eastAsia"/>
          <w:sz w:val="24"/>
        </w:rPr>
      </w:pPr>
    </w:p>
    <w:p w14:paraId="5E3D0505">
      <w:pPr>
        <w:pStyle w:val="20"/>
        <w:rPr>
          <w:rFonts w:hint="eastAsia"/>
          <w:sz w:val="24"/>
        </w:rPr>
      </w:pPr>
    </w:p>
    <w:p w14:paraId="06AD066D">
      <w:pPr>
        <w:pStyle w:val="20"/>
        <w:rPr>
          <w:rFonts w:hint="eastAsia"/>
          <w:sz w:val="24"/>
        </w:rPr>
      </w:pPr>
    </w:p>
    <w:p w14:paraId="1A268F90">
      <w:pPr>
        <w:pStyle w:val="20"/>
        <w:rPr>
          <w:rFonts w:hint="eastAsia"/>
          <w:sz w:val="24"/>
        </w:rPr>
      </w:pPr>
    </w:p>
    <w:p w14:paraId="21919B76">
      <w:pPr>
        <w:pStyle w:val="20"/>
        <w:rPr>
          <w:rFonts w:hint="eastAsia"/>
          <w:sz w:val="24"/>
        </w:rPr>
      </w:pPr>
    </w:p>
    <w:p w14:paraId="21999606">
      <w:pPr>
        <w:pStyle w:val="20"/>
        <w:rPr>
          <w:rFonts w:hint="eastAsia"/>
          <w:sz w:val="24"/>
        </w:rPr>
      </w:pPr>
    </w:p>
    <w:p w14:paraId="0BB9E543">
      <w:pPr>
        <w:pStyle w:val="20"/>
        <w:rPr>
          <w:rFonts w:hint="eastAsia"/>
          <w:sz w:val="24"/>
        </w:rPr>
      </w:pPr>
    </w:p>
    <w:p w14:paraId="0B2B6C56">
      <w:pPr>
        <w:pStyle w:val="20"/>
        <w:rPr>
          <w:rFonts w:hint="eastAsia"/>
          <w:sz w:val="24"/>
        </w:rPr>
      </w:pPr>
    </w:p>
    <w:p w14:paraId="32C12B4C">
      <w:pPr>
        <w:rPr>
          <w:rFonts w:hint="eastAsia"/>
          <w:sz w:val="24"/>
        </w:rPr>
      </w:pPr>
    </w:p>
    <w:p w14:paraId="69A7E464">
      <w:pPr>
        <w:rPr>
          <w:rFonts w:hint="eastAsia"/>
          <w:sz w:val="24"/>
        </w:rPr>
      </w:pPr>
    </w:p>
    <w:p w14:paraId="7DC1E33D">
      <w:pPr>
        <w:rPr>
          <w:rFonts w:hint="eastAsia"/>
          <w:sz w:val="24"/>
        </w:rPr>
      </w:pPr>
    </w:p>
    <w:p w14:paraId="3F7AB4AA">
      <w:pPr>
        <w:pageBreakBefore w:val="0"/>
        <w:kinsoku/>
        <w:wordWrap/>
        <w:overflowPunct/>
        <w:topLinePunct w:val="0"/>
        <w:bidi w:val="0"/>
        <w:adjustRightInd w:val="0"/>
        <w:snapToGrid w:val="0"/>
        <w:spacing w:beforeAutospacing="0" w:afterAutospacing="0" w:line="360" w:lineRule="auto"/>
        <w:rPr>
          <w:rFonts w:hint="default" w:eastAsiaTheme="minorEastAsia"/>
          <w:sz w:val="24"/>
          <w:lang w:val="en-US" w:eastAsia="zh-CN"/>
        </w:rPr>
      </w:pPr>
      <w:r>
        <w:rPr>
          <w:rFonts w:hint="eastAsia"/>
          <w:b/>
          <w:sz w:val="24"/>
        </w:rPr>
        <w:t>附件</w:t>
      </w:r>
      <w:r>
        <w:rPr>
          <w:rFonts w:hint="eastAsia"/>
          <w:b/>
          <w:sz w:val="24"/>
          <w:lang w:val="en-US" w:eastAsia="zh-CN"/>
        </w:rPr>
        <w:t>4</w:t>
      </w:r>
      <w:r>
        <w:rPr>
          <w:rFonts w:hint="eastAsia"/>
          <w:b/>
          <w:sz w:val="24"/>
        </w:rPr>
        <w:t>：</w:t>
      </w:r>
      <w:r>
        <w:rPr>
          <w:rFonts w:hint="eastAsia"/>
          <w:b/>
          <w:sz w:val="24"/>
          <w:lang w:val="en-US" w:eastAsia="zh-CN"/>
        </w:rPr>
        <w:t>运维方案</w:t>
      </w:r>
    </w:p>
    <w:p w14:paraId="3C02EE0A">
      <w:pPr>
        <w:ind w:left="3780" w:leftChars="0" w:firstLine="420" w:firstLineChars="0"/>
        <w:rPr>
          <w:rFonts w:hint="default" w:eastAsiaTheme="minorEastAsia"/>
          <w:b/>
          <w:bCs/>
          <w:sz w:val="36"/>
          <w:szCs w:val="36"/>
          <w:lang w:val="en-US" w:eastAsia="zh-CN"/>
        </w:rPr>
      </w:pPr>
      <w:r>
        <w:rPr>
          <w:rFonts w:hint="eastAsia"/>
          <w:b/>
          <w:bCs/>
          <w:sz w:val="36"/>
          <w:szCs w:val="36"/>
          <w:lang w:val="en-US" w:eastAsia="zh-CN"/>
        </w:rPr>
        <w:t>运维方案</w:t>
      </w:r>
    </w:p>
    <w:p w14:paraId="1423AAD8">
      <w:pPr>
        <w:pStyle w:val="20"/>
        <w:rPr>
          <w:rFonts w:hint="eastAsia"/>
          <w:sz w:val="24"/>
        </w:rPr>
      </w:pPr>
    </w:p>
    <w:p w14:paraId="3CC9FC1B">
      <w:pPr>
        <w:pStyle w:val="20"/>
        <w:numPr>
          <w:ilvl w:val="0"/>
          <w:numId w:val="8"/>
        </w:numPr>
        <w:spacing w:line="360" w:lineRule="auto"/>
        <w:jc w:val="both"/>
        <w:rPr>
          <w:rFonts w:hint="eastAsia"/>
          <w:b/>
          <w:bCs/>
          <w:lang w:val="en-US" w:eastAsia="zh-CN"/>
        </w:rPr>
      </w:pPr>
      <w:r>
        <w:rPr>
          <w:rFonts w:hint="eastAsia" w:ascii="宋体" w:hAnsi="宋体" w:eastAsia="宋体" w:cs="宋体"/>
          <w:b/>
          <w:bCs/>
          <w:sz w:val="24"/>
          <w:szCs w:val="24"/>
          <w:lang w:val="en-US" w:eastAsia="zh-CN"/>
        </w:rPr>
        <w:t>服务内容</w:t>
      </w:r>
    </w:p>
    <w:p w14:paraId="07C31DC9">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rPr>
        <w:t>要求</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提供</w:t>
      </w:r>
      <w:r>
        <w:rPr>
          <w:rFonts w:hint="eastAsia" w:ascii="宋体" w:hAnsi="宋体" w:eastAsia="宋体" w:cs="宋体"/>
          <w:bCs/>
          <w:spacing w:val="10"/>
          <w:kern w:val="0"/>
          <w:sz w:val="24"/>
          <w:szCs w:val="24"/>
          <w:lang w:val="en-US" w:eastAsia="zh-CN"/>
        </w:rPr>
        <w:t>安全运维管控系统、网信项目全生命周期安全管理系统</w:t>
      </w:r>
      <w:r>
        <w:rPr>
          <w:rFonts w:hint="eastAsia" w:ascii="宋体" w:hAnsi="宋体" w:eastAsia="宋体" w:cs="宋体"/>
          <w:bCs/>
          <w:sz w:val="24"/>
          <w:szCs w:val="24"/>
        </w:rPr>
        <w:t>的</w:t>
      </w:r>
      <w:r>
        <w:rPr>
          <w:rFonts w:hint="eastAsia" w:ascii="宋体" w:hAnsi="宋体" w:eastAsia="宋体" w:cs="宋体"/>
          <w:bCs/>
          <w:sz w:val="24"/>
          <w:szCs w:val="24"/>
          <w:u w:val="none"/>
          <w:lang w:val="en-US" w:eastAsia="zh-CN"/>
        </w:rPr>
        <w:t>远程</w:t>
      </w:r>
      <w:r>
        <w:rPr>
          <w:rFonts w:hint="eastAsia" w:ascii="宋体" w:hAnsi="宋体" w:eastAsia="宋体" w:cs="宋体"/>
          <w:bCs/>
          <w:sz w:val="24"/>
          <w:szCs w:val="24"/>
        </w:rPr>
        <w:t>运行维护服务工作，</w:t>
      </w:r>
      <w:r>
        <w:rPr>
          <w:rFonts w:hint="eastAsia" w:ascii="宋体" w:hAnsi="宋体" w:eastAsia="宋体" w:cs="宋体"/>
          <w:bCs/>
          <w:spacing w:val="10"/>
          <w:kern w:val="0"/>
          <w:sz w:val="24"/>
          <w:szCs w:val="24"/>
          <w:lang w:val="en-US" w:eastAsia="zh-CN"/>
        </w:rPr>
        <w:t>确保系统稳定运行，主要包括日常性维护、纠错性维护、适应性维护、预防性维护和完善性维护等</w:t>
      </w:r>
      <w:r>
        <w:rPr>
          <w:rFonts w:hint="eastAsia" w:ascii="宋体" w:hAnsi="宋体" w:eastAsia="宋体" w:cs="宋体"/>
          <w:bCs/>
          <w:sz w:val="24"/>
          <w:szCs w:val="24"/>
        </w:rPr>
        <w:t>。</w:t>
      </w:r>
    </w:p>
    <w:p w14:paraId="6D11C9DE">
      <w:pPr>
        <w:pageBreakBefore w:val="0"/>
        <w:kinsoku/>
        <w:wordWrap/>
        <w:overflowPunct/>
        <w:topLinePunct w:val="0"/>
        <w:bidi w:val="0"/>
        <w:adjustRightInd w:val="0"/>
        <w:snapToGrid w:val="0"/>
        <w:spacing w:beforeAutospacing="0" w:afterAutospacing="0" w:line="360" w:lineRule="auto"/>
        <w:ind w:left="489" w:leftChars="233"/>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（一）项目相关系统简介</w:t>
      </w:r>
    </w:p>
    <w:p w14:paraId="696DD9E1">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安全运维管控系统包括资产管理、监控运行、安全态势、安全运营、综合展示等功能，包含2套子系统，分别为监控运行子系统和运维管理子系统。监控运行子系统对机房IT环境的网络、主机、存储、数据库、中间件、虚拟化、Web服务器、系统日志等数据进行采集，进行数据分析辅助定位故障原因。运维管理子系统遵循ITIL/ITSS等IT服务管理标准，建立以客户为中心的运维模式，将人、技术与流程进行有效地融合通过流程管理平台，制定内部运维流程，将运维团队的服务产品化、标准化，提供了服务过程的设计、过程记录、监督与考核等事务的管理能力。</w:t>
      </w:r>
    </w:p>
    <w:p w14:paraId="58F51A58">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网信全生命周期系统包括体系梳理、网络安全管理、网信项目管理、信息系统管理等功能，该系统为蒙昆公司信息化日常安全工作常态化提供支撑与保障，将日常网络、系统、网络安全检查、应急管理、项目管理等工作电子化，通过系统开展日常信息化安全工作。结合等保、网络安全等要求，制定安全合规量化指标体系，通过安全任务分解，任务派发、任务跟踪，实现安全基线、安全检查、合规整改、量化评分等功能，全面落实信息安全目标责任制。</w:t>
      </w:r>
    </w:p>
    <w:p w14:paraId="513B334B">
      <w:pPr>
        <w:pageBreakBefore w:val="0"/>
        <w:kinsoku/>
        <w:wordWrap/>
        <w:overflowPunct/>
        <w:topLinePunct w:val="0"/>
        <w:bidi w:val="0"/>
        <w:adjustRightInd w:val="0"/>
        <w:snapToGrid w:val="0"/>
        <w:spacing w:beforeAutospacing="0" w:afterAutospacing="0" w:line="360" w:lineRule="auto"/>
        <w:ind w:left="489" w:leftChars="233"/>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（二）项目服务内容</w:t>
      </w:r>
    </w:p>
    <w:p w14:paraId="124AD160">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1.系统故障诊断和排除；</w:t>
      </w:r>
    </w:p>
    <w:p w14:paraId="2FD8DE01">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2.用户日常操作的指导培训及终端故障排除；</w:t>
      </w:r>
    </w:p>
    <w:p w14:paraId="5DB535D6">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3.用户权限的设计和配置；</w:t>
      </w:r>
    </w:p>
    <w:p w14:paraId="5AEE802C">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4.系统数据维护和管理；</w:t>
      </w:r>
    </w:p>
    <w:p w14:paraId="1644C1D7">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5.系统运行和维护情况进行定期巡检、监控和记录，确保系统稳定运行；</w:t>
      </w:r>
    </w:p>
    <w:p w14:paraId="744F4269">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6.与系统相关第三方保持良好协作，及时解决各种技术和应用问题；</w:t>
      </w:r>
    </w:p>
    <w:p w14:paraId="6B2D9308">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7.运维报告和重大情况报告的撰写和提报；</w:t>
      </w:r>
    </w:p>
    <w:p w14:paraId="26257F40">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8.在甲方有功能优化或功能调整需求时，乙方需配合甲方完成功能优化或功能调整；</w:t>
      </w:r>
    </w:p>
    <w:p w14:paraId="75C44ED5">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9.甲方有现场运维服务需求时，乙方需配合派出相关运维人员到现场完成相应工作；</w:t>
      </w:r>
    </w:p>
    <w:p w14:paraId="33823C4C">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lang w:val="en-US" w:eastAsia="zh-CN"/>
        </w:rPr>
      </w:pPr>
      <w:r>
        <w:rPr>
          <w:rFonts w:hint="eastAsia" w:ascii="宋体" w:hAnsi="宋体" w:eastAsia="宋体" w:cs="宋体"/>
          <w:bCs/>
          <w:sz w:val="24"/>
          <w:szCs w:val="24"/>
          <w:lang w:val="en-US" w:eastAsia="zh-CN"/>
        </w:rPr>
        <w:t>10.节假日或特殊业务时期运维保障。</w:t>
      </w:r>
    </w:p>
    <w:p w14:paraId="7C3B6EA8">
      <w:pPr>
        <w:numPr>
          <w:ilvl w:val="0"/>
          <w:numId w:val="8"/>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服务方式</w:t>
      </w:r>
    </w:p>
    <w:p w14:paraId="1FF1D663">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根据</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目前系统运维情况，</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承诺提供如下服务方式：</w:t>
      </w:r>
    </w:p>
    <w:p w14:paraId="2D711DA5">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.远程服务：7×24小时热线电话，响应</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提出的系统维护、业务保障和咨询服务。</w:t>
      </w:r>
    </w:p>
    <w:p w14:paraId="48509EE5">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.应急服务：根据工作需要，在运维人员</w:t>
      </w:r>
      <w:r>
        <w:rPr>
          <w:rFonts w:hint="eastAsia" w:ascii="宋体" w:hAnsi="宋体" w:eastAsia="宋体" w:cs="宋体"/>
          <w:bCs/>
          <w:sz w:val="24"/>
          <w:szCs w:val="24"/>
          <w:lang w:val="en-US" w:eastAsia="zh-CN"/>
        </w:rPr>
        <w:t>远程</w:t>
      </w:r>
      <w:r>
        <w:rPr>
          <w:rFonts w:hint="eastAsia" w:ascii="宋体" w:hAnsi="宋体" w:eastAsia="宋体" w:cs="宋体"/>
          <w:bCs/>
          <w:sz w:val="24"/>
          <w:szCs w:val="24"/>
        </w:rPr>
        <w:t>无法处理用户提出的问题时，派遣高级技术人员到现场解决故障直到问题得到解决。</w:t>
      </w:r>
    </w:p>
    <w:p w14:paraId="736F4D89">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.培训</w:t>
      </w:r>
      <w:r>
        <w:rPr>
          <w:rFonts w:hint="eastAsia" w:ascii="宋体" w:hAnsi="宋体" w:eastAsia="宋体" w:cs="宋体"/>
          <w:bCs/>
          <w:sz w:val="24"/>
          <w:szCs w:val="24"/>
          <w:lang w:val="en-US" w:eastAsia="zh-CN"/>
        </w:rPr>
        <w:t>服务</w:t>
      </w:r>
      <w:r>
        <w:rPr>
          <w:rFonts w:hint="eastAsia" w:ascii="宋体" w:hAnsi="宋体" w:eastAsia="宋体" w:cs="宋体"/>
          <w:bCs/>
          <w:sz w:val="24"/>
          <w:szCs w:val="24"/>
        </w:rPr>
        <w:t>：</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制定合理的培训计划，培训内容应包括系统现有功能的深度培训，确保知识转移到位，提高用户的操作熟练度。</w:t>
      </w:r>
    </w:p>
    <w:p w14:paraId="4ED4171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.应急响应要求：</w:t>
      </w:r>
      <w:r>
        <w:rPr>
          <w:rFonts w:hint="eastAsia" w:ascii="宋体" w:hAnsi="宋体" w:eastAsia="宋体" w:cs="宋体"/>
          <w:bCs/>
          <w:sz w:val="24"/>
          <w:szCs w:val="24"/>
          <w:lang w:val="en-US" w:eastAsia="zh-CN"/>
        </w:rPr>
        <w:t>运维</w:t>
      </w:r>
      <w:r>
        <w:rPr>
          <w:rFonts w:hint="eastAsia" w:ascii="宋体" w:hAnsi="宋体" w:eastAsia="宋体" w:cs="宋体"/>
          <w:bCs/>
          <w:sz w:val="24"/>
          <w:szCs w:val="24"/>
        </w:rPr>
        <w:t>服务团队应加强日常巡检，以尽量避免故障的出现。若系统出现故障，</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承诺按照故障的级别，在下表规定的时间内进行修复，恢复正常的使用。</w:t>
      </w:r>
    </w:p>
    <w:tbl>
      <w:tblPr>
        <w:tblStyle w:val="46"/>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1"/>
        <w:gridCol w:w="5508"/>
        <w:gridCol w:w="2969"/>
      </w:tblGrid>
      <w:tr w14:paraId="54B68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blHeader/>
        </w:trPr>
        <w:tc>
          <w:tcPr>
            <w:tcW w:w="739" w:type="pct"/>
            <w:vAlign w:val="center"/>
          </w:tcPr>
          <w:p w14:paraId="3C5A8A65">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故障级别</w:t>
            </w:r>
          </w:p>
        </w:tc>
        <w:tc>
          <w:tcPr>
            <w:tcW w:w="2768" w:type="pct"/>
            <w:vAlign w:val="center"/>
          </w:tcPr>
          <w:p w14:paraId="592C987E">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故障描述</w:t>
            </w:r>
          </w:p>
        </w:tc>
        <w:tc>
          <w:tcPr>
            <w:tcW w:w="1492" w:type="pct"/>
            <w:vAlign w:val="center"/>
          </w:tcPr>
          <w:p w14:paraId="51283443">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处理时间</w:t>
            </w:r>
          </w:p>
        </w:tc>
      </w:tr>
      <w:tr w14:paraId="41EF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739" w:type="pct"/>
            <w:vAlign w:val="center"/>
          </w:tcPr>
          <w:p w14:paraId="48852DA3">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一级</w:t>
            </w:r>
          </w:p>
        </w:tc>
        <w:tc>
          <w:tcPr>
            <w:tcW w:w="2768" w:type="pct"/>
            <w:vAlign w:val="center"/>
          </w:tcPr>
          <w:p w14:paraId="2A16045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属于紧急问题，现象为：系统故障导致业务停止、数据丢失。</w:t>
            </w:r>
          </w:p>
        </w:tc>
        <w:tc>
          <w:tcPr>
            <w:tcW w:w="1492" w:type="pct"/>
            <w:vAlign w:val="center"/>
          </w:tcPr>
          <w:p w14:paraId="03886D9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5分钟内进行响应处理， 4小时内恢复正常使用。</w:t>
            </w:r>
          </w:p>
        </w:tc>
      </w:tr>
      <w:tr w14:paraId="140E2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739" w:type="pct"/>
            <w:vAlign w:val="center"/>
          </w:tcPr>
          <w:p w14:paraId="548A1885">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二级</w:t>
            </w:r>
          </w:p>
        </w:tc>
        <w:tc>
          <w:tcPr>
            <w:tcW w:w="2768" w:type="pct"/>
            <w:vAlign w:val="center"/>
          </w:tcPr>
          <w:p w14:paraId="342607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属于严重问题，现象为：部分部件失效、系统性能下降但不影响正常业务运作。</w:t>
            </w:r>
          </w:p>
        </w:tc>
        <w:tc>
          <w:tcPr>
            <w:tcW w:w="1492" w:type="pct"/>
            <w:vAlign w:val="center"/>
          </w:tcPr>
          <w:p w14:paraId="10E00C1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5分钟内进行响应处理， 8小时内恢复正常使用。</w:t>
            </w:r>
          </w:p>
        </w:tc>
      </w:tr>
      <w:tr w14:paraId="42398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39" w:type="pct"/>
            <w:vAlign w:val="center"/>
          </w:tcPr>
          <w:p w14:paraId="1B78E5D1">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三级</w:t>
            </w:r>
          </w:p>
        </w:tc>
        <w:tc>
          <w:tcPr>
            <w:tcW w:w="2768" w:type="pct"/>
            <w:vAlign w:val="center"/>
          </w:tcPr>
          <w:p w14:paraId="28AF4D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属于较严重的问题，现象为：系统能继续运行且性能不受影响，但出现系统报错或部分部件故障,存在较大安全隐患。</w:t>
            </w:r>
          </w:p>
        </w:tc>
        <w:tc>
          <w:tcPr>
            <w:tcW w:w="1492" w:type="pct"/>
            <w:vAlign w:val="center"/>
          </w:tcPr>
          <w:p w14:paraId="6486FD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30分钟内进行响应处理， 12小时内恢复正常使用。</w:t>
            </w:r>
          </w:p>
        </w:tc>
      </w:tr>
      <w:tr w14:paraId="41BE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739" w:type="pct"/>
            <w:vAlign w:val="center"/>
          </w:tcPr>
          <w:p w14:paraId="41529074">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四级</w:t>
            </w:r>
          </w:p>
        </w:tc>
        <w:tc>
          <w:tcPr>
            <w:tcW w:w="2768" w:type="pct"/>
            <w:vAlign w:val="center"/>
          </w:tcPr>
          <w:p w14:paraId="33D01B5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属于普通问题，现象为：系统技术功能、安装或配置咨询，或其他不影响业务的预约服务。</w:t>
            </w:r>
          </w:p>
        </w:tc>
        <w:tc>
          <w:tcPr>
            <w:tcW w:w="1492" w:type="pct"/>
            <w:vAlign w:val="center"/>
          </w:tcPr>
          <w:p w14:paraId="05571C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60分钟内进行响应，与招标人具体商讨处理时间。</w:t>
            </w:r>
          </w:p>
        </w:tc>
      </w:tr>
    </w:tbl>
    <w:p w14:paraId="007F8C59">
      <w:pPr>
        <w:numPr>
          <w:numId w:val="0"/>
        </w:numPr>
        <w:spacing w:line="360" w:lineRule="auto"/>
        <w:rPr>
          <w:rFonts w:hint="eastAsia" w:ascii="宋体" w:hAnsi="宋体" w:eastAsia="宋体" w:cs="宋体"/>
          <w:sz w:val="24"/>
          <w:szCs w:val="24"/>
          <w:lang w:val="en-US" w:eastAsia="zh-CN"/>
        </w:rPr>
      </w:pPr>
    </w:p>
    <w:p w14:paraId="64B2BF01">
      <w:pPr>
        <w:numPr>
          <w:ilvl w:val="0"/>
          <w:numId w:val="8"/>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服务要求</w:t>
      </w:r>
    </w:p>
    <w:p w14:paraId="4CC8D95F">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1.乙方提供远程运维保障，快速、及时提供相应业务模块运行等方面的远程支持服务。</w:t>
      </w:r>
    </w:p>
    <w:p w14:paraId="6C3A978A">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2.为甲方系统运维保障提供后台技术支持，对招标人反应的问题快速响应，并及时有效的分析处理。</w:t>
      </w:r>
    </w:p>
    <w:p w14:paraId="2F3E0228">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3.对甲方的系统做定期的检查，保证系统的稳定运行，尽可能的消除潜在的问题隐患，进而确保应用系统顺利高效运行。</w:t>
      </w:r>
    </w:p>
    <w:p w14:paraId="584DFF8D">
      <w:pPr>
        <w:numPr>
          <w:numId w:val="0"/>
        </w:numPr>
        <w:spacing w:line="360" w:lineRule="auto"/>
        <w:ind w:firstLine="42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4.乙方对运维服务项目不得转包，不得采取分包方式履行委托服务合同。</w:t>
      </w:r>
    </w:p>
    <w:p w14:paraId="2C434B0B">
      <w:pPr>
        <w:numPr>
          <w:ilvl w:val="0"/>
          <w:numId w:val="8"/>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服务方案</w:t>
      </w:r>
    </w:p>
    <w:p w14:paraId="35F55895">
      <w:pPr>
        <w:numPr>
          <w:ilvl w:val="0"/>
          <w:numId w:val="9"/>
        </w:numPr>
        <w:spacing w:line="360" w:lineRule="auto"/>
        <w:ind w:left="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日常运维</w:t>
      </w:r>
    </w:p>
    <w:p w14:paraId="6C452FD3">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创联致信为本期项目提供远程运维服务，进行每日巡检、维护和管理，计划每月提供一次全方面的现场巡检服务，及时发现系统运行中出现的隐患。创联致信公司在设备巡检服务中，通过制定详细的巡检服务计划及巡检服务流程，并完善巡检内容。</w:t>
      </w:r>
    </w:p>
    <w:p w14:paraId="19C2E91B">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（1）巡检服务分类</w:t>
      </w:r>
    </w:p>
    <w:p w14:paraId="6D803648">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创联致信公司针对本期项目制定常规巡检服务与临时巡检服务相结合的服务方案。其中常规巡检服务分为月度巡检、重大节假日巡检、日巡检等。临时巡检分为进行突发性事件的临时保障巡检等。</w:t>
      </w:r>
    </w:p>
    <w:p w14:paraId="0A4008F8">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（2）巡检服务计划</w:t>
      </w:r>
    </w:p>
    <w:p w14:paraId="44613443">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我们将根据日常运维的要求并针对不同的巡检服务类别制定相应的巡检服务计划。定期对项目规定范围内的设备进行巡检，至少每月提供一次设备现场巡检服务。因此针对巡检要求我们在本期项目中巡检计划范围、时间列表如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3812"/>
        <w:gridCol w:w="3141"/>
      </w:tblGrid>
      <w:tr w14:paraId="670C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shd w:val="clear" w:color="auto" w:fill="BFBFBF"/>
            <w:noWrap w:val="0"/>
            <w:vAlign w:val="center"/>
          </w:tcPr>
          <w:p w14:paraId="3EA94A9A">
            <w:pPr>
              <w:widowControl/>
              <w:spacing w:before="120"/>
              <w:ind w:firstLine="482"/>
              <w:rPr>
                <w:rFonts w:ascii="宋体" w:hAnsi="宋体" w:cs="宋体"/>
                <w:b/>
                <w:color w:val="000000"/>
                <w:kern w:val="0"/>
              </w:rPr>
            </w:pPr>
            <w:r>
              <w:rPr>
                <w:rFonts w:hint="eastAsia" w:ascii="宋体" w:hAnsi="宋体" w:cs="宋体"/>
                <w:b/>
                <w:color w:val="000000"/>
                <w:kern w:val="0"/>
              </w:rPr>
              <w:t>巡检类别</w:t>
            </w:r>
          </w:p>
        </w:tc>
        <w:tc>
          <w:tcPr>
            <w:tcW w:w="3812" w:type="dxa"/>
            <w:shd w:val="clear" w:color="auto" w:fill="BFBFBF"/>
            <w:noWrap w:val="0"/>
            <w:vAlign w:val="center"/>
          </w:tcPr>
          <w:p w14:paraId="7A3D67A2">
            <w:pPr>
              <w:widowControl/>
              <w:spacing w:before="120"/>
              <w:ind w:firstLine="482"/>
              <w:rPr>
                <w:rFonts w:ascii="宋体" w:hAnsi="宋体" w:cs="宋体"/>
                <w:b/>
                <w:color w:val="000000"/>
                <w:kern w:val="0"/>
              </w:rPr>
            </w:pPr>
            <w:r>
              <w:rPr>
                <w:rFonts w:hint="eastAsia" w:ascii="宋体" w:hAnsi="宋体" w:cs="宋体"/>
                <w:b/>
                <w:color w:val="000000"/>
                <w:kern w:val="0"/>
              </w:rPr>
              <w:t>巡检范围</w:t>
            </w:r>
          </w:p>
        </w:tc>
        <w:tc>
          <w:tcPr>
            <w:tcW w:w="3141" w:type="dxa"/>
            <w:shd w:val="clear" w:color="auto" w:fill="BFBFBF"/>
            <w:noWrap w:val="0"/>
            <w:vAlign w:val="center"/>
          </w:tcPr>
          <w:p w14:paraId="527D2439">
            <w:pPr>
              <w:widowControl/>
              <w:spacing w:before="120"/>
              <w:ind w:firstLine="482"/>
              <w:rPr>
                <w:rFonts w:ascii="宋体" w:hAnsi="宋体" w:cs="宋体"/>
                <w:b/>
                <w:color w:val="000000"/>
                <w:kern w:val="0"/>
              </w:rPr>
            </w:pPr>
            <w:r>
              <w:rPr>
                <w:rFonts w:hint="eastAsia" w:ascii="宋体" w:hAnsi="宋体" w:cs="宋体"/>
                <w:b/>
                <w:color w:val="000000"/>
                <w:kern w:val="0"/>
              </w:rPr>
              <w:t>巡检时间计划</w:t>
            </w:r>
          </w:p>
        </w:tc>
      </w:tr>
      <w:tr w14:paraId="32C5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noWrap w:val="0"/>
            <w:vAlign w:val="center"/>
          </w:tcPr>
          <w:p w14:paraId="7751B5E9">
            <w:pPr>
              <w:widowControl/>
              <w:spacing w:before="120"/>
              <w:ind w:firstLine="480"/>
              <w:rPr>
                <w:rFonts w:ascii="宋体" w:hAnsi="宋体" w:cs="宋体"/>
                <w:color w:val="000000"/>
                <w:kern w:val="0"/>
              </w:rPr>
            </w:pPr>
            <w:r>
              <w:rPr>
                <w:rFonts w:hint="eastAsia" w:ascii="宋体" w:hAnsi="宋体" w:cs="宋体"/>
                <w:color w:val="000000"/>
                <w:kern w:val="0"/>
                <w:lang w:val="en-US" w:eastAsia="zh-CN"/>
              </w:rPr>
              <w:t>月</w:t>
            </w:r>
            <w:r>
              <w:rPr>
                <w:rFonts w:hint="eastAsia" w:ascii="宋体" w:hAnsi="宋体" w:cs="宋体"/>
                <w:color w:val="000000"/>
                <w:kern w:val="0"/>
              </w:rPr>
              <w:t>巡检</w:t>
            </w:r>
          </w:p>
        </w:tc>
        <w:tc>
          <w:tcPr>
            <w:tcW w:w="3812" w:type="dxa"/>
            <w:noWrap w:val="0"/>
            <w:vAlign w:val="center"/>
          </w:tcPr>
          <w:p w14:paraId="5B13032E">
            <w:pPr>
              <w:widowControl/>
              <w:spacing w:before="120"/>
              <w:ind w:firstLine="480"/>
              <w:rPr>
                <w:rFonts w:ascii="宋体" w:hAnsi="宋体" w:cs="宋体"/>
                <w:color w:val="000000"/>
                <w:kern w:val="0"/>
              </w:rPr>
            </w:pPr>
            <w:r>
              <w:rPr>
                <w:rFonts w:hint="eastAsia" w:ascii="宋体" w:hAnsi="宋体" w:cs="宋体"/>
                <w:color w:val="000000"/>
                <w:kern w:val="0"/>
              </w:rPr>
              <w:t>设备</w:t>
            </w:r>
            <w:r>
              <w:rPr>
                <w:rFonts w:ascii="宋体" w:hAnsi="宋体" w:cs="宋体"/>
                <w:color w:val="000000"/>
                <w:kern w:val="0"/>
              </w:rPr>
              <w:t>列表清单</w:t>
            </w:r>
          </w:p>
        </w:tc>
        <w:tc>
          <w:tcPr>
            <w:tcW w:w="3141" w:type="dxa"/>
            <w:noWrap w:val="0"/>
            <w:vAlign w:val="center"/>
          </w:tcPr>
          <w:p w14:paraId="7FE3DB49">
            <w:pPr>
              <w:widowControl/>
              <w:spacing w:before="120"/>
              <w:ind w:firstLine="480"/>
              <w:rPr>
                <w:rFonts w:ascii="宋体" w:hAnsi="宋体" w:cs="宋体"/>
                <w:color w:val="000000"/>
                <w:kern w:val="0"/>
              </w:rPr>
            </w:pPr>
            <w:r>
              <w:rPr>
                <w:rFonts w:hint="eastAsia" w:ascii="宋体" w:hAnsi="宋体" w:cs="宋体"/>
                <w:color w:val="000000"/>
                <w:kern w:val="0"/>
              </w:rPr>
              <w:t>每</w:t>
            </w:r>
            <w:r>
              <w:rPr>
                <w:rFonts w:hint="eastAsia" w:ascii="宋体" w:hAnsi="宋体" w:cs="宋体"/>
                <w:color w:val="000000"/>
                <w:kern w:val="0"/>
                <w:lang w:val="en-US" w:eastAsia="zh-CN"/>
              </w:rPr>
              <w:t>月</w:t>
            </w:r>
            <w:r>
              <w:rPr>
                <w:rFonts w:hint="eastAsia" w:ascii="宋体" w:hAnsi="宋体" w:cs="宋体"/>
                <w:color w:val="000000"/>
                <w:kern w:val="0"/>
              </w:rPr>
              <w:t>固定日期</w:t>
            </w:r>
          </w:p>
        </w:tc>
      </w:tr>
      <w:tr w14:paraId="250C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noWrap w:val="0"/>
            <w:vAlign w:val="center"/>
          </w:tcPr>
          <w:p w14:paraId="2D9D07B7">
            <w:pPr>
              <w:widowControl/>
              <w:spacing w:before="120"/>
              <w:rPr>
                <w:rFonts w:ascii="宋体" w:hAnsi="宋体" w:cs="宋体"/>
                <w:color w:val="000000"/>
                <w:kern w:val="0"/>
              </w:rPr>
            </w:pPr>
            <w:r>
              <w:rPr>
                <w:rFonts w:hint="eastAsia" w:ascii="宋体" w:hAnsi="宋体" w:cs="宋体"/>
                <w:color w:val="000000"/>
                <w:kern w:val="0"/>
              </w:rPr>
              <w:t>重大节假日巡检</w:t>
            </w:r>
          </w:p>
        </w:tc>
        <w:tc>
          <w:tcPr>
            <w:tcW w:w="3812" w:type="dxa"/>
            <w:noWrap w:val="0"/>
            <w:vAlign w:val="center"/>
          </w:tcPr>
          <w:p w14:paraId="54416B66">
            <w:pPr>
              <w:widowControl/>
              <w:spacing w:before="120"/>
              <w:ind w:firstLine="480"/>
              <w:rPr>
                <w:rFonts w:ascii="宋体" w:hAnsi="宋体" w:cs="宋体"/>
                <w:color w:val="000000"/>
                <w:kern w:val="0"/>
              </w:rPr>
            </w:pPr>
            <w:r>
              <w:rPr>
                <w:rFonts w:hint="eastAsia" w:ascii="宋体" w:hAnsi="宋体" w:cs="宋体"/>
                <w:color w:val="000000"/>
                <w:kern w:val="0"/>
              </w:rPr>
              <w:t>设备</w:t>
            </w:r>
            <w:r>
              <w:rPr>
                <w:rFonts w:ascii="宋体" w:hAnsi="宋体" w:cs="宋体"/>
                <w:color w:val="000000"/>
                <w:kern w:val="0"/>
              </w:rPr>
              <w:t>列表清单</w:t>
            </w:r>
          </w:p>
        </w:tc>
        <w:tc>
          <w:tcPr>
            <w:tcW w:w="3141" w:type="dxa"/>
            <w:noWrap w:val="0"/>
            <w:vAlign w:val="center"/>
          </w:tcPr>
          <w:p w14:paraId="36F285A4">
            <w:pPr>
              <w:widowControl/>
              <w:spacing w:before="120"/>
              <w:ind w:firstLine="480"/>
              <w:rPr>
                <w:rFonts w:ascii="宋体" w:hAnsi="宋体" w:cs="宋体"/>
                <w:color w:val="000000"/>
                <w:kern w:val="0"/>
              </w:rPr>
            </w:pPr>
            <w:r>
              <w:rPr>
                <w:rFonts w:hint="eastAsia" w:ascii="宋体" w:hAnsi="宋体" w:cs="宋体"/>
                <w:color w:val="000000"/>
                <w:kern w:val="0"/>
              </w:rPr>
              <w:t>节假日日期</w:t>
            </w:r>
          </w:p>
        </w:tc>
      </w:tr>
      <w:tr w14:paraId="02A8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noWrap w:val="0"/>
            <w:vAlign w:val="center"/>
          </w:tcPr>
          <w:p w14:paraId="0E5A6E82">
            <w:pPr>
              <w:widowControl/>
              <w:spacing w:before="120"/>
              <w:ind w:firstLine="480"/>
              <w:rPr>
                <w:rFonts w:ascii="宋体" w:hAnsi="宋体" w:cs="宋体"/>
                <w:color w:val="000000"/>
                <w:kern w:val="0"/>
              </w:rPr>
            </w:pPr>
            <w:r>
              <w:rPr>
                <w:rFonts w:hint="eastAsia" w:ascii="宋体" w:hAnsi="宋体" w:cs="宋体"/>
                <w:color w:val="000000"/>
                <w:kern w:val="0"/>
              </w:rPr>
              <w:t>日常巡检</w:t>
            </w:r>
          </w:p>
        </w:tc>
        <w:tc>
          <w:tcPr>
            <w:tcW w:w="3812" w:type="dxa"/>
            <w:noWrap w:val="0"/>
            <w:vAlign w:val="center"/>
          </w:tcPr>
          <w:p w14:paraId="0934EF25">
            <w:pPr>
              <w:widowControl/>
              <w:spacing w:before="120"/>
              <w:ind w:firstLine="480"/>
              <w:rPr>
                <w:rFonts w:ascii="宋体" w:hAnsi="宋体" w:cs="宋体"/>
                <w:color w:val="000000"/>
                <w:kern w:val="0"/>
              </w:rPr>
            </w:pPr>
            <w:r>
              <w:rPr>
                <w:rFonts w:hint="eastAsia" w:ascii="宋体" w:hAnsi="宋体" w:cs="宋体"/>
                <w:color w:val="000000"/>
                <w:kern w:val="0"/>
              </w:rPr>
              <w:t>设备</w:t>
            </w:r>
            <w:r>
              <w:rPr>
                <w:rFonts w:ascii="宋体" w:hAnsi="宋体" w:cs="宋体"/>
                <w:color w:val="000000"/>
                <w:kern w:val="0"/>
              </w:rPr>
              <w:t>列表清单</w:t>
            </w:r>
          </w:p>
        </w:tc>
        <w:tc>
          <w:tcPr>
            <w:tcW w:w="3141" w:type="dxa"/>
            <w:noWrap w:val="0"/>
            <w:vAlign w:val="center"/>
          </w:tcPr>
          <w:p w14:paraId="2558F226">
            <w:pPr>
              <w:widowControl/>
              <w:spacing w:before="120"/>
              <w:ind w:firstLine="480"/>
              <w:rPr>
                <w:rFonts w:ascii="宋体" w:hAnsi="宋体" w:eastAsia="仿宋" w:cs="宋体"/>
                <w:color w:val="000000"/>
                <w:kern w:val="0"/>
              </w:rPr>
            </w:pPr>
            <w:r>
              <w:rPr>
                <w:rFonts w:hint="eastAsia" w:ascii="宋体" w:hAnsi="宋体" w:cs="宋体"/>
                <w:color w:val="000000"/>
                <w:kern w:val="0"/>
              </w:rPr>
              <w:t>每天</w:t>
            </w:r>
          </w:p>
        </w:tc>
      </w:tr>
    </w:tbl>
    <w:p w14:paraId="766A7483">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（3）设备巡检流程</w:t>
      </w:r>
    </w:p>
    <w:p w14:paraId="0F9755AE">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创联致信公司为本期项目在技术服务期内的巡检服务制度相应的巡检流程，保障巡检工作的有序展开。主要工作包括巡检准备、执行、问题处理、服务总结等：</w:t>
      </w:r>
    </w:p>
    <w:p w14:paraId="46667855">
      <w:pPr>
        <w:numPr>
          <w:ilvl w:val="0"/>
          <w:numId w:val="9"/>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定期撰写运维报告</w:t>
      </w:r>
    </w:p>
    <w:p w14:paraId="54272616">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创联致信按月总结回顾当月各项运维工作开展情况，重点描述和分析出现的技术问题和服务质量问题，并给出整改方案。形成知识库积累，逐步做好系统前置性运维。</w:t>
      </w:r>
    </w:p>
    <w:p w14:paraId="149929EC">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运维工程师定期以周、月、季度等周期对系统进行各项运维工作的总结分析，针对重点事件或异常事件及时上报，并提出对应的解决方案。定期对日常巡检工作、运维工作、数据分析、系统优化等编写总结报告，进行上报，并录入至系统的文档管理对应模块。</w:t>
      </w:r>
    </w:p>
    <w:p w14:paraId="445035E1">
      <w:pPr>
        <w:numPr>
          <w:ilvl w:val="0"/>
          <w:numId w:val="9"/>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用户权限设计和配置</w:t>
      </w:r>
    </w:p>
    <w:p w14:paraId="553F48F2">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创联致信根据用户组织架构需要为用户管理安全运维管控系统、网信项目全生命周期安全管理系统的用户权限及角色的变更配置。</w:t>
      </w:r>
    </w:p>
    <w:p w14:paraId="092C4915">
      <w:pPr>
        <w:numPr>
          <w:ilvl w:val="0"/>
          <w:numId w:val="9"/>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数据维护与管理</w:t>
      </w:r>
    </w:p>
    <w:p w14:paraId="03751E02">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安全运维管控、网信全生命周期系统包含的主要数据及文件包括IT资产监控、安全对象指标、运维工单等大量信息化数据，随着系统的持续运行产生大量的业务数据需要定期进行备份转储。运维工程师及技术人员需配合用户进行相关的业务数据后台处理。</w:t>
      </w:r>
    </w:p>
    <w:p w14:paraId="006ECF7D">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数据维护工作是指对企业或个人存储在计算机或其他媒体上的数据进行定期维护和管理的工作。这项工作对于企业和个人的运营和管理至关重要，因为它确保了数据的完整性、可靠性和安全性。</w:t>
      </w:r>
    </w:p>
    <w:p w14:paraId="54F27C9C">
      <w:pPr>
        <w:pageBreakBefore w:val="0"/>
        <w:numPr>
          <w:ilvl w:val="0"/>
          <w:numId w:val="10"/>
        </w:numPr>
        <w:kinsoku/>
        <w:wordWrap/>
        <w:overflowPunct/>
        <w:topLinePunct w:val="0"/>
        <w:bidi w:val="0"/>
        <w:adjustRightInd w:val="0"/>
        <w:snapToGrid w:val="0"/>
        <w:spacing w:beforeAutospacing="0" w:afterAutospacing="0" w:line="360" w:lineRule="auto"/>
        <w:ind w:left="420" w:leftChars="0" w:hanging="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数据备份和恢复</w:t>
      </w:r>
    </w:p>
    <w:p w14:paraId="395FF274">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备份和恢复是数据维护的重要组成部分。备份是指将数据存储到另一个位置，以便在数据丢失或损坏时可以进行恢复。备份可以定期进行，例如每天、每周或每月，以确保数据的安全性和完整性。恢复是指从备份中恢复数据的过程。在进行恢复之前，必须检查备份的完整性和可靠性，以确保恢复成功。</w:t>
      </w:r>
    </w:p>
    <w:p w14:paraId="30C00712">
      <w:pPr>
        <w:pageBreakBefore w:val="0"/>
        <w:numPr>
          <w:ilvl w:val="0"/>
          <w:numId w:val="10"/>
        </w:numPr>
        <w:kinsoku/>
        <w:wordWrap/>
        <w:overflowPunct/>
        <w:topLinePunct w:val="0"/>
        <w:bidi w:val="0"/>
        <w:adjustRightInd w:val="0"/>
        <w:snapToGrid w:val="0"/>
        <w:spacing w:beforeAutospacing="0" w:afterAutospacing="0" w:line="360" w:lineRule="auto"/>
        <w:ind w:left="420" w:leftChars="0" w:hanging="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数据清理和整理</w:t>
      </w:r>
    </w:p>
    <w:p w14:paraId="53743A4D">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清理和整理是维护数据完整性和准确性的重要步骤。数据清理包括删除重复、过时或无效的数据，以确保数据的准确性和完整性。数据整理是指对数据进行分类和组织的过程，以便更好地管理和使用数据。数据整理可以包括对数据进行命名、标记和分类，以便更好地管理和使用数据。</w:t>
      </w:r>
    </w:p>
    <w:p w14:paraId="25B52558">
      <w:pPr>
        <w:pageBreakBefore w:val="0"/>
        <w:numPr>
          <w:ilvl w:val="0"/>
          <w:numId w:val="10"/>
        </w:numPr>
        <w:kinsoku/>
        <w:wordWrap/>
        <w:overflowPunct/>
        <w:topLinePunct w:val="0"/>
        <w:bidi w:val="0"/>
        <w:adjustRightInd w:val="0"/>
        <w:snapToGrid w:val="0"/>
        <w:spacing w:beforeAutospacing="0" w:afterAutospacing="0" w:line="360" w:lineRule="auto"/>
        <w:ind w:left="420" w:leftChars="0" w:hanging="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数据安全和保护</w:t>
      </w:r>
    </w:p>
    <w:p w14:paraId="1A79B0D3">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安全和保护是数据维护的关键方面。数据安全包括确保数据不被非法访问、篡改或破坏。数据保护包括确保数据不被丢失或损坏，以及确保数据备份和恢复的可靠性。为了确保数据的安全和保护，数据维护人员必须采取适当的安全措施，例如使用密码、加密技术和访问控制措施。</w:t>
      </w:r>
    </w:p>
    <w:p w14:paraId="5C352751">
      <w:pPr>
        <w:pageBreakBefore w:val="0"/>
        <w:numPr>
          <w:ilvl w:val="0"/>
          <w:numId w:val="10"/>
        </w:numPr>
        <w:kinsoku/>
        <w:wordWrap/>
        <w:overflowPunct/>
        <w:topLinePunct w:val="0"/>
        <w:bidi w:val="0"/>
        <w:adjustRightInd w:val="0"/>
        <w:snapToGrid w:val="0"/>
        <w:spacing w:beforeAutospacing="0" w:afterAutospacing="0" w:line="360" w:lineRule="auto"/>
        <w:ind w:left="420" w:leftChars="0" w:hanging="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数据分析与处理</w:t>
      </w:r>
    </w:p>
    <w:p w14:paraId="5467DE0B">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维护人员通常需要进行数据分析和报告。数据分析是指对数据进行分析和解释的过程，以便更好地理解数据和提取有用的信息。数据报告是指将数据分析结果呈现给相关人员的过程。数据分析和报告可以帮助企业和个人做出更好的决策，同时也可以用于监测和评估数据的质量和准确性。</w:t>
      </w:r>
    </w:p>
    <w:p w14:paraId="5A956B39">
      <w:pPr>
        <w:numPr>
          <w:ilvl w:val="0"/>
          <w:numId w:val="9"/>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数据诊断与分析</w:t>
      </w:r>
    </w:p>
    <w:p w14:paraId="761F904E">
      <w:pPr>
        <w:pageBreakBefore w:val="0"/>
        <w:numPr>
          <w:ilvl w:val="0"/>
          <w:numId w:val="11"/>
        </w:numPr>
        <w:kinsoku/>
        <w:wordWrap/>
        <w:overflowPunct/>
        <w:topLinePunct w:val="0"/>
        <w:bidi w:val="0"/>
        <w:adjustRightInd w:val="0"/>
        <w:snapToGrid w:val="0"/>
        <w:spacing w:beforeAutospacing="0" w:afterAutospacing="0" w:line="360" w:lineRule="auto"/>
        <w:ind w:left="845" w:leftChars="0" w:hanging="425"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使用数据诊断运维问题</w:t>
      </w:r>
    </w:p>
    <w:p w14:paraId="48411DC3">
      <w:pPr>
        <w:pageBreakBefore w:val="0"/>
        <w:numPr>
          <w:ilvl w:val="0"/>
          <w:numId w:val="12"/>
        </w:numPr>
        <w:kinsoku/>
        <w:wordWrap/>
        <w:overflowPunct/>
        <w:topLinePunct w:val="0"/>
        <w:bidi w:val="0"/>
        <w:adjustRightInd w:val="0"/>
        <w:snapToGrid w:val="0"/>
        <w:spacing w:beforeAutospacing="0" w:afterAutospacing="0" w:line="360" w:lineRule="auto"/>
        <w:ind w:left="420" w:leftChars="0" w:hanging="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数据采集</w:t>
      </w:r>
    </w:p>
    <w:p w14:paraId="27B84CDE">
      <w:pPr>
        <w:pageBreakBefore w:val="0"/>
        <w:kinsoku/>
        <w:wordWrap/>
        <w:overflowPunct/>
        <w:topLinePunct w:val="0"/>
        <w:bidi w:val="0"/>
        <w:adjustRightInd w:val="0"/>
        <w:snapToGrid w:val="0"/>
        <w:spacing w:beforeAutospacing="0" w:afterAutospacing="0" w:line="360" w:lineRule="auto"/>
        <w:ind w:firstLine="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分析首先要有数据，而在运维中，数据的采集可以通过监控工具、日志分析等手段来实现。通过监控工具可以得到服务器的资源占用情况、网络延迟和带宽等指标，以及应用程序的性能指标等信息。而日志分析可以得到应用程序的异常情况和错误日志等信息。这些采集到的数据可视化后，我们可以通过图表等方式来进行直观分析。</w:t>
      </w:r>
    </w:p>
    <w:p w14:paraId="0940B2ED">
      <w:pPr>
        <w:pageBreakBefore w:val="0"/>
        <w:numPr>
          <w:ilvl w:val="0"/>
          <w:numId w:val="12"/>
        </w:numPr>
        <w:kinsoku/>
        <w:wordWrap/>
        <w:overflowPunct/>
        <w:topLinePunct w:val="0"/>
        <w:bidi w:val="0"/>
        <w:adjustRightInd w:val="0"/>
        <w:snapToGrid w:val="0"/>
        <w:spacing w:beforeAutospacing="0" w:afterAutospacing="0" w:line="360" w:lineRule="auto"/>
        <w:ind w:left="420" w:leftChars="0" w:hanging="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数据分析</w:t>
      </w:r>
    </w:p>
    <w:p w14:paraId="5C7FB8E3">
      <w:pPr>
        <w:pageBreakBefore w:val="0"/>
        <w:kinsoku/>
        <w:wordWrap/>
        <w:overflowPunct/>
        <w:topLinePunct w:val="0"/>
        <w:bidi w:val="0"/>
        <w:adjustRightInd w:val="0"/>
        <w:snapToGrid w:val="0"/>
        <w:spacing w:beforeAutospacing="0" w:afterAutospacing="0" w:line="360" w:lineRule="auto"/>
        <w:ind w:firstLine="897" w:firstLineChars="374"/>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收集完毕后，我们需要对数据进行分析，找出其中的问题，再进行优化。例如，线上某个应用程序出现了频繁的访问超时，我们可以通过数据分析找出导致访问超时的具体原因，并对其进行优化。此时需要对数据进行有效的分类，以便找出其中的规律。</w:t>
      </w:r>
    </w:p>
    <w:p w14:paraId="1FA60C94">
      <w:pPr>
        <w:pageBreakBefore w:val="0"/>
        <w:numPr>
          <w:ilvl w:val="0"/>
          <w:numId w:val="12"/>
        </w:numPr>
        <w:kinsoku/>
        <w:wordWrap/>
        <w:overflowPunct/>
        <w:topLinePunct w:val="0"/>
        <w:bidi w:val="0"/>
        <w:adjustRightInd w:val="0"/>
        <w:snapToGrid w:val="0"/>
        <w:spacing w:beforeAutospacing="0" w:afterAutospacing="0" w:line="360" w:lineRule="auto"/>
        <w:ind w:left="420" w:leftChars="0" w:hanging="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数据可视化</w:t>
      </w:r>
    </w:p>
    <w:p w14:paraId="2287A40A">
      <w:pPr>
        <w:pageBreakBefore w:val="0"/>
        <w:kinsoku/>
        <w:wordWrap/>
        <w:overflowPunct/>
        <w:topLinePunct w:val="0"/>
        <w:bidi w:val="0"/>
        <w:adjustRightInd w:val="0"/>
        <w:snapToGrid w:val="0"/>
        <w:spacing w:beforeAutospacing="0" w:afterAutospacing="0" w:line="360" w:lineRule="auto"/>
        <w:ind w:firstLine="897" w:firstLineChars="374"/>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的可视化可以帮助我们更方便地观察数据的变化趋势和异常情况。通过数据可视化，我们可以快速地发现问题所在，尤其是当某个指标在一定时间内出现不合理的变化趋势时，数据可视化可以很好地提示我们进行进一步的探究。</w:t>
      </w:r>
    </w:p>
    <w:p w14:paraId="2890E702">
      <w:pPr>
        <w:pageBreakBefore w:val="0"/>
        <w:numPr>
          <w:ilvl w:val="0"/>
          <w:numId w:val="11"/>
        </w:numPr>
        <w:kinsoku/>
        <w:wordWrap/>
        <w:overflowPunct/>
        <w:topLinePunct w:val="0"/>
        <w:bidi w:val="0"/>
        <w:adjustRightInd w:val="0"/>
        <w:snapToGrid w:val="0"/>
        <w:spacing w:beforeAutospacing="0" w:afterAutospacing="0" w:line="360" w:lineRule="auto"/>
        <w:ind w:left="845" w:leftChars="0" w:hanging="425"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使用数据改进运维工作</w:t>
      </w:r>
    </w:p>
    <w:p w14:paraId="1E236847">
      <w:pPr>
        <w:pageBreakBefore w:val="0"/>
        <w:numPr>
          <w:ilvl w:val="0"/>
          <w:numId w:val="12"/>
        </w:numPr>
        <w:kinsoku/>
        <w:wordWrap/>
        <w:overflowPunct/>
        <w:topLinePunct w:val="0"/>
        <w:bidi w:val="0"/>
        <w:adjustRightInd w:val="0"/>
        <w:snapToGrid w:val="0"/>
        <w:spacing w:beforeAutospacing="0" w:afterAutospacing="0" w:line="360" w:lineRule="auto"/>
        <w:ind w:left="420" w:leftChars="0" w:hanging="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问题诊断与优化</w:t>
      </w:r>
    </w:p>
    <w:p w14:paraId="2A62D404">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在运维中，我们不仅要发现问题，还需要对问题进行分析，找出问题的具体原因，进而想办法去优化。通过运维数据分析，可以识别系统中存在的瓶颈而进行优化，提高系统性能，保障系统的稳定运行。</w:t>
      </w:r>
    </w:p>
    <w:p w14:paraId="6B008FCF">
      <w:pPr>
        <w:pageBreakBefore w:val="0"/>
        <w:numPr>
          <w:ilvl w:val="0"/>
          <w:numId w:val="12"/>
        </w:numPr>
        <w:kinsoku/>
        <w:wordWrap/>
        <w:overflowPunct/>
        <w:topLinePunct w:val="0"/>
        <w:bidi w:val="0"/>
        <w:adjustRightInd w:val="0"/>
        <w:snapToGrid w:val="0"/>
        <w:spacing w:beforeAutospacing="0" w:afterAutospacing="0" w:line="360" w:lineRule="auto"/>
        <w:ind w:left="420" w:leftChars="0" w:hanging="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排除漏洞</w:t>
      </w:r>
    </w:p>
    <w:p w14:paraId="280E9E99">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漏洞排查是运维中重要的一项工作。数据分析可以从日志中发现应用程序的漏洞，提高问题排除的效率，同时可以建立预防措施，保障系统的安全运行。</w:t>
      </w:r>
    </w:p>
    <w:p w14:paraId="3BF48E78">
      <w:pPr>
        <w:pageBreakBefore w:val="0"/>
        <w:numPr>
          <w:ilvl w:val="0"/>
          <w:numId w:val="12"/>
        </w:numPr>
        <w:kinsoku/>
        <w:wordWrap/>
        <w:overflowPunct/>
        <w:topLinePunct w:val="0"/>
        <w:bidi w:val="0"/>
        <w:adjustRightInd w:val="0"/>
        <w:snapToGrid w:val="0"/>
        <w:spacing w:beforeAutospacing="0" w:afterAutospacing="0" w:line="360" w:lineRule="auto"/>
        <w:ind w:left="420" w:leftChars="0" w:hanging="42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自动化运维</w:t>
      </w:r>
    </w:p>
    <w:p w14:paraId="6E9F1801">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智能化运维可以让运维人员摆脱繁琐的手工操作，从而将更多的精力投入到核心运维工作中。此时数据分析发挥了重要的作用。通过分析数据，建立自动化的运维系统，可以减轻人力负担，提高工作效率。</w:t>
      </w:r>
    </w:p>
    <w:p w14:paraId="21B39B37">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面对日益复杂的业务，运维人员需要依靠数据进行分析，找出其中的问题，不断优化和改进。只有不断完善数据采集、分析和可视化技术，运维才能更好地为企业服务，为企业的长足发展提供保障。</w:t>
      </w:r>
    </w:p>
    <w:p w14:paraId="3705BB90">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p>
    <w:p w14:paraId="49EE78A5">
      <w:pPr>
        <w:numPr>
          <w:ilvl w:val="0"/>
          <w:numId w:val="9"/>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故障处理</w:t>
      </w:r>
    </w:p>
    <w:p w14:paraId="5C3D89F5">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创联致信制定了严格的故障级别响应制度，根据故障对业务系统的影响程度分为四个级别：</w:t>
      </w:r>
    </w:p>
    <w:tbl>
      <w:tblPr>
        <w:tblStyle w:val="4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2377"/>
        <w:gridCol w:w="4463"/>
        <w:gridCol w:w="1596"/>
      </w:tblGrid>
      <w:tr w14:paraId="02EDF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5" w:type="dxa"/>
            <w:shd w:val="clear" w:color="auto" w:fill="C0C0C0"/>
            <w:noWrap w:val="0"/>
            <w:vAlign w:val="center"/>
          </w:tcPr>
          <w:p w14:paraId="462ABD8D">
            <w:pPr>
              <w:spacing w:before="120"/>
              <w:jc w:val="center"/>
              <w:rPr>
                <w:rFonts w:ascii="Times New Roman" w:hAnsi="Times New Roman"/>
                <w:b/>
                <w:szCs w:val="21"/>
              </w:rPr>
            </w:pPr>
            <w:r>
              <w:rPr>
                <w:rFonts w:ascii="Times New Roman" w:hAnsi="Times New Roman"/>
                <w:b/>
                <w:szCs w:val="21"/>
              </w:rPr>
              <w:t>故障级别</w:t>
            </w:r>
          </w:p>
        </w:tc>
        <w:tc>
          <w:tcPr>
            <w:tcW w:w="2377" w:type="dxa"/>
            <w:shd w:val="clear" w:color="auto" w:fill="C0C0C0"/>
            <w:noWrap w:val="0"/>
            <w:vAlign w:val="center"/>
          </w:tcPr>
          <w:p w14:paraId="544D6EFC">
            <w:pPr>
              <w:spacing w:before="120"/>
              <w:jc w:val="center"/>
              <w:rPr>
                <w:rFonts w:ascii="Times New Roman" w:hAnsi="Times New Roman"/>
                <w:b/>
                <w:szCs w:val="21"/>
              </w:rPr>
            </w:pPr>
            <w:r>
              <w:rPr>
                <w:rFonts w:ascii="Times New Roman" w:hAnsi="Times New Roman"/>
                <w:b/>
                <w:szCs w:val="21"/>
              </w:rPr>
              <w:t>故障现象</w:t>
            </w:r>
          </w:p>
        </w:tc>
        <w:tc>
          <w:tcPr>
            <w:tcW w:w="4463" w:type="dxa"/>
            <w:shd w:val="clear" w:color="auto" w:fill="C0C0C0"/>
            <w:noWrap w:val="0"/>
            <w:vAlign w:val="center"/>
          </w:tcPr>
          <w:p w14:paraId="139684F6">
            <w:pPr>
              <w:spacing w:before="120"/>
              <w:jc w:val="center"/>
              <w:rPr>
                <w:rFonts w:ascii="Times New Roman" w:hAnsi="Times New Roman"/>
                <w:b/>
                <w:szCs w:val="21"/>
              </w:rPr>
            </w:pPr>
            <w:r>
              <w:rPr>
                <w:rFonts w:ascii="Times New Roman" w:hAnsi="Times New Roman"/>
                <w:b/>
                <w:szCs w:val="21"/>
              </w:rPr>
              <w:t>典型事件</w:t>
            </w:r>
          </w:p>
        </w:tc>
        <w:tc>
          <w:tcPr>
            <w:tcW w:w="1596" w:type="dxa"/>
            <w:shd w:val="clear" w:color="auto" w:fill="C0C0C0"/>
            <w:noWrap w:val="0"/>
            <w:vAlign w:val="center"/>
          </w:tcPr>
          <w:p w14:paraId="0EAC430B">
            <w:pPr>
              <w:spacing w:before="120"/>
              <w:jc w:val="center"/>
              <w:rPr>
                <w:rFonts w:ascii="Times New Roman" w:hAnsi="Times New Roman"/>
                <w:b/>
                <w:szCs w:val="21"/>
              </w:rPr>
            </w:pPr>
            <w:r>
              <w:rPr>
                <w:rFonts w:hint="eastAsia" w:ascii="Times New Roman" w:hAnsi="Times New Roman"/>
                <w:b/>
                <w:szCs w:val="21"/>
              </w:rPr>
              <w:t>对应</w:t>
            </w:r>
            <w:r>
              <w:rPr>
                <w:rFonts w:ascii="Times New Roman" w:hAnsi="Times New Roman"/>
                <w:b/>
                <w:szCs w:val="21"/>
              </w:rPr>
              <w:t>本项目事件级别</w:t>
            </w:r>
          </w:p>
        </w:tc>
      </w:tr>
      <w:tr w14:paraId="6A3A8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5" w:type="dxa"/>
            <w:noWrap w:val="0"/>
            <w:vAlign w:val="center"/>
          </w:tcPr>
          <w:p w14:paraId="7CE34A31">
            <w:pPr>
              <w:spacing w:before="120"/>
              <w:jc w:val="center"/>
              <w:rPr>
                <w:rFonts w:ascii="Times New Roman" w:hAnsi="Times New Roman"/>
                <w:szCs w:val="21"/>
              </w:rPr>
            </w:pPr>
            <w:r>
              <w:rPr>
                <w:rFonts w:ascii="Times New Roman" w:hAnsi="Times New Roman"/>
                <w:szCs w:val="21"/>
              </w:rPr>
              <w:t>一级故障</w:t>
            </w:r>
          </w:p>
        </w:tc>
        <w:tc>
          <w:tcPr>
            <w:tcW w:w="2377" w:type="dxa"/>
            <w:noWrap w:val="0"/>
            <w:vAlign w:val="center"/>
          </w:tcPr>
          <w:p w14:paraId="036DB04E">
            <w:pPr>
              <w:spacing w:before="120"/>
              <w:jc w:val="left"/>
              <w:rPr>
                <w:rFonts w:ascii="Times New Roman" w:hAnsi="Times New Roman"/>
                <w:szCs w:val="21"/>
              </w:rPr>
            </w:pPr>
            <w:r>
              <w:rPr>
                <w:rFonts w:ascii="Times New Roman" w:hAnsi="Times New Roman"/>
                <w:szCs w:val="21"/>
              </w:rPr>
              <w:t>系统宕机或关键性故障导致系统不可用</w:t>
            </w:r>
          </w:p>
        </w:tc>
        <w:tc>
          <w:tcPr>
            <w:tcW w:w="4463" w:type="dxa"/>
            <w:noWrap w:val="0"/>
            <w:vAlign w:val="center"/>
          </w:tcPr>
          <w:p w14:paraId="0A44CE9A">
            <w:pPr>
              <w:spacing w:before="120"/>
              <w:jc w:val="left"/>
              <w:rPr>
                <w:rFonts w:ascii="Times New Roman" w:hAnsi="Times New Roman"/>
                <w:szCs w:val="21"/>
              </w:rPr>
            </w:pPr>
            <w:r>
              <w:rPr>
                <w:rFonts w:ascii="Times New Roman" w:hAnsi="Times New Roman"/>
                <w:szCs w:val="21"/>
              </w:rPr>
              <w:t>系统中止（不能保存进行中的工作）</w:t>
            </w:r>
          </w:p>
          <w:p w14:paraId="275311FE">
            <w:pPr>
              <w:numPr>
                <w:ilvl w:val="0"/>
                <w:numId w:val="13"/>
              </w:numPr>
              <w:spacing w:before="120" w:beforeLines="50" w:line="360" w:lineRule="auto"/>
              <w:ind w:firstLine="0"/>
              <w:jc w:val="left"/>
              <w:rPr>
                <w:rFonts w:ascii="Times New Roman" w:hAnsi="Times New Roman"/>
                <w:szCs w:val="21"/>
              </w:rPr>
            </w:pPr>
            <w:r>
              <w:rPr>
                <w:rFonts w:ascii="Times New Roman" w:hAnsi="Times New Roman"/>
                <w:szCs w:val="21"/>
              </w:rPr>
              <w:t>系统功能性故障导致数据丢失或系统不可用</w:t>
            </w:r>
          </w:p>
          <w:p w14:paraId="37FE933D">
            <w:pPr>
              <w:numPr>
                <w:ilvl w:val="0"/>
                <w:numId w:val="13"/>
              </w:numPr>
              <w:spacing w:before="120" w:beforeLines="50" w:line="360" w:lineRule="auto"/>
              <w:ind w:firstLine="0"/>
              <w:jc w:val="left"/>
              <w:rPr>
                <w:rFonts w:ascii="Times New Roman" w:hAnsi="Times New Roman"/>
                <w:szCs w:val="21"/>
              </w:rPr>
            </w:pPr>
            <w:r>
              <w:rPr>
                <w:rFonts w:ascii="Times New Roman" w:hAnsi="Times New Roman"/>
                <w:szCs w:val="21"/>
              </w:rPr>
              <w:t>系统功能性故障致使系统失效</w:t>
            </w:r>
          </w:p>
          <w:p w14:paraId="500FF044">
            <w:pPr>
              <w:numPr>
                <w:ilvl w:val="0"/>
                <w:numId w:val="13"/>
              </w:numPr>
              <w:spacing w:before="120" w:beforeLines="50" w:line="360" w:lineRule="auto"/>
              <w:ind w:firstLine="0"/>
              <w:jc w:val="left"/>
              <w:rPr>
                <w:rFonts w:ascii="Times New Roman" w:hAnsi="Times New Roman"/>
                <w:szCs w:val="21"/>
              </w:rPr>
            </w:pPr>
            <w:r>
              <w:rPr>
                <w:rFonts w:ascii="Times New Roman" w:hAnsi="Times New Roman"/>
                <w:szCs w:val="21"/>
              </w:rPr>
              <w:t>系统故障致使关键任务应用程序重新启动</w:t>
            </w:r>
          </w:p>
        </w:tc>
        <w:tc>
          <w:tcPr>
            <w:tcW w:w="1596" w:type="dxa"/>
            <w:noWrap w:val="0"/>
            <w:vAlign w:val="center"/>
          </w:tcPr>
          <w:p w14:paraId="7C391B6C">
            <w:pPr>
              <w:spacing w:before="120"/>
              <w:jc w:val="left"/>
              <w:rPr>
                <w:rFonts w:ascii="Times New Roman" w:hAnsi="Times New Roman"/>
                <w:szCs w:val="21"/>
              </w:rPr>
            </w:pPr>
            <w:r>
              <w:rPr>
                <w:rFonts w:ascii="Times New Roman" w:hAnsi="Times New Roman"/>
                <w:szCs w:val="21"/>
              </w:rPr>
              <w:t>严重故障</w:t>
            </w:r>
          </w:p>
        </w:tc>
      </w:tr>
      <w:tr w14:paraId="1D5DB8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5" w:type="dxa"/>
            <w:noWrap w:val="0"/>
            <w:vAlign w:val="center"/>
          </w:tcPr>
          <w:p w14:paraId="15D1EF2F">
            <w:pPr>
              <w:spacing w:before="120"/>
              <w:jc w:val="center"/>
              <w:rPr>
                <w:rFonts w:ascii="Times New Roman" w:hAnsi="Times New Roman"/>
                <w:szCs w:val="21"/>
              </w:rPr>
            </w:pPr>
            <w:r>
              <w:rPr>
                <w:rFonts w:ascii="Times New Roman" w:hAnsi="Times New Roman"/>
                <w:szCs w:val="21"/>
              </w:rPr>
              <w:t>二级故障</w:t>
            </w:r>
          </w:p>
        </w:tc>
        <w:tc>
          <w:tcPr>
            <w:tcW w:w="2377" w:type="dxa"/>
            <w:noWrap w:val="0"/>
            <w:vAlign w:val="center"/>
          </w:tcPr>
          <w:p w14:paraId="0D9BAA2B">
            <w:pPr>
              <w:spacing w:before="120"/>
              <w:jc w:val="left"/>
              <w:rPr>
                <w:rFonts w:ascii="Times New Roman" w:hAnsi="Times New Roman"/>
                <w:szCs w:val="21"/>
              </w:rPr>
            </w:pPr>
            <w:r>
              <w:rPr>
                <w:rFonts w:ascii="Times New Roman" w:hAnsi="Times New Roman"/>
                <w:szCs w:val="21"/>
              </w:rPr>
              <w:t>系统性能严重损坏，但系统仍可正常运行</w:t>
            </w:r>
          </w:p>
        </w:tc>
        <w:tc>
          <w:tcPr>
            <w:tcW w:w="4463" w:type="dxa"/>
            <w:noWrap w:val="0"/>
            <w:vAlign w:val="center"/>
          </w:tcPr>
          <w:p w14:paraId="159A0FB6">
            <w:pPr>
              <w:spacing w:before="120"/>
              <w:jc w:val="left"/>
              <w:rPr>
                <w:rFonts w:ascii="Times New Roman" w:hAnsi="Times New Roman"/>
                <w:szCs w:val="21"/>
              </w:rPr>
            </w:pPr>
            <w:r>
              <w:rPr>
                <w:rFonts w:ascii="Times New Roman" w:hAnsi="Times New Roman"/>
                <w:szCs w:val="21"/>
              </w:rPr>
              <w:t>应用程序较频繁地发生故障，未导致数据丢失</w:t>
            </w:r>
          </w:p>
          <w:p w14:paraId="3E48CAC3">
            <w:pPr>
              <w:spacing w:before="120"/>
              <w:jc w:val="left"/>
              <w:rPr>
                <w:rFonts w:ascii="Times New Roman" w:hAnsi="Times New Roman"/>
                <w:szCs w:val="21"/>
              </w:rPr>
            </w:pPr>
            <w:r>
              <w:rPr>
                <w:rFonts w:ascii="Times New Roman" w:hAnsi="Times New Roman"/>
                <w:szCs w:val="21"/>
              </w:rPr>
              <w:t>管理系统发生了严重的、但可预测的故障</w:t>
            </w:r>
          </w:p>
          <w:p w14:paraId="57052679">
            <w:pPr>
              <w:spacing w:before="120"/>
              <w:jc w:val="left"/>
              <w:rPr>
                <w:rFonts w:ascii="Times New Roman" w:hAnsi="Times New Roman"/>
                <w:szCs w:val="21"/>
              </w:rPr>
            </w:pPr>
            <w:r>
              <w:rPr>
                <w:rFonts w:ascii="Times New Roman" w:hAnsi="Times New Roman"/>
                <w:szCs w:val="21"/>
              </w:rPr>
              <w:t>系统性能严重降低</w:t>
            </w:r>
          </w:p>
        </w:tc>
        <w:tc>
          <w:tcPr>
            <w:tcW w:w="1596" w:type="dxa"/>
            <w:noWrap w:val="0"/>
            <w:vAlign w:val="center"/>
          </w:tcPr>
          <w:p w14:paraId="37EE5604">
            <w:pPr>
              <w:spacing w:before="120"/>
              <w:jc w:val="left"/>
              <w:rPr>
                <w:rFonts w:ascii="Times New Roman" w:hAnsi="Times New Roman"/>
                <w:szCs w:val="21"/>
              </w:rPr>
            </w:pPr>
            <w:r>
              <w:rPr>
                <w:rFonts w:ascii="Times New Roman" w:hAnsi="Times New Roman"/>
                <w:szCs w:val="21"/>
              </w:rPr>
              <w:t>紧急故障</w:t>
            </w:r>
          </w:p>
        </w:tc>
      </w:tr>
      <w:tr w14:paraId="5E4A63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5" w:type="dxa"/>
            <w:noWrap w:val="0"/>
            <w:vAlign w:val="center"/>
          </w:tcPr>
          <w:p w14:paraId="420D08EE">
            <w:pPr>
              <w:spacing w:before="120"/>
              <w:jc w:val="center"/>
              <w:rPr>
                <w:rFonts w:ascii="Times New Roman" w:hAnsi="Times New Roman"/>
                <w:szCs w:val="21"/>
              </w:rPr>
            </w:pPr>
            <w:r>
              <w:rPr>
                <w:rFonts w:ascii="Times New Roman" w:hAnsi="Times New Roman"/>
                <w:szCs w:val="21"/>
              </w:rPr>
              <w:t>三级故障</w:t>
            </w:r>
          </w:p>
        </w:tc>
        <w:tc>
          <w:tcPr>
            <w:tcW w:w="2377" w:type="dxa"/>
            <w:noWrap w:val="0"/>
            <w:vAlign w:val="center"/>
          </w:tcPr>
          <w:p w14:paraId="773C9D76">
            <w:pPr>
              <w:spacing w:before="120"/>
              <w:jc w:val="left"/>
              <w:rPr>
                <w:rFonts w:ascii="Times New Roman" w:hAnsi="Times New Roman"/>
                <w:szCs w:val="21"/>
              </w:rPr>
            </w:pPr>
            <w:r>
              <w:rPr>
                <w:rFonts w:ascii="Times New Roman" w:hAnsi="Times New Roman"/>
                <w:szCs w:val="21"/>
              </w:rPr>
              <w:t>系统运行正常，仅受到有限的影响或者非生产系统性能受到影响</w:t>
            </w:r>
          </w:p>
        </w:tc>
        <w:tc>
          <w:tcPr>
            <w:tcW w:w="4463" w:type="dxa"/>
            <w:noWrap w:val="0"/>
            <w:vAlign w:val="center"/>
          </w:tcPr>
          <w:p w14:paraId="0EAC7A49">
            <w:pPr>
              <w:spacing w:before="120"/>
              <w:jc w:val="left"/>
              <w:rPr>
                <w:rFonts w:ascii="Times New Roman" w:hAnsi="Times New Roman"/>
                <w:szCs w:val="21"/>
              </w:rPr>
            </w:pPr>
            <w:r>
              <w:rPr>
                <w:rFonts w:ascii="Times New Roman" w:hAnsi="Times New Roman"/>
                <w:szCs w:val="21"/>
              </w:rPr>
              <w:t>系统温度报警</w:t>
            </w:r>
          </w:p>
          <w:p w14:paraId="0AC97F8C">
            <w:pPr>
              <w:spacing w:before="120"/>
              <w:jc w:val="left"/>
              <w:rPr>
                <w:rFonts w:ascii="Times New Roman" w:hAnsi="Times New Roman"/>
                <w:szCs w:val="21"/>
              </w:rPr>
            </w:pPr>
            <w:r>
              <w:rPr>
                <w:rFonts w:ascii="Times New Roman" w:hAnsi="Times New Roman"/>
                <w:szCs w:val="21"/>
              </w:rPr>
              <w:t>系统部分配置修改</w:t>
            </w:r>
          </w:p>
          <w:p w14:paraId="56B10B75">
            <w:pPr>
              <w:spacing w:before="120"/>
              <w:jc w:val="left"/>
              <w:rPr>
                <w:rFonts w:ascii="Times New Roman" w:hAnsi="Times New Roman"/>
                <w:szCs w:val="21"/>
              </w:rPr>
            </w:pPr>
            <w:r>
              <w:rPr>
                <w:rFonts w:ascii="Times New Roman" w:hAnsi="Times New Roman"/>
                <w:szCs w:val="21"/>
              </w:rPr>
              <w:t>心跳线部分损坏</w:t>
            </w:r>
          </w:p>
        </w:tc>
        <w:tc>
          <w:tcPr>
            <w:tcW w:w="1596" w:type="dxa"/>
            <w:noWrap w:val="0"/>
            <w:vAlign w:val="center"/>
          </w:tcPr>
          <w:p w14:paraId="7D98B096">
            <w:pPr>
              <w:spacing w:before="120"/>
              <w:jc w:val="left"/>
              <w:rPr>
                <w:rFonts w:ascii="Times New Roman" w:hAnsi="Times New Roman"/>
                <w:szCs w:val="21"/>
              </w:rPr>
            </w:pPr>
            <w:r>
              <w:rPr>
                <w:rFonts w:ascii="Times New Roman" w:hAnsi="Times New Roman"/>
                <w:szCs w:val="21"/>
              </w:rPr>
              <w:t>限制故障</w:t>
            </w:r>
          </w:p>
        </w:tc>
      </w:tr>
      <w:tr w14:paraId="6FF714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5" w:type="dxa"/>
            <w:noWrap w:val="0"/>
            <w:vAlign w:val="center"/>
          </w:tcPr>
          <w:p w14:paraId="75A54F91">
            <w:pPr>
              <w:spacing w:before="120"/>
              <w:jc w:val="center"/>
              <w:rPr>
                <w:rFonts w:ascii="Times New Roman" w:hAnsi="Times New Roman"/>
                <w:szCs w:val="21"/>
              </w:rPr>
            </w:pPr>
            <w:r>
              <w:rPr>
                <w:rFonts w:hint="eastAsia" w:ascii="Times New Roman" w:hAnsi="Times New Roman"/>
                <w:szCs w:val="21"/>
              </w:rPr>
              <w:t>四级</w:t>
            </w:r>
            <w:r>
              <w:rPr>
                <w:rFonts w:ascii="Times New Roman" w:hAnsi="Times New Roman"/>
                <w:szCs w:val="21"/>
              </w:rPr>
              <w:t>故障</w:t>
            </w:r>
          </w:p>
        </w:tc>
        <w:tc>
          <w:tcPr>
            <w:tcW w:w="2377" w:type="dxa"/>
            <w:noWrap w:val="0"/>
            <w:vAlign w:val="center"/>
          </w:tcPr>
          <w:p w14:paraId="0506FBA9">
            <w:pPr>
              <w:spacing w:before="120"/>
              <w:jc w:val="left"/>
              <w:rPr>
                <w:rFonts w:ascii="Times New Roman" w:hAnsi="Times New Roman"/>
                <w:szCs w:val="21"/>
              </w:rPr>
            </w:pPr>
            <w:r>
              <w:rPr>
                <w:rFonts w:hint="eastAsia" w:ascii="Times New Roman" w:hAnsi="Times New Roman"/>
                <w:szCs w:val="21"/>
              </w:rPr>
              <w:t>在产品功能、安装配置方面需要信息或支援</w:t>
            </w:r>
          </w:p>
        </w:tc>
        <w:tc>
          <w:tcPr>
            <w:tcW w:w="4463" w:type="dxa"/>
            <w:noWrap w:val="0"/>
            <w:vAlign w:val="center"/>
          </w:tcPr>
          <w:p w14:paraId="40A44C0D">
            <w:pPr>
              <w:spacing w:before="120"/>
              <w:jc w:val="left"/>
              <w:rPr>
                <w:rFonts w:ascii="Times New Roman" w:hAnsi="Times New Roman"/>
                <w:szCs w:val="21"/>
              </w:rPr>
            </w:pPr>
            <w:r>
              <w:rPr>
                <w:rFonts w:ascii="Times New Roman" w:hAnsi="Times New Roman"/>
                <w:szCs w:val="21"/>
              </w:rPr>
              <w:t>基本功能正常，不影响使用，个别用户不能正常使用系统。</w:t>
            </w:r>
          </w:p>
        </w:tc>
        <w:tc>
          <w:tcPr>
            <w:tcW w:w="1596" w:type="dxa"/>
            <w:noWrap w:val="0"/>
            <w:vAlign w:val="center"/>
          </w:tcPr>
          <w:p w14:paraId="265B6B13">
            <w:pPr>
              <w:spacing w:before="120"/>
              <w:jc w:val="left"/>
              <w:rPr>
                <w:rFonts w:ascii="Times New Roman" w:hAnsi="Times New Roman"/>
                <w:szCs w:val="21"/>
              </w:rPr>
            </w:pPr>
            <w:r>
              <w:rPr>
                <w:rFonts w:ascii="Times New Roman" w:hAnsi="Times New Roman"/>
                <w:szCs w:val="21"/>
              </w:rPr>
              <w:t>一般故障</w:t>
            </w:r>
          </w:p>
        </w:tc>
      </w:tr>
    </w:tbl>
    <w:p w14:paraId="683A6E05">
      <w:pPr>
        <w:spacing w:before="120"/>
        <w:ind w:firstLine="480"/>
      </w:pPr>
    </w:p>
    <w:p w14:paraId="0FF3516C">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创联致信将为客户提供现场故障处理服务，5分钟内响应。在接到客户的电话申告后，创联致信热线工程师第一时间通过电话指导、远程登陆等配合客户进行故障修复，当确认通过电话或远程拨入等方式无法排除故障时，创联致信将在规定时间内派遣技术工程师提供现场支持服务。</w:t>
      </w:r>
    </w:p>
    <w:p w14:paraId="43FCBF40">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在提供现场服务之前，运维工程师将向客户现场服务责人提交技术服务申请报告；在现场服务时严格遵守客户相关规定，在需要做出变更等重大操作前首先征得客户许可；服务结束后，创联致信运维工程师填写《故障处理报告》，客户在报告上签字许可之后运维工程师方可离开现场，《故障处理报告》同时存入创联致信故障处理知识库。</w:t>
      </w:r>
    </w:p>
    <w:p w14:paraId="700ED0F9">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系统恢复正常后，创联致信技术支持工程师将对系统进行持续跟踪，重大故障提供《重大故障分析报告》，详细说明故障原因、处理过程、解决办法、预防措施等关键内容，由双方备案。</w:t>
      </w:r>
    </w:p>
    <w:p w14:paraId="6A1CD023">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对于客户报告的每一个故障，运维工程师都会首先进行故障级别判断：如果是关键故障（一、二级故障）将立即启动紧急故障应急处理，CASE将会通过计算机管理系统被分配给具有丰富经验的二线技术专家提供专人支持，同时按照升级上报流程向相关客户服务经理进行通报；如果是对业务运行不构成明显影响的一般故障（三、四级故障），计算机管理系统将按照既定的热线处理流程或现场处理流程进行CASE分配。具体到本期项目，创联致信公司将提供7*24响应服务，其中5分钟电话响应，1小时到达用户现场的故障响应服务。在提供现场服务之前，创联致信公司及时使用远程支持服务工具提供对系统进行远程诊断。</w:t>
      </w:r>
    </w:p>
    <w:p w14:paraId="477AE886">
      <w:pPr>
        <w:numPr>
          <w:ilvl w:val="0"/>
          <w:numId w:val="9"/>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技术支持</w:t>
      </w:r>
    </w:p>
    <w:p w14:paraId="062319EB">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创联致信公司建立并实施了售后服务管理系统。售后服务系统多维度管理各种用户的服务请求，用户可以通过此系统向我方提出需求、bug、现场服务、功能改进等各种服务请求，我方将持续跟踪闭环响应，并通过版本更新发布、现场服务、远程支持等多种方式进行售后服务。</w:t>
      </w:r>
    </w:p>
    <w:p w14:paraId="3BEE3977">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我方通过建立微信群帮助厂商与用户建立良好畅通的沟通环境，使用户的问题可以及时的反映，厂商也可及时的进行问题的解决及反馈，从而提升客户满意度。</w:t>
      </w:r>
    </w:p>
    <w:p w14:paraId="315B87C5">
      <w:pPr>
        <w:numPr>
          <w:ilvl w:val="0"/>
          <w:numId w:val="9"/>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培训支持</w:t>
      </w:r>
    </w:p>
    <w:p w14:paraId="59AE4DE4">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创联致信非常重视对用户的培训工作，成立了专业技术培训中心，具有专业培训系统和教室，拥有一支专业领域知识丰富、沟通讲解能力强的初级、中高级讲师队伍，基于IT服务管理最佳实践框架（ITIL）和PDCA模型（Plan-Do-Check-Action），以提升用户IT管理能力为目标实施培训服务。通过对培训工作进行策划，为用户提供量身制定的培训课程。到目前为止，创联致信已经为电信、烟草、政府、电力、民航、外企、医院等各行业领域的客户提供基于用户方业务需求的网络、安全、研发、培训方法、服务管理等技术及服务管理培训内容在内的多层面立体化培训课程，形成具有企业特色的培训方式，对技术知识的传播、行业信息化建设的促进等都起到了积极作用。</w:t>
      </w:r>
    </w:p>
    <w:p w14:paraId="7C7B7519">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本项目的培训服务，我们将根据与项目相关的系统来进行培训策划，详细分析用户方业务需求，对用户方的业务需求及技术实现要求设置相关课程进行培训。</w:t>
      </w:r>
    </w:p>
    <w:p w14:paraId="5642CD32">
      <w:pPr>
        <w:numPr>
          <w:ilvl w:val="0"/>
          <w:numId w:val="14"/>
        </w:numPr>
        <w:spacing w:before="156" w:line="360" w:lineRule="auto"/>
        <w:ind w:left="425" w:leftChars="0" w:hanging="425" w:firstLineChars="0"/>
        <w:rPr>
          <w:rFonts w:hint="default" w:cs="Arial" w:eastAsiaTheme="minorEastAsia"/>
          <w:lang w:val="en-US" w:eastAsia="zh-CN"/>
        </w:rPr>
      </w:pPr>
      <w:r>
        <w:rPr>
          <w:rFonts w:hint="eastAsia" w:cs="Arial"/>
          <w:lang w:val="en-US" w:eastAsia="zh-CN"/>
        </w:rPr>
        <w:t>系统使用培训</w:t>
      </w:r>
    </w:p>
    <w:p w14:paraId="69A47130">
      <w:pPr>
        <w:spacing w:before="156" w:after="120"/>
        <w:ind w:firstLine="482"/>
        <w:rPr>
          <w:rFonts w:hAnsi="宋体"/>
        </w:rPr>
      </w:pPr>
      <w:r>
        <w:rPr>
          <w:rFonts w:hint="eastAsia" w:hAnsi="宋体"/>
          <w:b/>
        </w:rPr>
        <w:t>培训目的</w:t>
      </w:r>
      <w:r>
        <w:rPr>
          <w:rFonts w:hint="eastAsia" w:hAnsi="宋体"/>
        </w:rPr>
        <w:t>：熟悉系统基础知识，结合系统使用手册进行系统培训。</w:t>
      </w:r>
    </w:p>
    <w:p w14:paraId="5706D6D5">
      <w:pPr>
        <w:spacing w:before="156" w:after="120"/>
        <w:ind w:firstLine="482"/>
        <w:rPr>
          <w:rFonts w:hAnsi="宋体"/>
        </w:rPr>
      </w:pPr>
      <w:r>
        <w:rPr>
          <w:rFonts w:hint="eastAsia" w:hAnsi="宋体"/>
          <w:b/>
        </w:rPr>
        <w:t>参加人员</w:t>
      </w:r>
      <w:r>
        <w:rPr>
          <w:rFonts w:hint="eastAsia" w:hAnsi="宋体"/>
        </w:rPr>
        <w:t>：用户指定</w:t>
      </w:r>
    </w:p>
    <w:p w14:paraId="4C68C5F0">
      <w:pPr>
        <w:spacing w:before="156" w:after="120"/>
        <w:ind w:firstLine="482"/>
        <w:rPr>
          <w:rFonts w:hAnsi="宋体"/>
        </w:rPr>
      </w:pPr>
      <w:r>
        <w:rPr>
          <w:rFonts w:hint="eastAsia" w:hAnsi="宋体"/>
          <w:b/>
        </w:rPr>
        <w:t>培训组织</w:t>
      </w:r>
      <w:r>
        <w:rPr>
          <w:rFonts w:hint="eastAsia" w:hAnsi="宋体"/>
        </w:rPr>
        <w:t>：创联致信</w:t>
      </w:r>
    </w:p>
    <w:p w14:paraId="2ED03CBD">
      <w:pPr>
        <w:spacing w:before="156" w:after="120"/>
        <w:ind w:firstLine="482"/>
        <w:rPr>
          <w:rFonts w:hAnsi="宋体"/>
        </w:rPr>
      </w:pPr>
      <w:r>
        <w:rPr>
          <w:rFonts w:hint="eastAsia" w:hAnsi="宋体"/>
          <w:b/>
        </w:rPr>
        <w:t>培训时长</w:t>
      </w:r>
      <w:r>
        <w:rPr>
          <w:rFonts w:hint="eastAsia" w:hAnsi="宋体"/>
        </w:rPr>
        <w:t>：用户指定</w:t>
      </w:r>
    </w:p>
    <w:p w14:paraId="78226BC0">
      <w:pPr>
        <w:spacing w:before="156" w:after="120"/>
        <w:ind w:firstLine="482"/>
        <w:rPr>
          <w:rFonts w:hAnsi="宋体"/>
        </w:rPr>
      </w:pPr>
      <w:r>
        <w:rPr>
          <w:rFonts w:hint="eastAsia" w:hAnsi="宋体"/>
          <w:b/>
        </w:rPr>
        <w:t>培训地点</w:t>
      </w:r>
      <w:r>
        <w:rPr>
          <w:rFonts w:hint="eastAsia" w:hAnsi="宋体"/>
        </w:rPr>
        <w:t>：用户现场</w:t>
      </w:r>
    </w:p>
    <w:p w14:paraId="1F96031B">
      <w:pPr>
        <w:spacing w:before="156" w:after="120"/>
        <w:ind w:firstLine="482"/>
        <w:rPr>
          <w:rFonts w:hAnsi="宋体"/>
        </w:rPr>
      </w:pPr>
      <w:r>
        <w:rPr>
          <w:rFonts w:hint="eastAsia" w:hAnsi="宋体"/>
          <w:b/>
        </w:rPr>
        <w:t>培训内容</w:t>
      </w:r>
      <w:r>
        <w:rPr>
          <w:rFonts w:hint="eastAsia" w:hAnsi="宋体"/>
        </w:rPr>
        <w:t>：熟悉系统的原理和基本技术、以及系统实际使用、安装及配置等内容。</w:t>
      </w:r>
    </w:p>
    <w:p w14:paraId="2A1BC101">
      <w:pPr>
        <w:spacing w:before="156" w:after="120"/>
        <w:ind w:firstLine="482"/>
        <w:rPr>
          <w:rFonts w:hAnsi="宋体"/>
        </w:rPr>
      </w:pPr>
      <w:r>
        <w:rPr>
          <w:rFonts w:hint="eastAsia" w:hAnsi="宋体"/>
          <w:b/>
        </w:rPr>
        <w:t>培训安排：</w:t>
      </w:r>
      <w:r>
        <w:rPr>
          <w:rFonts w:hint="eastAsia" w:hAnsi="宋体"/>
        </w:rPr>
        <w:t>项目建设完成进入项目试运行前</w:t>
      </w:r>
    </w:p>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146"/>
        <w:gridCol w:w="2291"/>
        <w:gridCol w:w="1269"/>
        <w:gridCol w:w="1269"/>
        <w:gridCol w:w="1853"/>
      </w:tblGrid>
      <w:tr w14:paraId="1D55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66" w:type="pct"/>
            <w:shd w:val="clear" w:color="auto" w:fill="D9D9D9"/>
            <w:noWrap w:val="0"/>
            <w:vAlign w:val="center"/>
          </w:tcPr>
          <w:p w14:paraId="1D4A7811">
            <w:pPr>
              <w:spacing w:before="156" w:after="25"/>
              <w:rPr>
                <w:rFonts w:ascii="宋体" w:hAnsi="宋体"/>
                <w:spacing w:val="10"/>
                <w:szCs w:val="20"/>
              </w:rPr>
            </w:pPr>
            <w:r>
              <w:rPr>
                <w:rFonts w:hint="eastAsia" w:ascii="宋体" w:hAnsi="宋体"/>
                <w:spacing w:val="10"/>
                <w:szCs w:val="20"/>
              </w:rPr>
              <w:t>序号</w:t>
            </w:r>
          </w:p>
        </w:tc>
        <w:tc>
          <w:tcPr>
            <w:tcW w:w="1077" w:type="pct"/>
            <w:shd w:val="clear" w:color="auto" w:fill="D9D9D9"/>
            <w:noWrap w:val="0"/>
            <w:vAlign w:val="center"/>
          </w:tcPr>
          <w:p w14:paraId="7D8124CE">
            <w:pPr>
              <w:spacing w:before="156" w:after="25"/>
              <w:ind w:firstLine="520"/>
              <w:rPr>
                <w:rFonts w:ascii="宋体" w:hAnsi="宋体"/>
                <w:spacing w:val="10"/>
                <w:szCs w:val="20"/>
              </w:rPr>
            </w:pPr>
            <w:r>
              <w:rPr>
                <w:rFonts w:hint="eastAsia" w:ascii="宋体" w:hAnsi="宋体"/>
                <w:spacing w:val="10"/>
                <w:szCs w:val="20"/>
              </w:rPr>
              <w:t>课程名称</w:t>
            </w:r>
          </w:p>
        </w:tc>
        <w:tc>
          <w:tcPr>
            <w:tcW w:w="1150" w:type="pct"/>
            <w:shd w:val="clear" w:color="auto" w:fill="D9D9D9"/>
            <w:noWrap w:val="0"/>
            <w:vAlign w:val="center"/>
          </w:tcPr>
          <w:p w14:paraId="2409CFF7">
            <w:pPr>
              <w:spacing w:before="156" w:after="25"/>
              <w:ind w:firstLine="520"/>
              <w:rPr>
                <w:rFonts w:ascii="宋体" w:hAnsi="宋体"/>
                <w:spacing w:val="10"/>
                <w:szCs w:val="20"/>
              </w:rPr>
            </w:pPr>
            <w:r>
              <w:rPr>
                <w:rFonts w:hint="eastAsia" w:ascii="宋体" w:hAnsi="宋体"/>
                <w:spacing w:val="10"/>
                <w:szCs w:val="20"/>
              </w:rPr>
              <w:t>课程内容</w:t>
            </w:r>
          </w:p>
        </w:tc>
        <w:tc>
          <w:tcPr>
            <w:tcW w:w="637" w:type="pct"/>
            <w:shd w:val="clear" w:color="auto" w:fill="D9D9D9"/>
            <w:noWrap w:val="0"/>
            <w:vAlign w:val="center"/>
          </w:tcPr>
          <w:p w14:paraId="0648740D">
            <w:pPr>
              <w:spacing w:before="156" w:after="25"/>
              <w:rPr>
                <w:rFonts w:hint="eastAsia" w:ascii="宋体" w:hAnsi="宋体"/>
                <w:spacing w:val="10"/>
                <w:szCs w:val="20"/>
              </w:rPr>
            </w:pPr>
            <w:r>
              <w:rPr>
                <w:rFonts w:hint="eastAsia" w:ascii="宋体" w:hAnsi="宋体"/>
                <w:spacing w:val="10"/>
                <w:szCs w:val="20"/>
              </w:rPr>
              <w:t>课程</w:t>
            </w:r>
          </w:p>
          <w:p w14:paraId="35C7C5B8">
            <w:pPr>
              <w:spacing w:before="156" w:after="25"/>
              <w:rPr>
                <w:rFonts w:ascii="宋体" w:hAnsi="宋体"/>
                <w:spacing w:val="10"/>
                <w:szCs w:val="20"/>
              </w:rPr>
            </w:pPr>
            <w:r>
              <w:rPr>
                <w:rFonts w:hint="eastAsia" w:ascii="宋体" w:hAnsi="宋体"/>
                <w:spacing w:val="10"/>
                <w:szCs w:val="20"/>
              </w:rPr>
              <w:t>时长</w:t>
            </w:r>
          </w:p>
        </w:tc>
        <w:tc>
          <w:tcPr>
            <w:tcW w:w="637" w:type="pct"/>
            <w:shd w:val="clear" w:color="auto" w:fill="D9D9D9"/>
            <w:noWrap w:val="0"/>
            <w:vAlign w:val="center"/>
          </w:tcPr>
          <w:p w14:paraId="265C0145">
            <w:pPr>
              <w:spacing w:before="156" w:after="25"/>
              <w:rPr>
                <w:rFonts w:hint="eastAsia" w:ascii="宋体" w:hAnsi="宋体"/>
                <w:spacing w:val="10"/>
                <w:szCs w:val="20"/>
              </w:rPr>
            </w:pPr>
            <w:r>
              <w:rPr>
                <w:rFonts w:hint="eastAsia" w:ascii="宋体" w:hAnsi="宋体"/>
                <w:spacing w:val="10"/>
                <w:szCs w:val="20"/>
              </w:rPr>
              <w:t>学员</w:t>
            </w:r>
          </w:p>
          <w:p w14:paraId="12B2F996">
            <w:pPr>
              <w:spacing w:before="156" w:after="25"/>
              <w:rPr>
                <w:rFonts w:ascii="宋体" w:hAnsi="宋体"/>
                <w:spacing w:val="10"/>
                <w:szCs w:val="20"/>
              </w:rPr>
            </w:pPr>
            <w:r>
              <w:rPr>
                <w:rFonts w:hint="eastAsia" w:ascii="宋体" w:hAnsi="宋体"/>
                <w:spacing w:val="10"/>
                <w:szCs w:val="20"/>
              </w:rPr>
              <w:t>人数</w:t>
            </w:r>
          </w:p>
        </w:tc>
        <w:tc>
          <w:tcPr>
            <w:tcW w:w="930" w:type="pct"/>
            <w:shd w:val="clear" w:color="auto" w:fill="D9D9D9"/>
            <w:noWrap w:val="0"/>
            <w:vAlign w:val="center"/>
          </w:tcPr>
          <w:p w14:paraId="7B3854FA">
            <w:pPr>
              <w:spacing w:before="156" w:after="25"/>
              <w:rPr>
                <w:rFonts w:ascii="宋体" w:hAnsi="宋体"/>
                <w:spacing w:val="10"/>
                <w:szCs w:val="20"/>
              </w:rPr>
            </w:pPr>
            <w:r>
              <w:rPr>
                <w:rFonts w:hint="eastAsia" w:ascii="宋体" w:hAnsi="宋体"/>
                <w:spacing w:val="10"/>
                <w:szCs w:val="20"/>
              </w:rPr>
              <w:t>授课教师</w:t>
            </w:r>
          </w:p>
        </w:tc>
      </w:tr>
      <w:tr w14:paraId="187F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66" w:type="pct"/>
            <w:noWrap w:val="0"/>
            <w:vAlign w:val="center"/>
          </w:tcPr>
          <w:p w14:paraId="17FBD479">
            <w:pPr>
              <w:spacing w:before="156" w:after="25"/>
              <w:rPr>
                <w:rFonts w:ascii="宋体" w:hAnsi="宋体"/>
                <w:spacing w:val="10"/>
                <w:szCs w:val="20"/>
              </w:rPr>
            </w:pPr>
            <w:r>
              <w:rPr>
                <w:rFonts w:hint="eastAsia" w:ascii="宋体" w:hAnsi="宋体"/>
                <w:spacing w:val="10"/>
                <w:szCs w:val="20"/>
              </w:rPr>
              <w:t>1</w:t>
            </w:r>
          </w:p>
        </w:tc>
        <w:tc>
          <w:tcPr>
            <w:tcW w:w="1077" w:type="pct"/>
            <w:noWrap w:val="0"/>
            <w:vAlign w:val="center"/>
          </w:tcPr>
          <w:p w14:paraId="3FA89B13">
            <w:pPr>
              <w:spacing w:before="156" w:after="25"/>
              <w:rPr>
                <w:rFonts w:ascii="宋体" w:hAnsi="宋体"/>
                <w:spacing w:val="10"/>
                <w:szCs w:val="20"/>
              </w:rPr>
            </w:pPr>
            <w:r>
              <w:rPr>
                <w:rFonts w:hint="eastAsia" w:ascii="宋体" w:hAnsi="宋体"/>
                <w:spacing w:val="10"/>
                <w:szCs w:val="20"/>
              </w:rPr>
              <w:t>系统介绍</w:t>
            </w:r>
          </w:p>
        </w:tc>
        <w:tc>
          <w:tcPr>
            <w:tcW w:w="1150" w:type="pct"/>
            <w:noWrap w:val="0"/>
            <w:vAlign w:val="center"/>
          </w:tcPr>
          <w:p w14:paraId="7C273DB9">
            <w:pPr>
              <w:spacing w:before="156" w:after="25"/>
              <w:rPr>
                <w:rFonts w:ascii="宋体" w:hAnsi="宋体"/>
                <w:spacing w:val="10"/>
                <w:szCs w:val="20"/>
              </w:rPr>
            </w:pPr>
            <w:r>
              <w:rPr>
                <w:rFonts w:hint="eastAsia" w:ascii="宋体" w:hAnsi="宋体"/>
                <w:spacing w:val="10"/>
                <w:szCs w:val="20"/>
              </w:rPr>
              <w:t>系统设计理念及系统架构。系统功能介绍</w:t>
            </w:r>
          </w:p>
        </w:tc>
        <w:tc>
          <w:tcPr>
            <w:tcW w:w="637" w:type="pct"/>
            <w:vMerge w:val="restart"/>
            <w:noWrap w:val="0"/>
            <w:vAlign w:val="center"/>
          </w:tcPr>
          <w:p w14:paraId="6EF35158">
            <w:pPr>
              <w:spacing w:before="156" w:after="25"/>
              <w:rPr>
                <w:rFonts w:ascii="宋体" w:hAnsi="宋体"/>
                <w:spacing w:val="10"/>
                <w:szCs w:val="20"/>
              </w:rPr>
            </w:pPr>
            <w:r>
              <w:rPr>
                <w:rFonts w:hint="eastAsia" w:ascii="宋体" w:hAnsi="宋体"/>
                <w:spacing w:val="10"/>
                <w:szCs w:val="20"/>
              </w:rPr>
              <w:t>用户指定</w:t>
            </w:r>
          </w:p>
        </w:tc>
        <w:tc>
          <w:tcPr>
            <w:tcW w:w="637" w:type="pct"/>
            <w:vMerge w:val="restart"/>
            <w:noWrap w:val="0"/>
            <w:vAlign w:val="center"/>
          </w:tcPr>
          <w:p w14:paraId="1E560E57">
            <w:pPr>
              <w:spacing w:before="156" w:after="25"/>
              <w:rPr>
                <w:rFonts w:ascii="宋体" w:hAnsi="宋体"/>
                <w:spacing w:val="10"/>
                <w:szCs w:val="20"/>
              </w:rPr>
            </w:pPr>
            <w:r>
              <w:rPr>
                <w:rFonts w:hint="eastAsia" w:ascii="宋体" w:hAnsi="宋体"/>
                <w:spacing w:val="10"/>
                <w:szCs w:val="20"/>
              </w:rPr>
              <w:t>用户指定</w:t>
            </w:r>
          </w:p>
          <w:p w14:paraId="6F3201B2">
            <w:pPr>
              <w:spacing w:before="156" w:after="25"/>
              <w:rPr>
                <w:rFonts w:ascii="宋体" w:hAnsi="宋体"/>
                <w:spacing w:val="10"/>
                <w:szCs w:val="20"/>
              </w:rPr>
            </w:pPr>
          </w:p>
        </w:tc>
        <w:tc>
          <w:tcPr>
            <w:tcW w:w="930" w:type="pct"/>
            <w:vMerge w:val="restart"/>
            <w:noWrap w:val="0"/>
            <w:vAlign w:val="center"/>
          </w:tcPr>
          <w:p w14:paraId="024899F9">
            <w:pPr>
              <w:spacing w:before="156" w:after="25"/>
              <w:rPr>
                <w:rFonts w:ascii="宋体" w:hAnsi="宋体"/>
                <w:spacing w:val="10"/>
                <w:szCs w:val="20"/>
              </w:rPr>
            </w:pPr>
            <w:r>
              <w:rPr>
                <w:rFonts w:hint="eastAsia" w:ascii="宋体" w:hAnsi="宋体"/>
                <w:spacing w:val="10"/>
                <w:szCs w:val="20"/>
              </w:rPr>
              <w:t>项目经理</w:t>
            </w:r>
          </w:p>
        </w:tc>
      </w:tr>
      <w:tr w14:paraId="2504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66" w:type="pct"/>
            <w:noWrap w:val="0"/>
            <w:vAlign w:val="center"/>
          </w:tcPr>
          <w:p w14:paraId="09B6B380">
            <w:pPr>
              <w:spacing w:before="156" w:after="25"/>
              <w:rPr>
                <w:rFonts w:ascii="宋体" w:hAnsi="宋体"/>
                <w:spacing w:val="10"/>
                <w:szCs w:val="20"/>
              </w:rPr>
            </w:pPr>
            <w:r>
              <w:rPr>
                <w:rFonts w:hint="eastAsia" w:ascii="宋体" w:hAnsi="宋体"/>
                <w:spacing w:val="10"/>
                <w:szCs w:val="20"/>
              </w:rPr>
              <w:t>2</w:t>
            </w:r>
          </w:p>
        </w:tc>
        <w:tc>
          <w:tcPr>
            <w:tcW w:w="1077" w:type="pct"/>
            <w:noWrap w:val="0"/>
            <w:vAlign w:val="center"/>
          </w:tcPr>
          <w:p w14:paraId="5389FFBC">
            <w:pPr>
              <w:spacing w:before="156" w:after="25"/>
              <w:rPr>
                <w:rFonts w:ascii="宋体" w:hAnsi="宋体"/>
                <w:spacing w:val="10"/>
                <w:szCs w:val="20"/>
              </w:rPr>
            </w:pPr>
            <w:r>
              <w:rPr>
                <w:rFonts w:hint="eastAsia" w:ascii="宋体" w:hAnsi="宋体"/>
                <w:spacing w:val="10"/>
                <w:szCs w:val="20"/>
              </w:rPr>
              <w:t>系统安装</w:t>
            </w:r>
          </w:p>
        </w:tc>
        <w:tc>
          <w:tcPr>
            <w:tcW w:w="1150" w:type="pct"/>
            <w:noWrap w:val="0"/>
            <w:vAlign w:val="center"/>
          </w:tcPr>
          <w:p w14:paraId="06EB3AA2">
            <w:pPr>
              <w:spacing w:before="156" w:after="25"/>
              <w:rPr>
                <w:rFonts w:ascii="宋体" w:hAnsi="宋体"/>
                <w:spacing w:val="10"/>
                <w:szCs w:val="20"/>
              </w:rPr>
            </w:pPr>
            <w:r>
              <w:rPr>
                <w:rFonts w:hint="eastAsia" w:ascii="宋体" w:hAnsi="宋体"/>
                <w:spacing w:val="10"/>
                <w:szCs w:val="20"/>
              </w:rPr>
              <w:t>系统安装</w:t>
            </w:r>
          </w:p>
        </w:tc>
        <w:tc>
          <w:tcPr>
            <w:tcW w:w="637" w:type="pct"/>
            <w:vMerge w:val="continue"/>
            <w:noWrap w:val="0"/>
            <w:vAlign w:val="center"/>
          </w:tcPr>
          <w:p w14:paraId="33DB9B25">
            <w:pPr>
              <w:spacing w:before="156" w:after="25"/>
              <w:rPr>
                <w:rFonts w:ascii="宋体" w:hAnsi="宋体"/>
                <w:spacing w:val="10"/>
                <w:szCs w:val="20"/>
              </w:rPr>
            </w:pPr>
          </w:p>
        </w:tc>
        <w:tc>
          <w:tcPr>
            <w:tcW w:w="637" w:type="pct"/>
            <w:vMerge w:val="continue"/>
            <w:noWrap w:val="0"/>
            <w:vAlign w:val="center"/>
          </w:tcPr>
          <w:p w14:paraId="455FAC0C">
            <w:pPr>
              <w:spacing w:before="156" w:after="25"/>
              <w:rPr>
                <w:rFonts w:ascii="宋体" w:hAnsi="宋体"/>
                <w:spacing w:val="10"/>
                <w:szCs w:val="20"/>
              </w:rPr>
            </w:pPr>
          </w:p>
        </w:tc>
        <w:tc>
          <w:tcPr>
            <w:tcW w:w="930" w:type="pct"/>
            <w:vMerge w:val="continue"/>
            <w:noWrap w:val="0"/>
            <w:vAlign w:val="center"/>
          </w:tcPr>
          <w:p w14:paraId="6E0BA741">
            <w:pPr>
              <w:spacing w:before="156" w:after="25"/>
              <w:rPr>
                <w:rFonts w:ascii="宋体" w:hAnsi="宋体"/>
                <w:spacing w:val="10"/>
                <w:szCs w:val="20"/>
              </w:rPr>
            </w:pPr>
          </w:p>
        </w:tc>
      </w:tr>
      <w:tr w14:paraId="6954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66" w:type="pct"/>
            <w:noWrap w:val="0"/>
            <w:vAlign w:val="center"/>
          </w:tcPr>
          <w:p w14:paraId="63B9D9A3">
            <w:pPr>
              <w:spacing w:before="156" w:after="25"/>
              <w:rPr>
                <w:rFonts w:ascii="宋体" w:hAnsi="宋体"/>
                <w:spacing w:val="10"/>
                <w:szCs w:val="20"/>
              </w:rPr>
            </w:pPr>
            <w:r>
              <w:rPr>
                <w:rFonts w:hint="eastAsia" w:ascii="宋体" w:hAnsi="宋体"/>
                <w:spacing w:val="10"/>
                <w:szCs w:val="20"/>
              </w:rPr>
              <w:t>3</w:t>
            </w:r>
          </w:p>
        </w:tc>
        <w:tc>
          <w:tcPr>
            <w:tcW w:w="1077" w:type="pct"/>
            <w:noWrap w:val="0"/>
            <w:vAlign w:val="center"/>
          </w:tcPr>
          <w:p w14:paraId="1230C2F4">
            <w:pPr>
              <w:spacing w:before="156" w:after="25"/>
              <w:rPr>
                <w:rFonts w:ascii="宋体" w:hAnsi="宋体"/>
                <w:spacing w:val="10"/>
                <w:szCs w:val="20"/>
              </w:rPr>
            </w:pPr>
            <w:r>
              <w:rPr>
                <w:rFonts w:hint="eastAsia" w:ascii="宋体" w:hAnsi="宋体"/>
                <w:spacing w:val="10"/>
                <w:szCs w:val="20"/>
              </w:rPr>
              <w:t>系统使用</w:t>
            </w:r>
          </w:p>
        </w:tc>
        <w:tc>
          <w:tcPr>
            <w:tcW w:w="1150" w:type="pct"/>
            <w:noWrap w:val="0"/>
            <w:vAlign w:val="center"/>
          </w:tcPr>
          <w:p w14:paraId="5C7C3145">
            <w:pPr>
              <w:spacing w:before="156" w:after="25"/>
              <w:rPr>
                <w:rFonts w:ascii="宋体" w:hAnsi="宋体"/>
                <w:spacing w:val="10"/>
                <w:szCs w:val="20"/>
              </w:rPr>
            </w:pPr>
            <w:r>
              <w:rPr>
                <w:rFonts w:hint="eastAsia" w:ascii="宋体" w:hAnsi="宋体"/>
                <w:spacing w:val="10"/>
                <w:szCs w:val="20"/>
              </w:rPr>
              <w:t>系统详细使用操作</w:t>
            </w:r>
          </w:p>
        </w:tc>
        <w:tc>
          <w:tcPr>
            <w:tcW w:w="637" w:type="pct"/>
            <w:vMerge w:val="continue"/>
            <w:noWrap w:val="0"/>
            <w:vAlign w:val="center"/>
          </w:tcPr>
          <w:p w14:paraId="2DAA028A">
            <w:pPr>
              <w:spacing w:before="156" w:after="25"/>
              <w:rPr>
                <w:rFonts w:ascii="宋体" w:hAnsi="宋体"/>
                <w:spacing w:val="10"/>
                <w:szCs w:val="20"/>
              </w:rPr>
            </w:pPr>
          </w:p>
        </w:tc>
        <w:tc>
          <w:tcPr>
            <w:tcW w:w="637" w:type="pct"/>
            <w:vMerge w:val="continue"/>
            <w:noWrap w:val="0"/>
            <w:vAlign w:val="center"/>
          </w:tcPr>
          <w:p w14:paraId="5717DC8D">
            <w:pPr>
              <w:spacing w:before="156" w:after="25"/>
              <w:rPr>
                <w:rFonts w:ascii="宋体" w:hAnsi="宋体"/>
                <w:spacing w:val="10"/>
                <w:szCs w:val="20"/>
              </w:rPr>
            </w:pPr>
          </w:p>
        </w:tc>
        <w:tc>
          <w:tcPr>
            <w:tcW w:w="930" w:type="pct"/>
            <w:vMerge w:val="continue"/>
            <w:noWrap w:val="0"/>
            <w:vAlign w:val="center"/>
          </w:tcPr>
          <w:p w14:paraId="0CF05435">
            <w:pPr>
              <w:spacing w:before="156" w:after="25"/>
              <w:rPr>
                <w:rFonts w:ascii="宋体" w:hAnsi="宋体"/>
                <w:spacing w:val="10"/>
                <w:szCs w:val="20"/>
              </w:rPr>
            </w:pPr>
          </w:p>
        </w:tc>
      </w:tr>
      <w:tr w14:paraId="34C0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566" w:type="pct"/>
            <w:noWrap w:val="0"/>
            <w:vAlign w:val="center"/>
          </w:tcPr>
          <w:p w14:paraId="3BE948AF">
            <w:pPr>
              <w:spacing w:before="156" w:after="25"/>
              <w:rPr>
                <w:rFonts w:ascii="宋体" w:hAnsi="宋体"/>
                <w:spacing w:val="10"/>
                <w:szCs w:val="20"/>
              </w:rPr>
            </w:pPr>
            <w:r>
              <w:rPr>
                <w:rFonts w:hint="eastAsia" w:ascii="宋体" w:hAnsi="宋体"/>
                <w:spacing w:val="10"/>
                <w:szCs w:val="20"/>
              </w:rPr>
              <w:t>4</w:t>
            </w:r>
          </w:p>
        </w:tc>
        <w:tc>
          <w:tcPr>
            <w:tcW w:w="1077" w:type="pct"/>
            <w:noWrap w:val="0"/>
            <w:vAlign w:val="center"/>
          </w:tcPr>
          <w:p w14:paraId="7AD5B2F5">
            <w:pPr>
              <w:spacing w:before="156" w:after="25"/>
              <w:rPr>
                <w:rFonts w:ascii="宋体" w:hAnsi="宋体"/>
                <w:spacing w:val="10"/>
                <w:szCs w:val="20"/>
              </w:rPr>
            </w:pPr>
            <w:r>
              <w:rPr>
                <w:rFonts w:hint="eastAsia" w:ascii="宋体" w:hAnsi="宋体"/>
                <w:spacing w:val="10"/>
                <w:szCs w:val="20"/>
              </w:rPr>
              <w:t>系统使用常见问题</w:t>
            </w:r>
          </w:p>
        </w:tc>
        <w:tc>
          <w:tcPr>
            <w:tcW w:w="1150" w:type="pct"/>
            <w:noWrap w:val="0"/>
            <w:vAlign w:val="center"/>
          </w:tcPr>
          <w:p w14:paraId="2A4B28E3">
            <w:pPr>
              <w:spacing w:before="156" w:after="25"/>
              <w:rPr>
                <w:rFonts w:ascii="宋体" w:hAnsi="宋体"/>
                <w:spacing w:val="10"/>
                <w:szCs w:val="20"/>
              </w:rPr>
            </w:pPr>
            <w:r>
              <w:rPr>
                <w:rFonts w:hint="eastAsia" w:ascii="宋体" w:hAnsi="宋体"/>
                <w:spacing w:val="10"/>
                <w:szCs w:val="20"/>
              </w:rPr>
              <w:t>常见问题答疑及相关运维策略阐述</w:t>
            </w:r>
          </w:p>
        </w:tc>
        <w:tc>
          <w:tcPr>
            <w:tcW w:w="637" w:type="pct"/>
            <w:vMerge w:val="continue"/>
            <w:noWrap w:val="0"/>
            <w:vAlign w:val="center"/>
          </w:tcPr>
          <w:p w14:paraId="259E63D5">
            <w:pPr>
              <w:spacing w:before="156" w:after="25"/>
              <w:rPr>
                <w:rFonts w:ascii="宋体" w:hAnsi="宋体"/>
                <w:spacing w:val="10"/>
                <w:szCs w:val="20"/>
              </w:rPr>
            </w:pPr>
          </w:p>
        </w:tc>
        <w:tc>
          <w:tcPr>
            <w:tcW w:w="637" w:type="pct"/>
            <w:vMerge w:val="continue"/>
            <w:noWrap w:val="0"/>
            <w:vAlign w:val="center"/>
          </w:tcPr>
          <w:p w14:paraId="36265EE7">
            <w:pPr>
              <w:spacing w:before="156" w:after="25"/>
              <w:rPr>
                <w:rFonts w:ascii="宋体" w:hAnsi="宋体"/>
                <w:spacing w:val="10"/>
                <w:szCs w:val="20"/>
              </w:rPr>
            </w:pPr>
          </w:p>
        </w:tc>
        <w:tc>
          <w:tcPr>
            <w:tcW w:w="930" w:type="pct"/>
            <w:vMerge w:val="continue"/>
            <w:noWrap w:val="0"/>
            <w:vAlign w:val="center"/>
          </w:tcPr>
          <w:p w14:paraId="526492FB">
            <w:pPr>
              <w:spacing w:before="156" w:after="25"/>
              <w:rPr>
                <w:rFonts w:ascii="宋体" w:hAnsi="宋体"/>
                <w:spacing w:val="10"/>
                <w:szCs w:val="20"/>
              </w:rPr>
            </w:pPr>
          </w:p>
        </w:tc>
      </w:tr>
    </w:tbl>
    <w:p w14:paraId="0593704D">
      <w:pPr>
        <w:numPr>
          <w:ilvl w:val="0"/>
          <w:numId w:val="14"/>
        </w:numPr>
        <w:spacing w:before="156" w:line="360" w:lineRule="auto"/>
        <w:ind w:left="425" w:leftChars="0" w:hanging="425" w:firstLineChars="0"/>
        <w:rPr>
          <w:rFonts w:hint="eastAsia" w:cs="Arial"/>
          <w:lang w:val="en-US" w:eastAsia="zh-CN"/>
        </w:rPr>
      </w:pPr>
      <w:r>
        <w:rPr>
          <w:rFonts w:hint="eastAsia" w:cs="Arial"/>
          <w:lang w:val="en-US" w:eastAsia="zh-CN"/>
        </w:rPr>
        <w:t>系统管理与维护培训</w:t>
      </w:r>
    </w:p>
    <w:p w14:paraId="6C40FCC9">
      <w:pPr>
        <w:spacing w:before="156" w:after="120"/>
        <w:ind w:firstLine="482"/>
        <w:rPr>
          <w:rFonts w:hAnsi="宋体"/>
        </w:rPr>
      </w:pPr>
      <w:r>
        <w:rPr>
          <w:rFonts w:hint="eastAsia" w:hAnsi="宋体"/>
          <w:b/>
        </w:rPr>
        <w:t>培训目的</w:t>
      </w:r>
      <w:r>
        <w:rPr>
          <w:rFonts w:hint="eastAsia" w:hAnsi="宋体"/>
        </w:rPr>
        <w:t>：熟悉系统基础知识，了解系统的实现原理和维护流程。</w:t>
      </w:r>
    </w:p>
    <w:p w14:paraId="391133A6">
      <w:pPr>
        <w:spacing w:before="156" w:after="120"/>
        <w:ind w:firstLine="482"/>
        <w:rPr>
          <w:rFonts w:hAnsi="宋体"/>
        </w:rPr>
      </w:pPr>
      <w:r>
        <w:rPr>
          <w:rFonts w:hint="eastAsia" w:hAnsi="宋体"/>
          <w:b/>
        </w:rPr>
        <w:t>参加人员</w:t>
      </w:r>
      <w:r>
        <w:rPr>
          <w:rFonts w:hint="eastAsia" w:hAnsi="宋体"/>
        </w:rPr>
        <w:t>：用户指定</w:t>
      </w:r>
    </w:p>
    <w:p w14:paraId="1ADFABE4">
      <w:pPr>
        <w:spacing w:before="156" w:after="120"/>
        <w:ind w:firstLine="482"/>
        <w:rPr>
          <w:rFonts w:hAnsi="宋体"/>
        </w:rPr>
      </w:pPr>
      <w:r>
        <w:rPr>
          <w:rFonts w:hint="eastAsia" w:hAnsi="宋体"/>
          <w:b/>
        </w:rPr>
        <w:t>培训组织</w:t>
      </w:r>
      <w:r>
        <w:rPr>
          <w:rFonts w:hint="eastAsia" w:hAnsi="宋体"/>
        </w:rPr>
        <w:t>：创联致信</w:t>
      </w:r>
    </w:p>
    <w:p w14:paraId="4169CD2F">
      <w:pPr>
        <w:spacing w:before="156" w:after="120"/>
        <w:ind w:firstLine="482"/>
        <w:rPr>
          <w:rFonts w:hAnsi="宋体"/>
        </w:rPr>
      </w:pPr>
      <w:r>
        <w:rPr>
          <w:rFonts w:hint="eastAsia" w:hAnsi="宋体"/>
          <w:b/>
        </w:rPr>
        <w:t>培训时长</w:t>
      </w:r>
      <w:r>
        <w:rPr>
          <w:rFonts w:hint="eastAsia" w:hAnsi="宋体"/>
        </w:rPr>
        <w:t>：</w:t>
      </w:r>
      <w:r>
        <w:rPr>
          <w:rFonts w:hint="eastAsia" w:hAnsi="宋体"/>
          <w:lang w:val="en-US" w:eastAsia="zh-CN"/>
        </w:rPr>
        <w:t>3</w:t>
      </w:r>
      <w:r>
        <w:rPr>
          <w:rFonts w:hint="eastAsia" w:hAnsi="宋体"/>
        </w:rPr>
        <w:t>天</w:t>
      </w:r>
    </w:p>
    <w:p w14:paraId="45F36559">
      <w:pPr>
        <w:spacing w:before="156" w:after="120"/>
        <w:ind w:firstLine="482"/>
        <w:rPr>
          <w:rFonts w:hAnsi="宋体"/>
        </w:rPr>
      </w:pPr>
      <w:r>
        <w:rPr>
          <w:rFonts w:hint="eastAsia" w:hAnsi="宋体"/>
          <w:b/>
        </w:rPr>
        <w:t>培训地点</w:t>
      </w:r>
      <w:r>
        <w:rPr>
          <w:rFonts w:hint="eastAsia" w:hAnsi="宋体"/>
        </w:rPr>
        <w:t>：用户现场</w:t>
      </w:r>
    </w:p>
    <w:p w14:paraId="0DC8FEFA">
      <w:pPr>
        <w:spacing w:before="156" w:after="120"/>
        <w:ind w:firstLine="482"/>
        <w:rPr>
          <w:rFonts w:hAnsi="宋体"/>
        </w:rPr>
      </w:pPr>
      <w:r>
        <w:rPr>
          <w:rFonts w:hint="eastAsia" w:hAnsi="宋体"/>
          <w:b/>
        </w:rPr>
        <w:t>培训内容</w:t>
      </w:r>
      <w:r>
        <w:rPr>
          <w:rFonts w:hint="eastAsia" w:hAnsi="宋体"/>
        </w:rPr>
        <w:t>：对于系统中遇到的问题进行解决的管理过程，以及结合事件流程和知识库，建立维护管理模式和知识体系。</w:t>
      </w:r>
    </w:p>
    <w:p w14:paraId="5941AB23">
      <w:pPr>
        <w:spacing w:before="156" w:after="120"/>
        <w:ind w:firstLine="482"/>
        <w:rPr>
          <w:rFonts w:hAnsi="宋体"/>
        </w:rPr>
      </w:pPr>
      <w:r>
        <w:rPr>
          <w:rFonts w:hint="eastAsia" w:hAnsi="宋体"/>
          <w:b/>
        </w:rPr>
        <w:t>培训安排：</w:t>
      </w:r>
      <w:r>
        <w:rPr>
          <w:rFonts w:hint="eastAsia" w:hAnsi="宋体"/>
        </w:rPr>
        <w:t>正式运行期前</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210"/>
        <w:gridCol w:w="2212"/>
        <w:gridCol w:w="1415"/>
        <w:gridCol w:w="1415"/>
        <w:gridCol w:w="1726"/>
      </w:tblGrid>
      <w:tr w14:paraId="3B15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492" w:type="pct"/>
            <w:shd w:val="clear" w:color="auto" w:fill="D9D9D9"/>
            <w:noWrap w:val="0"/>
            <w:vAlign w:val="center"/>
          </w:tcPr>
          <w:p w14:paraId="521E3DCC">
            <w:pPr>
              <w:spacing w:before="156" w:after="25"/>
              <w:rPr>
                <w:rFonts w:ascii="宋体" w:hAnsi="宋体"/>
                <w:spacing w:val="10"/>
                <w:szCs w:val="20"/>
              </w:rPr>
            </w:pPr>
            <w:r>
              <w:rPr>
                <w:rFonts w:hint="eastAsia" w:ascii="宋体" w:hAnsi="宋体"/>
                <w:spacing w:val="10"/>
                <w:szCs w:val="20"/>
              </w:rPr>
              <w:t>序号</w:t>
            </w:r>
          </w:p>
        </w:tc>
        <w:tc>
          <w:tcPr>
            <w:tcW w:w="1109" w:type="pct"/>
            <w:shd w:val="clear" w:color="auto" w:fill="D9D9D9"/>
            <w:noWrap w:val="0"/>
            <w:vAlign w:val="center"/>
          </w:tcPr>
          <w:p w14:paraId="2427F83E">
            <w:pPr>
              <w:spacing w:before="156" w:after="25"/>
              <w:ind w:firstLine="520"/>
              <w:rPr>
                <w:rFonts w:ascii="宋体" w:hAnsi="宋体"/>
                <w:spacing w:val="10"/>
                <w:szCs w:val="20"/>
              </w:rPr>
            </w:pPr>
            <w:r>
              <w:rPr>
                <w:rFonts w:hint="eastAsia" w:ascii="宋体" w:hAnsi="宋体"/>
                <w:spacing w:val="10"/>
                <w:szCs w:val="20"/>
              </w:rPr>
              <w:t>课程名称</w:t>
            </w:r>
          </w:p>
        </w:tc>
        <w:tc>
          <w:tcPr>
            <w:tcW w:w="1110" w:type="pct"/>
            <w:shd w:val="clear" w:color="auto" w:fill="D9D9D9"/>
            <w:noWrap w:val="0"/>
            <w:vAlign w:val="center"/>
          </w:tcPr>
          <w:p w14:paraId="6B63B09C">
            <w:pPr>
              <w:spacing w:before="156" w:after="25"/>
              <w:ind w:firstLine="520"/>
              <w:rPr>
                <w:rFonts w:ascii="宋体" w:hAnsi="宋体"/>
                <w:spacing w:val="10"/>
                <w:szCs w:val="20"/>
              </w:rPr>
            </w:pPr>
            <w:r>
              <w:rPr>
                <w:rFonts w:hint="eastAsia" w:ascii="宋体" w:hAnsi="宋体"/>
                <w:spacing w:val="10"/>
                <w:szCs w:val="20"/>
              </w:rPr>
              <w:t>课程内容</w:t>
            </w:r>
          </w:p>
        </w:tc>
        <w:tc>
          <w:tcPr>
            <w:tcW w:w="710" w:type="pct"/>
            <w:shd w:val="clear" w:color="auto" w:fill="D9D9D9"/>
            <w:noWrap w:val="0"/>
            <w:vAlign w:val="center"/>
          </w:tcPr>
          <w:p w14:paraId="3A45C536">
            <w:pPr>
              <w:spacing w:before="156" w:after="25"/>
              <w:rPr>
                <w:rFonts w:ascii="宋体" w:hAnsi="宋体"/>
                <w:spacing w:val="10"/>
                <w:szCs w:val="20"/>
              </w:rPr>
            </w:pPr>
            <w:r>
              <w:rPr>
                <w:rFonts w:hint="eastAsia" w:ascii="宋体" w:hAnsi="宋体"/>
                <w:spacing w:val="10"/>
                <w:szCs w:val="20"/>
              </w:rPr>
              <w:t>课程时长</w:t>
            </w:r>
          </w:p>
        </w:tc>
        <w:tc>
          <w:tcPr>
            <w:tcW w:w="710" w:type="pct"/>
            <w:shd w:val="clear" w:color="auto" w:fill="D9D9D9"/>
            <w:noWrap w:val="0"/>
            <w:vAlign w:val="center"/>
          </w:tcPr>
          <w:p w14:paraId="101E9DA7">
            <w:pPr>
              <w:spacing w:before="156" w:after="25"/>
              <w:rPr>
                <w:rFonts w:ascii="宋体" w:hAnsi="宋体"/>
                <w:spacing w:val="10"/>
                <w:szCs w:val="20"/>
              </w:rPr>
            </w:pPr>
            <w:r>
              <w:rPr>
                <w:rFonts w:hint="eastAsia" w:ascii="宋体" w:hAnsi="宋体"/>
                <w:spacing w:val="10"/>
                <w:szCs w:val="20"/>
              </w:rPr>
              <w:t>学员人数</w:t>
            </w:r>
          </w:p>
        </w:tc>
        <w:tc>
          <w:tcPr>
            <w:tcW w:w="866" w:type="pct"/>
            <w:shd w:val="clear" w:color="auto" w:fill="D9D9D9"/>
            <w:noWrap w:val="0"/>
            <w:vAlign w:val="center"/>
          </w:tcPr>
          <w:p w14:paraId="2D6A3BB2">
            <w:pPr>
              <w:spacing w:before="156" w:after="25"/>
              <w:rPr>
                <w:rFonts w:ascii="宋体" w:hAnsi="宋体"/>
                <w:spacing w:val="10"/>
                <w:szCs w:val="20"/>
              </w:rPr>
            </w:pPr>
            <w:r>
              <w:rPr>
                <w:rFonts w:hint="eastAsia" w:ascii="宋体" w:hAnsi="宋体"/>
                <w:spacing w:val="10"/>
                <w:szCs w:val="20"/>
              </w:rPr>
              <w:t>授课教师</w:t>
            </w:r>
          </w:p>
        </w:tc>
      </w:tr>
      <w:tr w14:paraId="42DE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92" w:type="pct"/>
            <w:noWrap w:val="0"/>
            <w:vAlign w:val="center"/>
          </w:tcPr>
          <w:p w14:paraId="533AB780">
            <w:pPr>
              <w:spacing w:before="156" w:after="25"/>
              <w:ind w:firstLine="520"/>
              <w:rPr>
                <w:rFonts w:ascii="宋体" w:hAnsi="宋体"/>
                <w:spacing w:val="10"/>
                <w:szCs w:val="20"/>
              </w:rPr>
            </w:pPr>
            <w:r>
              <w:rPr>
                <w:rFonts w:hint="eastAsia" w:ascii="宋体" w:hAnsi="宋体"/>
                <w:spacing w:val="10"/>
                <w:szCs w:val="20"/>
              </w:rPr>
              <w:t>1</w:t>
            </w:r>
          </w:p>
        </w:tc>
        <w:tc>
          <w:tcPr>
            <w:tcW w:w="1109" w:type="pct"/>
            <w:noWrap w:val="0"/>
            <w:vAlign w:val="center"/>
          </w:tcPr>
          <w:p w14:paraId="3AE8226B">
            <w:pPr>
              <w:spacing w:before="156" w:after="25"/>
              <w:rPr>
                <w:rFonts w:ascii="宋体" w:hAnsi="宋体"/>
                <w:spacing w:val="10"/>
                <w:szCs w:val="20"/>
              </w:rPr>
            </w:pPr>
            <w:r>
              <w:rPr>
                <w:rFonts w:hint="eastAsia" w:ascii="宋体" w:hAnsi="宋体"/>
                <w:spacing w:val="10"/>
                <w:szCs w:val="20"/>
              </w:rPr>
              <w:t>系统的故障排除</w:t>
            </w:r>
          </w:p>
        </w:tc>
        <w:tc>
          <w:tcPr>
            <w:tcW w:w="1110" w:type="pct"/>
            <w:noWrap w:val="0"/>
            <w:vAlign w:val="center"/>
          </w:tcPr>
          <w:p w14:paraId="340C16EF">
            <w:pPr>
              <w:spacing w:before="156" w:after="25"/>
              <w:rPr>
                <w:rFonts w:ascii="宋体" w:hAnsi="宋体"/>
                <w:spacing w:val="10"/>
                <w:szCs w:val="20"/>
              </w:rPr>
            </w:pPr>
            <w:r>
              <w:rPr>
                <w:rFonts w:hint="eastAsia" w:ascii="宋体" w:hAnsi="宋体"/>
                <w:spacing w:val="10"/>
                <w:szCs w:val="20"/>
              </w:rPr>
              <w:t>系统的故障排除</w:t>
            </w:r>
          </w:p>
        </w:tc>
        <w:tc>
          <w:tcPr>
            <w:tcW w:w="710" w:type="pct"/>
            <w:vMerge w:val="restart"/>
            <w:noWrap w:val="0"/>
            <w:vAlign w:val="center"/>
          </w:tcPr>
          <w:p w14:paraId="34002386">
            <w:pPr>
              <w:spacing w:before="156" w:after="25"/>
              <w:rPr>
                <w:rFonts w:ascii="宋体" w:hAnsi="宋体"/>
                <w:spacing w:val="10"/>
                <w:szCs w:val="20"/>
              </w:rPr>
            </w:pPr>
            <w:r>
              <w:rPr>
                <w:rFonts w:hint="eastAsia" w:ascii="宋体" w:hAnsi="宋体"/>
                <w:spacing w:val="10"/>
                <w:szCs w:val="20"/>
              </w:rPr>
              <w:t>用户指定</w:t>
            </w:r>
          </w:p>
        </w:tc>
        <w:tc>
          <w:tcPr>
            <w:tcW w:w="710" w:type="pct"/>
            <w:vMerge w:val="restart"/>
            <w:noWrap w:val="0"/>
            <w:vAlign w:val="center"/>
          </w:tcPr>
          <w:p w14:paraId="3A6BFF35">
            <w:pPr>
              <w:spacing w:before="156" w:after="25"/>
              <w:rPr>
                <w:rFonts w:ascii="宋体" w:hAnsi="宋体"/>
                <w:spacing w:val="10"/>
                <w:szCs w:val="20"/>
              </w:rPr>
            </w:pPr>
            <w:r>
              <w:rPr>
                <w:rFonts w:hint="eastAsia" w:ascii="宋体" w:hAnsi="宋体"/>
                <w:spacing w:val="10"/>
                <w:szCs w:val="20"/>
              </w:rPr>
              <w:t>用户指定</w:t>
            </w:r>
          </w:p>
        </w:tc>
        <w:tc>
          <w:tcPr>
            <w:tcW w:w="866" w:type="pct"/>
            <w:vMerge w:val="restart"/>
            <w:noWrap w:val="0"/>
            <w:vAlign w:val="center"/>
          </w:tcPr>
          <w:p w14:paraId="72F2D928">
            <w:pPr>
              <w:spacing w:before="156" w:after="25"/>
              <w:rPr>
                <w:rFonts w:ascii="宋体" w:hAnsi="宋体"/>
                <w:spacing w:val="10"/>
                <w:szCs w:val="20"/>
              </w:rPr>
            </w:pPr>
            <w:r>
              <w:rPr>
                <w:rFonts w:hint="eastAsia" w:ascii="宋体" w:hAnsi="宋体"/>
                <w:spacing w:val="10"/>
                <w:szCs w:val="20"/>
              </w:rPr>
              <w:t>项目经理</w:t>
            </w:r>
          </w:p>
        </w:tc>
      </w:tr>
      <w:tr w14:paraId="2877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2" w:type="pct"/>
            <w:noWrap w:val="0"/>
            <w:vAlign w:val="center"/>
          </w:tcPr>
          <w:p w14:paraId="198BC626">
            <w:pPr>
              <w:spacing w:before="156" w:after="25"/>
              <w:ind w:firstLine="520"/>
              <w:rPr>
                <w:rFonts w:ascii="宋体" w:hAnsi="宋体"/>
                <w:spacing w:val="10"/>
                <w:szCs w:val="20"/>
              </w:rPr>
            </w:pPr>
            <w:r>
              <w:rPr>
                <w:rFonts w:hint="eastAsia" w:ascii="宋体" w:hAnsi="宋体"/>
                <w:spacing w:val="10"/>
                <w:szCs w:val="20"/>
              </w:rPr>
              <w:t>2</w:t>
            </w:r>
          </w:p>
        </w:tc>
        <w:tc>
          <w:tcPr>
            <w:tcW w:w="1109" w:type="pct"/>
            <w:noWrap w:val="0"/>
            <w:vAlign w:val="center"/>
          </w:tcPr>
          <w:p w14:paraId="4283247A">
            <w:pPr>
              <w:spacing w:before="156" w:after="25"/>
              <w:rPr>
                <w:rFonts w:ascii="宋体" w:hAnsi="宋体"/>
                <w:spacing w:val="10"/>
                <w:szCs w:val="20"/>
              </w:rPr>
            </w:pPr>
            <w:r>
              <w:rPr>
                <w:rFonts w:hint="eastAsia" w:ascii="宋体" w:hAnsi="宋体"/>
                <w:spacing w:val="10"/>
                <w:szCs w:val="20"/>
              </w:rPr>
              <w:t>软件结构、定制和升级</w:t>
            </w:r>
          </w:p>
        </w:tc>
        <w:tc>
          <w:tcPr>
            <w:tcW w:w="1110" w:type="pct"/>
            <w:noWrap w:val="0"/>
            <w:vAlign w:val="center"/>
          </w:tcPr>
          <w:p w14:paraId="2E761678">
            <w:pPr>
              <w:spacing w:before="156" w:after="25"/>
              <w:rPr>
                <w:rFonts w:ascii="宋体" w:hAnsi="宋体"/>
                <w:spacing w:val="10"/>
                <w:szCs w:val="20"/>
              </w:rPr>
            </w:pPr>
            <w:r>
              <w:rPr>
                <w:rFonts w:hint="eastAsia" w:ascii="宋体" w:hAnsi="宋体"/>
                <w:spacing w:val="10"/>
                <w:szCs w:val="20"/>
              </w:rPr>
              <w:t>软件结构、定制和升级</w:t>
            </w:r>
          </w:p>
        </w:tc>
        <w:tc>
          <w:tcPr>
            <w:tcW w:w="710" w:type="pct"/>
            <w:vMerge w:val="continue"/>
            <w:noWrap w:val="0"/>
            <w:vAlign w:val="center"/>
          </w:tcPr>
          <w:p w14:paraId="155A613F">
            <w:pPr>
              <w:spacing w:before="156" w:after="25"/>
              <w:ind w:firstLine="520"/>
              <w:rPr>
                <w:rFonts w:ascii="宋体" w:hAnsi="宋体"/>
                <w:spacing w:val="10"/>
                <w:szCs w:val="20"/>
              </w:rPr>
            </w:pPr>
          </w:p>
        </w:tc>
        <w:tc>
          <w:tcPr>
            <w:tcW w:w="710" w:type="pct"/>
            <w:vMerge w:val="continue"/>
            <w:noWrap w:val="0"/>
            <w:vAlign w:val="center"/>
          </w:tcPr>
          <w:p w14:paraId="59187205">
            <w:pPr>
              <w:spacing w:before="156" w:after="25"/>
              <w:ind w:firstLine="520"/>
              <w:rPr>
                <w:rFonts w:ascii="宋体" w:hAnsi="宋体"/>
                <w:spacing w:val="10"/>
                <w:szCs w:val="20"/>
              </w:rPr>
            </w:pPr>
          </w:p>
        </w:tc>
        <w:tc>
          <w:tcPr>
            <w:tcW w:w="866" w:type="pct"/>
            <w:vMerge w:val="continue"/>
            <w:noWrap w:val="0"/>
            <w:vAlign w:val="center"/>
          </w:tcPr>
          <w:p w14:paraId="50306324">
            <w:pPr>
              <w:spacing w:before="156" w:after="25"/>
              <w:ind w:firstLine="520"/>
              <w:rPr>
                <w:rFonts w:ascii="宋体" w:hAnsi="宋体"/>
                <w:spacing w:val="10"/>
                <w:szCs w:val="20"/>
              </w:rPr>
            </w:pPr>
          </w:p>
        </w:tc>
      </w:tr>
      <w:tr w14:paraId="6AE5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92" w:type="pct"/>
            <w:noWrap w:val="0"/>
            <w:vAlign w:val="center"/>
          </w:tcPr>
          <w:p w14:paraId="60237E2B">
            <w:pPr>
              <w:spacing w:before="156" w:after="25"/>
              <w:ind w:firstLine="520"/>
              <w:rPr>
                <w:rFonts w:ascii="宋体" w:hAnsi="宋体"/>
                <w:spacing w:val="10"/>
                <w:szCs w:val="20"/>
              </w:rPr>
            </w:pPr>
            <w:r>
              <w:rPr>
                <w:rFonts w:hint="eastAsia" w:ascii="宋体" w:hAnsi="宋体"/>
                <w:spacing w:val="10"/>
                <w:szCs w:val="20"/>
              </w:rPr>
              <w:t>3</w:t>
            </w:r>
          </w:p>
        </w:tc>
        <w:tc>
          <w:tcPr>
            <w:tcW w:w="1109" w:type="pct"/>
            <w:noWrap w:val="0"/>
            <w:vAlign w:val="center"/>
          </w:tcPr>
          <w:p w14:paraId="41D66507">
            <w:pPr>
              <w:spacing w:before="156" w:after="25"/>
              <w:rPr>
                <w:rFonts w:ascii="宋体" w:hAnsi="宋体"/>
                <w:spacing w:val="10"/>
                <w:szCs w:val="20"/>
              </w:rPr>
            </w:pPr>
            <w:r>
              <w:rPr>
                <w:rFonts w:hint="eastAsia" w:ascii="宋体" w:hAnsi="宋体"/>
                <w:spacing w:val="10"/>
                <w:szCs w:val="20"/>
              </w:rPr>
              <w:t>系统使用中遇到的复杂问题</w:t>
            </w:r>
          </w:p>
        </w:tc>
        <w:tc>
          <w:tcPr>
            <w:tcW w:w="1110" w:type="pct"/>
            <w:noWrap w:val="0"/>
            <w:vAlign w:val="center"/>
          </w:tcPr>
          <w:p w14:paraId="38AA90D0">
            <w:pPr>
              <w:spacing w:before="156" w:after="25"/>
              <w:rPr>
                <w:rFonts w:ascii="宋体" w:hAnsi="宋体"/>
                <w:spacing w:val="10"/>
                <w:szCs w:val="20"/>
              </w:rPr>
            </w:pPr>
            <w:r>
              <w:rPr>
                <w:rFonts w:hint="eastAsia" w:ascii="宋体" w:hAnsi="宋体"/>
                <w:spacing w:val="10"/>
                <w:szCs w:val="20"/>
              </w:rPr>
              <w:t>系统使用中遇到的复杂问题</w:t>
            </w:r>
          </w:p>
        </w:tc>
        <w:tc>
          <w:tcPr>
            <w:tcW w:w="710" w:type="pct"/>
            <w:vMerge w:val="continue"/>
            <w:noWrap w:val="0"/>
            <w:vAlign w:val="center"/>
          </w:tcPr>
          <w:p w14:paraId="656D146D">
            <w:pPr>
              <w:spacing w:before="156" w:after="25"/>
              <w:ind w:firstLine="520"/>
              <w:rPr>
                <w:rFonts w:ascii="宋体" w:hAnsi="宋体"/>
                <w:spacing w:val="10"/>
                <w:szCs w:val="20"/>
              </w:rPr>
            </w:pPr>
          </w:p>
        </w:tc>
        <w:tc>
          <w:tcPr>
            <w:tcW w:w="710" w:type="pct"/>
            <w:vMerge w:val="continue"/>
            <w:noWrap w:val="0"/>
            <w:vAlign w:val="center"/>
          </w:tcPr>
          <w:p w14:paraId="4442AEC0">
            <w:pPr>
              <w:spacing w:before="156" w:after="25"/>
              <w:ind w:firstLine="520"/>
              <w:rPr>
                <w:rFonts w:ascii="宋体" w:hAnsi="宋体"/>
                <w:spacing w:val="10"/>
                <w:szCs w:val="20"/>
              </w:rPr>
            </w:pPr>
          </w:p>
        </w:tc>
        <w:tc>
          <w:tcPr>
            <w:tcW w:w="866" w:type="pct"/>
            <w:vMerge w:val="continue"/>
            <w:noWrap w:val="0"/>
            <w:vAlign w:val="center"/>
          </w:tcPr>
          <w:p w14:paraId="31F03E42">
            <w:pPr>
              <w:spacing w:before="156" w:after="25"/>
              <w:ind w:firstLine="520"/>
              <w:rPr>
                <w:rFonts w:ascii="宋体" w:hAnsi="宋体"/>
                <w:spacing w:val="10"/>
                <w:szCs w:val="20"/>
              </w:rPr>
            </w:pPr>
          </w:p>
        </w:tc>
      </w:tr>
    </w:tbl>
    <w:p w14:paraId="5F79453B">
      <w:pPr>
        <w:numPr>
          <w:numId w:val="0"/>
        </w:numPr>
        <w:spacing w:line="360" w:lineRule="auto"/>
        <w:rPr>
          <w:rFonts w:hint="eastAsia" w:ascii="宋体" w:hAnsi="宋体" w:eastAsia="宋体" w:cs="宋体"/>
          <w:sz w:val="24"/>
          <w:szCs w:val="24"/>
          <w:lang w:val="en-US" w:eastAsia="zh-CN"/>
        </w:rPr>
      </w:pPr>
    </w:p>
    <w:p w14:paraId="4FB4A07A">
      <w:pPr>
        <w:numPr>
          <w:ilvl w:val="0"/>
          <w:numId w:val="8"/>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优化完善方案</w:t>
      </w:r>
    </w:p>
    <w:p w14:paraId="413E61CB">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在蒙昆公司工作开展中，因实际工作的需求，需要对系统现有的功能进行完善，或者开发新功能以支撑其业务的开展。主要针对系统现有功能的使用过程中的一些不易操作性、不可维护性或延展性的功能进行完善优化。创联致信可在运维期间内提供额外免费的二次开发工作以满足用户在系统使用的需要。其中包含安全运维管控系统和网信全生命周期系统各应用模块的优化调整、新增、变更、集成等相关需求功能。</w:t>
      </w:r>
    </w:p>
    <w:p w14:paraId="02622C73">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zh-CN" w:eastAsia="zh-CN"/>
        </w:rPr>
      </w:pPr>
      <w:r>
        <w:rPr>
          <w:rFonts w:hint="eastAsia" w:ascii="宋体" w:hAnsi="宋体" w:eastAsia="宋体" w:cs="宋体"/>
          <w:bCs/>
          <w:sz w:val="24"/>
          <w:szCs w:val="24"/>
          <w:lang w:val="en-US" w:eastAsia="zh-CN"/>
        </w:rPr>
        <w:t>创联致信可结合蒙昆公司</w:t>
      </w:r>
      <w:r>
        <w:rPr>
          <w:rFonts w:hint="eastAsia" w:ascii="宋体" w:hAnsi="宋体" w:eastAsia="宋体" w:cs="宋体"/>
          <w:bCs/>
          <w:sz w:val="24"/>
          <w:szCs w:val="24"/>
          <w:lang w:val="zh-CN" w:eastAsia="zh-CN"/>
        </w:rPr>
        <w:t>实际业务</w:t>
      </w:r>
      <w:r>
        <w:rPr>
          <w:rFonts w:hint="eastAsia" w:ascii="宋体" w:hAnsi="宋体" w:eastAsia="宋体" w:cs="宋体"/>
          <w:bCs/>
          <w:sz w:val="24"/>
          <w:szCs w:val="24"/>
          <w:lang w:val="en-US" w:eastAsia="zh-CN"/>
        </w:rPr>
        <w:t>需求可额外提供软件开发服务，</w:t>
      </w:r>
      <w:r>
        <w:rPr>
          <w:rFonts w:hint="eastAsia" w:ascii="宋体" w:hAnsi="宋体" w:eastAsia="宋体" w:cs="宋体"/>
          <w:bCs/>
          <w:sz w:val="24"/>
          <w:szCs w:val="24"/>
          <w:lang w:val="zh-CN" w:eastAsia="zh-CN"/>
        </w:rPr>
        <w:t>如新增、变更、集成等需求，</w:t>
      </w:r>
      <w:r>
        <w:rPr>
          <w:rFonts w:hint="eastAsia" w:ascii="宋体" w:hAnsi="宋体" w:eastAsia="宋体" w:cs="宋体"/>
          <w:bCs/>
          <w:sz w:val="24"/>
          <w:szCs w:val="24"/>
          <w:lang w:val="en-US" w:eastAsia="zh-CN"/>
        </w:rPr>
        <w:t>创联致信</w:t>
      </w:r>
      <w:r>
        <w:rPr>
          <w:rFonts w:hint="eastAsia" w:ascii="宋体" w:hAnsi="宋体" w:eastAsia="宋体" w:cs="宋体"/>
          <w:bCs/>
          <w:sz w:val="24"/>
          <w:szCs w:val="24"/>
          <w:lang w:val="zh-CN" w:eastAsia="zh-CN"/>
        </w:rPr>
        <w:t>承诺提供后台开发工作量</w:t>
      </w:r>
      <w:r>
        <w:rPr>
          <w:rFonts w:hint="eastAsia" w:ascii="宋体" w:hAnsi="宋体" w:eastAsia="宋体" w:cs="宋体"/>
          <w:bCs/>
          <w:sz w:val="24"/>
          <w:szCs w:val="24"/>
          <w:lang w:val="en-US" w:eastAsia="zh-CN"/>
        </w:rPr>
        <w:t>为30天的</w:t>
      </w:r>
      <w:r>
        <w:rPr>
          <w:rFonts w:hint="eastAsia" w:ascii="宋体" w:hAnsi="宋体" w:eastAsia="宋体" w:cs="宋体"/>
          <w:bCs/>
          <w:sz w:val="24"/>
          <w:szCs w:val="24"/>
          <w:lang w:val="zh-CN" w:eastAsia="zh-CN"/>
        </w:rPr>
        <w:t>免费增值服务。</w:t>
      </w:r>
    </w:p>
    <w:p w14:paraId="3D8D0158">
      <w:pPr>
        <w:numPr>
          <w:ilvl w:val="0"/>
          <w:numId w:val="8"/>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优惠承诺</w:t>
      </w:r>
    </w:p>
    <w:p w14:paraId="330EE38B">
      <w:pPr>
        <w:pStyle w:val="20"/>
        <w:numPr>
          <w:ilvl w:val="0"/>
          <w:numId w:val="15"/>
        </w:numPr>
        <w:spacing w:line="360" w:lineRule="auto"/>
        <w:ind w:firstLine="420" w:firstLineChars="0"/>
        <w:jc w:val="left"/>
        <w:rPr>
          <w:rFonts w:hint="eastAsia" w:ascii="宋体" w:hAnsi="宋体" w:eastAsia="宋体" w:cs="Times New Roman"/>
          <w:sz w:val="24"/>
          <w:szCs w:val="21"/>
          <w:lang w:val="zh-CN" w:eastAsia="zh-CN" w:bidi="ar-SA"/>
        </w:rPr>
      </w:pPr>
      <w:r>
        <w:rPr>
          <w:rFonts w:hint="eastAsia" w:ascii="宋体" w:hAnsi="宋体" w:eastAsia="宋体" w:cs="Times New Roman"/>
          <w:sz w:val="24"/>
          <w:szCs w:val="21"/>
          <w:lang w:val="zh-CN" w:eastAsia="zh-CN" w:bidi="ar-SA"/>
        </w:rPr>
        <w:t>根据</w:t>
      </w:r>
      <w:r>
        <w:rPr>
          <w:rFonts w:hint="eastAsia" w:ascii="宋体" w:hAnsi="宋体" w:eastAsia="宋体" w:cs="Times New Roman"/>
          <w:sz w:val="24"/>
          <w:szCs w:val="21"/>
          <w:lang w:val="en-US" w:eastAsia="zh-CN" w:bidi="ar-SA"/>
        </w:rPr>
        <w:t>甲方</w:t>
      </w:r>
      <w:r>
        <w:rPr>
          <w:rFonts w:hint="eastAsia" w:ascii="宋体" w:hAnsi="宋体" w:eastAsia="宋体" w:cs="Times New Roman"/>
          <w:sz w:val="24"/>
          <w:szCs w:val="21"/>
          <w:lang w:val="zh-CN" w:eastAsia="zh-CN" w:bidi="ar-SA"/>
        </w:rPr>
        <w:t>实际业务</w:t>
      </w:r>
      <w:r>
        <w:rPr>
          <w:rFonts w:hint="eastAsia" w:ascii="宋体" w:hAnsi="宋体" w:eastAsia="宋体" w:cs="Times New Roman"/>
          <w:sz w:val="24"/>
          <w:szCs w:val="21"/>
          <w:lang w:val="en-US" w:eastAsia="zh-CN" w:bidi="ar-SA"/>
        </w:rPr>
        <w:t>需求可额外提供软件开发服务，</w:t>
      </w:r>
      <w:r>
        <w:rPr>
          <w:rFonts w:hint="eastAsia" w:ascii="宋体" w:hAnsi="宋体" w:eastAsia="宋体" w:cs="Times New Roman"/>
          <w:sz w:val="24"/>
          <w:szCs w:val="21"/>
          <w:lang w:val="zh-CN" w:eastAsia="zh-CN" w:bidi="ar-SA"/>
        </w:rPr>
        <w:t>如新增、变更、集成等需求，</w:t>
      </w:r>
      <w:r>
        <w:rPr>
          <w:rFonts w:hint="eastAsia" w:ascii="宋体" w:hAnsi="宋体" w:eastAsia="宋体" w:cs="Times New Roman"/>
          <w:sz w:val="24"/>
          <w:szCs w:val="21"/>
          <w:lang w:val="en-US" w:eastAsia="zh-CN" w:bidi="ar-SA"/>
        </w:rPr>
        <w:t>我方</w:t>
      </w:r>
      <w:r>
        <w:rPr>
          <w:rFonts w:hint="eastAsia" w:ascii="宋体" w:hAnsi="宋体" w:eastAsia="宋体" w:cs="Times New Roman"/>
          <w:sz w:val="24"/>
          <w:szCs w:val="21"/>
          <w:lang w:val="zh-CN" w:eastAsia="zh-CN" w:bidi="ar-SA"/>
        </w:rPr>
        <w:t>承诺提供后台开发工作量</w:t>
      </w:r>
      <w:r>
        <w:rPr>
          <w:rFonts w:hint="eastAsia" w:ascii="宋体" w:hAnsi="宋体" w:eastAsia="宋体" w:cs="Times New Roman"/>
          <w:sz w:val="24"/>
          <w:szCs w:val="21"/>
          <w:lang w:val="en-US" w:eastAsia="zh-CN" w:bidi="ar-SA"/>
        </w:rPr>
        <w:t>为</w:t>
      </w:r>
      <w:r>
        <w:rPr>
          <w:rFonts w:hint="eastAsia" w:ascii="宋体" w:hAnsi="宋体" w:eastAsia="宋体" w:cs="Times New Roman"/>
          <w:sz w:val="24"/>
          <w:szCs w:val="21"/>
          <w:u w:val="single"/>
          <w:lang w:val="en-US" w:eastAsia="zh-CN" w:bidi="ar-SA"/>
        </w:rPr>
        <w:t>30天</w:t>
      </w:r>
      <w:r>
        <w:rPr>
          <w:rFonts w:hint="eastAsia" w:ascii="宋体" w:hAnsi="宋体" w:eastAsia="宋体" w:cs="Times New Roman"/>
          <w:sz w:val="24"/>
          <w:szCs w:val="21"/>
          <w:lang w:val="en-US" w:eastAsia="zh-CN" w:bidi="ar-SA"/>
        </w:rPr>
        <w:t>的</w:t>
      </w:r>
      <w:r>
        <w:rPr>
          <w:rFonts w:hint="eastAsia" w:ascii="宋体" w:hAnsi="宋体" w:eastAsia="宋体" w:cs="Times New Roman"/>
          <w:sz w:val="24"/>
          <w:szCs w:val="21"/>
          <w:lang w:val="zh-CN" w:eastAsia="zh-CN" w:bidi="ar-SA"/>
        </w:rPr>
        <w:t>免费的增值服务；</w:t>
      </w:r>
    </w:p>
    <w:p w14:paraId="197773C0">
      <w:pPr>
        <w:pStyle w:val="20"/>
        <w:numPr>
          <w:ilvl w:val="0"/>
          <w:numId w:val="15"/>
        </w:numPr>
        <w:spacing w:line="360" w:lineRule="auto"/>
        <w:ind w:firstLine="420" w:firstLineChars="0"/>
        <w:jc w:val="left"/>
        <w:rPr>
          <w:rFonts w:hint="eastAsia"/>
          <w:lang w:val="zh-CN" w:eastAsia="zh-CN"/>
        </w:rPr>
      </w:pPr>
      <w:r>
        <w:rPr>
          <w:rFonts w:hint="eastAsia" w:ascii="宋体" w:hAnsi="宋体" w:eastAsia="宋体" w:cs="Times New Roman"/>
          <w:sz w:val="24"/>
          <w:szCs w:val="21"/>
          <w:lang w:val="en-US" w:eastAsia="zh-CN" w:bidi="ar-SA"/>
        </w:rPr>
        <w:t>我方在运维期间提供免费的</w:t>
      </w:r>
      <w:r>
        <w:rPr>
          <w:rFonts w:hint="eastAsia" w:ascii="宋体" w:hAnsi="宋体" w:eastAsia="宋体" w:cs="Times New Roman"/>
          <w:sz w:val="24"/>
          <w:szCs w:val="21"/>
          <w:u w:val="single"/>
          <w:lang w:val="en-US" w:eastAsia="zh-CN" w:bidi="ar-SA"/>
        </w:rPr>
        <w:t>1次/每月</w:t>
      </w:r>
      <w:r>
        <w:rPr>
          <w:rFonts w:hint="eastAsia" w:ascii="宋体" w:hAnsi="宋体" w:eastAsia="宋体" w:cs="Times New Roman"/>
          <w:sz w:val="24"/>
          <w:szCs w:val="21"/>
          <w:lang w:val="en-US" w:eastAsia="zh-CN" w:bidi="ar-SA"/>
        </w:rPr>
        <w:t>的</w:t>
      </w:r>
      <w:r>
        <w:rPr>
          <w:rFonts w:hint="eastAsia" w:ascii="宋体" w:hAnsi="宋体" w:eastAsia="宋体" w:cs="Times New Roman"/>
          <w:b/>
          <w:bCs/>
          <w:sz w:val="24"/>
          <w:szCs w:val="21"/>
          <w:lang w:val="en-US" w:eastAsia="zh-CN" w:bidi="ar-SA"/>
        </w:rPr>
        <w:t>现场</w:t>
      </w:r>
      <w:r>
        <w:rPr>
          <w:rFonts w:hint="eastAsia" w:ascii="宋体" w:hAnsi="宋体" w:eastAsia="宋体" w:cs="Times New Roman"/>
          <w:sz w:val="24"/>
          <w:szCs w:val="21"/>
          <w:lang w:val="en-US" w:eastAsia="zh-CN" w:bidi="ar-SA"/>
        </w:rPr>
        <w:t>巡检服务，3年共计</w:t>
      </w:r>
      <w:r>
        <w:rPr>
          <w:rFonts w:hint="eastAsia" w:ascii="宋体" w:hAnsi="宋体" w:eastAsia="宋体" w:cs="Times New Roman"/>
          <w:sz w:val="24"/>
          <w:szCs w:val="21"/>
          <w:u w:val="single"/>
          <w:lang w:val="en-US" w:eastAsia="zh-CN" w:bidi="ar-SA"/>
        </w:rPr>
        <w:t>36次</w:t>
      </w:r>
      <w:r>
        <w:rPr>
          <w:rFonts w:hint="eastAsia" w:ascii="宋体" w:hAnsi="宋体" w:eastAsia="宋体" w:cs="Times New Roman"/>
          <w:b/>
          <w:bCs/>
          <w:sz w:val="24"/>
          <w:szCs w:val="21"/>
          <w:lang w:val="en-US" w:eastAsia="zh-CN" w:bidi="ar-SA"/>
        </w:rPr>
        <w:t>现场</w:t>
      </w:r>
      <w:r>
        <w:rPr>
          <w:rFonts w:hint="eastAsia" w:ascii="宋体" w:hAnsi="宋体" w:eastAsia="宋体" w:cs="Times New Roman"/>
          <w:sz w:val="24"/>
          <w:szCs w:val="21"/>
          <w:lang w:val="en-US" w:eastAsia="zh-CN" w:bidi="ar-SA"/>
        </w:rPr>
        <w:t>巡检服务；</w:t>
      </w:r>
    </w:p>
    <w:p w14:paraId="05ED60AB">
      <w:pPr>
        <w:pStyle w:val="20"/>
        <w:numPr>
          <w:ilvl w:val="0"/>
          <w:numId w:val="15"/>
        </w:numPr>
        <w:spacing w:line="360" w:lineRule="auto"/>
        <w:ind w:firstLine="420" w:firstLineChars="0"/>
        <w:jc w:val="left"/>
        <w:rPr>
          <w:rFonts w:hint="eastAsia" w:ascii="宋体" w:hAnsi="宋体" w:eastAsia="宋体" w:cs="宋体"/>
          <w:bCs/>
          <w:sz w:val="24"/>
          <w:szCs w:val="24"/>
          <w:lang w:val="zh-CN" w:eastAsia="zh-CN"/>
        </w:rPr>
      </w:pPr>
      <w:r>
        <w:rPr>
          <w:rFonts w:hint="eastAsia" w:ascii="宋体" w:hAnsi="宋体" w:eastAsia="宋体" w:cs="宋体"/>
          <w:bCs/>
          <w:sz w:val="24"/>
          <w:szCs w:val="24"/>
          <w:lang w:val="en-US" w:eastAsia="zh-CN"/>
        </w:rPr>
        <w:t>在行业每年的重保护网期间，我方免费派遣技术工程师到客户现场配合用户保障系统的安全运行，每次护网保障预计持续</w:t>
      </w:r>
      <w:r>
        <w:rPr>
          <w:rFonts w:hint="eastAsia" w:ascii="宋体" w:hAnsi="宋体" w:eastAsia="宋体" w:cs="宋体"/>
          <w:bCs/>
          <w:sz w:val="24"/>
          <w:szCs w:val="24"/>
          <w:u w:val="single"/>
          <w:lang w:val="en-US" w:eastAsia="zh-CN"/>
        </w:rPr>
        <w:t>30天</w:t>
      </w:r>
      <w:r>
        <w:rPr>
          <w:rFonts w:hint="eastAsia" w:ascii="宋体" w:hAnsi="宋体" w:eastAsia="宋体" w:cs="宋体"/>
          <w:bCs/>
          <w:sz w:val="24"/>
          <w:szCs w:val="24"/>
          <w:lang w:val="en-US" w:eastAsia="zh-CN"/>
        </w:rPr>
        <w:t>，3年共计</w:t>
      </w:r>
      <w:r>
        <w:rPr>
          <w:rFonts w:hint="eastAsia" w:ascii="宋体" w:hAnsi="宋体" w:eastAsia="宋体" w:cs="宋体"/>
          <w:bCs/>
          <w:sz w:val="24"/>
          <w:szCs w:val="24"/>
          <w:u w:val="single"/>
          <w:lang w:val="en-US" w:eastAsia="zh-CN"/>
        </w:rPr>
        <w:t>90天</w:t>
      </w:r>
      <w:r>
        <w:rPr>
          <w:rFonts w:hint="eastAsia" w:ascii="宋体" w:hAnsi="宋体" w:eastAsia="宋体" w:cs="宋体"/>
          <w:bCs/>
          <w:sz w:val="24"/>
          <w:szCs w:val="24"/>
          <w:lang w:val="en-US" w:eastAsia="zh-CN"/>
        </w:rPr>
        <w:t>；</w:t>
      </w:r>
    </w:p>
    <w:p w14:paraId="3D359F0B">
      <w:pPr>
        <w:pStyle w:val="20"/>
        <w:numPr>
          <w:ilvl w:val="0"/>
          <w:numId w:val="15"/>
        </w:numPr>
        <w:spacing w:line="360" w:lineRule="auto"/>
        <w:ind w:firstLine="420" w:firstLineChars="0"/>
        <w:jc w:val="left"/>
        <w:rPr>
          <w:rFonts w:hint="eastAsia" w:ascii="宋体" w:hAnsi="宋体" w:eastAsia="宋体" w:cs="Times New Roman"/>
          <w:sz w:val="24"/>
          <w:szCs w:val="21"/>
          <w:lang w:val="zh-CN" w:eastAsia="zh-CN" w:bidi="ar-SA"/>
        </w:rPr>
      </w:pPr>
      <w:r>
        <w:rPr>
          <w:rFonts w:hint="eastAsia" w:ascii="宋体" w:hAnsi="宋体" w:eastAsia="宋体" w:cs="宋体"/>
          <w:bCs/>
          <w:sz w:val="24"/>
          <w:szCs w:val="24"/>
          <w:lang w:val="en-US" w:eastAsia="zh-CN"/>
        </w:rPr>
        <w:t>客户有现场运维服务需求时，我方及时派出相关运维人员到招标人现场完成相应工作；</w:t>
      </w:r>
    </w:p>
    <w:p w14:paraId="50872D01">
      <w:pPr>
        <w:numPr>
          <w:numId w:val="0"/>
        </w:numPr>
        <w:spacing w:line="360" w:lineRule="auto"/>
        <w:rPr>
          <w:rFonts w:hint="eastAsia" w:ascii="宋体" w:hAnsi="宋体" w:eastAsia="宋体" w:cs="宋体"/>
          <w:sz w:val="24"/>
          <w:szCs w:val="24"/>
          <w:lang w:val="en-US" w:eastAsia="zh-CN"/>
        </w:rPr>
      </w:pPr>
    </w:p>
    <w:p w14:paraId="28C91D96">
      <w:pPr>
        <w:ind w:firstLine="420" w:firstLineChars="0"/>
        <w:rPr>
          <w:rFonts w:hint="eastAsia" w:ascii="宋体" w:hAnsi="宋体" w:cs="宋体"/>
          <w:sz w:val="24"/>
          <w:u w:val="none"/>
          <w:lang w:val="zh-CN"/>
        </w:rPr>
      </w:pPr>
    </w:p>
    <w:p w14:paraId="59194DDB">
      <w:pPr>
        <w:spacing w:before="156" w:line="360" w:lineRule="auto"/>
        <w:ind w:firstLine="482"/>
        <w:rPr>
          <w:rFonts w:hint="eastAsia" w:cs="Arial"/>
        </w:rPr>
      </w:pPr>
    </w:p>
    <w:p w14:paraId="4BF280D7">
      <w:pPr>
        <w:numPr>
          <w:numId w:val="0"/>
        </w:numPr>
        <w:rPr>
          <w:rFonts w:hint="eastAsia" w:ascii="宋体" w:hAnsi="宋体" w:eastAsia="宋体" w:cs="宋体"/>
          <w:sz w:val="24"/>
          <w:szCs w:val="24"/>
          <w:lang w:val="en-US" w:eastAsia="zh-CN"/>
        </w:rPr>
      </w:pPr>
    </w:p>
    <w:p w14:paraId="3A1B7056">
      <w:pPr>
        <w:numPr>
          <w:numId w:val="0"/>
        </w:numPr>
        <w:ind w:firstLine="420" w:firstLineChars="0"/>
        <w:rPr>
          <w:rFonts w:hint="eastAsia" w:ascii="宋体" w:hAnsi="宋体" w:eastAsia="宋体" w:cs="宋体"/>
          <w:bCs/>
          <w:sz w:val="24"/>
          <w:szCs w:val="24"/>
          <w:lang w:val="en-US" w:eastAsia="zh-CN"/>
        </w:rPr>
      </w:pPr>
    </w:p>
    <w:sectPr>
      <w:headerReference r:id="rId5" w:type="default"/>
      <w:footerReference r:id="rId6" w:type="default"/>
      <w:pgSz w:w="11906" w:h="16838"/>
      <w:pgMar w:top="1440" w:right="1080" w:bottom="1440" w:left="1080" w:header="782" w:footer="737"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学生" w:date="2025-02-28T10:08:01Z" w:initials="">
    <w:p w14:paraId="4135FA76">
      <w:pPr>
        <w:pStyle w:val="17"/>
      </w:pPr>
      <w:r>
        <w:annotationRef/>
      </w:r>
    </w:p>
  </w:comment>
  <w:comment w:id="1" w:author="小学生" w:date="2025-02-28T09:50:53Z" w:initials="">
    <w:p w14:paraId="0CE650FE">
      <w:pPr>
        <w:pStyle w:val="17"/>
      </w:pPr>
      <w:r>
        <w:annotationRef/>
      </w:r>
    </w:p>
  </w:comment>
  <w:comment w:id="2" w:author="小学生" w:date="2025-02-28T09:50:45Z" w:initials="">
    <w:p w14:paraId="3878D91B">
      <w:pPr>
        <w:pStyle w:val="17"/>
      </w:pPr>
      <w:r>
        <w:annotationRef/>
      </w:r>
    </w:p>
  </w:comment>
  <w:comment w:id="3" w:author="小学生" w:date="2025-02-28T10:16:45Z" w:initials="">
    <w:p w14:paraId="2932226A">
      <w:pPr>
        <w:pStyle w:val="17"/>
      </w:pPr>
      <w:r>
        <w:annotationRef/>
      </w:r>
    </w:p>
  </w:comment>
  <w:comment w:id="4" w:author="小学生" w:date="2025-02-28T10:03:41Z" w:initials="">
    <w:p w14:paraId="31472BBE">
      <w:pPr>
        <w:pStyle w:val="17"/>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35FA76" w15:done="0"/>
  <w15:commentEx w15:paraId="0CE650FE" w15:done="0"/>
  <w15:commentEx w15:paraId="3878D91B" w15:done="0"/>
  <w15:commentEx w15:paraId="2932226A" w15:done="0"/>
  <w15:commentEx w15:paraId="31472B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G Times (WN)">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昆仑仿宋">
    <w:altName w:val="仿宋"/>
    <w:panose1 w:val="00000000000000000000"/>
    <w:charset w:val="86"/>
    <w:family w:val="modern"/>
    <w:pitch w:val="default"/>
    <w:sig w:usb0="00000000" w:usb1="00000000" w:usb2="00000010" w:usb3="00000000" w:csb0="00040000" w:csb1="00000000"/>
  </w:font>
  <w:font w:name="Albertus Extra Bold">
    <w:altName w:val="微软雅黑"/>
    <w:panose1 w:val="00000000000000000000"/>
    <w:charset w:val="00"/>
    <w:family w:val="swiss"/>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2792A">
    <w:pPr>
      <w:pStyle w:val="30"/>
      <w:ind w:firstLine="6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FCB85">
                          <w:pPr>
                            <w:pStyle w:val="3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6EFCB85">
                    <w:pPr>
                      <w:pStyle w:val="3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981C">
    <w:pPr>
      <w:pStyle w:val="3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543BC"/>
    <w:multiLevelType w:val="singleLevel"/>
    <w:tmpl w:val="833543BC"/>
    <w:lvl w:ilvl="0" w:tentative="0">
      <w:start w:val="1"/>
      <w:numFmt w:val="chineseCounting"/>
      <w:suff w:val="nothing"/>
      <w:lvlText w:val="%1、"/>
      <w:lvlJc w:val="left"/>
      <w:rPr>
        <w:rFonts w:hint="eastAsia"/>
      </w:rPr>
    </w:lvl>
  </w:abstractNum>
  <w:abstractNum w:abstractNumId="1">
    <w:nsid w:val="83F7D736"/>
    <w:multiLevelType w:val="singleLevel"/>
    <w:tmpl w:val="83F7D736"/>
    <w:lvl w:ilvl="0" w:tentative="0">
      <w:start w:val="1"/>
      <w:numFmt w:val="bullet"/>
      <w:lvlText w:val=""/>
      <w:lvlJc w:val="left"/>
      <w:pPr>
        <w:ind w:left="420" w:hanging="420"/>
      </w:pPr>
      <w:rPr>
        <w:rFonts w:hint="default" w:ascii="Wingdings" w:hAnsi="Wingdings"/>
      </w:rPr>
    </w:lvl>
  </w:abstractNum>
  <w:abstractNum w:abstractNumId="2">
    <w:nsid w:val="A536D42C"/>
    <w:multiLevelType w:val="singleLevel"/>
    <w:tmpl w:val="A536D42C"/>
    <w:lvl w:ilvl="0" w:tentative="0">
      <w:start w:val="1"/>
      <w:numFmt w:val="decimal"/>
      <w:suff w:val="nothing"/>
      <w:lvlText w:val="%1、"/>
      <w:lvlJc w:val="left"/>
    </w:lvl>
  </w:abstractNum>
  <w:abstractNum w:abstractNumId="3">
    <w:nsid w:val="D76DEB3E"/>
    <w:multiLevelType w:val="singleLevel"/>
    <w:tmpl w:val="D76DEB3E"/>
    <w:lvl w:ilvl="0" w:tentative="0">
      <w:start w:val="1"/>
      <w:numFmt w:val="chineseCounting"/>
      <w:suff w:val="nothing"/>
      <w:lvlText w:val="（%1）"/>
      <w:lvlJc w:val="left"/>
      <w:pPr>
        <w:ind w:left="0" w:firstLine="420"/>
      </w:pPr>
      <w:rPr>
        <w:rFonts w:hint="eastAsia"/>
      </w:rPr>
    </w:lvl>
  </w:abstractNum>
  <w:abstractNum w:abstractNumId="4">
    <w:nsid w:val="DD1CEFFF"/>
    <w:multiLevelType w:val="singleLevel"/>
    <w:tmpl w:val="DD1CEFFF"/>
    <w:lvl w:ilvl="0" w:tentative="0">
      <w:start w:val="1"/>
      <w:numFmt w:val="bullet"/>
      <w:lvlText w:val=""/>
      <w:lvlJc w:val="left"/>
      <w:pPr>
        <w:ind w:left="420" w:hanging="420"/>
      </w:pPr>
      <w:rPr>
        <w:rFonts w:hint="default" w:ascii="Wingdings" w:hAnsi="Wingdings"/>
      </w:rPr>
    </w:lvl>
  </w:abstractNum>
  <w:abstractNum w:abstractNumId="5">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6">
    <w:nsid w:val="0EAC131A"/>
    <w:multiLevelType w:val="multilevel"/>
    <w:tmpl w:val="0EAC131A"/>
    <w:lvl w:ilvl="0" w:tentative="0">
      <w:start w:val="1"/>
      <w:numFmt w:val="decimal"/>
      <w:pStyle w:val="214"/>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27D669A3"/>
    <w:multiLevelType w:val="multilevel"/>
    <w:tmpl w:val="27D669A3"/>
    <w:lvl w:ilvl="0" w:tentative="0">
      <w:start w:val="1"/>
      <w:numFmt w:val="bullet"/>
      <w:suff w:val="nothing"/>
      <w:lvlText w:val="√"/>
      <w:lvlJc w:val="left"/>
      <w:pPr>
        <w:ind w:left="0" w:firstLine="420"/>
      </w:pPr>
      <w:rPr>
        <w:rFonts w:hint="eastAsia" w:ascii="宋体" w:hAnsi="宋体" w:eastAsia="宋体"/>
        <w:kern w:val="2"/>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345C1DF8"/>
    <w:multiLevelType w:val="singleLevel"/>
    <w:tmpl w:val="345C1DF8"/>
    <w:lvl w:ilvl="0" w:tentative="0">
      <w:start w:val="1"/>
      <w:numFmt w:val="decimal"/>
      <w:lvlText w:val="(%1)"/>
      <w:lvlJc w:val="left"/>
      <w:pPr>
        <w:ind w:left="425" w:hanging="425"/>
      </w:pPr>
      <w:rPr>
        <w:rFonts w:hint="default"/>
      </w:rPr>
    </w:lvl>
  </w:abstractNum>
  <w:abstractNum w:abstractNumId="9">
    <w:nsid w:val="397449C4"/>
    <w:multiLevelType w:val="multilevel"/>
    <w:tmpl w:val="397449C4"/>
    <w:lvl w:ilvl="0" w:tentative="0">
      <w:start w:val="10"/>
      <w:numFmt w:val="japaneseCounting"/>
      <w:lvlText w:val="第%1条、"/>
      <w:lvlJc w:val="left"/>
      <w:pPr>
        <w:ind w:left="1562" w:hanging="108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4AF31D51"/>
    <w:multiLevelType w:val="multilevel"/>
    <w:tmpl w:val="4AF31D51"/>
    <w:lvl w:ilvl="0" w:tentative="0">
      <w:start w:val="1"/>
      <w:numFmt w:val="bullet"/>
      <w:pStyle w:val="103"/>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5EC97F79"/>
    <w:multiLevelType w:val="singleLevel"/>
    <w:tmpl w:val="5EC97F79"/>
    <w:lvl w:ilvl="0" w:tentative="0">
      <w:start w:val="1"/>
      <w:numFmt w:val="bullet"/>
      <w:pStyle w:val="181"/>
      <w:lvlText w:val=""/>
      <w:lvlJc w:val="left"/>
      <w:pPr>
        <w:tabs>
          <w:tab w:val="left" w:pos="780"/>
        </w:tabs>
        <w:ind w:left="737" w:hanging="317"/>
      </w:pPr>
      <w:rPr>
        <w:rFonts w:hint="default" w:ascii="Wingdings" w:hAnsi="Wingdings"/>
        <w:b w:val="0"/>
        <w:i w:val="0"/>
        <w:kern w:val="24"/>
        <w:sz w:val="24"/>
      </w:rPr>
    </w:lvl>
  </w:abstractNum>
  <w:abstractNum w:abstractNumId="12">
    <w:nsid w:val="646260FA"/>
    <w:multiLevelType w:val="multilevel"/>
    <w:tmpl w:val="646260FA"/>
    <w:lvl w:ilvl="0" w:tentative="0">
      <w:start w:val="1"/>
      <w:numFmt w:val="decimal"/>
      <w:pStyle w:val="25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51105C5"/>
    <w:multiLevelType w:val="singleLevel"/>
    <w:tmpl w:val="651105C5"/>
    <w:lvl w:ilvl="0" w:tentative="0">
      <w:start w:val="1"/>
      <w:numFmt w:val="japaneseCounting"/>
      <w:pStyle w:val="124"/>
      <w:lvlText w:val="第%1节"/>
      <w:lvlJc w:val="left"/>
      <w:pPr>
        <w:tabs>
          <w:tab w:val="left" w:pos="1410"/>
        </w:tabs>
        <w:ind w:left="1410" w:hanging="1410"/>
      </w:pPr>
      <w:rPr>
        <w:rFonts w:hint="eastAsia"/>
      </w:rPr>
    </w:lvl>
  </w:abstractNum>
  <w:abstractNum w:abstractNumId="14">
    <w:nsid w:val="6B5B8E07"/>
    <w:multiLevelType w:val="singleLevel"/>
    <w:tmpl w:val="6B5B8E07"/>
    <w:lvl w:ilvl="0" w:tentative="0">
      <w:start w:val="1"/>
      <w:numFmt w:val="decimal"/>
      <w:lvlText w:val="(%1)"/>
      <w:lvlJc w:val="left"/>
      <w:pPr>
        <w:tabs>
          <w:tab w:val="left" w:pos="420"/>
        </w:tabs>
        <w:ind w:left="845" w:hanging="425"/>
      </w:pPr>
      <w:rPr>
        <w:rFonts w:hint="default"/>
      </w:rPr>
    </w:lvl>
  </w:abstractNum>
  <w:num w:numId="1">
    <w:abstractNumId w:val="5"/>
  </w:num>
  <w:num w:numId="2">
    <w:abstractNumId w:val="10"/>
  </w:num>
  <w:num w:numId="3">
    <w:abstractNumId w:val="13"/>
  </w:num>
  <w:num w:numId="4">
    <w:abstractNumId w:val="11"/>
  </w:num>
  <w:num w:numId="5">
    <w:abstractNumId w:val="6"/>
  </w:num>
  <w:num w:numId="6">
    <w:abstractNumId w:val="12"/>
  </w:num>
  <w:num w:numId="7">
    <w:abstractNumId w:val="9"/>
  </w:num>
  <w:num w:numId="8">
    <w:abstractNumId w:val="0"/>
  </w:num>
  <w:num w:numId="9">
    <w:abstractNumId w:val="3"/>
  </w:num>
  <w:num w:numId="10">
    <w:abstractNumId w:val="4"/>
  </w:num>
  <w:num w:numId="11">
    <w:abstractNumId w:val="14"/>
  </w:num>
  <w:num w:numId="12">
    <w:abstractNumId w:val="1"/>
  </w:num>
  <w:num w:numId="13">
    <w:abstractNumId w:val="7"/>
  </w:num>
  <w:num w:numId="14">
    <w:abstractNumId w:val="8"/>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学生">
    <w15:presenceInfo w15:providerId="WPS Office" w15:userId="12028974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MGRiZjU0MTgyNDNmYmY0ZmU5MzFhMzY2NTI1ZmMifQ=="/>
  </w:docVars>
  <w:rsids>
    <w:rsidRoot w:val="00281943"/>
    <w:rsid w:val="00006489"/>
    <w:rsid w:val="00010A79"/>
    <w:rsid w:val="00024BA6"/>
    <w:rsid w:val="000253E3"/>
    <w:rsid w:val="00037EA9"/>
    <w:rsid w:val="00060EA8"/>
    <w:rsid w:val="00063519"/>
    <w:rsid w:val="000849F9"/>
    <w:rsid w:val="00097910"/>
    <w:rsid w:val="000A011B"/>
    <w:rsid w:val="000E0369"/>
    <w:rsid w:val="000E0708"/>
    <w:rsid w:val="000E2FD9"/>
    <w:rsid w:val="000F39C5"/>
    <w:rsid w:val="0010708B"/>
    <w:rsid w:val="00131EEF"/>
    <w:rsid w:val="0013576C"/>
    <w:rsid w:val="00141EC3"/>
    <w:rsid w:val="0014700C"/>
    <w:rsid w:val="00160DC1"/>
    <w:rsid w:val="00162FE8"/>
    <w:rsid w:val="00163291"/>
    <w:rsid w:val="001653CA"/>
    <w:rsid w:val="001702B3"/>
    <w:rsid w:val="001859FB"/>
    <w:rsid w:val="00191E13"/>
    <w:rsid w:val="001A0507"/>
    <w:rsid w:val="001B7FA1"/>
    <w:rsid w:val="001D785A"/>
    <w:rsid w:val="00204811"/>
    <w:rsid w:val="00204DED"/>
    <w:rsid w:val="00205A21"/>
    <w:rsid w:val="002425BE"/>
    <w:rsid w:val="00281943"/>
    <w:rsid w:val="00285DEF"/>
    <w:rsid w:val="00292F61"/>
    <w:rsid w:val="00293A3A"/>
    <w:rsid w:val="002A07E8"/>
    <w:rsid w:val="002A443B"/>
    <w:rsid w:val="002A6898"/>
    <w:rsid w:val="002B4E79"/>
    <w:rsid w:val="002C0908"/>
    <w:rsid w:val="002D48F2"/>
    <w:rsid w:val="002F15F1"/>
    <w:rsid w:val="002F3AB9"/>
    <w:rsid w:val="0030010A"/>
    <w:rsid w:val="00311844"/>
    <w:rsid w:val="00312896"/>
    <w:rsid w:val="00336AFB"/>
    <w:rsid w:val="003539E4"/>
    <w:rsid w:val="003569EA"/>
    <w:rsid w:val="00363745"/>
    <w:rsid w:val="003767F8"/>
    <w:rsid w:val="00380219"/>
    <w:rsid w:val="003808E6"/>
    <w:rsid w:val="003A55AD"/>
    <w:rsid w:val="003A6547"/>
    <w:rsid w:val="003B370B"/>
    <w:rsid w:val="003C1B6C"/>
    <w:rsid w:val="003C3E74"/>
    <w:rsid w:val="003D1BED"/>
    <w:rsid w:val="003D2EF7"/>
    <w:rsid w:val="003D3CBD"/>
    <w:rsid w:val="003D519F"/>
    <w:rsid w:val="003F0D64"/>
    <w:rsid w:val="00402974"/>
    <w:rsid w:val="00404239"/>
    <w:rsid w:val="00405607"/>
    <w:rsid w:val="004435ED"/>
    <w:rsid w:val="00480AD0"/>
    <w:rsid w:val="004823F1"/>
    <w:rsid w:val="0049314B"/>
    <w:rsid w:val="00494BA4"/>
    <w:rsid w:val="004A149C"/>
    <w:rsid w:val="004C29A9"/>
    <w:rsid w:val="004C5968"/>
    <w:rsid w:val="004E02B0"/>
    <w:rsid w:val="004F6FB9"/>
    <w:rsid w:val="00501EDE"/>
    <w:rsid w:val="0052513A"/>
    <w:rsid w:val="00562461"/>
    <w:rsid w:val="00570529"/>
    <w:rsid w:val="00577F2E"/>
    <w:rsid w:val="005810C3"/>
    <w:rsid w:val="005828A9"/>
    <w:rsid w:val="00596160"/>
    <w:rsid w:val="005B5980"/>
    <w:rsid w:val="005D1AAD"/>
    <w:rsid w:val="005D1B61"/>
    <w:rsid w:val="005E3EC0"/>
    <w:rsid w:val="005E4D9A"/>
    <w:rsid w:val="005E635A"/>
    <w:rsid w:val="006034C6"/>
    <w:rsid w:val="0063792A"/>
    <w:rsid w:val="00685254"/>
    <w:rsid w:val="00690634"/>
    <w:rsid w:val="006929B0"/>
    <w:rsid w:val="006C2748"/>
    <w:rsid w:val="006D533F"/>
    <w:rsid w:val="006D55C5"/>
    <w:rsid w:val="006E4D4B"/>
    <w:rsid w:val="006F248A"/>
    <w:rsid w:val="006F7AB1"/>
    <w:rsid w:val="00704660"/>
    <w:rsid w:val="0072538B"/>
    <w:rsid w:val="00734E94"/>
    <w:rsid w:val="007451F2"/>
    <w:rsid w:val="00745C25"/>
    <w:rsid w:val="0074659D"/>
    <w:rsid w:val="007801FA"/>
    <w:rsid w:val="007846FB"/>
    <w:rsid w:val="0079216C"/>
    <w:rsid w:val="00792917"/>
    <w:rsid w:val="007A1A56"/>
    <w:rsid w:val="007B1659"/>
    <w:rsid w:val="007B633F"/>
    <w:rsid w:val="007C0252"/>
    <w:rsid w:val="007C15C8"/>
    <w:rsid w:val="007C75AB"/>
    <w:rsid w:val="007D412A"/>
    <w:rsid w:val="007D4839"/>
    <w:rsid w:val="007F20D1"/>
    <w:rsid w:val="007F4E52"/>
    <w:rsid w:val="008056F5"/>
    <w:rsid w:val="00805EBC"/>
    <w:rsid w:val="00816D81"/>
    <w:rsid w:val="0082495E"/>
    <w:rsid w:val="008435B8"/>
    <w:rsid w:val="008502C0"/>
    <w:rsid w:val="00863B4F"/>
    <w:rsid w:val="00872F7E"/>
    <w:rsid w:val="00873D55"/>
    <w:rsid w:val="008764B4"/>
    <w:rsid w:val="0088225E"/>
    <w:rsid w:val="008833D9"/>
    <w:rsid w:val="00894181"/>
    <w:rsid w:val="008A7684"/>
    <w:rsid w:val="008B3DA1"/>
    <w:rsid w:val="008C35DB"/>
    <w:rsid w:val="008F001C"/>
    <w:rsid w:val="009135C3"/>
    <w:rsid w:val="00934BB4"/>
    <w:rsid w:val="00935A1E"/>
    <w:rsid w:val="00940462"/>
    <w:rsid w:val="009420E6"/>
    <w:rsid w:val="00980E16"/>
    <w:rsid w:val="009F22EE"/>
    <w:rsid w:val="009F35E9"/>
    <w:rsid w:val="009F3F44"/>
    <w:rsid w:val="00A03643"/>
    <w:rsid w:val="00A06F48"/>
    <w:rsid w:val="00A21096"/>
    <w:rsid w:val="00A25ECB"/>
    <w:rsid w:val="00A32C26"/>
    <w:rsid w:val="00A32F3A"/>
    <w:rsid w:val="00A346EC"/>
    <w:rsid w:val="00A36FC9"/>
    <w:rsid w:val="00A41768"/>
    <w:rsid w:val="00A447B6"/>
    <w:rsid w:val="00A6182F"/>
    <w:rsid w:val="00A75DF9"/>
    <w:rsid w:val="00A77A83"/>
    <w:rsid w:val="00A82472"/>
    <w:rsid w:val="00A82C81"/>
    <w:rsid w:val="00A8593C"/>
    <w:rsid w:val="00A96C11"/>
    <w:rsid w:val="00AB4B6F"/>
    <w:rsid w:val="00AD5414"/>
    <w:rsid w:val="00AE2990"/>
    <w:rsid w:val="00B0066E"/>
    <w:rsid w:val="00B102F3"/>
    <w:rsid w:val="00B24CF8"/>
    <w:rsid w:val="00B3294D"/>
    <w:rsid w:val="00B33C0F"/>
    <w:rsid w:val="00B6110C"/>
    <w:rsid w:val="00B86DFA"/>
    <w:rsid w:val="00BA0ABC"/>
    <w:rsid w:val="00BB4E3E"/>
    <w:rsid w:val="00BB7346"/>
    <w:rsid w:val="00BC102F"/>
    <w:rsid w:val="00BC6511"/>
    <w:rsid w:val="00C13B75"/>
    <w:rsid w:val="00C32519"/>
    <w:rsid w:val="00C327B0"/>
    <w:rsid w:val="00C46998"/>
    <w:rsid w:val="00C47383"/>
    <w:rsid w:val="00C51591"/>
    <w:rsid w:val="00C554B8"/>
    <w:rsid w:val="00C559D0"/>
    <w:rsid w:val="00C83E8F"/>
    <w:rsid w:val="00C872FF"/>
    <w:rsid w:val="00CA7485"/>
    <w:rsid w:val="00CB4A05"/>
    <w:rsid w:val="00CC23E7"/>
    <w:rsid w:val="00CE1BB1"/>
    <w:rsid w:val="00CE7C08"/>
    <w:rsid w:val="00CF1E2E"/>
    <w:rsid w:val="00D014F5"/>
    <w:rsid w:val="00D1407A"/>
    <w:rsid w:val="00D359FE"/>
    <w:rsid w:val="00D56E7E"/>
    <w:rsid w:val="00D8704C"/>
    <w:rsid w:val="00D9372E"/>
    <w:rsid w:val="00DA510B"/>
    <w:rsid w:val="00DA7D6B"/>
    <w:rsid w:val="00DB66F5"/>
    <w:rsid w:val="00DC3BA0"/>
    <w:rsid w:val="00DC4E60"/>
    <w:rsid w:val="00DC57D8"/>
    <w:rsid w:val="00DE01E2"/>
    <w:rsid w:val="00DE6330"/>
    <w:rsid w:val="00DF59FF"/>
    <w:rsid w:val="00DF7CB5"/>
    <w:rsid w:val="00E17376"/>
    <w:rsid w:val="00E25146"/>
    <w:rsid w:val="00E251DD"/>
    <w:rsid w:val="00E253F0"/>
    <w:rsid w:val="00E40D16"/>
    <w:rsid w:val="00E45E41"/>
    <w:rsid w:val="00E46732"/>
    <w:rsid w:val="00E509D7"/>
    <w:rsid w:val="00E54D21"/>
    <w:rsid w:val="00E60184"/>
    <w:rsid w:val="00E658B3"/>
    <w:rsid w:val="00E80164"/>
    <w:rsid w:val="00EA271D"/>
    <w:rsid w:val="00EA2CE5"/>
    <w:rsid w:val="00EB1A05"/>
    <w:rsid w:val="00ED1990"/>
    <w:rsid w:val="00ED639F"/>
    <w:rsid w:val="00EF1DA4"/>
    <w:rsid w:val="00EF2AED"/>
    <w:rsid w:val="00EF36E1"/>
    <w:rsid w:val="00F1347E"/>
    <w:rsid w:val="00F23B58"/>
    <w:rsid w:val="00F34CD5"/>
    <w:rsid w:val="00F37152"/>
    <w:rsid w:val="00F42050"/>
    <w:rsid w:val="00F47554"/>
    <w:rsid w:val="00F75A68"/>
    <w:rsid w:val="00F9232B"/>
    <w:rsid w:val="00FA1CD7"/>
    <w:rsid w:val="00FC397B"/>
    <w:rsid w:val="00FC46B6"/>
    <w:rsid w:val="00FC5809"/>
    <w:rsid w:val="00FC65FD"/>
    <w:rsid w:val="00FF08F6"/>
    <w:rsid w:val="00FF19A8"/>
    <w:rsid w:val="02072A78"/>
    <w:rsid w:val="023A530D"/>
    <w:rsid w:val="02557745"/>
    <w:rsid w:val="030D2310"/>
    <w:rsid w:val="0313544C"/>
    <w:rsid w:val="035A4BE7"/>
    <w:rsid w:val="036835D2"/>
    <w:rsid w:val="036B53D0"/>
    <w:rsid w:val="039A36A3"/>
    <w:rsid w:val="044F1FEB"/>
    <w:rsid w:val="048E7480"/>
    <w:rsid w:val="04B26F5A"/>
    <w:rsid w:val="04DE7BED"/>
    <w:rsid w:val="059B1E55"/>
    <w:rsid w:val="05A56FD8"/>
    <w:rsid w:val="05CA098C"/>
    <w:rsid w:val="05CE460D"/>
    <w:rsid w:val="05F962AE"/>
    <w:rsid w:val="05FC0C39"/>
    <w:rsid w:val="06052CB4"/>
    <w:rsid w:val="0635371B"/>
    <w:rsid w:val="06F64ACD"/>
    <w:rsid w:val="06FA0DFD"/>
    <w:rsid w:val="06FC45FC"/>
    <w:rsid w:val="07EA7E8B"/>
    <w:rsid w:val="084F54BD"/>
    <w:rsid w:val="087566B7"/>
    <w:rsid w:val="08BC7D15"/>
    <w:rsid w:val="0946657C"/>
    <w:rsid w:val="09815806"/>
    <w:rsid w:val="0A650C83"/>
    <w:rsid w:val="0ADE3D74"/>
    <w:rsid w:val="0AE75D5D"/>
    <w:rsid w:val="0B3C6E94"/>
    <w:rsid w:val="0B4A13AC"/>
    <w:rsid w:val="0B8211E4"/>
    <w:rsid w:val="0C573DB9"/>
    <w:rsid w:val="0C590D62"/>
    <w:rsid w:val="0C5C5076"/>
    <w:rsid w:val="0D5A43A4"/>
    <w:rsid w:val="0DB25F8E"/>
    <w:rsid w:val="0DE907B1"/>
    <w:rsid w:val="0E1924B1"/>
    <w:rsid w:val="0E5A1D09"/>
    <w:rsid w:val="0E607CD3"/>
    <w:rsid w:val="0EF35CBF"/>
    <w:rsid w:val="0F41340E"/>
    <w:rsid w:val="0F47392F"/>
    <w:rsid w:val="0F533B1E"/>
    <w:rsid w:val="0FA91612"/>
    <w:rsid w:val="0FBB21FE"/>
    <w:rsid w:val="0FC34141"/>
    <w:rsid w:val="0FFC2079"/>
    <w:rsid w:val="10405AC8"/>
    <w:rsid w:val="1054157E"/>
    <w:rsid w:val="105F7F23"/>
    <w:rsid w:val="107F155C"/>
    <w:rsid w:val="10DB2699"/>
    <w:rsid w:val="110B24AF"/>
    <w:rsid w:val="11706C95"/>
    <w:rsid w:val="11FA4730"/>
    <w:rsid w:val="135123CD"/>
    <w:rsid w:val="13680B50"/>
    <w:rsid w:val="145B1459"/>
    <w:rsid w:val="1571672E"/>
    <w:rsid w:val="160F76C1"/>
    <w:rsid w:val="16995E0F"/>
    <w:rsid w:val="16B85697"/>
    <w:rsid w:val="16D83048"/>
    <w:rsid w:val="16DB68D0"/>
    <w:rsid w:val="16E7674F"/>
    <w:rsid w:val="171C6B6E"/>
    <w:rsid w:val="17A64281"/>
    <w:rsid w:val="17B617BC"/>
    <w:rsid w:val="18125391"/>
    <w:rsid w:val="18A31822"/>
    <w:rsid w:val="18B20678"/>
    <w:rsid w:val="19406B43"/>
    <w:rsid w:val="19455539"/>
    <w:rsid w:val="194A2508"/>
    <w:rsid w:val="194F22EB"/>
    <w:rsid w:val="196406DC"/>
    <w:rsid w:val="19720CC7"/>
    <w:rsid w:val="19A406B7"/>
    <w:rsid w:val="19B42733"/>
    <w:rsid w:val="1A1074A4"/>
    <w:rsid w:val="1AA03225"/>
    <w:rsid w:val="1B3426D8"/>
    <w:rsid w:val="1B5B2DD8"/>
    <w:rsid w:val="1BBE7254"/>
    <w:rsid w:val="1C6A0CD6"/>
    <w:rsid w:val="1CCA5A62"/>
    <w:rsid w:val="1CEE06CB"/>
    <w:rsid w:val="1D0A0FEB"/>
    <w:rsid w:val="1D772D50"/>
    <w:rsid w:val="1D7D4988"/>
    <w:rsid w:val="1D877B61"/>
    <w:rsid w:val="1DD224A0"/>
    <w:rsid w:val="1DD30419"/>
    <w:rsid w:val="1DE8735E"/>
    <w:rsid w:val="1E8170BF"/>
    <w:rsid w:val="1F330EF8"/>
    <w:rsid w:val="1F3B418A"/>
    <w:rsid w:val="1F5060C7"/>
    <w:rsid w:val="1F753297"/>
    <w:rsid w:val="1FB26F4B"/>
    <w:rsid w:val="2020147D"/>
    <w:rsid w:val="21026DD4"/>
    <w:rsid w:val="217F3822"/>
    <w:rsid w:val="21A848CF"/>
    <w:rsid w:val="220B1CB9"/>
    <w:rsid w:val="223C1F9C"/>
    <w:rsid w:val="22684A24"/>
    <w:rsid w:val="22F548CA"/>
    <w:rsid w:val="22FE72C5"/>
    <w:rsid w:val="23522A29"/>
    <w:rsid w:val="23C2207B"/>
    <w:rsid w:val="240F3AEC"/>
    <w:rsid w:val="24E4339F"/>
    <w:rsid w:val="24F353B2"/>
    <w:rsid w:val="25742373"/>
    <w:rsid w:val="25966EE1"/>
    <w:rsid w:val="25F3318F"/>
    <w:rsid w:val="262A0854"/>
    <w:rsid w:val="26393298"/>
    <w:rsid w:val="264F0E19"/>
    <w:rsid w:val="26B5545E"/>
    <w:rsid w:val="2742010D"/>
    <w:rsid w:val="2751016E"/>
    <w:rsid w:val="276B7040"/>
    <w:rsid w:val="27A42993"/>
    <w:rsid w:val="282326DD"/>
    <w:rsid w:val="28897525"/>
    <w:rsid w:val="28913491"/>
    <w:rsid w:val="28CD6E8D"/>
    <w:rsid w:val="29097024"/>
    <w:rsid w:val="292B4CED"/>
    <w:rsid w:val="29934A6D"/>
    <w:rsid w:val="2A110088"/>
    <w:rsid w:val="2A187669"/>
    <w:rsid w:val="2AB96538"/>
    <w:rsid w:val="2B022A53"/>
    <w:rsid w:val="2B0D4CF3"/>
    <w:rsid w:val="2B5B3C72"/>
    <w:rsid w:val="2B7A2511"/>
    <w:rsid w:val="2B886128"/>
    <w:rsid w:val="2B9D683D"/>
    <w:rsid w:val="2C6066FE"/>
    <w:rsid w:val="2CCC137D"/>
    <w:rsid w:val="2DBB12F3"/>
    <w:rsid w:val="2DD556EA"/>
    <w:rsid w:val="2E0E500A"/>
    <w:rsid w:val="2F2B2AF9"/>
    <w:rsid w:val="2F3F0A3B"/>
    <w:rsid w:val="2F523E34"/>
    <w:rsid w:val="2F853392"/>
    <w:rsid w:val="30896BCA"/>
    <w:rsid w:val="31553C02"/>
    <w:rsid w:val="31E83DC4"/>
    <w:rsid w:val="332E5807"/>
    <w:rsid w:val="335A5FF4"/>
    <w:rsid w:val="33AF1889"/>
    <w:rsid w:val="33F60F96"/>
    <w:rsid w:val="34806536"/>
    <w:rsid w:val="34845139"/>
    <w:rsid w:val="34A17A33"/>
    <w:rsid w:val="34A46DF0"/>
    <w:rsid w:val="34C2696A"/>
    <w:rsid w:val="34E20222"/>
    <w:rsid w:val="35C54AD7"/>
    <w:rsid w:val="35CE771B"/>
    <w:rsid w:val="360F3882"/>
    <w:rsid w:val="36FB2060"/>
    <w:rsid w:val="37343B7A"/>
    <w:rsid w:val="376C4B50"/>
    <w:rsid w:val="37D73BD3"/>
    <w:rsid w:val="37E34E12"/>
    <w:rsid w:val="38102A24"/>
    <w:rsid w:val="38A472FD"/>
    <w:rsid w:val="38C9080F"/>
    <w:rsid w:val="39110A5B"/>
    <w:rsid w:val="39551F5F"/>
    <w:rsid w:val="39693679"/>
    <w:rsid w:val="3A3278B9"/>
    <w:rsid w:val="3B324532"/>
    <w:rsid w:val="3B3B31B7"/>
    <w:rsid w:val="3B42376F"/>
    <w:rsid w:val="3B475AA7"/>
    <w:rsid w:val="3B5B332E"/>
    <w:rsid w:val="3BC01FB5"/>
    <w:rsid w:val="3BE12D77"/>
    <w:rsid w:val="3C0C6DC1"/>
    <w:rsid w:val="3C131A3E"/>
    <w:rsid w:val="3C2017A9"/>
    <w:rsid w:val="3C386B98"/>
    <w:rsid w:val="3CA57348"/>
    <w:rsid w:val="3CB120DF"/>
    <w:rsid w:val="3CCD7F97"/>
    <w:rsid w:val="3E3222A9"/>
    <w:rsid w:val="3E57733A"/>
    <w:rsid w:val="3EB02E34"/>
    <w:rsid w:val="3F003B38"/>
    <w:rsid w:val="3F8E62CF"/>
    <w:rsid w:val="3FAF7CCF"/>
    <w:rsid w:val="3FF669CC"/>
    <w:rsid w:val="400B5B3E"/>
    <w:rsid w:val="409A6309"/>
    <w:rsid w:val="40A00B7B"/>
    <w:rsid w:val="40A2447D"/>
    <w:rsid w:val="41265D6F"/>
    <w:rsid w:val="42674891"/>
    <w:rsid w:val="42EC593C"/>
    <w:rsid w:val="437E6337"/>
    <w:rsid w:val="43EF3DF9"/>
    <w:rsid w:val="44781760"/>
    <w:rsid w:val="449753BF"/>
    <w:rsid w:val="44A2096B"/>
    <w:rsid w:val="451169D8"/>
    <w:rsid w:val="454268FE"/>
    <w:rsid w:val="455E640A"/>
    <w:rsid w:val="45B83E36"/>
    <w:rsid w:val="468679DC"/>
    <w:rsid w:val="46B141C7"/>
    <w:rsid w:val="46D71FE6"/>
    <w:rsid w:val="46EF2CA4"/>
    <w:rsid w:val="47027E38"/>
    <w:rsid w:val="475572AE"/>
    <w:rsid w:val="480A3792"/>
    <w:rsid w:val="482C45B3"/>
    <w:rsid w:val="48FE2937"/>
    <w:rsid w:val="49891591"/>
    <w:rsid w:val="49CB3958"/>
    <w:rsid w:val="4A3C2E56"/>
    <w:rsid w:val="4AA30431"/>
    <w:rsid w:val="4AA83FBD"/>
    <w:rsid w:val="4AC94B13"/>
    <w:rsid w:val="4AE23A24"/>
    <w:rsid w:val="4AE27B4B"/>
    <w:rsid w:val="4AE9678B"/>
    <w:rsid w:val="4AF07948"/>
    <w:rsid w:val="4B6572BD"/>
    <w:rsid w:val="4C186EF3"/>
    <w:rsid w:val="4C714802"/>
    <w:rsid w:val="4D8C33FE"/>
    <w:rsid w:val="4D8E643C"/>
    <w:rsid w:val="4E36631D"/>
    <w:rsid w:val="4E8D742E"/>
    <w:rsid w:val="4EF5620D"/>
    <w:rsid w:val="4F20650C"/>
    <w:rsid w:val="4F286474"/>
    <w:rsid w:val="4F3A18BA"/>
    <w:rsid w:val="4FB629B4"/>
    <w:rsid w:val="4FB73828"/>
    <w:rsid w:val="4FD55530"/>
    <w:rsid w:val="4FF1556B"/>
    <w:rsid w:val="50011E81"/>
    <w:rsid w:val="50FA6453"/>
    <w:rsid w:val="52542E81"/>
    <w:rsid w:val="5268268C"/>
    <w:rsid w:val="52774136"/>
    <w:rsid w:val="52EA7E7B"/>
    <w:rsid w:val="53895513"/>
    <w:rsid w:val="53935CD0"/>
    <w:rsid w:val="53F12868"/>
    <w:rsid w:val="54077C82"/>
    <w:rsid w:val="54172077"/>
    <w:rsid w:val="542D5B65"/>
    <w:rsid w:val="5467673E"/>
    <w:rsid w:val="560E3D80"/>
    <w:rsid w:val="56256E96"/>
    <w:rsid w:val="56755377"/>
    <w:rsid w:val="57225A7F"/>
    <w:rsid w:val="579B3040"/>
    <w:rsid w:val="57C33EC0"/>
    <w:rsid w:val="57DA0CFD"/>
    <w:rsid w:val="582E0B26"/>
    <w:rsid w:val="583B565E"/>
    <w:rsid w:val="5901594F"/>
    <w:rsid w:val="594C1A33"/>
    <w:rsid w:val="59505C28"/>
    <w:rsid w:val="596B518E"/>
    <w:rsid w:val="59A01FF8"/>
    <w:rsid w:val="59AC3482"/>
    <w:rsid w:val="5A26172D"/>
    <w:rsid w:val="5A2F1C99"/>
    <w:rsid w:val="5AB251D5"/>
    <w:rsid w:val="5AB75F5E"/>
    <w:rsid w:val="5AB97EAE"/>
    <w:rsid w:val="5AC308B9"/>
    <w:rsid w:val="5AFE44D7"/>
    <w:rsid w:val="5BA069F2"/>
    <w:rsid w:val="5C090941"/>
    <w:rsid w:val="5C2921BD"/>
    <w:rsid w:val="5C3E0B15"/>
    <w:rsid w:val="5C4B7407"/>
    <w:rsid w:val="5C886563"/>
    <w:rsid w:val="5CD86660"/>
    <w:rsid w:val="5D100912"/>
    <w:rsid w:val="5D16319E"/>
    <w:rsid w:val="5D526412"/>
    <w:rsid w:val="5D7E2D63"/>
    <w:rsid w:val="5E070FAB"/>
    <w:rsid w:val="5E0E410B"/>
    <w:rsid w:val="5E1B57B0"/>
    <w:rsid w:val="5E474816"/>
    <w:rsid w:val="5EB84053"/>
    <w:rsid w:val="5FFE462F"/>
    <w:rsid w:val="603017A6"/>
    <w:rsid w:val="604C7149"/>
    <w:rsid w:val="605779E9"/>
    <w:rsid w:val="605E50CE"/>
    <w:rsid w:val="60D61CB8"/>
    <w:rsid w:val="614F7FD9"/>
    <w:rsid w:val="618D791F"/>
    <w:rsid w:val="618F4405"/>
    <w:rsid w:val="6237793C"/>
    <w:rsid w:val="623D06F2"/>
    <w:rsid w:val="62B04DA4"/>
    <w:rsid w:val="62C84A28"/>
    <w:rsid w:val="637644DD"/>
    <w:rsid w:val="63917F18"/>
    <w:rsid w:val="63BF3D15"/>
    <w:rsid w:val="640B266D"/>
    <w:rsid w:val="641B5771"/>
    <w:rsid w:val="64504D2E"/>
    <w:rsid w:val="645371E5"/>
    <w:rsid w:val="64682077"/>
    <w:rsid w:val="647C7CB2"/>
    <w:rsid w:val="6496736A"/>
    <w:rsid w:val="64CF0348"/>
    <w:rsid w:val="6586754B"/>
    <w:rsid w:val="66012B7D"/>
    <w:rsid w:val="667C6A4B"/>
    <w:rsid w:val="66B8294F"/>
    <w:rsid w:val="66E11174"/>
    <w:rsid w:val="6713517B"/>
    <w:rsid w:val="67206C39"/>
    <w:rsid w:val="673C6233"/>
    <w:rsid w:val="67407E51"/>
    <w:rsid w:val="677D1F1D"/>
    <w:rsid w:val="677F4FAB"/>
    <w:rsid w:val="67802C32"/>
    <w:rsid w:val="681349F0"/>
    <w:rsid w:val="6867749C"/>
    <w:rsid w:val="689E2042"/>
    <w:rsid w:val="68B910F3"/>
    <w:rsid w:val="69390486"/>
    <w:rsid w:val="69681458"/>
    <w:rsid w:val="6A3D4191"/>
    <w:rsid w:val="6A576E16"/>
    <w:rsid w:val="6A5A06B4"/>
    <w:rsid w:val="6AC458C1"/>
    <w:rsid w:val="6AE368FC"/>
    <w:rsid w:val="6AEC301B"/>
    <w:rsid w:val="6B7632CC"/>
    <w:rsid w:val="6C003032"/>
    <w:rsid w:val="6C387DCB"/>
    <w:rsid w:val="6CB23A15"/>
    <w:rsid w:val="6D086B45"/>
    <w:rsid w:val="6D4245CC"/>
    <w:rsid w:val="6D444D04"/>
    <w:rsid w:val="6D530090"/>
    <w:rsid w:val="6D7F2338"/>
    <w:rsid w:val="6DAD03E4"/>
    <w:rsid w:val="6E197564"/>
    <w:rsid w:val="6E65267E"/>
    <w:rsid w:val="6E6E711C"/>
    <w:rsid w:val="6E777A87"/>
    <w:rsid w:val="6E7D21EF"/>
    <w:rsid w:val="6EDFCD3C"/>
    <w:rsid w:val="6F4545EB"/>
    <w:rsid w:val="6FBB1BF5"/>
    <w:rsid w:val="70567B70"/>
    <w:rsid w:val="70626515"/>
    <w:rsid w:val="707A0C11"/>
    <w:rsid w:val="70896DAD"/>
    <w:rsid w:val="715E6DD8"/>
    <w:rsid w:val="71A267AE"/>
    <w:rsid w:val="723549BE"/>
    <w:rsid w:val="7294672D"/>
    <w:rsid w:val="72947ABA"/>
    <w:rsid w:val="730C38E8"/>
    <w:rsid w:val="7373286A"/>
    <w:rsid w:val="737D1EC2"/>
    <w:rsid w:val="73B914AD"/>
    <w:rsid w:val="73E13A66"/>
    <w:rsid w:val="742A1296"/>
    <w:rsid w:val="74594A1A"/>
    <w:rsid w:val="749A44CF"/>
    <w:rsid w:val="74EE691B"/>
    <w:rsid w:val="751865D3"/>
    <w:rsid w:val="75325D62"/>
    <w:rsid w:val="753F0521"/>
    <w:rsid w:val="756B5E6B"/>
    <w:rsid w:val="75711360"/>
    <w:rsid w:val="75BC74F0"/>
    <w:rsid w:val="762D3121"/>
    <w:rsid w:val="764F088F"/>
    <w:rsid w:val="76834981"/>
    <w:rsid w:val="76E61C4D"/>
    <w:rsid w:val="770F68E8"/>
    <w:rsid w:val="772723A8"/>
    <w:rsid w:val="77CB2E7D"/>
    <w:rsid w:val="77F00C2F"/>
    <w:rsid w:val="783A38D3"/>
    <w:rsid w:val="78760DAF"/>
    <w:rsid w:val="79273E57"/>
    <w:rsid w:val="793547C6"/>
    <w:rsid w:val="79F25580"/>
    <w:rsid w:val="7A0F1AA2"/>
    <w:rsid w:val="7A2A00A3"/>
    <w:rsid w:val="7A622A67"/>
    <w:rsid w:val="7AA11299"/>
    <w:rsid w:val="7ABD3B85"/>
    <w:rsid w:val="7AFB7C8E"/>
    <w:rsid w:val="7B1C4C70"/>
    <w:rsid w:val="7B4F58E7"/>
    <w:rsid w:val="7B5A15F7"/>
    <w:rsid w:val="7B751DB6"/>
    <w:rsid w:val="7BFDE31F"/>
    <w:rsid w:val="7C0C3ED0"/>
    <w:rsid w:val="7C4037D1"/>
    <w:rsid w:val="7D151CD5"/>
    <w:rsid w:val="7DEECDBF"/>
    <w:rsid w:val="7DFF3B4A"/>
    <w:rsid w:val="7ED03DD1"/>
    <w:rsid w:val="7EE540AA"/>
    <w:rsid w:val="7EE822DB"/>
    <w:rsid w:val="7EFFF291"/>
    <w:rsid w:val="7F756C12"/>
    <w:rsid w:val="7FBF9E0E"/>
    <w:rsid w:val="7FEA5BDF"/>
    <w:rsid w:val="A7F7A0DE"/>
    <w:rsid w:val="BEBF8118"/>
    <w:rsid w:val="BFDDC192"/>
    <w:rsid w:val="EFF38879"/>
    <w:rsid w:val="FCF3D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08"/>
    <w:qFormat/>
    <w:uiPriority w:val="0"/>
    <w:pPr>
      <w:keepNext/>
      <w:keepLines/>
      <w:spacing w:before="260" w:after="260" w:line="416" w:lineRule="auto"/>
      <w:outlineLvl w:val="1"/>
    </w:pPr>
    <w:rPr>
      <w:rFonts w:ascii="Arial" w:hAnsi="Arial" w:eastAsia="宋体" w:cs="Times New Roman"/>
      <w:b/>
      <w:bCs/>
      <w:sz w:val="24"/>
      <w:szCs w:val="32"/>
    </w:rPr>
  </w:style>
  <w:style w:type="paragraph" w:styleId="4">
    <w:name w:val="heading 3"/>
    <w:basedOn w:val="1"/>
    <w:next w:val="5"/>
    <w:link w:val="57"/>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paragraph" w:styleId="6">
    <w:name w:val="heading 4"/>
    <w:basedOn w:val="1"/>
    <w:next w:val="1"/>
    <w:link w:val="58"/>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paragraph" w:styleId="7">
    <w:name w:val="heading 5"/>
    <w:basedOn w:val="1"/>
    <w:next w:val="1"/>
    <w:link w:val="59"/>
    <w:qFormat/>
    <w:uiPriority w:val="0"/>
    <w:pPr>
      <w:keepNext/>
      <w:keepLines/>
      <w:widowControl/>
      <w:spacing w:before="120" w:after="120" w:line="360" w:lineRule="auto"/>
      <w:ind w:firstLine="499"/>
      <w:jc w:val="left"/>
      <w:outlineLvl w:val="4"/>
    </w:pPr>
    <w:rPr>
      <w:rFonts w:ascii="宋体" w:hAnsi="宋体" w:eastAsia="宋体" w:cs="Times New Roman"/>
      <w:b/>
      <w:kern w:val="0"/>
      <w:sz w:val="24"/>
      <w:szCs w:val="20"/>
    </w:rPr>
  </w:style>
  <w:style w:type="paragraph" w:styleId="8">
    <w:name w:val="heading 6"/>
    <w:basedOn w:val="1"/>
    <w:next w:val="1"/>
    <w:link w:val="60"/>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lang w:val="zh-CN"/>
    </w:rPr>
  </w:style>
  <w:style w:type="paragraph" w:styleId="9">
    <w:name w:val="heading 7"/>
    <w:basedOn w:val="1"/>
    <w:next w:val="1"/>
    <w:link w:val="61"/>
    <w:qFormat/>
    <w:uiPriority w:val="99"/>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lang w:val="zh-CN"/>
    </w:rPr>
  </w:style>
  <w:style w:type="paragraph" w:styleId="10">
    <w:name w:val="heading 8"/>
    <w:basedOn w:val="1"/>
    <w:next w:val="1"/>
    <w:link w:val="62"/>
    <w:qFormat/>
    <w:uiPriority w:val="99"/>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lang w:val="zh-CN"/>
    </w:rPr>
  </w:style>
  <w:style w:type="paragraph" w:styleId="11">
    <w:name w:val="heading 9"/>
    <w:basedOn w:val="1"/>
    <w:next w:val="1"/>
    <w:link w:val="63"/>
    <w:qFormat/>
    <w:uiPriority w:val="99"/>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lang w:val="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91"/>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260" w:hanging="420"/>
    </w:pPr>
    <w:rPr>
      <w:rFonts w:ascii="Times New Roman" w:hAnsi="Times New Roman" w:eastAsia="宋体" w:cs="Times New Roman"/>
      <w:szCs w:val="20"/>
    </w:rPr>
  </w:style>
  <w:style w:type="paragraph" w:styleId="13">
    <w:name w:val="Note Heading"/>
    <w:basedOn w:val="1"/>
    <w:next w:val="1"/>
    <w:link w:val="126"/>
    <w:qFormat/>
    <w:uiPriority w:val="0"/>
    <w:pPr>
      <w:spacing w:line="360" w:lineRule="auto"/>
      <w:jc w:val="center"/>
    </w:pPr>
    <w:rPr>
      <w:rFonts w:ascii="Times New Roman" w:hAnsi="Times New Roman" w:eastAsia="宋体" w:cs="Times New Roman"/>
      <w:sz w:val="24"/>
      <w:szCs w:val="20"/>
      <w:lang w:val="zh-CN"/>
    </w:rPr>
  </w:style>
  <w:style w:type="paragraph" w:styleId="14">
    <w:name w:val="caption"/>
    <w:basedOn w:val="1"/>
    <w:next w:val="1"/>
    <w:qFormat/>
    <w:uiPriority w:val="0"/>
    <w:pPr>
      <w:shd w:val="solid" w:color="FFFFFF" w:fill="FFFFFF"/>
      <w:tabs>
        <w:tab w:val="left" w:pos="840"/>
      </w:tabs>
    </w:pPr>
    <w:rPr>
      <w:rFonts w:ascii="Arial" w:hAnsi="Arial" w:eastAsia="黑体" w:cs="Times New Roman"/>
      <w:sz w:val="18"/>
      <w:szCs w:val="20"/>
    </w:rPr>
  </w:style>
  <w:style w:type="paragraph" w:styleId="15">
    <w:name w:val="List Bullet"/>
    <w:basedOn w:val="1"/>
    <w:qFormat/>
    <w:uiPriority w:val="0"/>
    <w:pPr>
      <w:numPr>
        <w:ilvl w:val="0"/>
        <w:numId w:val="1"/>
      </w:numPr>
    </w:pPr>
    <w:rPr>
      <w:rFonts w:ascii="FangSong_GB2312" w:hAnsi="Times New Roman" w:eastAsia="FangSong_GB2312" w:cs="Times New Roman"/>
      <w:sz w:val="28"/>
      <w:szCs w:val="24"/>
    </w:rPr>
  </w:style>
  <w:style w:type="paragraph" w:styleId="16">
    <w:name w:val="Document Map"/>
    <w:basedOn w:val="1"/>
    <w:link w:val="72"/>
    <w:qFormat/>
    <w:uiPriority w:val="0"/>
    <w:pPr>
      <w:shd w:val="clear" w:color="auto" w:fill="000080"/>
    </w:pPr>
    <w:rPr>
      <w:rFonts w:ascii="FangSong_GB2312" w:hAnsi="Times New Roman" w:eastAsia="FangSong_GB2312" w:cs="Times New Roman"/>
      <w:sz w:val="28"/>
      <w:szCs w:val="24"/>
    </w:rPr>
  </w:style>
  <w:style w:type="paragraph" w:styleId="17">
    <w:name w:val="annotation text"/>
    <w:basedOn w:val="1"/>
    <w:link w:val="116"/>
    <w:unhideWhenUsed/>
    <w:qFormat/>
    <w:uiPriority w:val="0"/>
    <w:pPr>
      <w:jc w:val="left"/>
    </w:pPr>
    <w:rPr>
      <w:rFonts w:ascii="Calibri" w:hAnsi="Calibri" w:eastAsia="宋体" w:cs="Times New Roman"/>
    </w:rPr>
  </w:style>
  <w:style w:type="paragraph" w:styleId="18">
    <w:name w:val="Salutation"/>
    <w:basedOn w:val="1"/>
    <w:next w:val="1"/>
    <w:link w:val="186"/>
    <w:qFormat/>
    <w:uiPriority w:val="0"/>
    <w:rPr>
      <w:rFonts w:ascii="Times New Roman" w:hAnsi="Times New Roman" w:eastAsia="宋体" w:cs="Times New Roman"/>
      <w:sz w:val="28"/>
      <w:szCs w:val="24"/>
      <w:lang w:val="zh-CN"/>
    </w:rPr>
  </w:style>
  <w:style w:type="paragraph" w:styleId="19">
    <w:name w:val="Body Text 3"/>
    <w:basedOn w:val="1"/>
    <w:link w:val="115"/>
    <w:qFormat/>
    <w:uiPriority w:val="0"/>
    <w:rPr>
      <w:rFonts w:ascii="宋体" w:hAnsi="Times New Roman" w:eastAsia="宋体" w:cs="Times New Roman"/>
      <w:sz w:val="18"/>
      <w:szCs w:val="20"/>
      <w:lang w:val="zh-CN"/>
    </w:rPr>
  </w:style>
  <w:style w:type="paragraph" w:styleId="20">
    <w:name w:val="Body Text"/>
    <w:basedOn w:val="1"/>
    <w:next w:val="1"/>
    <w:link w:val="69"/>
    <w:qFormat/>
    <w:uiPriority w:val="0"/>
    <w:pPr>
      <w:spacing w:line="440" w:lineRule="exact"/>
      <w:jc w:val="center"/>
    </w:pPr>
    <w:rPr>
      <w:rFonts w:ascii="FangSong_GB2312" w:hAnsi="Times New Roman" w:eastAsia="FangSong_GB2312" w:cs="Times New Roman"/>
      <w:sz w:val="28"/>
      <w:szCs w:val="24"/>
    </w:rPr>
  </w:style>
  <w:style w:type="paragraph" w:styleId="21">
    <w:name w:val="Body Text Indent"/>
    <w:basedOn w:val="1"/>
    <w:link w:val="64"/>
    <w:qFormat/>
    <w:uiPriority w:val="0"/>
    <w:pPr>
      <w:spacing w:line="360" w:lineRule="auto"/>
      <w:ind w:firstLine="480" w:firstLineChars="200"/>
    </w:pPr>
    <w:rPr>
      <w:rFonts w:ascii="FangSong_GB2312" w:hAnsi="宋体" w:eastAsia="FangSong_GB2312" w:cs="Times New Roman"/>
      <w:sz w:val="24"/>
      <w:szCs w:val="24"/>
      <w:lang w:val="zh-CN"/>
    </w:rPr>
  </w:style>
  <w:style w:type="paragraph" w:styleId="22">
    <w:name w:val="List 2"/>
    <w:basedOn w:val="1"/>
    <w:qFormat/>
    <w:uiPriority w:val="0"/>
    <w:pPr>
      <w:tabs>
        <w:tab w:val="left" w:pos="360"/>
        <w:tab w:val="left" w:pos="840"/>
      </w:tabs>
      <w:spacing w:before="120" w:after="120" w:line="360" w:lineRule="auto"/>
      <w:ind w:firstLine="200" w:firstLineChars="200"/>
    </w:pPr>
    <w:rPr>
      <w:rFonts w:ascii="Times New Roman" w:hAnsi="Times New Roman" w:eastAsia="宋体" w:cs="Times New Roman"/>
      <w:sz w:val="24"/>
      <w:szCs w:val="20"/>
    </w:rPr>
  </w:style>
  <w:style w:type="paragraph" w:styleId="23">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4">
    <w:name w:val="List Bullet 2"/>
    <w:basedOn w:val="1"/>
    <w:qFormat/>
    <w:uiPriority w:val="0"/>
    <w:pPr>
      <w:tabs>
        <w:tab w:val="left" w:pos="-180"/>
        <w:tab w:val="left" w:pos="840"/>
      </w:tabs>
      <w:autoSpaceDE w:val="0"/>
      <w:autoSpaceDN w:val="0"/>
      <w:adjustRightInd w:val="0"/>
      <w:spacing w:line="360" w:lineRule="auto"/>
      <w:ind w:left="840" w:hanging="420"/>
      <w:jc w:val="left"/>
      <w:textAlignment w:val="baseline"/>
    </w:pPr>
    <w:rPr>
      <w:rFonts w:ascii="Times New Roman" w:hAnsi="Times New Roman" w:eastAsia="KaiTi_GB2312" w:cs="Times New Roman"/>
      <w:kern w:val="0"/>
      <w:sz w:val="24"/>
      <w:szCs w:val="20"/>
    </w:rPr>
  </w:style>
  <w:style w:type="paragraph" w:styleId="25">
    <w:name w:val="toc 3"/>
    <w:basedOn w:val="1"/>
    <w:next w:val="1"/>
    <w:qFormat/>
    <w:uiPriority w:val="0"/>
    <w:pPr>
      <w:ind w:left="840" w:leftChars="400"/>
    </w:pPr>
    <w:rPr>
      <w:rFonts w:ascii="FangSong_GB2312" w:hAnsi="Times New Roman" w:eastAsia="FangSong_GB2312" w:cs="Times New Roman"/>
      <w:sz w:val="28"/>
      <w:szCs w:val="24"/>
    </w:rPr>
  </w:style>
  <w:style w:type="paragraph" w:styleId="26">
    <w:name w:val="Plain Text"/>
    <w:basedOn w:val="1"/>
    <w:link w:val="71"/>
    <w:qFormat/>
    <w:uiPriority w:val="0"/>
    <w:rPr>
      <w:rFonts w:ascii="宋体" w:hAnsi="Courier New" w:eastAsia="宋体" w:cs="Courier New"/>
      <w:szCs w:val="21"/>
    </w:rPr>
  </w:style>
  <w:style w:type="paragraph" w:styleId="27">
    <w:name w:val="Date"/>
    <w:basedOn w:val="1"/>
    <w:next w:val="1"/>
    <w:link w:val="70"/>
    <w:qFormat/>
    <w:uiPriority w:val="0"/>
    <w:pPr>
      <w:ind w:left="100" w:leftChars="2500"/>
    </w:pPr>
    <w:rPr>
      <w:rFonts w:ascii="宋体" w:hAnsi="宋体" w:eastAsia="宋体" w:cs="Courier New"/>
      <w:szCs w:val="21"/>
    </w:rPr>
  </w:style>
  <w:style w:type="paragraph" w:styleId="28">
    <w:name w:val="Body Text Indent 2"/>
    <w:basedOn w:val="1"/>
    <w:link w:val="67"/>
    <w:qFormat/>
    <w:uiPriority w:val="0"/>
    <w:pPr>
      <w:spacing w:line="420" w:lineRule="exact"/>
      <w:ind w:firstLine="538" w:firstLineChars="192"/>
    </w:pPr>
    <w:rPr>
      <w:rFonts w:ascii="FangSong_GB2312" w:hAnsi="Times New Roman" w:eastAsia="FangSong_GB2312" w:cs="Times New Roman"/>
      <w:sz w:val="28"/>
      <w:szCs w:val="24"/>
    </w:rPr>
  </w:style>
  <w:style w:type="paragraph" w:styleId="29">
    <w:name w:val="Balloon Text"/>
    <w:basedOn w:val="1"/>
    <w:link w:val="107"/>
    <w:qFormat/>
    <w:uiPriority w:val="0"/>
    <w:pPr>
      <w:widowControl/>
      <w:jc w:val="left"/>
    </w:pPr>
    <w:rPr>
      <w:rFonts w:ascii="Times New Roman" w:hAnsi="Times New Roman" w:eastAsia="宋体" w:cs="Times New Roman"/>
      <w:kern w:val="0"/>
      <w:sz w:val="18"/>
      <w:szCs w:val="18"/>
    </w:rPr>
  </w:style>
  <w:style w:type="paragraph" w:styleId="30">
    <w:name w:val="footer"/>
    <w:basedOn w:val="1"/>
    <w:link w:val="66"/>
    <w:qFormat/>
    <w:uiPriority w:val="99"/>
    <w:pPr>
      <w:tabs>
        <w:tab w:val="center" w:pos="4153"/>
        <w:tab w:val="right" w:pos="8306"/>
      </w:tabs>
      <w:snapToGrid w:val="0"/>
      <w:jc w:val="left"/>
    </w:pPr>
    <w:rPr>
      <w:rFonts w:ascii="FangSong_GB2312" w:hAnsi="Times New Roman" w:eastAsia="FangSong_GB2312" w:cs="Times New Roman"/>
      <w:sz w:val="18"/>
      <w:szCs w:val="18"/>
    </w:rPr>
  </w:style>
  <w:style w:type="paragraph" w:styleId="31">
    <w:name w:val="header"/>
    <w:basedOn w:val="1"/>
    <w:link w:val="65"/>
    <w:qFormat/>
    <w:uiPriority w:val="99"/>
    <w:pPr>
      <w:pBdr>
        <w:bottom w:val="single" w:color="auto" w:sz="6" w:space="1"/>
      </w:pBdr>
      <w:tabs>
        <w:tab w:val="center" w:pos="4153"/>
        <w:tab w:val="right" w:pos="8306"/>
      </w:tabs>
      <w:snapToGrid w:val="0"/>
      <w:jc w:val="center"/>
    </w:pPr>
    <w:rPr>
      <w:rFonts w:ascii="FangSong_GB2312" w:hAnsi="Times New Roman" w:eastAsia="FangSong_GB2312" w:cs="Times New Roman"/>
      <w:sz w:val="18"/>
      <w:szCs w:val="18"/>
    </w:rPr>
  </w:style>
  <w:style w:type="paragraph" w:styleId="32">
    <w:name w:val="toc 1"/>
    <w:basedOn w:val="1"/>
    <w:next w:val="1"/>
    <w:qFormat/>
    <w:uiPriority w:val="39"/>
    <w:pPr>
      <w:tabs>
        <w:tab w:val="right" w:leader="dot" w:pos="8777"/>
      </w:tabs>
    </w:pPr>
    <w:rPr>
      <w:rFonts w:ascii="Times New Roman" w:hAnsi="Times New Roman" w:eastAsia="宋体" w:cs="Times New Roman"/>
      <w:sz w:val="30"/>
      <w:szCs w:val="24"/>
    </w:rPr>
  </w:style>
  <w:style w:type="paragraph" w:styleId="33">
    <w:name w:val="toc 4"/>
    <w:basedOn w:val="1"/>
    <w:next w:val="1"/>
    <w:qFormat/>
    <w:uiPriority w:val="0"/>
    <w:pPr>
      <w:ind w:left="1260" w:leftChars="600"/>
    </w:pPr>
    <w:rPr>
      <w:rFonts w:ascii="FangSong_GB2312" w:hAnsi="Times New Roman" w:eastAsia="FangSong_GB2312" w:cs="Times New Roman"/>
      <w:sz w:val="28"/>
      <w:szCs w:val="24"/>
    </w:rPr>
  </w:style>
  <w:style w:type="paragraph" w:styleId="34">
    <w:name w:val="index heading"/>
    <w:basedOn w:val="1"/>
    <w:next w:val="35"/>
    <w:qFormat/>
    <w:uiPriority w:val="0"/>
    <w:rPr>
      <w:rFonts w:ascii="Times New Roman" w:hAnsi="Times New Roman" w:eastAsia="宋体" w:cs="Times New Roman"/>
      <w:szCs w:val="20"/>
    </w:rPr>
  </w:style>
  <w:style w:type="paragraph" w:styleId="35">
    <w:name w:val="index 1"/>
    <w:basedOn w:val="1"/>
    <w:next w:val="1"/>
    <w:qFormat/>
    <w:uiPriority w:val="0"/>
    <w:pPr>
      <w:adjustRightInd w:val="0"/>
      <w:spacing w:line="360" w:lineRule="atLeast"/>
      <w:jc w:val="center"/>
      <w:textAlignment w:val="baseline"/>
    </w:pPr>
    <w:rPr>
      <w:rFonts w:ascii="Arial" w:hAnsi="Arial" w:eastAsia="宋体" w:cs="Times New Roman"/>
      <w:szCs w:val="21"/>
    </w:rPr>
  </w:style>
  <w:style w:type="paragraph" w:styleId="36">
    <w:name w:val="List"/>
    <w:basedOn w:val="1"/>
    <w:qFormat/>
    <w:uiPriority w:val="0"/>
    <w:pPr>
      <w:ind w:left="200" w:hanging="200" w:hangingChars="200"/>
    </w:pPr>
    <w:rPr>
      <w:rFonts w:ascii="FangSong_GB2312" w:hAnsi="Times New Roman" w:eastAsia="FangSong_GB2312" w:cs="Times New Roman"/>
      <w:sz w:val="28"/>
      <w:szCs w:val="24"/>
    </w:rPr>
  </w:style>
  <w:style w:type="paragraph" w:styleId="37">
    <w:name w:val="Body Text Indent 3"/>
    <w:basedOn w:val="1"/>
    <w:link w:val="68"/>
    <w:qFormat/>
    <w:uiPriority w:val="0"/>
    <w:pPr>
      <w:spacing w:line="440" w:lineRule="exact"/>
      <w:ind w:firstLine="560" w:firstLineChars="200"/>
    </w:pPr>
    <w:rPr>
      <w:rFonts w:ascii="FangSong_GB2312" w:hAnsi="Times New Roman" w:eastAsia="FangSong_GB2312" w:cs="Times New Roman"/>
      <w:sz w:val="28"/>
      <w:szCs w:val="24"/>
      <w:lang w:val="zh-CN"/>
    </w:rPr>
  </w:style>
  <w:style w:type="paragraph" w:styleId="38">
    <w:name w:val="toc 2"/>
    <w:basedOn w:val="1"/>
    <w:next w:val="1"/>
    <w:unhideWhenUsed/>
    <w:qFormat/>
    <w:uiPriority w:val="39"/>
    <w:pPr>
      <w:ind w:left="420" w:leftChars="200"/>
    </w:pPr>
  </w:style>
  <w:style w:type="paragraph" w:styleId="39">
    <w:name w:val="Body Text 2"/>
    <w:basedOn w:val="1"/>
    <w:link w:val="85"/>
    <w:qFormat/>
    <w:uiPriority w:val="0"/>
    <w:pPr>
      <w:adjustRightInd w:val="0"/>
      <w:snapToGrid w:val="0"/>
      <w:jc w:val="center"/>
    </w:pPr>
    <w:rPr>
      <w:rFonts w:ascii="宋体" w:hAnsi="宋体" w:eastAsia="宋体" w:cs="Times New Roman"/>
      <w:color w:val="000000"/>
      <w:sz w:val="24"/>
      <w:szCs w:val="24"/>
      <w:lang w:val="zh-CN"/>
    </w:rPr>
  </w:style>
  <w:style w:type="paragraph" w:styleId="40">
    <w:name w:val="HTML Preformatted"/>
    <w:basedOn w:val="1"/>
    <w:link w:val="2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rPr>
  </w:style>
  <w:style w:type="paragraph" w:styleId="4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2">
    <w:name w:val="Title"/>
    <w:basedOn w:val="1"/>
    <w:next w:val="1"/>
    <w:link w:val="118"/>
    <w:qFormat/>
    <w:uiPriority w:val="0"/>
    <w:pPr>
      <w:spacing w:before="240" w:after="60"/>
      <w:jc w:val="center"/>
      <w:outlineLvl w:val="0"/>
    </w:pPr>
    <w:rPr>
      <w:rFonts w:ascii="Cambria" w:hAnsi="Cambria" w:eastAsia="宋体" w:cs="Times New Roman"/>
      <w:b/>
      <w:bCs/>
      <w:sz w:val="32"/>
      <w:szCs w:val="32"/>
      <w:lang w:val="zh-CN"/>
    </w:rPr>
  </w:style>
  <w:style w:type="paragraph" w:styleId="43">
    <w:name w:val="annotation subject"/>
    <w:basedOn w:val="17"/>
    <w:next w:val="17"/>
    <w:link w:val="117"/>
    <w:unhideWhenUsed/>
    <w:qFormat/>
    <w:uiPriority w:val="0"/>
    <w:rPr>
      <w:b/>
      <w:bCs/>
    </w:rPr>
  </w:style>
  <w:style w:type="paragraph" w:styleId="44">
    <w:name w:val="Body Text First Indent"/>
    <w:basedOn w:val="20"/>
    <w:link w:val="96"/>
    <w:qFormat/>
    <w:uiPriority w:val="0"/>
    <w:pPr>
      <w:widowControl/>
      <w:spacing w:after="120" w:line="240" w:lineRule="auto"/>
      <w:ind w:firstLine="420" w:firstLineChars="100"/>
      <w:jc w:val="left"/>
    </w:pPr>
    <w:rPr>
      <w:sz w:val="21"/>
    </w:rPr>
  </w:style>
  <w:style w:type="paragraph" w:styleId="45">
    <w:name w:val="Body Text First Indent 2"/>
    <w:basedOn w:val="21"/>
    <w:link w:val="182"/>
    <w:qFormat/>
    <w:uiPriority w:val="0"/>
    <w:pPr>
      <w:spacing w:after="120" w:line="240" w:lineRule="auto"/>
      <w:ind w:left="420" w:firstLine="210" w:firstLineChars="0"/>
    </w:pPr>
    <w:rPr>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basedOn w:val="48"/>
    <w:qFormat/>
    <w:uiPriority w:val="0"/>
    <w:rPr>
      <w:sz w:val="21"/>
      <w:szCs w:val="21"/>
    </w:rPr>
  </w:style>
  <w:style w:type="character" w:customStyle="1" w:styleId="55">
    <w:name w:val="标题 1 Char"/>
    <w:basedOn w:val="48"/>
    <w:link w:val="2"/>
    <w:qFormat/>
    <w:uiPriority w:val="0"/>
    <w:rPr>
      <w:rFonts w:ascii="Times New Roman" w:hAnsi="Times New Roman" w:eastAsia="宋体" w:cs="Times New Roman"/>
      <w:b/>
      <w:bCs/>
      <w:kern w:val="44"/>
      <w:sz w:val="44"/>
      <w:szCs w:val="44"/>
    </w:rPr>
  </w:style>
  <w:style w:type="character" w:customStyle="1" w:styleId="56">
    <w:name w:val="标题 2 Char"/>
    <w:basedOn w:val="48"/>
    <w:qFormat/>
    <w:uiPriority w:val="0"/>
    <w:rPr>
      <w:rFonts w:asciiTheme="majorHAnsi" w:hAnsiTheme="majorHAnsi" w:eastAsiaTheme="majorEastAsia" w:cstheme="majorBidi"/>
      <w:b/>
      <w:bCs/>
      <w:sz w:val="32"/>
      <w:szCs w:val="32"/>
    </w:rPr>
  </w:style>
  <w:style w:type="character" w:customStyle="1" w:styleId="57">
    <w:name w:val="标题 3 Char"/>
    <w:basedOn w:val="48"/>
    <w:link w:val="4"/>
    <w:qFormat/>
    <w:uiPriority w:val="0"/>
    <w:rPr>
      <w:rFonts w:ascii="Times New Roman" w:hAnsi="Times New Roman" w:eastAsia="宋体" w:cs="Times New Roman"/>
      <w:b/>
      <w:kern w:val="0"/>
      <w:sz w:val="32"/>
      <w:szCs w:val="20"/>
    </w:rPr>
  </w:style>
  <w:style w:type="character" w:customStyle="1" w:styleId="58">
    <w:name w:val="标题 4 Char"/>
    <w:basedOn w:val="48"/>
    <w:link w:val="6"/>
    <w:qFormat/>
    <w:uiPriority w:val="0"/>
    <w:rPr>
      <w:rFonts w:ascii="Arial" w:hAnsi="Arial" w:eastAsia="黑体" w:cs="Times New Roman"/>
      <w:kern w:val="0"/>
      <w:sz w:val="28"/>
      <w:szCs w:val="20"/>
    </w:rPr>
  </w:style>
  <w:style w:type="character" w:customStyle="1" w:styleId="59">
    <w:name w:val="标题 5 Char"/>
    <w:basedOn w:val="48"/>
    <w:link w:val="7"/>
    <w:qFormat/>
    <w:uiPriority w:val="0"/>
    <w:rPr>
      <w:rFonts w:ascii="宋体" w:hAnsi="宋体" w:eastAsia="宋体" w:cs="Times New Roman"/>
      <w:b/>
      <w:kern w:val="0"/>
      <w:sz w:val="24"/>
      <w:szCs w:val="20"/>
    </w:rPr>
  </w:style>
  <w:style w:type="character" w:customStyle="1" w:styleId="60">
    <w:name w:val="标题 6 Char"/>
    <w:basedOn w:val="48"/>
    <w:link w:val="8"/>
    <w:qFormat/>
    <w:uiPriority w:val="0"/>
    <w:rPr>
      <w:rFonts w:ascii="Arial" w:hAnsi="Arial" w:eastAsia="黑体" w:cs="Times New Roman"/>
      <w:b/>
      <w:bCs/>
      <w:kern w:val="0"/>
      <w:sz w:val="24"/>
      <w:szCs w:val="24"/>
      <w:lang w:val="zh-CN" w:eastAsia="zh-CN"/>
    </w:rPr>
  </w:style>
  <w:style w:type="character" w:customStyle="1" w:styleId="61">
    <w:name w:val="标题 7 Char"/>
    <w:basedOn w:val="48"/>
    <w:link w:val="9"/>
    <w:qFormat/>
    <w:uiPriority w:val="99"/>
    <w:rPr>
      <w:rFonts w:ascii="Times New Roman" w:hAnsi="Times New Roman" w:eastAsia="宋体" w:cs="Times New Roman"/>
      <w:b/>
      <w:bCs/>
      <w:kern w:val="0"/>
      <w:sz w:val="24"/>
      <w:szCs w:val="24"/>
      <w:lang w:val="zh-CN" w:eastAsia="zh-CN"/>
    </w:rPr>
  </w:style>
  <w:style w:type="character" w:customStyle="1" w:styleId="62">
    <w:name w:val="标题 8 Char"/>
    <w:basedOn w:val="48"/>
    <w:link w:val="10"/>
    <w:qFormat/>
    <w:uiPriority w:val="99"/>
    <w:rPr>
      <w:rFonts w:ascii="Arial" w:hAnsi="Arial" w:eastAsia="黑体" w:cs="Times New Roman"/>
      <w:kern w:val="0"/>
      <w:sz w:val="24"/>
      <w:szCs w:val="24"/>
      <w:lang w:val="zh-CN" w:eastAsia="zh-CN"/>
    </w:rPr>
  </w:style>
  <w:style w:type="character" w:customStyle="1" w:styleId="63">
    <w:name w:val="标题 9 Char"/>
    <w:basedOn w:val="48"/>
    <w:link w:val="11"/>
    <w:qFormat/>
    <w:uiPriority w:val="99"/>
    <w:rPr>
      <w:rFonts w:ascii="Arial" w:hAnsi="Arial" w:eastAsia="黑体" w:cs="Times New Roman"/>
      <w:kern w:val="0"/>
      <w:szCs w:val="21"/>
      <w:lang w:val="zh-CN" w:eastAsia="zh-CN"/>
    </w:rPr>
  </w:style>
  <w:style w:type="character" w:customStyle="1" w:styleId="64">
    <w:name w:val="正文文本缩进 Char"/>
    <w:basedOn w:val="48"/>
    <w:link w:val="21"/>
    <w:qFormat/>
    <w:uiPriority w:val="0"/>
    <w:rPr>
      <w:rFonts w:ascii="FangSong_GB2312" w:hAnsi="宋体" w:eastAsia="FangSong_GB2312" w:cs="Times New Roman"/>
      <w:sz w:val="24"/>
      <w:szCs w:val="24"/>
      <w:lang w:val="zh-CN" w:eastAsia="zh-CN"/>
    </w:rPr>
  </w:style>
  <w:style w:type="character" w:customStyle="1" w:styleId="65">
    <w:name w:val="页眉 Char"/>
    <w:basedOn w:val="48"/>
    <w:link w:val="31"/>
    <w:qFormat/>
    <w:uiPriority w:val="99"/>
    <w:rPr>
      <w:rFonts w:ascii="FangSong_GB2312" w:hAnsi="Times New Roman" w:eastAsia="FangSong_GB2312" w:cs="Times New Roman"/>
      <w:sz w:val="18"/>
      <w:szCs w:val="18"/>
    </w:rPr>
  </w:style>
  <w:style w:type="character" w:customStyle="1" w:styleId="66">
    <w:name w:val="页脚 Char"/>
    <w:basedOn w:val="48"/>
    <w:link w:val="30"/>
    <w:qFormat/>
    <w:uiPriority w:val="99"/>
    <w:rPr>
      <w:rFonts w:ascii="FangSong_GB2312" w:hAnsi="Times New Roman" w:eastAsia="FangSong_GB2312" w:cs="Times New Roman"/>
      <w:sz w:val="18"/>
      <w:szCs w:val="18"/>
    </w:rPr>
  </w:style>
  <w:style w:type="character" w:customStyle="1" w:styleId="67">
    <w:name w:val="正文文本缩进 2 Char"/>
    <w:basedOn w:val="48"/>
    <w:link w:val="28"/>
    <w:qFormat/>
    <w:uiPriority w:val="0"/>
    <w:rPr>
      <w:rFonts w:ascii="FangSong_GB2312" w:hAnsi="Times New Roman" w:eastAsia="FangSong_GB2312" w:cs="Times New Roman"/>
      <w:sz w:val="28"/>
      <w:szCs w:val="24"/>
    </w:rPr>
  </w:style>
  <w:style w:type="character" w:customStyle="1" w:styleId="68">
    <w:name w:val="正文文本缩进 3 Char"/>
    <w:basedOn w:val="48"/>
    <w:link w:val="37"/>
    <w:qFormat/>
    <w:uiPriority w:val="0"/>
    <w:rPr>
      <w:rFonts w:ascii="FangSong_GB2312" w:hAnsi="Times New Roman" w:eastAsia="FangSong_GB2312" w:cs="Times New Roman"/>
      <w:sz w:val="28"/>
      <w:szCs w:val="24"/>
      <w:lang w:val="zh-CN" w:eastAsia="zh-CN"/>
    </w:rPr>
  </w:style>
  <w:style w:type="character" w:customStyle="1" w:styleId="69">
    <w:name w:val="正文文本 Char"/>
    <w:basedOn w:val="48"/>
    <w:link w:val="20"/>
    <w:qFormat/>
    <w:uiPriority w:val="0"/>
    <w:rPr>
      <w:rFonts w:ascii="FangSong_GB2312" w:hAnsi="Times New Roman" w:eastAsia="FangSong_GB2312" w:cs="Times New Roman"/>
      <w:sz w:val="28"/>
      <w:szCs w:val="24"/>
    </w:rPr>
  </w:style>
  <w:style w:type="character" w:customStyle="1" w:styleId="70">
    <w:name w:val="日期 Char"/>
    <w:basedOn w:val="48"/>
    <w:link w:val="27"/>
    <w:qFormat/>
    <w:uiPriority w:val="0"/>
    <w:rPr>
      <w:rFonts w:ascii="宋体" w:hAnsi="宋体" w:eastAsia="宋体" w:cs="Courier New"/>
      <w:szCs w:val="21"/>
    </w:rPr>
  </w:style>
  <w:style w:type="character" w:customStyle="1" w:styleId="71">
    <w:name w:val="纯文本 Char"/>
    <w:basedOn w:val="48"/>
    <w:link w:val="26"/>
    <w:qFormat/>
    <w:uiPriority w:val="0"/>
    <w:rPr>
      <w:rFonts w:ascii="宋体" w:hAnsi="Courier New" w:eastAsia="宋体" w:cs="Courier New"/>
      <w:szCs w:val="21"/>
    </w:rPr>
  </w:style>
  <w:style w:type="character" w:customStyle="1" w:styleId="72">
    <w:name w:val="文档结构图 Char"/>
    <w:basedOn w:val="48"/>
    <w:link w:val="16"/>
    <w:qFormat/>
    <w:uiPriority w:val="0"/>
    <w:rPr>
      <w:rFonts w:ascii="FangSong_GB2312" w:hAnsi="Times New Roman" w:eastAsia="FangSong_GB2312" w:cs="Times New Roman"/>
      <w:sz w:val="28"/>
      <w:szCs w:val="24"/>
      <w:shd w:val="clear" w:color="auto" w:fill="000080"/>
    </w:rPr>
  </w:style>
  <w:style w:type="paragraph" w:customStyle="1" w:styleId="73">
    <w:name w:val="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4">
    <w:name w:val="Char Char Char 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5">
    <w:name w:val="目录"/>
    <w:basedOn w:val="1"/>
    <w:qFormat/>
    <w:uiPriority w:val="99"/>
    <w:pPr>
      <w:widowControl/>
      <w:jc w:val="center"/>
    </w:pPr>
    <w:rPr>
      <w:rFonts w:ascii="宋体" w:hAnsi="Times New Roman" w:eastAsia="宋体" w:cs="Times New Roman"/>
      <w:b/>
      <w:kern w:val="0"/>
      <w:sz w:val="36"/>
      <w:szCs w:val="20"/>
    </w:rPr>
  </w:style>
  <w:style w:type="paragraph" w:customStyle="1" w:styleId="76">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7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78">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79">
    <w:name w:val="Para head"/>
    <w:qFormat/>
    <w:uiPriority w:val="0"/>
    <w:rPr>
      <w:rFonts w:ascii="Arial" w:hAnsi="Arial" w:eastAsia="Times New Roman"/>
      <w:sz w:val="20"/>
    </w:rPr>
  </w:style>
  <w:style w:type="paragraph" w:customStyle="1" w:styleId="80">
    <w:name w:val="菲页2"/>
    <w:basedOn w:val="4"/>
    <w:qFormat/>
    <w:uiPriority w:val="99"/>
    <w:pPr>
      <w:tabs>
        <w:tab w:val="left" w:pos="1798"/>
        <w:tab w:val="clear" w:pos="720"/>
      </w:tabs>
      <w:ind w:left="1798" w:hanging="420"/>
    </w:pPr>
    <w:rPr>
      <w:rFonts w:ascii="黑体" w:hAnsi="宋体" w:eastAsia="黑体"/>
      <w:b w:val="0"/>
      <w:sz w:val="44"/>
    </w:rPr>
  </w:style>
  <w:style w:type="paragraph" w:customStyle="1" w:styleId="81">
    <w:name w:val="菲页1"/>
    <w:basedOn w:val="3"/>
    <w:qFormat/>
    <w:uiPriority w:val="99"/>
    <w:pPr>
      <w:widowControl/>
      <w:tabs>
        <w:tab w:val="left" w:pos="1260"/>
      </w:tabs>
      <w:ind w:left="1260" w:hanging="1260"/>
      <w:jc w:val="center"/>
    </w:pPr>
    <w:rPr>
      <w:rFonts w:ascii="黑体" w:hAnsi="宋体"/>
      <w:b w:val="0"/>
      <w:bCs w:val="0"/>
      <w:kern w:val="0"/>
      <w:sz w:val="52"/>
      <w:szCs w:val="20"/>
    </w:rPr>
  </w:style>
  <w:style w:type="paragraph" w:customStyle="1" w:styleId="82">
    <w:name w:val="样式1"/>
    <w:basedOn w:val="1"/>
    <w:qFormat/>
    <w:uiPriority w:val="99"/>
    <w:pPr>
      <w:spacing w:before="120" w:after="120" w:line="300" w:lineRule="auto"/>
    </w:pPr>
    <w:rPr>
      <w:rFonts w:ascii="宋体" w:hAnsi="宋体" w:eastAsia="宋体" w:cs="Times New Roman"/>
      <w:b/>
      <w:sz w:val="24"/>
      <w:szCs w:val="20"/>
    </w:rPr>
  </w:style>
  <w:style w:type="paragraph" w:customStyle="1" w:styleId="83">
    <w:name w:val="菲页(卷)"/>
    <w:basedOn w:val="2"/>
    <w:next w:val="78"/>
    <w:qFormat/>
    <w:uiPriority w:val="99"/>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84">
    <w:name w:val="样式2"/>
    <w:basedOn w:val="1"/>
    <w:qFormat/>
    <w:uiPriority w:val="99"/>
    <w:pPr>
      <w:widowControl/>
      <w:tabs>
        <w:tab w:val="left" w:pos="1820"/>
      </w:tabs>
      <w:adjustRightInd w:val="0"/>
      <w:snapToGrid w:val="0"/>
      <w:spacing w:line="300" w:lineRule="auto"/>
      <w:ind w:left="1820" w:hanging="1259"/>
      <w:jc w:val="center"/>
    </w:pPr>
    <w:rPr>
      <w:rFonts w:ascii="黑体" w:hAnsi="宋体" w:eastAsia="黑体" w:cs="Times New Roman"/>
      <w:kern w:val="0"/>
      <w:sz w:val="30"/>
      <w:szCs w:val="20"/>
    </w:rPr>
  </w:style>
  <w:style w:type="character" w:customStyle="1" w:styleId="85">
    <w:name w:val="正文文本 2 Char"/>
    <w:basedOn w:val="48"/>
    <w:link w:val="39"/>
    <w:qFormat/>
    <w:uiPriority w:val="0"/>
    <w:rPr>
      <w:rFonts w:ascii="宋体" w:hAnsi="宋体" w:eastAsia="宋体" w:cs="Times New Roman"/>
      <w:color w:val="000000"/>
      <w:sz w:val="24"/>
      <w:szCs w:val="24"/>
      <w:lang w:val="zh-CN" w:eastAsia="zh-CN"/>
    </w:rPr>
  </w:style>
  <w:style w:type="paragraph" w:customStyle="1" w:styleId="86">
    <w:name w:val="样式4"/>
    <w:basedOn w:val="1"/>
    <w:qFormat/>
    <w:uiPriority w:val="99"/>
    <w:pPr>
      <w:widowControl/>
      <w:adjustRightInd w:val="0"/>
      <w:snapToGrid w:val="0"/>
      <w:spacing w:line="300" w:lineRule="auto"/>
      <w:ind w:firstLine="236" w:firstLineChars="236"/>
      <w:jc w:val="center"/>
    </w:pPr>
    <w:rPr>
      <w:rFonts w:ascii="黑体" w:hAnsi="宋体" w:eastAsia="黑体" w:cs="Times New Roman"/>
      <w:kern w:val="0"/>
      <w:sz w:val="30"/>
      <w:szCs w:val="20"/>
    </w:rPr>
  </w:style>
  <w:style w:type="paragraph" w:customStyle="1" w:styleId="87">
    <w:name w:val="样式3"/>
    <w:basedOn w:val="1"/>
    <w:qFormat/>
    <w:uiPriority w:val="99"/>
    <w:pPr>
      <w:spacing w:line="360" w:lineRule="auto"/>
      <w:jc w:val="center"/>
    </w:pPr>
    <w:rPr>
      <w:rFonts w:ascii="Times New Roman" w:hAnsi="Times New Roman" w:eastAsia="宋体" w:cs="Times New Roman"/>
      <w:b/>
      <w:bCs/>
      <w:sz w:val="32"/>
      <w:szCs w:val="24"/>
    </w:rPr>
  </w:style>
  <w:style w:type="paragraph" w:customStyle="1" w:styleId="88">
    <w:name w:val="样式5"/>
    <w:basedOn w:val="1"/>
    <w:qFormat/>
    <w:uiPriority w:val="99"/>
    <w:pPr>
      <w:tabs>
        <w:tab w:val="left" w:pos="7245"/>
      </w:tabs>
      <w:ind w:left="1764" w:leftChars="228" w:hanging="1285" w:hangingChars="400"/>
      <w:jc w:val="center"/>
    </w:pPr>
    <w:rPr>
      <w:rFonts w:ascii="Times New Roman" w:hAnsi="Times New Roman" w:eastAsia="宋体" w:cs="Times New Roman"/>
      <w:b/>
      <w:bCs/>
      <w:sz w:val="32"/>
      <w:szCs w:val="24"/>
    </w:rPr>
  </w:style>
  <w:style w:type="paragraph" w:customStyle="1" w:styleId="89">
    <w:name w:val="Char Char1 Char Char Char Char Char Char Char Char Char Char"/>
    <w:basedOn w:val="1"/>
    <w:qFormat/>
    <w:uiPriority w:val="99"/>
    <w:pPr>
      <w:widowControl/>
      <w:spacing w:after="160" w:line="240" w:lineRule="exact"/>
      <w:jc w:val="left"/>
    </w:pPr>
    <w:rPr>
      <w:rFonts w:ascii="Verdana" w:hAnsi="Verdana" w:eastAsia="FangSong_GB2312" w:cs="Times New Roman"/>
      <w:kern w:val="0"/>
      <w:sz w:val="24"/>
      <w:szCs w:val="20"/>
      <w:lang w:eastAsia="en-US"/>
    </w:rPr>
  </w:style>
  <w:style w:type="paragraph" w:customStyle="1" w:styleId="90">
    <w:name w:val="表格文字"/>
    <w:next w:val="20"/>
    <w:qFormat/>
    <w:uiPriority w:val="99"/>
    <w:pPr>
      <w:jc w:val="center"/>
    </w:pPr>
    <w:rPr>
      <w:rFonts w:ascii="Times New Roman" w:hAnsi="Times New Roman" w:eastAsia="KaiTi_GB2312" w:cs="Times New Roman"/>
      <w:bCs/>
      <w:sz w:val="24"/>
      <w:lang w:val="en-US" w:eastAsia="zh-CN" w:bidi="ar-SA"/>
    </w:rPr>
  </w:style>
  <w:style w:type="character" w:customStyle="1" w:styleId="91">
    <w:name w:val="正文缩进 Char"/>
    <w:link w:val="5"/>
    <w:qFormat/>
    <w:uiPriority w:val="99"/>
    <w:rPr>
      <w:rFonts w:ascii="Times New Roman" w:hAnsi="Times New Roman" w:eastAsia="宋体" w:cs="Times New Roman"/>
      <w:szCs w:val="24"/>
    </w:rPr>
  </w:style>
  <w:style w:type="paragraph" w:customStyle="1" w:styleId="92">
    <w:name w:val="Char Char Char Char Char Char Char"/>
    <w:basedOn w:val="1"/>
    <w:qFormat/>
    <w:uiPriority w:val="99"/>
    <w:rPr>
      <w:rFonts w:ascii="Times New Roman" w:hAnsi="Times New Roman" w:eastAsia="宋体" w:cs="Times New Roman"/>
      <w:szCs w:val="24"/>
    </w:rPr>
  </w:style>
  <w:style w:type="paragraph" w:customStyle="1" w:styleId="93">
    <w:name w:val="正文2"/>
    <w:basedOn w:val="1"/>
    <w:qFormat/>
    <w:uiPriority w:val="99"/>
    <w:pPr>
      <w:widowControl/>
      <w:jc w:val="left"/>
    </w:pPr>
    <w:rPr>
      <w:rFonts w:ascii="CG Times (WN)" w:hAnsi="CG Times (WN)" w:eastAsia="宋体" w:cs="Times New Roman"/>
      <w:kern w:val="0"/>
      <w:sz w:val="20"/>
      <w:szCs w:val="20"/>
      <w:lang w:val="it-IT"/>
    </w:rPr>
  </w:style>
  <w:style w:type="paragraph" w:customStyle="1" w:styleId="94">
    <w:name w:val="Char4"/>
    <w:basedOn w:val="1"/>
    <w:qFormat/>
    <w:uiPriority w:val="99"/>
    <w:rPr>
      <w:rFonts w:ascii="Times New Roman" w:hAnsi="Times New Roman" w:eastAsia="宋体" w:cs="Times New Roman"/>
      <w:szCs w:val="24"/>
    </w:rPr>
  </w:style>
  <w:style w:type="paragraph" w:customStyle="1" w:styleId="95">
    <w:name w:val="Char Char Char Char2"/>
    <w:basedOn w:val="1"/>
    <w:qFormat/>
    <w:uiPriority w:val="99"/>
    <w:rPr>
      <w:rFonts w:ascii="Times New Roman" w:hAnsi="Times New Roman" w:eastAsia="宋体" w:cs="Times New Roman"/>
      <w:kern w:val="0"/>
      <w:szCs w:val="24"/>
    </w:rPr>
  </w:style>
  <w:style w:type="character" w:customStyle="1" w:styleId="96">
    <w:name w:val="正文首行缩进 Char"/>
    <w:basedOn w:val="69"/>
    <w:link w:val="44"/>
    <w:qFormat/>
    <w:uiPriority w:val="0"/>
    <w:rPr>
      <w:rFonts w:ascii="FangSong_GB2312" w:hAnsi="Times New Roman" w:eastAsia="FangSong_GB2312" w:cs="Times New Roman"/>
      <w:sz w:val="28"/>
      <w:szCs w:val="24"/>
    </w:rPr>
  </w:style>
  <w:style w:type="character" w:customStyle="1" w:styleId="97">
    <w:name w:val="unnamed31"/>
    <w:qFormat/>
    <w:uiPriority w:val="0"/>
    <w:rPr>
      <w:rFonts w:hint="default" w:ascii="ˎ̥" w:hAnsi="ˎ̥" w:eastAsia="宋体"/>
      <w:color w:val="209BB7"/>
      <w:kern w:val="2"/>
      <w:sz w:val="18"/>
      <w:szCs w:val="18"/>
      <w:lang w:val="en-US" w:eastAsia="zh-CN" w:bidi="ar-SA"/>
    </w:rPr>
  </w:style>
  <w:style w:type="paragraph" w:customStyle="1" w:styleId="98">
    <w:name w:val="表格正文"/>
    <w:basedOn w:val="1"/>
    <w:link w:val="105"/>
    <w:qFormat/>
    <w:uiPriority w:val="0"/>
    <w:pPr>
      <w:spacing w:line="240" w:lineRule="atLeast"/>
    </w:pPr>
    <w:rPr>
      <w:rFonts w:ascii="Times New Roman" w:hAnsi="Times New Roman" w:eastAsia="KaiTi_GB2312" w:cs="Times New Roman"/>
      <w:sz w:val="24"/>
      <w:szCs w:val="24"/>
    </w:rPr>
  </w:style>
  <w:style w:type="paragraph" w:customStyle="1" w:styleId="99">
    <w:name w:val="表格标题"/>
    <w:basedOn w:val="98"/>
    <w:qFormat/>
    <w:uiPriority w:val="99"/>
    <w:pPr>
      <w:jc w:val="center"/>
    </w:pPr>
    <w:rPr>
      <w:b/>
      <w:bCs/>
    </w:rPr>
  </w:style>
  <w:style w:type="paragraph" w:customStyle="1" w:styleId="100">
    <w:name w:val="正文首行缩进2字"/>
    <w:basedOn w:val="1"/>
    <w:link w:val="102"/>
    <w:qFormat/>
    <w:uiPriority w:val="0"/>
    <w:pPr>
      <w:spacing w:before="100" w:beforeAutospacing="1" w:after="100" w:afterAutospacing="1"/>
      <w:ind w:firstLine="567"/>
    </w:pPr>
    <w:rPr>
      <w:rFonts w:ascii="Times New Roman" w:hAnsi="Times New Roman" w:eastAsia="KaiTi_GB2312" w:cs="Times New Roman"/>
      <w:kern w:val="0"/>
      <w:sz w:val="28"/>
      <w:szCs w:val="24"/>
    </w:rPr>
  </w:style>
  <w:style w:type="paragraph" w:customStyle="1" w:styleId="101">
    <w:name w:val="标题5"/>
    <w:basedOn w:val="7"/>
    <w:qFormat/>
    <w:uiPriority w:val="99"/>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102">
    <w:name w:val="正文首行缩进2字 Char"/>
    <w:link w:val="100"/>
    <w:qFormat/>
    <w:uiPriority w:val="0"/>
    <w:rPr>
      <w:rFonts w:ascii="Times New Roman" w:hAnsi="Times New Roman" w:eastAsia="KaiTi_GB2312" w:cs="Times New Roman"/>
      <w:kern w:val="0"/>
      <w:sz w:val="28"/>
      <w:szCs w:val="24"/>
    </w:rPr>
  </w:style>
  <w:style w:type="paragraph" w:customStyle="1" w:styleId="103">
    <w:name w:val="正文符号1"/>
    <w:basedOn w:val="100"/>
    <w:link w:val="104"/>
    <w:qFormat/>
    <w:uiPriority w:val="99"/>
    <w:pPr>
      <w:numPr>
        <w:ilvl w:val="0"/>
        <w:numId w:val="2"/>
      </w:numPr>
      <w:tabs>
        <w:tab w:val="left" w:pos="720"/>
        <w:tab w:val="left" w:pos="1080"/>
        <w:tab w:val="clear" w:pos="987"/>
      </w:tabs>
      <w:spacing w:before="0" w:beforeAutospacing="0" w:after="0" w:afterAutospacing="0"/>
      <w:ind w:left="567" w:hanging="567"/>
    </w:pPr>
    <w:rPr>
      <w:lang w:val="zh-CN"/>
    </w:rPr>
  </w:style>
  <w:style w:type="character" w:customStyle="1" w:styleId="104">
    <w:name w:val="正文符号1 Char"/>
    <w:link w:val="103"/>
    <w:qFormat/>
    <w:uiPriority w:val="99"/>
    <w:rPr>
      <w:rFonts w:ascii="Times New Roman" w:hAnsi="Times New Roman" w:eastAsia="KaiTi_GB2312" w:cs="Times New Roman"/>
      <w:kern w:val="0"/>
      <w:sz w:val="28"/>
      <w:szCs w:val="24"/>
      <w:lang w:val="zh-CN" w:eastAsia="zh-CN"/>
    </w:rPr>
  </w:style>
  <w:style w:type="character" w:customStyle="1" w:styleId="105">
    <w:name w:val="表格正文 Char"/>
    <w:link w:val="98"/>
    <w:qFormat/>
    <w:uiPriority w:val="0"/>
    <w:rPr>
      <w:rFonts w:ascii="Times New Roman" w:hAnsi="Times New Roman" w:eastAsia="KaiTi_GB2312" w:cs="Times New Roman"/>
      <w:sz w:val="24"/>
      <w:szCs w:val="24"/>
    </w:rPr>
  </w:style>
  <w:style w:type="paragraph" w:customStyle="1" w:styleId="106">
    <w:name w:val="Char Char Char Char Char Char Char Char Char Char"/>
    <w:basedOn w:val="16"/>
    <w:qFormat/>
    <w:uiPriority w:val="99"/>
    <w:rPr>
      <w:rFonts w:ascii="Tahoma" w:hAnsi="Tahoma" w:eastAsia="宋体"/>
      <w:sz w:val="24"/>
    </w:rPr>
  </w:style>
  <w:style w:type="character" w:customStyle="1" w:styleId="107">
    <w:name w:val="批注框文本 Char"/>
    <w:basedOn w:val="48"/>
    <w:link w:val="29"/>
    <w:qFormat/>
    <w:uiPriority w:val="0"/>
    <w:rPr>
      <w:rFonts w:ascii="Times New Roman" w:hAnsi="Times New Roman" w:eastAsia="宋体" w:cs="Times New Roman"/>
      <w:kern w:val="0"/>
      <w:sz w:val="18"/>
      <w:szCs w:val="18"/>
    </w:rPr>
  </w:style>
  <w:style w:type="character" w:customStyle="1" w:styleId="108">
    <w:name w:val="标题 2 Char1"/>
    <w:link w:val="3"/>
    <w:qFormat/>
    <w:uiPriority w:val="0"/>
    <w:rPr>
      <w:rFonts w:ascii="Arial" w:hAnsi="Arial" w:eastAsia="宋体" w:cs="Times New Roman"/>
      <w:b/>
      <w:bCs/>
      <w:sz w:val="24"/>
      <w:szCs w:val="32"/>
    </w:rPr>
  </w:style>
  <w:style w:type="paragraph" w:customStyle="1" w:styleId="109">
    <w:name w:val="正文符号4"/>
    <w:basedOn w:val="1"/>
    <w:qFormat/>
    <w:uiPriority w:val="99"/>
    <w:pPr>
      <w:tabs>
        <w:tab w:val="left" w:pos="1407"/>
      </w:tabs>
      <w:ind w:left="1407" w:hanging="420"/>
    </w:pPr>
    <w:rPr>
      <w:rFonts w:ascii="Times New Roman" w:hAnsi="Times New Roman" w:eastAsia="KaiTi_GB2312" w:cs="Times New Roman"/>
      <w:kern w:val="0"/>
      <w:sz w:val="28"/>
      <w:szCs w:val="24"/>
    </w:rPr>
  </w:style>
  <w:style w:type="paragraph" w:customStyle="1" w:styleId="110">
    <w:name w:val="纯文本1"/>
    <w:basedOn w:val="1"/>
    <w:qFormat/>
    <w:uiPriority w:val="99"/>
    <w:pPr>
      <w:adjustRightInd w:val="0"/>
    </w:pPr>
    <w:rPr>
      <w:rFonts w:hint="eastAsia" w:ascii="宋体" w:hAnsi="Courier New" w:eastAsia="KaiTi_GB2312" w:cs="Times New Roman"/>
      <w:sz w:val="28"/>
      <w:szCs w:val="20"/>
    </w:rPr>
  </w:style>
  <w:style w:type="paragraph" w:customStyle="1" w:styleId="111">
    <w:name w:val="Char1"/>
    <w:basedOn w:val="1"/>
    <w:qFormat/>
    <w:uiPriority w:val="99"/>
    <w:pPr>
      <w:tabs>
        <w:tab w:val="left" w:pos="360"/>
      </w:tabs>
      <w:ind w:left="360" w:hanging="360" w:hangingChars="200"/>
    </w:pPr>
    <w:rPr>
      <w:rFonts w:ascii="Times New Roman" w:hAnsi="Times New Roman" w:eastAsia="宋体" w:cs="Times New Roman"/>
      <w:sz w:val="24"/>
      <w:szCs w:val="24"/>
    </w:rPr>
  </w:style>
  <w:style w:type="paragraph" w:customStyle="1" w:styleId="112">
    <w:name w:val="方案正文"/>
    <w:basedOn w:val="1"/>
    <w:qFormat/>
    <w:uiPriority w:val="99"/>
    <w:pPr>
      <w:adjustRightInd w:val="0"/>
      <w:ind w:firstLine="480"/>
    </w:pPr>
    <w:rPr>
      <w:rFonts w:ascii="宋体" w:hAnsi="Arial" w:eastAsia="宋体" w:cs="Times New Roman"/>
      <w:sz w:val="24"/>
      <w:szCs w:val="20"/>
    </w:rPr>
  </w:style>
  <w:style w:type="character" w:customStyle="1" w:styleId="113">
    <w:name w:val="节标题 1.1 Char"/>
    <w:qFormat/>
    <w:uiPriority w:val="0"/>
    <w:rPr>
      <w:rFonts w:ascii="Arial" w:hAnsi="Arial" w:eastAsia="黑体"/>
      <w:b/>
      <w:bCs/>
      <w:kern w:val="2"/>
      <w:sz w:val="32"/>
      <w:szCs w:val="32"/>
      <w:lang w:val="en-US" w:eastAsia="zh-CN" w:bidi="ar-SA"/>
    </w:rPr>
  </w:style>
  <w:style w:type="character" w:customStyle="1" w:styleId="114">
    <w:name w:val="Char Char5"/>
    <w:qFormat/>
    <w:uiPriority w:val="0"/>
    <w:rPr>
      <w:rFonts w:ascii="宋体" w:hAnsi="Courier New" w:eastAsia="宋体" w:cs="Courier New"/>
      <w:kern w:val="2"/>
      <w:sz w:val="21"/>
      <w:szCs w:val="21"/>
      <w:lang w:val="en-US" w:eastAsia="zh-CN" w:bidi="ar-SA"/>
    </w:rPr>
  </w:style>
  <w:style w:type="character" w:customStyle="1" w:styleId="115">
    <w:name w:val="正文文本 3 Char"/>
    <w:basedOn w:val="48"/>
    <w:link w:val="19"/>
    <w:qFormat/>
    <w:uiPriority w:val="0"/>
    <w:rPr>
      <w:rFonts w:ascii="宋体" w:hAnsi="Times New Roman" w:eastAsia="宋体" w:cs="Times New Roman"/>
      <w:sz w:val="18"/>
      <w:szCs w:val="20"/>
      <w:lang w:val="zh-CN" w:eastAsia="zh-CN"/>
    </w:rPr>
  </w:style>
  <w:style w:type="character" w:customStyle="1" w:styleId="116">
    <w:name w:val="批注文字 Char"/>
    <w:basedOn w:val="48"/>
    <w:link w:val="17"/>
    <w:qFormat/>
    <w:uiPriority w:val="0"/>
    <w:rPr>
      <w:rFonts w:ascii="Calibri" w:hAnsi="Calibri" w:eastAsia="宋体" w:cs="Times New Roman"/>
    </w:rPr>
  </w:style>
  <w:style w:type="character" w:customStyle="1" w:styleId="117">
    <w:name w:val="批注主题 Char"/>
    <w:basedOn w:val="116"/>
    <w:link w:val="43"/>
    <w:qFormat/>
    <w:uiPriority w:val="0"/>
    <w:rPr>
      <w:rFonts w:ascii="Calibri" w:hAnsi="Calibri" w:eastAsia="宋体" w:cs="Times New Roman"/>
      <w:b/>
      <w:bCs/>
    </w:rPr>
  </w:style>
  <w:style w:type="character" w:customStyle="1" w:styleId="118">
    <w:name w:val="标题 Char"/>
    <w:basedOn w:val="48"/>
    <w:link w:val="42"/>
    <w:qFormat/>
    <w:uiPriority w:val="0"/>
    <w:rPr>
      <w:rFonts w:ascii="Cambria" w:hAnsi="Cambria" w:eastAsia="宋体" w:cs="Times New Roman"/>
      <w:b/>
      <w:bCs/>
      <w:sz w:val="32"/>
      <w:szCs w:val="32"/>
      <w:lang w:val="zh-CN" w:eastAsia="zh-CN"/>
    </w:rPr>
  </w:style>
  <w:style w:type="paragraph" w:styleId="119">
    <w:name w:val="No Spacing"/>
    <w:link w:val="120"/>
    <w:qFormat/>
    <w:uiPriority w:val="0"/>
    <w:rPr>
      <w:rFonts w:ascii="Calibri" w:hAnsi="Calibri" w:eastAsia="宋体" w:cs="Times New Roman"/>
      <w:sz w:val="22"/>
      <w:szCs w:val="22"/>
      <w:lang w:val="en-US" w:eastAsia="zh-CN" w:bidi="ar-SA"/>
    </w:rPr>
  </w:style>
  <w:style w:type="character" w:customStyle="1" w:styleId="120">
    <w:name w:val="无间隔 Char"/>
    <w:link w:val="119"/>
    <w:qFormat/>
    <w:uiPriority w:val="0"/>
    <w:rPr>
      <w:rFonts w:ascii="Calibri" w:hAnsi="Calibri" w:eastAsia="宋体" w:cs="Times New Roman"/>
      <w:kern w:val="0"/>
      <w:sz w:val="22"/>
    </w:rPr>
  </w:style>
  <w:style w:type="paragraph" w:styleId="121">
    <w:name w:val="List Paragraph"/>
    <w:basedOn w:val="1"/>
    <w:qFormat/>
    <w:uiPriority w:val="0"/>
    <w:pPr>
      <w:ind w:firstLine="420" w:firstLineChars="200"/>
    </w:pPr>
    <w:rPr>
      <w:rFonts w:ascii="Calibri" w:hAnsi="Calibri" w:eastAsia="宋体" w:cs="Times New Roman"/>
    </w:rPr>
  </w:style>
  <w:style w:type="paragraph" w:customStyle="1" w:styleId="122">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character" w:customStyle="1" w:styleId="123">
    <w:name w:val="oblog_text"/>
    <w:basedOn w:val="48"/>
    <w:qFormat/>
    <w:uiPriority w:val="0"/>
  </w:style>
  <w:style w:type="paragraph" w:customStyle="1" w:styleId="124">
    <w:name w:val="正文点列"/>
    <w:basedOn w:val="1"/>
    <w:qFormat/>
    <w:uiPriority w:val="99"/>
    <w:pPr>
      <w:keepLines/>
      <w:numPr>
        <w:ilvl w:val="0"/>
        <w:numId w:val="3"/>
      </w:numPr>
      <w:tabs>
        <w:tab w:val="left" w:pos="0"/>
        <w:tab w:val="clear" w:pos="1410"/>
      </w:tabs>
      <w:spacing w:after="120" w:line="360" w:lineRule="auto"/>
      <w:ind w:left="1385" w:hanging="425"/>
    </w:pPr>
    <w:rPr>
      <w:rFonts w:ascii="宋体" w:hAnsi="Times New Roman" w:eastAsia="宋体" w:cs="Times New Roman"/>
      <w:kern w:val="0"/>
      <w:sz w:val="24"/>
      <w:szCs w:val="20"/>
    </w:rPr>
  </w:style>
  <w:style w:type="paragraph" w:customStyle="1" w:styleId="125">
    <w:name w:val="topic"/>
    <w:basedOn w:val="1"/>
    <w:qFormat/>
    <w:uiPriority w:val="99"/>
    <w:pPr>
      <w:tabs>
        <w:tab w:val="left" w:pos="1200"/>
      </w:tabs>
      <w:spacing w:before="360" w:after="240" w:line="360" w:lineRule="auto"/>
      <w:ind w:left="1200" w:hanging="360"/>
      <w:jc w:val="center"/>
    </w:pPr>
    <w:rPr>
      <w:rFonts w:ascii="Times New Roman" w:hAnsi="Times New Roman" w:eastAsia="宋体" w:cs="Times New Roman"/>
      <w:b/>
      <w:sz w:val="32"/>
      <w:szCs w:val="20"/>
    </w:rPr>
  </w:style>
  <w:style w:type="character" w:customStyle="1" w:styleId="126">
    <w:name w:val="注释标题 Char"/>
    <w:basedOn w:val="48"/>
    <w:link w:val="13"/>
    <w:qFormat/>
    <w:uiPriority w:val="0"/>
    <w:rPr>
      <w:rFonts w:ascii="Times New Roman" w:hAnsi="Times New Roman" w:eastAsia="宋体" w:cs="Times New Roman"/>
      <w:sz w:val="24"/>
      <w:szCs w:val="20"/>
      <w:lang w:val="zh-CN" w:eastAsia="zh-CN"/>
    </w:rPr>
  </w:style>
  <w:style w:type="paragraph" w:customStyle="1" w:styleId="127">
    <w:name w:val="列表1"/>
    <w:basedOn w:val="1"/>
    <w:qFormat/>
    <w:uiPriority w:val="99"/>
    <w:pPr>
      <w:keepNext/>
      <w:keepLines/>
      <w:adjustRightInd w:val="0"/>
      <w:ind w:left="902" w:hanging="480"/>
      <w:textAlignment w:val="baseline"/>
    </w:pPr>
    <w:rPr>
      <w:rFonts w:ascii="昆仑仿宋" w:hAnsi="Albertus Extra Bold" w:eastAsia="昆仑仿宋" w:cs="Times New Roman"/>
      <w:kern w:val="0"/>
      <w:sz w:val="32"/>
      <w:szCs w:val="20"/>
    </w:rPr>
  </w:style>
  <w:style w:type="paragraph" w:customStyle="1" w:styleId="128">
    <w:name w:val="正文表格"/>
    <w:basedOn w:val="1"/>
    <w:qFormat/>
    <w:uiPriority w:val="99"/>
    <w:pPr>
      <w:keepNext/>
      <w:keepLines/>
      <w:adjustRightInd w:val="0"/>
      <w:spacing w:before="40" w:after="40"/>
      <w:ind w:left="-2"/>
      <w:textAlignment w:val="baseline"/>
    </w:pPr>
    <w:rPr>
      <w:rFonts w:ascii="宋体" w:hAnsi="Albertus Extra Bold" w:eastAsia="昆仑仿宋" w:cs="Times New Roman"/>
      <w:kern w:val="0"/>
      <w:sz w:val="24"/>
      <w:szCs w:val="20"/>
    </w:rPr>
  </w:style>
  <w:style w:type="paragraph" w:customStyle="1" w:styleId="129">
    <w:name w:val="graph"/>
    <w:basedOn w:val="20"/>
    <w:qFormat/>
    <w:uiPriority w:val="99"/>
    <w:pPr>
      <w:widowControl/>
      <w:adjustRightInd w:val="0"/>
      <w:spacing w:before="120" w:after="120" w:line="360" w:lineRule="auto"/>
      <w:ind w:right="181" w:firstLine="200" w:firstLineChars="200"/>
      <w:textAlignment w:val="baseline"/>
    </w:pPr>
    <w:rPr>
      <w:rFonts w:ascii="宋体" w:hAnsi="Albertus Extra Bold" w:eastAsia="宋体"/>
      <w:spacing w:val="20"/>
      <w:sz w:val="32"/>
      <w:szCs w:val="20"/>
    </w:rPr>
  </w:style>
  <w:style w:type="paragraph" w:customStyle="1" w:styleId="130">
    <w:name w:val="list1"/>
    <w:basedOn w:val="127"/>
    <w:next w:val="131"/>
    <w:qFormat/>
    <w:uiPriority w:val="99"/>
    <w:pPr>
      <w:ind w:left="1242" w:hanging="397"/>
    </w:pPr>
    <w:rPr>
      <w:rFonts w:ascii="宋体" w:eastAsia="宋体"/>
      <w:color w:val="000000"/>
    </w:rPr>
  </w:style>
  <w:style w:type="paragraph" w:customStyle="1" w:styleId="131">
    <w:name w:val="ListText"/>
    <w:basedOn w:val="20"/>
    <w:qFormat/>
    <w:uiPriority w:val="99"/>
    <w:pPr>
      <w:widowControl/>
      <w:autoSpaceDE w:val="0"/>
      <w:autoSpaceDN w:val="0"/>
      <w:adjustRightInd w:val="0"/>
      <w:spacing w:before="60" w:after="60" w:line="360" w:lineRule="auto"/>
      <w:ind w:left="900" w:right="181" w:firstLine="284" w:firstLineChars="200"/>
      <w:jc w:val="both"/>
      <w:textAlignment w:val="baseline"/>
    </w:pPr>
    <w:rPr>
      <w:rFonts w:ascii="宋体" w:hAnsi="Tms Rmn" w:eastAsia="宋体"/>
      <w:spacing w:val="20"/>
      <w:sz w:val="32"/>
      <w:szCs w:val="20"/>
    </w:rPr>
  </w:style>
  <w:style w:type="paragraph" w:customStyle="1" w:styleId="132">
    <w:name w:val="font5"/>
    <w:basedOn w:val="1"/>
    <w:qFormat/>
    <w:uiPriority w:val="99"/>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33">
    <w:name w:val="font6"/>
    <w:basedOn w:val="1"/>
    <w:qFormat/>
    <w:uiPriority w:val="99"/>
    <w:pPr>
      <w:widowControl/>
      <w:spacing w:before="100" w:beforeAutospacing="1" w:after="100" w:afterAutospacing="1"/>
      <w:jc w:val="left"/>
    </w:pPr>
    <w:rPr>
      <w:rFonts w:ascii="Times New Roman" w:hAnsi="Times New Roman" w:eastAsia="Arial Unicode MS" w:cs="Times New Roman"/>
      <w:kern w:val="0"/>
      <w:sz w:val="18"/>
      <w:szCs w:val="18"/>
    </w:rPr>
  </w:style>
  <w:style w:type="paragraph" w:customStyle="1" w:styleId="134">
    <w:name w:val="font7"/>
    <w:basedOn w:val="1"/>
    <w:qFormat/>
    <w:uiPriority w:val="99"/>
    <w:pPr>
      <w:widowControl/>
      <w:spacing w:before="100" w:beforeAutospacing="1" w:after="100" w:afterAutospacing="1"/>
      <w:jc w:val="left"/>
    </w:pPr>
    <w:rPr>
      <w:rFonts w:hint="eastAsia" w:ascii="宋体" w:hAnsi="宋体" w:eastAsia="宋体" w:cs="Arial Unicode MS"/>
      <w:color w:val="0000FF"/>
      <w:kern w:val="0"/>
      <w:sz w:val="36"/>
      <w:szCs w:val="36"/>
    </w:rPr>
  </w:style>
  <w:style w:type="paragraph" w:customStyle="1" w:styleId="135">
    <w:name w:val="font8"/>
    <w:basedOn w:val="1"/>
    <w:qFormat/>
    <w:uiPriority w:val="99"/>
    <w:pPr>
      <w:widowControl/>
      <w:spacing w:before="100" w:beforeAutospacing="1" w:after="100" w:afterAutospacing="1"/>
      <w:jc w:val="left"/>
    </w:pPr>
    <w:rPr>
      <w:rFonts w:ascii="Times New Roman" w:hAnsi="Times New Roman" w:eastAsia="Arial Unicode MS" w:cs="Times New Roman"/>
      <w:color w:val="0000FF"/>
      <w:kern w:val="0"/>
      <w:sz w:val="36"/>
      <w:szCs w:val="36"/>
    </w:rPr>
  </w:style>
  <w:style w:type="paragraph" w:customStyle="1" w:styleId="136">
    <w:name w:val="font9"/>
    <w:basedOn w:val="1"/>
    <w:qFormat/>
    <w:uiPriority w:val="99"/>
    <w:pPr>
      <w:widowControl/>
      <w:spacing w:before="100" w:beforeAutospacing="1" w:after="100" w:afterAutospacing="1"/>
      <w:jc w:val="left"/>
    </w:pPr>
    <w:rPr>
      <w:rFonts w:hint="eastAsia" w:ascii="宋体" w:hAnsi="宋体" w:eastAsia="宋体" w:cs="Arial Unicode MS"/>
      <w:b/>
      <w:bCs/>
      <w:kern w:val="0"/>
      <w:sz w:val="22"/>
    </w:rPr>
  </w:style>
  <w:style w:type="paragraph" w:customStyle="1" w:styleId="137">
    <w:name w:val="font10"/>
    <w:basedOn w:val="1"/>
    <w:qFormat/>
    <w:uiPriority w:val="99"/>
    <w:pPr>
      <w:widowControl/>
      <w:spacing w:before="100" w:beforeAutospacing="1" w:after="100" w:afterAutospacing="1"/>
      <w:jc w:val="left"/>
    </w:pPr>
    <w:rPr>
      <w:rFonts w:ascii="Times New Roman" w:hAnsi="Times New Roman" w:eastAsia="Arial Unicode MS" w:cs="Times New Roman"/>
      <w:b/>
      <w:bCs/>
      <w:kern w:val="0"/>
      <w:sz w:val="22"/>
    </w:rPr>
  </w:style>
  <w:style w:type="paragraph" w:customStyle="1" w:styleId="13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0">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1">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2">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4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5">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6">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7">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8">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49">
    <w:name w:val="xl35"/>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50">
    <w:name w:val="xl36"/>
    <w:basedOn w:val="1"/>
    <w:qFormat/>
    <w:uiPriority w:val="99"/>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1">
    <w:name w:val="xl37"/>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2">
    <w:name w:val="xl38"/>
    <w:basedOn w:val="1"/>
    <w:qFormat/>
    <w:uiPriority w:val="99"/>
    <w:pPr>
      <w:widowControl/>
      <w:pBdr>
        <w:top w:val="single" w:color="auto" w:sz="4" w:space="0"/>
        <w:bottom w:val="single" w:color="auto" w:sz="4" w:space="0"/>
      </w:pBdr>
      <w:shd w:val="clear" w:color="auto" w:fill="CCFFFF"/>
      <w:spacing w:before="100" w:beforeAutospacing="1" w:after="100" w:afterAutospacing="1"/>
      <w:jc w:val="left"/>
    </w:pPr>
    <w:rPr>
      <w:rFonts w:ascii="Arial Unicode MS" w:hAnsi="Arial Unicode MS" w:eastAsia="Arial Unicode MS" w:cs="Arial Unicode MS"/>
      <w:b/>
      <w:bCs/>
      <w:i/>
      <w:iCs/>
      <w:kern w:val="0"/>
      <w:sz w:val="20"/>
      <w:szCs w:val="20"/>
    </w:rPr>
  </w:style>
  <w:style w:type="paragraph" w:customStyle="1" w:styleId="153">
    <w:name w:val="xl39"/>
    <w:basedOn w:val="1"/>
    <w:qFormat/>
    <w:uiPriority w:val="99"/>
    <w:pPr>
      <w:widowControl/>
      <w:pBdr>
        <w:top w:val="single" w:color="auto" w:sz="4" w:space="0"/>
        <w:bottom w:val="single" w:color="auto" w:sz="4" w:space="0"/>
      </w:pBdr>
      <w:shd w:val="clear" w:color="auto" w:fill="CC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5">
    <w:name w:val="xl41"/>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56">
    <w:name w:val="xl4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5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9">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160">
    <w:name w:val="xl46"/>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1">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2">
    <w:name w:val="xl48"/>
    <w:basedOn w:val="1"/>
    <w:qFormat/>
    <w:uiPriority w:val="99"/>
    <w:pPr>
      <w:widowControl/>
      <w:pBdr>
        <w:top w:val="single" w:color="auto" w:sz="8" w:space="0"/>
        <w:left w:val="single" w:color="auto" w:sz="8"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3">
    <w:name w:val="xl49"/>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4">
    <w:name w:val="xl50"/>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5">
    <w:name w:val="xl51"/>
    <w:basedOn w:val="1"/>
    <w:qFormat/>
    <w:uiPriority w:val="99"/>
    <w:pPr>
      <w:widowControl/>
      <w:pBdr>
        <w:top w:val="single" w:color="auto" w:sz="8" w:space="0"/>
        <w:left w:val="single" w:color="auto" w:sz="4" w:space="0"/>
        <w:bottom w:val="single" w:color="auto" w:sz="8" w:space="0"/>
        <w:right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6">
    <w:name w:val="xl52"/>
    <w:basedOn w:val="1"/>
    <w:qFormat/>
    <w:uiPriority w:val="99"/>
    <w:pPr>
      <w:widowControl/>
      <w:pBdr>
        <w:top w:val="single" w:color="auto" w:sz="8" w:space="0"/>
        <w:left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67">
    <w:name w:val="xl53"/>
    <w:basedOn w:val="1"/>
    <w:qFormat/>
    <w:uiPriority w:val="99"/>
    <w:pPr>
      <w:widowControl/>
      <w:pBdr>
        <w:top w:val="single" w:color="auto" w:sz="8" w:space="0"/>
        <w:bottom w:val="single" w:color="auto" w:sz="8" w:space="0"/>
      </w:pBdr>
      <w:shd w:val="clear" w:color="auto" w:fill="FFFF99"/>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8">
    <w:name w:val="xl54"/>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69">
    <w:name w:val="xl55"/>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0">
    <w:name w:val="xl56"/>
    <w:basedOn w:val="1"/>
    <w:qFormat/>
    <w:uiPriority w:val="99"/>
    <w:pPr>
      <w:widowControl/>
      <w:pBdr>
        <w:top w:val="single" w:color="auto" w:sz="8" w:space="0"/>
        <w:bottom w:val="single" w:color="auto" w:sz="8" w:space="0"/>
        <w:right w:val="single" w:color="auto" w:sz="8" w:space="0"/>
      </w:pBdr>
      <w:shd w:val="clear" w:color="auto" w:fill="FFFF99"/>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71">
    <w:name w:val="xl57"/>
    <w:basedOn w:val="1"/>
    <w:qFormat/>
    <w:uiPriority w:val="99"/>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2">
    <w:name w:val="xl58"/>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73">
    <w:name w:val="正文1)"/>
    <w:basedOn w:val="1"/>
    <w:qFormat/>
    <w:uiPriority w:val="99"/>
    <w:pPr>
      <w:tabs>
        <w:tab w:val="left" w:pos="-120"/>
        <w:tab w:val="left" w:pos="0"/>
        <w:tab w:val="left" w:pos="120"/>
        <w:tab w:val="left" w:pos="360"/>
      </w:tabs>
      <w:spacing w:line="360" w:lineRule="auto"/>
      <w:ind w:left="360" w:hanging="360" w:hangingChars="200"/>
      <w:jc w:val="left"/>
    </w:pPr>
    <w:rPr>
      <w:rFonts w:ascii="宋体" w:hAnsi="Arial" w:eastAsia="宋体" w:cs="Times New Roman"/>
      <w:smallCaps/>
      <w:spacing w:val="-20"/>
      <w:sz w:val="24"/>
      <w:szCs w:val="20"/>
    </w:rPr>
  </w:style>
  <w:style w:type="paragraph" w:customStyle="1" w:styleId="174">
    <w:name w:val="方案标题2"/>
    <w:basedOn w:val="1"/>
    <w:next w:val="1"/>
    <w:qFormat/>
    <w:uiPriority w:val="99"/>
    <w:pPr>
      <w:keepLines/>
      <w:tabs>
        <w:tab w:val="left" w:pos="567"/>
      </w:tabs>
      <w:adjustRightInd w:val="0"/>
      <w:ind w:left="567" w:hanging="567"/>
    </w:pPr>
    <w:rPr>
      <w:rFonts w:ascii="Arial" w:hAnsi="Arial" w:eastAsia="黑体" w:cs="Times New Roman"/>
      <w:snapToGrid w:val="0"/>
      <w:sz w:val="30"/>
      <w:szCs w:val="20"/>
    </w:rPr>
  </w:style>
  <w:style w:type="paragraph" w:customStyle="1" w:styleId="175">
    <w:name w:val="方案标题3"/>
    <w:basedOn w:val="174"/>
    <w:next w:val="1"/>
    <w:qFormat/>
    <w:uiPriority w:val="99"/>
    <w:pPr>
      <w:tabs>
        <w:tab w:val="clear" w:pos="567"/>
      </w:tabs>
      <w:ind w:left="-1738" w:hanging="1020"/>
    </w:pPr>
    <w:rPr>
      <w:b/>
      <w:sz w:val="28"/>
    </w:rPr>
  </w:style>
  <w:style w:type="paragraph" w:customStyle="1" w:styleId="176">
    <w:name w:val="方案正文 Char1"/>
    <w:basedOn w:val="1"/>
    <w:qFormat/>
    <w:uiPriority w:val="99"/>
    <w:pPr>
      <w:adjustRightInd w:val="0"/>
      <w:ind w:firstLine="480"/>
    </w:pPr>
    <w:rPr>
      <w:rFonts w:ascii="宋体" w:hAnsi="Arial" w:eastAsia="宋体" w:cs="Times New Roman"/>
      <w:sz w:val="24"/>
      <w:szCs w:val="20"/>
    </w:rPr>
  </w:style>
  <w:style w:type="paragraph" w:customStyle="1" w:styleId="177">
    <w:name w:val="方案标题4"/>
    <w:basedOn w:val="6"/>
    <w:qFormat/>
    <w:uiPriority w:val="99"/>
    <w:pPr>
      <w:keepNext w:val="0"/>
      <w:keepLines w:val="0"/>
      <w:widowControl w:val="0"/>
      <w:tabs>
        <w:tab w:val="left" w:pos="851"/>
      </w:tabs>
      <w:adjustRightInd w:val="0"/>
      <w:spacing w:before="0" w:after="0"/>
      <w:ind w:left="851" w:firstLine="330"/>
      <w:jc w:val="left"/>
    </w:pPr>
    <w:rPr>
      <w:b/>
      <w:spacing w:val="14"/>
      <w:kern w:val="2"/>
    </w:rPr>
  </w:style>
  <w:style w:type="paragraph" w:customStyle="1" w:styleId="178">
    <w:name w:val="方案标题5"/>
    <w:basedOn w:val="177"/>
    <w:qFormat/>
    <w:uiPriority w:val="99"/>
    <w:pPr>
      <w:tabs>
        <w:tab w:val="left" w:pos="992"/>
        <w:tab w:val="clear" w:pos="851"/>
      </w:tabs>
      <w:ind w:left="1076" w:leftChars="342" w:hanging="358" w:hangingChars="133"/>
    </w:pPr>
    <w:rPr>
      <w:sz w:val="24"/>
    </w:rPr>
  </w:style>
  <w:style w:type="paragraph" w:customStyle="1" w:styleId="179">
    <w:name w:val="方案正文 Char Char"/>
    <w:basedOn w:val="1"/>
    <w:qFormat/>
    <w:uiPriority w:val="99"/>
    <w:pPr>
      <w:adjustRightInd w:val="0"/>
      <w:ind w:firstLine="480"/>
    </w:pPr>
    <w:rPr>
      <w:rFonts w:ascii="宋体" w:hAnsi="Arial" w:eastAsia="宋体" w:cs="Times New Roman"/>
      <w:sz w:val="24"/>
      <w:szCs w:val="20"/>
    </w:rPr>
  </w:style>
  <w:style w:type="paragraph" w:customStyle="1" w:styleId="180">
    <w:name w:val="方案表格正文"/>
    <w:basedOn w:val="1"/>
    <w:qFormat/>
    <w:uiPriority w:val="99"/>
    <w:pPr>
      <w:adjustRightInd w:val="0"/>
      <w:snapToGrid w:val="0"/>
      <w:textAlignment w:val="baseline"/>
    </w:pPr>
    <w:rPr>
      <w:rFonts w:ascii="宋体" w:hAnsi="宋体" w:eastAsia="宋体" w:cs="Times New Roman"/>
      <w:snapToGrid w:val="0"/>
      <w:kern w:val="0"/>
      <w:sz w:val="18"/>
      <w:szCs w:val="20"/>
    </w:rPr>
  </w:style>
  <w:style w:type="paragraph" w:customStyle="1" w:styleId="181">
    <w:name w:val="Style3"/>
    <w:basedOn w:val="4"/>
    <w:qFormat/>
    <w:uiPriority w:val="99"/>
    <w:pPr>
      <w:keepNext w:val="0"/>
      <w:keepLines w:val="0"/>
      <w:numPr>
        <w:ilvl w:val="0"/>
        <w:numId w:val="4"/>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 w:val="clear" w:pos="780"/>
        <w:tab w:val="clear" w:pos="720"/>
      </w:tabs>
      <w:spacing w:after="0" w:line="240" w:lineRule="auto"/>
      <w:ind w:left="0" w:firstLine="0"/>
      <w:jc w:val="left"/>
      <w:outlineLvl w:val="9"/>
    </w:pPr>
    <w:rPr>
      <w:rFonts w:cs="Arial"/>
      <w:szCs w:val="24"/>
      <w:lang w:val="fr-FR" w:eastAsia="en-US"/>
    </w:rPr>
  </w:style>
  <w:style w:type="character" w:customStyle="1" w:styleId="182">
    <w:name w:val="正文首行缩进 2 Char"/>
    <w:basedOn w:val="64"/>
    <w:link w:val="45"/>
    <w:qFormat/>
    <w:uiPriority w:val="0"/>
    <w:rPr>
      <w:rFonts w:ascii="FangSong_GB2312" w:hAnsi="宋体" w:eastAsia="FangSong_GB2312" w:cs="Times New Roman"/>
      <w:sz w:val="24"/>
      <w:szCs w:val="24"/>
      <w:lang w:val="zh-CN" w:eastAsia="zh-CN"/>
    </w:rPr>
  </w:style>
  <w:style w:type="paragraph" w:customStyle="1" w:styleId="183">
    <w:name w:val="样式 宋体 加宽量  1 磅 行距: 1.5 倍行距3"/>
    <w:basedOn w:val="1"/>
    <w:qFormat/>
    <w:uiPriority w:val="99"/>
    <w:pPr>
      <w:spacing w:line="360" w:lineRule="auto"/>
    </w:pPr>
    <w:rPr>
      <w:rFonts w:ascii="宋体" w:hAnsi="宋体" w:eastAsia="宋体" w:cs="Times New Roman"/>
      <w:sz w:val="24"/>
      <w:szCs w:val="24"/>
    </w:rPr>
  </w:style>
  <w:style w:type="paragraph" w:customStyle="1" w:styleId="184">
    <w:name w:val="正文段"/>
    <w:basedOn w:val="1"/>
    <w:qFormat/>
    <w:uiPriority w:val="99"/>
    <w:pPr>
      <w:adjustRightInd w:val="0"/>
      <w:spacing w:after="240" w:line="312" w:lineRule="atLeast"/>
      <w:ind w:firstLine="425"/>
      <w:textAlignment w:val="baseline"/>
    </w:pPr>
    <w:rPr>
      <w:rFonts w:ascii="Times New Roman" w:hAnsi="Times New Roman" w:eastAsia="宋体" w:cs="Times New Roman"/>
      <w:kern w:val="0"/>
      <w:sz w:val="24"/>
      <w:szCs w:val="20"/>
    </w:rPr>
  </w:style>
  <w:style w:type="character" w:customStyle="1" w:styleId="185">
    <w:name w:val="f14t1"/>
    <w:qFormat/>
    <w:uiPriority w:val="0"/>
    <w:rPr>
      <w:rFonts w:ascii="Tahoma" w:hAnsi="Tahoma" w:eastAsia="宋体"/>
      <w:b/>
      <w:bCs/>
      <w:color w:val="4A4A4A"/>
      <w:spacing w:val="15"/>
      <w:kern w:val="2"/>
      <w:sz w:val="21"/>
      <w:szCs w:val="21"/>
      <w:lang w:val="en-US" w:eastAsia="zh-CN" w:bidi="ar-SA"/>
    </w:rPr>
  </w:style>
  <w:style w:type="character" w:customStyle="1" w:styleId="186">
    <w:name w:val="称呼 Char"/>
    <w:basedOn w:val="48"/>
    <w:link w:val="18"/>
    <w:qFormat/>
    <w:uiPriority w:val="0"/>
    <w:rPr>
      <w:rFonts w:ascii="Times New Roman" w:hAnsi="Times New Roman" w:eastAsia="宋体" w:cs="Times New Roman"/>
      <w:sz w:val="28"/>
      <w:szCs w:val="24"/>
      <w:lang w:val="zh-CN" w:eastAsia="zh-CN"/>
    </w:rPr>
  </w:style>
  <w:style w:type="paragraph" w:customStyle="1" w:styleId="187">
    <w:name w:val="Char Char Char Char Char Char"/>
    <w:basedOn w:val="1"/>
    <w:link w:val="188"/>
    <w:qFormat/>
    <w:uiPriority w:val="0"/>
    <w:pPr>
      <w:adjustRightInd w:val="0"/>
      <w:spacing w:line="360" w:lineRule="auto"/>
    </w:pPr>
    <w:rPr>
      <w:rFonts w:ascii="Times New Roman" w:hAnsi="Times New Roman" w:eastAsia="宋体" w:cs="Times New Roman"/>
      <w:kern w:val="0"/>
      <w:sz w:val="24"/>
      <w:szCs w:val="20"/>
    </w:rPr>
  </w:style>
  <w:style w:type="character" w:customStyle="1" w:styleId="188">
    <w:name w:val="Char Char Char Char Char Char Char2"/>
    <w:link w:val="187"/>
    <w:qFormat/>
    <w:uiPriority w:val="0"/>
    <w:rPr>
      <w:rFonts w:ascii="Times New Roman" w:hAnsi="Times New Roman" w:eastAsia="宋体" w:cs="Times New Roman"/>
      <w:kern w:val="0"/>
      <w:sz w:val="24"/>
      <w:szCs w:val="20"/>
    </w:rPr>
  </w:style>
  <w:style w:type="character" w:customStyle="1" w:styleId="189">
    <w:name w:val="c121"/>
    <w:qFormat/>
    <w:uiPriority w:val="0"/>
    <w:rPr>
      <w:color w:val="0258B7"/>
      <w:spacing w:val="320"/>
      <w:sz w:val="24"/>
      <w:szCs w:val="24"/>
    </w:rPr>
  </w:style>
  <w:style w:type="paragraph" w:customStyle="1" w:styleId="190">
    <w:name w:val="Char2"/>
    <w:basedOn w:val="1"/>
    <w:qFormat/>
    <w:uiPriority w:val="99"/>
    <w:pPr>
      <w:adjustRightInd w:val="0"/>
      <w:spacing w:line="360" w:lineRule="auto"/>
    </w:pPr>
    <w:rPr>
      <w:rFonts w:ascii="Times New Roman" w:hAnsi="Times New Roman" w:eastAsia="宋体" w:cs="Times New Roman"/>
      <w:kern w:val="0"/>
      <w:sz w:val="24"/>
      <w:szCs w:val="20"/>
    </w:rPr>
  </w:style>
  <w:style w:type="character" w:customStyle="1" w:styleId="191">
    <w:name w:val="h2 Char"/>
    <w:qFormat/>
    <w:uiPriority w:val="0"/>
    <w:rPr>
      <w:rFonts w:ascii="华文细黑" w:hAnsi="华文细黑" w:eastAsia="FangSong_GB2312"/>
      <w:b/>
      <w:bCs/>
      <w:sz w:val="21"/>
      <w:szCs w:val="32"/>
      <w:lang w:val="en-US" w:eastAsia="zh-CN" w:bidi="ar-SA"/>
    </w:rPr>
  </w:style>
  <w:style w:type="paragraph" w:customStyle="1" w:styleId="192">
    <w:name w:val="默认段落字体 Para Char Char Char1 Char"/>
    <w:basedOn w:val="1"/>
    <w:qFormat/>
    <w:uiPriority w:val="99"/>
    <w:pPr>
      <w:spacing w:line="240" w:lineRule="atLeast"/>
      <w:ind w:left="420" w:firstLine="420"/>
    </w:pPr>
    <w:rPr>
      <w:rFonts w:ascii="Times New Roman" w:hAnsi="Times New Roman" w:eastAsia="宋体" w:cs="Times New Roman"/>
      <w:kern w:val="0"/>
      <w:szCs w:val="21"/>
    </w:rPr>
  </w:style>
  <w:style w:type="character" w:customStyle="1" w:styleId="193">
    <w:name w:val="h2 Char1"/>
    <w:qFormat/>
    <w:uiPriority w:val="0"/>
    <w:rPr>
      <w:rFonts w:ascii="宋体" w:hAnsi="宋体" w:eastAsia="宋体" w:cs="Arial"/>
      <w:b/>
      <w:sz w:val="24"/>
      <w:szCs w:val="21"/>
      <w:lang w:val="en-GB" w:eastAsia="zh-CN" w:bidi="ar-SA"/>
    </w:rPr>
  </w:style>
  <w:style w:type="character" w:customStyle="1" w:styleId="194">
    <w:name w:val="hilite"/>
    <w:basedOn w:val="48"/>
    <w:qFormat/>
    <w:uiPriority w:val="0"/>
  </w:style>
  <w:style w:type="paragraph" w:customStyle="1" w:styleId="195">
    <w:name w:val="默认段落字体 Para Char"/>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196">
    <w:name w:val="默认段落字体 Para Char Char Char Char Char Char Char Char Char Char Char Char Char Char"/>
    <w:basedOn w:val="16"/>
    <w:qFormat/>
    <w:uiPriority w:val="99"/>
    <w:rPr>
      <w:rFonts w:ascii="Tahoma" w:hAnsi="Tahoma" w:eastAsia="宋体"/>
      <w:sz w:val="24"/>
    </w:rPr>
  </w:style>
  <w:style w:type="paragraph" w:customStyle="1" w:styleId="197">
    <w:name w:val="style3"/>
    <w:basedOn w:val="1"/>
    <w:qFormat/>
    <w:uiPriority w:val="99"/>
    <w:pPr>
      <w:widowControl/>
      <w:spacing w:after="360"/>
      <w:jc w:val="left"/>
    </w:pPr>
    <w:rPr>
      <w:rFonts w:ascii="宋体" w:hAnsi="宋体" w:eastAsia="宋体" w:cs="宋体"/>
      <w:kern w:val="0"/>
      <w:sz w:val="24"/>
      <w:szCs w:val="24"/>
    </w:rPr>
  </w:style>
  <w:style w:type="paragraph" w:customStyle="1" w:styleId="198">
    <w:name w:val="style4"/>
    <w:basedOn w:val="1"/>
    <w:qFormat/>
    <w:uiPriority w:val="99"/>
    <w:pPr>
      <w:widowControl/>
      <w:spacing w:after="360"/>
      <w:jc w:val="left"/>
    </w:pPr>
    <w:rPr>
      <w:rFonts w:ascii="宋体" w:hAnsi="宋体" w:eastAsia="宋体" w:cs="宋体"/>
      <w:kern w:val="0"/>
      <w:sz w:val="24"/>
      <w:szCs w:val="24"/>
    </w:rPr>
  </w:style>
  <w:style w:type="paragraph" w:customStyle="1" w:styleId="199">
    <w:name w:val="style1"/>
    <w:basedOn w:val="1"/>
    <w:qFormat/>
    <w:uiPriority w:val="99"/>
    <w:pPr>
      <w:widowControl/>
      <w:spacing w:after="360"/>
      <w:jc w:val="left"/>
    </w:pPr>
    <w:rPr>
      <w:rFonts w:ascii="宋体" w:hAnsi="宋体" w:eastAsia="宋体" w:cs="宋体"/>
      <w:kern w:val="0"/>
      <w:sz w:val="24"/>
      <w:szCs w:val="24"/>
    </w:rPr>
  </w:style>
  <w:style w:type="paragraph" w:customStyle="1" w:styleId="200">
    <w:name w:val="方案正文编号"/>
    <w:basedOn w:val="1"/>
    <w:qFormat/>
    <w:uiPriority w:val="99"/>
    <w:pPr>
      <w:adjustRightInd w:val="0"/>
      <w:snapToGrid w:val="0"/>
      <w:spacing w:before="60" w:line="380" w:lineRule="exact"/>
      <w:textAlignment w:val="baseline"/>
    </w:pPr>
    <w:rPr>
      <w:rFonts w:ascii="Arial" w:hAnsi="Arial" w:eastAsia="宋体" w:cs="Times New Roman"/>
      <w:snapToGrid w:val="0"/>
      <w:spacing w:val="14"/>
      <w:kern w:val="0"/>
      <w:sz w:val="24"/>
      <w:szCs w:val="20"/>
    </w:rPr>
  </w:style>
  <w:style w:type="paragraph" w:customStyle="1" w:styleId="201">
    <w:name w:val="pictnote"/>
    <w:basedOn w:val="1"/>
    <w:qFormat/>
    <w:uiPriority w:val="99"/>
    <w:pPr>
      <w:widowControl/>
      <w:overflowPunct w:val="0"/>
      <w:autoSpaceDE w:val="0"/>
      <w:autoSpaceDN w:val="0"/>
      <w:adjustRightInd w:val="0"/>
      <w:spacing w:after="240" w:line="360" w:lineRule="auto"/>
      <w:jc w:val="center"/>
      <w:textAlignment w:val="baseline"/>
    </w:pPr>
    <w:rPr>
      <w:rFonts w:ascii="楷体" w:hAnsi="Arial" w:eastAsia="楷体" w:cs="Times New Roman"/>
      <w:kern w:val="0"/>
      <w:sz w:val="24"/>
      <w:szCs w:val="20"/>
      <w:lang w:val="en-GB"/>
    </w:rPr>
  </w:style>
  <w:style w:type="paragraph" w:customStyle="1" w:styleId="202">
    <w:name w:val="5"/>
    <w:basedOn w:val="1"/>
    <w:next w:val="5"/>
    <w:qFormat/>
    <w:uiPriority w:val="99"/>
    <w:pPr>
      <w:ind w:firstLine="420" w:firstLineChars="200"/>
    </w:pPr>
    <w:rPr>
      <w:rFonts w:ascii="Times New Roman" w:hAnsi="Times New Roman" w:eastAsia="宋体" w:cs="Times New Roman"/>
      <w:szCs w:val="24"/>
    </w:rPr>
  </w:style>
  <w:style w:type="paragraph" w:customStyle="1" w:styleId="203">
    <w:name w:val="条目1"/>
    <w:basedOn w:val="1"/>
    <w:qFormat/>
    <w:uiPriority w:val="99"/>
    <w:pPr>
      <w:overflowPunct w:val="0"/>
      <w:autoSpaceDE w:val="0"/>
      <w:autoSpaceDN w:val="0"/>
      <w:adjustRightInd w:val="0"/>
      <w:snapToGrid w:val="0"/>
      <w:spacing w:line="240" w:lineRule="atLeast"/>
      <w:jc w:val="left"/>
    </w:pPr>
    <w:rPr>
      <w:rFonts w:ascii="Times New Roman" w:hAnsi="Times New Roman" w:eastAsia="宋体" w:cs="Times New Roman"/>
      <w:kern w:val="0"/>
      <w:sz w:val="28"/>
      <w:szCs w:val="18"/>
    </w:rPr>
  </w:style>
  <w:style w:type="character" w:customStyle="1" w:styleId="204">
    <w:name w:val="HTML 预设格式 Char"/>
    <w:basedOn w:val="48"/>
    <w:link w:val="40"/>
    <w:qFormat/>
    <w:uiPriority w:val="0"/>
    <w:rPr>
      <w:rFonts w:ascii="宋体" w:hAnsi="宋体" w:eastAsia="宋体" w:cs="Times New Roman"/>
      <w:kern w:val="0"/>
      <w:sz w:val="24"/>
      <w:szCs w:val="24"/>
      <w:lang w:val="zh-CN" w:eastAsia="zh-CN"/>
    </w:rPr>
  </w:style>
  <w:style w:type="paragraph" w:customStyle="1" w:styleId="205">
    <w:name w:val="正文00"/>
    <w:basedOn w:val="5"/>
    <w:qFormat/>
    <w:uiPriority w:val="99"/>
    <w:pPr>
      <w:tabs>
        <w:tab w:val="left" w:pos="0"/>
      </w:tabs>
      <w:spacing w:line="360" w:lineRule="auto"/>
      <w:ind w:firstLine="480"/>
    </w:pPr>
    <w:rPr>
      <w:rFonts w:ascii="宋体" w:hAnsi="宋体"/>
      <w:kern w:val="28"/>
      <w:sz w:val="24"/>
    </w:rPr>
  </w:style>
  <w:style w:type="paragraph" w:customStyle="1" w:styleId="206">
    <w:name w:val="简单回函地址"/>
    <w:basedOn w:val="1"/>
    <w:qFormat/>
    <w:uiPriority w:val="99"/>
    <w:rPr>
      <w:rFonts w:ascii="Times New Roman" w:hAnsi="Times New Roman" w:eastAsia="宋体" w:cs="Times New Roman"/>
      <w:szCs w:val="24"/>
    </w:rPr>
  </w:style>
  <w:style w:type="paragraph" w:customStyle="1" w:styleId="207">
    <w:name w:val="Char Char Char1 Char"/>
    <w:basedOn w:val="16"/>
    <w:qFormat/>
    <w:uiPriority w:val="99"/>
    <w:pPr>
      <w:tabs>
        <w:tab w:val="left" w:pos="840"/>
      </w:tabs>
      <w:ind w:left="840" w:hanging="420"/>
    </w:pPr>
    <w:rPr>
      <w:rFonts w:ascii="Tahoma" w:hAnsi="Tahoma" w:eastAsia="宋体"/>
      <w:sz w:val="32"/>
    </w:rPr>
  </w:style>
  <w:style w:type="character" w:customStyle="1" w:styleId="208">
    <w:name w:val="样式 标题 1 + 字符缩放: 99% Char"/>
    <w:qFormat/>
    <w:uiPriority w:val="0"/>
    <w:rPr>
      <w:rFonts w:ascii="Tahoma" w:hAnsi="Tahoma" w:eastAsia="黑体"/>
      <w:b/>
      <w:bCs/>
      <w:w w:val="99"/>
      <w:kern w:val="44"/>
      <w:sz w:val="30"/>
      <w:szCs w:val="44"/>
      <w:lang w:val="en-US" w:eastAsia="zh-CN" w:bidi="ar-SA"/>
    </w:rPr>
  </w:style>
  <w:style w:type="paragraph" w:customStyle="1" w:styleId="209">
    <w:name w:val="正文首缩两字"/>
    <w:basedOn w:val="1"/>
    <w:link w:val="210"/>
    <w:qFormat/>
    <w:uiPriority w:val="0"/>
    <w:pPr>
      <w:spacing w:line="360" w:lineRule="auto"/>
      <w:ind w:firstLine="200" w:firstLineChars="200"/>
    </w:pPr>
    <w:rPr>
      <w:rFonts w:ascii="Verdana" w:hAnsi="Verdana" w:eastAsia="宋体" w:cs="Times New Roman"/>
      <w:sz w:val="24"/>
      <w:szCs w:val="24"/>
    </w:rPr>
  </w:style>
  <w:style w:type="character" w:customStyle="1" w:styleId="210">
    <w:name w:val="正文首缩两字 Char1"/>
    <w:link w:val="209"/>
    <w:qFormat/>
    <w:uiPriority w:val="0"/>
    <w:rPr>
      <w:rFonts w:ascii="Verdana" w:hAnsi="Verdana" w:eastAsia="宋体" w:cs="Times New Roman"/>
      <w:sz w:val="24"/>
      <w:szCs w:val="24"/>
    </w:rPr>
  </w:style>
  <w:style w:type="paragraph" w:customStyle="1" w:styleId="211">
    <w:name w:val="标书正文格式"/>
    <w:qFormat/>
    <w:uiPriority w:val="99"/>
    <w:pPr>
      <w:tabs>
        <w:tab w:val="left" w:pos="840"/>
      </w:tabs>
      <w:spacing w:line="360" w:lineRule="auto"/>
      <w:ind w:firstLine="200" w:firstLineChars="200"/>
    </w:pPr>
    <w:rPr>
      <w:rFonts w:ascii="Times New Roman" w:hAnsi="Times New Roman" w:eastAsia="KaiTi_GB2312" w:cs="Times New Roman"/>
      <w:kern w:val="2"/>
      <w:sz w:val="24"/>
      <w:szCs w:val="24"/>
      <w:lang w:val="en-US" w:eastAsia="zh-CN" w:bidi="ar-SA"/>
    </w:rPr>
  </w:style>
  <w:style w:type="paragraph" w:customStyle="1" w:styleId="212">
    <w:name w:val="Subtitle Cover"/>
    <w:basedOn w:val="1"/>
    <w:next w:val="1"/>
    <w:qFormat/>
    <w:uiPriority w:val="99"/>
    <w:pPr>
      <w:keepNext/>
      <w:widowControl/>
      <w:pBdr>
        <w:top w:val="single" w:color="auto" w:sz="6" w:space="1"/>
      </w:pBdr>
      <w:spacing w:after="5280" w:line="480" w:lineRule="exact"/>
      <w:jc w:val="left"/>
    </w:pPr>
    <w:rPr>
      <w:rFonts w:ascii="Garamond" w:hAnsi="Garamond" w:eastAsia="宋体" w:cs="Times New Roman"/>
      <w:spacing w:val="-15"/>
      <w:kern w:val="28"/>
      <w:sz w:val="44"/>
      <w:szCs w:val="20"/>
    </w:rPr>
  </w:style>
  <w:style w:type="paragraph" w:customStyle="1" w:styleId="213">
    <w:name w:val="表格单元"/>
    <w:basedOn w:val="1"/>
    <w:qFormat/>
    <w:uiPriority w:val="99"/>
    <w:pPr>
      <w:adjustRightInd w:val="0"/>
      <w:snapToGrid w:val="0"/>
      <w:spacing w:before="45" w:after="45"/>
      <w:jc w:val="left"/>
    </w:pPr>
    <w:rPr>
      <w:rFonts w:ascii="宋体" w:hAnsi="Times New Roman" w:eastAsia="宋体" w:cs="Times New Roman"/>
      <w:szCs w:val="24"/>
    </w:rPr>
  </w:style>
  <w:style w:type="paragraph" w:customStyle="1" w:styleId="214">
    <w:name w:val="xl59"/>
    <w:basedOn w:val="1"/>
    <w:qFormat/>
    <w:uiPriority w:val="99"/>
    <w:pPr>
      <w:widowControl/>
      <w:numPr>
        <w:ilvl w:val="0"/>
        <w:numId w:val="5"/>
      </w:numPr>
      <w:pBdr>
        <w:right w:val="single" w:color="auto" w:sz="4" w:space="0"/>
      </w:pBdr>
      <w:tabs>
        <w:tab w:val="clear" w:pos="425"/>
      </w:tabs>
      <w:spacing w:before="100" w:beforeAutospacing="1" w:after="100" w:afterAutospacing="1"/>
      <w:ind w:left="0" w:firstLine="0"/>
      <w:jc w:val="left"/>
      <w:textAlignment w:val="top"/>
    </w:pPr>
    <w:rPr>
      <w:rFonts w:hint="eastAsia" w:ascii="宋体" w:hAnsi="宋体" w:eastAsia="宋体" w:cs="Times New Roman"/>
      <w:kern w:val="0"/>
      <w:sz w:val="24"/>
      <w:szCs w:val="24"/>
    </w:rPr>
  </w:style>
  <w:style w:type="paragraph" w:customStyle="1" w:styleId="215">
    <w:name w:val="xl60"/>
    <w:basedOn w:val="1"/>
    <w:qFormat/>
    <w:uiPriority w:val="99"/>
    <w:pPr>
      <w:widowControl/>
      <w:pBdr>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u w:val="single"/>
    </w:rPr>
  </w:style>
  <w:style w:type="paragraph" w:customStyle="1" w:styleId="216">
    <w:name w:val="xl61"/>
    <w:basedOn w:val="1"/>
    <w:qFormat/>
    <w:uiPriority w:val="99"/>
    <w:pPr>
      <w:widowControl/>
      <w:pBdr>
        <w:right w:val="single" w:color="auto" w:sz="4" w:space="0"/>
      </w:pBdr>
      <w:spacing w:before="100" w:beforeAutospacing="1" w:after="100" w:afterAutospacing="1"/>
      <w:jc w:val="center"/>
      <w:textAlignment w:val="top"/>
    </w:pPr>
    <w:rPr>
      <w:rFonts w:ascii="宋体" w:hAnsi="宋体" w:eastAsia="宋体" w:cs="Times New Roman"/>
      <w:kern w:val="0"/>
      <w:sz w:val="24"/>
      <w:szCs w:val="24"/>
      <w:u w:val="single"/>
    </w:rPr>
  </w:style>
  <w:style w:type="paragraph" w:customStyle="1" w:styleId="217">
    <w:name w:val="xl62"/>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Times New Roman"/>
      <w:kern w:val="0"/>
      <w:szCs w:val="21"/>
    </w:rPr>
  </w:style>
  <w:style w:type="paragraph" w:customStyle="1" w:styleId="218">
    <w:name w:val="xl63"/>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color w:val="000000"/>
      <w:kern w:val="0"/>
      <w:sz w:val="24"/>
      <w:szCs w:val="24"/>
    </w:rPr>
  </w:style>
  <w:style w:type="paragraph" w:customStyle="1" w:styleId="219">
    <w:name w:val="xl64"/>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0">
    <w:name w:val="xl65"/>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1">
    <w:name w:val="xl66"/>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22">
    <w:name w:val="xl67"/>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3">
    <w:name w:val="xl68"/>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hint="eastAsia" w:ascii="宋体" w:hAnsi="宋体" w:eastAsia="宋体" w:cs="Times New Roman"/>
      <w:kern w:val="0"/>
      <w:sz w:val="24"/>
      <w:szCs w:val="24"/>
    </w:rPr>
  </w:style>
  <w:style w:type="paragraph" w:customStyle="1" w:styleId="224">
    <w:name w:val="xl69"/>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5">
    <w:name w:val="xl70"/>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eastAsia="宋体" w:cs="Times New Roman"/>
      <w:b/>
      <w:bCs/>
      <w:kern w:val="0"/>
      <w:szCs w:val="21"/>
    </w:rPr>
  </w:style>
  <w:style w:type="paragraph" w:customStyle="1" w:styleId="226">
    <w:name w:val="font0"/>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27">
    <w:name w:val="标题 32"/>
    <w:basedOn w:val="1"/>
    <w:next w:val="5"/>
    <w:qFormat/>
    <w:uiPriority w:val="99"/>
    <w:pPr>
      <w:widowControl/>
      <w:spacing w:line="360" w:lineRule="auto"/>
      <w:jc w:val="left"/>
      <w:outlineLvl w:val="2"/>
    </w:pPr>
    <w:rPr>
      <w:rFonts w:ascii="Times New Roman" w:hAnsi="Times New Roman" w:eastAsia="宋体" w:cs="Times New Roman"/>
      <w:sz w:val="24"/>
      <w:szCs w:val="24"/>
    </w:rPr>
  </w:style>
  <w:style w:type="paragraph" w:customStyle="1" w:styleId="228">
    <w:name w:val="Company Name"/>
    <w:basedOn w:val="1"/>
    <w:next w:val="1"/>
    <w:qFormat/>
    <w:uiPriority w:val="99"/>
    <w:pPr>
      <w:widowControl/>
      <w:spacing w:before="420" w:after="60" w:line="320" w:lineRule="exact"/>
      <w:jc w:val="left"/>
    </w:pPr>
    <w:rPr>
      <w:rFonts w:ascii="Garamond" w:hAnsi="Garamond" w:eastAsia="宋体" w:cs="Times New Roman"/>
      <w:caps/>
      <w:kern w:val="36"/>
      <w:sz w:val="38"/>
      <w:szCs w:val="20"/>
    </w:rPr>
  </w:style>
  <w:style w:type="paragraph" w:customStyle="1" w:styleId="229">
    <w:name w:val="缺省文本"/>
    <w:basedOn w:val="1"/>
    <w:qFormat/>
    <w:uiPriority w:val="99"/>
    <w:pPr>
      <w:autoSpaceDE w:val="0"/>
      <w:autoSpaceDN w:val="0"/>
      <w:adjustRightInd w:val="0"/>
      <w:jc w:val="left"/>
    </w:pPr>
    <w:rPr>
      <w:rFonts w:ascii="Times New Roman" w:hAnsi="Times New Roman" w:eastAsia="宋体" w:cs="Times New Roman"/>
      <w:kern w:val="0"/>
      <w:sz w:val="24"/>
      <w:szCs w:val="20"/>
    </w:rPr>
  </w:style>
  <w:style w:type="paragraph" w:customStyle="1" w:styleId="230">
    <w:name w:val="标准正文"/>
    <w:basedOn w:val="1"/>
    <w:qFormat/>
    <w:uiPriority w:val="99"/>
    <w:pPr>
      <w:snapToGrid w:val="0"/>
      <w:spacing w:line="312" w:lineRule="auto"/>
      <w:ind w:firstLine="482"/>
    </w:pPr>
    <w:rPr>
      <w:rFonts w:ascii="Times New Roman" w:hAnsi="Times New Roman" w:eastAsia="宋体" w:cs="Times New Roman"/>
      <w:sz w:val="24"/>
      <w:szCs w:val="20"/>
    </w:rPr>
  </w:style>
  <w:style w:type="paragraph" w:customStyle="1" w:styleId="231">
    <w:name w:val="font1"/>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character" w:customStyle="1" w:styleId="232">
    <w:name w:val="normaltextsmall1"/>
    <w:qFormat/>
    <w:uiPriority w:val="0"/>
    <w:rPr>
      <w:rFonts w:ascii="Verdana" w:hAnsi="Verdana"/>
      <w:color w:val="000000"/>
      <w:sz w:val="18"/>
      <w:szCs w:val="18"/>
    </w:rPr>
  </w:style>
  <w:style w:type="paragraph" w:customStyle="1" w:styleId="233">
    <w:name w:val="正文11"/>
    <w:basedOn w:val="1"/>
    <w:qFormat/>
    <w:uiPriority w:val="99"/>
    <w:pPr>
      <w:spacing w:line="360" w:lineRule="auto"/>
      <w:ind w:firstLine="480" w:firstLineChars="200"/>
    </w:pPr>
    <w:rPr>
      <w:rFonts w:ascii="Times New Roman" w:hAnsi="Times New Roman" w:eastAsia="宋体" w:cs="Times New Roman"/>
      <w:sz w:val="24"/>
      <w:szCs w:val="24"/>
    </w:rPr>
  </w:style>
  <w:style w:type="character" w:customStyle="1" w:styleId="234">
    <w:name w:val="Char Char8"/>
    <w:qFormat/>
    <w:uiPriority w:val="0"/>
    <w:rPr>
      <w:rFonts w:ascii="宋体" w:hAnsi="Calibri" w:eastAsia="宋体"/>
      <w:kern w:val="2"/>
      <w:sz w:val="18"/>
      <w:lang w:val="en-US" w:eastAsia="zh-CN" w:bidi="ar-SA"/>
    </w:rPr>
  </w:style>
  <w:style w:type="character" w:customStyle="1" w:styleId="235">
    <w:name w:val="Char Char10"/>
    <w:qFormat/>
    <w:uiPriority w:val="0"/>
    <w:rPr>
      <w:rFonts w:ascii="Arial" w:hAnsi="Arial" w:eastAsia="宋体"/>
      <w:kern w:val="2"/>
      <w:sz w:val="24"/>
      <w:lang w:val="en-US" w:eastAsia="zh-CN" w:bidi="ar-SA"/>
    </w:rPr>
  </w:style>
  <w:style w:type="character" w:customStyle="1" w:styleId="236">
    <w:name w:val="标题 4 Char Char Char Char"/>
    <w:qFormat/>
    <w:uiPriority w:val="0"/>
    <w:rPr>
      <w:rFonts w:ascii="Arial" w:hAnsi="Arial" w:eastAsia="黑体"/>
      <w:b/>
      <w:kern w:val="2"/>
      <w:sz w:val="28"/>
      <w:lang w:val="en-US" w:eastAsia="zh-CN"/>
    </w:rPr>
  </w:style>
  <w:style w:type="character" w:customStyle="1" w:styleId="237">
    <w:name w:val="Char Char9"/>
    <w:qFormat/>
    <w:uiPriority w:val="0"/>
    <w:rPr>
      <w:rFonts w:ascii="宋体" w:eastAsia="宋体"/>
      <w:kern w:val="2"/>
      <w:sz w:val="24"/>
      <w:lang w:val="en-US" w:eastAsia="zh-CN" w:bidi="ar-SA"/>
    </w:rPr>
  </w:style>
  <w:style w:type="character" w:customStyle="1" w:styleId="238">
    <w:name w:val="列表编号3 Char Char"/>
    <w:qFormat/>
    <w:uiPriority w:val="0"/>
    <w:rPr>
      <w:rFonts w:ascii="Calibri" w:hAnsi="Calibri" w:eastAsia="宋体"/>
      <w:b/>
      <w:kern w:val="2"/>
      <w:sz w:val="32"/>
      <w:lang w:val="en-US" w:eastAsia="zh-CN" w:bidi="ar-SA"/>
    </w:rPr>
  </w:style>
  <w:style w:type="character" w:customStyle="1" w:styleId="239">
    <w:name w:val="样式 宋体 小四"/>
    <w:qFormat/>
    <w:uiPriority w:val="0"/>
    <w:rPr>
      <w:rFonts w:ascii="宋体" w:hAnsi="宋体"/>
      <w:sz w:val="24"/>
    </w:rPr>
  </w:style>
  <w:style w:type="character" w:customStyle="1" w:styleId="240">
    <w:name w:val="Table Text Char1"/>
    <w:link w:val="241"/>
    <w:qFormat/>
    <w:uiPriority w:val="0"/>
    <w:rPr>
      <w:rFonts w:ascii="Arial" w:hAnsi="Arial"/>
      <w:sz w:val="18"/>
    </w:rPr>
  </w:style>
  <w:style w:type="paragraph" w:customStyle="1" w:styleId="241">
    <w:name w:val="Table Text"/>
    <w:link w:val="240"/>
    <w:qFormat/>
    <w:uiPriority w:val="0"/>
    <w:pPr>
      <w:snapToGrid w:val="0"/>
      <w:spacing w:before="80" w:after="80"/>
    </w:pPr>
    <w:rPr>
      <w:rFonts w:ascii="Arial" w:hAnsi="Arial" w:eastAsiaTheme="minorEastAsia" w:cstheme="minorBidi"/>
      <w:kern w:val="2"/>
      <w:sz w:val="18"/>
      <w:szCs w:val="22"/>
      <w:lang w:val="en-US" w:eastAsia="zh-CN" w:bidi="ar-SA"/>
    </w:rPr>
  </w:style>
  <w:style w:type="paragraph" w:customStyle="1" w:styleId="242">
    <w:name w:val="小四 段落 宋体 Char Char"/>
    <w:basedOn w:val="1"/>
    <w:qFormat/>
    <w:uiPriority w:val="99"/>
    <w:pPr>
      <w:spacing w:line="360" w:lineRule="auto"/>
      <w:ind w:right="-33" w:firstLine="480" w:firstLineChars="200"/>
      <w:jc w:val="left"/>
    </w:pPr>
    <w:rPr>
      <w:rFonts w:ascii="Times New Roman" w:hAnsi="Times New Roman" w:eastAsia="宋体" w:cs="Times New Roman"/>
      <w:sz w:val="24"/>
      <w:szCs w:val="20"/>
    </w:rPr>
  </w:style>
  <w:style w:type="paragraph" w:customStyle="1" w:styleId="243">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一级条标题"/>
    <w:next w:val="5"/>
    <w:qFormat/>
    <w:uiPriority w:val="0"/>
    <w:pPr>
      <w:outlineLvl w:val="2"/>
    </w:pPr>
    <w:rPr>
      <w:rFonts w:ascii="Times New Roman" w:hAnsi="Times New Roman" w:eastAsia="黑体" w:cs="Times New Roman"/>
      <w:sz w:val="21"/>
      <w:lang w:val="en-US" w:eastAsia="zh-CN" w:bidi="ar-SA"/>
    </w:rPr>
  </w:style>
  <w:style w:type="paragraph" w:customStyle="1" w:styleId="245">
    <w:name w:val="二级条标题"/>
    <w:basedOn w:val="244"/>
    <w:next w:val="5"/>
    <w:qFormat/>
    <w:uiPriority w:val="99"/>
    <w:pPr>
      <w:outlineLvl w:val="3"/>
    </w:pPr>
  </w:style>
  <w:style w:type="paragraph" w:customStyle="1" w:styleId="24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47">
    <w:name w:val="三级条标题"/>
    <w:basedOn w:val="245"/>
    <w:next w:val="5"/>
    <w:qFormat/>
    <w:uiPriority w:val="99"/>
    <w:pPr>
      <w:outlineLvl w:val="4"/>
    </w:pPr>
  </w:style>
  <w:style w:type="paragraph" w:customStyle="1" w:styleId="248">
    <w:name w:val="四级条标题"/>
    <w:basedOn w:val="247"/>
    <w:next w:val="5"/>
    <w:qFormat/>
    <w:uiPriority w:val="99"/>
    <w:pPr>
      <w:outlineLvl w:val="5"/>
    </w:pPr>
  </w:style>
  <w:style w:type="paragraph" w:customStyle="1" w:styleId="249">
    <w:name w:val="五级条标题"/>
    <w:basedOn w:val="248"/>
    <w:next w:val="5"/>
    <w:qFormat/>
    <w:uiPriority w:val="99"/>
    <w:pPr>
      <w:outlineLvl w:val="6"/>
    </w:pPr>
  </w:style>
  <w:style w:type="paragraph" w:customStyle="1" w:styleId="250">
    <w:name w:val="正文表标题"/>
    <w:next w:val="5"/>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251">
    <w:name w:val="Char Char Char Char Char Char1 Char Char Char Char Char Char Char Char Char Char Char Char Char1 Char Char Char1"/>
    <w:basedOn w:val="1"/>
    <w:qFormat/>
    <w:uiPriority w:val="99"/>
    <w:rPr>
      <w:rFonts w:ascii="Times New Roman" w:hAnsi="Times New Roman" w:eastAsia="宋体" w:cs="Times New Roman"/>
      <w:b/>
      <w:bCs/>
      <w:sz w:val="36"/>
      <w:szCs w:val="32"/>
    </w:rPr>
  </w:style>
  <w:style w:type="character" w:customStyle="1" w:styleId="252">
    <w:name w:val="表文 Char"/>
    <w:link w:val="253"/>
    <w:qFormat/>
    <w:uiPriority w:val="0"/>
    <w:rPr>
      <w:rFonts w:ascii="FangSong_GB2312" w:hAnsi="宋体" w:eastAsia="FangSong_GB2312"/>
      <w:bCs/>
      <w:sz w:val="28"/>
      <w:szCs w:val="28"/>
    </w:rPr>
  </w:style>
  <w:style w:type="paragraph" w:customStyle="1" w:styleId="253">
    <w:name w:val="表文"/>
    <w:basedOn w:val="1"/>
    <w:link w:val="252"/>
    <w:qFormat/>
    <w:uiPriority w:val="0"/>
    <w:pPr>
      <w:spacing w:line="420" w:lineRule="exact"/>
      <w:jc w:val="center"/>
    </w:pPr>
    <w:rPr>
      <w:rFonts w:ascii="FangSong_GB2312" w:hAnsi="宋体" w:eastAsia="FangSong_GB2312"/>
      <w:bCs/>
      <w:sz w:val="28"/>
      <w:szCs w:val="28"/>
    </w:rPr>
  </w:style>
  <w:style w:type="character" w:customStyle="1" w:styleId="254">
    <w:name w:val="g1"/>
    <w:qFormat/>
    <w:uiPriority w:val="0"/>
    <w:rPr>
      <w:color w:val="008000"/>
    </w:rPr>
  </w:style>
  <w:style w:type="paragraph" w:customStyle="1" w:styleId="255">
    <w:name w:val="Char3"/>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6">
    <w:name w:val="Char Char Char Char1"/>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7">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8">
    <w:name w:val="Char Char1 Char Char Char Char Char Char Char Char Char Char1"/>
    <w:basedOn w:val="1"/>
    <w:qFormat/>
    <w:uiPriority w:val="99"/>
    <w:pPr>
      <w:widowControl/>
      <w:spacing w:after="160" w:line="240" w:lineRule="exact"/>
      <w:jc w:val="left"/>
    </w:pPr>
    <w:rPr>
      <w:rFonts w:ascii="Verdana" w:hAnsi="Verdana" w:eastAsia="FangSong_GB2312" w:cs="Times New Roman"/>
      <w:kern w:val="0"/>
      <w:sz w:val="24"/>
      <w:szCs w:val="20"/>
      <w:lang w:eastAsia="en-US"/>
    </w:rPr>
  </w:style>
  <w:style w:type="paragraph" w:customStyle="1" w:styleId="259">
    <w:name w:val="Char Char Char Char Char Char Char Char Char Char1"/>
    <w:basedOn w:val="16"/>
    <w:qFormat/>
    <w:uiPriority w:val="99"/>
    <w:rPr>
      <w:rFonts w:ascii="Tahoma" w:hAnsi="Tahoma" w:eastAsia="宋体"/>
      <w:sz w:val="24"/>
    </w:rPr>
  </w:style>
  <w:style w:type="paragraph" w:customStyle="1" w:styleId="260">
    <w:name w:val="纯文本2"/>
    <w:basedOn w:val="1"/>
    <w:qFormat/>
    <w:uiPriority w:val="99"/>
    <w:pPr>
      <w:adjustRightInd w:val="0"/>
    </w:pPr>
    <w:rPr>
      <w:rFonts w:hint="eastAsia" w:ascii="宋体" w:hAnsi="Courier New" w:eastAsia="KaiTi_GB2312" w:cs="Times New Roman"/>
      <w:sz w:val="28"/>
      <w:szCs w:val="20"/>
    </w:rPr>
  </w:style>
  <w:style w:type="paragraph" w:customStyle="1" w:styleId="261">
    <w:name w:val="Char11"/>
    <w:basedOn w:val="1"/>
    <w:qFormat/>
    <w:uiPriority w:val="99"/>
    <w:pPr>
      <w:tabs>
        <w:tab w:val="left" w:pos="360"/>
      </w:tabs>
      <w:ind w:left="360" w:hanging="360" w:hangingChars="200"/>
    </w:pPr>
    <w:rPr>
      <w:rFonts w:ascii="Times New Roman" w:hAnsi="Times New Roman" w:eastAsia="宋体" w:cs="Times New Roman"/>
      <w:sz w:val="24"/>
      <w:szCs w:val="24"/>
    </w:rPr>
  </w:style>
  <w:style w:type="character" w:customStyle="1" w:styleId="262">
    <w:name w:val="Char Char51"/>
    <w:qFormat/>
    <w:uiPriority w:val="0"/>
    <w:rPr>
      <w:rFonts w:ascii="宋体" w:hAnsi="Courier New" w:eastAsia="宋体" w:cs="Courier New"/>
      <w:kern w:val="2"/>
      <w:sz w:val="21"/>
      <w:szCs w:val="21"/>
      <w:lang w:val="en-US" w:eastAsia="zh-CN" w:bidi="ar-SA"/>
    </w:rPr>
  </w:style>
  <w:style w:type="paragraph" w:customStyle="1" w:styleId="263">
    <w:name w:val="Char Char Char Char Char Char1"/>
    <w:basedOn w:val="1"/>
    <w:link w:val="264"/>
    <w:qFormat/>
    <w:uiPriority w:val="0"/>
    <w:pPr>
      <w:adjustRightInd w:val="0"/>
      <w:spacing w:line="360" w:lineRule="auto"/>
    </w:pPr>
    <w:rPr>
      <w:rFonts w:ascii="Times New Roman" w:hAnsi="Times New Roman" w:eastAsia="宋体" w:cs="Times New Roman"/>
      <w:kern w:val="0"/>
      <w:sz w:val="24"/>
      <w:szCs w:val="20"/>
      <w:lang w:val="zh-CN"/>
    </w:rPr>
  </w:style>
  <w:style w:type="character" w:customStyle="1" w:styleId="264">
    <w:name w:val="Char Char Char Char Char Char Char1"/>
    <w:link w:val="263"/>
    <w:qFormat/>
    <w:uiPriority w:val="0"/>
    <w:rPr>
      <w:rFonts w:ascii="Times New Roman" w:hAnsi="Times New Roman" w:eastAsia="宋体" w:cs="Times New Roman"/>
      <w:kern w:val="0"/>
      <w:sz w:val="24"/>
      <w:szCs w:val="20"/>
      <w:lang w:val="zh-CN" w:eastAsia="zh-CN"/>
    </w:rPr>
  </w:style>
  <w:style w:type="paragraph" w:customStyle="1" w:styleId="265">
    <w:name w:val="Char21"/>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266">
    <w:name w:val="Char Char Char1 Char1"/>
    <w:basedOn w:val="16"/>
    <w:qFormat/>
    <w:uiPriority w:val="99"/>
    <w:pPr>
      <w:tabs>
        <w:tab w:val="left" w:pos="840"/>
      </w:tabs>
      <w:ind w:left="840" w:hanging="420"/>
    </w:pPr>
    <w:rPr>
      <w:rFonts w:ascii="Tahoma" w:hAnsi="Tahoma" w:eastAsia="宋体"/>
      <w:sz w:val="32"/>
    </w:rPr>
  </w:style>
  <w:style w:type="character" w:customStyle="1" w:styleId="267">
    <w:name w:val="Char Char81"/>
    <w:qFormat/>
    <w:uiPriority w:val="0"/>
    <w:rPr>
      <w:rFonts w:ascii="宋体" w:hAnsi="Calibri" w:eastAsia="宋体"/>
      <w:kern w:val="2"/>
      <w:sz w:val="18"/>
      <w:lang w:val="en-US" w:eastAsia="zh-CN" w:bidi="ar-SA"/>
    </w:rPr>
  </w:style>
  <w:style w:type="character" w:customStyle="1" w:styleId="268">
    <w:name w:val="Char Char101"/>
    <w:qFormat/>
    <w:uiPriority w:val="0"/>
    <w:rPr>
      <w:rFonts w:ascii="Arial" w:hAnsi="Arial" w:eastAsia="宋体"/>
      <w:kern w:val="2"/>
      <w:sz w:val="24"/>
      <w:lang w:val="en-US" w:eastAsia="zh-CN" w:bidi="ar-SA"/>
    </w:rPr>
  </w:style>
  <w:style w:type="character" w:customStyle="1" w:styleId="269">
    <w:name w:val="Char Char91"/>
    <w:qFormat/>
    <w:uiPriority w:val="0"/>
    <w:rPr>
      <w:rFonts w:ascii="宋体" w:eastAsia="宋体"/>
      <w:kern w:val="2"/>
      <w:sz w:val="24"/>
      <w:lang w:val="en-US" w:eastAsia="zh-CN" w:bidi="ar-SA"/>
    </w:rPr>
  </w:style>
  <w:style w:type="paragraph" w:customStyle="1" w:styleId="27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27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99"/>
    <w:pPr>
      <w:widowControl/>
      <w:spacing w:before="100" w:beforeAutospacing="1" w:after="100" w:afterAutospacing="1"/>
      <w:jc w:val="center"/>
    </w:pPr>
    <w:rPr>
      <w:rFonts w:ascii="黑体" w:hAnsi="黑体" w:eastAsia="黑体" w:cs="宋体"/>
      <w:kern w:val="0"/>
      <w:sz w:val="32"/>
      <w:szCs w:val="32"/>
    </w:rPr>
  </w:style>
  <w:style w:type="paragraph" w:customStyle="1" w:styleId="273">
    <w:name w:val="xl74"/>
    <w:basedOn w:val="1"/>
    <w:qFormat/>
    <w:uiPriority w:val="99"/>
    <w:pPr>
      <w:widowControl/>
      <w:pBdr>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4">
    <w:name w:val="p12"/>
    <w:basedOn w:val="1"/>
    <w:qFormat/>
    <w:uiPriority w:val="99"/>
    <w:pPr>
      <w:widowControl/>
      <w:spacing w:before="100" w:beforeAutospacing="1" w:after="100" w:afterAutospacing="1"/>
      <w:jc w:val="left"/>
    </w:pPr>
    <w:rPr>
      <w:rFonts w:eastAsia="宋体" w:cs="Times New Roman"/>
      <w:color w:val="000000"/>
      <w:kern w:val="0"/>
      <w:sz w:val="24"/>
      <w:szCs w:val="20"/>
    </w:rPr>
  </w:style>
  <w:style w:type="paragraph" w:customStyle="1" w:styleId="275">
    <w:name w:val="Char Char3 Char Char"/>
    <w:basedOn w:val="1"/>
    <w:qFormat/>
    <w:uiPriority w:val="99"/>
    <w:rPr>
      <w:rFonts w:ascii="Tahoma" w:hAnsi="Tahoma" w:eastAsia="宋体" w:cs="Times New Roman"/>
      <w:sz w:val="24"/>
      <w:szCs w:val="20"/>
    </w:rPr>
  </w:style>
  <w:style w:type="character" w:customStyle="1" w:styleId="276">
    <w:name w:val="段 Char"/>
    <w:qFormat/>
    <w:locked/>
    <w:uiPriority w:val="0"/>
    <w:rPr>
      <w:rFonts w:ascii="宋体" w:hAnsi="Times New Roman" w:eastAsia="宋体" w:cs="Times New Roman"/>
    </w:rPr>
  </w:style>
  <w:style w:type="character" w:customStyle="1" w:styleId="277">
    <w:name w:val="标题 1 Char1"/>
    <w:basedOn w:val="48"/>
    <w:qFormat/>
    <w:uiPriority w:val="0"/>
    <w:rPr>
      <w:rFonts w:asciiTheme="minorHAnsi" w:hAnsiTheme="minorHAnsi" w:eastAsiaTheme="minorEastAsia"/>
      <w:b/>
      <w:bCs/>
      <w:kern w:val="44"/>
      <w:sz w:val="44"/>
      <w:szCs w:val="44"/>
    </w:rPr>
  </w:style>
  <w:style w:type="character" w:customStyle="1" w:styleId="278">
    <w:name w:val="标题 3 Char1"/>
    <w:basedOn w:val="48"/>
    <w:semiHidden/>
    <w:qFormat/>
    <w:uiPriority w:val="0"/>
    <w:rPr>
      <w:rFonts w:asciiTheme="minorHAnsi" w:hAnsiTheme="minorHAnsi" w:eastAsiaTheme="minorEastAsia"/>
      <w:b/>
      <w:bCs/>
      <w:kern w:val="2"/>
      <w:sz w:val="32"/>
      <w:szCs w:val="32"/>
    </w:rPr>
  </w:style>
  <w:style w:type="character" w:customStyle="1" w:styleId="279">
    <w:name w:val="标题 4 Char1"/>
    <w:basedOn w:val="48"/>
    <w:semiHidden/>
    <w:qFormat/>
    <w:uiPriority w:val="0"/>
    <w:rPr>
      <w:rFonts w:asciiTheme="majorHAnsi" w:hAnsiTheme="majorHAnsi" w:eastAsiaTheme="majorEastAsia" w:cstheme="majorBidi"/>
      <w:b/>
      <w:bCs/>
      <w:kern w:val="2"/>
      <w:sz w:val="28"/>
      <w:szCs w:val="28"/>
    </w:rPr>
  </w:style>
  <w:style w:type="character" w:customStyle="1" w:styleId="280">
    <w:name w:val="标题 5 Char1"/>
    <w:basedOn w:val="48"/>
    <w:semiHidden/>
    <w:qFormat/>
    <w:uiPriority w:val="0"/>
    <w:rPr>
      <w:rFonts w:asciiTheme="minorHAnsi" w:hAnsiTheme="minorHAnsi" w:eastAsiaTheme="minorEastAsia"/>
      <w:b/>
      <w:bCs/>
      <w:kern w:val="2"/>
      <w:sz w:val="28"/>
      <w:szCs w:val="28"/>
    </w:rPr>
  </w:style>
  <w:style w:type="character" w:customStyle="1" w:styleId="281">
    <w:name w:val="标题 6 Char1"/>
    <w:basedOn w:val="48"/>
    <w:semiHidden/>
    <w:qFormat/>
    <w:uiPriority w:val="0"/>
    <w:rPr>
      <w:rFonts w:asciiTheme="majorHAnsi" w:hAnsiTheme="majorHAnsi" w:eastAsiaTheme="majorEastAsia" w:cstheme="majorBidi"/>
      <w:b/>
      <w:bCs/>
      <w:kern w:val="2"/>
      <w:sz w:val="24"/>
      <w:szCs w:val="24"/>
    </w:rPr>
  </w:style>
  <w:style w:type="character" w:customStyle="1" w:styleId="282">
    <w:name w:val="标题 7 Char1"/>
    <w:basedOn w:val="48"/>
    <w:semiHidden/>
    <w:qFormat/>
    <w:uiPriority w:val="0"/>
    <w:rPr>
      <w:rFonts w:asciiTheme="minorHAnsi" w:hAnsiTheme="minorHAnsi" w:eastAsiaTheme="minorEastAsia"/>
      <w:b/>
      <w:bCs/>
      <w:kern w:val="2"/>
      <w:sz w:val="24"/>
      <w:szCs w:val="24"/>
    </w:rPr>
  </w:style>
  <w:style w:type="character" w:customStyle="1" w:styleId="283">
    <w:name w:val="标题 8 Char1"/>
    <w:basedOn w:val="48"/>
    <w:semiHidden/>
    <w:qFormat/>
    <w:uiPriority w:val="0"/>
    <w:rPr>
      <w:rFonts w:asciiTheme="majorHAnsi" w:hAnsiTheme="majorHAnsi" w:eastAsiaTheme="majorEastAsia" w:cstheme="majorBidi"/>
      <w:kern w:val="2"/>
      <w:sz w:val="24"/>
      <w:szCs w:val="24"/>
    </w:rPr>
  </w:style>
  <w:style w:type="character" w:customStyle="1" w:styleId="284">
    <w:name w:val="标题 9 Char1"/>
    <w:basedOn w:val="48"/>
    <w:semiHidden/>
    <w:qFormat/>
    <w:uiPriority w:val="0"/>
    <w:rPr>
      <w:rFonts w:asciiTheme="majorHAnsi" w:hAnsiTheme="majorHAnsi" w:eastAsiaTheme="majorEastAsia" w:cstheme="majorBidi"/>
      <w:kern w:val="2"/>
      <w:sz w:val="21"/>
      <w:szCs w:val="21"/>
    </w:rPr>
  </w:style>
  <w:style w:type="character" w:customStyle="1" w:styleId="285">
    <w:name w:val="页眉 Char1"/>
    <w:basedOn w:val="48"/>
    <w:semiHidden/>
    <w:qFormat/>
    <w:uiPriority w:val="99"/>
    <w:rPr>
      <w:sz w:val="18"/>
      <w:szCs w:val="18"/>
    </w:rPr>
  </w:style>
  <w:style w:type="character" w:customStyle="1" w:styleId="286">
    <w:name w:val="页脚 Char1"/>
    <w:basedOn w:val="48"/>
    <w:semiHidden/>
    <w:qFormat/>
    <w:uiPriority w:val="99"/>
    <w:rPr>
      <w:sz w:val="18"/>
      <w:szCs w:val="18"/>
    </w:rPr>
  </w:style>
  <w:style w:type="character" w:customStyle="1" w:styleId="287">
    <w:name w:val="正文文本缩进 Char1"/>
    <w:basedOn w:val="48"/>
    <w:semiHidden/>
    <w:qFormat/>
    <w:uiPriority w:val="0"/>
  </w:style>
  <w:style w:type="character" w:customStyle="1" w:styleId="288">
    <w:name w:val="正文文本 Char1"/>
    <w:basedOn w:val="48"/>
    <w:semiHidden/>
    <w:qFormat/>
    <w:uiPriority w:val="0"/>
  </w:style>
  <w:style w:type="character" w:customStyle="1" w:styleId="289">
    <w:name w:val="正文文本缩进 2 Char1"/>
    <w:basedOn w:val="48"/>
    <w:semiHidden/>
    <w:qFormat/>
    <w:uiPriority w:val="0"/>
  </w:style>
  <w:style w:type="character" w:customStyle="1" w:styleId="290">
    <w:name w:val="纯文本 Char1"/>
    <w:basedOn w:val="48"/>
    <w:semiHidden/>
    <w:qFormat/>
    <w:uiPriority w:val="0"/>
    <w:rPr>
      <w:rFonts w:ascii="宋体" w:hAnsi="Courier New" w:eastAsia="宋体" w:cs="Courier New"/>
      <w:szCs w:val="21"/>
    </w:rPr>
  </w:style>
  <w:style w:type="character" w:customStyle="1" w:styleId="291">
    <w:name w:val="批注文字 Char1"/>
    <w:basedOn w:val="48"/>
    <w:semiHidden/>
    <w:qFormat/>
    <w:uiPriority w:val="0"/>
  </w:style>
  <w:style w:type="character" w:customStyle="1" w:styleId="292">
    <w:name w:val="文档结构图 Char1"/>
    <w:basedOn w:val="48"/>
    <w:semiHidden/>
    <w:qFormat/>
    <w:uiPriority w:val="0"/>
    <w:rPr>
      <w:rFonts w:ascii="宋体" w:eastAsia="宋体"/>
      <w:sz w:val="18"/>
      <w:szCs w:val="18"/>
    </w:rPr>
  </w:style>
  <w:style w:type="character" w:customStyle="1" w:styleId="293">
    <w:name w:val="正文文本缩进 3 Char1"/>
    <w:basedOn w:val="48"/>
    <w:semiHidden/>
    <w:qFormat/>
    <w:uiPriority w:val="0"/>
    <w:rPr>
      <w:sz w:val="16"/>
      <w:szCs w:val="16"/>
    </w:rPr>
  </w:style>
  <w:style w:type="character" w:customStyle="1" w:styleId="294">
    <w:name w:val="日期 Char1"/>
    <w:basedOn w:val="48"/>
    <w:semiHidden/>
    <w:qFormat/>
    <w:uiPriority w:val="0"/>
  </w:style>
  <w:style w:type="character" w:customStyle="1" w:styleId="295">
    <w:name w:val="正文文本 2 Char1"/>
    <w:basedOn w:val="48"/>
    <w:semiHidden/>
    <w:qFormat/>
    <w:uiPriority w:val="0"/>
  </w:style>
  <w:style w:type="character" w:customStyle="1" w:styleId="296">
    <w:name w:val="正文首行缩进 Char1"/>
    <w:basedOn w:val="288"/>
    <w:semiHidden/>
    <w:qFormat/>
    <w:uiPriority w:val="0"/>
  </w:style>
  <w:style w:type="character" w:customStyle="1" w:styleId="297">
    <w:name w:val="批注框文本 Char1"/>
    <w:basedOn w:val="48"/>
    <w:semiHidden/>
    <w:qFormat/>
    <w:uiPriority w:val="0"/>
    <w:rPr>
      <w:sz w:val="18"/>
      <w:szCs w:val="18"/>
    </w:rPr>
  </w:style>
  <w:style w:type="character" w:customStyle="1" w:styleId="298">
    <w:name w:val="正文文本 3 Char1"/>
    <w:basedOn w:val="48"/>
    <w:semiHidden/>
    <w:qFormat/>
    <w:uiPriority w:val="0"/>
    <w:rPr>
      <w:sz w:val="16"/>
      <w:szCs w:val="16"/>
    </w:rPr>
  </w:style>
  <w:style w:type="character" w:customStyle="1" w:styleId="299">
    <w:name w:val="批注主题 Char1"/>
    <w:basedOn w:val="291"/>
    <w:semiHidden/>
    <w:qFormat/>
    <w:uiPriority w:val="0"/>
    <w:rPr>
      <w:b/>
      <w:bCs/>
    </w:rPr>
  </w:style>
  <w:style w:type="character" w:customStyle="1" w:styleId="300">
    <w:name w:val="标题 Char1"/>
    <w:basedOn w:val="48"/>
    <w:qFormat/>
    <w:uiPriority w:val="0"/>
    <w:rPr>
      <w:rFonts w:eastAsia="宋体" w:asciiTheme="majorHAnsi" w:hAnsiTheme="majorHAnsi" w:cstheme="majorBidi"/>
      <w:b/>
      <w:bCs/>
      <w:sz w:val="32"/>
      <w:szCs w:val="32"/>
    </w:rPr>
  </w:style>
  <w:style w:type="character" w:customStyle="1" w:styleId="301">
    <w:name w:val="注释标题 Char1"/>
    <w:basedOn w:val="48"/>
    <w:semiHidden/>
    <w:qFormat/>
    <w:uiPriority w:val="0"/>
  </w:style>
  <w:style w:type="character" w:customStyle="1" w:styleId="302">
    <w:name w:val="正文首行缩进 2 Char1"/>
    <w:basedOn w:val="287"/>
    <w:semiHidden/>
    <w:qFormat/>
    <w:uiPriority w:val="0"/>
  </w:style>
  <w:style w:type="character" w:customStyle="1" w:styleId="303">
    <w:name w:val="称呼 Char1"/>
    <w:basedOn w:val="48"/>
    <w:semiHidden/>
    <w:qFormat/>
    <w:uiPriority w:val="0"/>
  </w:style>
  <w:style w:type="character" w:customStyle="1" w:styleId="304">
    <w:name w:val="四号 Char1"/>
    <w:qFormat/>
    <w:uiPriority w:val="0"/>
    <w:rPr>
      <w:rFonts w:ascii="Times New Roman" w:hAnsi="Times New Roman" w:eastAsia="宋体" w:cs="Times New Roman"/>
      <w:szCs w:val="24"/>
    </w:rPr>
  </w:style>
  <w:style w:type="paragraph" w:customStyle="1" w:styleId="305">
    <w:name w:val="WPSOffice手动目录 1"/>
    <w:qFormat/>
    <w:uiPriority w:val="0"/>
    <w:rPr>
      <w:rFonts w:asciiTheme="minorHAnsi" w:hAnsiTheme="minorHAnsi" w:eastAsiaTheme="minorEastAsia" w:cstheme="minorBidi"/>
      <w:lang w:val="en-US" w:eastAsia="zh-CN" w:bidi="ar-SA"/>
    </w:rPr>
  </w:style>
  <w:style w:type="paragraph" w:customStyle="1" w:styleId="30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7">
    <w:name w:val="正文文本首行缩进 21"/>
    <w:basedOn w:val="2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12780</Words>
  <Characters>13081</Characters>
  <Lines>288</Lines>
  <Paragraphs>81</Paragraphs>
  <TotalTime>4</TotalTime>
  <ScaleCrop>false</ScaleCrop>
  <LinksUpToDate>false</LinksUpToDate>
  <CharactersWithSpaces>13163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2018-12-14T06:24:00Z</dcterms:created>
  <dc:creator>王金凤</dc:creator>
  <cp:lastModifiedBy>小学生</cp:lastModifiedBy>
  <cp:lastPrinted>2024-07-12T07:47:00Z</cp:lastPrinted>
  <dcterms:modified xsi:type="dcterms:W3CDTF">2025-02-28T06:33:14Z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B39E62BED68F6B8062576E67EA30BC2C</vt:lpwstr>
  </property>
  <property fmtid="{D5CDD505-2E9C-101B-9397-08002B2CF9AE}" pid="4" name="KSOTemplateDocerSaveRecord">
    <vt:lpwstr>eyJoZGlkIjoiMDc2Y2RkOTFlOGRiZTczMzcyOGViNDI5ZWY5YjYwMjkiLCJ1c2VySWQiOiIxMTgyOTE1NDY5In0=</vt:lpwstr>
  </property>
</Properties>
</file>