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851072">
      <w:pPr>
        <w:spacing w:line="480" w:lineRule="auto"/>
        <w:rPr>
          <w:rFonts w:ascii="宋体" w:hAnsi="宋体"/>
          <w:sz w:val="28"/>
          <w:szCs w:val="28"/>
        </w:rPr>
      </w:pPr>
      <w:bookmarkStart w:id="269" w:name="_GoBack"/>
      <w:bookmarkEnd w:id="269"/>
    </w:p>
    <w:p w14:paraId="15D4AA33">
      <w:pPr>
        <w:spacing w:line="480" w:lineRule="auto"/>
        <w:rPr>
          <w:rFonts w:ascii="宋体" w:hAnsi="宋体"/>
          <w:sz w:val="28"/>
          <w:szCs w:val="28"/>
        </w:rPr>
      </w:pPr>
    </w:p>
    <w:p w14:paraId="1A9236A1">
      <w:pPr>
        <w:tabs>
          <w:tab w:val="center" w:pos="4535"/>
          <w:tab w:val="left" w:pos="8290"/>
        </w:tabs>
        <w:spacing w:line="480" w:lineRule="auto"/>
        <w:jc w:val="center"/>
        <w:rPr>
          <w:rFonts w:ascii="宋体" w:hAnsi="宋体"/>
          <w:b/>
          <w:sz w:val="52"/>
          <w:szCs w:val="48"/>
        </w:rPr>
      </w:pPr>
      <w:bookmarkStart w:id="0" w:name="_Hlk36720104"/>
      <w:r>
        <w:rPr>
          <w:rFonts w:hint="eastAsia" w:ascii="宋体" w:hAnsi="宋体"/>
          <w:b/>
          <w:sz w:val="52"/>
          <w:szCs w:val="48"/>
        </w:rPr>
        <w:t>红云红河烟草（集团）有限责任公司</w:t>
      </w:r>
    </w:p>
    <w:p w14:paraId="764678A1">
      <w:pPr>
        <w:tabs>
          <w:tab w:val="center" w:pos="4535"/>
          <w:tab w:val="left" w:pos="8290"/>
        </w:tabs>
        <w:spacing w:line="480" w:lineRule="auto"/>
        <w:jc w:val="center"/>
        <w:rPr>
          <w:rFonts w:ascii="宋体" w:hAnsi="宋体"/>
          <w:b/>
          <w:sz w:val="52"/>
          <w:szCs w:val="48"/>
        </w:rPr>
      </w:pPr>
      <w:r>
        <w:rPr>
          <w:rFonts w:hint="eastAsia" w:ascii="宋体" w:hAnsi="宋体"/>
          <w:b/>
          <w:sz w:val="52"/>
          <w:szCs w:val="48"/>
        </w:rPr>
        <w:t>曲靖卷烟厂智能工厂建设（智能生产、数字能源）项目</w:t>
      </w:r>
    </w:p>
    <w:p w14:paraId="088EB6E5">
      <w:pPr>
        <w:spacing w:line="540" w:lineRule="exact"/>
        <w:jc w:val="center"/>
        <w:rPr>
          <w:rFonts w:ascii="宋体" w:hAnsi="宋体"/>
          <w:szCs w:val="21"/>
        </w:rPr>
      </w:pPr>
    </w:p>
    <w:p w14:paraId="660B3326">
      <w:pPr>
        <w:spacing w:line="540" w:lineRule="exact"/>
        <w:jc w:val="both"/>
        <w:rPr>
          <w:rFonts w:ascii="宋体" w:hAnsi="宋体"/>
          <w:szCs w:val="21"/>
        </w:rPr>
      </w:pPr>
    </w:p>
    <w:p w14:paraId="56B62F57">
      <w:pPr>
        <w:spacing w:line="540" w:lineRule="exact"/>
        <w:jc w:val="center"/>
        <w:rPr>
          <w:rFonts w:ascii="宋体" w:hAnsi="宋体"/>
          <w:szCs w:val="21"/>
        </w:rPr>
      </w:pPr>
    </w:p>
    <w:p w14:paraId="26430415">
      <w:pPr>
        <w:spacing w:line="360" w:lineRule="auto"/>
        <w:jc w:val="center"/>
        <w:rPr>
          <w:rFonts w:ascii="宋体" w:hAnsi="宋体"/>
          <w:b/>
          <w:sz w:val="72"/>
          <w:szCs w:val="72"/>
        </w:rPr>
      </w:pPr>
      <w:r>
        <w:rPr>
          <w:rFonts w:ascii="宋体" w:hAnsi="宋体"/>
          <w:b/>
          <w:sz w:val="72"/>
          <w:szCs w:val="72"/>
        </w:rPr>
        <w:t>招</w:t>
      </w:r>
      <w:r>
        <w:rPr>
          <w:rFonts w:hint="eastAsia" w:ascii="宋体" w:hAnsi="宋体"/>
          <w:b/>
          <w:sz w:val="72"/>
          <w:szCs w:val="72"/>
        </w:rPr>
        <w:t xml:space="preserve"> </w:t>
      </w:r>
      <w:r>
        <w:rPr>
          <w:rFonts w:ascii="宋体" w:hAnsi="宋体"/>
          <w:b/>
          <w:sz w:val="72"/>
          <w:szCs w:val="72"/>
        </w:rPr>
        <w:t>标</w:t>
      </w:r>
      <w:r>
        <w:rPr>
          <w:rFonts w:hint="eastAsia" w:ascii="宋体" w:hAnsi="宋体"/>
          <w:b/>
          <w:sz w:val="72"/>
          <w:szCs w:val="72"/>
        </w:rPr>
        <w:t xml:space="preserve"> </w:t>
      </w:r>
      <w:r>
        <w:rPr>
          <w:rFonts w:ascii="宋体" w:hAnsi="宋体"/>
          <w:b/>
          <w:sz w:val="72"/>
          <w:szCs w:val="72"/>
        </w:rPr>
        <w:t>文</w:t>
      </w:r>
      <w:r>
        <w:rPr>
          <w:rFonts w:hint="eastAsia" w:ascii="宋体" w:hAnsi="宋体"/>
          <w:b/>
          <w:sz w:val="72"/>
          <w:szCs w:val="72"/>
        </w:rPr>
        <w:t xml:space="preserve"> </w:t>
      </w:r>
      <w:r>
        <w:rPr>
          <w:rFonts w:ascii="宋体" w:hAnsi="宋体"/>
          <w:b/>
          <w:sz w:val="72"/>
          <w:szCs w:val="72"/>
        </w:rPr>
        <w:t>件</w:t>
      </w:r>
    </w:p>
    <w:p w14:paraId="74006D8C">
      <w:pPr>
        <w:spacing w:line="360" w:lineRule="auto"/>
        <w:jc w:val="center"/>
        <w:rPr>
          <w:rFonts w:hint="eastAsia" w:ascii="宋体" w:hAnsi="宋体" w:eastAsia="宋体"/>
          <w:b/>
          <w:sz w:val="32"/>
          <w:szCs w:val="28"/>
          <w:lang w:eastAsia="zh-CN"/>
        </w:rPr>
      </w:pPr>
      <w:r>
        <w:rPr>
          <w:rFonts w:hint="eastAsia" w:ascii="宋体" w:hAnsi="宋体"/>
          <w:b/>
          <w:sz w:val="32"/>
          <w:szCs w:val="28"/>
        </w:rPr>
        <w:t>项目编号：</w:t>
      </w:r>
      <w:r>
        <w:rPr>
          <w:rFonts w:hint="eastAsia" w:ascii="宋体" w:hAnsi="宋体"/>
          <w:b/>
          <w:sz w:val="32"/>
          <w:szCs w:val="28"/>
          <w:lang w:eastAsia="zh-CN"/>
        </w:rPr>
        <w:t>C53A00525001005</w:t>
      </w:r>
    </w:p>
    <w:p w14:paraId="4F777E7B">
      <w:pPr>
        <w:spacing w:line="540" w:lineRule="exact"/>
        <w:rPr>
          <w:rFonts w:ascii="宋体" w:hAnsi="宋体"/>
          <w:szCs w:val="21"/>
        </w:rPr>
      </w:pPr>
    </w:p>
    <w:p w14:paraId="363C20CE">
      <w:pPr>
        <w:spacing w:line="360" w:lineRule="auto"/>
        <w:jc w:val="center"/>
        <w:rPr>
          <w:rFonts w:ascii="宋体" w:hAnsi="宋体"/>
          <w:b/>
          <w:sz w:val="30"/>
          <w:szCs w:val="30"/>
        </w:rPr>
      </w:pPr>
      <w:r>
        <w:rPr>
          <w:rFonts w:hint="eastAsia" w:ascii="宋体" w:hAnsi="宋体"/>
          <w:b/>
          <w:sz w:val="30"/>
          <w:szCs w:val="30"/>
        </w:rPr>
        <w:t>招标人:</w:t>
      </w:r>
      <w:r>
        <w:rPr>
          <w:rFonts w:hint="eastAsia" w:ascii="宋体" w:hAnsi="宋体"/>
          <w:b/>
        </w:rPr>
        <w:t xml:space="preserve"> </w:t>
      </w:r>
      <w:r>
        <w:rPr>
          <w:rFonts w:hint="eastAsia" w:ascii="宋体" w:hAnsi="宋体"/>
          <w:b/>
          <w:sz w:val="30"/>
          <w:szCs w:val="30"/>
        </w:rPr>
        <w:t>红云红河烟草（集团）有限责任公司</w:t>
      </w:r>
    </w:p>
    <w:p w14:paraId="3BC35CCC">
      <w:pPr>
        <w:spacing w:line="360" w:lineRule="auto"/>
        <w:jc w:val="center"/>
        <w:rPr>
          <w:rFonts w:ascii="宋体" w:hAnsi="宋体"/>
          <w:b/>
          <w:sz w:val="30"/>
          <w:szCs w:val="30"/>
        </w:rPr>
      </w:pPr>
      <w:r>
        <w:rPr>
          <w:rFonts w:hint="eastAsia" w:ascii="宋体" w:hAnsi="宋体"/>
          <w:b/>
          <w:sz w:val="30"/>
          <w:szCs w:val="30"/>
        </w:rPr>
        <w:t>招标代理机构:云南招标股份有限公司</w:t>
      </w:r>
    </w:p>
    <w:p w14:paraId="50CBCF68">
      <w:pPr>
        <w:spacing w:line="360" w:lineRule="auto"/>
        <w:jc w:val="center"/>
        <w:rPr>
          <w:rFonts w:ascii="宋体" w:hAnsi="宋体"/>
          <w:b/>
          <w:sz w:val="30"/>
          <w:szCs w:val="30"/>
        </w:rPr>
      </w:pPr>
      <w:r>
        <w:rPr>
          <w:rFonts w:hint="eastAsia" w:ascii="宋体" w:hAnsi="宋体"/>
          <w:b/>
          <w:sz w:val="30"/>
          <w:szCs w:val="30"/>
        </w:rPr>
        <w:t>日期</w:t>
      </w:r>
      <w:r>
        <w:rPr>
          <w:rFonts w:ascii="宋体" w:hAnsi="宋体"/>
          <w:b/>
          <w:sz w:val="30"/>
          <w:szCs w:val="30"/>
        </w:rPr>
        <w:t xml:space="preserve">: </w:t>
      </w:r>
      <w:r>
        <w:rPr>
          <w:rFonts w:hint="eastAsia" w:ascii="宋体" w:hAnsi="宋体"/>
          <w:b/>
          <w:sz w:val="30"/>
          <w:szCs w:val="30"/>
        </w:rPr>
        <w:t>2</w:t>
      </w:r>
      <w:r>
        <w:rPr>
          <w:rFonts w:ascii="宋体" w:hAnsi="宋体"/>
          <w:b/>
          <w:sz w:val="30"/>
          <w:szCs w:val="30"/>
        </w:rPr>
        <w:t>0</w:t>
      </w:r>
      <w:r>
        <w:rPr>
          <w:rFonts w:hint="eastAsia" w:ascii="宋体" w:hAnsi="宋体"/>
          <w:b/>
          <w:sz w:val="30"/>
          <w:szCs w:val="30"/>
        </w:rPr>
        <w:t>25年 01月</w:t>
      </w:r>
    </w:p>
    <w:bookmarkEnd w:id="0"/>
    <w:p w14:paraId="35E0A5B1">
      <w:pPr>
        <w:spacing w:after="360" w:afterLines="150"/>
        <w:ind w:left="424" w:leftChars="212" w:firstLine="2"/>
        <w:jc w:val="center"/>
        <w:rPr>
          <w:rFonts w:ascii="宋体" w:hAnsi="宋体"/>
          <w:kern w:val="11"/>
          <w:szCs w:val="21"/>
        </w:rPr>
      </w:pPr>
      <w:r>
        <w:rPr>
          <w:rFonts w:ascii="宋体" w:hAnsi="宋体"/>
          <w:b/>
          <w:kern w:val="11"/>
          <w:sz w:val="32"/>
          <w:szCs w:val="32"/>
        </w:rPr>
        <w:br w:type="page"/>
      </w:r>
      <w:r>
        <w:rPr>
          <w:rFonts w:hint="eastAsia" w:ascii="宋体" w:hAnsi="宋体"/>
          <w:b/>
          <w:kern w:val="11"/>
          <w:sz w:val="36"/>
          <w:szCs w:val="32"/>
        </w:rPr>
        <w:t>目  录</w:t>
      </w:r>
    </w:p>
    <w:p w14:paraId="31375CEA">
      <w:pPr>
        <w:pStyle w:val="42"/>
        <w:tabs>
          <w:tab w:val="right" w:leader="dot" w:pos="9071"/>
        </w:tabs>
      </w:pPr>
      <w:r>
        <w:rPr>
          <w:rStyle w:val="72"/>
          <w:rFonts w:ascii="宋体" w:hAnsi="宋体"/>
          <w:sz w:val="40"/>
          <w:szCs w:val="24"/>
        </w:rPr>
        <w:fldChar w:fldCharType="begin"/>
      </w:r>
      <w:r>
        <w:rPr>
          <w:rStyle w:val="72"/>
          <w:rFonts w:ascii="宋体" w:hAnsi="宋体"/>
          <w:sz w:val="40"/>
          <w:szCs w:val="24"/>
        </w:rPr>
        <w:instrText xml:space="preserve"> TOC \o "1-2" \h \z \u </w:instrText>
      </w:r>
      <w:r>
        <w:rPr>
          <w:rStyle w:val="72"/>
          <w:rFonts w:ascii="宋体" w:hAnsi="宋体"/>
          <w:sz w:val="40"/>
          <w:szCs w:val="24"/>
        </w:rPr>
        <w:fldChar w:fldCharType="separate"/>
      </w:r>
      <w:r>
        <w:rPr>
          <w:rFonts w:ascii="宋体" w:hAnsi="宋体"/>
          <w:szCs w:val="24"/>
        </w:rPr>
        <w:fldChar w:fldCharType="begin"/>
      </w:r>
      <w:r>
        <w:rPr>
          <w:rFonts w:ascii="宋体" w:hAnsi="宋体"/>
          <w:szCs w:val="24"/>
        </w:rPr>
        <w:instrText xml:space="preserve"> HYPERLINK \l _Toc2286 </w:instrText>
      </w:r>
      <w:r>
        <w:rPr>
          <w:rFonts w:ascii="宋体" w:hAnsi="宋体"/>
          <w:szCs w:val="24"/>
        </w:rPr>
        <w:fldChar w:fldCharType="separate"/>
      </w:r>
      <w:r>
        <w:rPr>
          <w:rFonts w:ascii="宋体" w:hAnsi="宋体"/>
          <w:szCs w:val="36"/>
        </w:rPr>
        <w:t>第</w:t>
      </w:r>
      <w:r>
        <w:rPr>
          <w:rFonts w:hint="eastAsia" w:ascii="宋体" w:hAnsi="宋体"/>
          <w:szCs w:val="36"/>
        </w:rPr>
        <w:t>一</w:t>
      </w:r>
      <w:r>
        <w:rPr>
          <w:rFonts w:ascii="宋体" w:hAnsi="宋体"/>
          <w:szCs w:val="36"/>
        </w:rPr>
        <w:t xml:space="preserve">章 </w:t>
      </w:r>
      <w:r>
        <w:rPr>
          <w:rFonts w:hint="eastAsia" w:ascii="宋体" w:hAnsi="宋体"/>
          <w:szCs w:val="36"/>
        </w:rPr>
        <w:t>招标公告</w:t>
      </w:r>
      <w:r>
        <w:tab/>
      </w:r>
      <w:r>
        <w:fldChar w:fldCharType="begin"/>
      </w:r>
      <w:r>
        <w:instrText xml:space="preserve"> PAGEREF _Toc2286 \h </w:instrText>
      </w:r>
      <w:r>
        <w:fldChar w:fldCharType="separate"/>
      </w:r>
      <w:r>
        <w:t>6</w:t>
      </w:r>
      <w:r>
        <w:fldChar w:fldCharType="end"/>
      </w:r>
      <w:r>
        <w:rPr>
          <w:rFonts w:ascii="宋体" w:hAnsi="宋体"/>
          <w:szCs w:val="24"/>
        </w:rPr>
        <w:fldChar w:fldCharType="end"/>
      </w:r>
    </w:p>
    <w:p w14:paraId="5E9666E0">
      <w:pPr>
        <w:pStyle w:val="42"/>
        <w:tabs>
          <w:tab w:val="right" w:leader="dot" w:pos="9071"/>
        </w:tabs>
      </w:pPr>
      <w:r>
        <w:rPr>
          <w:rFonts w:ascii="宋体" w:hAnsi="宋体"/>
          <w:szCs w:val="24"/>
        </w:rPr>
        <w:fldChar w:fldCharType="begin"/>
      </w:r>
      <w:r>
        <w:rPr>
          <w:rFonts w:ascii="宋体" w:hAnsi="宋体"/>
          <w:szCs w:val="24"/>
        </w:rPr>
        <w:instrText xml:space="preserve"> HYPERLINK \l _Toc10714 </w:instrText>
      </w:r>
      <w:r>
        <w:rPr>
          <w:rFonts w:ascii="宋体" w:hAnsi="宋体"/>
          <w:szCs w:val="24"/>
        </w:rPr>
        <w:fldChar w:fldCharType="separate"/>
      </w:r>
      <w:r>
        <w:rPr>
          <w:rFonts w:hint="eastAsia" w:ascii="宋体" w:hAnsi="宋体"/>
          <w:szCs w:val="36"/>
        </w:rPr>
        <w:t>第二章 投标人须知</w:t>
      </w:r>
      <w:r>
        <w:tab/>
      </w:r>
      <w:r>
        <w:fldChar w:fldCharType="begin"/>
      </w:r>
      <w:r>
        <w:instrText xml:space="preserve"> PAGEREF _Toc10714 \h </w:instrText>
      </w:r>
      <w:r>
        <w:fldChar w:fldCharType="separate"/>
      </w:r>
      <w:r>
        <w:t>10</w:t>
      </w:r>
      <w:r>
        <w:fldChar w:fldCharType="end"/>
      </w:r>
      <w:r>
        <w:rPr>
          <w:rFonts w:ascii="宋体" w:hAnsi="宋体"/>
          <w:szCs w:val="24"/>
        </w:rPr>
        <w:fldChar w:fldCharType="end"/>
      </w:r>
    </w:p>
    <w:p w14:paraId="3216C858">
      <w:pPr>
        <w:pStyle w:val="53"/>
        <w:tabs>
          <w:tab w:val="right" w:leader="dot" w:pos="9071"/>
        </w:tabs>
      </w:pPr>
      <w:r>
        <w:rPr>
          <w:rFonts w:ascii="宋体" w:hAnsi="宋体"/>
          <w:szCs w:val="24"/>
        </w:rPr>
        <w:fldChar w:fldCharType="begin"/>
      </w:r>
      <w:r>
        <w:rPr>
          <w:rFonts w:ascii="宋体" w:hAnsi="宋体"/>
          <w:szCs w:val="24"/>
        </w:rPr>
        <w:instrText xml:space="preserve"> HYPERLINK \l _Toc18044 </w:instrText>
      </w:r>
      <w:r>
        <w:rPr>
          <w:rFonts w:ascii="宋体" w:hAnsi="宋体"/>
          <w:szCs w:val="24"/>
        </w:rPr>
        <w:fldChar w:fldCharType="separate"/>
      </w:r>
      <w:r>
        <w:rPr>
          <w:rFonts w:hint="eastAsia" w:ascii="宋体" w:hAnsi="宋体" w:eastAsia="宋体"/>
        </w:rPr>
        <w:t>投标人须知前附表</w:t>
      </w:r>
      <w:r>
        <w:tab/>
      </w:r>
      <w:r>
        <w:fldChar w:fldCharType="begin"/>
      </w:r>
      <w:r>
        <w:instrText xml:space="preserve"> PAGEREF _Toc18044 \h </w:instrText>
      </w:r>
      <w:r>
        <w:fldChar w:fldCharType="separate"/>
      </w:r>
      <w:r>
        <w:t>10</w:t>
      </w:r>
      <w:r>
        <w:fldChar w:fldCharType="end"/>
      </w:r>
      <w:r>
        <w:rPr>
          <w:rFonts w:ascii="宋体" w:hAnsi="宋体"/>
          <w:szCs w:val="24"/>
        </w:rPr>
        <w:fldChar w:fldCharType="end"/>
      </w:r>
    </w:p>
    <w:p w14:paraId="7D42C812">
      <w:pPr>
        <w:pStyle w:val="53"/>
        <w:tabs>
          <w:tab w:val="right" w:leader="dot" w:pos="9071"/>
        </w:tabs>
      </w:pPr>
      <w:r>
        <w:rPr>
          <w:rFonts w:ascii="宋体" w:hAnsi="宋体"/>
          <w:szCs w:val="24"/>
        </w:rPr>
        <w:fldChar w:fldCharType="begin"/>
      </w:r>
      <w:r>
        <w:rPr>
          <w:rFonts w:ascii="宋体" w:hAnsi="宋体"/>
          <w:szCs w:val="24"/>
        </w:rPr>
        <w:instrText xml:space="preserve"> HYPERLINK \l _Toc20694 </w:instrText>
      </w:r>
      <w:r>
        <w:rPr>
          <w:rFonts w:ascii="宋体" w:hAnsi="宋体"/>
          <w:szCs w:val="24"/>
        </w:rPr>
        <w:fldChar w:fldCharType="separate"/>
      </w:r>
      <w:r>
        <w:rPr>
          <w:rFonts w:hint="eastAsia" w:ascii="宋体" w:hAnsi="宋体" w:eastAsia="宋体"/>
        </w:rPr>
        <w:t>1.总则</w:t>
      </w:r>
      <w:r>
        <w:tab/>
      </w:r>
      <w:r>
        <w:fldChar w:fldCharType="begin"/>
      </w:r>
      <w:r>
        <w:instrText xml:space="preserve"> PAGEREF _Toc20694 \h </w:instrText>
      </w:r>
      <w:r>
        <w:fldChar w:fldCharType="separate"/>
      </w:r>
      <w:r>
        <w:t>19</w:t>
      </w:r>
      <w:r>
        <w:fldChar w:fldCharType="end"/>
      </w:r>
      <w:r>
        <w:rPr>
          <w:rFonts w:ascii="宋体" w:hAnsi="宋体"/>
          <w:szCs w:val="24"/>
        </w:rPr>
        <w:fldChar w:fldCharType="end"/>
      </w:r>
    </w:p>
    <w:p w14:paraId="771605D2">
      <w:pPr>
        <w:pStyle w:val="53"/>
        <w:tabs>
          <w:tab w:val="right" w:leader="dot" w:pos="9071"/>
        </w:tabs>
      </w:pPr>
      <w:r>
        <w:rPr>
          <w:rFonts w:ascii="宋体" w:hAnsi="宋体"/>
          <w:szCs w:val="24"/>
        </w:rPr>
        <w:fldChar w:fldCharType="begin"/>
      </w:r>
      <w:r>
        <w:rPr>
          <w:rFonts w:ascii="宋体" w:hAnsi="宋体"/>
          <w:szCs w:val="24"/>
        </w:rPr>
        <w:instrText xml:space="preserve"> HYPERLINK \l _Toc13748 </w:instrText>
      </w:r>
      <w:r>
        <w:rPr>
          <w:rFonts w:ascii="宋体" w:hAnsi="宋体"/>
          <w:szCs w:val="24"/>
        </w:rPr>
        <w:fldChar w:fldCharType="separate"/>
      </w:r>
      <w:r>
        <w:rPr>
          <w:rFonts w:hint="eastAsia" w:ascii="宋体" w:hAnsi="宋体" w:eastAsia="宋体"/>
        </w:rPr>
        <w:t>2.招标文件</w:t>
      </w:r>
      <w:r>
        <w:tab/>
      </w:r>
      <w:r>
        <w:fldChar w:fldCharType="begin"/>
      </w:r>
      <w:r>
        <w:instrText xml:space="preserve"> PAGEREF _Toc13748 \h </w:instrText>
      </w:r>
      <w:r>
        <w:fldChar w:fldCharType="separate"/>
      </w:r>
      <w:r>
        <w:t>22</w:t>
      </w:r>
      <w:r>
        <w:fldChar w:fldCharType="end"/>
      </w:r>
      <w:r>
        <w:rPr>
          <w:rFonts w:ascii="宋体" w:hAnsi="宋体"/>
          <w:szCs w:val="24"/>
        </w:rPr>
        <w:fldChar w:fldCharType="end"/>
      </w:r>
    </w:p>
    <w:p w14:paraId="2E849ED9">
      <w:pPr>
        <w:pStyle w:val="53"/>
        <w:tabs>
          <w:tab w:val="right" w:leader="dot" w:pos="9071"/>
        </w:tabs>
      </w:pPr>
      <w:r>
        <w:rPr>
          <w:rFonts w:ascii="宋体" w:hAnsi="宋体"/>
          <w:szCs w:val="24"/>
        </w:rPr>
        <w:fldChar w:fldCharType="begin"/>
      </w:r>
      <w:r>
        <w:rPr>
          <w:rFonts w:ascii="宋体" w:hAnsi="宋体"/>
          <w:szCs w:val="24"/>
        </w:rPr>
        <w:instrText xml:space="preserve"> HYPERLINK \l _Toc19785 </w:instrText>
      </w:r>
      <w:r>
        <w:rPr>
          <w:rFonts w:ascii="宋体" w:hAnsi="宋体"/>
          <w:szCs w:val="24"/>
        </w:rPr>
        <w:fldChar w:fldCharType="separate"/>
      </w:r>
      <w:r>
        <w:rPr>
          <w:rFonts w:hint="eastAsia" w:ascii="宋体" w:hAnsi="宋体" w:eastAsia="宋体"/>
        </w:rPr>
        <w:t>3.投标文件</w:t>
      </w:r>
      <w:r>
        <w:tab/>
      </w:r>
      <w:r>
        <w:fldChar w:fldCharType="begin"/>
      </w:r>
      <w:r>
        <w:instrText xml:space="preserve"> PAGEREF _Toc19785 \h </w:instrText>
      </w:r>
      <w:r>
        <w:fldChar w:fldCharType="separate"/>
      </w:r>
      <w:r>
        <w:t>24</w:t>
      </w:r>
      <w:r>
        <w:fldChar w:fldCharType="end"/>
      </w:r>
      <w:r>
        <w:rPr>
          <w:rFonts w:ascii="宋体" w:hAnsi="宋体"/>
          <w:szCs w:val="24"/>
        </w:rPr>
        <w:fldChar w:fldCharType="end"/>
      </w:r>
    </w:p>
    <w:p w14:paraId="2E9D8112">
      <w:pPr>
        <w:pStyle w:val="53"/>
        <w:tabs>
          <w:tab w:val="right" w:leader="dot" w:pos="9071"/>
        </w:tabs>
      </w:pPr>
      <w:r>
        <w:rPr>
          <w:rFonts w:ascii="宋体" w:hAnsi="宋体"/>
          <w:szCs w:val="24"/>
        </w:rPr>
        <w:fldChar w:fldCharType="begin"/>
      </w:r>
      <w:r>
        <w:rPr>
          <w:rFonts w:ascii="宋体" w:hAnsi="宋体"/>
          <w:szCs w:val="24"/>
        </w:rPr>
        <w:instrText xml:space="preserve"> HYPERLINK \l _Toc32307 </w:instrText>
      </w:r>
      <w:r>
        <w:rPr>
          <w:rFonts w:ascii="宋体" w:hAnsi="宋体"/>
          <w:szCs w:val="24"/>
        </w:rPr>
        <w:fldChar w:fldCharType="separate"/>
      </w:r>
      <w:r>
        <w:rPr>
          <w:rFonts w:hint="eastAsia" w:ascii="宋体" w:hAnsi="宋体" w:eastAsia="宋体"/>
        </w:rPr>
        <w:t>4.投标</w:t>
      </w:r>
      <w:r>
        <w:tab/>
      </w:r>
      <w:r>
        <w:fldChar w:fldCharType="begin"/>
      </w:r>
      <w:r>
        <w:instrText xml:space="preserve"> PAGEREF _Toc32307 \h </w:instrText>
      </w:r>
      <w:r>
        <w:fldChar w:fldCharType="separate"/>
      </w:r>
      <w:r>
        <w:t>28</w:t>
      </w:r>
      <w:r>
        <w:fldChar w:fldCharType="end"/>
      </w:r>
      <w:r>
        <w:rPr>
          <w:rFonts w:ascii="宋体" w:hAnsi="宋体"/>
          <w:szCs w:val="24"/>
        </w:rPr>
        <w:fldChar w:fldCharType="end"/>
      </w:r>
    </w:p>
    <w:p w14:paraId="43439811">
      <w:pPr>
        <w:pStyle w:val="53"/>
        <w:tabs>
          <w:tab w:val="right" w:leader="dot" w:pos="9071"/>
        </w:tabs>
      </w:pPr>
      <w:r>
        <w:rPr>
          <w:rFonts w:ascii="宋体" w:hAnsi="宋体"/>
          <w:szCs w:val="24"/>
        </w:rPr>
        <w:fldChar w:fldCharType="begin"/>
      </w:r>
      <w:r>
        <w:rPr>
          <w:rFonts w:ascii="宋体" w:hAnsi="宋体"/>
          <w:szCs w:val="24"/>
        </w:rPr>
        <w:instrText xml:space="preserve"> HYPERLINK \l _Toc26088 </w:instrText>
      </w:r>
      <w:r>
        <w:rPr>
          <w:rFonts w:ascii="宋体" w:hAnsi="宋体"/>
          <w:szCs w:val="24"/>
        </w:rPr>
        <w:fldChar w:fldCharType="separate"/>
      </w:r>
      <w:r>
        <w:rPr>
          <w:rFonts w:hint="eastAsia" w:ascii="宋体" w:hAnsi="宋体" w:eastAsia="宋体"/>
        </w:rPr>
        <w:t>5.开标</w:t>
      </w:r>
      <w:r>
        <w:tab/>
      </w:r>
      <w:r>
        <w:fldChar w:fldCharType="begin"/>
      </w:r>
      <w:r>
        <w:instrText xml:space="preserve"> PAGEREF _Toc26088 \h </w:instrText>
      </w:r>
      <w:r>
        <w:fldChar w:fldCharType="separate"/>
      </w:r>
      <w:r>
        <w:t>28</w:t>
      </w:r>
      <w:r>
        <w:fldChar w:fldCharType="end"/>
      </w:r>
      <w:r>
        <w:rPr>
          <w:rFonts w:ascii="宋体" w:hAnsi="宋体"/>
          <w:szCs w:val="24"/>
        </w:rPr>
        <w:fldChar w:fldCharType="end"/>
      </w:r>
    </w:p>
    <w:p w14:paraId="5227A7B6">
      <w:pPr>
        <w:pStyle w:val="53"/>
        <w:tabs>
          <w:tab w:val="right" w:leader="dot" w:pos="9071"/>
        </w:tabs>
      </w:pPr>
      <w:r>
        <w:rPr>
          <w:rFonts w:ascii="宋体" w:hAnsi="宋体"/>
          <w:szCs w:val="24"/>
        </w:rPr>
        <w:fldChar w:fldCharType="begin"/>
      </w:r>
      <w:r>
        <w:rPr>
          <w:rFonts w:ascii="宋体" w:hAnsi="宋体"/>
          <w:szCs w:val="24"/>
        </w:rPr>
        <w:instrText xml:space="preserve"> HYPERLINK \l _Toc23325 </w:instrText>
      </w:r>
      <w:r>
        <w:rPr>
          <w:rFonts w:ascii="宋体" w:hAnsi="宋体"/>
          <w:szCs w:val="24"/>
        </w:rPr>
        <w:fldChar w:fldCharType="separate"/>
      </w:r>
      <w:r>
        <w:rPr>
          <w:rFonts w:hint="eastAsia" w:ascii="宋体" w:hAnsi="宋体" w:eastAsia="宋体"/>
        </w:rPr>
        <w:t>6.评标</w:t>
      </w:r>
      <w:r>
        <w:tab/>
      </w:r>
      <w:r>
        <w:fldChar w:fldCharType="begin"/>
      </w:r>
      <w:r>
        <w:instrText xml:space="preserve"> PAGEREF _Toc23325 \h </w:instrText>
      </w:r>
      <w:r>
        <w:fldChar w:fldCharType="separate"/>
      </w:r>
      <w:r>
        <w:t>29</w:t>
      </w:r>
      <w:r>
        <w:fldChar w:fldCharType="end"/>
      </w:r>
      <w:r>
        <w:rPr>
          <w:rFonts w:ascii="宋体" w:hAnsi="宋体"/>
          <w:szCs w:val="24"/>
        </w:rPr>
        <w:fldChar w:fldCharType="end"/>
      </w:r>
    </w:p>
    <w:p w14:paraId="0B2DEBC0">
      <w:pPr>
        <w:pStyle w:val="53"/>
        <w:tabs>
          <w:tab w:val="right" w:leader="dot" w:pos="9071"/>
        </w:tabs>
      </w:pPr>
      <w:r>
        <w:rPr>
          <w:rFonts w:ascii="宋体" w:hAnsi="宋体"/>
          <w:szCs w:val="24"/>
        </w:rPr>
        <w:fldChar w:fldCharType="begin"/>
      </w:r>
      <w:r>
        <w:rPr>
          <w:rFonts w:ascii="宋体" w:hAnsi="宋体"/>
          <w:szCs w:val="24"/>
        </w:rPr>
        <w:instrText xml:space="preserve"> HYPERLINK \l _Toc25451 </w:instrText>
      </w:r>
      <w:r>
        <w:rPr>
          <w:rFonts w:ascii="宋体" w:hAnsi="宋体"/>
          <w:szCs w:val="24"/>
        </w:rPr>
        <w:fldChar w:fldCharType="separate"/>
      </w:r>
      <w:r>
        <w:rPr>
          <w:rFonts w:hint="eastAsia" w:ascii="宋体" w:hAnsi="宋体" w:eastAsia="宋体"/>
        </w:rPr>
        <w:t>7.合同授予</w:t>
      </w:r>
      <w:r>
        <w:tab/>
      </w:r>
      <w:r>
        <w:fldChar w:fldCharType="begin"/>
      </w:r>
      <w:r>
        <w:instrText xml:space="preserve"> PAGEREF _Toc25451 \h </w:instrText>
      </w:r>
      <w:r>
        <w:fldChar w:fldCharType="separate"/>
      </w:r>
      <w:r>
        <w:t>30</w:t>
      </w:r>
      <w:r>
        <w:fldChar w:fldCharType="end"/>
      </w:r>
      <w:r>
        <w:rPr>
          <w:rFonts w:ascii="宋体" w:hAnsi="宋体"/>
          <w:szCs w:val="24"/>
        </w:rPr>
        <w:fldChar w:fldCharType="end"/>
      </w:r>
    </w:p>
    <w:p w14:paraId="702F2631">
      <w:pPr>
        <w:pStyle w:val="53"/>
        <w:tabs>
          <w:tab w:val="right" w:leader="dot" w:pos="9071"/>
        </w:tabs>
      </w:pPr>
      <w:r>
        <w:rPr>
          <w:rFonts w:ascii="宋体" w:hAnsi="宋体"/>
          <w:szCs w:val="24"/>
        </w:rPr>
        <w:fldChar w:fldCharType="begin"/>
      </w:r>
      <w:r>
        <w:rPr>
          <w:rFonts w:ascii="宋体" w:hAnsi="宋体"/>
          <w:szCs w:val="24"/>
        </w:rPr>
        <w:instrText xml:space="preserve"> HYPERLINK \l _Toc3053 </w:instrText>
      </w:r>
      <w:r>
        <w:rPr>
          <w:rFonts w:ascii="宋体" w:hAnsi="宋体"/>
          <w:szCs w:val="24"/>
        </w:rPr>
        <w:fldChar w:fldCharType="separate"/>
      </w:r>
      <w:r>
        <w:rPr>
          <w:rFonts w:hint="eastAsia" w:ascii="宋体" w:hAnsi="宋体" w:eastAsia="宋体"/>
        </w:rPr>
        <w:t>8.纪律和监督</w:t>
      </w:r>
      <w:r>
        <w:tab/>
      </w:r>
      <w:r>
        <w:fldChar w:fldCharType="begin"/>
      </w:r>
      <w:r>
        <w:instrText xml:space="preserve"> PAGEREF _Toc3053 \h </w:instrText>
      </w:r>
      <w:r>
        <w:fldChar w:fldCharType="separate"/>
      </w:r>
      <w:r>
        <w:t>30</w:t>
      </w:r>
      <w:r>
        <w:fldChar w:fldCharType="end"/>
      </w:r>
      <w:r>
        <w:rPr>
          <w:rFonts w:ascii="宋体" w:hAnsi="宋体"/>
          <w:szCs w:val="24"/>
        </w:rPr>
        <w:fldChar w:fldCharType="end"/>
      </w:r>
    </w:p>
    <w:p w14:paraId="2A12E9B1">
      <w:pPr>
        <w:pStyle w:val="53"/>
        <w:tabs>
          <w:tab w:val="right" w:leader="dot" w:pos="9071"/>
        </w:tabs>
      </w:pPr>
      <w:r>
        <w:rPr>
          <w:rFonts w:ascii="宋体" w:hAnsi="宋体"/>
          <w:szCs w:val="24"/>
        </w:rPr>
        <w:fldChar w:fldCharType="begin"/>
      </w:r>
      <w:r>
        <w:rPr>
          <w:rFonts w:ascii="宋体" w:hAnsi="宋体"/>
          <w:szCs w:val="24"/>
        </w:rPr>
        <w:instrText xml:space="preserve"> HYPERLINK \l _Toc8854 </w:instrText>
      </w:r>
      <w:r>
        <w:rPr>
          <w:rFonts w:ascii="宋体" w:hAnsi="宋体"/>
          <w:szCs w:val="24"/>
        </w:rPr>
        <w:fldChar w:fldCharType="separate"/>
      </w:r>
      <w:r>
        <w:rPr>
          <w:rFonts w:hint="eastAsia" w:ascii="宋体" w:hAnsi="宋体" w:eastAsia="宋体"/>
        </w:rPr>
        <w:t>9.需要补充的其他内容</w:t>
      </w:r>
      <w:r>
        <w:tab/>
      </w:r>
      <w:r>
        <w:fldChar w:fldCharType="begin"/>
      </w:r>
      <w:r>
        <w:instrText xml:space="preserve"> PAGEREF _Toc8854 \h </w:instrText>
      </w:r>
      <w:r>
        <w:fldChar w:fldCharType="separate"/>
      </w:r>
      <w:r>
        <w:t>35</w:t>
      </w:r>
      <w:r>
        <w:fldChar w:fldCharType="end"/>
      </w:r>
      <w:r>
        <w:rPr>
          <w:rFonts w:ascii="宋体" w:hAnsi="宋体"/>
          <w:szCs w:val="24"/>
        </w:rPr>
        <w:fldChar w:fldCharType="end"/>
      </w:r>
    </w:p>
    <w:p w14:paraId="3BC465EF">
      <w:pPr>
        <w:pStyle w:val="42"/>
        <w:tabs>
          <w:tab w:val="right" w:leader="dot" w:pos="9071"/>
        </w:tabs>
      </w:pPr>
      <w:r>
        <w:rPr>
          <w:rFonts w:ascii="宋体" w:hAnsi="宋体"/>
          <w:szCs w:val="24"/>
        </w:rPr>
        <w:fldChar w:fldCharType="begin"/>
      </w:r>
      <w:r>
        <w:rPr>
          <w:rFonts w:ascii="宋体" w:hAnsi="宋体"/>
          <w:szCs w:val="24"/>
        </w:rPr>
        <w:instrText xml:space="preserve"> HYPERLINK \l _Toc28856 </w:instrText>
      </w:r>
      <w:r>
        <w:rPr>
          <w:rFonts w:ascii="宋体" w:hAnsi="宋体"/>
          <w:szCs w:val="24"/>
        </w:rPr>
        <w:fldChar w:fldCharType="separate"/>
      </w:r>
      <w:r>
        <w:rPr>
          <w:rFonts w:hint="eastAsia" w:ascii="宋体" w:hAnsi="宋体"/>
          <w:szCs w:val="36"/>
        </w:rPr>
        <w:t>第三章 评标办法</w:t>
      </w:r>
      <w:r>
        <w:tab/>
      </w:r>
      <w:r>
        <w:fldChar w:fldCharType="begin"/>
      </w:r>
      <w:r>
        <w:instrText xml:space="preserve"> PAGEREF _Toc28856 \h </w:instrText>
      </w:r>
      <w:r>
        <w:fldChar w:fldCharType="separate"/>
      </w:r>
      <w:r>
        <w:t>36</w:t>
      </w:r>
      <w:r>
        <w:fldChar w:fldCharType="end"/>
      </w:r>
      <w:r>
        <w:rPr>
          <w:rFonts w:ascii="宋体" w:hAnsi="宋体"/>
          <w:szCs w:val="24"/>
        </w:rPr>
        <w:fldChar w:fldCharType="end"/>
      </w:r>
    </w:p>
    <w:p w14:paraId="745066A3">
      <w:pPr>
        <w:pStyle w:val="53"/>
        <w:tabs>
          <w:tab w:val="right" w:leader="dot" w:pos="9071"/>
        </w:tabs>
      </w:pPr>
      <w:r>
        <w:rPr>
          <w:rFonts w:ascii="宋体" w:hAnsi="宋体"/>
          <w:szCs w:val="24"/>
        </w:rPr>
        <w:fldChar w:fldCharType="begin"/>
      </w:r>
      <w:r>
        <w:rPr>
          <w:rFonts w:ascii="宋体" w:hAnsi="宋体"/>
          <w:szCs w:val="24"/>
        </w:rPr>
        <w:instrText xml:space="preserve"> HYPERLINK \l _Toc18411 </w:instrText>
      </w:r>
      <w:r>
        <w:rPr>
          <w:rFonts w:ascii="宋体" w:hAnsi="宋体"/>
          <w:szCs w:val="24"/>
        </w:rPr>
        <w:fldChar w:fldCharType="separate"/>
      </w:r>
      <w:r>
        <w:rPr>
          <w:rFonts w:ascii="宋体" w:hAnsi="宋体" w:eastAsia="宋体"/>
        </w:rPr>
        <w:t>评标办法前附表</w:t>
      </w:r>
      <w:r>
        <w:tab/>
      </w:r>
      <w:r>
        <w:fldChar w:fldCharType="begin"/>
      </w:r>
      <w:r>
        <w:instrText xml:space="preserve"> PAGEREF _Toc18411 \h </w:instrText>
      </w:r>
      <w:r>
        <w:fldChar w:fldCharType="separate"/>
      </w:r>
      <w:r>
        <w:t>36</w:t>
      </w:r>
      <w:r>
        <w:fldChar w:fldCharType="end"/>
      </w:r>
      <w:r>
        <w:rPr>
          <w:rFonts w:ascii="宋体" w:hAnsi="宋体"/>
          <w:szCs w:val="24"/>
        </w:rPr>
        <w:fldChar w:fldCharType="end"/>
      </w:r>
    </w:p>
    <w:p w14:paraId="62A02FEB">
      <w:pPr>
        <w:pStyle w:val="42"/>
        <w:tabs>
          <w:tab w:val="right" w:leader="dot" w:pos="9071"/>
        </w:tabs>
      </w:pPr>
      <w:r>
        <w:rPr>
          <w:rFonts w:ascii="宋体" w:hAnsi="宋体"/>
          <w:szCs w:val="24"/>
        </w:rPr>
        <w:fldChar w:fldCharType="begin"/>
      </w:r>
      <w:r>
        <w:rPr>
          <w:rFonts w:ascii="宋体" w:hAnsi="宋体"/>
          <w:szCs w:val="24"/>
        </w:rPr>
        <w:instrText xml:space="preserve"> HYPERLINK \l _Toc21947 </w:instrText>
      </w:r>
      <w:r>
        <w:rPr>
          <w:rFonts w:ascii="宋体" w:hAnsi="宋体"/>
          <w:szCs w:val="24"/>
        </w:rPr>
        <w:fldChar w:fldCharType="separate"/>
      </w:r>
      <w:r>
        <w:rPr>
          <w:rFonts w:hint="eastAsia" w:ascii="宋体" w:hAnsi="宋体"/>
          <w:szCs w:val="36"/>
        </w:rPr>
        <w:t>第四章 合同主要条款</w:t>
      </w:r>
      <w:r>
        <w:tab/>
      </w:r>
      <w:r>
        <w:fldChar w:fldCharType="begin"/>
      </w:r>
      <w:r>
        <w:instrText xml:space="preserve"> PAGEREF _Toc21947 \h </w:instrText>
      </w:r>
      <w:r>
        <w:fldChar w:fldCharType="separate"/>
      </w:r>
      <w:r>
        <w:t>50</w:t>
      </w:r>
      <w:r>
        <w:fldChar w:fldCharType="end"/>
      </w:r>
      <w:r>
        <w:rPr>
          <w:rFonts w:ascii="宋体" w:hAnsi="宋体"/>
          <w:szCs w:val="24"/>
        </w:rPr>
        <w:fldChar w:fldCharType="end"/>
      </w:r>
    </w:p>
    <w:p w14:paraId="730DEF42">
      <w:pPr>
        <w:pStyle w:val="53"/>
        <w:tabs>
          <w:tab w:val="right" w:leader="dot" w:pos="9071"/>
        </w:tabs>
      </w:pPr>
      <w:r>
        <w:rPr>
          <w:rFonts w:ascii="宋体" w:hAnsi="宋体"/>
          <w:szCs w:val="24"/>
        </w:rPr>
        <w:fldChar w:fldCharType="begin"/>
      </w:r>
      <w:r>
        <w:rPr>
          <w:rFonts w:ascii="宋体" w:hAnsi="宋体"/>
          <w:szCs w:val="24"/>
        </w:rPr>
        <w:instrText xml:space="preserve"> HYPERLINK \l _Toc10628 </w:instrText>
      </w:r>
      <w:r>
        <w:rPr>
          <w:rFonts w:ascii="宋体" w:hAnsi="宋体"/>
          <w:szCs w:val="24"/>
        </w:rPr>
        <w:fldChar w:fldCharType="separate"/>
      </w:r>
      <w:r>
        <w:rPr>
          <w:rFonts w:hint="eastAsia"/>
          <w:bCs/>
          <w:kern w:val="44"/>
          <w:szCs w:val="21"/>
        </w:rPr>
        <w:t>1 定义</w:t>
      </w:r>
      <w:r>
        <w:tab/>
      </w:r>
      <w:r>
        <w:fldChar w:fldCharType="begin"/>
      </w:r>
      <w:r>
        <w:instrText xml:space="preserve"> PAGEREF _Toc10628 \h </w:instrText>
      </w:r>
      <w:r>
        <w:fldChar w:fldCharType="separate"/>
      </w:r>
      <w:r>
        <w:t>50</w:t>
      </w:r>
      <w:r>
        <w:fldChar w:fldCharType="end"/>
      </w:r>
      <w:r>
        <w:rPr>
          <w:rFonts w:ascii="宋体" w:hAnsi="宋体"/>
          <w:szCs w:val="24"/>
        </w:rPr>
        <w:fldChar w:fldCharType="end"/>
      </w:r>
    </w:p>
    <w:p w14:paraId="13AE0DB0">
      <w:pPr>
        <w:pStyle w:val="53"/>
        <w:tabs>
          <w:tab w:val="right" w:leader="dot" w:pos="9071"/>
        </w:tabs>
      </w:pPr>
      <w:r>
        <w:rPr>
          <w:rFonts w:ascii="宋体" w:hAnsi="宋体"/>
          <w:szCs w:val="24"/>
        </w:rPr>
        <w:fldChar w:fldCharType="begin"/>
      </w:r>
      <w:r>
        <w:rPr>
          <w:rFonts w:ascii="宋体" w:hAnsi="宋体"/>
          <w:szCs w:val="24"/>
        </w:rPr>
        <w:instrText xml:space="preserve"> HYPERLINK \l _Toc20523 </w:instrText>
      </w:r>
      <w:r>
        <w:rPr>
          <w:rFonts w:ascii="宋体" w:hAnsi="宋体"/>
          <w:szCs w:val="24"/>
        </w:rPr>
        <w:fldChar w:fldCharType="separate"/>
      </w:r>
      <w:r>
        <w:rPr>
          <w:rFonts w:hint="eastAsia"/>
          <w:bCs/>
          <w:kern w:val="44"/>
          <w:szCs w:val="21"/>
        </w:rPr>
        <w:t>2 合同范围及目的</w:t>
      </w:r>
      <w:r>
        <w:tab/>
      </w:r>
      <w:r>
        <w:fldChar w:fldCharType="begin"/>
      </w:r>
      <w:r>
        <w:instrText xml:space="preserve"> PAGEREF _Toc20523 \h </w:instrText>
      </w:r>
      <w:r>
        <w:fldChar w:fldCharType="separate"/>
      </w:r>
      <w:r>
        <w:t>51</w:t>
      </w:r>
      <w:r>
        <w:fldChar w:fldCharType="end"/>
      </w:r>
      <w:r>
        <w:rPr>
          <w:rFonts w:ascii="宋体" w:hAnsi="宋体"/>
          <w:szCs w:val="24"/>
        </w:rPr>
        <w:fldChar w:fldCharType="end"/>
      </w:r>
    </w:p>
    <w:p w14:paraId="4599FF82">
      <w:pPr>
        <w:pStyle w:val="53"/>
        <w:tabs>
          <w:tab w:val="right" w:leader="dot" w:pos="9071"/>
        </w:tabs>
      </w:pPr>
      <w:r>
        <w:rPr>
          <w:rFonts w:ascii="宋体" w:hAnsi="宋体"/>
          <w:szCs w:val="24"/>
        </w:rPr>
        <w:fldChar w:fldCharType="begin"/>
      </w:r>
      <w:r>
        <w:rPr>
          <w:rFonts w:ascii="宋体" w:hAnsi="宋体"/>
          <w:szCs w:val="24"/>
        </w:rPr>
        <w:instrText xml:space="preserve"> HYPERLINK \l _Toc26917 </w:instrText>
      </w:r>
      <w:r>
        <w:rPr>
          <w:rFonts w:ascii="宋体" w:hAnsi="宋体"/>
          <w:szCs w:val="24"/>
        </w:rPr>
        <w:fldChar w:fldCharType="separate"/>
      </w:r>
      <w:r>
        <w:rPr>
          <w:bCs/>
          <w:kern w:val="44"/>
          <w:szCs w:val="21"/>
        </w:rPr>
        <w:t>3</w:t>
      </w:r>
      <w:r>
        <w:rPr>
          <w:rFonts w:hint="eastAsia"/>
          <w:bCs/>
          <w:kern w:val="44"/>
          <w:szCs w:val="21"/>
        </w:rPr>
        <w:t xml:space="preserve"> 合同价格与费用</w:t>
      </w:r>
      <w:r>
        <w:tab/>
      </w:r>
      <w:r>
        <w:fldChar w:fldCharType="begin"/>
      </w:r>
      <w:r>
        <w:instrText xml:space="preserve"> PAGEREF _Toc26917 \h </w:instrText>
      </w:r>
      <w:r>
        <w:fldChar w:fldCharType="separate"/>
      </w:r>
      <w:r>
        <w:t>52</w:t>
      </w:r>
      <w:r>
        <w:fldChar w:fldCharType="end"/>
      </w:r>
      <w:r>
        <w:rPr>
          <w:rFonts w:ascii="宋体" w:hAnsi="宋体"/>
          <w:szCs w:val="24"/>
        </w:rPr>
        <w:fldChar w:fldCharType="end"/>
      </w:r>
    </w:p>
    <w:p w14:paraId="40358551">
      <w:pPr>
        <w:pStyle w:val="53"/>
        <w:tabs>
          <w:tab w:val="right" w:leader="dot" w:pos="9071"/>
        </w:tabs>
      </w:pPr>
      <w:r>
        <w:rPr>
          <w:rFonts w:ascii="宋体" w:hAnsi="宋体"/>
          <w:szCs w:val="24"/>
        </w:rPr>
        <w:fldChar w:fldCharType="begin"/>
      </w:r>
      <w:r>
        <w:rPr>
          <w:rFonts w:ascii="宋体" w:hAnsi="宋体"/>
          <w:szCs w:val="24"/>
        </w:rPr>
        <w:instrText xml:space="preserve"> HYPERLINK \l _Toc24216 </w:instrText>
      </w:r>
      <w:r>
        <w:rPr>
          <w:rFonts w:ascii="宋体" w:hAnsi="宋体"/>
          <w:szCs w:val="24"/>
        </w:rPr>
        <w:fldChar w:fldCharType="separate"/>
      </w:r>
      <w:r>
        <w:rPr>
          <w:bCs/>
          <w:kern w:val="44"/>
          <w:szCs w:val="21"/>
        </w:rPr>
        <w:t>4</w:t>
      </w:r>
      <w:r>
        <w:rPr>
          <w:rFonts w:hint="eastAsia"/>
          <w:bCs/>
          <w:kern w:val="44"/>
          <w:szCs w:val="21"/>
        </w:rPr>
        <w:t xml:space="preserve"> 支付条款</w:t>
      </w:r>
      <w:r>
        <w:tab/>
      </w:r>
      <w:r>
        <w:fldChar w:fldCharType="begin"/>
      </w:r>
      <w:r>
        <w:instrText xml:space="preserve"> PAGEREF _Toc24216 \h </w:instrText>
      </w:r>
      <w:r>
        <w:fldChar w:fldCharType="separate"/>
      </w:r>
      <w:r>
        <w:t>53</w:t>
      </w:r>
      <w:r>
        <w:fldChar w:fldCharType="end"/>
      </w:r>
      <w:r>
        <w:rPr>
          <w:rFonts w:ascii="宋体" w:hAnsi="宋体"/>
          <w:szCs w:val="24"/>
        </w:rPr>
        <w:fldChar w:fldCharType="end"/>
      </w:r>
    </w:p>
    <w:p w14:paraId="7831C786">
      <w:pPr>
        <w:pStyle w:val="53"/>
        <w:tabs>
          <w:tab w:val="right" w:leader="dot" w:pos="9071"/>
        </w:tabs>
      </w:pPr>
      <w:r>
        <w:rPr>
          <w:rFonts w:ascii="宋体" w:hAnsi="宋体"/>
          <w:szCs w:val="24"/>
        </w:rPr>
        <w:fldChar w:fldCharType="begin"/>
      </w:r>
      <w:r>
        <w:rPr>
          <w:rFonts w:ascii="宋体" w:hAnsi="宋体"/>
          <w:szCs w:val="24"/>
        </w:rPr>
        <w:instrText xml:space="preserve"> HYPERLINK \l _Toc18318 </w:instrText>
      </w:r>
      <w:r>
        <w:rPr>
          <w:rFonts w:ascii="宋体" w:hAnsi="宋体"/>
          <w:szCs w:val="24"/>
        </w:rPr>
        <w:fldChar w:fldCharType="separate"/>
      </w:r>
      <w:r>
        <w:rPr>
          <w:rFonts w:hint="eastAsia"/>
          <w:bCs/>
          <w:kern w:val="44"/>
          <w:szCs w:val="21"/>
        </w:rPr>
        <w:t>5</w:t>
      </w:r>
      <w:r>
        <w:rPr>
          <w:bCs/>
          <w:kern w:val="44"/>
          <w:szCs w:val="21"/>
        </w:rPr>
        <w:t xml:space="preserve"> </w:t>
      </w:r>
      <w:r>
        <w:rPr>
          <w:rFonts w:hint="eastAsia"/>
          <w:bCs/>
          <w:kern w:val="44"/>
          <w:szCs w:val="21"/>
        </w:rPr>
        <w:t>履约担保</w:t>
      </w:r>
      <w:r>
        <w:tab/>
      </w:r>
      <w:r>
        <w:fldChar w:fldCharType="begin"/>
      </w:r>
      <w:r>
        <w:instrText xml:space="preserve"> PAGEREF _Toc18318 \h </w:instrText>
      </w:r>
      <w:r>
        <w:fldChar w:fldCharType="separate"/>
      </w:r>
      <w:r>
        <w:t>54</w:t>
      </w:r>
      <w:r>
        <w:fldChar w:fldCharType="end"/>
      </w:r>
      <w:r>
        <w:rPr>
          <w:rFonts w:ascii="宋体" w:hAnsi="宋体"/>
          <w:szCs w:val="24"/>
        </w:rPr>
        <w:fldChar w:fldCharType="end"/>
      </w:r>
    </w:p>
    <w:p w14:paraId="4D2A06DC">
      <w:pPr>
        <w:pStyle w:val="53"/>
        <w:tabs>
          <w:tab w:val="right" w:leader="dot" w:pos="9071"/>
        </w:tabs>
      </w:pPr>
      <w:r>
        <w:rPr>
          <w:rFonts w:ascii="宋体" w:hAnsi="宋体"/>
          <w:szCs w:val="24"/>
        </w:rPr>
        <w:fldChar w:fldCharType="begin"/>
      </w:r>
      <w:r>
        <w:rPr>
          <w:rFonts w:ascii="宋体" w:hAnsi="宋体"/>
          <w:szCs w:val="24"/>
        </w:rPr>
        <w:instrText xml:space="preserve"> HYPERLINK \l _Toc20842 </w:instrText>
      </w:r>
      <w:r>
        <w:rPr>
          <w:rFonts w:ascii="宋体" w:hAnsi="宋体"/>
          <w:szCs w:val="24"/>
        </w:rPr>
        <w:fldChar w:fldCharType="separate"/>
      </w:r>
      <w:r>
        <w:rPr>
          <w:bCs/>
          <w:kern w:val="44"/>
          <w:szCs w:val="21"/>
        </w:rPr>
        <w:t>6</w:t>
      </w:r>
      <w:r>
        <w:rPr>
          <w:rFonts w:hint="eastAsia"/>
          <w:bCs/>
          <w:kern w:val="44"/>
          <w:szCs w:val="21"/>
        </w:rPr>
        <w:t xml:space="preserve"> 质量保证</w:t>
      </w:r>
      <w:r>
        <w:tab/>
      </w:r>
      <w:r>
        <w:fldChar w:fldCharType="begin"/>
      </w:r>
      <w:r>
        <w:instrText xml:space="preserve"> PAGEREF _Toc20842 \h </w:instrText>
      </w:r>
      <w:r>
        <w:fldChar w:fldCharType="separate"/>
      </w:r>
      <w:r>
        <w:t>55</w:t>
      </w:r>
      <w:r>
        <w:fldChar w:fldCharType="end"/>
      </w:r>
      <w:r>
        <w:rPr>
          <w:rFonts w:ascii="宋体" w:hAnsi="宋体"/>
          <w:szCs w:val="24"/>
        </w:rPr>
        <w:fldChar w:fldCharType="end"/>
      </w:r>
    </w:p>
    <w:p w14:paraId="4EC56200">
      <w:pPr>
        <w:pStyle w:val="53"/>
        <w:tabs>
          <w:tab w:val="right" w:leader="dot" w:pos="9071"/>
        </w:tabs>
      </w:pPr>
      <w:r>
        <w:rPr>
          <w:rFonts w:ascii="宋体" w:hAnsi="宋体"/>
          <w:szCs w:val="24"/>
        </w:rPr>
        <w:fldChar w:fldCharType="begin"/>
      </w:r>
      <w:r>
        <w:rPr>
          <w:rFonts w:ascii="宋体" w:hAnsi="宋体"/>
          <w:szCs w:val="24"/>
        </w:rPr>
        <w:instrText xml:space="preserve"> HYPERLINK \l _Toc17290 </w:instrText>
      </w:r>
      <w:r>
        <w:rPr>
          <w:rFonts w:ascii="宋体" w:hAnsi="宋体"/>
          <w:szCs w:val="24"/>
        </w:rPr>
        <w:fldChar w:fldCharType="separate"/>
      </w:r>
      <w:r>
        <w:rPr>
          <w:bCs/>
          <w:kern w:val="44"/>
          <w:szCs w:val="21"/>
        </w:rPr>
        <w:t>7</w:t>
      </w:r>
      <w:r>
        <w:rPr>
          <w:rFonts w:hint="eastAsia"/>
          <w:bCs/>
          <w:kern w:val="44"/>
          <w:szCs w:val="21"/>
        </w:rPr>
        <w:t xml:space="preserve"> 合同工期</w:t>
      </w:r>
      <w:r>
        <w:tab/>
      </w:r>
      <w:r>
        <w:fldChar w:fldCharType="begin"/>
      </w:r>
      <w:r>
        <w:instrText xml:space="preserve"> PAGEREF _Toc17290 \h </w:instrText>
      </w:r>
      <w:r>
        <w:fldChar w:fldCharType="separate"/>
      </w:r>
      <w:r>
        <w:t>56</w:t>
      </w:r>
      <w:r>
        <w:fldChar w:fldCharType="end"/>
      </w:r>
      <w:r>
        <w:rPr>
          <w:rFonts w:ascii="宋体" w:hAnsi="宋体"/>
          <w:szCs w:val="24"/>
        </w:rPr>
        <w:fldChar w:fldCharType="end"/>
      </w:r>
    </w:p>
    <w:p w14:paraId="18EDB66C">
      <w:pPr>
        <w:pStyle w:val="53"/>
        <w:tabs>
          <w:tab w:val="right" w:leader="dot" w:pos="9071"/>
        </w:tabs>
      </w:pPr>
      <w:r>
        <w:rPr>
          <w:rFonts w:ascii="宋体" w:hAnsi="宋体"/>
          <w:szCs w:val="24"/>
        </w:rPr>
        <w:fldChar w:fldCharType="begin"/>
      </w:r>
      <w:r>
        <w:rPr>
          <w:rFonts w:ascii="宋体" w:hAnsi="宋体"/>
          <w:szCs w:val="24"/>
        </w:rPr>
        <w:instrText xml:space="preserve"> HYPERLINK \l _Toc25662 </w:instrText>
      </w:r>
      <w:r>
        <w:rPr>
          <w:rFonts w:ascii="宋体" w:hAnsi="宋体"/>
          <w:szCs w:val="24"/>
        </w:rPr>
        <w:fldChar w:fldCharType="separate"/>
      </w:r>
      <w:r>
        <w:rPr>
          <w:bCs/>
          <w:kern w:val="44"/>
          <w:szCs w:val="21"/>
        </w:rPr>
        <w:t>8</w:t>
      </w:r>
      <w:r>
        <w:rPr>
          <w:rFonts w:hint="eastAsia"/>
          <w:bCs/>
          <w:kern w:val="44"/>
          <w:szCs w:val="21"/>
        </w:rPr>
        <w:t xml:space="preserve"> 技术要求和制造要求</w:t>
      </w:r>
      <w:r>
        <w:tab/>
      </w:r>
      <w:r>
        <w:fldChar w:fldCharType="begin"/>
      </w:r>
      <w:r>
        <w:instrText xml:space="preserve"> PAGEREF _Toc25662 \h </w:instrText>
      </w:r>
      <w:r>
        <w:fldChar w:fldCharType="separate"/>
      </w:r>
      <w:r>
        <w:t>56</w:t>
      </w:r>
      <w:r>
        <w:fldChar w:fldCharType="end"/>
      </w:r>
      <w:r>
        <w:rPr>
          <w:rFonts w:ascii="宋体" w:hAnsi="宋体"/>
          <w:szCs w:val="24"/>
        </w:rPr>
        <w:fldChar w:fldCharType="end"/>
      </w:r>
    </w:p>
    <w:p w14:paraId="4F64E358">
      <w:pPr>
        <w:pStyle w:val="53"/>
        <w:tabs>
          <w:tab w:val="right" w:leader="dot" w:pos="9071"/>
        </w:tabs>
      </w:pPr>
      <w:r>
        <w:rPr>
          <w:rFonts w:ascii="宋体" w:hAnsi="宋体"/>
          <w:szCs w:val="24"/>
        </w:rPr>
        <w:fldChar w:fldCharType="begin"/>
      </w:r>
      <w:r>
        <w:rPr>
          <w:rFonts w:ascii="宋体" w:hAnsi="宋体"/>
          <w:szCs w:val="24"/>
        </w:rPr>
        <w:instrText xml:space="preserve"> HYPERLINK \l _Toc27220 </w:instrText>
      </w:r>
      <w:r>
        <w:rPr>
          <w:rFonts w:ascii="宋体" w:hAnsi="宋体"/>
          <w:szCs w:val="24"/>
        </w:rPr>
        <w:fldChar w:fldCharType="separate"/>
      </w:r>
      <w:r>
        <w:rPr>
          <w:bCs/>
          <w:kern w:val="44"/>
          <w:szCs w:val="21"/>
        </w:rPr>
        <w:t>9</w:t>
      </w:r>
      <w:r>
        <w:rPr>
          <w:rFonts w:hint="eastAsia"/>
          <w:bCs/>
          <w:kern w:val="44"/>
          <w:szCs w:val="21"/>
        </w:rPr>
        <w:t xml:space="preserve"> 包装与标记</w:t>
      </w:r>
      <w:r>
        <w:tab/>
      </w:r>
      <w:r>
        <w:fldChar w:fldCharType="begin"/>
      </w:r>
      <w:r>
        <w:instrText xml:space="preserve"> PAGEREF _Toc27220 \h </w:instrText>
      </w:r>
      <w:r>
        <w:fldChar w:fldCharType="separate"/>
      </w:r>
      <w:r>
        <w:t>56</w:t>
      </w:r>
      <w:r>
        <w:fldChar w:fldCharType="end"/>
      </w:r>
      <w:r>
        <w:rPr>
          <w:rFonts w:ascii="宋体" w:hAnsi="宋体"/>
          <w:szCs w:val="24"/>
        </w:rPr>
        <w:fldChar w:fldCharType="end"/>
      </w:r>
    </w:p>
    <w:p w14:paraId="0552B626">
      <w:pPr>
        <w:pStyle w:val="53"/>
        <w:tabs>
          <w:tab w:val="right" w:leader="dot" w:pos="9071"/>
        </w:tabs>
      </w:pPr>
      <w:r>
        <w:rPr>
          <w:rFonts w:ascii="宋体" w:hAnsi="宋体"/>
          <w:szCs w:val="24"/>
        </w:rPr>
        <w:fldChar w:fldCharType="begin"/>
      </w:r>
      <w:r>
        <w:rPr>
          <w:rFonts w:ascii="宋体" w:hAnsi="宋体"/>
          <w:szCs w:val="24"/>
        </w:rPr>
        <w:instrText xml:space="preserve"> HYPERLINK \l _Toc30509 </w:instrText>
      </w:r>
      <w:r>
        <w:rPr>
          <w:rFonts w:ascii="宋体" w:hAnsi="宋体"/>
          <w:szCs w:val="24"/>
        </w:rPr>
        <w:fldChar w:fldCharType="separate"/>
      </w:r>
      <w:r>
        <w:rPr>
          <w:bCs/>
          <w:kern w:val="44"/>
          <w:szCs w:val="21"/>
        </w:rPr>
        <w:t>10</w:t>
      </w:r>
      <w:r>
        <w:rPr>
          <w:rFonts w:hint="eastAsia"/>
          <w:bCs/>
          <w:kern w:val="44"/>
          <w:szCs w:val="21"/>
        </w:rPr>
        <w:t xml:space="preserve"> 交货和运输</w:t>
      </w:r>
      <w:r>
        <w:tab/>
      </w:r>
      <w:r>
        <w:fldChar w:fldCharType="begin"/>
      </w:r>
      <w:r>
        <w:instrText xml:space="preserve"> PAGEREF _Toc30509 \h </w:instrText>
      </w:r>
      <w:r>
        <w:fldChar w:fldCharType="separate"/>
      </w:r>
      <w:r>
        <w:t>57</w:t>
      </w:r>
      <w:r>
        <w:fldChar w:fldCharType="end"/>
      </w:r>
      <w:r>
        <w:rPr>
          <w:rFonts w:ascii="宋体" w:hAnsi="宋体"/>
          <w:szCs w:val="24"/>
        </w:rPr>
        <w:fldChar w:fldCharType="end"/>
      </w:r>
    </w:p>
    <w:p w14:paraId="18EB9778">
      <w:pPr>
        <w:pStyle w:val="53"/>
        <w:tabs>
          <w:tab w:val="right" w:leader="dot" w:pos="9071"/>
        </w:tabs>
      </w:pPr>
      <w:r>
        <w:rPr>
          <w:rFonts w:ascii="宋体" w:hAnsi="宋体"/>
          <w:szCs w:val="24"/>
        </w:rPr>
        <w:fldChar w:fldCharType="begin"/>
      </w:r>
      <w:r>
        <w:rPr>
          <w:rFonts w:ascii="宋体" w:hAnsi="宋体"/>
          <w:szCs w:val="24"/>
        </w:rPr>
        <w:instrText xml:space="preserve"> HYPERLINK \l _Toc11334 </w:instrText>
      </w:r>
      <w:r>
        <w:rPr>
          <w:rFonts w:ascii="宋体" w:hAnsi="宋体"/>
          <w:szCs w:val="24"/>
        </w:rPr>
        <w:fldChar w:fldCharType="separate"/>
      </w:r>
      <w:r>
        <w:rPr>
          <w:rFonts w:hint="eastAsia"/>
          <w:bCs/>
          <w:kern w:val="44"/>
          <w:szCs w:val="21"/>
        </w:rPr>
        <w:t>11 甲乙双方的权利和义务</w:t>
      </w:r>
      <w:r>
        <w:tab/>
      </w:r>
      <w:r>
        <w:fldChar w:fldCharType="begin"/>
      </w:r>
      <w:r>
        <w:instrText xml:space="preserve"> PAGEREF _Toc11334 \h </w:instrText>
      </w:r>
      <w:r>
        <w:fldChar w:fldCharType="separate"/>
      </w:r>
      <w:r>
        <w:t>57</w:t>
      </w:r>
      <w:r>
        <w:fldChar w:fldCharType="end"/>
      </w:r>
      <w:r>
        <w:rPr>
          <w:rFonts w:ascii="宋体" w:hAnsi="宋体"/>
          <w:szCs w:val="24"/>
        </w:rPr>
        <w:fldChar w:fldCharType="end"/>
      </w:r>
    </w:p>
    <w:p w14:paraId="471D72DA">
      <w:pPr>
        <w:pStyle w:val="53"/>
        <w:tabs>
          <w:tab w:val="right" w:leader="dot" w:pos="9071"/>
        </w:tabs>
      </w:pPr>
      <w:r>
        <w:rPr>
          <w:rFonts w:ascii="宋体" w:hAnsi="宋体"/>
          <w:szCs w:val="24"/>
        </w:rPr>
        <w:fldChar w:fldCharType="begin"/>
      </w:r>
      <w:r>
        <w:rPr>
          <w:rFonts w:ascii="宋体" w:hAnsi="宋体"/>
          <w:szCs w:val="24"/>
        </w:rPr>
        <w:instrText xml:space="preserve"> HYPERLINK \l _Toc3903 </w:instrText>
      </w:r>
      <w:r>
        <w:rPr>
          <w:rFonts w:ascii="宋体" w:hAnsi="宋体"/>
          <w:szCs w:val="24"/>
        </w:rPr>
        <w:fldChar w:fldCharType="separate"/>
      </w:r>
      <w:r>
        <w:rPr>
          <w:bCs/>
          <w:kern w:val="44"/>
          <w:szCs w:val="21"/>
        </w:rPr>
        <w:t xml:space="preserve">12 </w:t>
      </w:r>
      <w:r>
        <w:rPr>
          <w:rFonts w:hint="eastAsia"/>
          <w:bCs/>
          <w:kern w:val="44"/>
          <w:szCs w:val="21"/>
        </w:rPr>
        <w:t>项目交付（开发服务部分）</w:t>
      </w:r>
      <w:r>
        <w:tab/>
      </w:r>
      <w:r>
        <w:fldChar w:fldCharType="begin"/>
      </w:r>
      <w:r>
        <w:instrText xml:space="preserve"> PAGEREF _Toc3903 \h </w:instrText>
      </w:r>
      <w:r>
        <w:fldChar w:fldCharType="separate"/>
      </w:r>
      <w:r>
        <w:t>59</w:t>
      </w:r>
      <w:r>
        <w:fldChar w:fldCharType="end"/>
      </w:r>
      <w:r>
        <w:rPr>
          <w:rFonts w:ascii="宋体" w:hAnsi="宋体"/>
          <w:szCs w:val="24"/>
        </w:rPr>
        <w:fldChar w:fldCharType="end"/>
      </w:r>
    </w:p>
    <w:p w14:paraId="33165C4E">
      <w:pPr>
        <w:pStyle w:val="53"/>
        <w:tabs>
          <w:tab w:val="right" w:leader="dot" w:pos="9071"/>
        </w:tabs>
      </w:pPr>
      <w:r>
        <w:rPr>
          <w:rFonts w:ascii="宋体" w:hAnsi="宋体"/>
          <w:szCs w:val="24"/>
        </w:rPr>
        <w:fldChar w:fldCharType="begin"/>
      </w:r>
      <w:r>
        <w:rPr>
          <w:rFonts w:ascii="宋体" w:hAnsi="宋体"/>
          <w:szCs w:val="24"/>
        </w:rPr>
        <w:instrText xml:space="preserve"> HYPERLINK \l _Toc24566 </w:instrText>
      </w:r>
      <w:r>
        <w:rPr>
          <w:rFonts w:ascii="宋体" w:hAnsi="宋体"/>
          <w:szCs w:val="24"/>
        </w:rPr>
        <w:fldChar w:fldCharType="separate"/>
      </w:r>
      <w:r>
        <w:rPr>
          <w:bCs/>
          <w:kern w:val="44"/>
          <w:szCs w:val="21"/>
        </w:rPr>
        <w:t>13</w:t>
      </w:r>
      <w:r>
        <w:rPr>
          <w:rFonts w:hint="eastAsia"/>
          <w:bCs/>
          <w:kern w:val="44"/>
          <w:szCs w:val="21"/>
        </w:rPr>
        <w:t xml:space="preserve"> 检验及</w:t>
      </w:r>
      <w:r>
        <w:rPr>
          <w:bCs/>
          <w:kern w:val="44"/>
          <w:szCs w:val="21"/>
        </w:rPr>
        <w:t>技术服务</w:t>
      </w:r>
      <w:r>
        <w:tab/>
      </w:r>
      <w:r>
        <w:fldChar w:fldCharType="begin"/>
      </w:r>
      <w:r>
        <w:instrText xml:space="preserve"> PAGEREF _Toc24566 \h </w:instrText>
      </w:r>
      <w:r>
        <w:fldChar w:fldCharType="separate"/>
      </w:r>
      <w:r>
        <w:t>59</w:t>
      </w:r>
      <w:r>
        <w:fldChar w:fldCharType="end"/>
      </w:r>
      <w:r>
        <w:rPr>
          <w:rFonts w:ascii="宋体" w:hAnsi="宋体"/>
          <w:szCs w:val="24"/>
        </w:rPr>
        <w:fldChar w:fldCharType="end"/>
      </w:r>
    </w:p>
    <w:p w14:paraId="30BEEACB">
      <w:pPr>
        <w:pStyle w:val="53"/>
        <w:tabs>
          <w:tab w:val="right" w:leader="dot" w:pos="9071"/>
        </w:tabs>
      </w:pPr>
      <w:r>
        <w:rPr>
          <w:rFonts w:ascii="宋体" w:hAnsi="宋体"/>
          <w:szCs w:val="24"/>
        </w:rPr>
        <w:fldChar w:fldCharType="begin"/>
      </w:r>
      <w:r>
        <w:rPr>
          <w:rFonts w:ascii="宋体" w:hAnsi="宋体"/>
          <w:szCs w:val="24"/>
        </w:rPr>
        <w:instrText xml:space="preserve"> HYPERLINK \l _Toc16288 </w:instrText>
      </w:r>
      <w:r>
        <w:rPr>
          <w:rFonts w:ascii="宋体" w:hAnsi="宋体"/>
          <w:szCs w:val="24"/>
        </w:rPr>
        <w:fldChar w:fldCharType="separate"/>
      </w:r>
      <w:r>
        <w:rPr>
          <w:rFonts w:hint="eastAsia"/>
          <w:bCs/>
          <w:kern w:val="44"/>
          <w:szCs w:val="21"/>
        </w:rPr>
        <w:t>14 验收</w:t>
      </w:r>
      <w:r>
        <w:tab/>
      </w:r>
      <w:r>
        <w:fldChar w:fldCharType="begin"/>
      </w:r>
      <w:r>
        <w:instrText xml:space="preserve"> PAGEREF _Toc16288 \h </w:instrText>
      </w:r>
      <w:r>
        <w:fldChar w:fldCharType="separate"/>
      </w:r>
      <w:r>
        <w:t>60</w:t>
      </w:r>
      <w:r>
        <w:fldChar w:fldCharType="end"/>
      </w:r>
      <w:r>
        <w:rPr>
          <w:rFonts w:ascii="宋体" w:hAnsi="宋体"/>
          <w:szCs w:val="24"/>
        </w:rPr>
        <w:fldChar w:fldCharType="end"/>
      </w:r>
    </w:p>
    <w:p w14:paraId="73660339">
      <w:pPr>
        <w:pStyle w:val="53"/>
        <w:tabs>
          <w:tab w:val="right" w:leader="dot" w:pos="9071"/>
        </w:tabs>
      </w:pPr>
      <w:r>
        <w:rPr>
          <w:rFonts w:ascii="宋体" w:hAnsi="宋体"/>
          <w:szCs w:val="24"/>
        </w:rPr>
        <w:fldChar w:fldCharType="begin"/>
      </w:r>
      <w:r>
        <w:rPr>
          <w:rFonts w:ascii="宋体" w:hAnsi="宋体"/>
          <w:szCs w:val="24"/>
        </w:rPr>
        <w:instrText xml:space="preserve"> HYPERLINK \l _Toc12065 </w:instrText>
      </w:r>
      <w:r>
        <w:rPr>
          <w:rFonts w:ascii="宋体" w:hAnsi="宋体"/>
          <w:szCs w:val="24"/>
        </w:rPr>
        <w:fldChar w:fldCharType="separate"/>
      </w:r>
      <w:r>
        <w:rPr>
          <w:bCs/>
          <w:kern w:val="44"/>
          <w:szCs w:val="21"/>
        </w:rPr>
        <w:t xml:space="preserve">15 </w:t>
      </w:r>
      <w:r>
        <w:rPr>
          <w:rFonts w:hint="eastAsia"/>
          <w:bCs/>
          <w:kern w:val="44"/>
          <w:szCs w:val="21"/>
        </w:rPr>
        <w:t>知识产权</w:t>
      </w:r>
      <w:r>
        <w:tab/>
      </w:r>
      <w:r>
        <w:fldChar w:fldCharType="begin"/>
      </w:r>
      <w:r>
        <w:instrText xml:space="preserve"> PAGEREF _Toc12065 \h </w:instrText>
      </w:r>
      <w:r>
        <w:fldChar w:fldCharType="separate"/>
      </w:r>
      <w:r>
        <w:t>61</w:t>
      </w:r>
      <w:r>
        <w:fldChar w:fldCharType="end"/>
      </w:r>
      <w:r>
        <w:rPr>
          <w:rFonts w:ascii="宋体" w:hAnsi="宋体"/>
          <w:szCs w:val="24"/>
        </w:rPr>
        <w:fldChar w:fldCharType="end"/>
      </w:r>
    </w:p>
    <w:p w14:paraId="16F5BB19">
      <w:pPr>
        <w:pStyle w:val="53"/>
        <w:tabs>
          <w:tab w:val="right" w:leader="dot" w:pos="9071"/>
        </w:tabs>
      </w:pPr>
      <w:r>
        <w:rPr>
          <w:rFonts w:ascii="宋体" w:hAnsi="宋体"/>
          <w:szCs w:val="24"/>
        </w:rPr>
        <w:fldChar w:fldCharType="begin"/>
      </w:r>
      <w:r>
        <w:rPr>
          <w:rFonts w:ascii="宋体" w:hAnsi="宋体"/>
          <w:szCs w:val="24"/>
        </w:rPr>
        <w:instrText xml:space="preserve"> HYPERLINK \l _Toc26960 </w:instrText>
      </w:r>
      <w:r>
        <w:rPr>
          <w:rFonts w:ascii="宋体" w:hAnsi="宋体"/>
          <w:szCs w:val="24"/>
        </w:rPr>
        <w:fldChar w:fldCharType="separate"/>
      </w:r>
      <w:r>
        <w:rPr>
          <w:bCs/>
          <w:kern w:val="44"/>
          <w:szCs w:val="21"/>
        </w:rPr>
        <w:t xml:space="preserve">16 </w:t>
      </w:r>
      <w:r>
        <w:rPr>
          <w:rFonts w:hint="eastAsia"/>
          <w:bCs/>
          <w:kern w:val="44"/>
          <w:szCs w:val="21"/>
        </w:rPr>
        <w:t>违约责任</w:t>
      </w:r>
      <w:r>
        <w:tab/>
      </w:r>
      <w:r>
        <w:fldChar w:fldCharType="begin"/>
      </w:r>
      <w:r>
        <w:instrText xml:space="preserve"> PAGEREF _Toc26960 \h </w:instrText>
      </w:r>
      <w:r>
        <w:fldChar w:fldCharType="separate"/>
      </w:r>
      <w:r>
        <w:t>62</w:t>
      </w:r>
      <w:r>
        <w:fldChar w:fldCharType="end"/>
      </w:r>
      <w:r>
        <w:rPr>
          <w:rFonts w:ascii="宋体" w:hAnsi="宋体"/>
          <w:szCs w:val="24"/>
        </w:rPr>
        <w:fldChar w:fldCharType="end"/>
      </w:r>
    </w:p>
    <w:p w14:paraId="5DA79967">
      <w:pPr>
        <w:pStyle w:val="53"/>
        <w:tabs>
          <w:tab w:val="right" w:leader="dot" w:pos="9071"/>
        </w:tabs>
      </w:pPr>
      <w:r>
        <w:rPr>
          <w:rFonts w:ascii="宋体" w:hAnsi="宋体"/>
          <w:szCs w:val="24"/>
        </w:rPr>
        <w:fldChar w:fldCharType="begin"/>
      </w:r>
      <w:r>
        <w:rPr>
          <w:rFonts w:ascii="宋体" w:hAnsi="宋体"/>
          <w:szCs w:val="24"/>
        </w:rPr>
        <w:instrText xml:space="preserve"> HYPERLINK \l _Toc17436 </w:instrText>
      </w:r>
      <w:r>
        <w:rPr>
          <w:rFonts w:ascii="宋体" w:hAnsi="宋体"/>
          <w:szCs w:val="24"/>
        </w:rPr>
        <w:fldChar w:fldCharType="separate"/>
      </w:r>
      <w:r>
        <w:rPr>
          <w:rFonts w:hint="eastAsia"/>
          <w:bCs/>
          <w:kern w:val="44"/>
          <w:szCs w:val="21"/>
        </w:rPr>
        <w:t>1</w:t>
      </w:r>
      <w:r>
        <w:rPr>
          <w:bCs/>
          <w:kern w:val="44"/>
          <w:szCs w:val="21"/>
        </w:rPr>
        <w:t xml:space="preserve">7 </w:t>
      </w:r>
      <w:r>
        <w:rPr>
          <w:rFonts w:hint="eastAsia"/>
          <w:bCs/>
          <w:kern w:val="44"/>
          <w:szCs w:val="21"/>
        </w:rPr>
        <w:t>合同的变更和解除和终止</w:t>
      </w:r>
      <w:r>
        <w:tab/>
      </w:r>
      <w:r>
        <w:fldChar w:fldCharType="begin"/>
      </w:r>
      <w:r>
        <w:instrText xml:space="preserve"> PAGEREF _Toc17436 \h </w:instrText>
      </w:r>
      <w:r>
        <w:fldChar w:fldCharType="separate"/>
      </w:r>
      <w:r>
        <w:t>63</w:t>
      </w:r>
      <w:r>
        <w:fldChar w:fldCharType="end"/>
      </w:r>
      <w:r>
        <w:rPr>
          <w:rFonts w:ascii="宋体" w:hAnsi="宋体"/>
          <w:szCs w:val="24"/>
        </w:rPr>
        <w:fldChar w:fldCharType="end"/>
      </w:r>
    </w:p>
    <w:p w14:paraId="0DA89E4F">
      <w:pPr>
        <w:pStyle w:val="53"/>
        <w:tabs>
          <w:tab w:val="right" w:leader="dot" w:pos="9071"/>
        </w:tabs>
      </w:pPr>
      <w:r>
        <w:rPr>
          <w:rFonts w:ascii="宋体" w:hAnsi="宋体"/>
          <w:szCs w:val="24"/>
        </w:rPr>
        <w:fldChar w:fldCharType="begin"/>
      </w:r>
      <w:r>
        <w:rPr>
          <w:rFonts w:ascii="宋体" w:hAnsi="宋体"/>
          <w:szCs w:val="24"/>
        </w:rPr>
        <w:instrText xml:space="preserve"> HYPERLINK \l _Toc27996 </w:instrText>
      </w:r>
      <w:r>
        <w:rPr>
          <w:rFonts w:ascii="宋体" w:hAnsi="宋体"/>
          <w:szCs w:val="24"/>
        </w:rPr>
        <w:fldChar w:fldCharType="separate"/>
      </w:r>
      <w:r>
        <w:rPr>
          <w:rFonts w:hint="eastAsia"/>
          <w:bCs/>
          <w:kern w:val="44"/>
          <w:szCs w:val="21"/>
        </w:rPr>
        <w:t>1</w:t>
      </w:r>
      <w:r>
        <w:rPr>
          <w:bCs/>
          <w:kern w:val="44"/>
          <w:szCs w:val="21"/>
        </w:rPr>
        <w:t>8</w:t>
      </w:r>
      <w:r>
        <w:rPr>
          <w:rFonts w:hint="eastAsia"/>
          <w:bCs/>
          <w:kern w:val="44"/>
          <w:szCs w:val="21"/>
        </w:rPr>
        <w:t xml:space="preserve"> </w:t>
      </w:r>
      <w:r>
        <w:rPr>
          <w:bCs/>
          <w:kern w:val="44"/>
          <w:szCs w:val="21"/>
        </w:rPr>
        <w:t>保密</w:t>
      </w:r>
      <w:r>
        <w:rPr>
          <w:rFonts w:hint="eastAsia"/>
          <w:bCs/>
          <w:kern w:val="44"/>
          <w:szCs w:val="21"/>
        </w:rPr>
        <w:t>义务</w:t>
      </w:r>
      <w:r>
        <w:tab/>
      </w:r>
      <w:r>
        <w:fldChar w:fldCharType="begin"/>
      </w:r>
      <w:r>
        <w:instrText xml:space="preserve"> PAGEREF _Toc27996 \h </w:instrText>
      </w:r>
      <w:r>
        <w:fldChar w:fldCharType="separate"/>
      </w:r>
      <w:r>
        <w:t>64</w:t>
      </w:r>
      <w:r>
        <w:fldChar w:fldCharType="end"/>
      </w:r>
      <w:r>
        <w:rPr>
          <w:rFonts w:ascii="宋体" w:hAnsi="宋体"/>
          <w:szCs w:val="24"/>
        </w:rPr>
        <w:fldChar w:fldCharType="end"/>
      </w:r>
    </w:p>
    <w:p w14:paraId="5E548DF4">
      <w:pPr>
        <w:pStyle w:val="53"/>
        <w:tabs>
          <w:tab w:val="right" w:leader="dot" w:pos="9071"/>
        </w:tabs>
      </w:pPr>
      <w:r>
        <w:rPr>
          <w:rFonts w:ascii="宋体" w:hAnsi="宋体"/>
          <w:szCs w:val="24"/>
        </w:rPr>
        <w:fldChar w:fldCharType="begin"/>
      </w:r>
      <w:r>
        <w:rPr>
          <w:rFonts w:ascii="宋体" w:hAnsi="宋体"/>
          <w:szCs w:val="24"/>
        </w:rPr>
        <w:instrText xml:space="preserve"> HYPERLINK \l _Toc931 </w:instrText>
      </w:r>
      <w:r>
        <w:rPr>
          <w:rFonts w:ascii="宋体" w:hAnsi="宋体"/>
          <w:szCs w:val="24"/>
        </w:rPr>
        <w:fldChar w:fldCharType="separate"/>
      </w:r>
      <w:r>
        <w:rPr>
          <w:rFonts w:hint="eastAsia"/>
          <w:bCs/>
          <w:kern w:val="44"/>
          <w:szCs w:val="21"/>
        </w:rPr>
        <w:t>1</w:t>
      </w:r>
      <w:r>
        <w:rPr>
          <w:bCs/>
          <w:kern w:val="44"/>
          <w:szCs w:val="21"/>
        </w:rPr>
        <w:t>9</w:t>
      </w:r>
      <w:r>
        <w:rPr>
          <w:rFonts w:hint="eastAsia"/>
          <w:bCs/>
          <w:kern w:val="44"/>
          <w:szCs w:val="21"/>
        </w:rPr>
        <w:t xml:space="preserve"> 不可抗力</w:t>
      </w:r>
      <w:r>
        <w:tab/>
      </w:r>
      <w:r>
        <w:fldChar w:fldCharType="begin"/>
      </w:r>
      <w:r>
        <w:instrText xml:space="preserve"> PAGEREF _Toc931 \h </w:instrText>
      </w:r>
      <w:r>
        <w:fldChar w:fldCharType="separate"/>
      </w:r>
      <w:r>
        <w:t>65</w:t>
      </w:r>
      <w:r>
        <w:fldChar w:fldCharType="end"/>
      </w:r>
      <w:r>
        <w:rPr>
          <w:rFonts w:ascii="宋体" w:hAnsi="宋体"/>
          <w:szCs w:val="24"/>
        </w:rPr>
        <w:fldChar w:fldCharType="end"/>
      </w:r>
    </w:p>
    <w:p w14:paraId="1F9E2987">
      <w:pPr>
        <w:pStyle w:val="53"/>
        <w:tabs>
          <w:tab w:val="right" w:leader="dot" w:pos="9071"/>
        </w:tabs>
      </w:pPr>
      <w:r>
        <w:rPr>
          <w:rFonts w:ascii="宋体" w:hAnsi="宋体"/>
          <w:szCs w:val="24"/>
        </w:rPr>
        <w:fldChar w:fldCharType="begin"/>
      </w:r>
      <w:r>
        <w:rPr>
          <w:rFonts w:ascii="宋体" w:hAnsi="宋体"/>
          <w:szCs w:val="24"/>
        </w:rPr>
        <w:instrText xml:space="preserve"> HYPERLINK \l _Toc3560 </w:instrText>
      </w:r>
      <w:r>
        <w:rPr>
          <w:rFonts w:ascii="宋体" w:hAnsi="宋体"/>
          <w:szCs w:val="24"/>
        </w:rPr>
        <w:fldChar w:fldCharType="separate"/>
      </w:r>
      <w:r>
        <w:rPr>
          <w:bCs/>
          <w:kern w:val="44"/>
          <w:szCs w:val="21"/>
        </w:rPr>
        <w:t>20</w:t>
      </w:r>
      <w:r>
        <w:rPr>
          <w:rFonts w:hint="eastAsia"/>
          <w:bCs/>
          <w:kern w:val="44"/>
          <w:szCs w:val="21"/>
        </w:rPr>
        <w:t xml:space="preserve"> 争议解决</w:t>
      </w:r>
      <w:r>
        <w:tab/>
      </w:r>
      <w:r>
        <w:fldChar w:fldCharType="begin"/>
      </w:r>
      <w:r>
        <w:instrText xml:space="preserve"> PAGEREF _Toc3560 \h </w:instrText>
      </w:r>
      <w:r>
        <w:fldChar w:fldCharType="separate"/>
      </w:r>
      <w:r>
        <w:t>65</w:t>
      </w:r>
      <w:r>
        <w:fldChar w:fldCharType="end"/>
      </w:r>
      <w:r>
        <w:rPr>
          <w:rFonts w:ascii="宋体" w:hAnsi="宋体"/>
          <w:szCs w:val="24"/>
        </w:rPr>
        <w:fldChar w:fldCharType="end"/>
      </w:r>
    </w:p>
    <w:p w14:paraId="0AA006B2">
      <w:pPr>
        <w:pStyle w:val="53"/>
        <w:tabs>
          <w:tab w:val="right" w:leader="dot" w:pos="9071"/>
        </w:tabs>
      </w:pPr>
      <w:r>
        <w:rPr>
          <w:rFonts w:ascii="宋体" w:hAnsi="宋体"/>
          <w:szCs w:val="24"/>
        </w:rPr>
        <w:fldChar w:fldCharType="begin"/>
      </w:r>
      <w:r>
        <w:rPr>
          <w:rFonts w:ascii="宋体" w:hAnsi="宋体"/>
          <w:szCs w:val="24"/>
        </w:rPr>
        <w:instrText xml:space="preserve"> HYPERLINK \l _Toc15930 </w:instrText>
      </w:r>
      <w:r>
        <w:rPr>
          <w:rFonts w:ascii="宋体" w:hAnsi="宋体"/>
          <w:szCs w:val="24"/>
        </w:rPr>
        <w:fldChar w:fldCharType="separate"/>
      </w:r>
      <w:r>
        <w:rPr>
          <w:bCs/>
          <w:kern w:val="44"/>
          <w:szCs w:val="21"/>
        </w:rPr>
        <w:t xml:space="preserve">21 </w:t>
      </w:r>
      <w:r>
        <w:rPr>
          <w:rFonts w:hint="eastAsia"/>
          <w:bCs/>
          <w:kern w:val="44"/>
          <w:szCs w:val="21"/>
        </w:rPr>
        <w:t>特别约定</w:t>
      </w:r>
      <w:r>
        <w:tab/>
      </w:r>
      <w:r>
        <w:fldChar w:fldCharType="begin"/>
      </w:r>
      <w:r>
        <w:instrText xml:space="preserve"> PAGEREF _Toc15930 \h </w:instrText>
      </w:r>
      <w:r>
        <w:fldChar w:fldCharType="separate"/>
      </w:r>
      <w:r>
        <w:t>65</w:t>
      </w:r>
      <w:r>
        <w:fldChar w:fldCharType="end"/>
      </w:r>
      <w:r>
        <w:rPr>
          <w:rFonts w:ascii="宋体" w:hAnsi="宋体"/>
          <w:szCs w:val="24"/>
        </w:rPr>
        <w:fldChar w:fldCharType="end"/>
      </w:r>
    </w:p>
    <w:p w14:paraId="2A17148B">
      <w:pPr>
        <w:pStyle w:val="53"/>
        <w:tabs>
          <w:tab w:val="right" w:leader="dot" w:pos="9071"/>
        </w:tabs>
      </w:pPr>
      <w:r>
        <w:rPr>
          <w:rFonts w:ascii="宋体" w:hAnsi="宋体"/>
          <w:szCs w:val="24"/>
        </w:rPr>
        <w:fldChar w:fldCharType="begin"/>
      </w:r>
      <w:r>
        <w:rPr>
          <w:rFonts w:ascii="宋体" w:hAnsi="宋体"/>
          <w:szCs w:val="24"/>
        </w:rPr>
        <w:instrText xml:space="preserve"> HYPERLINK \l _Toc23702 </w:instrText>
      </w:r>
      <w:r>
        <w:rPr>
          <w:rFonts w:ascii="宋体" w:hAnsi="宋体"/>
          <w:szCs w:val="24"/>
        </w:rPr>
        <w:fldChar w:fldCharType="separate"/>
      </w:r>
      <w:r>
        <w:rPr>
          <w:bCs/>
          <w:kern w:val="44"/>
          <w:szCs w:val="21"/>
        </w:rPr>
        <w:t>22</w:t>
      </w:r>
      <w:r>
        <w:rPr>
          <w:rFonts w:hint="eastAsia"/>
          <w:bCs/>
          <w:kern w:val="44"/>
          <w:szCs w:val="21"/>
        </w:rPr>
        <w:t xml:space="preserve"> 附则</w:t>
      </w:r>
      <w:r>
        <w:tab/>
      </w:r>
      <w:r>
        <w:fldChar w:fldCharType="begin"/>
      </w:r>
      <w:r>
        <w:instrText xml:space="preserve"> PAGEREF _Toc23702 \h </w:instrText>
      </w:r>
      <w:r>
        <w:fldChar w:fldCharType="separate"/>
      </w:r>
      <w:r>
        <w:t>66</w:t>
      </w:r>
      <w:r>
        <w:fldChar w:fldCharType="end"/>
      </w:r>
      <w:r>
        <w:rPr>
          <w:rFonts w:ascii="宋体" w:hAnsi="宋体"/>
          <w:szCs w:val="24"/>
        </w:rPr>
        <w:fldChar w:fldCharType="end"/>
      </w:r>
    </w:p>
    <w:p w14:paraId="264F1264">
      <w:pPr>
        <w:pStyle w:val="42"/>
        <w:tabs>
          <w:tab w:val="right" w:leader="dot" w:pos="9071"/>
        </w:tabs>
      </w:pPr>
      <w:r>
        <w:rPr>
          <w:rFonts w:ascii="宋体" w:hAnsi="宋体"/>
          <w:szCs w:val="24"/>
        </w:rPr>
        <w:fldChar w:fldCharType="begin"/>
      </w:r>
      <w:r>
        <w:rPr>
          <w:rFonts w:ascii="宋体" w:hAnsi="宋体"/>
          <w:szCs w:val="24"/>
        </w:rPr>
        <w:instrText xml:space="preserve"> HYPERLINK \l _Toc23932 </w:instrText>
      </w:r>
      <w:r>
        <w:rPr>
          <w:rFonts w:ascii="宋体" w:hAnsi="宋体"/>
          <w:szCs w:val="24"/>
        </w:rPr>
        <w:fldChar w:fldCharType="separate"/>
      </w:r>
      <w:r>
        <w:rPr>
          <w:rFonts w:ascii="宋体" w:hAnsi="宋体"/>
          <w:szCs w:val="36"/>
        </w:rPr>
        <w:t>第五章 技术标准和要求</w:t>
      </w:r>
      <w:r>
        <w:tab/>
      </w:r>
      <w:r>
        <w:fldChar w:fldCharType="begin"/>
      </w:r>
      <w:r>
        <w:instrText xml:space="preserve"> PAGEREF _Toc23932 \h </w:instrText>
      </w:r>
      <w:r>
        <w:fldChar w:fldCharType="separate"/>
      </w:r>
      <w:r>
        <w:t>80</w:t>
      </w:r>
      <w:r>
        <w:fldChar w:fldCharType="end"/>
      </w:r>
      <w:r>
        <w:rPr>
          <w:rFonts w:ascii="宋体" w:hAnsi="宋体"/>
          <w:szCs w:val="24"/>
        </w:rPr>
        <w:fldChar w:fldCharType="end"/>
      </w:r>
    </w:p>
    <w:p w14:paraId="179926FB">
      <w:pPr>
        <w:pStyle w:val="42"/>
        <w:tabs>
          <w:tab w:val="right" w:leader="dot" w:pos="9071"/>
        </w:tabs>
      </w:pPr>
      <w:r>
        <w:rPr>
          <w:rFonts w:ascii="宋体" w:hAnsi="宋体"/>
          <w:szCs w:val="24"/>
        </w:rPr>
        <w:fldChar w:fldCharType="begin"/>
      </w:r>
      <w:r>
        <w:rPr>
          <w:rFonts w:ascii="宋体" w:hAnsi="宋体"/>
          <w:szCs w:val="24"/>
        </w:rPr>
        <w:instrText xml:space="preserve"> HYPERLINK \l _Toc18698 </w:instrText>
      </w:r>
      <w:r>
        <w:rPr>
          <w:rFonts w:ascii="宋体" w:hAnsi="宋体"/>
          <w:szCs w:val="24"/>
        </w:rPr>
        <w:fldChar w:fldCharType="separate"/>
      </w:r>
      <w:r>
        <w:rPr>
          <w:rFonts w:hint="eastAsia" w:ascii="宋体" w:hAnsi="宋体"/>
          <w:szCs w:val="36"/>
        </w:rPr>
        <w:t>第六章 投标文件格式</w:t>
      </w:r>
      <w:r>
        <w:tab/>
      </w:r>
      <w:r>
        <w:fldChar w:fldCharType="begin"/>
      </w:r>
      <w:r>
        <w:instrText xml:space="preserve"> PAGEREF _Toc18698 \h </w:instrText>
      </w:r>
      <w:r>
        <w:fldChar w:fldCharType="separate"/>
      </w:r>
      <w:r>
        <w:t>113</w:t>
      </w:r>
      <w:r>
        <w:fldChar w:fldCharType="end"/>
      </w:r>
      <w:r>
        <w:rPr>
          <w:rFonts w:ascii="宋体" w:hAnsi="宋体"/>
          <w:szCs w:val="24"/>
        </w:rPr>
        <w:fldChar w:fldCharType="end"/>
      </w:r>
    </w:p>
    <w:p w14:paraId="1029105C">
      <w:pPr>
        <w:pStyle w:val="53"/>
        <w:tabs>
          <w:tab w:val="right" w:leader="dot" w:pos="9071"/>
        </w:tabs>
      </w:pPr>
      <w:r>
        <w:rPr>
          <w:rFonts w:ascii="宋体" w:hAnsi="宋体"/>
          <w:szCs w:val="24"/>
        </w:rPr>
        <w:fldChar w:fldCharType="begin"/>
      </w:r>
      <w:r>
        <w:rPr>
          <w:rFonts w:ascii="宋体" w:hAnsi="宋体"/>
          <w:szCs w:val="24"/>
        </w:rPr>
        <w:instrText xml:space="preserve"> HYPERLINK \l _Toc29970 </w:instrText>
      </w:r>
      <w:r>
        <w:rPr>
          <w:rFonts w:ascii="宋体" w:hAnsi="宋体"/>
          <w:szCs w:val="24"/>
        </w:rPr>
        <w:fldChar w:fldCharType="separate"/>
      </w:r>
      <w:r>
        <w:rPr>
          <w:rFonts w:hint="eastAsia" w:ascii="宋体" w:hAnsi="宋体" w:eastAsia="宋体"/>
          <w:szCs w:val="30"/>
        </w:rPr>
        <w:t>一、投标报价（唱标）一览表</w:t>
      </w:r>
      <w:r>
        <w:tab/>
      </w:r>
      <w:r>
        <w:fldChar w:fldCharType="begin"/>
      </w:r>
      <w:r>
        <w:instrText xml:space="preserve"> PAGEREF _Toc29970 \h </w:instrText>
      </w:r>
      <w:r>
        <w:fldChar w:fldCharType="separate"/>
      </w:r>
      <w:r>
        <w:t>114</w:t>
      </w:r>
      <w:r>
        <w:fldChar w:fldCharType="end"/>
      </w:r>
      <w:r>
        <w:rPr>
          <w:rFonts w:ascii="宋体" w:hAnsi="宋体"/>
          <w:szCs w:val="24"/>
        </w:rPr>
        <w:fldChar w:fldCharType="end"/>
      </w:r>
    </w:p>
    <w:p w14:paraId="676972B3">
      <w:pPr>
        <w:pStyle w:val="53"/>
        <w:tabs>
          <w:tab w:val="right" w:leader="dot" w:pos="9071"/>
        </w:tabs>
      </w:pPr>
      <w:r>
        <w:rPr>
          <w:rFonts w:ascii="宋体" w:hAnsi="宋体"/>
          <w:szCs w:val="24"/>
        </w:rPr>
        <w:fldChar w:fldCharType="begin"/>
      </w:r>
      <w:r>
        <w:rPr>
          <w:rFonts w:ascii="宋体" w:hAnsi="宋体"/>
          <w:szCs w:val="24"/>
        </w:rPr>
        <w:instrText xml:space="preserve"> HYPERLINK \l _Toc14486 </w:instrText>
      </w:r>
      <w:r>
        <w:rPr>
          <w:rFonts w:ascii="宋体" w:hAnsi="宋体"/>
          <w:szCs w:val="24"/>
        </w:rPr>
        <w:fldChar w:fldCharType="separate"/>
      </w:r>
      <w:r>
        <w:rPr>
          <w:rFonts w:hint="eastAsia" w:ascii="宋体" w:hAnsi="宋体" w:eastAsia="宋体"/>
        </w:rPr>
        <w:t>二、投标文件资格审查部分格式</w:t>
      </w:r>
      <w:r>
        <w:tab/>
      </w:r>
      <w:r>
        <w:fldChar w:fldCharType="begin"/>
      </w:r>
      <w:r>
        <w:instrText xml:space="preserve"> PAGEREF _Toc14486 \h </w:instrText>
      </w:r>
      <w:r>
        <w:fldChar w:fldCharType="separate"/>
      </w:r>
      <w:r>
        <w:t>115</w:t>
      </w:r>
      <w:r>
        <w:fldChar w:fldCharType="end"/>
      </w:r>
      <w:r>
        <w:rPr>
          <w:rFonts w:ascii="宋体" w:hAnsi="宋体"/>
          <w:szCs w:val="24"/>
        </w:rPr>
        <w:fldChar w:fldCharType="end"/>
      </w:r>
    </w:p>
    <w:p w14:paraId="02027EF0">
      <w:pPr>
        <w:pStyle w:val="53"/>
        <w:tabs>
          <w:tab w:val="right" w:leader="dot" w:pos="9071"/>
        </w:tabs>
      </w:pPr>
      <w:r>
        <w:rPr>
          <w:rFonts w:ascii="宋体" w:hAnsi="宋体"/>
          <w:szCs w:val="24"/>
        </w:rPr>
        <w:fldChar w:fldCharType="begin"/>
      </w:r>
      <w:r>
        <w:rPr>
          <w:rFonts w:ascii="宋体" w:hAnsi="宋体"/>
          <w:szCs w:val="24"/>
        </w:rPr>
        <w:instrText xml:space="preserve"> HYPERLINK \l _Toc7203 </w:instrText>
      </w:r>
      <w:r>
        <w:rPr>
          <w:rFonts w:ascii="宋体" w:hAnsi="宋体"/>
          <w:szCs w:val="24"/>
        </w:rPr>
        <w:fldChar w:fldCharType="separate"/>
      </w:r>
      <w:r>
        <w:rPr>
          <w:rFonts w:hint="eastAsia" w:ascii="宋体" w:hAnsi="宋体" w:eastAsia="宋体"/>
          <w:szCs w:val="30"/>
        </w:rPr>
        <w:t>（一）</w:t>
      </w:r>
      <w:r>
        <w:rPr>
          <w:rFonts w:ascii="宋体" w:hAnsi="宋体" w:eastAsia="宋体"/>
          <w:szCs w:val="30"/>
        </w:rPr>
        <w:t>投标人基本情况表</w:t>
      </w:r>
      <w:r>
        <w:tab/>
      </w:r>
      <w:r>
        <w:fldChar w:fldCharType="begin"/>
      </w:r>
      <w:r>
        <w:instrText xml:space="preserve"> PAGEREF _Toc7203 \h </w:instrText>
      </w:r>
      <w:r>
        <w:fldChar w:fldCharType="separate"/>
      </w:r>
      <w:r>
        <w:t>115</w:t>
      </w:r>
      <w:r>
        <w:fldChar w:fldCharType="end"/>
      </w:r>
      <w:r>
        <w:rPr>
          <w:rFonts w:ascii="宋体" w:hAnsi="宋体"/>
          <w:szCs w:val="24"/>
        </w:rPr>
        <w:fldChar w:fldCharType="end"/>
      </w:r>
    </w:p>
    <w:p w14:paraId="52B32A58">
      <w:pPr>
        <w:pStyle w:val="53"/>
        <w:tabs>
          <w:tab w:val="right" w:leader="dot" w:pos="9071"/>
        </w:tabs>
      </w:pPr>
      <w:r>
        <w:rPr>
          <w:rFonts w:ascii="宋体" w:hAnsi="宋体"/>
          <w:szCs w:val="24"/>
        </w:rPr>
        <w:fldChar w:fldCharType="begin"/>
      </w:r>
      <w:r>
        <w:rPr>
          <w:rFonts w:ascii="宋体" w:hAnsi="宋体"/>
          <w:szCs w:val="24"/>
        </w:rPr>
        <w:instrText xml:space="preserve"> HYPERLINK \l _Toc6238 </w:instrText>
      </w:r>
      <w:r>
        <w:rPr>
          <w:rFonts w:ascii="宋体" w:hAnsi="宋体"/>
          <w:szCs w:val="24"/>
        </w:rPr>
        <w:fldChar w:fldCharType="separate"/>
      </w:r>
      <w:r>
        <w:rPr>
          <w:rFonts w:hint="eastAsia" w:ascii="宋体" w:hAnsi="宋体" w:eastAsia="宋体"/>
          <w:szCs w:val="30"/>
        </w:rPr>
        <w:t>（二）营业执照</w:t>
      </w:r>
      <w:r>
        <w:tab/>
      </w:r>
      <w:r>
        <w:fldChar w:fldCharType="begin"/>
      </w:r>
      <w:r>
        <w:instrText xml:space="preserve"> PAGEREF _Toc6238 \h </w:instrText>
      </w:r>
      <w:r>
        <w:fldChar w:fldCharType="separate"/>
      </w:r>
      <w:r>
        <w:t>116</w:t>
      </w:r>
      <w:r>
        <w:fldChar w:fldCharType="end"/>
      </w:r>
      <w:r>
        <w:rPr>
          <w:rFonts w:ascii="宋体" w:hAnsi="宋体"/>
          <w:szCs w:val="24"/>
        </w:rPr>
        <w:fldChar w:fldCharType="end"/>
      </w:r>
    </w:p>
    <w:p w14:paraId="2DF4024A">
      <w:pPr>
        <w:pStyle w:val="53"/>
        <w:tabs>
          <w:tab w:val="right" w:leader="dot" w:pos="9071"/>
        </w:tabs>
      </w:pPr>
      <w:r>
        <w:rPr>
          <w:rFonts w:ascii="宋体" w:hAnsi="宋体"/>
          <w:szCs w:val="24"/>
        </w:rPr>
        <w:fldChar w:fldCharType="begin"/>
      </w:r>
      <w:r>
        <w:rPr>
          <w:rFonts w:ascii="宋体" w:hAnsi="宋体"/>
          <w:szCs w:val="24"/>
        </w:rPr>
        <w:instrText xml:space="preserve"> HYPERLINK \l _Toc23418 </w:instrText>
      </w:r>
      <w:r>
        <w:rPr>
          <w:rFonts w:ascii="宋体" w:hAnsi="宋体"/>
          <w:szCs w:val="24"/>
        </w:rPr>
        <w:fldChar w:fldCharType="separate"/>
      </w:r>
      <w:r>
        <w:rPr>
          <w:rFonts w:hint="eastAsia" w:ascii="宋体" w:hAnsi="宋体" w:eastAsia="宋体"/>
          <w:szCs w:val="30"/>
        </w:rPr>
        <w:t>（三）财务要求</w:t>
      </w:r>
      <w:r>
        <w:tab/>
      </w:r>
      <w:r>
        <w:fldChar w:fldCharType="begin"/>
      </w:r>
      <w:r>
        <w:instrText xml:space="preserve"> PAGEREF _Toc23418 \h </w:instrText>
      </w:r>
      <w:r>
        <w:fldChar w:fldCharType="separate"/>
      </w:r>
      <w:r>
        <w:t>116</w:t>
      </w:r>
      <w:r>
        <w:fldChar w:fldCharType="end"/>
      </w:r>
      <w:r>
        <w:rPr>
          <w:rFonts w:ascii="宋体" w:hAnsi="宋体"/>
          <w:szCs w:val="24"/>
        </w:rPr>
        <w:fldChar w:fldCharType="end"/>
      </w:r>
    </w:p>
    <w:p w14:paraId="7501A2F8">
      <w:pPr>
        <w:pStyle w:val="53"/>
        <w:tabs>
          <w:tab w:val="right" w:leader="dot" w:pos="9071"/>
        </w:tabs>
      </w:pPr>
      <w:r>
        <w:rPr>
          <w:rFonts w:ascii="宋体" w:hAnsi="宋体"/>
          <w:szCs w:val="24"/>
        </w:rPr>
        <w:fldChar w:fldCharType="begin"/>
      </w:r>
      <w:r>
        <w:rPr>
          <w:rFonts w:ascii="宋体" w:hAnsi="宋体"/>
          <w:szCs w:val="24"/>
        </w:rPr>
        <w:instrText xml:space="preserve"> HYPERLINK \l _Toc9579 </w:instrText>
      </w:r>
      <w:r>
        <w:rPr>
          <w:rFonts w:ascii="宋体" w:hAnsi="宋体"/>
          <w:szCs w:val="24"/>
        </w:rPr>
        <w:fldChar w:fldCharType="separate"/>
      </w:r>
      <w:r>
        <w:rPr>
          <w:rFonts w:hint="eastAsia" w:ascii="宋体" w:hAnsi="宋体" w:eastAsia="宋体"/>
          <w:szCs w:val="30"/>
        </w:rPr>
        <w:t>（四）投标保证金缴纳证明</w:t>
      </w:r>
      <w:r>
        <w:tab/>
      </w:r>
      <w:r>
        <w:fldChar w:fldCharType="begin"/>
      </w:r>
      <w:r>
        <w:instrText xml:space="preserve"> PAGEREF _Toc9579 \h </w:instrText>
      </w:r>
      <w:r>
        <w:fldChar w:fldCharType="separate"/>
      </w:r>
      <w:r>
        <w:t>116</w:t>
      </w:r>
      <w:r>
        <w:fldChar w:fldCharType="end"/>
      </w:r>
      <w:r>
        <w:rPr>
          <w:rFonts w:ascii="宋体" w:hAnsi="宋体"/>
          <w:szCs w:val="24"/>
        </w:rPr>
        <w:fldChar w:fldCharType="end"/>
      </w:r>
    </w:p>
    <w:p w14:paraId="0EAF6D70">
      <w:pPr>
        <w:pStyle w:val="53"/>
        <w:tabs>
          <w:tab w:val="right" w:leader="dot" w:pos="9071"/>
        </w:tabs>
      </w:pPr>
      <w:r>
        <w:rPr>
          <w:rFonts w:ascii="宋体" w:hAnsi="宋体"/>
          <w:szCs w:val="24"/>
        </w:rPr>
        <w:fldChar w:fldCharType="begin"/>
      </w:r>
      <w:r>
        <w:rPr>
          <w:rFonts w:ascii="宋体" w:hAnsi="宋体"/>
          <w:szCs w:val="24"/>
        </w:rPr>
        <w:instrText xml:space="preserve"> HYPERLINK \l _Toc7612 </w:instrText>
      </w:r>
      <w:r>
        <w:rPr>
          <w:rFonts w:ascii="宋体" w:hAnsi="宋体"/>
          <w:szCs w:val="24"/>
        </w:rPr>
        <w:fldChar w:fldCharType="separate"/>
      </w:r>
      <w:r>
        <w:rPr>
          <w:rFonts w:hint="eastAsia" w:ascii="宋体" w:hAnsi="宋体" w:eastAsia="宋体"/>
          <w:szCs w:val="30"/>
        </w:rPr>
        <w:t>（五）投标人承诺书</w:t>
      </w:r>
      <w:r>
        <w:tab/>
      </w:r>
      <w:r>
        <w:fldChar w:fldCharType="begin"/>
      </w:r>
      <w:r>
        <w:instrText xml:space="preserve"> PAGEREF _Toc7612 \h </w:instrText>
      </w:r>
      <w:r>
        <w:fldChar w:fldCharType="separate"/>
      </w:r>
      <w:r>
        <w:t>117</w:t>
      </w:r>
      <w:r>
        <w:fldChar w:fldCharType="end"/>
      </w:r>
      <w:r>
        <w:rPr>
          <w:rFonts w:ascii="宋体" w:hAnsi="宋体"/>
          <w:szCs w:val="24"/>
        </w:rPr>
        <w:fldChar w:fldCharType="end"/>
      </w:r>
    </w:p>
    <w:p w14:paraId="084D015E">
      <w:pPr>
        <w:pStyle w:val="53"/>
        <w:tabs>
          <w:tab w:val="right" w:leader="dot" w:pos="9071"/>
        </w:tabs>
      </w:pPr>
      <w:r>
        <w:rPr>
          <w:rFonts w:ascii="宋体" w:hAnsi="宋体"/>
          <w:szCs w:val="24"/>
        </w:rPr>
        <w:fldChar w:fldCharType="begin"/>
      </w:r>
      <w:r>
        <w:rPr>
          <w:rFonts w:ascii="宋体" w:hAnsi="宋体"/>
          <w:szCs w:val="24"/>
        </w:rPr>
        <w:instrText xml:space="preserve"> HYPERLINK \l _Toc17031 </w:instrText>
      </w:r>
      <w:r>
        <w:rPr>
          <w:rFonts w:ascii="宋体" w:hAnsi="宋体"/>
          <w:szCs w:val="24"/>
        </w:rPr>
        <w:fldChar w:fldCharType="separate"/>
      </w:r>
      <w:r>
        <w:rPr>
          <w:rFonts w:hint="eastAsia" w:ascii="宋体" w:hAnsi="宋体" w:eastAsia="宋体"/>
          <w:szCs w:val="30"/>
        </w:rPr>
        <w:t>（六）廉洁诚信承诺书</w:t>
      </w:r>
      <w:r>
        <w:tab/>
      </w:r>
      <w:r>
        <w:fldChar w:fldCharType="begin"/>
      </w:r>
      <w:r>
        <w:instrText xml:space="preserve"> PAGEREF _Toc17031 \h </w:instrText>
      </w:r>
      <w:r>
        <w:fldChar w:fldCharType="separate"/>
      </w:r>
      <w:r>
        <w:t>119</w:t>
      </w:r>
      <w:r>
        <w:fldChar w:fldCharType="end"/>
      </w:r>
      <w:r>
        <w:rPr>
          <w:rFonts w:ascii="宋体" w:hAnsi="宋体"/>
          <w:szCs w:val="24"/>
        </w:rPr>
        <w:fldChar w:fldCharType="end"/>
      </w:r>
    </w:p>
    <w:p w14:paraId="0CAB8311">
      <w:pPr>
        <w:pStyle w:val="53"/>
        <w:tabs>
          <w:tab w:val="right" w:leader="dot" w:pos="9071"/>
        </w:tabs>
      </w:pPr>
      <w:r>
        <w:rPr>
          <w:rFonts w:ascii="宋体" w:hAnsi="宋体"/>
          <w:szCs w:val="24"/>
        </w:rPr>
        <w:fldChar w:fldCharType="begin"/>
      </w:r>
      <w:r>
        <w:rPr>
          <w:rFonts w:ascii="宋体" w:hAnsi="宋体"/>
          <w:szCs w:val="24"/>
        </w:rPr>
        <w:instrText xml:space="preserve"> HYPERLINK \l _Toc14943 </w:instrText>
      </w:r>
      <w:r>
        <w:rPr>
          <w:rFonts w:ascii="宋体" w:hAnsi="宋体"/>
          <w:szCs w:val="24"/>
        </w:rPr>
        <w:fldChar w:fldCharType="separate"/>
      </w:r>
      <w:r>
        <w:rPr>
          <w:rFonts w:hint="eastAsia" w:ascii="宋体" w:hAnsi="宋体" w:eastAsia="宋体"/>
          <w:szCs w:val="30"/>
        </w:rPr>
        <w:t>（八）与招标人不存在利害关系承诺函</w:t>
      </w:r>
      <w:r>
        <w:tab/>
      </w:r>
      <w:r>
        <w:fldChar w:fldCharType="begin"/>
      </w:r>
      <w:r>
        <w:instrText xml:space="preserve"> PAGEREF _Toc14943 \h </w:instrText>
      </w:r>
      <w:r>
        <w:fldChar w:fldCharType="separate"/>
      </w:r>
      <w:r>
        <w:t>121</w:t>
      </w:r>
      <w:r>
        <w:fldChar w:fldCharType="end"/>
      </w:r>
      <w:r>
        <w:rPr>
          <w:rFonts w:ascii="宋体" w:hAnsi="宋体"/>
          <w:szCs w:val="24"/>
        </w:rPr>
        <w:fldChar w:fldCharType="end"/>
      </w:r>
    </w:p>
    <w:p w14:paraId="09E76E70">
      <w:pPr>
        <w:pStyle w:val="53"/>
        <w:tabs>
          <w:tab w:val="right" w:leader="dot" w:pos="9071"/>
        </w:tabs>
      </w:pPr>
      <w:r>
        <w:rPr>
          <w:rFonts w:ascii="宋体" w:hAnsi="宋体"/>
          <w:szCs w:val="24"/>
        </w:rPr>
        <w:fldChar w:fldCharType="begin"/>
      </w:r>
      <w:r>
        <w:rPr>
          <w:rFonts w:ascii="宋体" w:hAnsi="宋体"/>
          <w:szCs w:val="24"/>
        </w:rPr>
        <w:instrText xml:space="preserve"> HYPERLINK \l _Toc12766 </w:instrText>
      </w:r>
      <w:r>
        <w:rPr>
          <w:rFonts w:ascii="宋体" w:hAnsi="宋体"/>
          <w:szCs w:val="24"/>
        </w:rPr>
        <w:fldChar w:fldCharType="separate"/>
      </w:r>
      <w:r>
        <w:rPr>
          <w:rFonts w:hint="eastAsia" w:ascii="宋体" w:hAnsi="宋体" w:eastAsia="宋体"/>
          <w:szCs w:val="30"/>
        </w:rPr>
        <w:t>（九）关联企业情况声明</w:t>
      </w:r>
      <w:r>
        <w:tab/>
      </w:r>
      <w:r>
        <w:fldChar w:fldCharType="begin"/>
      </w:r>
      <w:r>
        <w:instrText xml:space="preserve"> PAGEREF _Toc12766 \h </w:instrText>
      </w:r>
      <w:r>
        <w:fldChar w:fldCharType="separate"/>
      </w:r>
      <w:r>
        <w:t>122</w:t>
      </w:r>
      <w:r>
        <w:fldChar w:fldCharType="end"/>
      </w:r>
      <w:r>
        <w:rPr>
          <w:rFonts w:ascii="宋体" w:hAnsi="宋体"/>
          <w:szCs w:val="24"/>
        </w:rPr>
        <w:fldChar w:fldCharType="end"/>
      </w:r>
    </w:p>
    <w:p w14:paraId="6FF10105">
      <w:pPr>
        <w:pStyle w:val="53"/>
        <w:tabs>
          <w:tab w:val="right" w:leader="dot" w:pos="9071"/>
        </w:tabs>
      </w:pPr>
      <w:r>
        <w:rPr>
          <w:rFonts w:ascii="宋体" w:hAnsi="宋体"/>
          <w:szCs w:val="24"/>
        </w:rPr>
        <w:fldChar w:fldCharType="begin"/>
      </w:r>
      <w:r>
        <w:rPr>
          <w:rFonts w:ascii="宋体" w:hAnsi="宋体"/>
          <w:szCs w:val="24"/>
        </w:rPr>
        <w:instrText xml:space="preserve"> HYPERLINK \l _Toc14655 </w:instrText>
      </w:r>
      <w:r>
        <w:rPr>
          <w:rFonts w:ascii="宋体" w:hAnsi="宋体"/>
          <w:szCs w:val="24"/>
        </w:rPr>
        <w:fldChar w:fldCharType="separate"/>
      </w:r>
      <w:r>
        <w:rPr>
          <w:rFonts w:hint="eastAsia" w:ascii="宋体" w:hAnsi="宋体"/>
          <w:szCs w:val="30"/>
        </w:rPr>
        <w:t>（十）招标文件规定的其他材料</w:t>
      </w:r>
      <w:r>
        <w:tab/>
      </w:r>
      <w:r>
        <w:fldChar w:fldCharType="begin"/>
      </w:r>
      <w:r>
        <w:instrText xml:space="preserve"> PAGEREF _Toc14655 \h </w:instrText>
      </w:r>
      <w:r>
        <w:fldChar w:fldCharType="separate"/>
      </w:r>
      <w:r>
        <w:t>123</w:t>
      </w:r>
      <w:r>
        <w:fldChar w:fldCharType="end"/>
      </w:r>
      <w:r>
        <w:rPr>
          <w:rFonts w:ascii="宋体" w:hAnsi="宋体"/>
          <w:szCs w:val="24"/>
        </w:rPr>
        <w:fldChar w:fldCharType="end"/>
      </w:r>
    </w:p>
    <w:p w14:paraId="19BF871A">
      <w:pPr>
        <w:pStyle w:val="53"/>
        <w:tabs>
          <w:tab w:val="right" w:leader="dot" w:pos="9071"/>
        </w:tabs>
      </w:pPr>
      <w:r>
        <w:rPr>
          <w:rFonts w:ascii="宋体" w:hAnsi="宋体"/>
          <w:szCs w:val="24"/>
        </w:rPr>
        <w:fldChar w:fldCharType="begin"/>
      </w:r>
      <w:r>
        <w:rPr>
          <w:rFonts w:ascii="宋体" w:hAnsi="宋体"/>
          <w:szCs w:val="24"/>
        </w:rPr>
        <w:instrText xml:space="preserve"> HYPERLINK \l _Toc30897 </w:instrText>
      </w:r>
      <w:r>
        <w:rPr>
          <w:rFonts w:ascii="宋体" w:hAnsi="宋体"/>
          <w:szCs w:val="24"/>
        </w:rPr>
        <w:fldChar w:fldCharType="separate"/>
      </w:r>
      <w:r>
        <w:rPr>
          <w:rFonts w:ascii="宋体" w:hAnsi="宋体" w:eastAsia="宋体"/>
        </w:rPr>
        <w:t>三</w:t>
      </w:r>
      <w:r>
        <w:rPr>
          <w:rFonts w:hint="eastAsia" w:ascii="宋体" w:hAnsi="宋体" w:eastAsia="宋体"/>
        </w:rPr>
        <w:t>、</w:t>
      </w:r>
      <w:r>
        <w:rPr>
          <w:rFonts w:ascii="宋体" w:hAnsi="宋体" w:eastAsia="宋体"/>
        </w:rPr>
        <w:t>投标文件投标函部分格式</w:t>
      </w:r>
      <w:r>
        <w:tab/>
      </w:r>
      <w:r>
        <w:fldChar w:fldCharType="begin"/>
      </w:r>
      <w:r>
        <w:instrText xml:space="preserve"> PAGEREF _Toc30897 \h </w:instrText>
      </w:r>
      <w:r>
        <w:fldChar w:fldCharType="separate"/>
      </w:r>
      <w:r>
        <w:t>124</w:t>
      </w:r>
      <w:r>
        <w:fldChar w:fldCharType="end"/>
      </w:r>
      <w:r>
        <w:rPr>
          <w:rFonts w:ascii="宋体" w:hAnsi="宋体"/>
          <w:szCs w:val="24"/>
        </w:rPr>
        <w:fldChar w:fldCharType="end"/>
      </w:r>
    </w:p>
    <w:p w14:paraId="12414178">
      <w:pPr>
        <w:pStyle w:val="53"/>
        <w:tabs>
          <w:tab w:val="right" w:leader="dot" w:pos="9071"/>
        </w:tabs>
      </w:pPr>
      <w:r>
        <w:rPr>
          <w:rFonts w:ascii="宋体" w:hAnsi="宋体"/>
          <w:szCs w:val="24"/>
        </w:rPr>
        <w:fldChar w:fldCharType="begin"/>
      </w:r>
      <w:r>
        <w:rPr>
          <w:rFonts w:ascii="宋体" w:hAnsi="宋体"/>
          <w:szCs w:val="24"/>
        </w:rPr>
        <w:instrText xml:space="preserve"> HYPERLINK \l _Toc7178 </w:instrText>
      </w:r>
      <w:r>
        <w:rPr>
          <w:rFonts w:ascii="宋体" w:hAnsi="宋体"/>
          <w:szCs w:val="24"/>
        </w:rPr>
        <w:fldChar w:fldCharType="separate"/>
      </w:r>
      <w:r>
        <w:rPr>
          <w:rFonts w:hint="eastAsia" w:ascii="宋体" w:hAnsi="宋体" w:eastAsia="宋体"/>
          <w:szCs w:val="30"/>
        </w:rPr>
        <w:t>（一）</w:t>
      </w:r>
      <w:r>
        <w:rPr>
          <w:rFonts w:ascii="宋体" w:hAnsi="宋体" w:eastAsia="宋体"/>
          <w:szCs w:val="30"/>
        </w:rPr>
        <w:t>投标函</w:t>
      </w:r>
      <w:r>
        <w:tab/>
      </w:r>
      <w:r>
        <w:fldChar w:fldCharType="begin"/>
      </w:r>
      <w:r>
        <w:instrText xml:space="preserve"> PAGEREF _Toc7178 \h </w:instrText>
      </w:r>
      <w:r>
        <w:fldChar w:fldCharType="separate"/>
      </w:r>
      <w:r>
        <w:t>124</w:t>
      </w:r>
      <w:r>
        <w:fldChar w:fldCharType="end"/>
      </w:r>
      <w:r>
        <w:rPr>
          <w:rFonts w:ascii="宋体" w:hAnsi="宋体"/>
          <w:szCs w:val="24"/>
        </w:rPr>
        <w:fldChar w:fldCharType="end"/>
      </w:r>
    </w:p>
    <w:p w14:paraId="7D77B517">
      <w:pPr>
        <w:pStyle w:val="53"/>
        <w:tabs>
          <w:tab w:val="right" w:leader="dot" w:pos="9071"/>
        </w:tabs>
      </w:pPr>
      <w:r>
        <w:rPr>
          <w:rFonts w:ascii="宋体" w:hAnsi="宋体"/>
          <w:szCs w:val="24"/>
        </w:rPr>
        <w:fldChar w:fldCharType="begin"/>
      </w:r>
      <w:r>
        <w:rPr>
          <w:rFonts w:ascii="宋体" w:hAnsi="宋体"/>
          <w:szCs w:val="24"/>
        </w:rPr>
        <w:instrText xml:space="preserve"> HYPERLINK \l _Toc9636 </w:instrText>
      </w:r>
      <w:r>
        <w:rPr>
          <w:rFonts w:ascii="宋体" w:hAnsi="宋体"/>
          <w:szCs w:val="24"/>
        </w:rPr>
        <w:fldChar w:fldCharType="separate"/>
      </w:r>
      <w:r>
        <w:rPr>
          <w:rFonts w:hint="eastAsia" w:ascii="宋体" w:hAnsi="宋体" w:eastAsia="宋体"/>
          <w:szCs w:val="30"/>
        </w:rPr>
        <w:t>（二）</w:t>
      </w:r>
      <w:r>
        <w:rPr>
          <w:rFonts w:ascii="宋体" w:hAnsi="宋体" w:eastAsia="宋体"/>
          <w:szCs w:val="30"/>
        </w:rPr>
        <w:t>法定代表人身份证明</w:t>
      </w:r>
      <w:r>
        <w:tab/>
      </w:r>
      <w:r>
        <w:fldChar w:fldCharType="begin"/>
      </w:r>
      <w:r>
        <w:instrText xml:space="preserve"> PAGEREF _Toc9636 \h </w:instrText>
      </w:r>
      <w:r>
        <w:fldChar w:fldCharType="separate"/>
      </w:r>
      <w:r>
        <w:t>125</w:t>
      </w:r>
      <w:r>
        <w:fldChar w:fldCharType="end"/>
      </w:r>
      <w:r>
        <w:rPr>
          <w:rFonts w:ascii="宋体" w:hAnsi="宋体"/>
          <w:szCs w:val="24"/>
        </w:rPr>
        <w:fldChar w:fldCharType="end"/>
      </w:r>
    </w:p>
    <w:p w14:paraId="70DE6321">
      <w:pPr>
        <w:pStyle w:val="53"/>
        <w:tabs>
          <w:tab w:val="right" w:leader="dot" w:pos="9071"/>
        </w:tabs>
      </w:pPr>
      <w:r>
        <w:rPr>
          <w:rFonts w:ascii="宋体" w:hAnsi="宋体"/>
          <w:szCs w:val="24"/>
        </w:rPr>
        <w:fldChar w:fldCharType="begin"/>
      </w:r>
      <w:r>
        <w:rPr>
          <w:rFonts w:ascii="宋体" w:hAnsi="宋体"/>
          <w:szCs w:val="24"/>
        </w:rPr>
        <w:instrText xml:space="preserve"> HYPERLINK \l _Toc9175 </w:instrText>
      </w:r>
      <w:r>
        <w:rPr>
          <w:rFonts w:ascii="宋体" w:hAnsi="宋体"/>
          <w:szCs w:val="24"/>
        </w:rPr>
        <w:fldChar w:fldCharType="separate"/>
      </w:r>
      <w:r>
        <w:rPr>
          <w:rFonts w:hint="eastAsia" w:ascii="宋体" w:hAnsi="宋体" w:eastAsia="宋体"/>
          <w:szCs w:val="30"/>
        </w:rPr>
        <w:t>（三）</w:t>
      </w:r>
      <w:r>
        <w:rPr>
          <w:rFonts w:ascii="宋体" w:hAnsi="宋体" w:eastAsia="宋体"/>
          <w:szCs w:val="30"/>
        </w:rPr>
        <w:t>授权委托书</w:t>
      </w:r>
      <w:r>
        <w:tab/>
      </w:r>
      <w:r>
        <w:fldChar w:fldCharType="begin"/>
      </w:r>
      <w:r>
        <w:instrText xml:space="preserve"> PAGEREF _Toc9175 \h </w:instrText>
      </w:r>
      <w:r>
        <w:fldChar w:fldCharType="separate"/>
      </w:r>
      <w:r>
        <w:t>127</w:t>
      </w:r>
      <w:r>
        <w:fldChar w:fldCharType="end"/>
      </w:r>
      <w:r>
        <w:rPr>
          <w:rFonts w:ascii="宋体" w:hAnsi="宋体"/>
          <w:szCs w:val="24"/>
        </w:rPr>
        <w:fldChar w:fldCharType="end"/>
      </w:r>
    </w:p>
    <w:p w14:paraId="494D8416">
      <w:pPr>
        <w:pStyle w:val="53"/>
        <w:tabs>
          <w:tab w:val="right" w:leader="dot" w:pos="9071"/>
        </w:tabs>
      </w:pPr>
      <w:r>
        <w:rPr>
          <w:rFonts w:ascii="宋体" w:hAnsi="宋体"/>
          <w:szCs w:val="24"/>
        </w:rPr>
        <w:fldChar w:fldCharType="begin"/>
      </w:r>
      <w:r>
        <w:rPr>
          <w:rFonts w:ascii="宋体" w:hAnsi="宋体"/>
          <w:szCs w:val="24"/>
        </w:rPr>
        <w:instrText xml:space="preserve"> HYPERLINK \l _Toc13929 </w:instrText>
      </w:r>
      <w:r>
        <w:rPr>
          <w:rFonts w:ascii="宋体" w:hAnsi="宋体"/>
          <w:szCs w:val="24"/>
        </w:rPr>
        <w:fldChar w:fldCharType="separate"/>
      </w:r>
      <w:r>
        <w:rPr>
          <w:rFonts w:ascii="宋体" w:hAnsi="宋体" w:eastAsia="宋体"/>
        </w:rPr>
        <w:t>四</w:t>
      </w:r>
      <w:r>
        <w:rPr>
          <w:rFonts w:hint="eastAsia" w:ascii="宋体" w:hAnsi="宋体" w:eastAsia="宋体"/>
        </w:rPr>
        <w:t>、</w:t>
      </w:r>
      <w:r>
        <w:rPr>
          <w:rFonts w:ascii="宋体" w:hAnsi="宋体" w:eastAsia="宋体"/>
        </w:rPr>
        <w:t>投标文件商务部分格式</w:t>
      </w:r>
      <w:r>
        <w:tab/>
      </w:r>
      <w:r>
        <w:fldChar w:fldCharType="begin"/>
      </w:r>
      <w:r>
        <w:instrText xml:space="preserve"> PAGEREF _Toc13929 \h </w:instrText>
      </w:r>
      <w:r>
        <w:fldChar w:fldCharType="separate"/>
      </w:r>
      <w:r>
        <w:t>128</w:t>
      </w:r>
      <w:r>
        <w:fldChar w:fldCharType="end"/>
      </w:r>
      <w:r>
        <w:rPr>
          <w:rFonts w:ascii="宋体" w:hAnsi="宋体"/>
          <w:szCs w:val="24"/>
        </w:rPr>
        <w:fldChar w:fldCharType="end"/>
      </w:r>
    </w:p>
    <w:p w14:paraId="2835CA3C">
      <w:pPr>
        <w:pStyle w:val="53"/>
        <w:tabs>
          <w:tab w:val="right" w:leader="dot" w:pos="9071"/>
        </w:tabs>
      </w:pPr>
      <w:r>
        <w:rPr>
          <w:rFonts w:ascii="宋体" w:hAnsi="宋体"/>
          <w:szCs w:val="24"/>
        </w:rPr>
        <w:fldChar w:fldCharType="begin"/>
      </w:r>
      <w:r>
        <w:rPr>
          <w:rFonts w:ascii="宋体" w:hAnsi="宋体"/>
          <w:szCs w:val="24"/>
        </w:rPr>
        <w:instrText xml:space="preserve"> HYPERLINK \l _Toc31906 </w:instrText>
      </w:r>
      <w:r>
        <w:rPr>
          <w:rFonts w:ascii="宋体" w:hAnsi="宋体"/>
          <w:szCs w:val="24"/>
        </w:rPr>
        <w:fldChar w:fldCharType="separate"/>
      </w:r>
      <w:r>
        <w:rPr>
          <w:rFonts w:hint="eastAsia" w:ascii="宋体" w:hAnsi="宋体" w:eastAsia="宋体"/>
          <w:szCs w:val="30"/>
        </w:rPr>
        <w:t>（一）投标报价（唱标）一览表</w:t>
      </w:r>
      <w:r>
        <w:tab/>
      </w:r>
      <w:r>
        <w:fldChar w:fldCharType="begin"/>
      </w:r>
      <w:r>
        <w:instrText xml:space="preserve"> PAGEREF _Toc31906 \h </w:instrText>
      </w:r>
      <w:r>
        <w:fldChar w:fldCharType="separate"/>
      </w:r>
      <w:r>
        <w:t>128</w:t>
      </w:r>
      <w:r>
        <w:fldChar w:fldCharType="end"/>
      </w:r>
      <w:r>
        <w:rPr>
          <w:rFonts w:ascii="宋体" w:hAnsi="宋体"/>
          <w:szCs w:val="24"/>
        </w:rPr>
        <w:fldChar w:fldCharType="end"/>
      </w:r>
    </w:p>
    <w:p w14:paraId="32CEC17F">
      <w:pPr>
        <w:pStyle w:val="53"/>
        <w:tabs>
          <w:tab w:val="right" w:leader="dot" w:pos="9071"/>
        </w:tabs>
      </w:pPr>
      <w:r>
        <w:rPr>
          <w:rFonts w:ascii="宋体" w:hAnsi="宋体"/>
          <w:szCs w:val="24"/>
        </w:rPr>
        <w:fldChar w:fldCharType="begin"/>
      </w:r>
      <w:r>
        <w:rPr>
          <w:rFonts w:ascii="宋体" w:hAnsi="宋体"/>
          <w:szCs w:val="24"/>
        </w:rPr>
        <w:instrText xml:space="preserve"> HYPERLINK \l _Toc32728 </w:instrText>
      </w:r>
      <w:r>
        <w:rPr>
          <w:rFonts w:ascii="宋体" w:hAnsi="宋体"/>
          <w:szCs w:val="24"/>
        </w:rPr>
        <w:fldChar w:fldCharType="separate"/>
      </w:r>
      <w:r>
        <w:rPr>
          <w:rFonts w:hint="eastAsia" w:ascii="宋体" w:hAnsi="宋体" w:eastAsia="宋体"/>
          <w:szCs w:val="30"/>
        </w:rPr>
        <w:t>（二）分项报价一览表</w:t>
      </w:r>
      <w:r>
        <w:tab/>
      </w:r>
      <w:r>
        <w:fldChar w:fldCharType="begin"/>
      </w:r>
      <w:r>
        <w:instrText xml:space="preserve"> PAGEREF _Toc32728 \h </w:instrText>
      </w:r>
      <w:r>
        <w:fldChar w:fldCharType="separate"/>
      </w:r>
      <w:r>
        <w:t>129</w:t>
      </w:r>
      <w:r>
        <w:fldChar w:fldCharType="end"/>
      </w:r>
      <w:r>
        <w:rPr>
          <w:rFonts w:ascii="宋体" w:hAnsi="宋体"/>
          <w:szCs w:val="24"/>
        </w:rPr>
        <w:fldChar w:fldCharType="end"/>
      </w:r>
    </w:p>
    <w:p w14:paraId="6812CFF5">
      <w:pPr>
        <w:pStyle w:val="53"/>
        <w:tabs>
          <w:tab w:val="right" w:leader="dot" w:pos="9071"/>
        </w:tabs>
      </w:pPr>
      <w:r>
        <w:rPr>
          <w:rFonts w:ascii="宋体" w:hAnsi="宋体"/>
          <w:szCs w:val="24"/>
        </w:rPr>
        <w:fldChar w:fldCharType="begin"/>
      </w:r>
      <w:r>
        <w:rPr>
          <w:rFonts w:ascii="宋体" w:hAnsi="宋体"/>
          <w:szCs w:val="24"/>
        </w:rPr>
        <w:instrText xml:space="preserve"> HYPERLINK \l _Toc17800 </w:instrText>
      </w:r>
      <w:r>
        <w:rPr>
          <w:rFonts w:ascii="宋体" w:hAnsi="宋体"/>
          <w:szCs w:val="24"/>
        </w:rPr>
        <w:fldChar w:fldCharType="separate"/>
      </w:r>
      <w:r>
        <w:rPr>
          <w:rFonts w:ascii="宋体" w:hAnsi="宋体" w:eastAsia="宋体"/>
        </w:rPr>
        <w:t>五</w:t>
      </w:r>
      <w:r>
        <w:rPr>
          <w:rFonts w:hint="eastAsia" w:ascii="宋体" w:hAnsi="宋体" w:eastAsia="宋体"/>
        </w:rPr>
        <w:t>、</w:t>
      </w:r>
      <w:r>
        <w:rPr>
          <w:rFonts w:ascii="宋体" w:hAnsi="宋体" w:eastAsia="宋体"/>
        </w:rPr>
        <w:t>投标文件技术部分格式</w:t>
      </w:r>
      <w:r>
        <w:tab/>
      </w:r>
      <w:r>
        <w:fldChar w:fldCharType="begin"/>
      </w:r>
      <w:r>
        <w:instrText xml:space="preserve"> PAGEREF _Toc17800 \h </w:instrText>
      </w:r>
      <w:r>
        <w:fldChar w:fldCharType="separate"/>
      </w:r>
      <w:r>
        <w:t>152</w:t>
      </w:r>
      <w:r>
        <w:fldChar w:fldCharType="end"/>
      </w:r>
      <w:r>
        <w:rPr>
          <w:rFonts w:ascii="宋体" w:hAnsi="宋体"/>
          <w:szCs w:val="24"/>
        </w:rPr>
        <w:fldChar w:fldCharType="end"/>
      </w:r>
    </w:p>
    <w:p w14:paraId="38A0D8D9">
      <w:pPr>
        <w:pStyle w:val="53"/>
        <w:tabs>
          <w:tab w:val="right" w:leader="dot" w:pos="9071"/>
        </w:tabs>
      </w:pPr>
      <w:r>
        <w:rPr>
          <w:rFonts w:ascii="宋体" w:hAnsi="宋体"/>
          <w:szCs w:val="24"/>
        </w:rPr>
        <w:fldChar w:fldCharType="begin"/>
      </w:r>
      <w:r>
        <w:rPr>
          <w:rFonts w:ascii="宋体" w:hAnsi="宋体"/>
          <w:szCs w:val="24"/>
        </w:rPr>
        <w:instrText xml:space="preserve"> HYPERLINK \l _Toc21426 </w:instrText>
      </w:r>
      <w:r>
        <w:rPr>
          <w:rFonts w:ascii="宋体" w:hAnsi="宋体"/>
          <w:szCs w:val="24"/>
        </w:rPr>
        <w:fldChar w:fldCharType="separate"/>
      </w:r>
      <w:r>
        <w:rPr>
          <w:rFonts w:hint="eastAsia" w:ascii="宋体" w:hAnsi="宋体" w:eastAsia="宋体"/>
          <w:szCs w:val="30"/>
        </w:rPr>
        <w:t>（一）项目技术方案</w:t>
      </w:r>
      <w:r>
        <w:tab/>
      </w:r>
      <w:r>
        <w:fldChar w:fldCharType="begin"/>
      </w:r>
      <w:r>
        <w:instrText xml:space="preserve"> PAGEREF _Toc21426 \h </w:instrText>
      </w:r>
      <w:r>
        <w:fldChar w:fldCharType="separate"/>
      </w:r>
      <w:r>
        <w:t>152</w:t>
      </w:r>
      <w:r>
        <w:fldChar w:fldCharType="end"/>
      </w:r>
      <w:r>
        <w:rPr>
          <w:rFonts w:ascii="宋体" w:hAnsi="宋体"/>
          <w:szCs w:val="24"/>
        </w:rPr>
        <w:fldChar w:fldCharType="end"/>
      </w:r>
    </w:p>
    <w:p w14:paraId="22632A8C">
      <w:pPr>
        <w:pStyle w:val="53"/>
        <w:tabs>
          <w:tab w:val="right" w:leader="dot" w:pos="9071"/>
        </w:tabs>
      </w:pPr>
      <w:r>
        <w:rPr>
          <w:rFonts w:ascii="宋体" w:hAnsi="宋体"/>
          <w:szCs w:val="24"/>
        </w:rPr>
        <w:fldChar w:fldCharType="begin"/>
      </w:r>
      <w:r>
        <w:rPr>
          <w:rFonts w:ascii="宋体" w:hAnsi="宋体"/>
          <w:szCs w:val="24"/>
        </w:rPr>
        <w:instrText xml:space="preserve"> HYPERLINK \l _Toc25586 </w:instrText>
      </w:r>
      <w:r>
        <w:rPr>
          <w:rFonts w:ascii="宋体" w:hAnsi="宋体"/>
          <w:szCs w:val="24"/>
        </w:rPr>
        <w:fldChar w:fldCharType="separate"/>
      </w:r>
      <w:r>
        <w:rPr>
          <w:rFonts w:hint="eastAsia" w:ascii="宋体" w:hAnsi="宋体" w:eastAsia="宋体"/>
          <w:szCs w:val="30"/>
        </w:rPr>
        <w:t>（二）拟投产品的配置</w:t>
      </w:r>
      <w:r>
        <w:tab/>
      </w:r>
      <w:r>
        <w:fldChar w:fldCharType="begin"/>
      </w:r>
      <w:r>
        <w:instrText xml:space="preserve"> PAGEREF _Toc25586 \h </w:instrText>
      </w:r>
      <w:r>
        <w:fldChar w:fldCharType="separate"/>
      </w:r>
      <w:r>
        <w:t>152</w:t>
      </w:r>
      <w:r>
        <w:fldChar w:fldCharType="end"/>
      </w:r>
      <w:r>
        <w:rPr>
          <w:rFonts w:ascii="宋体" w:hAnsi="宋体"/>
          <w:szCs w:val="24"/>
        </w:rPr>
        <w:fldChar w:fldCharType="end"/>
      </w:r>
    </w:p>
    <w:p w14:paraId="5985B19F">
      <w:pPr>
        <w:pStyle w:val="53"/>
        <w:tabs>
          <w:tab w:val="right" w:leader="dot" w:pos="9071"/>
        </w:tabs>
      </w:pPr>
      <w:r>
        <w:rPr>
          <w:rFonts w:ascii="宋体" w:hAnsi="宋体"/>
          <w:szCs w:val="24"/>
        </w:rPr>
        <w:fldChar w:fldCharType="begin"/>
      </w:r>
      <w:r>
        <w:rPr>
          <w:rFonts w:ascii="宋体" w:hAnsi="宋体"/>
          <w:szCs w:val="24"/>
        </w:rPr>
        <w:instrText xml:space="preserve"> HYPERLINK \l _Toc14760 </w:instrText>
      </w:r>
      <w:r>
        <w:rPr>
          <w:rFonts w:ascii="宋体" w:hAnsi="宋体"/>
          <w:szCs w:val="24"/>
        </w:rPr>
        <w:fldChar w:fldCharType="separate"/>
      </w:r>
      <w:r>
        <w:rPr>
          <w:rFonts w:hint="eastAsia" w:ascii="宋体" w:hAnsi="宋体" w:eastAsia="宋体"/>
          <w:szCs w:val="30"/>
        </w:rPr>
        <w:t>（三）质量和工期的承诺、保证措施、违约责任</w:t>
      </w:r>
      <w:r>
        <w:tab/>
      </w:r>
      <w:r>
        <w:fldChar w:fldCharType="begin"/>
      </w:r>
      <w:r>
        <w:instrText xml:space="preserve"> PAGEREF _Toc14760 \h </w:instrText>
      </w:r>
      <w:r>
        <w:fldChar w:fldCharType="separate"/>
      </w:r>
      <w:r>
        <w:t>153</w:t>
      </w:r>
      <w:r>
        <w:fldChar w:fldCharType="end"/>
      </w:r>
      <w:r>
        <w:rPr>
          <w:rFonts w:ascii="宋体" w:hAnsi="宋体"/>
          <w:szCs w:val="24"/>
        </w:rPr>
        <w:fldChar w:fldCharType="end"/>
      </w:r>
    </w:p>
    <w:p w14:paraId="2AF73AF1">
      <w:pPr>
        <w:pStyle w:val="53"/>
        <w:tabs>
          <w:tab w:val="right" w:leader="dot" w:pos="9071"/>
        </w:tabs>
      </w:pPr>
      <w:r>
        <w:rPr>
          <w:rFonts w:ascii="宋体" w:hAnsi="宋体"/>
          <w:szCs w:val="24"/>
        </w:rPr>
        <w:fldChar w:fldCharType="begin"/>
      </w:r>
      <w:r>
        <w:rPr>
          <w:rFonts w:ascii="宋体" w:hAnsi="宋体"/>
          <w:szCs w:val="24"/>
        </w:rPr>
        <w:instrText xml:space="preserve"> HYPERLINK \l _Toc16661 </w:instrText>
      </w:r>
      <w:r>
        <w:rPr>
          <w:rFonts w:ascii="宋体" w:hAnsi="宋体"/>
          <w:szCs w:val="24"/>
        </w:rPr>
        <w:fldChar w:fldCharType="separate"/>
      </w:r>
      <w:r>
        <w:rPr>
          <w:rFonts w:hint="eastAsia" w:ascii="宋体" w:hAnsi="宋体" w:eastAsia="宋体"/>
          <w:szCs w:val="30"/>
        </w:rPr>
        <w:t>（四）项目人员配置</w:t>
      </w:r>
      <w:r>
        <w:tab/>
      </w:r>
      <w:r>
        <w:fldChar w:fldCharType="begin"/>
      </w:r>
      <w:r>
        <w:instrText xml:space="preserve"> PAGEREF _Toc16661 \h </w:instrText>
      </w:r>
      <w:r>
        <w:fldChar w:fldCharType="separate"/>
      </w:r>
      <w:r>
        <w:t>154</w:t>
      </w:r>
      <w:r>
        <w:fldChar w:fldCharType="end"/>
      </w:r>
      <w:r>
        <w:rPr>
          <w:rFonts w:ascii="宋体" w:hAnsi="宋体"/>
          <w:szCs w:val="24"/>
        </w:rPr>
        <w:fldChar w:fldCharType="end"/>
      </w:r>
    </w:p>
    <w:p w14:paraId="18ACC0D8">
      <w:pPr>
        <w:pStyle w:val="53"/>
        <w:tabs>
          <w:tab w:val="right" w:leader="dot" w:pos="9071"/>
        </w:tabs>
      </w:pPr>
      <w:r>
        <w:rPr>
          <w:rFonts w:ascii="宋体" w:hAnsi="宋体"/>
          <w:szCs w:val="24"/>
        </w:rPr>
        <w:fldChar w:fldCharType="begin"/>
      </w:r>
      <w:r>
        <w:rPr>
          <w:rFonts w:ascii="宋体" w:hAnsi="宋体"/>
          <w:szCs w:val="24"/>
        </w:rPr>
        <w:instrText xml:space="preserve"> HYPERLINK \l _Toc32085 </w:instrText>
      </w:r>
      <w:r>
        <w:rPr>
          <w:rFonts w:ascii="宋体" w:hAnsi="宋体"/>
          <w:szCs w:val="24"/>
        </w:rPr>
        <w:fldChar w:fldCharType="separate"/>
      </w:r>
      <w:r>
        <w:rPr>
          <w:rFonts w:hint="eastAsia" w:ascii="宋体" w:hAnsi="宋体" w:eastAsia="宋体"/>
          <w:szCs w:val="30"/>
        </w:rPr>
        <w:t>（</w:t>
      </w:r>
      <w:r>
        <w:rPr>
          <w:rFonts w:ascii="宋体" w:hAnsi="宋体" w:eastAsia="宋体"/>
          <w:szCs w:val="30"/>
        </w:rPr>
        <w:t>五</w:t>
      </w:r>
      <w:r>
        <w:rPr>
          <w:rFonts w:hint="eastAsia" w:ascii="宋体" w:hAnsi="宋体" w:eastAsia="宋体"/>
          <w:szCs w:val="30"/>
        </w:rPr>
        <w:t>）售后服务、培训及应急保障</w:t>
      </w:r>
      <w:r>
        <w:tab/>
      </w:r>
      <w:r>
        <w:fldChar w:fldCharType="begin"/>
      </w:r>
      <w:r>
        <w:instrText xml:space="preserve"> PAGEREF _Toc32085 \h </w:instrText>
      </w:r>
      <w:r>
        <w:fldChar w:fldCharType="separate"/>
      </w:r>
      <w:r>
        <w:t>156</w:t>
      </w:r>
      <w:r>
        <w:fldChar w:fldCharType="end"/>
      </w:r>
      <w:r>
        <w:rPr>
          <w:rFonts w:ascii="宋体" w:hAnsi="宋体"/>
          <w:szCs w:val="24"/>
        </w:rPr>
        <w:fldChar w:fldCharType="end"/>
      </w:r>
    </w:p>
    <w:p w14:paraId="63F26FD4">
      <w:pPr>
        <w:pStyle w:val="53"/>
        <w:tabs>
          <w:tab w:val="right" w:leader="dot" w:pos="9071"/>
        </w:tabs>
      </w:pPr>
      <w:r>
        <w:rPr>
          <w:rFonts w:ascii="宋体" w:hAnsi="宋体"/>
          <w:szCs w:val="24"/>
        </w:rPr>
        <w:fldChar w:fldCharType="begin"/>
      </w:r>
      <w:r>
        <w:rPr>
          <w:rFonts w:ascii="宋体" w:hAnsi="宋体"/>
          <w:szCs w:val="24"/>
        </w:rPr>
        <w:instrText xml:space="preserve"> HYPERLINK \l _Toc19565 </w:instrText>
      </w:r>
      <w:r>
        <w:rPr>
          <w:rFonts w:ascii="宋体" w:hAnsi="宋体"/>
          <w:szCs w:val="24"/>
        </w:rPr>
        <w:fldChar w:fldCharType="separate"/>
      </w:r>
      <w:r>
        <w:rPr>
          <w:rFonts w:hint="eastAsia" w:ascii="宋体" w:hAnsi="宋体" w:eastAsia="宋体"/>
          <w:szCs w:val="30"/>
        </w:rPr>
        <w:t>（六）投标人认为需要提供的其他资料</w:t>
      </w:r>
      <w:r>
        <w:tab/>
      </w:r>
      <w:r>
        <w:fldChar w:fldCharType="begin"/>
      </w:r>
      <w:r>
        <w:instrText xml:space="preserve"> PAGEREF _Toc19565 \h </w:instrText>
      </w:r>
      <w:r>
        <w:fldChar w:fldCharType="separate"/>
      </w:r>
      <w:r>
        <w:t>157</w:t>
      </w:r>
      <w:r>
        <w:fldChar w:fldCharType="end"/>
      </w:r>
      <w:r>
        <w:rPr>
          <w:rFonts w:ascii="宋体" w:hAnsi="宋体"/>
          <w:szCs w:val="24"/>
        </w:rPr>
        <w:fldChar w:fldCharType="end"/>
      </w:r>
    </w:p>
    <w:p w14:paraId="4C6358E1">
      <w:pPr>
        <w:pStyle w:val="42"/>
        <w:tabs>
          <w:tab w:val="right" w:leader="dot" w:pos="9498"/>
        </w:tabs>
        <w:spacing w:line="310" w:lineRule="exact"/>
        <w:rPr>
          <w:rStyle w:val="72"/>
        </w:rPr>
      </w:pPr>
      <w:r>
        <w:rPr>
          <w:rFonts w:ascii="宋体" w:hAnsi="宋体"/>
          <w:szCs w:val="24"/>
        </w:rPr>
        <w:fldChar w:fldCharType="end"/>
      </w:r>
    </w:p>
    <w:p w14:paraId="1A559DA9">
      <w:pPr>
        <w:jc w:val="center"/>
        <w:rPr>
          <w:sz w:val="44"/>
          <w:szCs w:val="44"/>
        </w:rPr>
      </w:pPr>
      <w:r>
        <w:rPr>
          <w:rFonts w:hint="eastAsia"/>
          <w:sz w:val="44"/>
          <w:szCs w:val="44"/>
        </w:rPr>
        <w:br w:type="page"/>
      </w:r>
    </w:p>
    <w:p w14:paraId="618E21C7">
      <w:pPr>
        <w:pStyle w:val="42"/>
        <w:tabs>
          <w:tab w:val="right" w:leader="dot" w:pos="9497"/>
        </w:tabs>
        <w:ind w:firstLine="880"/>
        <w:jc w:val="center"/>
        <w:rPr>
          <w:sz w:val="28"/>
          <w:u w:val="single"/>
        </w:rPr>
      </w:pPr>
      <w:r>
        <w:rPr>
          <w:rFonts w:hint="eastAsia"/>
          <w:sz w:val="44"/>
          <w:szCs w:val="44"/>
        </w:rPr>
        <w:t>注意事项</w:t>
      </w:r>
    </w:p>
    <w:p w14:paraId="24B2B0C7">
      <w:pPr>
        <w:spacing w:line="360" w:lineRule="auto"/>
        <w:jc w:val="both"/>
        <w:rPr>
          <w:rFonts w:ascii="宋体" w:hAnsi="宋体"/>
          <w:b/>
          <w:sz w:val="24"/>
          <w:szCs w:val="24"/>
        </w:rPr>
      </w:pPr>
      <w:r>
        <w:rPr>
          <w:rFonts w:hint="eastAsia" w:ascii="宋体" w:hAnsi="宋体"/>
          <w:b/>
          <w:sz w:val="24"/>
          <w:szCs w:val="24"/>
        </w:rPr>
        <w:t>各投标人：</w:t>
      </w:r>
    </w:p>
    <w:p w14:paraId="763481D4">
      <w:pPr>
        <w:spacing w:line="360" w:lineRule="auto"/>
        <w:ind w:firstLine="472" w:firstLineChars="196"/>
        <w:jc w:val="both"/>
        <w:rPr>
          <w:rFonts w:ascii="宋体" w:hAnsi="宋体"/>
          <w:b/>
          <w:sz w:val="24"/>
          <w:szCs w:val="24"/>
        </w:rPr>
      </w:pPr>
      <w:r>
        <w:rPr>
          <w:rFonts w:hint="eastAsia" w:ascii="宋体" w:hAnsi="宋体"/>
          <w:b/>
          <w:sz w:val="24"/>
          <w:szCs w:val="24"/>
        </w:rPr>
        <w:t>开标时，投标人必须携带下列证件。公证员将在开标前对下列证件进行查验并如实记录，查验情况提交给评标委员会评审。</w:t>
      </w:r>
    </w:p>
    <w:p w14:paraId="5765A36A">
      <w:pPr>
        <w:spacing w:line="360" w:lineRule="auto"/>
        <w:ind w:firstLine="472" w:firstLineChars="196"/>
        <w:jc w:val="both"/>
        <w:rPr>
          <w:rFonts w:ascii="宋体" w:hAnsi="宋体"/>
          <w:b/>
          <w:sz w:val="24"/>
          <w:szCs w:val="24"/>
        </w:rPr>
      </w:pPr>
      <w:r>
        <w:rPr>
          <w:rFonts w:hint="eastAsia" w:ascii="宋体" w:hAnsi="宋体"/>
          <w:b/>
          <w:sz w:val="24"/>
          <w:szCs w:val="24"/>
        </w:rPr>
        <w:t>一</w:t>
      </w:r>
      <w:r>
        <w:rPr>
          <w:rFonts w:ascii="宋体" w:hAnsi="宋体"/>
          <w:b/>
          <w:sz w:val="24"/>
          <w:szCs w:val="24"/>
        </w:rPr>
        <w:t>、</w:t>
      </w:r>
      <w:r>
        <w:rPr>
          <w:rFonts w:hint="eastAsia" w:ascii="宋体" w:hAnsi="宋体" w:cs="仿宋_GB2312"/>
          <w:b/>
          <w:bCs/>
          <w:sz w:val="24"/>
        </w:rPr>
        <w:t>用于资格审查的原件，未按要求提交证件的，或提交的证件不符合要求的，其投标文件将被评标委员按否决投标处理。</w:t>
      </w:r>
    </w:p>
    <w:p w14:paraId="713B0E05">
      <w:pPr>
        <w:spacing w:line="360" w:lineRule="auto"/>
        <w:ind w:firstLine="470" w:firstLineChars="196"/>
        <w:jc w:val="both"/>
        <w:rPr>
          <w:rFonts w:ascii="宋体" w:hAnsi="宋体"/>
          <w:sz w:val="24"/>
          <w:szCs w:val="24"/>
        </w:rPr>
      </w:pPr>
      <w:r>
        <w:rPr>
          <w:rFonts w:ascii="宋体" w:hAnsi="宋体"/>
          <w:sz w:val="24"/>
          <w:szCs w:val="24"/>
        </w:rPr>
        <w:t>1.</w:t>
      </w:r>
      <w:r>
        <w:rPr>
          <w:rFonts w:hint="eastAsia" w:ascii="宋体" w:hAnsi="宋体"/>
          <w:sz w:val="24"/>
          <w:szCs w:val="24"/>
        </w:rPr>
        <w:t xml:space="preserve"> 统一社会信用代码的营业执照复印件。</w:t>
      </w:r>
    </w:p>
    <w:p w14:paraId="0195C0F8">
      <w:pPr>
        <w:spacing w:line="360" w:lineRule="auto"/>
        <w:ind w:firstLine="470" w:firstLineChars="196"/>
        <w:jc w:val="both"/>
        <w:rPr>
          <w:rFonts w:ascii="宋体" w:hAnsi="宋体"/>
          <w:sz w:val="24"/>
          <w:szCs w:val="24"/>
        </w:rPr>
      </w:pPr>
      <w:r>
        <w:rPr>
          <w:rFonts w:ascii="宋体" w:hAnsi="宋体"/>
          <w:sz w:val="24"/>
          <w:szCs w:val="24"/>
        </w:rPr>
        <w:t xml:space="preserve">2. </w:t>
      </w:r>
      <w:r>
        <w:rPr>
          <w:rFonts w:hint="eastAsia" w:ascii="宋体" w:hAnsi="宋体"/>
          <w:sz w:val="24"/>
          <w:szCs w:val="24"/>
        </w:rPr>
        <w:t>法定代表人身份证明书原件</w:t>
      </w:r>
      <w:r>
        <w:rPr>
          <w:rFonts w:ascii="宋体" w:hAnsi="宋体"/>
          <w:sz w:val="24"/>
          <w:szCs w:val="24"/>
        </w:rPr>
        <w:t>。</w:t>
      </w:r>
    </w:p>
    <w:p w14:paraId="691893FA">
      <w:pPr>
        <w:spacing w:line="360" w:lineRule="auto"/>
        <w:ind w:firstLine="470" w:firstLineChars="196"/>
        <w:jc w:val="both"/>
        <w:rPr>
          <w:rFonts w:ascii="宋体" w:hAnsi="宋体"/>
          <w:sz w:val="24"/>
          <w:szCs w:val="24"/>
        </w:rPr>
      </w:pPr>
      <w:r>
        <w:rPr>
          <w:rFonts w:ascii="宋体" w:hAnsi="宋体"/>
          <w:sz w:val="24"/>
          <w:szCs w:val="24"/>
        </w:rPr>
        <w:t xml:space="preserve">3. </w:t>
      </w:r>
      <w:r>
        <w:rPr>
          <w:rFonts w:hint="eastAsia" w:ascii="宋体" w:hAnsi="宋体"/>
          <w:sz w:val="24"/>
          <w:szCs w:val="24"/>
        </w:rPr>
        <w:t>法定代表人居民身份证原件【若由法定代表人递交投标文件的】或法定代表人授权委托书原件及被授权人居民身份证原件【若由授权代理人递交投标文件的】。</w:t>
      </w:r>
    </w:p>
    <w:p w14:paraId="6EF1CC43">
      <w:pPr>
        <w:spacing w:line="360" w:lineRule="auto"/>
        <w:ind w:firstLine="470" w:firstLineChars="196"/>
        <w:jc w:val="both"/>
        <w:rPr>
          <w:rFonts w:ascii="宋体" w:hAnsi="宋体"/>
          <w:sz w:val="24"/>
          <w:szCs w:val="24"/>
        </w:rPr>
      </w:pPr>
      <w:r>
        <w:rPr>
          <w:rFonts w:ascii="宋体" w:hAnsi="宋体"/>
          <w:sz w:val="24"/>
          <w:szCs w:val="24"/>
        </w:rPr>
        <w:t xml:space="preserve">4. </w:t>
      </w:r>
      <w:r>
        <w:rPr>
          <w:rFonts w:hint="eastAsia" w:ascii="宋体" w:hAnsi="宋体"/>
          <w:sz w:val="24"/>
          <w:szCs w:val="24"/>
        </w:rPr>
        <w:t>投标保证金缴纳凭证。</w:t>
      </w:r>
    </w:p>
    <w:p w14:paraId="4D3627F7">
      <w:pPr>
        <w:spacing w:line="360" w:lineRule="auto"/>
        <w:ind w:firstLine="472" w:firstLineChars="196"/>
        <w:jc w:val="both"/>
        <w:rPr>
          <w:rFonts w:ascii="宋体" w:hAnsi="宋体"/>
          <w:b/>
          <w:sz w:val="24"/>
          <w:u w:val="single"/>
        </w:rPr>
      </w:pPr>
      <w:r>
        <w:rPr>
          <w:rFonts w:hint="eastAsia" w:ascii="宋体" w:hAnsi="宋体" w:cs="宋体"/>
          <w:b/>
          <w:sz w:val="24"/>
          <w:szCs w:val="24"/>
          <w:u w:val="single"/>
        </w:rPr>
        <w:t>上述证明文件的原件在开标时须经核验登记后收存并交评标委员会审查，在评标结束后退还各投标人。</w:t>
      </w:r>
    </w:p>
    <w:p w14:paraId="31A811DD">
      <w:pPr>
        <w:spacing w:line="360" w:lineRule="auto"/>
        <w:ind w:firstLine="472" w:firstLineChars="196"/>
        <w:jc w:val="both"/>
        <w:rPr>
          <w:rFonts w:ascii="宋体" w:hAnsi="宋体" w:cs="仿宋_GB2312"/>
          <w:b/>
          <w:bCs/>
          <w:sz w:val="24"/>
          <w:szCs w:val="24"/>
        </w:rPr>
      </w:pPr>
      <w:r>
        <w:rPr>
          <w:rFonts w:hint="eastAsia" w:ascii="宋体" w:hAnsi="宋体" w:cs="仿宋_GB2312"/>
          <w:b/>
          <w:bCs/>
          <w:sz w:val="24"/>
          <w:szCs w:val="24"/>
        </w:rPr>
        <w:t>注：上述资料递交时投标人需自备资料袋，在资料袋上注明投标人单位名称，最终由公证人员或招标人监督人员核验收取后方为完成递交。</w:t>
      </w:r>
    </w:p>
    <w:p w14:paraId="17C20AAD">
      <w:pPr>
        <w:spacing w:line="360" w:lineRule="auto"/>
        <w:contextualSpacing/>
        <w:jc w:val="both"/>
        <w:rPr>
          <w:rFonts w:ascii="宋体" w:hAnsi="宋体"/>
          <w:sz w:val="24"/>
          <w:szCs w:val="24"/>
        </w:rPr>
      </w:pPr>
    </w:p>
    <w:p w14:paraId="0A205BF4">
      <w:pPr>
        <w:spacing w:line="360" w:lineRule="auto"/>
        <w:rPr>
          <w:rFonts w:ascii="宋体" w:hAnsi="宋体"/>
          <w:sz w:val="21"/>
          <w:szCs w:val="21"/>
        </w:rPr>
      </w:pPr>
    </w:p>
    <w:p w14:paraId="16744F99">
      <w:pPr>
        <w:rPr>
          <w:rFonts w:ascii="宋体" w:hAnsi="宋体"/>
          <w:b/>
          <w:bCs/>
          <w:kern w:val="44"/>
          <w:sz w:val="36"/>
          <w:szCs w:val="36"/>
        </w:rPr>
      </w:pPr>
      <w:bookmarkStart w:id="1" w:name="_Toc305846479"/>
      <w:r>
        <w:rPr>
          <w:rFonts w:ascii="宋体" w:hAnsi="宋体"/>
          <w:sz w:val="36"/>
          <w:szCs w:val="36"/>
        </w:rPr>
        <w:br w:type="page"/>
      </w:r>
    </w:p>
    <w:bookmarkEnd w:id="1"/>
    <w:p w14:paraId="071E5DA7">
      <w:pPr>
        <w:pStyle w:val="4"/>
        <w:spacing w:line="240" w:lineRule="auto"/>
        <w:jc w:val="center"/>
        <w:rPr>
          <w:rFonts w:ascii="宋体" w:hAnsi="宋体"/>
          <w:sz w:val="36"/>
          <w:szCs w:val="36"/>
        </w:rPr>
      </w:pPr>
      <w:bookmarkStart w:id="2" w:name="_Toc364237432"/>
      <w:bookmarkStart w:id="3" w:name="_Toc484616133"/>
      <w:bookmarkStart w:id="4" w:name="_Toc2286"/>
      <w:r>
        <w:rPr>
          <w:rFonts w:ascii="宋体" w:hAnsi="宋体"/>
          <w:sz w:val="36"/>
          <w:szCs w:val="36"/>
        </w:rPr>
        <w:t>第</w:t>
      </w:r>
      <w:r>
        <w:rPr>
          <w:rFonts w:hint="eastAsia" w:ascii="宋体" w:hAnsi="宋体"/>
          <w:sz w:val="36"/>
          <w:szCs w:val="36"/>
        </w:rPr>
        <w:t>一</w:t>
      </w:r>
      <w:r>
        <w:rPr>
          <w:rFonts w:ascii="宋体" w:hAnsi="宋体"/>
          <w:sz w:val="36"/>
          <w:szCs w:val="36"/>
        </w:rPr>
        <w:t xml:space="preserve">章 </w:t>
      </w:r>
      <w:bookmarkEnd w:id="2"/>
      <w:r>
        <w:rPr>
          <w:rFonts w:hint="eastAsia" w:ascii="宋体" w:hAnsi="宋体"/>
          <w:sz w:val="36"/>
          <w:szCs w:val="36"/>
        </w:rPr>
        <w:t>招标公告</w:t>
      </w:r>
      <w:bookmarkEnd w:id="3"/>
      <w:bookmarkEnd w:id="4"/>
    </w:p>
    <w:p w14:paraId="32FB8492">
      <w:pPr>
        <w:spacing w:line="360" w:lineRule="auto"/>
        <w:jc w:val="center"/>
        <w:rPr>
          <w:rFonts w:ascii="宋体" w:hAnsi="宋体"/>
          <w:b/>
          <w:sz w:val="28"/>
          <w:szCs w:val="30"/>
        </w:rPr>
      </w:pPr>
      <w:bookmarkStart w:id="5" w:name="_Hlk36720173"/>
      <w:r>
        <w:rPr>
          <w:rFonts w:hint="eastAsia" w:ascii="宋体" w:hAnsi="宋体"/>
          <w:b/>
          <w:sz w:val="28"/>
          <w:szCs w:val="30"/>
        </w:rPr>
        <w:t>曲靖卷烟厂智能工厂建设（智能生产、数字能源）项目招标公告</w:t>
      </w:r>
    </w:p>
    <w:p w14:paraId="761991A7">
      <w:pPr>
        <w:spacing w:line="360" w:lineRule="auto"/>
        <w:jc w:val="right"/>
        <w:rPr>
          <w:rFonts w:hint="eastAsia" w:ascii="宋体" w:hAnsi="宋体" w:eastAsia="宋体"/>
          <w:b/>
          <w:sz w:val="21"/>
          <w:szCs w:val="21"/>
          <w:lang w:eastAsia="zh-CN"/>
        </w:rPr>
      </w:pPr>
      <w:r>
        <w:rPr>
          <w:rFonts w:hint="eastAsia" w:ascii="宋体" w:hAnsi="宋体"/>
          <w:b/>
          <w:sz w:val="21"/>
          <w:szCs w:val="21"/>
        </w:rPr>
        <w:t>项目编号：</w:t>
      </w:r>
      <w:r>
        <w:rPr>
          <w:rFonts w:hint="eastAsia" w:ascii="宋体" w:hAnsi="宋体"/>
          <w:b/>
          <w:sz w:val="21"/>
          <w:szCs w:val="21"/>
          <w:lang w:eastAsia="zh-CN"/>
        </w:rPr>
        <w:t>C53A00525001005</w:t>
      </w:r>
    </w:p>
    <w:p w14:paraId="4DF5B1D9">
      <w:pPr>
        <w:spacing w:line="360" w:lineRule="auto"/>
        <w:rPr>
          <w:rFonts w:ascii="宋体" w:hAnsi="宋体"/>
          <w:b/>
          <w:sz w:val="24"/>
          <w:szCs w:val="24"/>
        </w:rPr>
      </w:pPr>
      <w:r>
        <w:rPr>
          <w:rFonts w:hint="eastAsia" w:ascii="宋体" w:hAnsi="宋体"/>
          <w:b/>
          <w:sz w:val="24"/>
          <w:szCs w:val="24"/>
        </w:rPr>
        <w:t>1.招标条件</w:t>
      </w:r>
    </w:p>
    <w:p w14:paraId="65B4A72C">
      <w:pPr>
        <w:spacing w:line="360" w:lineRule="auto"/>
        <w:ind w:firstLine="420" w:firstLineChars="200"/>
        <w:jc w:val="both"/>
        <w:rPr>
          <w:rFonts w:ascii="宋体" w:hAnsi="宋体"/>
          <w:sz w:val="21"/>
          <w:szCs w:val="21"/>
        </w:rPr>
      </w:pPr>
      <w:r>
        <w:rPr>
          <w:rFonts w:hint="eastAsia" w:ascii="宋体" w:hAnsi="宋体"/>
          <w:sz w:val="21"/>
          <w:szCs w:val="21"/>
        </w:rPr>
        <w:t>本招标项目为</w:t>
      </w:r>
      <w:r>
        <w:rPr>
          <w:rFonts w:hint="eastAsia" w:ascii="宋体" w:hAnsi="宋体"/>
          <w:b/>
          <w:sz w:val="21"/>
          <w:szCs w:val="21"/>
          <w:u w:val="single"/>
        </w:rPr>
        <w:t>曲靖卷烟厂智能工厂建设（智能生产、数字能源）项目</w:t>
      </w:r>
      <w:r>
        <w:rPr>
          <w:rFonts w:hint="eastAsia" w:ascii="宋体" w:hAnsi="宋体"/>
          <w:sz w:val="21"/>
          <w:szCs w:val="21"/>
        </w:rPr>
        <w:t>，招标人为</w:t>
      </w:r>
      <w:r>
        <w:rPr>
          <w:rFonts w:hint="eastAsia" w:ascii="宋体" w:hAnsi="宋体"/>
          <w:sz w:val="21"/>
          <w:szCs w:val="21"/>
          <w:u w:val="single"/>
        </w:rPr>
        <w:t>红云红河烟草（集团）有限责任公司</w:t>
      </w:r>
      <w:r>
        <w:rPr>
          <w:rFonts w:hint="eastAsia" w:ascii="宋体" w:hAnsi="宋体"/>
          <w:sz w:val="21"/>
          <w:szCs w:val="21"/>
        </w:rPr>
        <w:t>，招标项目资金来自</w:t>
      </w:r>
      <w:r>
        <w:rPr>
          <w:rFonts w:hint="eastAsia" w:ascii="宋体" w:hAnsi="宋体"/>
          <w:sz w:val="21"/>
          <w:szCs w:val="21"/>
          <w:u w:val="single"/>
        </w:rPr>
        <w:t>企业自筹</w:t>
      </w:r>
      <w:r>
        <w:rPr>
          <w:rFonts w:hint="eastAsia" w:ascii="宋体" w:hAnsi="宋体"/>
          <w:sz w:val="21"/>
          <w:szCs w:val="21"/>
        </w:rPr>
        <w:t>，出资比例为</w:t>
      </w:r>
      <w:r>
        <w:rPr>
          <w:rFonts w:ascii="宋体" w:hAnsi="宋体"/>
          <w:sz w:val="21"/>
          <w:szCs w:val="21"/>
          <w:u w:val="single"/>
        </w:rPr>
        <w:t>100%</w:t>
      </w:r>
      <w:r>
        <w:rPr>
          <w:rFonts w:hint="eastAsia" w:ascii="宋体" w:hAnsi="宋体"/>
          <w:sz w:val="21"/>
          <w:szCs w:val="21"/>
        </w:rPr>
        <w:t>。该项目已具备招标条件，</w:t>
      </w:r>
      <w:r>
        <w:rPr>
          <w:rFonts w:ascii="宋体" w:hAnsi="宋体"/>
          <w:sz w:val="21"/>
          <w:szCs w:val="21"/>
        </w:rPr>
        <w:t>招标代理机构为</w:t>
      </w:r>
      <w:r>
        <w:rPr>
          <w:rFonts w:ascii="宋体" w:hAnsi="宋体"/>
          <w:sz w:val="21"/>
          <w:szCs w:val="21"/>
          <w:u w:val="single"/>
        </w:rPr>
        <w:t>云南招标股份有限公司</w:t>
      </w:r>
      <w:r>
        <w:rPr>
          <w:rFonts w:hint="eastAsia" w:ascii="宋体" w:hAnsi="宋体"/>
          <w:sz w:val="21"/>
          <w:szCs w:val="21"/>
        </w:rPr>
        <w:t>，现对本项目进行公开招标，欢迎符合资格要求的潜在投标人参与投标。</w:t>
      </w:r>
    </w:p>
    <w:p w14:paraId="5E7E3EEA">
      <w:pPr>
        <w:spacing w:line="360" w:lineRule="auto"/>
        <w:jc w:val="both"/>
        <w:rPr>
          <w:rFonts w:ascii="宋体" w:hAnsi="宋体"/>
          <w:b/>
          <w:sz w:val="24"/>
          <w:szCs w:val="24"/>
        </w:rPr>
      </w:pPr>
      <w:r>
        <w:rPr>
          <w:rFonts w:hint="eastAsia" w:ascii="宋体" w:hAnsi="宋体"/>
          <w:b/>
          <w:sz w:val="24"/>
          <w:szCs w:val="24"/>
        </w:rPr>
        <w:t>2.项目概况与招标范围</w:t>
      </w:r>
    </w:p>
    <w:p w14:paraId="2C40817C">
      <w:pPr>
        <w:spacing w:line="360" w:lineRule="auto"/>
        <w:ind w:firstLine="420" w:firstLineChars="200"/>
        <w:jc w:val="both"/>
        <w:rPr>
          <w:rFonts w:hint="eastAsia" w:ascii="宋体" w:hAnsi="宋体" w:eastAsia="宋体"/>
          <w:sz w:val="21"/>
          <w:szCs w:val="21"/>
          <w:lang w:eastAsia="zh-CN"/>
        </w:rPr>
      </w:pPr>
      <w:r>
        <w:rPr>
          <w:rFonts w:hint="eastAsia" w:ascii="宋体" w:hAnsi="宋体"/>
          <w:sz w:val="21"/>
          <w:szCs w:val="21"/>
        </w:rPr>
        <w:t>2.1招标编号：</w:t>
      </w:r>
      <w:r>
        <w:rPr>
          <w:rFonts w:hint="eastAsia" w:ascii="宋体" w:hAnsi="宋体"/>
          <w:sz w:val="21"/>
          <w:szCs w:val="21"/>
          <w:lang w:eastAsia="zh-CN"/>
        </w:rPr>
        <w:t>C53A00525001005</w:t>
      </w:r>
    </w:p>
    <w:p w14:paraId="41B429CB">
      <w:pPr>
        <w:spacing w:line="360" w:lineRule="auto"/>
        <w:ind w:firstLine="420" w:firstLineChars="200"/>
        <w:jc w:val="both"/>
        <w:rPr>
          <w:rFonts w:ascii="宋体" w:hAnsi="宋体"/>
          <w:sz w:val="21"/>
          <w:szCs w:val="21"/>
        </w:rPr>
      </w:pPr>
      <w:r>
        <w:rPr>
          <w:rFonts w:hint="eastAsia" w:ascii="宋体" w:hAnsi="宋体"/>
          <w:sz w:val="21"/>
          <w:szCs w:val="21"/>
        </w:rPr>
        <w:t>2.</w:t>
      </w:r>
      <w:r>
        <w:rPr>
          <w:rFonts w:ascii="宋体" w:hAnsi="宋体"/>
          <w:sz w:val="21"/>
          <w:szCs w:val="21"/>
        </w:rPr>
        <w:t>2</w:t>
      </w:r>
      <w:r>
        <w:rPr>
          <w:rFonts w:hint="eastAsia" w:ascii="宋体" w:hAnsi="宋体"/>
          <w:sz w:val="21"/>
          <w:szCs w:val="21"/>
        </w:rPr>
        <w:t>项目名称：曲靖卷烟厂智能工厂建设（智能生产、数字能源）项目。</w:t>
      </w:r>
    </w:p>
    <w:p w14:paraId="37B42FFB">
      <w:pPr>
        <w:spacing w:line="360" w:lineRule="auto"/>
        <w:ind w:firstLine="420" w:firstLineChars="200"/>
        <w:jc w:val="both"/>
        <w:rPr>
          <w:rFonts w:ascii="宋体" w:hAnsi="宋体"/>
          <w:sz w:val="21"/>
          <w:szCs w:val="21"/>
        </w:rPr>
      </w:pPr>
      <w:r>
        <w:rPr>
          <w:rFonts w:hint="eastAsia" w:ascii="宋体" w:hAnsi="宋体"/>
          <w:sz w:val="21"/>
          <w:szCs w:val="21"/>
        </w:rPr>
        <w:t>2.3项目工期：合同签订后，自招标人发出开工通知书之日起，累计330日历天内完成设备设施及材料供货、安装调试、软件设计开发调试、系统上线试运行等全部工作，系统上线试运行周期为三个月。</w:t>
      </w:r>
    </w:p>
    <w:p w14:paraId="16A184DB">
      <w:pPr>
        <w:spacing w:line="360" w:lineRule="auto"/>
        <w:ind w:firstLine="420" w:firstLineChars="200"/>
        <w:jc w:val="both"/>
        <w:rPr>
          <w:rFonts w:ascii="宋体" w:hAnsi="宋体"/>
          <w:sz w:val="21"/>
          <w:szCs w:val="21"/>
        </w:rPr>
      </w:pPr>
      <w:r>
        <w:rPr>
          <w:rFonts w:hint="eastAsia" w:ascii="宋体" w:hAnsi="宋体"/>
          <w:sz w:val="21"/>
          <w:szCs w:val="21"/>
        </w:rPr>
        <w:t>2.4招标范围：</w:t>
      </w:r>
    </w:p>
    <w:p w14:paraId="4D7282C6">
      <w:pPr>
        <w:spacing w:line="360" w:lineRule="auto"/>
        <w:ind w:firstLine="420" w:firstLineChars="200"/>
        <w:jc w:val="both"/>
        <w:rPr>
          <w:rFonts w:ascii="宋体" w:hAnsi="宋体"/>
          <w:sz w:val="21"/>
          <w:szCs w:val="21"/>
          <w:highlight w:val="yellow"/>
        </w:rPr>
      </w:pPr>
      <w:r>
        <w:rPr>
          <w:rFonts w:hint="eastAsia" w:ascii="宋体" w:hAnsi="宋体"/>
          <w:sz w:val="21"/>
          <w:szCs w:val="21"/>
        </w:rPr>
        <w:t>2.4.1项目建设内容：</w:t>
      </w:r>
    </w:p>
    <w:p w14:paraId="3D0FCF21">
      <w:pPr>
        <w:spacing w:line="360" w:lineRule="auto"/>
        <w:ind w:firstLine="420" w:firstLineChars="200"/>
        <w:jc w:val="both"/>
        <w:rPr>
          <w:rFonts w:ascii="宋体" w:hAnsi="宋体"/>
          <w:sz w:val="21"/>
          <w:szCs w:val="21"/>
        </w:rPr>
      </w:pPr>
      <w:r>
        <w:rPr>
          <w:rFonts w:hint="eastAsia" w:ascii="宋体" w:hAnsi="宋体"/>
          <w:sz w:val="21"/>
          <w:szCs w:val="21"/>
        </w:rPr>
        <w:t>2.4.1.1技术工具升级：购置一套优质视觉算法软件和配套使用授权。</w:t>
      </w:r>
    </w:p>
    <w:p w14:paraId="2289FFBB">
      <w:pPr>
        <w:spacing w:line="360" w:lineRule="auto"/>
        <w:ind w:firstLine="420" w:firstLineChars="200"/>
        <w:jc w:val="both"/>
        <w:rPr>
          <w:rFonts w:ascii="宋体" w:hAnsi="宋体"/>
          <w:sz w:val="21"/>
          <w:szCs w:val="21"/>
        </w:rPr>
      </w:pPr>
      <w:r>
        <w:rPr>
          <w:rFonts w:hint="eastAsia" w:ascii="宋体" w:hAnsi="宋体"/>
          <w:sz w:val="21"/>
          <w:szCs w:val="21"/>
        </w:rPr>
        <w:t>2.4.1.2基于二维码的创新应用：建设基于二维码的涉烟废弃物监管应用，建设烟叶平台二维码完整性校验模块。</w:t>
      </w:r>
    </w:p>
    <w:p w14:paraId="23245B23">
      <w:pPr>
        <w:spacing w:line="360" w:lineRule="auto"/>
        <w:ind w:firstLine="420" w:firstLineChars="200"/>
        <w:jc w:val="both"/>
        <w:rPr>
          <w:rFonts w:ascii="宋体" w:hAnsi="宋体"/>
          <w:sz w:val="21"/>
          <w:szCs w:val="21"/>
        </w:rPr>
      </w:pPr>
      <w:r>
        <w:rPr>
          <w:rFonts w:hint="eastAsia" w:ascii="宋体" w:hAnsi="宋体"/>
          <w:sz w:val="21"/>
          <w:szCs w:val="21"/>
        </w:rPr>
        <w:t>2.4.1.3制丝车间一条产线智能优化升级：在制丝AB线实施基于视觉检测的制丝质量管控模块。在制丝A线实施基于数据协同的制丝关键主机设备健康状态监测模块。</w:t>
      </w:r>
    </w:p>
    <w:p w14:paraId="44C91C04">
      <w:pPr>
        <w:spacing w:line="360" w:lineRule="auto"/>
        <w:ind w:firstLine="420" w:firstLineChars="200"/>
        <w:jc w:val="both"/>
        <w:rPr>
          <w:rFonts w:ascii="宋体" w:hAnsi="宋体"/>
          <w:sz w:val="21"/>
          <w:szCs w:val="21"/>
        </w:rPr>
      </w:pPr>
      <w:r>
        <w:rPr>
          <w:rFonts w:hint="eastAsia" w:ascii="宋体" w:hAnsi="宋体"/>
          <w:sz w:val="21"/>
          <w:szCs w:val="21"/>
        </w:rPr>
        <w:t>2.4.1.4卷包车间一条中支产线智能优化升级：在5台卷包设备上实施卷包设备运行状态在线监测模块；在部分卷包设备上实施单机质量管控系统；进行工厂智能制造能力成熟度诊断与优化。</w:t>
      </w:r>
    </w:p>
    <w:p w14:paraId="7244982C">
      <w:pPr>
        <w:spacing w:line="360" w:lineRule="auto"/>
        <w:jc w:val="both"/>
        <w:rPr>
          <w:rFonts w:ascii="宋体" w:hAnsi="宋体"/>
          <w:sz w:val="21"/>
          <w:szCs w:val="21"/>
        </w:rPr>
      </w:pPr>
      <w:r>
        <w:rPr>
          <w:rFonts w:hint="eastAsia" w:ascii="宋体" w:hAnsi="宋体"/>
          <w:sz w:val="21"/>
          <w:szCs w:val="21"/>
        </w:rPr>
        <w:t xml:space="preserve">    2.4.1.5数字能源建设：按三级计量的要求完善部分计量设备，对能源管理系统设备及数采站升级，对动力能源管理系统升级及功能拓展。</w:t>
      </w:r>
    </w:p>
    <w:p w14:paraId="4C8EBE34">
      <w:pPr>
        <w:spacing w:line="360" w:lineRule="auto"/>
        <w:ind w:firstLine="420" w:firstLineChars="200"/>
        <w:jc w:val="both"/>
        <w:rPr>
          <w:rFonts w:ascii="宋体" w:hAnsi="宋体"/>
          <w:sz w:val="21"/>
          <w:szCs w:val="21"/>
        </w:rPr>
      </w:pPr>
      <w:r>
        <w:rPr>
          <w:rFonts w:hint="eastAsia" w:ascii="宋体" w:hAnsi="宋体"/>
          <w:sz w:val="21"/>
          <w:szCs w:val="21"/>
        </w:rPr>
        <w:t>2.4.2完成以上建设内容的方案设计、软件采购及开发、设备及材料供货、包装、运输、保险、装卸、拆除及搬运（包括旧设备）、安装、调试、集成、交验、培训、技术资料和售后服务等。具体内容及数量详见第五章“技术标准和要求”。</w:t>
      </w:r>
    </w:p>
    <w:p w14:paraId="1B23B23A">
      <w:pPr>
        <w:spacing w:line="360" w:lineRule="auto"/>
        <w:ind w:firstLine="420" w:firstLineChars="200"/>
        <w:jc w:val="both"/>
        <w:rPr>
          <w:rFonts w:ascii="宋体" w:hAnsi="宋体"/>
          <w:sz w:val="21"/>
          <w:szCs w:val="21"/>
        </w:rPr>
      </w:pPr>
      <w:r>
        <w:rPr>
          <w:rFonts w:hint="eastAsia" w:ascii="宋体" w:hAnsi="宋体"/>
          <w:sz w:val="21"/>
          <w:szCs w:val="21"/>
        </w:rPr>
        <w:t>2.5质量要求：符合国家相关标准要求，满足本招标文件的技术标准及验收相关要求。</w:t>
      </w:r>
    </w:p>
    <w:p w14:paraId="43790CAC">
      <w:pPr>
        <w:spacing w:line="360" w:lineRule="auto"/>
        <w:ind w:firstLine="420" w:firstLineChars="200"/>
        <w:jc w:val="both"/>
        <w:rPr>
          <w:rFonts w:ascii="宋体" w:hAnsi="宋体"/>
          <w:sz w:val="21"/>
          <w:szCs w:val="21"/>
        </w:rPr>
      </w:pPr>
      <w:r>
        <w:rPr>
          <w:rFonts w:hint="eastAsia" w:ascii="宋体" w:hAnsi="宋体"/>
          <w:sz w:val="21"/>
          <w:szCs w:val="21"/>
        </w:rPr>
        <w:t>2.6质保期：项目竣工验收合格之日起，不低于</w:t>
      </w:r>
      <w:r>
        <w:rPr>
          <w:rFonts w:hint="eastAsia" w:ascii="宋体" w:hAnsi="宋体"/>
          <w:sz w:val="21"/>
          <w:szCs w:val="21"/>
          <w:u w:val="single"/>
        </w:rPr>
        <w:t>2</w:t>
      </w:r>
      <w:r>
        <w:rPr>
          <w:rFonts w:hint="eastAsia" w:ascii="宋体" w:hAnsi="宋体"/>
          <w:sz w:val="21"/>
          <w:szCs w:val="21"/>
        </w:rPr>
        <w:t>年。</w:t>
      </w:r>
    </w:p>
    <w:p w14:paraId="15E805C4">
      <w:pPr>
        <w:spacing w:line="360" w:lineRule="auto"/>
        <w:ind w:firstLine="420" w:firstLineChars="200"/>
        <w:jc w:val="both"/>
        <w:rPr>
          <w:rFonts w:ascii="宋体" w:hAnsi="宋体"/>
          <w:sz w:val="21"/>
          <w:szCs w:val="21"/>
        </w:rPr>
      </w:pPr>
      <w:r>
        <w:rPr>
          <w:rFonts w:hint="eastAsia" w:ascii="宋体" w:hAnsi="宋体"/>
          <w:sz w:val="21"/>
          <w:szCs w:val="21"/>
        </w:rPr>
        <w:t>2.7项目实施地点：曲靖卷烟厂指定地点。</w:t>
      </w:r>
    </w:p>
    <w:p w14:paraId="0131FD89">
      <w:pPr>
        <w:spacing w:line="360" w:lineRule="auto"/>
        <w:ind w:firstLine="420" w:firstLineChars="200"/>
        <w:jc w:val="both"/>
        <w:rPr>
          <w:rFonts w:ascii="宋体" w:hAnsi="宋体"/>
          <w:sz w:val="21"/>
          <w:szCs w:val="21"/>
        </w:rPr>
      </w:pPr>
      <w:r>
        <w:rPr>
          <w:rFonts w:hint="eastAsia" w:ascii="宋体" w:hAnsi="宋体"/>
          <w:sz w:val="21"/>
          <w:szCs w:val="21"/>
        </w:rPr>
        <w:t>2.8标段划分：本项目不划分标段。</w:t>
      </w:r>
    </w:p>
    <w:p w14:paraId="75D80F43">
      <w:pPr>
        <w:spacing w:line="360" w:lineRule="auto"/>
        <w:ind w:firstLine="420" w:firstLineChars="200"/>
        <w:jc w:val="both"/>
        <w:rPr>
          <w:rFonts w:ascii="宋体" w:hAnsi="宋体"/>
          <w:sz w:val="21"/>
          <w:szCs w:val="21"/>
        </w:rPr>
      </w:pPr>
      <w:r>
        <w:rPr>
          <w:rFonts w:hint="eastAsia" w:ascii="宋体" w:hAnsi="宋体"/>
          <w:sz w:val="21"/>
          <w:szCs w:val="21"/>
        </w:rPr>
        <w:t>2.9资格审查方式：资格后审。</w:t>
      </w:r>
    </w:p>
    <w:p w14:paraId="7CCE7AC5">
      <w:pPr>
        <w:spacing w:line="360" w:lineRule="auto"/>
        <w:ind w:firstLine="420" w:firstLineChars="200"/>
        <w:jc w:val="both"/>
        <w:rPr>
          <w:rFonts w:ascii="宋体" w:hAnsi="宋体"/>
          <w:sz w:val="21"/>
          <w:szCs w:val="21"/>
          <w:highlight w:val="yellow"/>
        </w:rPr>
      </w:pPr>
    </w:p>
    <w:p w14:paraId="1848BF7F">
      <w:pPr>
        <w:spacing w:line="360" w:lineRule="auto"/>
        <w:jc w:val="both"/>
        <w:rPr>
          <w:rFonts w:ascii="宋体" w:hAnsi="宋体"/>
          <w:b/>
          <w:sz w:val="24"/>
          <w:szCs w:val="24"/>
        </w:rPr>
      </w:pPr>
      <w:r>
        <w:rPr>
          <w:rFonts w:hint="eastAsia" w:ascii="宋体" w:hAnsi="宋体"/>
          <w:b/>
          <w:sz w:val="24"/>
          <w:szCs w:val="24"/>
        </w:rPr>
        <w:t>3.投标人资格要求</w:t>
      </w:r>
    </w:p>
    <w:p w14:paraId="0FAB0FCF">
      <w:pPr>
        <w:spacing w:line="360" w:lineRule="auto"/>
        <w:ind w:firstLine="424" w:firstLineChars="202"/>
        <w:jc w:val="both"/>
        <w:rPr>
          <w:rFonts w:hint="eastAsia" w:ascii="宋体" w:hAnsi="宋体"/>
          <w:bCs/>
          <w:kern w:val="2"/>
          <w:sz w:val="21"/>
          <w:szCs w:val="21"/>
        </w:rPr>
      </w:pPr>
      <w:r>
        <w:rPr>
          <w:rFonts w:ascii="宋体" w:hAnsi="宋体"/>
          <w:sz w:val="21"/>
          <w:szCs w:val="21"/>
        </w:rPr>
        <w:t>3.1</w:t>
      </w:r>
      <w:r>
        <w:rPr>
          <w:rFonts w:hint="eastAsia" w:ascii="宋体" w:hAnsi="宋体"/>
          <w:bCs/>
          <w:kern w:val="2"/>
          <w:sz w:val="21"/>
          <w:szCs w:val="21"/>
        </w:rPr>
        <w:t>投标人须为中华人民共和国境内依法成立的法人或其他组织，具备有效的营业执照或事业单位法人证书或其他类似的法定证明文件。</w:t>
      </w:r>
    </w:p>
    <w:p w14:paraId="723242D8">
      <w:pPr>
        <w:spacing w:line="360" w:lineRule="auto"/>
        <w:ind w:firstLine="424" w:firstLineChars="202"/>
        <w:jc w:val="both"/>
        <w:rPr>
          <w:rFonts w:ascii="宋体" w:hAnsi="宋体"/>
          <w:bCs/>
          <w:kern w:val="2"/>
          <w:sz w:val="21"/>
          <w:szCs w:val="21"/>
        </w:rPr>
      </w:pPr>
      <w:r>
        <w:rPr>
          <w:rFonts w:hint="eastAsia" w:ascii="宋体" w:hAnsi="宋体"/>
          <w:bCs/>
          <w:kern w:val="2"/>
          <w:sz w:val="21"/>
          <w:szCs w:val="21"/>
        </w:rPr>
        <w:t>3.2财务要求：提供</w:t>
      </w:r>
      <w:r>
        <w:rPr>
          <w:rFonts w:ascii="宋体" w:hAnsi="宋体"/>
          <w:bCs/>
          <w:kern w:val="2"/>
          <w:sz w:val="21"/>
          <w:szCs w:val="21"/>
        </w:rPr>
        <w:t>20</w:t>
      </w:r>
      <w:r>
        <w:rPr>
          <w:rFonts w:hint="eastAsia" w:ascii="宋体" w:hAnsi="宋体"/>
          <w:bCs/>
          <w:kern w:val="2"/>
          <w:sz w:val="21"/>
          <w:szCs w:val="21"/>
        </w:rPr>
        <w:t>22</w:t>
      </w:r>
      <w:r>
        <w:rPr>
          <w:rFonts w:ascii="宋体" w:hAnsi="宋体"/>
          <w:bCs/>
          <w:kern w:val="2"/>
          <w:sz w:val="21"/>
          <w:szCs w:val="21"/>
        </w:rPr>
        <w:t>～202</w:t>
      </w:r>
      <w:r>
        <w:rPr>
          <w:rFonts w:hint="eastAsia" w:ascii="宋体" w:hAnsi="宋体"/>
          <w:bCs/>
          <w:kern w:val="2"/>
          <w:sz w:val="21"/>
          <w:szCs w:val="21"/>
        </w:rPr>
        <w:t>4年经会计师事务所或第三方审计的审计报告及财务报表（至少包括资产负债表、现金流量表、利润表/损益表）（若2024年审计报告未出的则提供2021-2023年的）。【若成立不足3年的则提供成立至今的经会计师事务所或第三方审计的审计报告及财务报表（包括资产负债表、现金流量表、利润表/损益表）；若为2024年及以后新成立公司，可提供公司内部自行编制的财务报表或银行开具的资信证明文件或银行开具的资金证明文件】。</w:t>
      </w:r>
    </w:p>
    <w:p w14:paraId="0D3B42A5">
      <w:pPr>
        <w:spacing w:line="360" w:lineRule="auto"/>
        <w:ind w:firstLine="424" w:firstLineChars="202"/>
        <w:jc w:val="both"/>
        <w:rPr>
          <w:rFonts w:ascii="宋体" w:hAnsi="宋体"/>
          <w:sz w:val="21"/>
          <w:szCs w:val="21"/>
        </w:rPr>
      </w:pPr>
      <w:r>
        <w:rPr>
          <w:rFonts w:ascii="宋体" w:hAnsi="宋体"/>
          <w:sz w:val="21"/>
          <w:szCs w:val="21"/>
        </w:rPr>
        <w:t>3.</w:t>
      </w:r>
      <w:r>
        <w:rPr>
          <w:rFonts w:hint="eastAsia" w:ascii="宋体" w:hAnsi="宋体"/>
          <w:sz w:val="21"/>
          <w:szCs w:val="21"/>
        </w:rPr>
        <w:t>3信誉要求：</w:t>
      </w:r>
    </w:p>
    <w:p w14:paraId="35787641">
      <w:pPr>
        <w:spacing w:line="360" w:lineRule="auto"/>
        <w:ind w:firstLine="424" w:firstLineChars="202"/>
        <w:jc w:val="both"/>
        <w:rPr>
          <w:rFonts w:ascii="宋体" w:hAnsi="宋体"/>
          <w:sz w:val="21"/>
          <w:szCs w:val="21"/>
        </w:rPr>
      </w:pPr>
      <w:r>
        <w:rPr>
          <w:rFonts w:hint="eastAsia" w:ascii="宋体" w:hAnsi="宋体"/>
          <w:sz w:val="21"/>
          <w:szCs w:val="21"/>
        </w:rPr>
        <w:t>①投标单位及其法定代表人、主要负责人和行贿人被正式列入中国烟草总公司或中国烟草总公司转发的行业其他工商企业、云南中烟“存在行贿行为供应商名单”的，不得参加本项目投标。在禁入期限内，上述人员担任法定代表人、主要负责人或实际控制人的其他企业，均不得参加本项目投标（由招标</w:t>
      </w:r>
      <w:r>
        <w:rPr>
          <w:rFonts w:ascii="宋体" w:hAnsi="宋体"/>
          <w:sz w:val="21"/>
          <w:szCs w:val="21"/>
        </w:rPr>
        <w:t>代理机构</w:t>
      </w:r>
      <w:r>
        <w:rPr>
          <w:rFonts w:hint="eastAsia" w:ascii="宋体" w:hAnsi="宋体"/>
          <w:sz w:val="21"/>
          <w:szCs w:val="21"/>
        </w:rPr>
        <w:t>查询，并提交评标委员会评审）。</w:t>
      </w:r>
    </w:p>
    <w:p w14:paraId="695D6BEF">
      <w:pPr>
        <w:spacing w:line="360" w:lineRule="auto"/>
        <w:ind w:firstLine="424" w:firstLineChars="202"/>
        <w:jc w:val="both"/>
        <w:rPr>
          <w:rFonts w:ascii="宋体" w:hAnsi="宋体"/>
          <w:sz w:val="21"/>
          <w:szCs w:val="21"/>
        </w:rPr>
      </w:pPr>
      <w:r>
        <w:rPr>
          <w:rFonts w:hint="eastAsia" w:ascii="宋体" w:hAnsi="宋体"/>
          <w:sz w:val="21"/>
          <w:szCs w:val="21"/>
        </w:rPr>
        <w:t>②投标单位在《国家企业信用信息公示系统》上未被列入严重违法失信名单（黑名单）信息；未被《信用中国》列入严重失信主体名单、重大税收违法失信主体；（由招标代理机构在项目评审当天进行查询，并提交评标委员会评审）。</w:t>
      </w:r>
    </w:p>
    <w:p w14:paraId="4002A53D">
      <w:pPr>
        <w:spacing w:line="360" w:lineRule="auto"/>
        <w:ind w:firstLine="424" w:firstLineChars="202"/>
        <w:jc w:val="both"/>
        <w:rPr>
          <w:rFonts w:ascii="宋体" w:hAnsi="宋体"/>
          <w:sz w:val="21"/>
          <w:szCs w:val="21"/>
        </w:rPr>
      </w:pPr>
      <w:r>
        <w:rPr>
          <w:rFonts w:hint="eastAsia" w:ascii="宋体" w:hAnsi="宋体"/>
          <w:sz w:val="21"/>
          <w:szCs w:val="21"/>
        </w:rPr>
        <w:t>③投标单位自2022年1月1日至今未被依法暂停或者取消投标资格；未被责令停产停业、暂扣或者吊销许可证、暂扣或者吊销执照；未进入清算程序或被宣告破产或其他丧失履约能力的情形（提供承诺书）。</w:t>
      </w:r>
    </w:p>
    <w:p w14:paraId="4089E0D7">
      <w:pPr>
        <w:spacing w:line="360" w:lineRule="auto"/>
        <w:ind w:firstLine="424" w:firstLineChars="202"/>
        <w:jc w:val="both"/>
        <w:rPr>
          <w:rFonts w:ascii="宋体" w:hAnsi="宋体"/>
          <w:sz w:val="21"/>
          <w:szCs w:val="21"/>
        </w:rPr>
      </w:pPr>
      <w:r>
        <w:rPr>
          <w:rFonts w:hint="eastAsia" w:ascii="宋体" w:hAnsi="宋体"/>
          <w:sz w:val="21"/>
          <w:szCs w:val="21"/>
        </w:rPr>
        <w:t>④与招标人存在利害关系可能影响招标公正性的法人、其他组织或者个人，不得参加投标。投标单位负责人为同一人或者存在控股、管理关系的不同单位，不得参加同一标段投标或者未划分标段的同一招标项目投标。违反本条规定的，相关投标均无效。（由招标代理机构通过“天眼查”等网站、软件进行查询，并将查询结果提交评标委员会评审）</w:t>
      </w:r>
    </w:p>
    <w:p w14:paraId="04835D1E">
      <w:pPr>
        <w:spacing w:line="360" w:lineRule="auto"/>
        <w:ind w:firstLine="424" w:firstLineChars="202"/>
        <w:jc w:val="both"/>
        <w:rPr>
          <w:rFonts w:ascii="宋体" w:hAnsi="宋体"/>
          <w:sz w:val="21"/>
          <w:szCs w:val="21"/>
        </w:rPr>
      </w:pPr>
      <w:r>
        <w:rPr>
          <w:rFonts w:hint="eastAsia" w:ascii="宋体" w:hAnsi="宋体"/>
          <w:sz w:val="21"/>
          <w:szCs w:val="21"/>
        </w:rPr>
        <w:t>⑤提供《廉洁诚信承诺书》、《与招标人/采购人干部职工不存在关联关系的承诺书》。</w:t>
      </w:r>
    </w:p>
    <w:p w14:paraId="3E98068A">
      <w:pPr>
        <w:spacing w:line="360" w:lineRule="auto"/>
        <w:ind w:firstLine="424" w:firstLineChars="202"/>
        <w:jc w:val="both"/>
        <w:rPr>
          <w:rFonts w:ascii="宋体" w:hAnsi="宋体"/>
          <w:sz w:val="21"/>
          <w:szCs w:val="21"/>
        </w:rPr>
      </w:pPr>
      <w:r>
        <w:rPr>
          <w:rFonts w:ascii="宋体" w:hAnsi="宋体"/>
          <w:sz w:val="21"/>
          <w:szCs w:val="21"/>
        </w:rPr>
        <w:t>3.</w:t>
      </w:r>
      <w:r>
        <w:rPr>
          <w:rFonts w:hint="eastAsia" w:ascii="宋体" w:hAnsi="宋体"/>
          <w:sz w:val="21"/>
          <w:szCs w:val="21"/>
        </w:rPr>
        <w:t>4本项目不接受联合体投标。</w:t>
      </w:r>
    </w:p>
    <w:p w14:paraId="693FB046">
      <w:pPr>
        <w:spacing w:line="360" w:lineRule="auto"/>
        <w:rPr>
          <w:rFonts w:ascii="宋体" w:hAnsi="宋体"/>
          <w:b/>
          <w:sz w:val="24"/>
          <w:szCs w:val="24"/>
        </w:rPr>
      </w:pPr>
      <w:r>
        <w:rPr>
          <w:rFonts w:hint="eastAsia" w:ascii="宋体" w:hAnsi="宋体"/>
          <w:b/>
          <w:sz w:val="24"/>
          <w:szCs w:val="24"/>
        </w:rPr>
        <w:t>4.招标文件的获取</w:t>
      </w:r>
    </w:p>
    <w:p w14:paraId="4B5A6CF5">
      <w:pPr>
        <w:spacing w:line="360" w:lineRule="auto"/>
        <w:ind w:firstLine="420" w:firstLineChars="200"/>
        <w:jc w:val="both"/>
        <w:rPr>
          <w:rFonts w:ascii="宋体" w:hAnsi="宋体"/>
          <w:sz w:val="21"/>
          <w:szCs w:val="21"/>
          <w:highlight w:val="none"/>
        </w:rPr>
      </w:pPr>
      <w:r>
        <w:rPr>
          <w:rFonts w:hint="eastAsia" w:ascii="宋体" w:hAnsi="宋体"/>
          <w:sz w:val="21"/>
          <w:szCs w:val="21"/>
          <w:highlight w:val="none"/>
        </w:rPr>
        <w:t>4.1凡有意参加投标者，请于2025年</w:t>
      </w:r>
      <w:r>
        <w:rPr>
          <w:rFonts w:hint="eastAsia" w:ascii="宋体" w:hAnsi="宋体"/>
          <w:sz w:val="21"/>
          <w:szCs w:val="21"/>
          <w:highlight w:val="none"/>
          <w:lang w:val="en-US" w:eastAsia="zh-CN"/>
        </w:rPr>
        <w:t>01</w:t>
      </w:r>
      <w:r>
        <w:rPr>
          <w:rFonts w:hint="eastAsia" w:ascii="宋体" w:hAnsi="宋体"/>
          <w:sz w:val="21"/>
          <w:szCs w:val="21"/>
          <w:highlight w:val="none"/>
        </w:rPr>
        <w:t>月</w:t>
      </w:r>
      <w:r>
        <w:rPr>
          <w:rFonts w:hint="eastAsia" w:ascii="宋体" w:hAnsi="宋体"/>
          <w:sz w:val="21"/>
          <w:szCs w:val="21"/>
          <w:highlight w:val="none"/>
          <w:lang w:val="en-US" w:eastAsia="zh-CN"/>
        </w:rPr>
        <w:t>24</w:t>
      </w:r>
      <w:r>
        <w:rPr>
          <w:rFonts w:hint="eastAsia" w:ascii="宋体" w:hAnsi="宋体"/>
          <w:sz w:val="21"/>
          <w:szCs w:val="21"/>
          <w:highlight w:val="none"/>
        </w:rPr>
        <w:t>日至2025年</w:t>
      </w:r>
      <w:r>
        <w:rPr>
          <w:rFonts w:hint="eastAsia" w:ascii="宋体" w:hAnsi="宋体"/>
          <w:sz w:val="21"/>
          <w:szCs w:val="21"/>
          <w:highlight w:val="none"/>
          <w:lang w:val="en-US" w:eastAsia="zh-CN"/>
        </w:rPr>
        <w:t>02</w:t>
      </w:r>
      <w:r>
        <w:rPr>
          <w:rFonts w:hint="eastAsia" w:ascii="宋体" w:hAnsi="宋体"/>
          <w:sz w:val="21"/>
          <w:szCs w:val="21"/>
          <w:highlight w:val="none"/>
        </w:rPr>
        <w:t>月</w:t>
      </w:r>
      <w:r>
        <w:rPr>
          <w:rFonts w:hint="eastAsia" w:ascii="宋体" w:hAnsi="宋体"/>
          <w:sz w:val="21"/>
          <w:szCs w:val="21"/>
          <w:highlight w:val="none"/>
          <w:lang w:val="en-US" w:eastAsia="zh-CN"/>
        </w:rPr>
        <w:t>07</w:t>
      </w:r>
      <w:r>
        <w:rPr>
          <w:rFonts w:hint="eastAsia" w:ascii="宋体" w:hAnsi="宋体"/>
          <w:sz w:val="21"/>
          <w:szCs w:val="21"/>
          <w:highlight w:val="none"/>
        </w:rPr>
        <w:t>日（法定公休日、法定节假日除外），每日上午8:30时至11:30时，下午13:30时至17:30时（北京时间）获取招标文件</w:t>
      </w:r>
      <w:r>
        <w:rPr>
          <w:rFonts w:hint="eastAsia" w:ascii="宋体" w:hAnsi="宋体"/>
          <w:sz w:val="21"/>
          <w:szCs w:val="21"/>
          <w:highlight w:val="none"/>
          <w:lang w:eastAsia="zh-CN"/>
        </w:rPr>
        <w:t>。</w:t>
      </w:r>
      <w:r>
        <w:rPr>
          <w:rFonts w:hint="eastAsia" w:ascii="宋体" w:hAnsi="宋体"/>
          <w:sz w:val="21"/>
          <w:szCs w:val="21"/>
          <w:highlight w:val="none"/>
        </w:rPr>
        <w:t xml:space="preserve"> </w:t>
      </w:r>
    </w:p>
    <w:p w14:paraId="6712D2AF">
      <w:pPr>
        <w:snapToGrid w:val="0"/>
        <w:spacing w:line="360" w:lineRule="auto"/>
        <w:ind w:firstLine="420" w:firstLineChars="200"/>
        <w:jc w:val="both"/>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.2招标文件获取方式：按下列任意一种方式获取招标文件：</w:t>
      </w:r>
    </w:p>
    <w:p w14:paraId="5829820D">
      <w:pPr>
        <w:snapToGrid w:val="0"/>
        <w:spacing w:line="360" w:lineRule="auto"/>
        <w:ind w:firstLine="420" w:firstLineChars="200"/>
        <w:jc w:val="both"/>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w:t>
      </w:r>
      <w:r>
        <w:rPr>
          <w:rFonts w:ascii="宋体" w:hAnsi="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14:textFill>
            <w14:solidFill>
              <w14:schemeClr w14:val="tx1"/>
            </w14:solidFill>
          </w14:textFill>
        </w:rPr>
        <w:t>.1现场获取：现场获取招标文件时，携带单位介绍信或授权委托书、法人身份证明书、经办人身份证原件到昆明市人民西路328号云南招标股份有限公司办公楼4楼417室获取招标文件；</w:t>
      </w:r>
    </w:p>
    <w:p w14:paraId="4B6F1DF0">
      <w:pPr>
        <w:snapToGrid w:val="0"/>
        <w:spacing w:line="360" w:lineRule="auto"/>
        <w:ind w:firstLine="420" w:firstLineChars="200"/>
        <w:jc w:val="both"/>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w:t>
      </w:r>
      <w:r>
        <w:rPr>
          <w:rFonts w:ascii="宋体" w:hAnsi="宋体" w:cs="宋体"/>
          <w:color w:val="000000" w:themeColor="text1"/>
          <w:sz w:val="21"/>
          <w:szCs w:val="21"/>
          <w14:textFill>
            <w14:solidFill>
              <w14:schemeClr w14:val="tx1"/>
            </w14:solidFill>
          </w14:textFill>
        </w:rPr>
        <w:t>2</w:t>
      </w:r>
      <w:r>
        <w:rPr>
          <w:rFonts w:hint="eastAsia" w:ascii="宋体" w:hAnsi="宋体" w:cs="宋体"/>
          <w:color w:val="000000" w:themeColor="text1"/>
          <w:sz w:val="21"/>
          <w:szCs w:val="21"/>
          <w14:textFill>
            <w14:solidFill>
              <w14:schemeClr w14:val="tx1"/>
            </w14:solidFill>
          </w14:textFill>
        </w:rPr>
        <w:t>.2网上获取：先发邮件至310175818@qq.com，并在邮件中注明所获取招标文件的项目名称、项目编号、投标人名称、联系人、联系电话等重要信息（同时将单位介绍信或授权委托书扫描件、法人身份证明书扫描件、经办人身份证扫描件作为附件上传），招标代理机构再提供汇款账号信息，收到汇款凭证后，招标代理机构以邮件形式传送电子版招标文件；</w:t>
      </w:r>
    </w:p>
    <w:p w14:paraId="00DC6BA4">
      <w:pPr>
        <w:snapToGrid w:val="0"/>
        <w:spacing w:line="360" w:lineRule="auto"/>
        <w:ind w:firstLine="420" w:firstLineChars="200"/>
        <w:jc w:val="both"/>
        <w:rPr>
          <w:rFonts w:ascii="宋体" w:hAnsi="宋体" w:cs="宋体"/>
          <w:color w:val="000000" w:themeColor="text1"/>
          <w:sz w:val="21"/>
          <w:szCs w:val="21"/>
          <w14:textFill>
            <w14:solidFill>
              <w14:schemeClr w14:val="tx1"/>
            </w14:solidFill>
          </w14:textFill>
        </w:rPr>
      </w:pPr>
      <w:r>
        <w:rPr>
          <w:rFonts w:ascii="宋体" w:hAnsi="宋体" w:cs="宋体"/>
          <w:color w:val="000000" w:themeColor="text1"/>
          <w:sz w:val="21"/>
          <w:szCs w:val="21"/>
          <w14:textFill>
            <w14:solidFill>
              <w14:schemeClr w14:val="tx1"/>
            </w14:solidFill>
          </w14:textFill>
        </w:rPr>
        <w:t>4</w:t>
      </w:r>
      <w:r>
        <w:rPr>
          <w:rFonts w:hint="eastAsia" w:ascii="宋体" w:hAnsi="宋体" w:cs="宋体"/>
          <w:color w:val="000000" w:themeColor="text1"/>
          <w:sz w:val="21"/>
          <w:szCs w:val="21"/>
          <w14:textFill>
            <w14:solidFill>
              <w14:schemeClr w14:val="tx1"/>
            </w14:solidFill>
          </w14:textFill>
        </w:rPr>
        <w:t>.</w:t>
      </w:r>
      <w:r>
        <w:rPr>
          <w:rFonts w:ascii="宋体" w:hAnsi="宋体"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招标文件费用：300元/份，售后不退；</w:t>
      </w:r>
    </w:p>
    <w:p w14:paraId="231A11D3">
      <w:pPr>
        <w:spacing w:line="360" w:lineRule="auto"/>
        <w:rPr>
          <w:rFonts w:ascii="宋体" w:hAnsi="宋体"/>
          <w:b/>
          <w:sz w:val="24"/>
          <w:szCs w:val="24"/>
        </w:rPr>
      </w:pPr>
      <w:r>
        <w:rPr>
          <w:rFonts w:ascii="宋体" w:hAnsi="宋体"/>
          <w:b/>
          <w:sz w:val="24"/>
          <w:szCs w:val="24"/>
        </w:rPr>
        <w:t>5</w:t>
      </w:r>
      <w:r>
        <w:rPr>
          <w:rFonts w:hint="eastAsia" w:ascii="宋体" w:hAnsi="宋体"/>
          <w:b/>
          <w:sz w:val="24"/>
          <w:szCs w:val="24"/>
        </w:rPr>
        <w:t>．投标文件递交及开标时间、地点</w:t>
      </w:r>
    </w:p>
    <w:p w14:paraId="3A2A9BAD">
      <w:pPr>
        <w:pStyle w:val="339"/>
        <w:numPr>
          <w:ilvl w:val="255"/>
          <w:numId w:val="0"/>
        </w:num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.1投标文件递交时间：2025年</w:t>
      </w:r>
      <w:r>
        <w:rPr>
          <w:rFonts w:hint="eastAsia" w:ascii="宋体" w:hAnsi="宋体" w:cs="宋体"/>
          <w:color w:val="000000" w:themeColor="text1"/>
          <w:szCs w:val="21"/>
          <w:highlight w:val="none"/>
          <w:lang w:val="en-US" w:eastAsia="zh-CN"/>
          <w14:textFill>
            <w14:solidFill>
              <w14:schemeClr w14:val="tx1"/>
            </w14:solidFill>
          </w14:textFill>
        </w:rPr>
        <w:t>02</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18</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14:textFill>
            <w14:solidFill>
              <w14:schemeClr w14:val="tx1"/>
            </w14:solidFill>
          </w14:textFill>
        </w:rPr>
        <w:t>分至</w:t>
      </w: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14:textFill>
            <w14:solidFill>
              <w14:schemeClr w14:val="tx1"/>
            </w14:solidFill>
          </w14:textFill>
        </w:rPr>
        <w:t>分（北京时间）。</w:t>
      </w:r>
    </w:p>
    <w:p w14:paraId="0FA320E4">
      <w:pPr>
        <w:pStyle w:val="339"/>
        <w:numPr>
          <w:ilvl w:val="255"/>
          <w:numId w:val="0"/>
        </w:num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.2投标文件递交的截止时间：2025年</w:t>
      </w:r>
      <w:r>
        <w:rPr>
          <w:rFonts w:hint="eastAsia" w:ascii="宋体" w:hAnsi="宋体" w:cs="宋体"/>
          <w:color w:val="000000" w:themeColor="text1"/>
          <w:szCs w:val="21"/>
          <w:highlight w:val="none"/>
          <w:lang w:val="en-US" w:eastAsia="zh-CN"/>
          <w14:textFill>
            <w14:solidFill>
              <w14:schemeClr w14:val="tx1"/>
            </w14:solidFill>
          </w14:textFill>
        </w:rPr>
        <w:t>02</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18</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14:textFill>
            <w14:solidFill>
              <w14:schemeClr w14:val="tx1"/>
            </w14:solidFill>
          </w14:textFill>
        </w:rPr>
        <w:t>分。</w:t>
      </w:r>
    </w:p>
    <w:p w14:paraId="00318F51">
      <w:pPr>
        <w:pStyle w:val="339"/>
        <w:numPr>
          <w:ilvl w:val="255"/>
          <w:numId w:val="0"/>
        </w:num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.3投标文件递交地点：昆明市五华区人民西路328号，云南招标股份有限公司综合楼三楼多功能厅。</w:t>
      </w:r>
    </w:p>
    <w:p w14:paraId="0853CAA8">
      <w:pPr>
        <w:pStyle w:val="339"/>
        <w:numPr>
          <w:ilvl w:val="255"/>
          <w:numId w:val="0"/>
        </w:num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.4开标时间：2025年</w:t>
      </w:r>
      <w:r>
        <w:rPr>
          <w:rFonts w:hint="eastAsia" w:ascii="宋体" w:hAnsi="宋体" w:cs="宋体"/>
          <w:color w:val="000000" w:themeColor="text1"/>
          <w:szCs w:val="21"/>
          <w:highlight w:val="none"/>
          <w:lang w:val="en-US" w:eastAsia="zh-CN"/>
          <w14:textFill>
            <w14:solidFill>
              <w14:schemeClr w14:val="tx1"/>
            </w14:solidFill>
          </w14:textFill>
        </w:rPr>
        <w:t>02</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18</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时</w:t>
      </w:r>
      <w:r>
        <w:rPr>
          <w:rFonts w:hint="eastAsia" w:ascii="宋体" w:hAnsi="宋体" w:cs="宋体"/>
          <w:color w:val="000000" w:themeColor="text1"/>
          <w:szCs w:val="21"/>
          <w:highlight w:val="none"/>
          <w:lang w:val="en-US" w:eastAsia="zh-CN"/>
          <w14:textFill>
            <w14:solidFill>
              <w14:schemeClr w14:val="tx1"/>
            </w14:solidFill>
          </w14:textFill>
        </w:rPr>
        <w:t>00</w:t>
      </w:r>
      <w:r>
        <w:rPr>
          <w:rFonts w:hint="eastAsia" w:ascii="宋体" w:hAnsi="宋体" w:cs="宋体"/>
          <w:color w:val="000000" w:themeColor="text1"/>
          <w:szCs w:val="21"/>
          <w:highlight w:val="none"/>
          <w14:textFill>
            <w14:solidFill>
              <w14:schemeClr w14:val="tx1"/>
            </w14:solidFill>
          </w14:textFill>
        </w:rPr>
        <w:t>分。</w:t>
      </w:r>
    </w:p>
    <w:p w14:paraId="1192334D">
      <w:pPr>
        <w:pStyle w:val="339"/>
        <w:numPr>
          <w:ilvl w:val="255"/>
          <w:numId w:val="0"/>
        </w:num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.5开标地点：昆明市五华区人民西路328号，云南招标股份有限公司综合楼三楼多功能厅。</w:t>
      </w:r>
    </w:p>
    <w:p w14:paraId="30C6CF88">
      <w:pPr>
        <w:pStyle w:val="339"/>
        <w:numPr>
          <w:ilvl w:val="255"/>
          <w:numId w:val="0"/>
        </w:num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.6逾期送达的或者未送达指定地点的投标文件，招标人不予受理。</w:t>
      </w:r>
    </w:p>
    <w:p w14:paraId="56145255">
      <w:pPr>
        <w:spacing w:line="360" w:lineRule="auto"/>
        <w:rPr>
          <w:rFonts w:ascii="宋体" w:hAnsi="宋体"/>
          <w:b/>
          <w:sz w:val="24"/>
          <w:szCs w:val="24"/>
        </w:rPr>
      </w:pPr>
      <w:r>
        <w:rPr>
          <w:rFonts w:ascii="宋体" w:hAnsi="宋体"/>
          <w:b/>
          <w:sz w:val="24"/>
          <w:szCs w:val="24"/>
        </w:rPr>
        <w:t>6</w:t>
      </w:r>
      <w:r>
        <w:rPr>
          <w:rFonts w:hint="eastAsia" w:ascii="宋体" w:hAnsi="宋体"/>
          <w:b/>
          <w:sz w:val="24"/>
          <w:szCs w:val="24"/>
        </w:rPr>
        <w:t>．发布公告的媒介</w:t>
      </w:r>
    </w:p>
    <w:p w14:paraId="64A778BB">
      <w:pPr>
        <w:spacing w:line="360" w:lineRule="auto"/>
        <w:ind w:firstLine="420" w:firstLineChars="200"/>
        <w:jc w:val="both"/>
        <w:rPr>
          <w:rFonts w:ascii="宋体" w:hAnsi="宋体"/>
          <w:sz w:val="21"/>
          <w:szCs w:val="21"/>
        </w:rPr>
      </w:pPr>
      <w:r>
        <w:rPr>
          <w:rFonts w:hint="eastAsia" w:ascii="宋体" w:hAnsi="宋体"/>
          <w:sz w:val="21"/>
          <w:szCs w:val="21"/>
        </w:rPr>
        <w:t>本次招标公告同时在采购与招标网（元博网）、中国招标投标公共服务平台、红云红河烟草（集团）有限责任公司官网上发布。招标人和招标人委托的本项目招标代理机构对其他网站或媒体转载的公告及公告内容不承担任何责任。</w:t>
      </w:r>
    </w:p>
    <w:p w14:paraId="07CF8B08">
      <w:pPr>
        <w:spacing w:line="360" w:lineRule="auto"/>
        <w:jc w:val="both"/>
        <w:rPr>
          <w:rFonts w:ascii="宋体" w:hAnsi="宋体"/>
          <w:b/>
          <w:sz w:val="24"/>
          <w:szCs w:val="24"/>
        </w:rPr>
      </w:pPr>
      <w:r>
        <w:rPr>
          <w:rFonts w:ascii="宋体" w:hAnsi="宋体"/>
          <w:b/>
          <w:sz w:val="24"/>
          <w:szCs w:val="24"/>
        </w:rPr>
        <w:t>8</w:t>
      </w:r>
      <w:r>
        <w:rPr>
          <w:rFonts w:hint="eastAsia" w:ascii="宋体" w:hAnsi="宋体"/>
          <w:b/>
          <w:sz w:val="24"/>
          <w:szCs w:val="24"/>
        </w:rPr>
        <w:t>．联系方式</w:t>
      </w:r>
    </w:p>
    <w:p w14:paraId="4015775D">
      <w:pPr>
        <w:spacing w:line="360" w:lineRule="auto"/>
        <w:ind w:firstLine="420"/>
        <w:rPr>
          <w:rFonts w:ascii="宋体" w:hAnsi="宋体"/>
          <w:sz w:val="21"/>
          <w:szCs w:val="21"/>
        </w:rPr>
      </w:pPr>
      <w:r>
        <w:rPr>
          <w:rFonts w:hint="eastAsia" w:ascii="宋体" w:hAnsi="宋体"/>
          <w:sz w:val="21"/>
          <w:szCs w:val="21"/>
        </w:rPr>
        <w:t>招 标 人：红云红河烟草（集团）有限责任公司</w:t>
      </w:r>
    </w:p>
    <w:p w14:paraId="1291133D">
      <w:pPr>
        <w:spacing w:line="360" w:lineRule="auto"/>
        <w:ind w:firstLine="420"/>
        <w:rPr>
          <w:rFonts w:ascii="宋体" w:hAnsi="宋体"/>
          <w:sz w:val="21"/>
          <w:szCs w:val="21"/>
        </w:rPr>
      </w:pPr>
      <w:r>
        <w:rPr>
          <w:rFonts w:hint="eastAsia" w:ascii="宋体" w:hAnsi="宋体"/>
          <w:sz w:val="21"/>
          <w:szCs w:val="21"/>
        </w:rPr>
        <w:t>地</w:t>
      </w:r>
      <w:r>
        <w:rPr>
          <w:rFonts w:ascii="宋体" w:hAnsi="宋体"/>
          <w:sz w:val="21"/>
          <w:szCs w:val="21"/>
        </w:rPr>
        <w:t xml:space="preserve">    </w:t>
      </w:r>
      <w:r>
        <w:rPr>
          <w:rFonts w:hint="eastAsia" w:ascii="宋体" w:hAnsi="宋体"/>
          <w:sz w:val="21"/>
          <w:szCs w:val="21"/>
        </w:rPr>
        <w:t>址：曲靖市麒麟区麒麟北路499号</w:t>
      </w:r>
    </w:p>
    <w:p w14:paraId="629BC694">
      <w:pPr>
        <w:tabs>
          <w:tab w:val="left" w:pos="7938"/>
        </w:tabs>
        <w:spacing w:line="360" w:lineRule="auto"/>
        <w:ind w:firstLine="420"/>
        <w:rPr>
          <w:rFonts w:ascii="宋体" w:hAnsi="宋体"/>
          <w:sz w:val="21"/>
          <w:szCs w:val="21"/>
        </w:rPr>
      </w:pPr>
    </w:p>
    <w:p w14:paraId="0D1DF72E">
      <w:pPr>
        <w:tabs>
          <w:tab w:val="left" w:pos="7938"/>
        </w:tabs>
        <w:spacing w:line="360" w:lineRule="auto"/>
        <w:ind w:firstLine="420"/>
        <w:rPr>
          <w:rFonts w:ascii="宋体" w:hAnsi="宋体"/>
          <w:sz w:val="21"/>
          <w:szCs w:val="21"/>
        </w:rPr>
      </w:pPr>
      <w:r>
        <w:rPr>
          <w:rFonts w:hint="eastAsia" w:ascii="宋体" w:hAnsi="宋体"/>
          <w:sz w:val="21"/>
          <w:szCs w:val="21"/>
        </w:rPr>
        <w:t>招标代理机构：云南招标股份有限公司</w:t>
      </w:r>
    </w:p>
    <w:p w14:paraId="51A06A44">
      <w:pPr>
        <w:spacing w:line="360" w:lineRule="auto"/>
        <w:ind w:firstLine="420"/>
        <w:rPr>
          <w:rFonts w:ascii="宋体" w:hAnsi="宋体"/>
          <w:sz w:val="21"/>
          <w:szCs w:val="21"/>
        </w:rPr>
      </w:pPr>
      <w:r>
        <w:rPr>
          <w:rFonts w:hint="eastAsia" w:ascii="宋体" w:hAnsi="宋体"/>
          <w:sz w:val="21"/>
          <w:szCs w:val="21"/>
        </w:rPr>
        <w:t>地    址：昆明市人民西路328号</w:t>
      </w:r>
    </w:p>
    <w:p w14:paraId="12198248">
      <w:pPr>
        <w:spacing w:line="360" w:lineRule="auto"/>
        <w:ind w:firstLine="420"/>
        <w:rPr>
          <w:rFonts w:ascii="宋体" w:hAnsi="宋体"/>
          <w:sz w:val="21"/>
          <w:szCs w:val="21"/>
        </w:rPr>
      </w:pPr>
      <w:r>
        <w:rPr>
          <w:rFonts w:hint="eastAsia" w:ascii="宋体" w:hAnsi="宋体"/>
          <w:sz w:val="21"/>
          <w:szCs w:val="21"/>
        </w:rPr>
        <w:t>邮    编：</w:t>
      </w:r>
      <w:r>
        <w:rPr>
          <w:rFonts w:ascii="宋体" w:hAnsi="宋体"/>
          <w:sz w:val="21"/>
          <w:szCs w:val="21"/>
        </w:rPr>
        <w:t>650106</w:t>
      </w:r>
    </w:p>
    <w:p w14:paraId="77A7B3E2">
      <w:pPr>
        <w:spacing w:line="360" w:lineRule="auto"/>
        <w:ind w:firstLine="420"/>
        <w:rPr>
          <w:rFonts w:ascii="宋体" w:hAnsi="宋体"/>
          <w:sz w:val="21"/>
          <w:szCs w:val="21"/>
        </w:rPr>
      </w:pPr>
      <w:r>
        <w:rPr>
          <w:rFonts w:hint="eastAsia" w:ascii="宋体" w:hAnsi="宋体"/>
          <w:sz w:val="21"/>
          <w:szCs w:val="21"/>
        </w:rPr>
        <w:t>联 系 人：谢工</w:t>
      </w:r>
    </w:p>
    <w:p w14:paraId="77ACD9FD">
      <w:pPr>
        <w:spacing w:line="360" w:lineRule="auto"/>
        <w:ind w:firstLine="420"/>
        <w:rPr>
          <w:rFonts w:ascii="宋体" w:hAnsi="宋体"/>
          <w:sz w:val="21"/>
          <w:szCs w:val="21"/>
        </w:rPr>
      </w:pPr>
      <w:r>
        <w:rPr>
          <w:rFonts w:hint="eastAsia" w:ascii="宋体" w:hAnsi="宋体"/>
          <w:sz w:val="21"/>
          <w:szCs w:val="21"/>
        </w:rPr>
        <w:t>电    话：0871-65425389</w:t>
      </w:r>
    </w:p>
    <w:p w14:paraId="3D33A689">
      <w:pPr>
        <w:spacing w:line="360" w:lineRule="auto"/>
        <w:ind w:firstLine="420"/>
        <w:rPr>
          <w:rFonts w:ascii="宋体" w:hAnsi="宋体"/>
          <w:sz w:val="21"/>
          <w:szCs w:val="21"/>
        </w:rPr>
      </w:pPr>
      <w:r>
        <w:rPr>
          <w:rFonts w:hint="eastAsia" w:ascii="宋体" w:hAnsi="宋体"/>
          <w:sz w:val="21"/>
          <w:szCs w:val="21"/>
        </w:rPr>
        <w:t>电子邮件：310175818</w:t>
      </w:r>
      <w:r>
        <w:rPr>
          <w:rFonts w:ascii="宋体" w:hAnsi="宋体"/>
          <w:sz w:val="21"/>
          <w:szCs w:val="21"/>
        </w:rPr>
        <w:t>@qq.com</w:t>
      </w:r>
    </w:p>
    <w:bookmarkEnd w:id="5"/>
    <w:p w14:paraId="0188B7B4">
      <w:pPr>
        <w:rPr>
          <w:rFonts w:ascii="宋体" w:hAnsi="宋体"/>
          <w:b/>
          <w:bCs/>
          <w:kern w:val="44"/>
          <w:sz w:val="36"/>
          <w:szCs w:val="36"/>
        </w:rPr>
      </w:pPr>
      <w:r>
        <w:rPr>
          <w:rFonts w:ascii="宋体" w:hAnsi="宋体"/>
          <w:sz w:val="36"/>
          <w:szCs w:val="36"/>
        </w:rPr>
        <w:br w:type="page"/>
      </w:r>
    </w:p>
    <w:p w14:paraId="74FC3760">
      <w:pPr>
        <w:pStyle w:val="4"/>
        <w:jc w:val="center"/>
        <w:rPr>
          <w:rFonts w:ascii="宋体" w:hAnsi="宋体"/>
          <w:sz w:val="36"/>
          <w:szCs w:val="36"/>
        </w:rPr>
      </w:pPr>
      <w:bookmarkStart w:id="6" w:name="_Toc10714"/>
      <w:r>
        <w:rPr>
          <w:rFonts w:hint="eastAsia" w:ascii="宋体" w:hAnsi="宋体"/>
          <w:sz w:val="36"/>
          <w:szCs w:val="36"/>
        </w:rPr>
        <w:t>第二章 投标人须知</w:t>
      </w:r>
      <w:bookmarkEnd w:id="6"/>
    </w:p>
    <w:p w14:paraId="0AE5468E">
      <w:pPr>
        <w:pStyle w:val="5"/>
        <w:spacing w:line="415" w:lineRule="auto"/>
        <w:jc w:val="center"/>
        <w:rPr>
          <w:rFonts w:ascii="宋体" w:hAnsi="宋体" w:eastAsia="宋体"/>
        </w:rPr>
      </w:pPr>
      <w:bookmarkStart w:id="7" w:name="_Toc229583199"/>
      <w:bookmarkStart w:id="8" w:name="_Toc103248594"/>
      <w:bookmarkStart w:id="9" w:name="_Toc18044"/>
      <w:bookmarkStart w:id="10" w:name="_Toc305846481"/>
      <w:bookmarkStart w:id="11" w:name="_Toc303168487"/>
      <w:bookmarkStart w:id="12" w:name="_Toc179715693"/>
      <w:bookmarkStart w:id="13" w:name="_Toc144974404"/>
      <w:bookmarkStart w:id="14" w:name="_Toc152047200"/>
      <w:r>
        <w:rPr>
          <w:rFonts w:hint="eastAsia" w:ascii="宋体" w:hAnsi="宋体" w:eastAsia="宋体"/>
        </w:rPr>
        <w:t>投标人须知前附表</w:t>
      </w:r>
      <w:bookmarkEnd w:id="7"/>
      <w:bookmarkEnd w:id="8"/>
      <w:bookmarkEnd w:id="9"/>
      <w:bookmarkEnd w:id="10"/>
      <w:bookmarkEnd w:id="11"/>
    </w:p>
    <w:tbl>
      <w:tblPr>
        <w:tblStyle w:val="62"/>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215"/>
        <w:gridCol w:w="6593"/>
      </w:tblGrid>
      <w:tr w14:paraId="58DC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0" w:type="dxa"/>
            <w:vAlign w:val="center"/>
          </w:tcPr>
          <w:p w14:paraId="18D06B2A">
            <w:pPr>
              <w:spacing w:line="360" w:lineRule="auto"/>
              <w:jc w:val="both"/>
              <w:rPr>
                <w:rFonts w:ascii="宋体" w:hAnsi="宋体"/>
                <w:b/>
                <w:sz w:val="21"/>
                <w:szCs w:val="21"/>
              </w:rPr>
            </w:pPr>
            <w:r>
              <w:rPr>
                <w:rFonts w:hint="eastAsia" w:ascii="宋体" w:hAnsi="宋体"/>
                <w:b/>
                <w:sz w:val="21"/>
                <w:szCs w:val="21"/>
              </w:rPr>
              <w:t>条款号</w:t>
            </w:r>
          </w:p>
        </w:tc>
        <w:tc>
          <w:tcPr>
            <w:tcW w:w="2215" w:type="dxa"/>
            <w:vAlign w:val="center"/>
          </w:tcPr>
          <w:p w14:paraId="0EABD8DE">
            <w:pPr>
              <w:spacing w:line="360" w:lineRule="auto"/>
              <w:jc w:val="both"/>
              <w:rPr>
                <w:rFonts w:ascii="宋体" w:hAnsi="宋体"/>
                <w:b/>
                <w:sz w:val="21"/>
                <w:szCs w:val="21"/>
              </w:rPr>
            </w:pPr>
            <w:r>
              <w:rPr>
                <w:rFonts w:hint="eastAsia" w:ascii="宋体" w:hAnsi="宋体"/>
                <w:b/>
                <w:sz w:val="21"/>
                <w:szCs w:val="21"/>
              </w:rPr>
              <w:t>条 款 名 称</w:t>
            </w:r>
          </w:p>
        </w:tc>
        <w:tc>
          <w:tcPr>
            <w:tcW w:w="6593" w:type="dxa"/>
            <w:vAlign w:val="center"/>
          </w:tcPr>
          <w:p w14:paraId="71AB6F5F">
            <w:pPr>
              <w:spacing w:line="360" w:lineRule="auto"/>
              <w:jc w:val="both"/>
              <w:rPr>
                <w:rFonts w:ascii="宋体" w:hAnsi="宋体"/>
                <w:b/>
                <w:sz w:val="21"/>
                <w:szCs w:val="21"/>
              </w:rPr>
            </w:pPr>
            <w:r>
              <w:rPr>
                <w:rFonts w:hint="eastAsia" w:ascii="宋体" w:hAnsi="宋体"/>
                <w:b/>
                <w:sz w:val="21"/>
                <w:szCs w:val="21"/>
              </w:rPr>
              <w:t>编  列  内  容</w:t>
            </w:r>
          </w:p>
        </w:tc>
      </w:tr>
      <w:tr w14:paraId="027B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0571318">
            <w:pPr>
              <w:spacing w:line="360" w:lineRule="auto"/>
              <w:jc w:val="both"/>
              <w:rPr>
                <w:rFonts w:ascii="宋体" w:hAnsi="宋体"/>
                <w:sz w:val="21"/>
                <w:szCs w:val="21"/>
              </w:rPr>
            </w:pPr>
            <w:r>
              <w:rPr>
                <w:rFonts w:hint="eastAsia" w:ascii="宋体" w:hAnsi="宋体"/>
                <w:sz w:val="21"/>
                <w:szCs w:val="21"/>
              </w:rPr>
              <w:t>1.1.2</w:t>
            </w:r>
          </w:p>
        </w:tc>
        <w:tc>
          <w:tcPr>
            <w:tcW w:w="2215" w:type="dxa"/>
            <w:vAlign w:val="center"/>
          </w:tcPr>
          <w:p w14:paraId="47844A33">
            <w:pPr>
              <w:spacing w:line="360" w:lineRule="auto"/>
              <w:jc w:val="both"/>
              <w:rPr>
                <w:rFonts w:ascii="宋体" w:hAnsi="宋体"/>
                <w:sz w:val="21"/>
                <w:szCs w:val="21"/>
              </w:rPr>
            </w:pPr>
            <w:r>
              <w:rPr>
                <w:rFonts w:hint="eastAsia" w:ascii="宋体" w:hAnsi="宋体"/>
                <w:sz w:val="21"/>
                <w:szCs w:val="21"/>
              </w:rPr>
              <w:t>招标人</w:t>
            </w:r>
          </w:p>
        </w:tc>
        <w:tc>
          <w:tcPr>
            <w:tcW w:w="6593" w:type="dxa"/>
            <w:vAlign w:val="center"/>
          </w:tcPr>
          <w:p w14:paraId="391F4F22">
            <w:pPr>
              <w:spacing w:line="360" w:lineRule="auto"/>
              <w:jc w:val="both"/>
              <w:rPr>
                <w:rFonts w:ascii="宋体" w:hAnsi="宋体"/>
                <w:sz w:val="21"/>
                <w:szCs w:val="21"/>
              </w:rPr>
            </w:pPr>
            <w:r>
              <w:rPr>
                <w:rFonts w:hint="eastAsia" w:ascii="宋体" w:hAnsi="宋体"/>
                <w:sz w:val="21"/>
                <w:szCs w:val="21"/>
              </w:rPr>
              <w:t>招 标 人：红云红河烟草（集团）有限责任公司</w:t>
            </w:r>
          </w:p>
          <w:p w14:paraId="012BA592">
            <w:pPr>
              <w:spacing w:line="360" w:lineRule="auto"/>
              <w:jc w:val="both"/>
              <w:rPr>
                <w:rFonts w:ascii="宋体" w:hAnsi="宋体"/>
                <w:sz w:val="21"/>
                <w:szCs w:val="21"/>
              </w:rPr>
            </w:pPr>
            <w:r>
              <w:rPr>
                <w:rFonts w:hint="eastAsia" w:ascii="宋体" w:hAnsi="宋体"/>
                <w:sz w:val="21"/>
                <w:szCs w:val="21"/>
              </w:rPr>
              <w:t>地    址：曲靖市麒麟区麒麟北路499号</w:t>
            </w:r>
          </w:p>
        </w:tc>
      </w:tr>
      <w:tr w14:paraId="0826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55FD7ECD">
            <w:pPr>
              <w:spacing w:line="360" w:lineRule="auto"/>
              <w:jc w:val="both"/>
              <w:rPr>
                <w:rFonts w:ascii="宋体" w:hAnsi="宋体"/>
                <w:sz w:val="21"/>
                <w:szCs w:val="21"/>
              </w:rPr>
            </w:pPr>
            <w:r>
              <w:rPr>
                <w:rFonts w:hint="eastAsia" w:ascii="宋体" w:hAnsi="宋体"/>
                <w:sz w:val="21"/>
                <w:szCs w:val="21"/>
              </w:rPr>
              <w:t>1.1.3</w:t>
            </w:r>
          </w:p>
        </w:tc>
        <w:tc>
          <w:tcPr>
            <w:tcW w:w="2215" w:type="dxa"/>
            <w:vAlign w:val="center"/>
          </w:tcPr>
          <w:p w14:paraId="78F65A11">
            <w:pPr>
              <w:spacing w:line="360" w:lineRule="auto"/>
              <w:jc w:val="both"/>
              <w:rPr>
                <w:rFonts w:ascii="宋体" w:hAnsi="宋体"/>
                <w:sz w:val="21"/>
                <w:szCs w:val="21"/>
              </w:rPr>
            </w:pPr>
            <w:r>
              <w:rPr>
                <w:rFonts w:hint="eastAsia" w:ascii="宋体" w:hAnsi="宋体"/>
                <w:sz w:val="21"/>
                <w:szCs w:val="21"/>
              </w:rPr>
              <w:t>招标代理机构</w:t>
            </w:r>
          </w:p>
        </w:tc>
        <w:tc>
          <w:tcPr>
            <w:tcW w:w="6593" w:type="dxa"/>
            <w:vAlign w:val="center"/>
          </w:tcPr>
          <w:p w14:paraId="1DEA3CBB">
            <w:pPr>
              <w:spacing w:line="360" w:lineRule="auto"/>
              <w:jc w:val="both"/>
              <w:rPr>
                <w:rFonts w:ascii="宋体" w:hAnsi="宋体"/>
                <w:sz w:val="21"/>
                <w:szCs w:val="21"/>
              </w:rPr>
            </w:pPr>
            <w:r>
              <w:rPr>
                <w:rFonts w:hint="eastAsia" w:ascii="宋体" w:hAnsi="宋体"/>
                <w:sz w:val="21"/>
                <w:szCs w:val="21"/>
              </w:rPr>
              <w:t>招标代理机构：云南招标股份有限公司</w:t>
            </w:r>
          </w:p>
          <w:p w14:paraId="3E28A3D5">
            <w:pPr>
              <w:spacing w:line="360" w:lineRule="auto"/>
              <w:jc w:val="both"/>
              <w:rPr>
                <w:rFonts w:ascii="宋体" w:hAnsi="宋体"/>
                <w:sz w:val="21"/>
                <w:szCs w:val="21"/>
              </w:rPr>
            </w:pPr>
            <w:r>
              <w:rPr>
                <w:rFonts w:hint="eastAsia" w:ascii="宋体" w:hAnsi="宋体"/>
                <w:sz w:val="21"/>
                <w:szCs w:val="21"/>
              </w:rPr>
              <w:t>地    址：昆明市人民西路328号</w:t>
            </w:r>
          </w:p>
          <w:p w14:paraId="3821EA50">
            <w:pPr>
              <w:spacing w:line="360" w:lineRule="auto"/>
              <w:jc w:val="both"/>
              <w:rPr>
                <w:rFonts w:ascii="宋体" w:hAnsi="宋体"/>
                <w:sz w:val="21"/>
                <w:szCs w:val="21"/>
              </w:rPr>
            </w:pPr>
            <w:r>
              <w:rPr>
                <w:rFonts w:hint="eastAsia" w:ascii="宋体" w:hAnsi="宋体"/>
                <w:sz w:val="21"/>
                <w:szCs w:val="21"/>
              </w:rPr>
              <w:t>联 系 人：谢工</w:t>
            </w:r>
          </w:p>
        </w:tc>
      </w:tr>
      <w:tr w14:paraId="58A3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51C410F9">
            <w:pPr>
              <w:spacing w:line="360" w:lineRule="auto"/>
              <w:jc w:val="both"/>
              <w:rPr>
                <w:rFonts w:ascii="宋体" w:hAnsi="宋体"/>
                <w:sz w:val="21"/>
                <w:szCs w:val="21"/>
              </w:rPr>
            </w:pPr>
            <w:r>
              <w:rPr>
                <w:rFonts w:hint="eastAsia" w:ascii="宋体" w:hAnsi="宋体"/>
                <w:sz w:val="21"/>
                <w:szCs w:val="21"/>
              </w:rPr>
              <w:t>1.1.4</w:t>
            </w:r>
          </w:p>
        </w:tc>
        <w:tc>
          <w:tcPr>
            <w:tcW w:w="2215" w:type="dxa"/>
            <w:vAlign w:val="center"/>
          </w:tcPr>
          <w:p w14:paraId="69CC083B">
            <w:pPr>
              <w:spacing w:line="360" w:lineRule="auto"/>
              <w:jc w:val="both"/>
              <w:rPr>
                <w:rFonts w:ascii="宋体" w:hAnsi="宋体"/>
                <w:sz w:val="21"/>
                <w:szCs w:val="21"/>
              </w:rPr>
            </w:pPr>
            <w:r>
              <w:rPr>
                <w:rFonts w:hint="eastAsia" w:ascii="宋体" w:hAnsi="宋体"/>
                <w:sz w:val="21"/>
                <w:szCs w:val="21"/>
              </w:rPr>
              <w:t>项目名称</w:t>
            </w:r>
          </w:p>
        </w:tc>
        <w:tc>
          <w:tcPr>
            <w:tcW w:w="6593" w:type="dxa"/>
            <w:vAlign w:val="center"/>
          </w:tcPr>
          <w:p w14:paraId="5364AF3A">
            <w:pPr>
              <w:spacing w:line="360" w:lineRule="auto"/>
              <w:jc w:val="both"/>
              <w:rPr>
                <w:rFonts w:ascii="宋体" w:hAnsi="宋体"/>
                <w:sz w:val="21"/>
                <w:szCs w:val="21"/>
              </w:rPr>
            </w:pPr>
            <w:r>
              <w:rPr>
                <w:rFonts w:hint="eastAsia" w:ascii="宋体" w:hAnsi="宋体"/>
                <w:sz w:val="21"/>
                <w:szCs w:val="21"/>
              </w:rPr>
              <w:t>曲靖卷烟厂智能工厂建设（智能生产、数字能源）项目</w:t>
            </w:r>
          </w:p>
        </w:tc>
      </w:tr>
      <w:tr w14:paraId="42AB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04CAC4CE">
            <w:pPr>
              <w:spacing w:line="360" w:lineRule="auto"/>
              <w:jc w:val="both"/>
              <w:rPr>
                <w:rFonts w:ascii="宋体" w:hAnsi="宋体"/>
                <w:sz w:val="21"/>
                <w:szCs w:val="21"/>
              </w:rPr>
            </w:pPr>
            <w:r>
              <w:rPr>
                <w:rFonts w:hint="eastAsia" w:ascii="宋体" w:hAnsi="宋体"/>
                <w:sz w:val="21"/>
                <w:szCs w:val="21"/>
              </w:rPr>
              <w:t>1.2.1</w:t>
            </w:r>
          </w:p>
        </w:tc>
        <w:tc>
          <w:tcPr>
            <w:tcW w:w="2215" w:type="dxa"/>
            <w:vAlign w:val="center"/>
          </w:tcPr>
          <w:p w14:paraId="71ECB560">
            <w:pPr>
              <w:spacing w:line="360" w:lineRule="auto"/>
              <w:jc w:val="both"/>
              <w:rPr>
                <w:rFonts w:ascii="宋体" w:hAnsi="宋体"/>
                <w:sz w:val="21"/>
                <w:szCs w:val="21"/>
              </w:rPr>
            </w:pPr>
            <w:r>
              <w:rPr>
                <w:rFonts w:hint="eastAsia" w:ascii="宋体" w:hAnsi="宋体"/>
                <w:sz w:val="21"/>
                <w:szCs w:val="21"/>
              </w:rPr>
              <w:t>资金来源</w:t>
            </w:r>
          </w:p>
        </w:tc>
        <w:tc>
          <w:tcPr>
            <w:tcW w:w="6593" w:type="dxa"/>
            <w:vAlign w:val="center"/>
          </w:tcPr>
          <w:p w14:paraId="20F719F7">
            <w:pPr>
              <w:spacing w:line="360" w:lineRule="auto"/>
              <w:jc w:val="both"/>
              <w:rPr>
                <w:rFonts w:ascii="宋体" w:hAnsi="宋体"/>
                <w:sz w:val="21"/>
                <w:szCs w:val="21"/>
              </w:rPr>
            </w:pPr>
            <w:r>
              <w:rPr>
                <w:rFonts w:hint="eastAsia" w:ascii="宋体" w:hAnsi="宋体"/>
                <w:sz w:val="21"/>
                <w:szCs w:val="21"/>
              </w:rPr>
              <w:t>企业自筹</w:t>
            </w:r>
          </w:p>
        </w:tc>
      </w:tr>
      <w:tr w14:paraId="4C51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554CCD56">
            <w:pPr>
              <w:spacing w:line="360" w:lineRule="auto"/>
              <w:jc w:val="both"/>
              <w:rPr>
                <w:rFonts w:ascii="宋体" w:hAnsi="宋体"/>
                <w:sz w:val="21"/>
                <w:szCs w:val="21"/>
              </w:rPr>
            </w:pPr>
            <w:r>
              <w:rPr>
                <w:rFonts w:hint="eastAsia" w:ascii="宋体" w:hAnsi="宋体"/>
                <w:sz w:val="21"/>
                <w:szCs w:val="21"/>
              </w:rPr>
              <w:t>1.2.2</w:t>
            </w:r>
          </w:p>
        </w:tc>
        <w:tc>
          <w:tcPr>
            <w:tcW w:w="2215" w:type="dxa"/>
            <w:vAlign w:val="center"/>
          </w:tcPr>
          <w:p w14:paraId="7E6E449D">
            <w:pPr>
              <w:spacing w:line="360" w:lineRule="auto"/>
              <w:jc w:val="both"/>
              <w:rPr>
                <w:rFonts w:ascii="宋体" w:hAnsi="宋体"/>
                <w:sz w:val="21"/>
                <w:szCs w:val="21"/>
              </w:rPr>
            </w:pPr>
            <w:r>
              <w:rPr>
                <w:rFonts w:hint="eastAsia" w:ascii="宋体" w:hAnsi="宋体"/>
                <w:sz w:val="21"/>
                <w:szCs w:val="21"/>
              </w:rPr>
              <w:t>出资比例</w:t>
            </w:r>
          </w:p>
        </w:tc>
        <w:tc>
          <w:tcPr>
            <w:tcW w:w="6593" w:type="dxa"/>
            <w:vAlign w:val="center"/>
          </w:tcPr>
          <w:p w14:paraId="674B3C36">
            <w:pPr>
              <w:spacing w:line="360" w:lineRule="auto"/>
              <w:jc w:val="both"/>
              <w:rPr>
                <w:rFonts w:ascii="宋体" w:hAnsi="宋体"/>
                <w:sz w:val="21"/>
                <w:szCs w:val="21"/>
              </w:rPr>
            </w:pPr>
            <w:r>
              <w:rPr>
                <w:rFonts w:hint="eastAsia" w:ascii="宋体" w:hAnsi="宋体"/>
                <w:sz w:val="21"/>
                <w:szCs w:val="21"/>
              </w:rPr>
              <w:t>100%</w:t>
            </w:r>
          </w:p>
        </w:tc>
      </w:tr>
      <w:tr w14:paraId="2B2C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77B87958">
            <w:pPr>
              <w:spacing w:line="360" w:lineRule="auto"/>
              <w:jc w:val="both"/>
              <w:rPr>
                <w:rFonts w:ascii="宋体" w:hAnsi="宋体"/>
                <w:sz w:val="21"/>
                <w:szCs w:val="21"/>
              </w:rPr>
            </w:pPr>
            <w:r>
              <w:rPr>
                <w:rFonts w:hint="eastAsia" w:ascii="宋体" w:hAnsi="宋体"/>
                <w:sz w:val="21"/>
                <w:szCs w:val="21"/>
              </w:rPr>
              <w:t>1.2.3</w:t>
            </w:r>
          </w:p>
        </w:tc>
        <w:tc>
          <w:tcPr>
            <w:tcW w:w="2215" w:type="dxa"/>
            <w:vAlign w:val="center"/>
          </w:tcPr>
          <w:p w14:paraId="7B141E6D">
            <w:pPr>
              <w:spacing w:line="360" w:lineRule="auto"/>
              <w:jc w:val="both"/>
              <w:rPr>
                <w:rFonts w:ascii="宋体" w:hAnsi="宋体"/>
                <w:sz w:val="21"/>
                <w:szCs w:val="21"/>
              </w:rPr>
            </w:pPr>
            <w:r>
              <w:rPr>
                <w:rFonts w:hint="eastAsia" w:ascii="宋体" w:hAnsi="宋体"/>
                <w:sz w:val="21"/>
                <w:szCs w:val="21"/>
              </w:rPr>
              <w:t>资金落实情况</w:t>
            </w:r>
          </w:p>
        </w:tc>
        <w:tc>
          <w:tcPr>
            <w:tcW w:w="6593" w:type="dxa"/>
            <w:vAlign w:val="center"/>
          </w:tcPr>
          <w:p w14:paraId="4DE0265F">
            <w:pPr>
              <w:spacing w:line="360" w:lineRule="auto"/>
              <w:jc w:val="both"/>
              <w:rPr>
                <w:rFonts w:ascii="宋体" w:hAnsi="宋体"/>
                <w:sz w:val="21"/>
                <w:szCs w:val="21"/>
              </w:rPr>
            </w:pPr>
            <w:r>
              <w:rPr>
                <w:rFonts w:hint="eastAsia" w:ascii="宋体" w:hAnsi="宋体"/>
                <w:sz w:val="21"/>
                <w:szCs w:val="21"/>
              </w:rPr>
              <w:t>已落实</w:t>
            </w:r>
          </w:p>
        </w:tc>
      </w:tr>
      <w:tr w14:paraId="7898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73556CF8">
            <w:pPr>
              <w:spacing w:line="360" w:lineRule="auto"/>
              <w:jc w:val="both"/>
              <w:rPr>
                <w:rFonts w:ascii="宋体" w:hAnsi="宋体"/>
                <w:sz w:val="21"/>
                <w:szCs w:val="21"/>
              </w:rPr>
            </w:pPr>
            <w:r>
              <w:rPr>
                <w:rFonts w:hint="eastAsia" w:ascii="宋体" w:hAnsi="宋体"/>
                <w:sz w:val="21"/>
                <w:szCs w:val="21"/>
              </w:rPr>
              <w:t>1.3.1</w:t>
            </w:r>
          </w:p>
        </w:tc>
        <w:tc>
          <w:tcPr>
            <w:tcW w:w="2215" w:type="dxa"/>
            <w:vAlign w:val="center"/>
          </w:tcPr>
          <w:p w14:paraId="2F425E81">
            <w:pPr>
              <w:spacing w:line="360" w:lineRule="auto"/>
              <w:jc w:val="both"/>
              <w:rPr>
                <w:rFonts w:ascii="宋体" w:hAnsi="宋体"/>
                <w:sz w:val="21"/>
                <w:szCs w:val="21"/>
              </w:rPr>
            </w:pPr>
            <w:r>
              <w:rPr>
                <w:rFonts w:hint="eastAsia" w:ascii="宋体" w:hAnsi="宋体"/>
                <w:sz w:val="21"/>
                <w:szCs w:val="21"/>
              </w:rPr>
              <w:t>招标范围</w:t>
            </w:r>
          </w:p>
        </w:tc>
        <w:tc>
          <w:tcPr>
            <w:tcW w:w="6593" w:type="dxa"/>
            <w:vAlign w:val="center"/>
          </w:tcPr>
          <w:p w14:paraId="203050CF">
            <w:pPr>
              <w:spacing w:line="360" w:lineRule="auto"/>
              <w:jc w:val="both"/>
              <w:rPr>
                <w:rFonts w:ascii="宋体" w:hAnsi="宋体"/>
                <w:sz w:val="21"/>
                <w:szCs w:val="21"/>
              </w:rPr>
            </w:pPr>
            <w:r>
              <w:rPr>
                <w:rFonts w:hint="eastAsia" w:ascii="宋体" w:hAnsi="宋体"/>
                <w:sz w:val="21"/>
                <w:szCs w:val="21"/>
              </w:rPr>
              <w:t>详见本招标文件第一章招标公告第</w:t>
            </w:r>
            <w:r>
              <w:rPr>
                <w:rFonts w:ascii="宋体" w:hAnsi="宋体"/>
                <w:sz w:val="21"/>
                <w:szCs w:val="21"/>
              </w:rPr>
              <w:t>2.</w:t>
            </w:r>
            <w:r>
              <w:rPr>
                <w:rFonts w:hint="eastAsia" w:ascii="宋体" w:hAnsi="宋体"/>
                <w:sz w:val="21"/>
                <w:szCs w:val="21"/>
              </w:rPr>
              <w:t>4条</w:t>
            </w:r>
          </w:p>
        </w:tc>
      </w:tr>
      <w:tr w14:paraId="2827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1A4E6FE4">
            <w:pPr>
              <w:spacing w:line="360" w:lineRule="auto"/>
              <w:jc w:val="both"/>
              <w:rPr>
                <w:rFonts w:ascii="宋体" w:hAnsi="宋体"/>
                <w:sz w:val="21"/>
                <w:szCs w:val="21"/>
              </w:rPr>
            </w:pPr>
            <w:r>
              <w:rPr>
                <w:rFonts w:hint="eastAsia" w:ascii="宋体" w:hAnsi="宋体"/>
                <w:sz w:val="21"/>
                <w:szCs w:val="21"/>
              </w:rPr>
              <w:t>1.3.2</w:t>
            </w:r>
          </w:p>
        </w:tc>
        <w:tc>
          <w:tcPr>
            <w:tcW w:w="2215" w:type="dxa"/>
            <w:vAlign w:val="center"/>
          </w:tcPr>
          <w:p w14:paraId="4E2738A5">
            <w:pPr>
              <w:spacing w:line="360" w:lineRule="auto"/>
              <w:jc w:val="both"/>
              <w:rPr>
                <w:rFonts w:ascii="宋体" w:hAnsi="宋体"/>
                <w:sz w:val="21"/>
                <w:szCs w:val="21"/>
              </w:rPr>
            </w:pPr>
            <w:r>
              <w:rPr>
                <w:rFonts w:hint="eastAsia" w:ascii="宋体" w:hAnsi="宋体"/>
                <w:sz w:val="21"/>
                <w:szCs w:val="21"/>
              </w:rPr>
              <w:t>项目工期</w:t>
            </w:r>
          </w:p>
        </w:tc>
        <w:tc>
          <w:tcPr>
            <w:tcW w:w="6593" w:type="dxa"/>
            <w:vAlign w:val="center"/>
          </w:tcPr>
          <w:p w14:paraId="51B50255">
            <w:pPr>
              <w:spacing w:line="360" w:lineRule="auto"/>
              <w:jc w:val="both"/>
              <w:rPr>
                <w:rFonts w:ascii="宋体" w:hAnsi="宋体"/>
                <w:sz w:val="21"/>
                <w:szCs w:val="21"/>
              </w:rPr>
            </w:pPr>
            <w:r>
              <w:rPr>
                <w:rFonts w:hint="eastAsia" w:ascii="宋体" w:hAnsi="宋体"/>
                <w:sz w:val="21"/>
                <w:szCs w:val="21"/>
              </w:rPr>
              <w:t>详见本招标文件第一章招标公告第</w:t>
            </w:r>
            <w:r>
              <w:rPr>
                <w:rFonts w:ascii="宋体" w:hAnsi="宋体"/>
                <w:sz w:val="21"/>
                <w:szCs w:val="21"/>
              </w:rPr>
              <w:t>2.</w:t>
            </w:r>
            <w:r>
              <w:rPr>
                <w:rFonts w:hint="eastAsia" w:ascii="宋体" w:hAnsi="宋体"/>
                <w:sz w:val="21"/>
                <w:szCs w:val="21"/>
              </w:rPr>
              <w:t>3条</w:t>
            </w:r>
          </w:p>
        </w:tc>
      </w:tr>
      <w:tr w14:paraId="092D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09F6D600">
            <w:pPr>
              <w:spacing w:line="360" w:lineRule="auto"/>
              <w:jc w:val="both"/>
              <w:rPr>
                <w:rFonts w:ascii="宋体" w:hAnsi="宋体"/>
                <w:sz w:val="21"/>
                <w:szCs w:val="21"/>
              </w:rPr>
            </w:pPr>
            <w:r>
              <w:rPr>
                <w:rFonts w:hint="eastAsia" w:ascii="宋体" w:hAnsi="宋体"/>
                <w:sz w:val="21"/>
                <w:szCs w:val="21"/>
              </w:rPr>
              <w:t>1.3.3</w:t>
            </w:r>
          </w:p>
        </w:tc>
        <w:tc>
          <w:tcPr>
            <w:tcW w:w="2215" w:type="dxa"/>
            <w:vAlign w:val="center"/>
          </w:tcPr>
          <w:p w14:paraId="5D7C638A">
            <w:pPr>
              <w:spacing w:line="360" w:lineRule="auto"/>
              <w:jc w:val="both"/>
              <w:rPr>
                <w:rFonts w:ascii="宋体" w:hAnsi="宋体"/>
                <w:sz w:val="21"/>
                <w:szCs w:val="21"/>
              </w:rPr>
            </w:pPr>
            <w:r>
              <w:rPr>
                <w:rFonts w:hint="eastAsia" w:ascii="宋体" w:hAnsi="宋体"/>
                <w:sz w:val="21"/>
                <w:szCs w:val="21"/>
              </w:rPr>
              <w:t>质量要求</w:t>
            </w:r>
          </w:p>
        </w:tc>
        <w:tc>
          <w:tcPr>
            <w:tcW w:w="6593" w:type="dxa"/>
            <w:vAlign w:val="center"/>
          </w:tcPr>
          <w:p w14:paraId="08037F0D">
            <w:pPr>
              <w:spacing w:line="360" w:lineRule="auto"/>
              <w:jc w:val="both"/>
              <w:rPr>
                <w:rFonts w:ascii="宋体" w:hAnsi="宋体"/>
                <w:sz w:val="21"/>
                <w:szCs w:val="21"/>
              </w:rPr>
            </w:pPr>
            <w:r>
              <w:rPr>
                <w:rFonts w:hint="eastAsia" w:ascii="宋体" w:hAnsi="宋体"/>
                <w:sz w:val="21"/>
                <w:szCs w:val="21"/>
              </w:rPr>
              <w:t>详见本招标文件第一章招标公告第</w:t>
            </w:r>
            <w:r>
              <w:rPr>
                <w:rFonts w:ascii="宋体" w:hAnsi="宋体"/>
                <w:sz w:val="21"/>
                <w:szCs w:val="21"/>
              </w:rPr>
              <w:t>2</w:t>
            </w:r>
            <w:r>
              <w:rPr>
                <w:rFonts w:hint="eastAsia" w:ascii="宋体" w:hAnsi="宋体"/>
                <w:sz w:val="21"/>
                <w:szCs w:val="21"/>
              </w:rPr>
              <w:t>.5条</w:t>
            </w:r>
          </w:p>
        </w:tc>
      </w:tr>
      <w:tr w14:paraId="287B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3C5E7D45">
            <w:pPr>
              <w:spacing w:line="360" w:lineRule="auto"/>
              <w:jc w:val="both"/>
              <w:rPr>
                <w:rFonts w:ascii="宋体" w:hAnsi="宋体"/>
                <w:sz w:val="21"/>
                <w:szCs w:val="21"/>
              </w:rPr>
            </w:pPr>
            <w:r>
              <w:rPr>
                <w:rFonts w:hint="eastAsia" w:ascii="宋体" w:hAnsi="宋体"/>
                <w:sz w:val="21"/>
                <w:szCs w:val="21"/>
              </w:rPr>
              <w:t>1.3.4</w:t>
            </w:r>
          </w:p>
        </w:tc>
        <w:tc>
          <w:tcPr>
            <w:tcW w:w="2215" w:type="dxa"/>
            <w:vAlign w:val="center"/>
          </w:tcPr>
          <w:p w14:paraId="0FF88EAB">
            <w:pPr>
              <w:spacing w:line="360" w:lineRule="auto"/>
              <w:jc w:val="both"/>
              <w:rPr>
                <w:rFonts w:ascii="宋体" w:hAnsi="宋体"/>
                <w:sz w:val="21"/>
                <w:szCs w:val="21"/>
              </w:rPr>
            </w:pPr>
            <w:r>
              <w:rPr>
                <w:rFonts w:hint="eastAsia" w:ascii="宋体" w:hAnsi="宋体"/>
                <w:sz w:val="21"/>
                <w:szCs w:val="21"/>
              </w:rPr>
              <w:t>质保期</w:t>
            </w:r>
          </w:p>
        </w:tc>
        <w:tc>
          <w:tcPr>
            <w:tcW w:w="6593" w:type="dxa"/>
            <w:vAlign w:val="center"/>
          </w:tcPr>
          <w:p w14:paraId="4D85FE5A">
            <w:pPr>
              <w:spacing w:line="360" w:lineRule="auto"/>
              <w:jc w:val="both"/>
              <w:rPr>
                <w:rFonts w:ascii="宋体" w:hAnsi="宋体"/>
                <w:sz w:val="21"/>
                <w:szCs w:val="21"/>
              </w:rPr>
            </w:pPr>
            <w:r>
              <w:rPr>
                <w:rFonts w:hint="eastAsia" w:ascii="宋体" w:hAnsi="宋体"/>
                <w:sz w:val="21"/>
                <w:szCs w:val="21"/>
              </w:rPr>
              <w:t>详见本招标文件第一章招标公告第</w:t>
            </w:r>
            <w:r>
              <w:rPr>
                <w:rFonts w:ascii="宋体" w:hAnsi="宋体"/>
                <w:sz w:val="21"/>
                <w:szCs w:val="21"/>
              </w:rPr>
              <w:t>2.</w:t>
            </w:r>
            <w:r>
              <w:rPr>
                <w:rFonts w:hint="eastAsia" w:ascii="宋体" w:hAnsi="宋体"/>
                <w:sz w:val="21"/>
                <w:szCs w:val="21"/>
              </w:rPr>
              <w:t>6条</w:t>
            </w:r>
          </w:p>
        </w:tc>
      </w:tr>
      <w:tr w14:paraId="6F85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9C67EB8">
            <w:pPr>
              <w:spacing w:line="360" w:lineRule="auto"/>
              <w:jc w:val="both"/>
              <w:rPr>
                <w:rFonts w:ascii="宋体" w:hAnsi="宋体"/>
                <w:sz w:val="21"/>
                <w:szCs w:val="21"/>
              </w:rPr>
            </w:pPr>
            <w:r>
              <w:rPr>
                <w:rFonts w:hint="eastAsia" w:ascii="宋体" w:hAnsi="宋体"/>
                <w:sz w:val="21"/>
                <w:szCs w:val="21"/>
              </w:rPr>
              <w:t>1.3.5</w:t>
            </w:r>
          </w:p>
        </w:tc>
        <w:tc>
          <w:tcPr>
            <w:tcW w:w="2215" w:type="dxa"/>
            <w:vAlign w:val="center"/>
          </w:tcPr>
          <w:p w14:paraId="3EF81BC1">
            <w:pPr>
              <w:spacing w:line="360" w:lineRule="auto"/>
              <w:jc w:val="both"/>
              <w:rPr>
                <w:rFonts w:ascii="宋体" w:hAnsi="宋体"/>
                <w:sz w:val="21"/>
                <w:szCs w:val="21"/>
              </w:rPr>
            </w:pPr>
            <w:r>
              <w:rPr>
                <w:rFonts w:hint="eastAsia" w:ascii="宋体" w:hAnsi="宋体"/>
                <w:sz w:val="21"/>
                <w:szCs w:val="21"/>
              </w:rPr>
              <w:t>标段划分</w:t>
            </w:r>
          </w:p>
        </w:tc>
        <w:tc>
          <w:tcPr>
            <w:tcW w:w="6593" w:type="dxa"/>
            <w:vAlign w:val="center"/>
          </w:tcPr>
          <w:p w14:paraId="4F4D9CD2">
            <w:pPr>
              <w:spacing w:line="360" w:lineRule="auto"/>
              <w:jc w:val="both"/>
              <w:rPr>
                <w:rFonts w:ascii="宋体" w:hAnsi="宋体"/>
                <w:sz w:val="21"/>
                <w:szCs w:val="21"/>
              </w:rPr>
            </w:pPr>
            <w:r>
              <w:rPr>
                <w:rFonts w:hint="eastAsia" w:ascii="宋体" w:hAnsi="宋体"/>
                <w:sz w:val="21"/>
                <w:szCs w:val="21"/>
              </w:rPr>
              <w:t>本项目不划分标段</w:t>
            </w:r>
          </w:p>
        </w:tc>
      </w:tr>
      <w:tr w14:paraId="01E8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01A412FA">
            <w:pPr>
              <w:spacing w:line="360" w:lineRule="auto"/>
              <w:jc w:val="both"/>
              <w:rPr>
                <w:rFonts w:ascii="宋体" w:hAnsi="宋体"/>
                <w:sz w:val="21"/>
                <w:szCs w:val="21"/>
              </w:rPr>
            </w:pPr>
            <w:r>
              <w:rPr>
                <w:rFonts w:hint="eastAsia" w:ascii="宋体" w:hAnsi="宋体"/>
                <w:sz w:val="21"/>
                <w:szCs w:val="21"/>
              </w:rPr>
              <w:t>1.4.1</w:t>
            </w:r>
          </w:p>
        </w:tc>
        <w:tc>
          <w:tcPr>
            <w:tcW w:w="2215" w:type="dxa"/>
            <w:vAlign w:val="center"/>
          </w:tcPr>
          <w:p w14:paraId="0E78A9CF">
            <w:pPr>
              <w:spacing w:line="360" w:lineRule="auto"/>
              <w:jc w:val="both"/>
              <w:rPr>
                <w:rFonts w:ascii="宋体" w:hAnsi="宋体"/>
                <w:sz w:val="21"/>
                <w:szCs w:val="21"/>
              </w:rPr>
            </w:pPr>
            <w:r>
              <w:rPr>
                <w:rFonts w:hint="eastAsia" w:ascii="宋体" w:hAnsi="宋体"/>
                <w:sz w:val="21"/>
                <w:szCs w:val="21"/>
              </w:rPr>
              <w:t>投标人资格要求</w:t>
            </w:r>
          </w:p>
        </w:tc>
        <w:tc>
          <w:tcPr>
            <w:tcW w:w="6593" w:type="dxa"/>
            <w:vAlign w:val="center"/>
          </w:tcPr>
          <w:p w14:paraId="46172B63">
            <w:pPr>
              <w:spacing w:line="360" w:lineRule="auto"/>
              <w:jc w:val="both"/>
              <w:rPr>
                <w:rFonts w:ascii="宋体" w:hAnsi="宋体"/>
                <w:sz w:val="21"/>
                <w:szCs w:val="21"/>
              </w:rPr>
            </w:pPr>
            <w:r>
              <w:rPr>
                <w:rFonts w:hint="eastAsia" w:ascii="宋体" w:hAnsi="宋体"/>
                <w:sz w:val="21"/>
                <w:szCs w:val="21"/>
              </w:rPr>
              <w:t>详见本招标文件第一章招标公告第</w:t>
            </w:r>
            <w:r>
              <w:rPr>
                <w:rFonts w:ascii="宋体" w:hAnsi="宋体"/>
                <w:sz w:val="21"/>
                <w:szCs w:val="21"/>
              </w:rPr>
              <w:t>3</w:t>
            </w:r>
            <w:r>
              <w:rPr>
                <w:rFonts w:hint="eastAsia" w:ascii="宋体" w:hAnsi="宋体"/>
                <w:sz w:val="21"/>
                <w:szCs w:val="21"/>
              </w:rPr>
              <w:t>条</w:t>
            </w:r>
          </w:p>
        </w:tc>
      </w:tr>
      <w:tr w14:paraId="52C7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4A0580E2">
            <w:pPr>
              <w:spacing w:line="360" w:lineRule="auto"/>
              <w:jc w:val="both"/>
              <w:rPr>
                <w:rFonts w:ascii="宋体" w:hAnsi="宋体"/>
                <w:sz w:val="21"/>
                <w:szCs w:val="21"/>
              </w:rPr>
            </w:pPr>
            <w:r>
              <w:rPr>
                <w:rFonts w:hint="eastAsia" w:ascii="宋体" w:hAnsi="宋体"/>
                <w:sz w:val="21"/>
                <w:szCs w:val="21"/>
              </w:rPr>
              <w:t>1.4.2</w:t>
            </w:r>
          </w:p>
        </w:tc>
        <w:tc>
          <w:tcPr>
            <w:tcW w:w="2215" w:type="dxa"/>
            <w:vAlign w:val="center"/>
          </w:tcPr>
          <w:p w14:paraId="502E3B3D">
            <w:pPr>
              <w:jc w:val="both"/>
              <w:rPr>
                <w:rFonts w:ascii="宋体" w:hAnsi="宋体"/>
                <w:sz w:val="21"/>
                <w:szCs w:val="21"/>
              </w:rPr>
            </w:pPr>
            <w:r>
              <w:rPr>
                <w:rFonts w:hint="eastAsia" w:ascii="宋体" w:hAnsi="宋体"/>
                <w:sz w:val="21"/>
                <w:szCs w:val="21"/>
              </w:rPr>
              <w:t>是否接受联合体投标</w:t>
            </w:r>
          </w:p>
        </w:tc>
        <w:tc>
          <w:tcPr>
            <w:tcW w:w="6593" w:type="dxa"/>
            <w:vAlign w:val="center"/>
          </w:tcPr>
          <w:p w14:paraId="18A37B8A">
            <w:pPr>
              <w:spacing w:line="360" w:lineRule="auto"/>
              <w:jc w:val="both"/>
              <w:rPr>
                <w:rFonts w:ascii="宋体" w:hAnsi="宋体"/>
                <w:sz w:val="21"/>
                <w:szCs w:val="21"/>
              </w:rPr>
            </w:pPr>
            <w:r>
              <w:rPr>
                <w:rFonts w:hint="eastAsia" w:ascii="宋体" w:hAnsi="宋体"/>
                <w:sz w:val="21"/>
                <w:szCs w:val="21"/>
              </w:rPr>
              <w:t>不接受联合体投标。</w:t>
            </w:r>
          </w:p>
        </w:tc>
      </w:tr>
      <w:tr w14:paraId="2FDC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39FA60AA">
            <w:pPr>
              <w:spacing w:line="360" w:lineRule="auto"/>
              <w:jc w:val="both"/>
              <w:rPr>
                <w:rFonts w:ascii="宋体" w:hAnsi="宋体"/>
                <w:sz w:val="21"/>
                <w:szCs w:val="21"/>
              </w:rPr>
            </w:pPr>
            <w:r>
              <w:rPr>
                <w:rFonts w:hint="eastAsia" w:ascii="宋体" w:hAnsi="宋体"/>
                <w:sz w:val="21"/>
                <w:szCs w:val="21"/>
              </w:rPr>
              <w:t>1.9.1</w:t>
            </w:r>
          </w:p>
        </w:tc>
        <w:tc>
          <w:tcPr>
            <w:tcW w:w="2215" w:type="dxa"/>
            <w:vAlign w:val="center"/>
          </w:tcPr>
          <w:p w14:paraId="555B23F0">
            <w:pPr>
              <w:spacing w:line="360" w:lineRule="auto"/>
              <w:jc w:val="both"/>
              <w:rPr>
                <w:rFonts w:ascii="宋体" w:hAnsi="宋体"/>
                <w:sz w:val="21"/>
                <w:szCs w:val="21"/>
              </w:rPr>
            </w:pPr>
            <w:r>
              <w:rPr>
                <w:rFonts w:hint="eastAsia" w:ascii="宋体" w:hAnsi="宋体"/>
                <w:sz w:val="21"/>
                <w:szCs w:val="21"/>
              </w:rPr>
              <w:t>踏勘现场</w:t>
            </w:r>
          </w:p>
        </w:tc>
        <w:tc>
          <w:tcPr>
            <w:tcW w:w="6593" w:type="dxa"/>
            <w:vAlign w:val="center"/>
          </w:tcPr>
          <w:p w14:paraId="247E8149">
            <w:pPr>
              <w:spacing w:line="312" w:lineRule="auto"/>
              <w:jc w:val="both"/>
              <w:rPr>
                <w:rFonts w:ascii="宋体" w:hAnsi="宋体"/>
                <w:sz w:val="21"/>
                <w:szCs w:val="21"/>
              </w:rPr>
            </w:pPr>
            <w:r>
              <w:rPr>
                <w:rFonts w:hint="eastAsia" w:ascii="宋体" w:hAnsi="宋体" w:cs="等线"/>
                <w:sz w:val="21"/>
                <w:szCs w:val="21"/>
              </w:rPr>
              <w:t>■</w:t>
            </w:r>
            <w:r>
              <w:rPr>
                <w:rFonts w:hint="eastAsia" w:ascii="宋体" w:hAnsi="宋体"/>
                <w:sz w:val="21"/>
                <w:szCs w:val="21"/>
              </w:rPr>
              <w:t>不组织，投标人自行踏勘。</w:t>
            </w:r>
          </w:p>
          <w:p w14:paraId="243291DB">
            <w:pPr>
              <w:spacing w:line="312" w:lineRule="auto"/>
              <w:jc w:val="both"/>
              <w:rPr>
                <w:rFonts w:ascii="宋体" w:hAnsi="宋体"/>
                <w:sz w:val="21"/>
                <w:szCs w:val="21"/>
              </w:rPr>
            </w:pPr>
            <w:r>
              <w:rPr>
                <w:rFonts w:hint="eastAsia" w:ascii="宋体" w:hAnsi="宋体"/>
                <w:sz w:val="21"/>
                <w:szCs w:val="21"/>
              </w:rPr>
              <w:t>□组织，踏勘时间：</w:t>
            </w:r>
            <w:r>
              <w:rPr>
                <w:rFonts w:ascii="宋体" w:hAnsi="宋体"/>
                <w:sz w:val="21"/>
                <w:szCs w:val="21"/>
              </w:rPr>
              <w:t>/</w:t>
            </w:r>
          </w:p>
          <w:p w14:paraId="43124B36">
            <w:pPr>
              <w:spacing w:line="360" w:lineRule="auto"/>
              <w:jc w:val="both"/>
              <w:rPr>
                <w:rFonts w:ascii="宋体" w:hAnsi="宋体"/>
                <w:sz w:val="21"/>
                <w:szCs w:val="21"/>
              </w:rPr>
            </w:pPr>
            <w:r>
              <w:rPr>
                <w:rFonts w:hint="eastAsia" w:ascii="宋体" w:hAnsi="宋体"/>
                <w:sz w:val="21"/>
                <w:szCs w:val="21"/>
              </w:rPr>
              <w:t>踏勘集中地点：</w:t>
            </w:r>
            <w:r>
              <w:rPr>
                <w:rFonts w:ascii="宋体" w:hAnsi="宋体"/>
                <w:sz w:val="21"/>
                <w:szCs w:val="21"/>
              </w:rPr>
              <w:t>/</w:t>
            </w:r>
          </w:p>
        </w:tc>
      </w:tr>
      <w:tr w14:paraId="71F2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C307634">
            <w:pPr>
              <w:spacing w:line="360" w:lineRule="auto"/>
              <w:jc w:val="both"/>
              <w:rPr>
                <w:rFonts w:ascii="宋体" w:hAnsi="宋体"/>
                <w:sz w:val="21"/>
                <w:szCs w:val="21"/>
              </w:rPr>
            </w:pPr>
            <w:r>
              <w:rPr>
                <w:rFonts w:hint="eastAsia" w:ascii="宋体" w:hAnsi="宋体"/>
                <w:sz w:val="21"/>
                <w:szCs w:val="21"/>
              </w:rPr>
              <w:t>1.10.</w:t>
            </w:r>
            <w:r>
              <w:rPr>
                <w:rFonts w:ascii="宋体" w:hAnsi="宋体"/>
                <w:sz w:val="21"/>
                <w:szCs w:val="21"/>
              </w:rPr>
              <w:t>1</w:t>
            </w:r>
          </w:p>
        </w:tc>
        <w:tc>
          <w:tcPr>
            <w:tcW w:w="2215" w:type="dxa"/>
            <w:vAlign w:val="center"/>
          </w:tcPr>
          <w:p w14:paraId="5A3381E7">
            <w:pPr>
              <w:spacing w:line="360" w:lineRule="auto"/>
              <w:jc w:val="both"/>
              <w:rPr>
                <w:rFonts w:ascii="宋体" w:hAnsi="宋体"/>
                <w:sz w:val="21"/>
                <w:szCs w:val="21"/>
              </w:rPr>
            </w:pPr>
            <w:r>
              <w:rPr>
                <w:rFonts w:hint="eastAsia" w:ascii="宋体" w:hAnsi="宋体"/>
                <w:sz w:val="21"/>
                <w:szCs w:val="21"/>
              </w:rPr>
              <w:t>投标预备会</w:t>
            </w:r>
          </w:p>
        </w:tc>
        <w:tc>
          <w:tcPr>
            <w:tcW w:w="6593" w:type="dxa"/>
            <w:vAlign w:val="center"/>
          </w:tcPr>
          <w:p w14:paraId="050B7308">
            <w:pPr>
              <w:spacing w:line="360" w:lineRule="auto"/>
              <w:jc w:val="both"/>
              <w:rPr>
                <w:rFonts w:ascii="宋体" w:hAnsi="宋体"/>
                <w:sz w:val="21"/>
                <w:szCs w:val="21"/>
              </w:rPr>
            </w:pPr>
            <w:r>
              <w:rPr>
                <w:rFonts w:hint="eastAsia" w:ascii="宋体" w:hAnsi="宋体" w:cs="等线"/>
                <w:sz w:val="21"/>
                <w:szCs w:val="21"/>
              </w:rPr>
              <w:t>■</w:t>
            </w:r>
            <w:r>
              <w:rPr>
                <w:rFonts w:hint="eastAsia" w:ascii="宋体" w:hAnsi="宋体"/>
                <w:sz w:val="21"/>
                <w:szCs w:val="21"/>
              </w:rPr>
              <w:t>不召开，如有疑问请各投标人在投标人须知前附表2.2.1规定的时间前以书面形式提出。</w:t>
            </w:r>
          </w:p>
          <w:p w14:paraId="2348B3E7">
            <w:pPr>
              <w:spacing w:line="312" w:lineRule="auto"/>
              <w:jc w:val="both"/>
              <w:rPr>
                <w:rFonts w:ascii="宋体" w:hAnsi="宋体"/>
                <w:sz w:val="21"/>
                <w:szCs w:val="21"/>
              </w:rPr>
            </w:pPr>
            <w:r>
              <w:rPr>
                <w:rFonts w:hint="eastAsia" w:ascii="宋体" w:hAnsi="宋体"/>
                <w:sz w:val="21"/>
                <w:szCs w:val="21"/>
              </w:rPr>
              <w:t>□召开，召开时间：</w:t>
            </w:r>
            <w:r>
              <w:rPr>
                <w:rFonts w:ascii="宋体" w:hAnsi="宋体"/>
                <w:sz w:val="21"/>
                <w:szCs w:val="21"/>
              </w:rPr>
              <w:t>/</w:t>
            </w:r>
          </w:p>
          <w:p w14:paraId="372A6F06">
            <w:pPr>
              <w:spacing w:line="360" w:lineRule="auto"/>
              <w:jc w:val="both"/>
              <w:rPr>
                <w:rFonts w:ascii="宋体" w:hAnsi="宋体"/>
                <w:sz w:val="21"/>
                <w:szCs w:val="21"/>
              </w:rPr>
            </w:pPr>
            <w:r>
              <w:rPr>
                <w:rFonts w:ascii="宋体" w:hAnsi="宋体"/>
                <w:sz w:val="21"/>
                <w:szCs w:val="21"/>
              </w:rPr>
              <w:t>召开地点：/</w:t>
            </w:r>
          </w:p>
        </w:tc>
      </w:tr>
      <w:tr w14:paraId="190C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6CC27027">
            <w:pPr>
              <w:spacing w:line="360" w:lineRule="auto"/>
              <w:jc w:val="both"/>
              <w:rPr>
                <w:rFonts w:ascii="宋体" w:hAnsi="宋体"/>
                <w:sz w:val="21"/>
                <w:szCs w:val="21"/>
              </w:rPr>
            </w:pPr>
            <w:r>
              <w:rPr>
                <w:rFonts w:ascii="宋体" w:hAnsi="宋体"/>
                <w:sz w:val="21"/>
                <w:szCs w:val="21"/>
              </w:rPr>
              <w:t>1.10.2</w:t>
            </w:r>
          </w:p>
        </w:tc>
        <w:tc>
          <w:tcPr>
            <w:tcW w:w="2215" w:type="dxa"/>
            <w:vAlign w:val="center"/>
          </w:tcPr>
          <w:p w14:paraId="7A557AE1">
            <w:pPr>
              <w:spacing w:line="360" w:lineRule="auto"/>
              <w:jc w:val="both"/>
              <w:rPr>
                <w:rFonts w:ascii="宋体" w:hAnsi="宋体"/>
                <w:sz w:val="21"/>
                <w:szCs w:val="21"/>
              </w:rPr>
            </w:pPr>
            <w:r>
              <w:rPr>
                <w:rFonts w:ascii="宋体" w:hAnsi="宋体"/>
                <w:sz w:val="21"/>
                <w:szCs w:val="21"/>
              </w:rPr>
              <w:t>投标人提出问题的截止时间和方法</w:t>
            </w:r>
          </w:p>
        </w:tc>
        <w:tc>
          <w:tcPr>
            <w:tcW w:w="6593" w:type="dxa"/>
            <w:vAlign w:val="center"/>
          </w:tcPr>
          <w:p w14:paraId="3C580D8A">
            <w:pPr>
              <w:spacing w:line="360" w:lineRule="auto"/>
              <w:jc w:val="both"/>
              <w:rPr>
                <w:rFonts w:ascii="宋体" w:hAnsi="宋体" w:cs="等线"/>
                <w:sz w:val="21"/>
                <w:szCs w:val="21"/>
              </w:rPr>
            </w:pPr>
            <w:r>
              <w:rPr>
                <w:rFonts w:hint="eastAsia" w:ascii="宋体" w:hAnsi="宋体" w:cs="等线"/>
                <w:sz w:val="21"/>
                <w:szCs w:val="21"/>
              </w:rPr>
              <w:t>在投标截止时间</w:t>
            </w:r>
            <w:r>
              <w:rPr>
                <w:rFonts w:ascii="宋体" w:hAnsi="宋体" w:cs="等线"/>
                <w:sz w:val="21"/>
                <w:szCs w:val="21"/>
              </w:rPr>
              <w:t>10日前，</w:t>
            </w:r>
            <w:r>
              <w:rPr>
                <w:rFonts w:hint="eastAsia" w:ascii="宋体" w:hAnsi="宋体" w:cs="等线"/>
                <w:sz w:val="21"/>
                <w:szCs w:val="21"/>
              </w:rPr>
              <w:t>以书面形式将提出的问题送达招标人或招标代理机构。</w:t>
            </w:r>
          </w:p>
        </w:tc>
      </w:tr>
      <w:tr w14:paraId="6EC5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035102B9">
            <w:pPr>
              <w:spacing w:line="360" w:lineRule="auto"/>
              <w:jc w:val="both"/>
              <w:rPr>
                <w:rFonts w:ascii="宋体" w:hAnsi="宋体"/>
                <w:sz w:val="21"/>
                <w:szCs w:val="21"/>
              </w:rPr>
            </w:pPr>
            <w:r>
              <w:rPr>
                <w:rFonts w:ascii="宋体" w:hAnsi="宋体"/>
                <w:sz w:val="21"/>
                <w:szCs w:val="21"/>
              </w:rPr>
              <w:t>1.10.3</w:t>
            </w:r>
          </w:p>
        </w:tc>
        <w:tc>
          <w:tcPr>
            <w:tcW w:w="2215" w:type="dxa"/>
            <w:vAlign w:val="center"/>
          </w:tcPr>
          <w:p w14:paraId="55E228EE">
            <w:pPr>
              <w:spacing w:line="360" w:lineRule="auto"/>
              <w:jc w:val="both"/>
              <w:rPr>
                <w:rFonts w:ascii="宋体" w:hAnsi="宋体"/>
                <w:sz w:val="21"/>
                <w:szCs w:val="21"/>
              </w:rPr>
            </w:pPr>
            <w:r>
              <w:rPr>
                <w:rFonts w:ascii="宋体" w:hAnsi="宋体"/>
                <w:sz w:val="21"/>
                <w:szCs w:val="21"/>
              </w:rPr>
              <w:t>招标人澄清的时间和方法</w:t>
            </w:r>
          </w:p>
        </w:tc>
        <w:tc>
          <w:tcPr>
            <w:tcW w:w="6593" w:type="dxa"/>
            <w:vAlign w:val="center"/>
          </w:tcPr>
          <w:p w14:paraId="6049155E">
            <w:pPr>
              <w:spacing w:line="360" w:lineRule="auto"/>
              <w:jc w:val="both"/>
              <w:rPr>
                <w:rFonts w:ascii="宋体" w:hAnsi="宋体" w:cs="等线"/>
                <w:sz w:val="21"/>
                <w:szCs w:val="21"/>
              </w:rPr>
            </w:pPr>
            <w:r>
              <w:rPr>
                <w:rFonts w:hint="eastAsia" w:ascii="宋体" w:hAnsi="宋体"/>
                <w:sz w:val="21"/>
                <w:szCs w:val="21"/>
              </w:rPr>
              <w:t>投标截止时间至少</w:t>
            </w:r>
            <w:r>
              <w:rPr>
                <w:rFonts w:ascii="宋体" w:hAnsi="宋体"/>
                <w:sz w:val="21"/>
                <w:szCs w:val="21"/>
              </w:rPr>
              <w:t>15日前，</w:t>
            </w:r>
            <w:r>
              <w:rPr>
                <w:rFonts w:hint="eastAsia" w:ascii="宋体" w:hAnsi="宋体"/>
                <w:sz w:val="21"/>
                <w:szCs w:val="21"/>
              </w:rPr>
              <w:t>以书面形式通知所有获取招标文件的潜在投标人对招标文件予以澄清。</w:t>
            </w:r>
          </w:p>
        </w:tc>
      </w:tr>
      <w:tr w14:paraId="28D9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E719366">
            <w:pPr>
              <w:spacing w:line="360" w:lineRule="auto"/>
              <w:jc w:val="both"/>
              <w:rPr>
                <w:rFonts w:ascii="宋体" w:hAnsi="宋体"/>
                <w:sz w:val="21"/>
                <w:szCs w:val="21"/>
              </w:rPr>
            </w:pPr>
            <w:r>
              <w:rPr>
                <w:rFonts w:hint="eastAsia" w:ascii="宋体" w:hAnsi="宋体"/>
                <w:sz w:val="21"/>
                <w:szCs w:val="21"/>
              </w:rPr>
              <w:t>1.11</w:t>
            </w:r>
          </w:p>
        </w:tc>
        <w:tc>
          <w:tcPr>
            <w:tcW w:w="2215" w:type="dxa"/>
            <w:vAlign w:val="center"/>
          </w:tcPr>
          <w:p w14:paraId="56308625">
            <w:pPr>
              <w:spacing w:line="360" w:lineRule="auto"/>
              <w:jc w:val="both"/>
              <w:rPr>
                <w:rFonts w:ascii="宋体" w:hAnsi="宋体"/>
                <w:sz w:val="21"/>
                <w:szCs w:val="21"/>
              </w:rPr>
            </w:pPr>
            <w:r>
              <w:rPr>
                <w:rFonts w:hint="eastAsia" w:ascii="宋体" w:hAnsi="宋体"/>
                <w:sz w:val="21"/>
                <w:szCs w:val="21"/>
              </w:rPr>
              <w:t>分包和转包</w:t>
            </w:r>
          </w:p>
        </w:tc>
        <w:tc>
          <w:tcPr>
            <w:tcW w:w="6593" w:type="dxa"/>
            <w:vAlign w:val="center"/>
          </w:tcPr>
          <w:p w14:paraId="1E972E55">
            <w:pPr>
              <w:spacing w:line="360" w:lineRule="auto"/>
              <w:jc w:val="both"/>
              <w:rPr>
                <w:rFonts w:ascii="宋体" w:hAnsi="宋体"/>
                <w:sz w:val="21"/>
                <w:szCs w:val="21"/>
              </w:rPr>
            </w:pPr>
            <w:r>
              <w:rPr>
                <w:rFonts w:hint="eastAsia" w:ascii="宋体" w:hAnsi="宋体"/>
                <w:sz w:val="21"/>
                <w:szCs w:val="21"/>
              </w:rPr>
              <w:t>不允许</w:t>
            </w:r>
          </w:p>
        </w:tc>
      </w:tr>
      <w:tr w14:paraId="1C86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FB22AF0">
            <w:pPr>
              <w:spacing w:line="360" w:lineRule="auto"/>
              <w:jc w:val="both"/>
              <w:rPr>
                <w:rFonts w:ascii="宋体" w:hAnsi="宋体"/>
                <w:sz w:val="21"/>
                <w:szCs w:val="21"/>
              </w:rPr>
            </w:pPr>
            <w:r>
              <w:rPr>
                <w:rFonts w:hint="eastAsia" w:ascii="宋体" w:hAnsi="宋体"/>
                <w:sz w:val="21"/>
                <w:szCs w:val="21"/>
              </w:rPr>
              <w:t>2.1.2</w:t>
            </w:r>
          </w:p>
        </w:tc>
        <w:tc>
          <w:tcPr>
            <w:tcW w:w="2215" w:type="dxa"/>
            <w:vAlign w:val="center"/>
          </w:tcPr>
          <w:p w14:paraId="6125F534">
            <w:pPr>
              <w:jc w:val="both"/>
              <w:rPr>
                <w:rFonts w:ascii="宋体" w:hAnsi="宋体"/>
                <w:sz w:val="21"/>
                <w:szCs w:val="21"/>
              </w:rPr>
            </w:pPr>
            <w:r>
              <w:rPr>
                <w:rFonts w:hint="eastAsia" w:ascii="宋体" w:hAnsi="宋体"/>
                <w:sz w:val="21"/>
                <w:szCs w:val="21"/>
              </w:rPr>
              <w:t>构成招标文件的其他材料</w:t>
            </w:r>
          </w:p>
        </w:tc>
        <w:tc>
          <w:tcPr>
            <w:tcW w:w="6593" w:type="dxa"/>
            <w:vAlign w:val="center"/>
          </w:tcPr>
          <w:p w14:paraId="083CB8B1">
            <w:pPr>
              <w:widowControl w:val="0"/>
              <w:spacing w:line="360" w:lineRule="auto"/>
              <w:jc w:val="both"/>
              <w:rPr>
                <w:rFonts w:ascii="宋体" w:hAnsi="宋体"/>
                <w:sz w:val="21"/>
                <w:szCs w:val="21"/>
              </w:rPr>
            </w:pPr>
            <w:r>
              <w:rPr>
                <w:rFonts w:hint="eastAsia" w:ascii="宋体" w:hAnsi="宋体"/>
                <w:sz w:val="21"/>
                <w:szCs w:val="21"/>
              </w:rPr>
              <w:t>招标人以书面形式发出的答疑书、补遗书或通知等。</w:t>
            </w:r>
          </w:p>
        </w:tc>
      </w:tr>
      <w:tr w14:paraId="3460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5CE96209">
            <w:pPr>
              <w:spacing w:line="360" w:lineRule="auto"/>
              <w:jc w:val="both"/>
              <w:rPr>
                <w:rFonts w:ascii="宋体" w:hAnsi="宋体"/>
                <w:sz w:val="21"/>
                <w:szCs w:val="21"/>
              </w:rPr>
            </w:pPr>
            <w:r>
              <w:rPr>
                <w:rFonts w:hint="eastAsia" w:ascii="宋体" w:hAnsi="宋体"/>
                <w:sz w:val="21"/>
                <w:szCs w:val="21"/>
              </w:rPr>
              <w:t>2.2.1</w:t>
            </w:r>
          </w:p>
        </w:tc>
        <w:tc>
          <w:tcPr>
            <w:tcW w:w="2215" w:type="dxa"/>
            <w:vAlign w:val="center"/>
          </w:tcPr>
          <w:p w14:paraId="0062D38E">
            <w:pPr>
              <w:spacing w:line="360" w:lineRule="auto"/>
              <w:jc w:val="both"/>
              <w:rPr>
                <w:rFonts w:ascii="宋体" w:hAnsi="宋体"/>
                <w:sz w:val="21"/>
                <w:szCs w:val="21"/>
              </w:rPr>
            </w:pPr>
            <w:r>
              <w:rPr>
                <w:rFonts w:hint="eastAsia" w:ascii="宋体" w:hAnsi="宋体"/>
                <w:sz w:val="21"/>
                <w:szCs w:val="21"/>
              </w:rPr>
              <w:t>投标人要求澄清招标文件的截止时间</w:t>
            </w:r>
          </w:p>
        </w:tc>
        <w:tc>
          <w:tcPr>
            <w:tcW w:w="6593" w:type="dxa"/>
            <w:vAlign w:val="center"/>
          </w:tcPr>
          <w:p w14:paraId="6A5AB1B8">
            <w:pPr>
              <w:widowControl w:val="0"/>
              <w:spacing w:line="360" w:lineRule="auto"/>
              <w:jc w:val="both"/>
              <w:rPr>
                <w:rFonts w:ascii="宋体" w:hAnsi="宋体"/>
                <w:sz w:val="21"/>
                <w:szCs w:val="21"/>
              </w:rPr>
            </w:pPr>
            <w:r>
              <w:rPr>
                <w:rFonts w:hint="eastAsia" w:ascii="宋体" w:hAnsi="宋体"/>
                <w:sz w:val="21"/>
                <w:szCs w:val="21"/>
              </w:rPr>
              <w:t>投标截止时间前10日</w:t>
            </w:r>
          </w:p>
        </w:tc>
      </w:tr>
      <w:tr w14:paraId="2DE0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02101CFA">
            <w:pPr>
              <w:spacing w:line="360" w:lineRule="auto"/>
              <w:jc w:val="both"/>
              <w:rPr>
                <w:rFonts w:ascii="宋体" w:hAnsi="宋体"/>
                <w:sz w:val="21"/>
                <w:szCs w:val="21"/>
              </w:rPr>
            </w:pPr>
            <w:r>
              <w:rPr>
                <w:rFonts w:hint="eastAsia" w:ascii="宋体" w:hAnsi="宋体"/>
                <w:sz w:val="21"/>
                <w:szCs w:val="21"/>
              </w:rPr>
              <w:t>2.2.2</w:t>
            </w:r>
          </w:p>
        </w:tc>
        <w:tc>
          <w:tcPr>
            <w:tcW w:w="2215" w:type="dxa"/>
            <w:vAlign w:val="center"/>
          </w:tcPr>
          <w:p w14:paraId="3F344776">
            <w:pPr>
              <w:spacing w:line="360" w:lineRule="auto"/>
              <w:jc w:val="both"/>
              <w:rPr>
                <w:rFonts w:ascii="宋体" w:hAnsi="宋体"/>
                <w:sz w:val="21"/>
                <w:szCs w:val="21"/>
              </w:rPr>
            </w:pPr>
            <w:r>
              <w:rPr>
                <w:rFonts w:hint="eastAsia" w:ascii="宋体" w:hAnsi="宋体"/>
                <w:sz w:val="21"/>
                <w:szCs w:val="21"/>
              </w:rPr>
              <w:t>投标截止时间</w:t>
            </w:r>
          </w:p>
        </w:tc>
        <w:tc>
          <w:tcPr>
            <w:tcW w:w="6593" w:type="dxa"/>
            <w:vAlign w:val="center"/>
          </w:tcPr>
          <w:p w14:paraId="53A64CE4">
            <w:pPr>
              <w:pStyle w:val="641"/>
              <w:spacing w:before="120" w:beforeLines="50" w:line="360" w:lineRule="auto"/>
              <w:rPr>
                <w:rFonts w:ascii="宋体" w:hAnsi="宋体"/>
                <w:szCs w:val="21"/>
              </w:rPr>
            </w:pPr>
            <w:r>
              <w:rPr>
                <w:rFonts w:hint="eastAsia" w:ascii="宋体" w:hAnsi="宋体" w:cs="宋体"/>
                <w:szCs w:val="21"/>
              </w:rPr>
              <w:t>同投标文件递交截止时间</w:t>
            </w:r>
            <w:r>
              <w:rPr>
                <w:rFonts w:ascii="宋体" w:hAnsi="宋体"/>
                <w:szCs w:val="21"/>
              </w:rPr>
              <w:fldChar w:fldCharType="begin"/>
            </w:r>
            <w:r>
              <w:rPr>
                <w:rFonts w:ascii="宋体" w:hAnsi="宋体"/>
                <w:szCs w:val="21"/>
              </w:rPr>
              <w:instrText xml:space="preserve"> AUTOTEXT  input140 \* MERGEFORMAT </w:instrText>
            </w:r>
            <w:r>
              <w:rPr>
                <w:rFonts w:ascii="宋体" w:hAnsi="宋体"/>
                <w:szCs w:val="21"/>
              </w:rPr>
              <w:fldChar w:fldCharType="end"/>
            </w:r>
          </w:p>
        </w:tc>
      </w:tr>
      <w:tr w14:paraId="045E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1CAEBB3C">
            <w:pPr>
              <w:spacing w:line="360" w:lineRule="auto"/>
              <w:jc w:val="both"/>
              <w:rPr>
                <w:rFonts w:ascii="宋体" w:hAnsi="宋体"/>
                <w:sz w:val="21"/>
                <w:szCs w:val="21"/>
              </w:rPr>
            </w:pPr>
            <w:r>
              <w:rPr>
                <w:rFonts w:hint="eastAsia" w:ascii="宋体" w:hAnsi="宋体"/>
                <w:sz w:val="21"/>
                <w:szCs w:val="21"/>
              </w:rPr>
              <w:t>2.2.3</w:t>
            </w:r>
          </w:p>
        </w:tc>
        <w:tc>
          <w:tcPr>
            <w:tcW w:w="2215" w:type="dxa"/>
            <w:vAlign w:val="center"/>
          </w:tcPr>
          <w:p w14:paraId="7651C01D">
            <w:pPr>
              <w:spacing w:line="360" w:lineRule="auto"/>
              <w:jc w:val="both"/>
              <w:rPr>
                <w:rFonts w:ascii="宋体" w:hAnsi="宋体"/>
                <w:sz w:val="21"/>
                <w:szCs w:val="21"/>
              </w:rPr>
            </w:pPr>
            <w:r>
              <w:rPr>
                <w:rFonts w:hint="eastAsia" w:ascii="宋体" w:hAnsi="宋体"/>
                <w:sz w:val="21"/>
                <w:szCs w:val="21"/>
              </w:rPr>
              <w:t>投标人确认收到招标文件修改的时间</w:t>
            </w:r>
          </w:p>
        </w:tc>
        <w:tc>
          <w:tcPr>
            <w:tcW w:w="6593" w:type="dxa"/>
            <w:vAlign w:val="center"/>
          </w:tcPr>
          <w:p w14:paraId="39441824">
            <w:pPr>
              <w:widowControl w:val="0"/>
              <w:spacing w:line="360" w:lineRule="auto"/>
              <w:jc w:val="both"/>
              <w:rPr>
                <w:rFonts w:ascii="宋体" w:hAnsi="宋体"/>
                <w:sz w:val="21"/>
                <w:szCs w:val="21"/>
              </w:rPr>
            </w:pPr>
            <w:r>
              <w:rPr>
                <w:rFonts w:hint="eastAsia" w:ascii="宋体" w:hAnsi="宋体"/>
                <w:sz w:val="21"/>
                <w:szCs w:val="21"/>
              </w:rPr>
              <w:t>收到24小时内确认</w:t>
            </w:r>
          </w:p>
        </w:tc>
      </w:tr>
      <w:tr w14:paraId="7476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46621303">
            <w:pPr>
              <w:spacing w:line="360" w:lineRule="auto"/>
              <w:jc w:val="both"/>
              <w:rPr>
                <w:rFonts w:ascii="宋体" w:hAnsi="宋体"/>
                <w:sz w:val="21"/>
                <w:szCs w:val="21"/>
              </w:rPr>
            </w:pPr>
            <w:r>
              <w:rPr>
                <w:rFonts w:ascii="宋体" w:hAnsi="宋体"/>
                <w:sz w:val="21"/>
                <w:szCs w:val="21"/>
              </w:rPr>
              <w:t>2.3.2</w:t>
            </w:r>
          </w:p>
        </w:tc>
        <w:tc>
          <w:tcPr>
            <w:tcW w:w="2215" w:type="dxa"/>
            <w:vAlign w:val="center"/>
          </w:tcPr>
          <w:p w14:paraId="3B804790">
            <w:pPr>
              <w:spacing w:line="360" w:lineRule="auto"/>
              <w:jc w:val="both"/>
              <w:rPr>
                <w:rFonts w:ascii="宋体" w:hAnsi="宋体"/>
                <w:sz w:val="21"/>
                <w:szCs w:val="21"/>
              </w:rPr>
            </w:pPr>
            <w:r>
              <w:rPr>
                <w:rFonts w:hint="eastAsia" w:ascii="宋体" w:hAnsi="宋体"/>
                <w:sz w:val="21"/>
                <w:szCs w:val="21"/>
              </w:rPr>
              <w:t>投标人确认收到招标文件修改的时间</w:t>
            </w:r>
          </w:p>
        </w:tc>
        <w:tc>
          <w:tcPr>
            <w:tcW w:w="6593" w:type="dxa"/>
            <w:vAlign w:val="center"/>
          </w:tcPr>
          <w:p w14:paraId="43462140">
            <w:pPr>
              <w:widowControl w:val="0"/>
              <w:spacing w:line="360" w:lineRule="auto"/>
              <w:jc w:val="both"/>
              <w:rPr>
                <w:rFonts w:ascii="宋体" w:hAnsi="宋体"/>
                <w:sz w:val="21"/>
                <w:szCs w:val="21"/>
              </w:rPr>
            </w:pPr>
            <w:r>
              <w:rPr>
                <w:rFonts w:hint="eastAsia" w:ascii="宋体" w:hAnsi="宋体"/>
                <w:sz w:val="21"/>
                <w:szCs w:val="21"/>
              </w:rPr>
              <w:t>收到后</w:t>
            </w:r>
            <w:r>
              <w:rPr>
                <w:rFonts w:ascii="宋体" w:hAnsi="宋体"/>
                <w:sz w:val="21"/>
                <w:szCs w:val="21"/>
              </w:rPr>
              <w:t>24</w:t>
            </w:r>
            <w:r>
              <w:rPr>
                <w:rFonts w:hint="eastAsia" w:ascii="宋体" w:hAnsi="宋体"/>
                <w:sz w:val="21"/>
                <w:szCs w:val="21"/>
              </w:rPr>
              <w:t>小时内确认</w:t>
            </w:r>
          </w:p>
        </w:tc>
      </w:tr>
      <w:tr w14:paraId="26E8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7D84445F">
            <w:pPr>
              <w:spacing w:line="360" w:lineRule="auto"/>
              <w:jc w:val="both"/>
              <w:rPr>
                <w:rFonts w:ascii="宋体" w:hAnsi="宋体"/>
                <w:sz w:val="21"/>
                <w:szCs w:val="21"/>
              </w:rPr>
            </w:pPr>
            <w:bookmarkStart w:id="15" w:name="_Hlk76129667"/>
            <w:r>
              <w:rPr>
                <w:rFonts w:hint="eastAsia" w:ascii="宋体" w:hAnsi="宋体"/>
                <w:sz w:val="21"/>
                <w:szCs w:val="21"/>
              </w:rPr>
              <w:t>3.2</w:t>
            </w:r>
          </w:p>
        </w:tc>
        <w:tc>
          <w:tcPr>
            <w:tcW w:w="2215" w:type="dxa"/>
            <w:vAlign w:val="center"/>
          </w:tcPr>
          <w:p w14:paraId="563FE0D4">
            <w:pPr>
              <w:spacing w:line="360" w:lineRule="auto"/>
              <w:jc w:val="both"/>
              <w:rPr>
                <w:rFonts w:ascii="宋体" w:hAnsi="宋体"/>
                <w:b/>
                <w:bCs/>
                <w:sz w:val="21"/>
                <w:szCs w:val="21"/>
              </w:rPr>
            </w:pPr>
            <w:r>
              <w:rPr>
                <w:rFonts w:hint="eastAsia" w:ascii="宋体" w:hAnsi="宋体"/>
                <w:b/>
                <w:bCs/>
                <w:sz w:val="21"/>
                <w:szCs w:val="21"/>
              </w:rPr>
              <w:t>投标</w:t>
            </w:r>
            <w:r>
              <w:rPr>
                <w:rFonts w:ascii="宋体" w:hAnsi="宋体"/>
                <w:b/>
                <w:bCs/>
                <w:sz w:val="21"/>
                <w:szCs w:val="21"/>
              </w:rPr>
              <w:t>报价</w:t>
            </w:r>
          </w:p>
        </w:tc>
        <w:tc>
          <w:tcPr>
            <w:tcW w:w="6593" w:type="dxa"/>
            <w:vAlign w:val="center"/>
          </w:tcPr>
          <w:p w14:paraId="6BA109A4">
            <w:pPr>
              <w:jc w:val="both"/>
              <w:rPr>
                <w:rFonts w:ascii="宋体" w:hAnsi="宋体"/>
                <w:b/>
                <w:bCs/>
                <w:sz w:val="21"/>
                <w:szCs w:val="21"/>
              </w:rPr>
            </w:pPr>
            <w:r>
              <w:rPr>
                <w:rFonts w:hint="eastAsia" w:ascii="宋体" w:hAnsi="宋体"/>
                <w:b/>
                <w:bCs/>
                <w:sz w:val="21"/>
                <w:szCs w:val="21"/>
              </w:rPr>
              <w:t>（1）投标报价采用的币种为人民币。</w:t>
            </w:r>
          </w:p>
          <w:p w14:paraId="1BFBD69C">
            <w:pPr>
              <w:jc w:val="both"/>
              <w:rPr>
                <w:rFonts w:ascii="宋体" w:hAnsi="宋体"/>
                <w:b/>
                <w:bCs/>
                <w:sz w:val="21"/>
                <w:szCs w:val="21"/>
              </w:rPr>
            </w:pPr>
            <w:r>
              <w:rPr>
                <w:rFonts w:hint="eastAsia" w:ascii="宋体" w:hAnsi="宋体"/>
                <w:b/>
                <w:bCs/>
                <w:sz w:val="21"/>
                <w:szCs w:val="21"/>
              </w:rPr>
              <w:t>（2）本项目报价方式：含税包干总价。</w:t>
            </w:r>
          </w:p>
          <w:p w14:paraId="2764E63B">
            <w:pPr>
              <w:jc w:val="both"/>
              <w:rPr>
                <w:rFonts w:ascii="宋体" w:hAnsi="宋体"/>
                <w:b/>
                <w:bCs/>
                <w:sz w:val="21"/>
                <w:szCs w:val="21"/>
              </w:rPr>
            </w:pPr>
            <w:r>
              <w:rPr>
                <w:rFonts w:hint="eastAsia" w:ascii="宋体" w:hAnsi="宋体"/>
                <w:b/>
                <w:bCs/>
                <w:sz w:val="21"/>
                <w:szCs w:val="21"/>
              </w:rPr>
              <w:t>（3）</w:t>
            </w:r>
            <w:bookmarkStart w:id="16" w:name="_Hlk186408495"/>
            <w:r>
              <w:rPr>
                <w:rFonts w:hint="eastAsia" w:ascii="宋体" w:hAnsi="宋体"/>
                <w:b/>
                <w:bCs/>
                <w:sz w:val="21"/>
                <w:szCs w:val="21"/>
              </w:rPr>
              <w:t>投标人的投标报价包含但不限于：招标范围及“第五章技术标准和要求”中要求的满足设备正常运行的仪器、仪表、材料、备品备件、设备、软件的检验试验、包装、运输、装卸（包括旧设备）、保险、安装、调试、培训、技术服务等所有费用，以及系统研发、调试、安装、软硬件采购、人员差旅、技术培训等乙方为履行本合同所提供全部服务的价格。投标人投标报价时应综合考虑完成本项目招标范围内容所有可能发生的费用并包含在投标报价中。</w:t>
            </w:r>
            <w:bookmarkEnd w:id="16"/>
          </w:p>
          <w:p w14:paraId="64E12AD1">
            <w:pPr>
              <w:jc w:val="both"/>
              <w:rPr>
                <w:rFonts w:ascii="宋体" w:hAnsi="宋体"/>
                <w:b/>
                <w:bCs/>
                <w:sz w:val="21"/>
                <w:szCs w:val="21"/>
              </w:rPr>
            </w:pPr>
            <w:r>
              <w:rPr>
                <w:rFonts w:hint="eastAsia" w:ascii="宋体" w:hAnsi="宋体"/>
                <w:b/>
                <w:bCs/>
                <w:sz w:val="21"/>
                <w:szCs w:val="21"/>
              </w:rPr>
              <w:t>（4）投标人应充分考虑履约期间内可能发生的各种风险因素，在项目工期内无论任何原因不含增值税投标报价均不作调整。</w:t>
            </w:r>
          </w:p>
          <w:p w14:paraId="2D347569">
            <w:pPr>
              <w:jc w:val="both"/>
              <w:rPr>
                <w:rFonts w:ascii="宋体" w:hAnsi="宋体"/>
                <w:b/>
                <w:bCs/>
                <w:sz w:val="21"/>
                <w:szCs w:val="21"/>
              </w:rPr>
            </w:pPr>
            <w:r>
              <w:rPr>
                <w:rFonts w:hint="eastAsia" w:ascii="宋体" w:hAnsi="宋体"/>
                <w:b/>
                <w:bCs/>
                <w:sz w:val="21"/>
                <w:szCs w:val="21"/>
              </w:rPr>
              <w:t>（5）投标人要按投标报价（唱标）一览表和分项报价一览表的内容填写价格及其他事项，并由法定代表人或委托代理人签署。</w:t>
            </w:r>
          </w:p>
          <w:p w14:paraId="5088FCAF">
            <w:pPr>
              <w:jc w:val="both"/>
              <w:rPr>
                <w:rFonts w:ascii="宋体" w:hAnsi="宋体"/>
                <w:b/>
                <w:bCs/>
                <w:sz w:val="21"/>
                <w:szCs w:val="21"/>
              </w:rPr>
            </w:pPr>
            <w:r>
              <w:rPr>
                <w:rFonts w:hint="eastAsia" w:ascii="宋体" w:hAnsi="宋体"/>
                <w:b/>
                <w:bCs/>
                <w:sz w:val="21"/>
                <w:szCs w:val="21"/>
              </w:rPr>
              <w:t>（6）投标人只允许有一个方案、每个报价项只允许一个报价，否则，投标文件将被否决。</w:t>
            </w:r>
          </w:p>
          <w:p w14:paraId="3252A09D">
            <w:pPr>
              <w:jc w:val="both"/>
              <w:rPr>
                <w:rFonts w:ascii="宋体" w:hAnsi="宋体"/>
                <w:b/>
                <w:bCs/>
                <w:sz w:val="21"/>
                <w:szCs w:val="21"/>
                <w:highlight w:val="yellow"/>
              </w:rPr>
            </w:pPr>
            <w:r>
              <w:rPr>
                <w:rFonts w:hint="eastAsia" w:ascii="宋体" w:hAnsi="宋体"/>
                <w:b/>
                <w:bCs/>
                <w:sz w:val="21"/>
                <w:szCs w:val="21"/>
              </w:rPr>
              <w:t>（7）投标人根据自身情况，结合市场价自行填报投标报价。</w:t>
            </w:r>
          </w:p>
        </w:tc>
      </w:tr>
      <w:tr w14:paraId="32CB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3EE1975A">
            <w:pPr>
              <w:spacing w:line="360" w:lineRule="auto"/>
              <w:jc w:val="both"/>
              <w:rPr>
                <w:rFonts w:ascii="宋体" w:hAnsi="宋体"/>
                <w:sz w:val="21"/>
                <w:szCs w:val="21"/>
              </w:rPr>
            </w:pPr>
            <w:r>
              <w:rPr>
                <w:rFonts w:hint="eastAsia" w:ascii="宋体" w:hAnsi="宋体"/>
                <w:sz w:val="21"/>
                <w:szCs w:val="21"/>
              </w:rPr>
              <w:t>3</w:t>
            </w:r>
            <w:r>
              <w:rPr>
                <w:rFonts w:ascii="宋体" w:hAnsi="宋体"/>
                <w:sz w:val="21"/>
                <w:szCs w:val="21"/>
              </w:rPr>
              <w:t>.2.5</w:t>
            </w:r>
          </w:p>
        </w:tc>
        <w:tc>
          <w:tcPr>
            <w:tcW w:w="2215" w:type="dxa"/>
            <w:vAlign w:val="center"/>
          </w:tcPr>
          <w:p w14:paraId="6F782BEA">
            <w:pPr>
              <w:spacing w:line="360" w:lineRule="auto"/>
              <w:jc w:val="both"/>
              <w:rPr>
                <w:rFonts w:ascii="宋体" w:hAnsi="宋体"/>
                <w:b/>
                <w:bCs/>
                <w:sz w:val="21"/>
                <w:szCs w:val="21"/>
              </w:rPr>
            </w:pPr>
            <w:r>
              <w:rPr>
                <w:rFonts w:hint="eastAsia" w:ascii="宋体" w:hAnsi="宋体"/>
                <w:b/>
                <w:bCs/>
                <w:sz w:val="21"/>
                <w:szCs w:val="21"/>
              </w:rPr>
              <w:t>最高投标限价</w:t>
            </w:r>
          </w:p>
        </w:tc>
        <w:tc>
          <w:tcPr>
            <w:tcW w:w="6593" w:type="dxa"/>
            <w:vAlign w:val="center"/>
          </w:tcPr>
          <w:p w14:paraId="70399023">
            <w:pPr>
              <w:jc w:val="both"/>
              <w:rPr>
                <w:rFonts w:ascii="宋体" w:hAnsi="宋体"/>
                <w:b/>
                <w:bCs/>
                <w:sz w:val="21"/>
                <w:szCs w:val="21"/>
              </w:rPr>
            </w:pPr>
            <w:r>
              <w:rPr>
                <w:rFonts w:hint="eastAsia" w:ascii="宋体" w:hAnsi="宋体"/>
                <w:b/>
                <w:bCs/>
                <w:sz w:val="21"/>
                <w:szCs w:val="21"/>
              </w:rPr>
              <w:t>本项目最高投标限价为人民币</w:t>
            </w:r>
            <w:r>
              <w:rPr>
                <w:rFonts w:ascii="宋体" w:hAnsi="宋体"/>
                <w:b/>
                <w:bCs/>
                <w:sz w:val="21"/>
                <w:szCs w:val="21"/>
              </w:rPr>
              <w:t>12,647,936.67</w:t>
            </w:r>
            <w:r>
              <w:rPr>
                <w:rFonts w:hint="eastAsia" w:ascii="宋体" w:hAnsi="宋体"/>
                <w:b/>
                <w:bCs/>
                <w:sz w:val="21"/>
                <w:szCs w:val="21"/>
              </w:rPr>
              <w:t>元（含税）。</w:t>
            </w:r>
          </w:p>
          <w:p w14:paraId="6B5B90B7">
            <w:pPr>
              <w:jc w:val="both"/>
              <w:rPr>
                <w:rFonts w:ascii="宋体" w:hAnsi="宋体"/>
                <w:b/>
                <w:bCs/>
                <w:sz w:val="21"/>
                <w:szCs w:val="21"/>
              </w:rPr>
            </w:pPr>
            <w:r>
              <w:rPr>
                <w:rFonts w:hint="eastAsia" w:ascii="宋体" w:hAnsi="宋体"/>
                <w:b/>
                <w:bCs/>
                <w:sz w:val="21"/>
                <w:szCs w:val="21"/>
              </w:rPr>
              <w:t>投标人的含税投标报价不得超过最高投标限价（含税），否则按否决投标处理。</w:t>
            </w:r>
          </w:p>
        </w:tc>
      </w:tr>
      <w:bookmarkEnd w:id="15"/>
      <w:tr w14:paraId="2051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482D0FB5">
            <w:pPr>
              <w:spacing w:line="360" w:lineRule="auto"/>
              <w:jc w:val="both"/>
              <w:rPr>
                <w:rFonts w:ascii="宋体" w:hAnsi="宋体"/>
                <w:sz w:val="21"/>
                <w:szCs w:val="21"/>
              </w:rPr>
            </w:pPr>
            <w:r>
              <w:rPr>
                <w:rFonts w:hint="eastAsia" w:ascii="宋体" w:hAnsi="宋体"/>
                <w:sz w:val="21"/>
                <w:szCs w:val="21"/>
              </w:rPr>
              <w:t>3.3.1</w:t>
            </w:r>
          </w:p>
        </w:tc>
        <w:tc>
          <w:tcPr>
            <w:tcW w:w="2215" w:type="dxa"/>
            <w:vAlign w:val="center"/>
          </w:tcPr>
          <w:p w14:paraId="03C06CD2">
            <w:pPr>
              <w:spacing w:line="360" w:lineRule="auto"/>
              <w:jc w:val="both"/>
              <w:rPr>
                <w:rFonts w:ascii="宋体" w:hAnsi="宋体"/>
                <w:sz w:val="21"/>
                <w:szCs w:val="21"/>
              </w:rPr>
            </w:pPr>
            <w:r>
              <w:rPr>
                <w:rFonts w:hint="eastAsia" w:ascii="宋体" w:hAnsi="宋体"/>
                <w:sz w:val="21"/>
                <w:szCs w:val="21"/>
              </w:rPr>
              <w:t>投标有效期</w:t>
            </w:r>
          </w:p>
        </w:tc>
        <w:tc>
          <w:tcPr>
            <w:tcW w:w="6593" w:type="dxa"/>
            <w:vAlign w:val="center"/>
          </w:tcPr>
          <w:p w14:paraId="081B7482">
            <w:pPr>
              <w:contextualSpacing/>
              <w:jc w:val="both"/>
              <w:rPr>
                <w:rFonts w:ascii="宋体" w:hAnsi="宋体"/>
                <w:sz w:val="21"/>
                <w:szCs w:val="21"/>
              </w:rPr>
            </w:pPr>
            <w:r>
              <w:rPr>
                <w:rFonts w:hint="eastAsia" w:ascii="宋体" w:hAnsi="宋体"/>
                <w:sz w:val="21"/>
                <w:szCs w:val="21"/>
              </w:rPr>
              <w:t>90天（从投标文件递交截止之日起算）</w:t>
            </w:r>
          </w:p>
        </w:tc>
      </w:tr>
      <w:tr w14:paraId="2BC6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68F30B2D">
            <w:pPr>
              <w:spacing w:line="360" w:lineRule="auto"/>
              <w:jc w:val="both"/>
              <w:rPr>
                <w:rFonts w:ascii="宋体" w:hAnsi="宋体"/>
                <w:sz w:val="21"/>
                <w:szCs w:val="21"/>
              </w:rPr>
            </w:pPr>
            <w:r>
              <w:rPr>
                <w:rFonts w:hint="eastAsia" w:ascii="宋体" w:hAnsi="宋体"/>
                <w:sz w:val="21"/>
                <w:szCs w:val="21"/>
              </w:rPr>
              <w:t>3.4.1</w:t>
            </w:r>
          </w:p>
        </w:tc>
        <w:tc>
          <w:tcPr>
            <w:tcW w:w="2215" w:type="dxa"/>
            <w:vAlign w:val="center"/>
          </w:tcPr>
          <w:p w14:paraId="4F00A4E6">
            <w:pPr>
              <w:spacing w:line="360" w:lineRule="auto"/>
              <w:jc w:val="both"/>
              <w:rPr>
                <w:rFonts w:ascii="宋体" w:hAnsi="宋体"/>
                <w:sz w:val="21"/>
                <w:szCs w:val="21"/>
              </w:rPr>
            </w:pPr>
            <w:r>
              <w:rPr>
                <w:rFonts w:ascii="宋体" w:hAnsi="宋体"/>
                <w:sz w:val="21"/>
                <w:szCs w:val="21"/>
              </w:rPr>
              <w:t>投标保证金</w:t>
            </w:r>
          </w:p>
        </w:tc>
        <w:tc>
          <w:tcPr>
            <w:tcW w:w="6593" w:type="dxa"/>
            <w:vAlign w:val="center"/>
          </w:tcPr>
          <w:p w14:paraId="66C2E671">
            <w:pPr>
              <w:contextualSpacing/>
              <w:jc w:val="both"/>
              <w:rPr>
                <w:rFonts w:ascii="宋体" w:hAnsi="宋体"/>
                <w:sz w:val="21"/>
                <w:szCs w:val="21"/>
              </w:rPr>
            </w:pPr>
            <w:r>
              <w:rPr>
                <w:rFonts w:hint="eastAsia" w:ascii="宋体" w:hAnsi="宋体"/>
                <w:sz w:val="21"/>
                <w:szCs w:val="21"/>
              </w:rPr>
              <w:t>1.保证金金额：￥120000元（人民币壹拾贰万元整）</w:t>
            </w:r>
          </w:p>
          <w:p w14:paraId="5E0F638D">
            <w:pPr>
              <w:contextualSpacing/>
              <w:jc w:val="both"/>
              <w:rPr>
                <w:rFonts w:ascii="宋体" w:hAnsi="宋体"/>
                <w:sz w:val="21"/>
                <w:szCs w:val="21"/>
              </w:rPr>
            </w:pPr>
            <w:r>
              <w:rPr>
                <w:rFonts w:hint="eastAsia" w:ascii="宋体" w:hAnsi="宋体"/>
                <w:sz w:val="21"/>
                <w:szCs w:val="21"/>
              </w:rPr>
              <w:t>2.保证金的提交的三种方式：银行转账、银行保函、投标保证保险。</w:t>
            </w:r>
          </w:p>
          <w:p w14:paraId="0F6B04A6">
            <w:pPr>
              <w:contextualSpacing/>
              <w:jc w:val="both"/>
              <w:rPr>
                <w:rFonts w:ascii="宋体" w:hAnsi="宋体"/>
                <w:sz w:val="21"/>
                <w:szCs w:val="21"/>
              </w:rPr>
            </w:pPr>
            <w:r>
              <w:rPr>
                <w:rFonts w:hint="eastAsia" w:ascii="宋体" w:hAnsi="宋体"/>
                <w:sz w:val="21"/>
                <w:szCs w:val="21"/>
              </w:rPr>
              <w:t>（</w:t>
            </w:r>
            <w:r>
              <w:rPr>
                <w:rFonts w:ascii="宋体" w:hAnsi="宋体"/>
                <w:sz w:val="21"/>
                <w:szCs w:val="21"/>
              </w:rPr>
              <w:t>1</w:t>
            </w:r>
            <w:r>
              <w:rPr>
                <w:rFonts w:hint="eastAsia" w:ascii="宋体" w:hAnsi="宋体"/>
                <w:sz w:val="21"/>
                <w:szCs w:val="21"/>
              </w:rPr>
              <w:t>）银行转账：投标保证金应以投标人自身的名义提交，并且必须从其名下账户转出，不得以分支机构其他名义提交（按照规定，投标人可以为自然人的项目除外）。</w:t>
            </w:r>
          </w:p>
          <w:p w14:paraId="179E016A">
            <w:pPr>
              <w:contextualSpacing/>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）银行保函：保函申请人必须是投标人，受益人必须是招标人；银行保函必须正确填写受益人和申请人的全称，并与招标文件规定的名称相一致，以免造成投标无效。</w:t>
            </w:r>
          </w:p>
          <w:p w14:paraId="23A90053">
            <w:pPr>
              <w:contextualSpacing/>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）投标保证保险：</w:t>
            </w:r>
            <w:r>
              <w:rPr>
                <w:rFonts w:ascii="宋体" w:hAnsi="宋体"/>
                <w:sz w:val="21"/>
                <w:szCs w:val="21"/>
              </w:rPr>
              <w:t>1</w:t>
            </w:r>
            <w:r>
              <w:rPr>
                <w:rFonts w:hint="eastAsia" w:ascii="宋体" w:hAnsi="宋体"/>
                <w:sz w:val="21"/>
                <w:szCs w:val="21"/>
              </w:rPr>
              <w:t>）当投标人未能按照招投标文件要求履行投标义务而导致招标人受到损失时，由保险公司按照保险合同对招标人的损失承担代偿责任。</w:t>
            </w:r>
            <w:r>
              <w:rPr>
                <w:rFonts w:ascii="宋体" w:hAnsi="宋体"/>
                <w:sz w:val="21"/>
                <w:szCs w:val="21"/>
              </w:rPr>
              <w:t>2</w:t>
            </w:r>
            <w:r>
              <w:rPr>
                <w:rFonts w:hint="eastAsia" w:ascii="宋体" w:hAnsi="宋体"/>
                <w:sz w:val="21"/>
                <w:szCs w:val="21"/>
              </w:rPr>
              <w:t>）在投标保证保险中，投标人为投保人，招标人为被保险人。</w:t>
            </w:r>
          </w:p>
          <w:p w14:paraId="257E2833">
            <w:pPr>
              <w:contextualSpacing/>
              <w:jc w:val="both"/>
              <w:rPr>
                <w:rFonts w:ascii="宋体" w:hAnsi="宋体"/>
                <w:sz w:val="21"/>
                <w:szCs w:val="21"/>
              </w:rPr>
            </w:pPr>
            <w:r>
              <w:rPr>
                <w:rFonts w:hint="eastAsia" w:ascii="宋体" w:hAnsi="宋体"/>
                <w:sz w:val="21"/>
                <w:szCs w:val="21"/>
              </w:rPr>
              <w:t>3.投标保证金的办理程序：</w:t>
            </w:r>
          </w:p>
          <w:p w14:paraId="73D90145">
            <w:pPr>
              <w:contextualSpacing/>
              <w:jc w:val="both"/>
              <w:rPr>
                <w:rFonts w:ascii="宋体" w:hAnsi="宋体"/>
                <w:sz w:val="21"/>
                <w:szCs w:val="21"/>
              </w:rPr>
            </w:pPr>
            <w:r>
              <w:rPr>
                <w:rFonts w:hint="eastAsia" w:ascii="宋体" w:hAnsi="宋体"/>
                <w:sz w:val="21"/>
                <w:szCs w:val="21"/>
              </w:rPr>
              <w:t>（1）采用银行转账方式：</w:t>
            </w:r>
          </w:p>
          <w:p w14:paraId="67129E9D">
            <w:pPr>
              <w:contextualSpacing/>
              <w:jc w:val="both"/>
              <w:rPr>
                <w:rFonts w:ascii="宋体" w:hAnsi="宋体"/>
                <w:sz w:val="21"/>
                <w:szCs w:val="21"/>
              </w:rPr>
            </w:pPr>
            <w:r>
              <w:rPr>
                <w:rFonts w:hint="eastAsia" w:ascii="宋体" w:hAnsi="宋体"/>
                <w:sz w:val="21"/>
                <w:szCs w:val="21"/>
              </w:rPr>
              <w:t>开户名称：云南招标股份有限公司</w:t>
            </w:r>
          </w:p>
          <w:p w14:paraId="505BD243">
            <w:pPr>
              <w:contextualSpacing/>
              <w:jc w:val="both"/>
              <w:rPr>
                <w:rFonts w:ascii="宋体" w:hAnsi="宋体"/>
                <w:sz w:val="21"/>
                <w:szCs w:val="21"/>
              </w:rPr>
            </w:pPr>
            <w:r>
              <w:rPr>
                <w:rFonts w:hint="eastAsia" w:ascii="宋体" w:hAnsi="宋体"/>
                <w:sz w:val="21"/>
                <w:szCs w:val="21"/>
              </w:rPr>
              <w:t>开户银行：富滇银行股份有限公司昆明科技支行；</w:t>
            </w:r>
          </w:p>
          <w:p w14:paraId="6D9E3D63">
            <w:pPr>
              <w:contextualSpacing/>
              <w:jc w:val="both"/>
              <w:rPr>
                <w:rFonts w:ascii="宋体" w:hAnsi="宋体"/>
                <w:sz w:val="21"/>
                <w:szCs w:val="21"/>
              </w:rPr>
            </w:pPr>
            <w:r>
              <w:rPr>
                <w:rFonts w:hint="eastAsia" w:ascii="宋体" w:hAnsi="宋体"/>
                <w:sz w:val="21"/>
                <w:szCs w:val="21"/>
              </w:rPr>
              <w:t>开户账号：015343204352；</w:t>
            </w:r>
          </w:p>
          <w:p w14:paraId="6AA5F221">
            <w:pPr>
              <w:contextualSpacing/>
              <w:jc w:val="both"/>
              <w:rPr>
                <w:rFonts w:ascii="宋体" w:hAnsi="宋体"/>
                <w:sz w:val="21"/>
                <w:szCs w:val="21"/>
              </w:rPr>
            </w:pPr>
            <w:r>
              <w:rPr>
                <w:rFonts w:hint="eastAsia" w:ascii="宋体" w:hAnsi="宋体"/>
                <w:sz w:val="21"/>
                <w:szCs w:val="21"/>
              </w:rPr>
              <w:t>办理程序：投标人必须在投标截止时间之前按照招标文件中关于投标保证金的各项要求提交投标保证金。请投标人合理安排投标保证金的递交时间（投标保证金的递交时间以保证金账户实际到账时间为准），否则，因投标保证金未在投标截止时间之前到帐或款项用途不明等原因导致投标无效等后果由投标人自行承担。</w:t>
            </w:r>
          </w:p>
          <w:p w14:paraId="7B46BCDE">
            <w:pPr>
              <w:spacing w:line="240" w:lineRule="auto"/>
              <w:jc w:val="both"/>
              <w:rPr>
                <w:rFonts w:ascii="宋体" w:hAnsi="宋体"/>
                <w:sz w:val="21"/>
                <w:szCs w:val="21"/>
              </w:rPr>
            </w:pPr>
            <w:r>
              <w:rPr>
                <w:rFonts w:hint="eastAsia" w:ascii="宋体" w:hAnsi="宋体"/>
                <w:sz w:val="21"/>
                <w:szCs w:val="21"/>
              </w:rPr>
              <w:t>（2）采用银行保函方式：将银行保函复印件附在投标文件中。投标人办理银行保函完成后请及时（开标截止时间前）将保函扫描件发送至我公司邮箱（310175818@qq.com），保函扫描件中须包含以下信息：保函递交单位、保函受益人、保函编号、到期日、金额。</w:t>
            </w:r>
          </w:p>
          <w:p w14:paraId="63C88B87">
            <w:pPr>
              <w:jc w:val="both"/>
              <w:rPr>
                <w:rFonts w:ascii="宋体" w:hAnsi="宋体"/>
                <w:sz w:val="21"/>
                <w:szCs w:val="21"/>
              </w:rPr>
            </w:pPr>
            <w:r>
              <w:rPr>
                <w:rFonts w:hint="eastAsia" w:ascii="宋体" w:hAnsi="宋体"/>
                <w:sz w:val="21"/>
                <w:szCs w:val="21"/>
              </w:rPr>
              <w:t>（3）采用投标保证保险方式：将投标保证保险复印件附在投标文件中。投标人办理投标保证保险完成后请及时（开标截止时间前）将保险单原件（不能放到word里）直接生成PDF版发送至我公司邮箱（310175818@qq.com），且保险单中“保险期间”的所有时间必须显示完全，不能带星号。</w:t>
            </w:r>
          </w:p>
          <w:p w14:paraId="1F9DB60D">
            <w:pPr>
              <w:contextualSpacing/>
              <w:jc w:val="both"/>
              <w:rPr>
                <w:rFonts w:ascii="宋体" w:hAnsi="宋体"/>
                <w:sz w:val="21"/>
                <w:szCs w:val="21"/>
              </w:rPr>
            </w:pPr>
            <w:r>
              <w:rPr>
                <w:rFonts w:hint="eastAsia" w:ascii="宋体" w:hAnsi="宋体"/>
                <w:sz w:val="21"/>
                <w:szCs w:val="21"/>
              </w:rPr>
              <w:t>注：</w:t>
            </w:r>
          </w:p>
          <w:p w14:paraId="005DDBCE">
            <w:pPr>
              <w:contextualSpacing/>
              <w:jc w:val="both"/>
              <w:rPr>
                <w:rFonts w:ascii="宋体" w:hAnsi="宋体"/>
                <w:b/>
                <w:sz w:val="21"/>
                <w:szCs w:val="21"/>
              </w:rPr>
            </w:pPr>
            <w:r>
              <w:rPr>
                <w:rFonts w:hint="eastAsia" w:ascii="宋体" w:hAnsi="宋体"/>
                <w:sz w:val="21"/>
                <w:szCs w:val="21"/>
              </w:rPr>
              <w:t>1、采用银行转账形式递交投标保证金的，招标项目结束后，我公司将按投标人保证金汇款路径原路退还保证金。因此，投标人不得用私人账户进行汇款。私人账户汇款的保证金为存在瑕疵的保证金，可能导致投标被否决且导致无法退款的情况。投标人应以投标人单位基本账户汇出保证金，如汇款不符合要求导致保证金退还不成功等情况，责任及损失由投标人自行承担。</w:t>
            </w:r>
          </w:p>
        </w:tc>
      </w:tr>
      <w:tr w14:paraId="2890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6AFE8B7A">
            <w:pPr>
              <w:spacing w:line="360" w:lineRule="auto"/>
              <w:jc w:val="both"/>
              <w:rPr>
                <w:rFonts w:ascii="宋体" w:hAnsi="宋体"/>
                <w:sz w:val="21"/>
                <w:szCs w:val="21"/>
              </w:rPr>
            </w:pPr>
            <w:r>
              <w:rPr>
                <w:rFonts w:hint="eastAsia" w:ascii="宋体" w:hAnsi="宋体"/>
                <w:sz w:val="21"/>
                <w:szCs w:val="21"/>
              </w:rPr>
              <w:t>3.6</w:t>
            </w:r>
          </w:p>
        </w:tc>
        <w:tc>
          <w:tcPr>
            <w:tcW w:w="2215" w:type="dxa"/>
            <w:vAlign w:val="center"/>
          </w:tcPr>
          <w:p w14:paraId="4239A6DB">
            <w:pPr>
              <w:jc w:val="both"/>
              <w:rPr>
                <w:rFonts w:ascii="宋体" w:hAnsi="宋体"/>
                <w:sz w:val="21"/>
                <w:szCs w:val="21"/>
              </w:rPr>
            </w:pPr>
            <w:r>
              <w:rPr>
                <w:rFonts w:hint="eastAsia" w:ascii="宋体" w:hAnsi="宋体"/>
                <w:sz w:val="21"/>
                <w:szCs w:val="21"/>
              </w:rPr>
              <w:t>是否允许递交备选投标方案</w:t>
            </w:r>
          </w:p>
        </w:tc>
        <w:tc>
          <w:tcPr>
            <w:tcW w:w="6593" w:type="dxa"/>
            <w:vAlign w:val="center"/>
          </w:tcPr>
          <w:p w14:paraId="38C2E9D0">
            <w:pPr>
              <w:spacing w:line="360" w:lineRule="auto"/>
              <w:jc w:val="both"/>
              <w:rPr>
                <w:rFonts w:ascii="宋体" w:hAnsi="宋体"/>
                <w:sz w:val="21"/>
                <w:szCs w:val="21"/>
              </w:rPr>
            </w:pPr>
            <w:r>
              <w:rPr>
                <w:rFonts w:hint="eastAsia" w:ascii="宋体" w:hAnsi="宋体"/>
                <w:sz w:val="21"/>
                <w:szCs w:val="21"/>
              </w:rPr>
              <w:t>不允许</w:t>
            </w:r>
          </w:p>
        </w:tc>
      </w:tr>
      <w:tr w14:paraId="2F41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50EEA2B3">
            <w:pPr>
              <w:spacing w:line="360" w:lineRule="auto"/>
              <w:jc w:val="both"/>
              <w:rPr>
                <w:rFonts w:ascii="宋体" w:hAnsi="宋体"/>
                <w:sz w:val="21"/>
                <w:szCs w:val="21"/>
              </w:rPr>
            </w:pPr>
            <w:r>
              <w:rPr>
                <w:rFonts w:hint="eastAsia" w:ascii="宋体" w:hAnsi="宋体"/>
                <w:sz w:val="21"/>
                <w:szCs w:val="21"/>
              </w:rPr>
              <w:t>3.</w:t>
            </w:r>
            <w:r>
              <w:rPr>
                <w:rFonts w:ascii="宋体" w:hAnsi="宋体"/>
                <w:sz w:val="21"/>
                <w:szCs w:val="21"/>
              </w:rPr>
              <w:t>7</w:t>
            </w:r>
            <w:r>
              <w:rPr>
                <w:rFonts w:hint="eastAsia" w:ascii="宋体" w:hAnsi="宋体"/>
                <w:sz w:val="21"/>
                <w:szCs w:val="21"/>
              </w:rPr>
              <w:t>.3</w:t>
            </w:r>
          </w:p>
        </w:tc>
        <w:tc>
          <w:tcPr>
            <w:tcW w:w="2215" w:type="dxa"/>
            <w:vAlign w:val="center"/>
          </w:tcPr>
          <w:p w14:paraId="6DE4A06A">
            <w:pPr>
              <w:spacing w:line="360" w:lineRule="auto"/>
              <w:jc w:val="both"/>
              <w:rPr>
                <w:rFonts w:ascii="宋体" w:hAnsi="宋体"/>
                <w:sz w:val="21"/>
                <w:szCs w:val="21"/>
              </w:rPr>
            </w:pPr>
            <w:r>
              <w:rPr>
                <w:rFonts w:hint="eastAsia" w:ascii="宋体" w:hAnsi="宋体"/>
                <w:sz w:val="21"/>
                <w:szCs w:val="21"/>
              </w:rPr>
              <w:t>签字或盖章要求</w:t>
            </w:r>
          </w:p>
        </w:tc>
        <w:tc>
          <w:tcPr>
            <w:tcW w:w="6593" w:type="dxa"/>
            <w:vAlign w:val="center"/>
          </w:tcPr>
          <w:p w14:paraId="76EAF838">
            <w:pPr>
              <w:spacing w:line="360" w:lineRule="auto"/>
              <w:jc w:val="both"/>
              <w:rPr>
                <w:rFonts w:ascii="宋体" w:hAnsi="宋体"/>
                <w:bCs/>
                <w:sz w:val="21"/>
                <w:szCs w:val="21"/>
              </w:rPr>
            </w:pPr>
            <w:r>
              <w:rPr>
                <w:rFonts w:hint="eastAsia" w:ascii="宋体" w:hAnsi="宋体"/>
                <w:sz w:val="21"/>
                <w:szCs w:val="21"/>
              </w:rPr>
              <w:t>投标文件封面及招标文件明确要求签署的文件均应加盖投标人公章并经法定代表人（或其委托代理人）签字或盖章。由委托代理人签字或盖章的在投标文件中须同时提交投标文件签署授权委托书并加盖公章。投标文件中所有要求盖章的地方不能电子章或彩打扫描件代替，要求使用投标人鲜章。</w:t>
            </w:r>
          </w:p>
        </w:tc>
      </w:tr>
      <w:tr w14:paraId="07C3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7AA50306">
            <w:pPr>
              <w:spacing w:line="360" w:lineRule="auto"/>
              <w:jc w:val="both"/>
              <w:rPr>
                <w:rFonts w:ascii="宋体" w:hAnsi="宋体"/>
                <w:sz w:val="21"/>
                <w:szCs w:val="21"/>
              </w:rPr>
            </w:pPr>
            <w:r>
              <w:rPr>
                <w:rFonts w:ascii="宋体" w:hAnsi="宋体"/>
                <w:sz w:val="21"/>
                <w:szCs w:val="21"/>
              </w:rPr>
              <w:t>3.7.4</w:t>
            </w:r>
          </w:p>
        </w:tc>
        <w:tc>
          <w:tcPr>
            <w:tcW w:w="2215" w:type="dxa"/>
            <w:vAlign w:val="center"/>
          </w:tcPr>
          <w:p w14:paraId="2771E688">
            <w:pPr>
              <w:spacing w:line="360" w:lineRule="auto"/>
              <w:jc w:val="both"/>
              <w:rPr>
                <w:rFonts w:ascii="宋体" w:hAnsi="宋体"/>
                <w:sz w:val="21"/>
                <w:szCs w:val="21"/>
              </w:rPr>
            </w:pPr>
            <w:r>
              <w:rPr>
                <w:rFonts w:hint="eastAsia" w:ascii="宋体" w:hAnsi="宋体"/>
                <w:sz w:val="21"/>
                <w:szCs w:val="21"/>
              </w:rPr>
              <w:t>投标文件份数</w:t>
            </w:r>
          </w:p>
        </w:tc>
        <w:tc>
          <w:tcPr>
            <w:tcW w:w="6593" w:type="dxa"/>
            <w:vAlign w:val="center"/>
          </w:tcPr>
          <w:p w14:paraId="57A5B1DE">
            <w:pPr>
              <w:spacing w:line="360" w:lineRule="auto"/>
              <w:jc w:val="both"/>
              <w:rPr>
                <w:rFonts w:ascii="宋体" w:hAnsi="宋体"/>
                <w:b/>
                <w:sz w:val="21"/>
                <w:szCs w:val="21"/>
              </w:rPr>
            </w:pPr>
            <w:r>
              <w:rPr>
                <w:rFonts w:hint="eastAsia" w:ascii="宋体" w:hAnsi="宋体"/>
                <w:sz w:val="21"/>
                <w:szCs w:val="21"/>
              </w:rPr>
              <w:t>投标文件份数：壹份正本，贰份副本；若招标人需要，中标单位在收到中标通知书后应再按招标人要求免费提供相应份数的投标文件副本（须与中标的投标文件正本一致）。</w:t>
            </w:r>
            <w:r>
              <w:rPr>
                <w:rFonts w:hint="eastAsia" w:ascii="宋体" w:hAnsi="宋体"/>
                <w:b/>
                <w:sz w:val="21"/>
                <w:szCs w:val="21"/>
              </w:rPr>
              <w:t>建议投标文件采用双面印制。</w:t>
            </w:r>
          </w:p>
          <w:p w14:paraId="0AA56FE9">
            <w:pPr>
              <w:spacing w:line="360" w:lineRule="auto"/>
              <w:jc w:val="both"/>
              <w:rPr>
                <w:rFonts w:ascii="宋体" w:hAnsi="宋体"/>
                <w:b/>
                <w:sz w:val="21"/>
                <w:szCs w:val="21"/>
              </w:rPr>
            </w:pPr>
            <w:r>
              <w:rPr>
                <w:rFonts w:hint="eastAsia" w:ascii="宋体" w:hAnsi="宋体"/>
                <w:sz w:val="21"/>
                <w:szCs w:val="21"/>
              </w:rPr>
              <w:t>投标文件电子版：电子版文件</w:t>
            </w:r>
            <w:r>
              <w:rPr>
                <w:rFonts w:ascii="宋体" w:hAnsi="宋体"/>
                <w:sz w:val="21"/>
                <w:szCs w:val="21"/>
              </w:rPr>
              <w:t>U</w:t>
            </w:r>
            <w:r>
              <w:rPr>
                <w:rFonts w:hint="eastAsia" w:ascii="宋体" w:hAnsi="宋体"/>
                <w:sz w:val="21"/>
                <w:szCs w:val="21"/>
              </w:rPr>
              <w:t>盘一份（电子文档包括全套</w:t>
            </w:r>
            <w:r>
              <w:rPr>
                <w:rFonts w:ascii="宋体" w:hAnsi="宋体"/>
                <w:sz w:val="21"/>
                <w:szCs w:val="21"/>
              </w:rPr>
              <w:t>word</w:t>
            </w:r>
            <w:r>
              <w:rPr>
                <w:rFonts w:hint="eastAsia" w:ascii="宋体" w:hAnsi="宋体"/>
                <w:sz w:val="21"/>
                <w:szCs w:val="21"/>
              </w:rPr>
              <w:t>版及正本签字盖章后</w:t>
            </w:r>
            <w:r>
              <w:rPr>
                <w:rFonts w:ascii="宋体" w:hAnsi="宋体"/>
                <w:sz w:val="21"/>
                <w:szCs w:val="21"/>
              </w:rPr>
              <w:t>pdf</w:t>
            </w:r>
            <w:r>
              <w:rPr>
                <w:rFonts w:hint="eastAsia" w:ascii="宋体" w:hAnsi="宋体"/>
                <w:sz w:val="21"/>
                <w:szCs w:val="21"/>
              </w:rPr>
              <w:t>扫描件）。</w:t>
            </w:r>
          </w:p>
        </w:tc>
      </w:tr>
      <w:tr w14:paraId="2EF7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5F8EA291">
            <w:pPr>
              <w:spacing w:line="360" w:lineRule="auto"/>
              <w:jc w:val="both"/>
              <w:rPr>
                <w:rFonts w:ascii="宋体" w:hAnsi="宋体"/>
                <w:sz w:val="21"/>
                <w:szCs w:val="21"/>
              </w:rPr>
            </w:pPr>
            <w:r>
              <w:rPr>
                <w:rFonts w:hint="eastAsia" w:ascii="宋体" w:hAnsi="宋体"/>
                <w:sz w:val="21"/>
                <w:szCs w:val="21"/>
              </w:rPr>
              <w:t>3.</w:t>
            </w:r>
            <w:r>
              <w:rPr>
                <w:rFonts w:ascii="宋体" w:hAnsi="宋体"/>
                <w:sz w:val="21"/>
                <w:szCs w:val="21"/>
              </w:rPr>
              <w:t>7</w:t>
            </w:r>
            <w:r>
              <w:rPr>
                <w:rFonts w:hint="eastAsia" w:ascii="宋体" w:hAnsi="宋体"/>
                <w:sz w:val="21"/>
                <w:szCs w:val="21"/>
              </w:rPr>
              <w:t>.5</w:t>
            </w:r>
          </w:p>
        </w:tc>
        <w:tc>
          <w:tcPr>
            <w:tcW w:w="2215" w:type="dxa"/>
            <w:vAlign w:val="center"/>
          </w:tcPr>
          <w:p w14:paraId="7DFF7900">
            <w:pPr>
              <w:spacing w:line="360" w:lineRule="auto"/>
              <w:jc w:val="both"/>
              <w:rPr>
                <w:rFonts w:ascii="宋体" w:hAnsi="宋体"/>
                <w:sz w:val="21"/>
                <w:szCs w:val="21"/>
              </w:rPr>
            </w:pPr>
            <w:r>
              <w:rPr>
                <w:rFonts w:hint="eastAsia" w:ascii="宋体" w:hAnsi="宋体"/>
                <w:sz w:val="21"/>
                <w:szCs w:val="21"/>
              </w:rPr>
              <w:t>装订要求</w:t>
            </w:r>
          </w:p>
        </w:tc>
        <w:tc>
          <w:tcPr>
            <w:tcW w:w="6593" w:type="dxa"/>
            <w:vAlign w:val="center"/>
          </w:tcPr>
          <w:p w14:paraId="4CD1FD85">
            <w:pPr>
              <w:spacing w:line="360" w:lineRule="auto"/>
              <w:jc w:val="both"/>
              <w:rPr>
                <w:rFonts w:ascii="宋体" w:hAnsi="宋体"/>
                <w:sz w:val="21"/>
                <w:szCs w:val="21"/>
              </w:rPr>
            </w:pPr>
            <w:r>
              <w:rPr>
                <w:rFonts w:hint="eastAsia" w:ascii="宋体" w:hAnsi="宋体"/>
                <w:sz w:val="21"/>
                <w:szCs w:val="21"/>
              </w:rPr>
              <w:t>不提倡豪华装帧，投标文件的正本与副本应密封完好，不得采用活页夹等可随时拆换的方式装订。投标文件应编制目录，并且逐页标注连续页码，否则，招标人对由于投标文件装订松散而造成的丢失或其他后果不承担任何责任。</w:t>
            </w:r>
          </w:p>
        </w:tc>
      </w:tr>
      <w:tr w14:paraId="7AC1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6F0F204E">
            <w:pPr>
              <w:spacing w:line="360" w:lineRule="auto"/>
              <w:jc w:val="both"/>
              <w:rPr>
                <w:rFonts w:ascii="宋体" w:hAnsi="宋体"/>
                <w:sz w:val="21"/>
                <w:szCs w:val="21"/>
              </w:rPr>
            </w:pPr>
            <w:r>
              <w:rPr>
                <w:rFonts w:hint="eastAsia" w:ascii="宋体" w:hAnsi="宋体"/>
                <w:sz w:val="21"/>
                <w:szCs w:val="21"/>
              </w:rPr>
              <w:t>4.1.1</w:t>
            </w:r>
          </w:p>
        </w:tc>
        <w:tc>
          <w:tcPr>
            <w:tcW w:w="2215" w:type="dxa"/>
            <w:vAlign w:val="center"/>
          </w:tcPr>
          <w:p w14:paraId="32573FE8">
            <w:pPr>
              <w:spacing w:line="360" w:lineRule="auto"/>
              <w:jc w:val="both"/>
              <w:rPr>
                <w:rFonts w:ascii="宋体" w:hAnsi="宋体"/>
                <w:sz w:val="21"/>
                <w:szCs w:val="21"/>
              </w:rPr>
            </w:pPr>
            <w:r>
              <w:rPr>
                <w:rFonts w:ascii="宋体" w:hAnsi="宋体"/>
                <w:sz w:val="21"/>
                <w:szCs w:val="21"/>
              </w:rPr>
              <w:t>投标文件密封</w:t>
            </w:r>
          </w:p>
        </w:tc>
        <w:tc>
          <w:tcPr>
            <w:tcW w:w="6593" w:type="dxa"/>
            <w:vAlign w:val="center"/>
          </w:tcPr>
          <w:p w14:paraId="583B6C97">
            <w:pPr>
              <w:spacing w:line="360" w:lineRule="auto"/>
              <w:jc w:val="both"/>
              <w:rPr>
                <w:rFonts w:ascii="宋体" w:hAnsi="宋体"/>
                <w:sz w:val="21"/>
                <w:szCs w:val="21"/>
              </w:rPr>
            </w:pPr>
            <w:r>
              <w:rPr>
                <w:rFonts w:ascii="宋体" w:hAnsi="宋体"/>
                <w:sz w:val="21"/>
                <w:szCs w:val="21"/>
              </w:rPr>
              <w:t>投标文件</w:t>
            </w:r>
            <w:r>
              <w:rPr>
                <w:rFonts w:hint="eastAsia" w:ascii="宋体" w:hAnsi="宋体"/>
                <w:sz w:val="21"/>
                <w:szCs w:val="21"/>
              </w:rPr>
              <w:t>应密封完好</w:t>
            </w:r>
            <w:r>
              <w:rPr>
                <w:rFonts w:ascii="宋体" w:hAnsi="宋体"/>
                <w:sz w:val="21"/>
                <w:szCs w:val="21"/>
              </w:rPr>
              <w:t>，</w:t>
            </w:r>
            <w:r>
              <w:rPr>
                <w:rFonts w:hint="eastAsia" w:ascii="宋体" w:hAnsi="宋体"/>
                <w:sz w:val="21"/>
                <w:szCs w:val="21"/>
              </w:rPr>
              <w:t>投标文件正本、副本、电子版一起密封，</w:t>
            </w:r>
            <w:r>
              <w:rPr>
                <w:rFonts w:ascii="宋体" w:hAnsi="宋体"/>
                <w:sz w:val="21"/>
                <w:szCs w:val="21"/>
              </w:rPr>
              <w:t>并加盖单位公章</w:t>
            </w:r>
            <w:r>
              <w:rPr>
                <w:rFonts w:hint="eastAsia" w:ascii="宋体" w:hAnsi="宋体"/>
                <w:sz w:val="21"/>
                <w:szCs w:val="21"/>
              </w:rPr>
              <w:t>或密封章</w:t>
            </w:r>
            <w:r>
              <w:rPr>
                <w:rFonts w:ascii="宋体" w:hAnsi="宋体"/>
                <w:sz w:val="21"/>
                <w:szCs w:val="21"/>
              </w:rPr>
              <w:t>。</w:t>
            </w:r>
          </w:p>
        </w:tc>
      </w:tr>
      <w:tr w14:paraId="44A5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74A47B2B">
            <w:pPr>
              <w:spacing w:line="360" w:lineRule="auto"/>
              <w:jc w:val="both"/>
              <w:rPr>
                <w:rFonts w:ascii="宋体" w:hAnsi="宋体"/>
                <w:sz w:val="21"/>
                <w:szCs w:val="21"/>
              </w:rPr>
            </w:pPr>
            <w:r>
              <w:rPr>
                <w:rFonts w:hint="eastAsia" w:ascii="宋体" w:hAnsi="宋体"/>
                <w:sz w:val="21"/>
                <w:szCs w:val="21"/>
              </w:rPr>
              <w:t>4.1.2</w:t>
            </w:r>
          </w:p>
        </w:tc>
        <w:tc>
          <w:tcPr>
            <w:tcW w:w="2215" w:type="dxa"/>
            <w:vAlign w:val="center"/>
          </w:tcPr>
          <w:p w14:paraId="651621B8">
            <w:pPr>
              <w:spacing w:line="360" w:lineRule="auto"/>
              <w:jc w:val="both"/>
              <w:rPr>
                <w:rFonts w:ascii="宋体" w:hAnsi="宋体"/>
                <w:sz w:val="21"/>
                <w:szCs w:val="21"/>
              </w:rPr>
            </w:pPr>
            <w:r>
              <w:rPr>
                <w:rFonts w:hint="eastAsia" w:ascii="宋体" w:hAnsi="宋体"/>
                <w:sz w:val="21"/>
                <w:szCs w:val="21"/>
              </w:rPr>
              <w:t>封套上写明</w:t>
            </w:r>
          </w:p>
        </w:tc>
        <w:tc>
          <w:tcPr>
            <w:tcW w:w="6593" w:type="dxa"/>
            <w:vAlign w:val="center"/>
          </w:tcPr>
          <w:p w14:paraId="1D188EDA">
            <w:pPr>
              <w:spacing w:line="360" w:lineRule="auto"/>
              <w:ind w:firstLine="4" w:firstLineChars="2"/>
              <w:jc w:val="both"/>
              <w:rPr>
                <w:rFonts w:ascii="宋体" w:hAnsi="宋体"/>
                <w:sz w:val="21"/>
                <w:szCs w:val="21"/>
              </w:rPr>
            </w:pPr>
            <w:r>
              <w:rPr>
                <w:rFonts w:ascii="宋体" w:hAnsi="宋体"/>
                <w:sz w:val="21"/>
                <w:szCs w:val="21"/>
              </w:rPr>
              <w:t>投标文件外层封套密封</w:t>
            </w:r>
            <w:r>
              <w:rPr>
                <w:rFonts w:hint="eastAsia" w:ascii="宋体" w:hAnsi="宋体"/>
                <w:sz w:val="21"/>
                <w:szCs w:val="21"/>
              </w:rPr>
              <w:t>，并写明</w:t>
            </w:r>
            <w:r>
              <w:rPr>
                <w:rFonts w:ascii="宋体" w:hAnsi="宋体"/>
                <w:sz w:val="21"/>
                <w:szCs w:val="21"/>
              </w:rPr>
              <w:t>：</w:t>
            </w:r>
          </w:p>
          <w:p w14:paraId="522CF01A">
            <w:pPr>
              <w:spacing w:line="360" w:lineRule="auto"/>
              <w:ind w:firstLine="4" w:firstLineChars="2"/>
              <w:jc w:val="both"/>
              <w:rPr>
                <w:rFonts w:ascii="宋体" w:hAnsi="宋体"/>
                <w:sz w:val="21"/>
                <w:szCs w:val="21"/>
              </w:rPr>
            </w:pPr>
            <w:r>
              <w:rPr>
                <w:rFonts w:ascii="宋体" w:hAnsi="宋体"/>
                <w:sz w:val="21"/>
                <w:szCs w:val="21"/>
              </w:rPr>
              <w:t>（1）招标人名称</w:t>
            </w:r>
            <w:r>
              <w:rPr>
                <w:rFonts w:hint="eastAsia" w:ascii="宋体" w:hAnsi="宋体"/>
                <w:sz w:val="21"/>
                <w:szCs w:val="21"/>
              </w:rPr>
              <w:t>：</w:t>
            </w:r>
          </w:p>
          <w:p w14:paraId="2103E40C">
            <w:pPr>
              <w:spacing w:line="360" w:lineRule="auto"/>
              <w:ind w:firstLine="4" w:firstLineChars="2"/>
              <w:jc w:val="both"/>
              <w:rPr>
                <w:rFonts w:ascii="宋体" w:hAnsi="宋体"/>
                <w:sz w:val="21"/>
                <w:szCs w:val="21"/>
              </w:rPr>
            </w:pPr>
            <w:r>
              <w:rPr>
                <w:rFonts w:ascii="宋体" w:hAnsi="宋体"/>
                <w:sz w:val="21"/>
                <w:szCs w:val="21"/>
              </w:rPr>
              <w:t>（2）</w:t>
            </w:r>
            <w:r>
              <w:rPr>
                <w:rFonts w:hint="eastAsia" w:ascii="宋体" w:hAnsi="宋体"/>
                <w:sz w:val="21"/>
                <w:szCs w:val="21"/>
              </w:rPr>
              <w:t>项目编号：</w:t>
            </w:r>
          </w:p>
          <w:p w14:paraId="2D506897">
            <w:pPr>
              <w:spacing w:line="360" w:lineRule="auto"/>
              <w:ind w:firstLine="4" w:firstLineChars="2"/>
              <w:jc w:val="both"/>
              <w:rPr>
                <w:rFonts w:ascii="宋体" w:hAnsi="宋体"/>
                <w:sz w:val="21"/>
                <w:szCs w:val="21"/>
              </w:rPr>
            </w:pPr>
            <w:r>
              <w:rPr>
                <w:rFonts w:ascii="宋体" w:hAnsi="宋体"/>
                <w:sz w:val="21"/>
                <w:szCs w:val="21"/>
              </w:rPr>
              <w:t>（3）</w:t>
            </w:r>
            <w:r>
              <w:rPr>
                <w:rFonts w:ascii="宋体" w:hAnsi="宋体"/>
                <w:sz w:val="21"/>
                <w:szCs w:val="21"/>
                <w:u w:val="single"/>
              </w:rPr>
              <w:t xml:space="preserve">           （项目名称）     </w:t>
            </w:r>
            <w:r>
              <w:rPr>
                <w:rFonts w:hint="eastAsia" w:ascii="宋体" w:hAnsi="宋体"/>
                <w:sz w:val="21"/>
                <w:szCs w:val="21"/>
                <w:u w:val="single"/>
              </w:rPr>
              <w:t xml:space="preserve">             </w:t>
            </w:r>
            <w:r>
              <w:rPr>
                <w:rFonts w:ascii="宋体" w:hAnsi="宋体"/>
                <w:sz w:val="21"/>
                <w:szCs w:val="21"/>
              </w:rPr>
              <w:t>投标文件；</w:t>
            </w:r>
          </w:p>
          <w:p w14:paraId="00C94698">
            <w:pPr>
              <w:spacing w:line="360" w:lineRule="auto"/>
              <w:ind w:firstLine="4" w:firstLineChars="2"/>
              <w:jc w:val="both"/>
              <w:rPr>
                <w:rFonts w:ascii="宋体" w:hAnsi="宋体"/>
                <w:b/>
                <w:sz w:val="21"/>
                <w:szCs w:val="21"/>
              </w:rPr>
            </w:pPr>
            <w:r>
              <w:rPr>
                <w:rFonts w:ascii="宋体" w:hAnsi="宋体"/>
                <w:sz w:val="21"/>
                <w:szCs w:val="21"/>
              </w:rPr>
              <w:t>（4）</w:t>
            </w:r>
            <w:r>
              <w:rPr>
                <w:rFonts w:ascii="宋体" w:hAnsi="宋体"/>
                <w:sz w:val="21"/>
                <w:szCs w:val="21"/>
                <w:u w:val="single"/>
              </w:rPr>
              <w:t xml:space="preserve">   </w:t>
            </w:r>
            <w:r>
              <w:rPr>
                <w:rFonts w:ascii="宋体" w:hAnsi="宋体"/>
                <w:sz w:val="21"/>
                <w:szCs w:val="21"/>
              </w:rPr>
              <w:t>年</w:t>
            </w:r>
            <w:r>
              <w:rPr>
                <w:rFonts w:ascii="宋体" w:hAnsi="宋体"/>
                <w:sz w:val="21"/>
                <w:szCs w:val="21"/>
                <w:u w:val="single"/>
              </w:rPr>
              <w:t xml:space="preserve">  </w:t>
            </w:r>
            <w:r>
              <w:rPr>
                <w:rFonts w:ascii="宋体" w:hAnsi="宋体"/>
                <w:sz w:val="21"/>
                <w:szCs w:val="21"/>
              </w:rPr>
              <w:t>月</w:t>
            </w:r>
            <w:r>
              <w:rPr>
                <w:rFonts w:ascii="宋体" w:hAnsi="宋体"/>
                <w:sz w:val="21"/>
                <w:szCs w:val="21"/>
                <w:u w:val="single"/>
              </w:rPr>
              <w:t xml:space="preserve">  </w:t>
            </w:r>
            <w:r>
              <w:rPr>
                <w:rFonts w:ascii="宋体" w:hAnsi="宋体"/>
                <w:sz w:val="21"/>
                <w:szCs w:val="21"/>
              </w:rPr>
              <w:t>日</w:t>
            </w:r>
            <w:r>
              <w:rPr>
                <w:rFonts w:ascii="宋体" w:hAnsi="宋体"/>
                <w:sz w:val="21"/>
                <w:szCs w:val="21"/>
                <w:u w:val="single"/>
              </w:rPr>
              <w:t xml:space="preserve">  </w:t>
            </w:r>
            <w:r>
              <w:rPr>
                <w:rFonts w:ascii="宋体" w:hAnsi="宋体"/>
                <w:sz w:val="21"/>
                <w:szCs w:val="21"/>
              </w:rPr>
              <w:t>午</w:t>
            </w:r>
            <w:r>
              <w:rPr>
                <w:rFonts w:ascii="宋体" w:hAnsi="宋体"/>
                <w:sz w:val="21"/>
                <w:szCs w:val="21"/>
                <w:u w:val="single"/>
              </w:rPr>
              <w:t xml:space="preserve">  </w:t>
            </w:r>
            <w:r>
              <w:rPr>
                <w:rFonts w:ascii="宋体" w:hAnsi="宋体"/>
                <w:sz w:val="21"/>
                <w:szCs w:val="21"/>
              </w:rPr>
              <w:t>时</w:t>
            </w:r>
            <w:r>
              <w:rPr>
                <w:rFonts w:ascii="宋体" w:hAnsi="宋体"/>
                <w:sz w:val="21"/>
                <w:szCs w:val="21"/>
                <w:u w:val="single"/>
              </w:rPr>
              <w:t xml:space="preserve">  </w:t>
            </w:r>
            <w:r>
              <w:rPr>
                <w:rFonts w:ascii="宋体" w:hAnsi="宋体"/>
                <w:sz w:val="21"/>
                <w:szCs w:val="21"/>
              </w:rPr>
              <w:t>分</w:t>
            </w:r>
            <w:r>
              <w:rPr>
                <w:rFonts w:hint="eastAsia" w:ascii="宋体" w:hAnsi="宋体"/>
                <w:sz w:val="21"/>
                <w:szCs w:val="21"/>
              </w:rPr>
              <w:t>（北京时间）</w:t>
            </w:r>
            <w:r>
              <w:rPr>
                <w:rFonts w:ascii="宋体" w:hAnsi="宋体"/>
                <w:sz w:val="21"/>
                <w:szCs w:val="21"/>
              </w:rPr>
              <w:t>开标，此时间以前不得开封。</w:t>
            </w:r>
          </w:p>
        </w:tc>
      </w:tr>
      <w:tr w14:paraId="0880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D32D6F3">
            <w:pPr>
              <w:spacing w:line="360" w:lineRule="auto"/>
              <w:jc w:val="both"/>
              <w:rPr>
                <w:rFonts w:ascii="宋体" w:hAnsi="宋体"/>
                <w:sz w:val="21"/>
                <w:szCs w:val="21"/>
              </w:rPr>
            </w:pPr>
            <w:r>
              <w:rPr>
                <w:rFonts w:hint="eastAsia" w:ascii="宋体" w:hAnsi="宋体"/>
                <w:sz w:val="21"/>
                <w:szCs w:val="21"/>
              </w:rPr>
              <w:t>4.2.2</w:t>
            </w:r>
          </w:p>
        </w:tc>
        <w:tc>
          <w:tcPr>
            <w:tcW w:w="2215" w:type="dxa"/>
            <w:vAlign w:val="center"/>
          </w:tcPr>
          <w:p w14:paraId="126CEF16">
            <w:pPr>
              <w:spacing w:line="360" w:lineRule="auto"/>
              <w:jc w:val="both"/>
              <w:rPr>
                <w:rFonts w:ascii="宋体" w:hAnsi="宋体"/>
                <w:sz w:val="21"/>
                <w:szCs w:val="21"/>
              </w:rPr>
            </w:pPr>
            <w:r>
              <w:rPr>
                <w:rFonts w:hint="eastAsia" w:ascii="宋体" w:hAnsi="宋体"/>
                <w:sz w:val="21"/>
                <w:szCs w:val="21"/>
              </w:rPr>
              <w:t>投标文件递交地点</w:t>
            </w:r>
          </w:p>
        </w:tc>
        <w:tc>
          <w:tcPr>
            <w:tcW w:w="6593" w:type="dxa"/>
            <w:vAlign w:val="center"/>
          </w:tcPr>
          <w:p w14:paraId="781CEB6A">
            <w:pPr>
              <w:spacing w:line="360" w:lineRule="auto"/>
              <w:ind w:firstLine="4" w:firstLineChars="2"/>
              <w:jc w:val="both"/>
              <w:rPr>
                <w:rFonts w:ascii="宋体" w:hAnsi="宋体"/>
                <w:sz w:val="21"/>
                <w:szCs w:val="21"/>
              </w:rPr>
            </w:pPr>
            <w:r>
              <w:rPr>
                <w:rFonts w:ascii="宋体" w:hAnsi="宋体"/>
                <w:sz w:val="21"/>
                <w:szCs w:val="21"/>
              </w:rPr>
              <w:t>详见第一章招标公告</w:t>
            </w:r>
            <w:r>
              <w:rPr>
                <w:rFonts w:hint="eastAsia" w:ascii="宋体" w:hAnsi="宋体"/>
                <w:sz w:val="21"/>
                <w:szCs w:val="21"/>
              </w:rPr>
              <w:t>。</w:t>
            </w:r>
          </w:p>
        </w:tc>
      </w:tr>
      <w:tr w14:paraId="707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3CF822C2">
            <w:pPr>
              <w:spacing w:line="360" w:lineRule="auto"/>
              <w:jc w:val="both"/>
              <w:rPr>
                <w:rFonts w:ascii="宋体" w:hAnsi="宋体"/>
                <w:sz w:val="21"/>
                <w:szCs w:val="21"/>
              </w:rPr>
            </w:pPr>
            <w:r>
              <w:rPr>
                <w:rFonts w:hint="eastAsia" w:ascii="宋体" w:hAnsi="宋体"/>
                <w:sz w:val="21"/>
                <w:szCs w:val="21"/>
              </w:rPr>
              <w:t>4.2.3</w:t>
            </w:r>
          </w:p>
        </w:tc>
        <w:tc>
          <w:tcPr>
            <w:tcW w:w="2215" w:type="dxa"/>
            <w:vAlign w:val="center"/>
          </w:tcPr>
          <w:p w14:paraId="165A4B57">
            <w:pPr>
              <w:spacing w:line="360" w:lineRule="auto"/>
              <w:jc w:val="both"/>
              <w:rPr>
                <w:rFonts w:ascii="宋体" w:hAnsi="宋体"/>
                <w:sz w:val="21"/>
                <w:szCs w:val="21"/>
              </w:rPr>
            </w:pPr>
            <w:r>
              <w:rPr>
                <w:rFonts w:hint="eastAsia" w:ascii="宋体" w:hAnsi="宋体"/>
                <w:sz w:val="21"/>
                <w:szCs w:val="21"/>
              </w:rPr>
              <w:t>是否退还投标文件</w:t>
            </w:r>
          </w:p>
        </w:tc>
        <w:tc>
          <w:tcPr>
            <w:tcW w:w="6593" w:type="dxa"/>
            <w:vAlign w:val="center"/>
          </w:tcPr>
          <w:p w14:paraId="2108FA6F">
            <w:pPr>
              <w:spacing w:line="360" w:lineRule="auto"/>
              <w:jc w:val="both"/>
              <w:rPr>
                <w:rFonts w:ascii="宋体" w:hAnsi="宋体"/>
                <w:sz w:val="21"/>
                <w:szCs w:val="21"/>
              </w:rPr>
            </w:pPr>
            <w:r>
              <w:rPr>
                <w:rFonts w:hint="eastAsia" w:ascii="宋体" w:hAnsi="宋体"/>
                <w:sz w:val="21"/>
                <w:szCs w:val="21"/>
              </w:rPr>
              <w:t>否</w:t>
            </w:r>
          </w:p>
        </w:tc>
      </w:tr>
      <w:tr w14:paraId="54F7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6A9BE0C4">
            <w:pPr>
              <w:spacing w:line="360" w:lineRule="auto"/>
              <w:jc w:val="both"/>
              <w:rPr>
                <w:rFonts w:ascii="宋体" w:hAnsi="宋体"/>
                <w:sz w:val="21"/>
                <w:szCs w:val="21"/>
              </w:rPr>
            </w:pPr>
            <w:r>
              <w:rPr>
                <w:rFonts w:hint="eastAsia" w:ascii="宋体" w:hAnsi="宋体"/>
                <w:sz w:val="21"/>
                <w:szCs w:val="21"/>
              </w:rPr>
              <w:t>5.1</w:t>
            </w:r>
          </w:p>
        </w:tc>
        <w:tc>
          <w:tcPr>
            <w:tcW w:w="2215" w:type="dxa"/>
            <w:vAlign w:val="center"/>
          </w:tcPr>
          <w:p w14:paraId="790AAB9F">
            <w:pPr>
              <w:spacing w:line="360" w:lineRule="auto"/>
              <w:jc w:val="both"/>
              <w:rPr>
                <w:rFonts w:ascii="宋体" w:hAnsi="宋体"/>
                <w:sz w:val="21"/>
                <w:szCs w:val="21"/>
              </w:rPr>
            </w:pPr>
            <w:r>
              <w:rPr>
                <w:rFonts w:hint="eastAsia" w:ascii="宋体" w:hAnsi="宋体"/>
                <w:sz w:val="21"/>
                <w:szCs w:val="21"/>
              </w:rPr>
              <w:t>开标时间和地点</w:t>
            </w:r>
          </w:p>
        </w:tc>
        <w:tc>
          <w:tcPr>
            <w:tcW w:w="6593" w:type="dxa"/>
            <w:vAlign w:val="center"/>
          </w:tcPr>
          <w:p w14:paraId="2966EC99">
            <w:pPr>
              <w:spacing w:line="360" w:lineRule="auto"/>
              <w:jc w:val="both"/>
              <w:rPr>
                <w:rFonts w:ascii="宋体" w:hAnsi="宋体"/>
                <w:sz w:val="21"/>
                <w:szCs w:val="21"/>
              </w:rPr>
            </w:pPr>
            <w:r>
              <w:rPr>
                <w:rFonts w:hint="eastAsia" w:ascii="宋体" w:hAnsi="宋体"/>
                <w:sz w:val="21"/>
                <w:szCs w:val="21"/>
              </w:rPr>
              <w:t>开标时间（同投标截止时间）：详见招标公告。</w:t>
            </w:r>
          </w:p>
          <w:p w14:paraId="6C8F6A8B">
            <w:pPr>
              <w:spacing w:line="360" w:lineRule="auto"/>
              <w:jc w:val="both"/>
              <w:rPr>
                <w:rFonts w:ascii="宋体" w:hAnsi="宋体"/>
                <w:sz w:val="21"/>
                <w:szCs w:val="21"/>
              </w:rPr>
            </w:pPr>
            <w:r>
              <w:rPr>
                <w:rFonts w:hint="eastAsia" w:ascii="宋体" w:hAnsi="宋体"/>
                <w:sz w:val="21"/>
                <w:szCs w:val="21"/>
              </w:rPr>
              <w:t>开标地点：详见招标公告。</w:t>
            </w:r>
          </w:p>
        </w:tc>
      </w:tr>
      <w:tr w14:paraId="74BFB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2CCC251F">
            <w:pPr>
              <w:spacing w:line="360" w:lineRule="auto"/>
              <w:jc w:val="both"/>
              <w:rPr>
                <w:rFonts w:ascii="宋体" w:hAnsi="宋体"/>
                <w:sz w:val="21"/>
                <w:szCs w:val="21"/>
              </w:rPr>
            </w:pPr>
            <w:r>
              <w:rPr>
                <w:rFonts w:hint="eastAsia" w:ascii="宋体" w:hAnsi="宋体"/>
                <w:sz w:val="21"/>
                <w:szCs w:val="21"/>
              </w:rPr>
              <w:t>5.2</w:t>
            </w:r>
          </w:p>
        </w:tc>
        <w:tc>
          <w:tcPr>
            <w:tcW w:w="2215" w:type="dxa"/>
            <w:vAlign w:val="center"/>
          </w:tcPr>
          <w:p w14:paraId="2EB8E922">
            <w:pPr>
              <w:spacing w:line="360" w:lineRule="auto"/>
              <w:jc w:val="both"/>
              <w:rPr>
                <w:rFonts w:ascii="宋体" w:hAnsi="宋体"/>
                <w:sz w:val="21"/>
                <w:szCs w:val="21"/>
              </w:rPr>
            </w:pPr>
            <w:r>
              <w:rPr>
                <w:rFonts w:hint="eastAsia" w:ascii="宋体" w:hAnsi="宋体"/>
                <w:sz w:val="21"/>
                <w:szCs w:val="21"/>
              </w:rPr>
              <w:t>开标程序</w:t>
            </w:r>
          </w:p>
        </w:tc>
        <w:tc>
          <w:tcPr>
            <w:tcW w:w="6593" w:type="dxa"/>
            <w:vAlign w:val="center"/>
          </w:tcPr>
          <w:p w14:paraId="06D49326">
            <w:pPr>
              <w:spacing w:line="400" w:lineRule="exact"/>
              <w:jc w:val="both"/>
              <w:rPr>
                <w:rFonts w:ascii="宋体" w:hAnsi="宋体"/>
                <w:sz w:val="21"/>
                <w:szCs w:val="21"/>
              </w:rPr>
            </w:pPr>
            <w:r>
              <w:rPr>
                <w:rFonts w:hint="eastAsia" w:ascii="宋体" w:hAnsi="宋体"/>
                <w:sz w:val="21"/>
                <w:szCs w:val="21"/>
              </w:rPr>
              <w:t>主持人按下列程序进行开标：</w:t>
            </w:r>
          </w:p>
          <w:p w14:paraId="241DCB75">
            <w:pPr>
              <w:spacing w:line="400" w:lineRule="exact"/>
              <w:jc w:val="both"/>
              <w:rPr>
                <w:rFonts w:ascii="宋体" w:hAnsi="宋体"/>
                <w:sz w:val="21"/>
                <w:szCs w:val="21"/>
              </w:rPr>
            </w:pPr>
            <w:r>
              <w:rPr>
                <w:rFonts w:hint="eastAsia" w:ascii="宋体" w:hAnsi="宋体"/>
                <w:sz w:val="21"/>
                <w:szCs w:val="21"/>
              </w:rPr>
              <w:t>（1）宣布开标纪律；</w:t>
            </w:r>
          </w:p>
          <w:p w14:paraId="26131941">
            <w:pPr>
              <w:spacing w:line="400" w:lineRule="exact"/>
              <w:jc w:val="both"/>
              <w:rPr>
                <w:rFonts w:ascii="宋体" w:hAnsi="宋体"/>
                <w:sz w:val="21"/>
                <w:szCs w:val="21"/>
              </w:rPr>
            </w:pPr>
            <w:r>
              <w:rPr>
                <w:rFonts w:hint="eastAsia" w:ascii="宋体" w:hAnsi="宋体"/>
                <w:sz w:val="21"/>
                <w:szCs w:val="21"/>
              </w:rPr>
              <w:t>（2）公布在投标截止时间前递交投标文件的投标人名称；</w:t>
            </w:r>
          </w:p>
          <w:p w14:paraId="45BC8C9C">
            <w:pPr>
              <w:spacing w:line="400" w:lineRule="exact"/>
              <w:jc w:val="both"/>
              <w:rPr>
                <w:rFonts w:ascii="宋体" w:hAnsi="宋体"/>
                <w:sz w:val="21"/>
                <w:szCs w:val="21"/>
              </w:rPr>
            </w:pPr>
            <w:r>
              <w:rPr>
                <w:rFonts w:hint="eastAsia" w:ascii="宋体" w:hAnsi="宋体"/>
                <w:sz w:val="21"/>
                <w:szCs w:val="21"/>
              </w:rPr>
              <w:t>（3）宣布开标人、唱标人、记录人、监督</w:t>
            </w:r>
            <w:r>
              <w:rPr>
                <w:rFonts w:ascii="宋体" w:hAnsi="宋体"/>
                <w:sz w:val="21"/>
                <w:szCs w:val="21"/>
              </w:rPr>
              <w:t>人员</w:t>
            </w:r>
            <w:r>
              <w:rPr>
                <w:rFonts w:hint="eastAsia" w:ascii="宋体" w:hAnsi="宋体"/>
                <w:sz w:val="21"/>
                <w:szCs w:val="21"/>
              </w:rPr>
              <w:t>等有关人员；</w:t>
            </w:r>
          </w:p>
          <w:p w14:paraId="6D6B06C6">
            <w:pPr>
              <w:spacing w:line="400" w:lineRule="exact"/>
              <w:jc w:val="both"/>
              <w:rPr>
                <w:rFonts w:ascii="宋体" w:hAnsi="宋体"/>
                <w:sz w:val="21"/>
                <w:szCs w:val="21"/>
              </w:rPr>
            </w:pPr>
            <w:r>
              <w:rPr>
                <w:rFonts w:hint="eastAsia" w:ascii="宋体" w:hAnsi="宋体"/>
                <w:sz w:val="21"/>
                <w:szCs w:val="21"/>
              </w:rPr>
              <w:t>（4）</w:t>
            </w:r>
            <w:r>
              <w:rPr>
                <w:rFonts w:ascii="宋体" w:hAnsi="宋体"/>
                <w:sz w:val="21"/>
                <w:szCs w:val="21"/>
              </w:rPr>
              <w:t>开标顺序：随机抽取；</w:t>
            </w:r>
          </w:p>
          <w:p w14:paraId="3DEFCC6C">
            <w:pPr>
              <w:spacing w:line="400" w:lineRule="exact"/>
              <w:jc w:val="both"/>
              <w:rPr>
                <w:rFonts w:ascii="宋体" w:hAnsi="宋体"/>
                <w:sz w:val="21"/>
                <w:szCs w:val="21"/>
              </w:rPr>
            </w:pPr>
            <w:r>
              <w:rPr>
                <w:rFonts w:hint="eastAsia" w:ascii="宋体" w:hAnsi="宋体"/>
                <w:sz w:val="21"/>
                <w:szCs w:val="21"/>
              </w:rPr>
              <w:t>（5）检查投标文件的密封情况，按照随机抽取的开标顺序当众开标，公布招标项目名称、投标人名称、投标保证金的递交情况、投标报价、项目工期、服务地点及其他内容，并记录在案；</w:t>
            </w:r>
          </w:p>
          <w:p w14:paraId="338213B1">
            <w:pPr>
              <w:spacing w:line="400" w:lineRule="exact"/>
              <w:jc w:val="both"/>
              <w:rPr>
                <w:rFonts w:ascii="宋体" w:hAnsi="宋体"/>
                <w:sz w:val="21"/>
                <w:szCs w:val="21"/>
              </w:rPr>
            </w:pPr>
            <w:r>
              <w:rPr>
                <w:rFonts w:hint="eastAsia" w:ascii="宋体" w:hAnsi="宋体"/>
                <w:sz w:val="21"/>
                <w:szCs w:val="21"/>
              </w:rPr>
              <w:t>（6）投标人代表、唱标人、监督</w:t>
            </w:r>
            <w:r>
              <w:rPr>
                <w:rFonts w:ascii="宋体" w:hAnsi="宋体"/>
                <w:sz w:val="21"/>
                <w:szCs w:val="21"/>
              </w:rPr>
              <w:t>人员</w:t>
            </w:r>
            <w:r>
              <w:rPr>
                <w:rFonts w:hint="eastAsia" w:ascii="宋体" w:hAnsi="宋体"/>
                <w:sz w:val="21"/>
                <w:szCs w:val="21"/>
              </w:rPr>
              <w:t>、公证员、记录人等有关人员在开标记录上签字确认；</w:t>
            </w:r>
          </w:p>
          <w:p w14:paraId="203A3994">
            <w:pPr>
              <w:spacing w:line="360" w:lineRule="auto"/>
              <w:jc w:val="both"/>
              <w:rPr>
                <w:rFonts w:ascii="宋体" w:hAnsi="宋体"/>
                <w:sz w:val="21"/>
                <w:szCs w:val="21"/>
              </w:rPr>
            </w:pPr>
            <w:r>
              <w:rPr>
                <w:rFonts w:hint="eastAsia" w:ascii="宋体" w:hAnsi="宋体"/>
                <w:sz w:val="21"/>
                <w:szCs w:val="21"/>
              </w:rPr>
              <w:t>（7）开标结束。</w:t>
            </w:r>
          </w:p>
        </w:tc>
      </w:tr>
      <w:tr w14:paraId="39A2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7A2F1DED">
            <w:pPr>
              <w:spacing w:line="360" w:lineRule="auto"/>
              <w:jc w:val="both"/>
              <w:rPr>
                <w:rFonts w:ascii="宋体" w:hAnsi="宋体"/>
                <w:sz w:val="21"/>
                <w:szCs w:val="21"/>
              </w:rPr>
            </w:pPr>
            <w:r>
              <w:rPr>
                <w:rFonts w:hint="eastAsia" w:ascii="宋体" w:hAnsi="宋体"/>
                <w:sz w:val="21"/>
                <w:szCs w:val="21"/>
              </w:rPr>
              <w:t>6.1.1</w:t>
            </w:r>
          </w:p>
        </w:tc>
        <w:tc>
          <w:tcPr>
            <w:tcW w:w="2215" w:type="dxa"/>
            <w:vAlign w:val="center"/>
          </w:tcPr>
          <w:p w14:paraId="7C9C0A99">
            <w:pPr>
              <w:spacing w:line="360" w:lineRule="auto"/>
              <w:jc w:val="both"/>
              <w:rPr>
                <w:rFonts w:ascii="宋体" w:hAnsi="宋体"/>
                <w:sz w:val="21"/>
                <w:szCs w:val="21"/>
              </w:rPr>
            </w:pPr>
            <w:bookmarkStart w:id="17" w:name="_Hlk99139766"/>
            <w:r>
              <w:rPr>
                <w:rFonts w:hint="eastAsia" w:ascii="宋体" w:hAnsi="宋体"/>
                <w:sz w:val="21"/>
                <w:szCs w:val="21"/>
              </w:rPr>
              <w:t>评标委员会的组建</w:t>
            </w:r>
            <w:bookmarkEnd w:id="17"/>
          </w:p>
        </w:tc>
        <w:tc>
          <w:tcPr>
            <w:tcW w:w="6593" w:type="dxa"/>
            <w:vAlign w:val="center"/>
          </w:tcPr>
          <w:p w14:paraId="094F9961">
            <w:pPr>
              <w:widowControl w:val="0"/>
              <w:spacing w:line="360" w:lineRule="auto"/>
              <w:jc w:val="both"/>
              <w:rPr>
                <w:rFonts w:ascii="宋体" w:hAnsi="宋体"/>
                <w:sz w:val="21"/>
                <w:szCs w:val="21"/>
              </w:rPr>
            </w:pPr>
            <w:r>
              <w:rPr>
                <w:rFonts w:hint="eastAsia" w:ascii="宋体" w:hAnsi="宋体"/>
                <w:sz w:val="21"/>
                <w:szCs w:val="21"/>
              </w:rPr>
              <w:t>评标委员会构成:由招标人的代表和有关技术、经济等方面的专家组成，成员人数为5人或5人以上单数，其中技术、经济等方面的专家不得少于成员总数的2/3。</w:t>
            </w:r>
          </w:p>
          <w:p w14:paraId="4DBBD336">
            <w:pPr>
              <w:widowControl w:val="0"/>
              <w:spacing w:line="360" w:lineRule="auto"/>
              <w:jc w:val="both"/>
              <w:rPr>
                <w:rFonts w:ascii="宋体" w:hAnsi="宋体"/>
                <w:sz w:val="21"/>
                <w:szCs w:val="21"/>
                <w:u w:val="single"/>
              </w:rPr>
            </w:pPr>
            <w:r>
              <w:rPr>
                <w:rFonts w:hint="eastAsia" w:ascii="宋体" w:hAnsi="宋体"/>
                <w:sz w:val="21"/>
                <w:szCs w:val="21"/>
              </w:rPr>
              <w:t>评标委员会构成：技术、经济等方面的专家从评标专家库中随机抽取。招标人的代表由招标人按照其规定委派。招标人代表不超过评委总数的三分之一且不担任评标委员会主任。</w:t>
            </w:r>
          </w:p>
        </w:tc>
      </w:tr>
      <w:tr w14:paraId="6B9E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3029965F">
            <w:pPr>
              <w:spacing w:line="360" w:lineRule="auto"/>
              <w:jc w:val="both"/>
              <w:rPr>
                <w:rFonts w:ascii="宋体" w:hAnsi="宋体"/>
                <w:sz w:val="21"/>
                <w:szCs w:val="21"/>
              </w:rPr>
            </w:pPr>
            <w:r>
              <w:rPr>
                <w:rFonts w:hint="eastAsia" w:ascii="宋体" w:hAnsi="宋体"/>
                <w:sz w:val="21"/>
                <w:szCs w:val="21"/>
              </w:rPr>
              <w:t>7.1</w:t>
            </w:r>
          </w:p>
        </w:tc>
        <w:tc>
          <w:tcPr>
            <w:tcW w:w="2215" w:type="dxa"/>
            <w:vAlign w:val="center"/>
          </w:tcPr>
          <w:p w14:paraId="467A903B">
            <w:pPr>
              <w:spacing w:line="360" w:lineRule="auto"/>
              <w:jc w:val="both"/>
              <w:rPr>
                <w:rFonts w:ascii="宋体" w:hAnsi="宋体"/>
                <w:sz w:val="21"/>
                <w:szCs w:val="21"/>
              </w:rPr>
            </w:pPr>
            <w:r>
              <w:rPr>
                <w:rFonts w:hint="eastAsia" w:ascii="宋体" w:hAnsi="宋体"/>
                <w:sz w:val="21"/>
                <w:szCs w:val="21"/>
              </w:rPr>
              <w:t>是否授权评标委员会确定中标人</w:t>
            </w:r>
          </w:p>
        </w:tc>
        <w:tc>
          <w:tcPr>
            <w:tcW w:w="6593" w:type="dxa"/>
            <w:vAlign w:val="center"/>
          </w:tcPr>
          <w:p w14:paraId="66FBF97A">
            <w:pPr>
              <w:spacing w:line="360" w:lineRule="auto"/>
              <w:jc w:val="both"/>
              <w:rPr>
                <w:rFonts w:ascii="宋体" w:hAnsi="宋体"/>
                <w:sz w:val="21"/>
                <w:szCs w:val="21"/>
              </w:rPr>
            </w:pPr>
            <w:r>
              <w:rPr>
                <w:rFonts w:hint="eastAsia" w:ascii="宋体" w:hAnsi="宋体"/>
                <w:sz w:val="21"/>
                <w:szCs w:val="21"/>
              </w:rPr>
              <w:t>否，由评标委员会根据“第三章 评标办法”的相关规定推荐</w:t>
            </w:r>
            <w:r>
              <w:rPr>
                <w:rFonts w:ascii="宋体" w:hAnsi="宋体"/>
                <w:sz w:val="21"/>
                <w:szCs w:val="21"/>
              </w:rPr>
              <w:t>2～3</w:t>
            </w:r>
            <w:r>
              <w:rPr>
                <w:rFonts w:hint="eastAsia" w:ascii="宋体" w:hAnsi="宋体"/>
                <w:sz w:val="21"/>
                <w:szCs w:val="21"/>
              </w:rPr>
              <w:t>名中标候选人，招标人根据相关规定确定中标人。</w:t>
            </w:r>
          </w:p>
        </w:tc>
      </w:tr>
      <w:tr w14:paraId="198C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43413635">
            <w:pPr>
              <w:spacing w:line="360" w:lineRule="auto"/>
              <w:jc w:val="both"/>
              <w:rPr>
                <w:rFonts w:ascii="宋体" w:hAnsi="宋体"/>
                <w:sz w:val="21"/>
                <w:szCs w:val="21"/>
              </w:rPr>
            </w:pPr>
            <w:r>
              <w:rPr>
                <w:rFonts w:hint="eastAsia" w:ascii="宋体" w:hAnsi="宋体"/>
                <w:sz w:val="21"/>
                <w:szCs w:val="21"/>
              </w:rPr>
              <w:t>7.</w:t>
            </w:r>
            <w:r>
              <w:rPr>
                <w:rFonts w:ascii="宋体" w:hAnsi="宋体"/>
                <w:sz w:val="21"/>
                <w:szCs w:val="21"/>
              </w:rPr>
              <w:t>5</w:t>
            </w:r>
          </w:p>
        </w:tc>
        <w:tc>
          <w:tcPr>
            <w:tcW w:w="2215" w:type="dxa"/>
            <w:vAlign w:val="center"/>
          </w:tcPr>
          <w:p w14:paraId="37C95CF5">
            <w:pPr>
              <w:spacing w:line="360" w:lineRule="auto"/>
              <w:jc w:val="both"/>
              <w:rPr>
                <w:rFonts w:ascii="宋体" w:hAnsi="宋体"/>
                <w:sz w:val="21"/>
                <w:szCs w:val="21"/>
              </w:rPr>
            </w:pPr>
            <w:bookmarkStart w:id="18" w:name="_Hlk99139912"/>
            <w:r>
              <w:rPr>
                <w:rFonts w:hint="eastAsia" w:ascii="宋体" w:hAnsi="宋体"/>
                <w:sz w:val="21"/>
                <w:szCs w:val="21"/>
              </w:rPr>
              <w:t>履约担保</w:t>
            </w:r>
            <w:bookmarkEnd w:id="18"/>
          </w:p>
        </w:tc>
        <w:tc>
          <w:tcPr>
            <w:tcW w:w="6593" w:type="dxa"/>
            <w:vAlign w:val="center"/>
          </w:tcPr>
          <w:p w14:paraId="42FFE457">
            <w:pPr>
              <w:tabs>
                <w:tab w:val="left" w:pos="423"/>
              </w:tabs>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本项目□不适用</w:t>
            </w:r>
            <w:r>
              <w:rPr>
                <w:rFonts w:ascii="Segoe UI Symbol" w:hAnsi="Segoe UI Symbol" w:cs="Segoe UI Symbol" w:eastAsiaTheme="minorEastAsia"/>
                <w:sz w:val="21"/>
                <w:szCs w:val="21"/>
              </w:rPr>
              <w:t>☑</w:t>
            </w:r>
            <w:r>
              <w:rPr>
                <w:rFonts w:hint="eastAsia" w:asciiTheme="minorEastAsia" w:hAnsiTheme="minorEastAsia" w:eastAsiaTheme="minorEastAsia"/>
                <w:sz w:val="21"/>
                <w:szCs w:val="21"/>
              </w:rPr>
              <w:t>适用履约担保。担保形式为□履约保证金□银行保函□其他。</w:t>
            </w:r>
          </w:p>
          <w:p w14:paraId="6DE7C66D">
            <w:pPr>
              <w:tabs>
                <w:tab w:val="left" w:pos="423"/>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履约保证金采用银行转账方式支付至招标人指定账户；银行保函性质为独立保函，中标人向招标人提供的保函应明确保函为无条件的、不可撤销的、见索即付的银行保函。保函中的索赔条件应规定招标人仅需向银行提供付款请求书即可付款，不得要求提供任何其他材料等。中标人向招标人提供担保公司保函、履约保证保险等其他担保形式的，应同等满足甲方对银行保函的要求</w:t>
            </w:r>
          </w:p>
          <w:p w14:paraId="6FB44838">
            <w:pPr>
              <w:autoSpaceDE w:val="0"/>
              <w:autoSpaceDN w:val="0"/>
              <w:adjustRightInd w:val="0"/>
              <w:snapToGrid w:val="0"/>
              <w:spacing w:line="360" w:lineRule="auto"/>
              <w:textAlignment w:val="bottom"/>
              <w:rPr>
                <w:rFonts w:asciiTheme="minorEastAsia" w:hAnsiTheme="minorEastAsia" w:eastAsiaTheme="minorEastAsia"/>
                <w:kern w:val="2"/>
                <w:sz w:val="21"/>
                <w:szCs w:val="21"/>
              </w:rPr>
            </w:pPr>
            <w:r>
              <w:rPr>
                <w:rFonts w:asciiTheme="minorEastAsia" w:hAnsiTheme="minorEastAsia" w:eastAsiaTheme="minorEastAsia"/>
                <w:kern w:val="2"/>
                <w:sz w:val="21"/>
                <w:szCs w:val="21"/>
              </w:rPr>
              <w:t>2．履约担保金额：含税合同总金额的10%</w:t>
            </w:r>
            <w:r>
              <w:rPr>
                <w:rFonts w:hint="eastAsia" w:asciiTheme="minorEastAsia" w:hAnsiTheme="minorEastAsia" w:eastAsiaTheme="minorEastAsia"/>
                <w:kern w:val="2"/>
                <w:sz w:val="21"/>
                <w:szCs w:val="21"/>
              </w:rPr>
              <w:t>。</w:t>
            </w:r>
          </w:p>
          <w:p w14:paraId="724379A9">
            <w:pPr>
              <w:autoSpaceDE w:val="0"/>
              <w:autoSpaceDN w:val="0"/>
              <w:adjustRightInd w:val="0"/>
              <w:snapToGrid w:val="0"/>
              <w:spacing w:line="360" w:lineRule="auto"/>
              <w:textAlignment w:val="bottom"/>
              <w:rPr>
                <w:rFonts w:asciiTheme="minorEastAsia" w:hAnsiTheme="minorEastAsia" w:eastAsiaTheme="minorEastAsia"/>
                <w:kern w:val="2"/>
                <w:sz w:val="21"/>
                <w:szCs w:val="21"/>
              </w:rPr>
            </w:pPr>
            <w:r>
              <w:rPr>
                <w:rFonts w:asciiTheme="minorEastAsia" w:hAnsiTheme="minorEastAsia" w:eastAsiaTheme="minorEastAsia"/>
                <w:kern w:val="2"/>
                <w:sz w:val="21"/>
                <w:szCs w:val="21"/>
              </w:rPr>
              <w:t>3．履约担保提交时间：</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应在合同生效之日起</w:t>
            </w:r>
            <w:r>
              <w:rPr>
                <w:rFonts w:hint="eastAsia" w:asciiTheme="minorEastAsia" w:hAnsiTheme="minorEastAsia" w:eastAsiaTheme="minorEastAsia"/>
                <w:kern w:val="2"/>
                <w:sz w:val="21"/>
                <w:szCs w:val="21"/>
              </w:rPr>
              <w:t>30</w:t>
            </w:r>
            <w:r>
              <w:rPr>
                <w:rFonts w:asciiTheme="minorEastAsia" w:hAnsiTheme="minorEastAsia" w:eastAsiaTheme="minorEastAsia"/>
                <w:kern w:val="2"/>
                <w:sz w:val="21"/>
                <w:szCs w:val="21"/>
              </w:rPr>
              <w:t>日内向</w:t>
            </w:r>
            <w:r>
              <w:rPr>
                <w:rFonts w:hint="eastAsia" w:asciiTheme="minorEastAsia" w:hAnsiTheme="minorEastAsia" w:eastAsiaTheme="minorEastAsia"/>
                <w:kern w:val="2"/>
                <w:sz w:val="21"/>
                <w:szCs w:val="21"/>
              </w:rPr>
              <w:t>招标人</w:t>
            </w:r>
            <w:r>
              <w:rPr>
                <w:rFonts w:asciiTheme="minorEastAsia" w:hAnsiTheme="minorEastAsia" w:eastAsiaTheme="minorEastAsia"/>
                <w:kern w:val="2"/>
                <w:sz w:val="21"/>
                <w:szCs w:val="21"/>
              </w:rPr>
              <w:t>按照本合同约定的担保方式提供相应的履约担保。</w:t>
            </w:r>
            <w:r>
              <w:rPr>
                <w:rFonts w:hint="eastAsia" w:asciiTheme="minorEastAsia" w:hAnsiTheme="minorEastAsia" w:eastAsiaTheme="minorEastAsia"/>
                <w:kern w:val="2"/>
                <w:sz w:val="21"/>
                <w:szCs w:val="21"/>
              </w:rPr>
              <w:t>招标人</w:t>
            </w:r>
            <w:r>
              <w:rPr>
                <w:rFonts w:asciiTheme="minorEastAsia" w:hAnsiTheme="minorEastAsia" w:eastAsiaTheme="minorEastAsia"/>
                <w:kern w:val="2"/>
                <w:sz w:val="21"/>
                <w:szCs w:val="21"/>
              </w:rPr>
              <w:t>在收到有效的履约担保之前，不向</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支付任何款项（包括预付款、进度款等）。</w:t>
            </w:r>
          </w:p>
          <w:p w14:paraId="219F4933">
            <w:pPr>
              <w:autoSpaceDE w:val="0"/>
              <w:autoSpaceDN w:val="0"/>
              <w:adjustRightInd w:val="0"/>
              <w:snapToGrid w:val="0"/>
              <w:spacing w:line="360" w:lineRule="auto"/>
              <w:textAlignment w:val="bottom"/>
              <w:rPr>
                <w:rFonts w:asciiTheme="minorEastAsia" w:hAnsiTheme="minorEastAsia" w:eastAsiaTheme="minorEastAsia"/>
                <w:kern w:val="2"/>
                <w:sz w:val="21"/>
                <w:szCs w:val="21"/>
              </w:rPr>
            </w:pPr>
            <w:r>
              <w:rPr>
                <w:rFonts w:asciiTheme="minorEastAsia" w:hAnsiTheme="minorEastAsia" w:eastAsiaTheme="minorEastAsia"/>
                <w:kern w:val="2"/>
                <w:sz w:val="21"/>
                <w:szCs w:val="21"/>
              </w:rPr>
              <w:t>4．履约担保期限：履约保证金担保期限自合同生效之日起至项目验收合格之日止。银行保函担保期限自保函生效之日起至项目验收合格之日止。保函有效期满，项目尚未验收合格的，</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应重新提交新的有效保函。</w:t>
            </w:r>
          </w:p>
          <w:p w14:paraId="76C7E64B">
            <w:pPr>
              <w:autoSpaceDE w:val="0"/>
              <w:autoSpaceDN w:val="0"/>
              <w:adjustRightInd w:val="0"/>
              <w:snapToGrid w:val="0"/>
              <w:spacing w:line="360" w:lineRule="auto"/>
              <w:textAlignment w:val="bottom"/>
              <w:rPr>
                <w:rFonts w:asciiTheme="minorEastAsia" w:hAnsiTheme="minorEastAsia" w:eastAsiaTheme="minorEastAsia"/>
                <w:kern w:val="2"/>
                <w:sz w:val="21"/>
                <w:szCs w:val="21"/>
              </w:rPr>
            </w:pPr>
            <w:r>
              <w:rPr>
                <w:rFonts w:asciiTheme="minorEastAsia" w:hAnsiTheme="minorEastAsia" w:eastAsiaTheme="minorEastAsia"/>
                <w:kern w:val="2"/>
                <w:sz w:val="21"/>
                <w:szCs w:val="21"/>
              </w:rPr>
              <w:t>5.履约担保责任承担：发生合同约定的需要追究</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违约责任的情形时，</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拒绝支付违约金的，</w:t>
            </w:r>
            <w:r>
              <w:rPr>
                <w:rFonts w:hint="eastAsia" w:asciiTheme="minorEastAsia" w:hAnsiTheme="minorEastAsia" w:eastAsiaTheme="minorEastAsia"/>
                <w:kern w:val="2"/>
                <w:sz w:val="21"/>
                <w:szCs w:val="21"/>
              </w:rPr>
              <w:t>招标人</w:t>
            </w:r>
            <w:r>
              <w:rPr>
                <w:rFonts w:asciiTheme="minorEastAsia" w:hAnsiTheme="minorEastAsia" w:eastAsiaTheme="minorEastAsia"/>
                <w:kern w:val="2"/>
                <w:sz w:val="21"/>
                <w:szCs w:val="21"/>
              </w:rPr>
              <w:t>有权从履约保证金中直接扣除相应违约金或请求银行履行保函责任。履约保证金被扣除的，</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应在接到</w:t>
            </w:r>
            <w:r>
              <w:rPr>
                <w:rFonts w:hint="eastAsia" w:asciiTheme="minorEastAsia" w:hAnsiTheme="minorEastAsia" w:eastAsiaTheme="minorEastAsia"/>
                <w:kern w:val="2"/>
                <w:sz w:val="21"/>
                <w:szCs w:val="21"/>
              </w:rPr>
              <w:t>招标人</w:t>
            </w:r>
            <w:r>
              <w:rPr>
                <w:rFonts w:asciiTheme="minorEastAsia" w:hAnsiTheme="minorEastAsia" w:eastAsiaTheme="minorEastAsia"/>
                <w:kern w:val="2"/>
                <w:sz w:val="21"/>
                <w:szCs w:val="21"/>
              </w:rPr>
              <w:t>通知后</w:t>
            </w:r>
            <w:r>
              <w:rPr>
                <w:rFonts w:hint="eastAsia" w:asciiTheme="minorEastAsia" w:hAnsiTheme="minorEastAsia" w:eastAsiaTheme="minorEastAsia"/>
                <w:kern w:val="2"/>
                <w:sz w:val="21"/>
                <w:szCs w:val="21"/>
              </w:rPr>
              <w:t>30日内补足履约保证金。</w:t>
            </w:r>
          </w:p>
          <w:p w14:paraId="6DDAB0FF">
            <w:pPr>
              <w:autoSpaceDE w:val="0"/>
              <w:autoSpaceDN w:val="0"/>
              <w:adjustRightInd w:val="0"/>
              <w:snapToGrid w:val="0"/>
              <w:spacing w:line="360" w:lineRule="auto"/>
              <w:textAlignment w:val="bottom"/>
              <w:rPr>
                <w:rFonts w:asciiTheme="minorEastAsia" w:hAnsiTheme="minorEastAsia" w:eastAsiaTheme="minorEastAsia"/>
                <w:kern w:val="2"/>
                <w:sz w:val="21"/>
                <w:szCs w:val="21"/>
              </w:rPr>
            </w:pPr>
            <w:r>
              <w:rPr>
                <w:rFonts w:asciiTheme="minorEastAsia" w:hAnsiTheme="minorEastAsia" w:eastAsiaTheme="minorEastAsia"/>
                <w:kern w:val="2"/>
                <w:sz w:val="21"/>
                <w:szCs w:val="21"/>
              </w:rPr>
              <w:t>6.履约担保退还：履约担保在</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按照本合同约定时间、质量标准等要求履行完成全部义务，经</w:t>
            </w:r>
            <w:r>
              <w:rPr>
                <w:rFonts w:hint="eastAsia" w:asciiTheme="minorEastAsia" w:hAnsiTheme="minorEastAsia" w:eastAsiaTheme="minorEastAsia"/>
                <w:kern w:val="2"/>
                <w:sz w:val="21"/>
                <w:szCs w:val="21"/>
              </w:rPr>
              <w:t>招标人</w:t>
            </w:r>
            <w:r>
              <w:rPr>
                <w:rFonts w:asciiTheme="minorEastAsia" w:hAnsiTheme="minorEastAsia" w:eastAsiaTheme="minorEastAsia"/>
                <w:kern w:val="2"/>
                <w:sz w:val="21"/>
                <w:szCs w:val="21"/>
              </w:rPr>
              <w:t>验收合格后退还。担保形式为履约保证金的，一次性无息退还；担保形式为银行保函的，退还银行保函。</w:t>
            </w:r>
          </w:p>
          <w:p w14:paraId="79C51A3F">
            <w:pPr>
              <w:tabs>
                <w:tab w:val="left" w:pos="423"/>
              </w:tabs>
              <w:spacing w:line="360" w:lineRule="auto"/>
              <w:jc w:val="both"/>
              <w:rPr>
                <w:rFonts w:ascii="宋体" w:hAnsi="宋体"/>
                <w:sz w:val="21"/>
                <w:szCs w:val="21"/>
              </w:rPr>
            </w:pPr>
            <w:r>
              <w:rPr>
                <w:rFonts w:asciiTheme="minorEastAsia" w:hAnsiTheme="minorEastAsia" w:eastAsiaTheme="minorEastAsia"/>
                <w:kern w:val="2"/>
                <w:sz w:val="21"/>
                <w:szCs w:val="21"/>
              </w:rPr>
              <w:t>7.</w:t>
            </w:r>
            <w:r>
              <w:rPr>
                <w:rFonts w:hint="eastAsia" w:asciiTheme="minorEastAsia" w:hAnsiTheme="minorEastAsia" w:eastAsiaTheme="minorEastAsia"/>
                <w:kern w:val="2"/>
                <w:sz w:val="21"/>
                <w:szCs w:val="21"/>
              </w:rPr>
              <w:t>中标人</w:t>
            </w:r>
            <w:r>
              <w:rPr>
                <w:rFonts w:asciiTheme="minorEastAsia" w:hAnsiTheme="minorEastAsia" w:eastAsiaTheme="minorEastAsia"/>
                <w:kern w:val="2"/>
                <w:sz w:val="21"/>
                <w:szCs w:val="21"/>
              </w:rPr>
              <w:t>未按合同约定期限、金额提交履约担保或补足履约保证金的，每逾期1日，应向</w:t>
            </w:r>
            <w:r>
              <w:rPr>
                <w:rFonts w:hint="eastAsia" w:asciiTheme="minorEastAsia" w:hAnsiTheme="minorEastAsia" w:eastAsiaTheme="minorEastAsia"/>
                <w:kern w:val="2"/>
                <w:sz w:val="21"/>
                <w:szCs w:val="21"/>
              </w:rPr>
              <w:t>招标人</w:t>
            </w:r>
            <w:r>
              <w:rPr>
                <w:rFonts w:asciiTheme="minorEastAsia" w:hAnsiTheme="minorEastAsia" w:eastAsiaTheme="minorEastAsia"/>
                <w:kern w:val="2"/>
                <w:sz w:val="21"/>
                <w:szCs w:val="21"/>
              </w:rPr>
              <w:t>支付违约金2000</w:t>
            </w:r>
            <w:r>
              <w:rPr>
                <w:rFonts w:hint="eastAsia" w:asciiTheme="minorEastAsia" w:hAnsiTheme="minorEastAsia" w:eastAsiaTheme="minorEastAsia"/>
                <w:kern w:val="2"/>
                <w:sz w:val="21"/>
                <w:szCs w:val="21"/>
              </w:rPr>
              <w:t>元，逾期超过</w:t>
            </w:r>
            <w:r>
              <w:rPr>
                <w:rFonts w:asciiTheme="minorEastAsia" w:hAnsiTheme="minorEastAsia" w:eastAsiaTheme="minorEastAsia"/>
                <w:kern w:val="2"/>
                <w:sz w:val="21"/>
                <w:szCs w:val="21"/>
              </w:rPr>
              <w:t>30</w:t>
            </w:r>
            <w:r>
              <w:rPr>
                <w:rFonts w:hint="eastAsia" w:asciiTheme="minorEastAsia" w:hAnsiTheme="minorEastAsia" w:eastAsiaTheme="minorEastAsia"/>
                <w:kern w:val="2"/>
                <w:sz w:val="21"/>
                <w:szCs w:val="21"/>
              </w:rPr>
              <w:t>日的，招标人有权书面通知中标人后单方解除本合同，中标人应向招标人支付含税合同总金额</w:t>
            </w:r>
            <w:r>
              <w:rPr>
                <w:rFonts w:asciiTheme="minorEastAsia" w:hAnsiTheme="minorEastAsia" w:eastAsiaTheme="minorEastAsia"/>
                <w:kern w:val="2"/>
                <w:sz w:val="21"/>
                <w:szCs w:val="21"/>
              </w:rPr>
              <w:t>20%的违约金。</w:t>
            </w:r>
          </w:p>
        </w:tc>
      </w:tr>
      <w:tr w14:paraId="634E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14:paraId="4E8328FF">
            <w:pPr>
              <w:spacing w:line="360" w:lineRule="auto"/>
              <w:jc w:val="both"/>
              <w:rPr>
                <w:rFonts w:ascii="宋体" w:hAnsi="宋体"/>
                <w:b/>
                <w:sz w:val="21"/>
                <w:szCs w:val="21"/>
              </w:rPr>
            </w:pPr>
            <w:r>
              <w:rPr>
                <w:rFonts w:ascii="宋体" w:hAnsi="宋体"/>
                <w:sz w:val="21"/>
                <w:szCs w:val="21"/>
              </w:rPr>
              <w:t>9</w:t>
            </w:r>
          </w:p>
        </w:tc>
        <w:tc>
          <w:tcPr>
            <w:tcW w:w="8808" w:type="dxa"/>
            <w:gridSpan w:val="2"/>
            <w:vAlign w:val="center"/>
          </w:tcPr>
          <w:p w14:paraId="18C89D80">
            <w:pPr>
              <w:spacing w:line="360" w:lineRule="auto"/>
              <w:jc w:val="both"/>
              <w:rPr>
                <w:rFonts w:ascii="宋体" w:hAnsi="宋体"/>
                <w:b/>
                <w:sz w:val="21"/>
                <w:szCs w:val="21"/>
              </w:rPr>
            </w:pPr>
            <w:r>
              <w:rPr>
                <w:rFonts w:ascii="宋体" w:hAnsi="宋体"/>
                <w:b/>
                <w:sz w:val="21"/>
                <w:szCs w:val="21"/>
              </w:rPr>
              <w:t>需要补充的其他内容</w:t>
            </w:r>
          </w:p>
        </w:tc>
      </w:tr>
      <w:tr w14:paraId="4ABE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655A0D56">
            <w:pPr>
              <w:spacing w:line="360" w:lineRule="auto"/>
              <w:ind w:left="210" w:hanging="210" w:hangingChars="100"/>
              <w:jc w:val="both"/>
              <w:rPr>
                <w:rFonts w:ascii="宋体" w:hAnsi="宋体"/>
                <w:sz w:val="21"/>
                <w:szCs w:val="21"/>
              </w:rPr>
            </w:pPr>
            <w:r>
              <w:rPr>
                <w:rFonts w:ascii="宋体" w:hAnsi="宋体"/>
                <w:sz w:val="21"/>
                <w:szCs w:val="21"/>
              </w:rPr>
              <w:t>9</w:t>
            </w:r>
            <w:r>
              <w:rPr>
                <w:rFonts w:hint="eastAsia" w:ascii="宋体" w:hAnsi="宋体"/>
                <w:sz w:val="21"/>
                <w:szCs w:val="21"/>
              </w:rPr>
              <w:t>.1 投标人代表出席开标会</w:t>
            </w:r>
          </w:p>
        </w:tc>
      </w:tr>
      <w:tr w14:paraId="2EBA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09CA3E07">
            <w:pPr>
              <w:spacing w:line="360" w:lineRule="auto"/>
              <w:jc w:val="both"/>
              <w:rPr>
                <w:rFonts w:ascii="宋体" w:hAnsi="宋体"/>
                <w:sz w:val="21"/>
                <w:szCs w:val="21"/>
              </w:rPr>
            </w:pPr>
            <w:r>
              <w:rPr>
                <w:rFonts w:hint="eastAsia" w:ascii="宋体" w:hAnsi="宋体"/>
                <w:sz w:val="21"/>
                <w:szCs w:val="21"/>
              </w:rPr>
              <w:t>按照本须知第5.1款的规定，招标人邀请所有投标人的法定代表人或其委托代理人参加开标会。投标人的法定代表人或其委托代理人应当按时参加开标会。</w:t>
            </w:r>
          </w:p>
        </w:tc>
      </w:tr>
      <w:tr w14:paraId="358C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391D5682">
            <w:pPr>
              <w:spacing w:line="360" w:lineRule="auto"/>
              <w:jc w:val="both"/>
              <w:rPr>
                <w:rFonts w:ascii="宋体" w:hAnsi="宋体"/>
                <w:sz w:val="21"/>
                <w:szCs w:val="21"/>
              </w:rPr>
            </w:pPr>
            <w:r>
              <w:rPr>
                <w:rFonts w:ascii="宋体" w:hAnsi="宋体"/>
                <w:sz w:val="21"/>
                <w:szCs w:val="21"/>
              </w:rPr>
              <w:t>9</w:t>
            </w:r>
            <w:r>
              <w:rPr>
                <w:rFonts w:hint="eastAsia" w:ascii="宋体" w:hAnsi="宋体"/>
                <w:sz w:val="21"/>
                <w:szCs w:val="21"/>
              </w:rPr>
              <w:t>.2述标</w:t>
            </w:r>
          </w:p>
        </w:tc>
      </w:tr>
      <w:tr w14:paraId="57DD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6D93BD9A">
            <w:pPr>
              <w:spacing w:line="360" w:lineRule="auto"/>
              <w:jc w:val="both"/>
              <w:rPr>
                <w:rFonts w:ascii="宋体" w:hAnsi="宋体"/>
                <w:sz w:val="21"/>
                <w:szCs w:val="21"/>
              </w:rPr>
            </w:pPr>
            <w:r>
              <w:rPr>
                <w:rFonts w:hint="eastAsia" w:ascii="宋体" w:hAnsi="宋体"/>
                <w:sz w:val="21"/>
                <w:szCs w:val="21"/>
              </w:rPr>
              <w:t>本项目不要求述标。</w:t>
            </w:r>
          </w:p>
        </w:tc>
      </w:tr>
      <w:tr w14:paraId="5D16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7085EE5C">
            <w:pPr>
              <w:spacing w:line="360" w:lineRule="auto"/>
              <w:jc w:val="both"/>
              <w:rPr>
                <w:rFonts w:ascii="宋体" w:hAnsi="宋体"/>
                <w:b/>
                <w:bCs/>
                <w:sz w:val="21"/>
                <w:szCs w:val="21"/>
              </w:rPr>
            </w:pPr>
            <w:r>
              <w:rPr>
                <w:rFonts w:ascii="宋体" w:hAnsi="宋体"/>
                <w:b/>
                <w:bCs/>
                <w:sz w:val="21"/>
                <w:szCs w:val="21"/>
              </w:rPr>
              <w:t>9</w:t>
            </w:r>
            <w:r>
              <w:rPr>
                <w:rFonts w:hint="eastAsia" w:ascii="宋体" w:hAnsi="宋体"/>
                <w:b/>
                <w:bCs/>
                <w:sz w:val="21"/>
                <w:szCs w:val="21"/>
              </w:rPr>
              <w:t>.3廉洁诚信承诺书</w:t>
            </w:r>
          </w:p>
        </w:tc>
      </w:tr>
      <w:tr w14:paraId="01B6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37B3A465">
            <w:pPr>
              <w:spacing w:line="360" w:lineRule="auto"/>
              <w:jc w:val="both"/>
              <w:rPr>
                <w:rFonts w:ascii="宋体" w:hAnsi="宋体"/>
                <w:b/>
                <w:bCs/>
                <w:sz w:val="21"/>
                <w:szCs w:val="21"/>
              </w:rPr>
            </w:pPr>
            <w:r>
              <w:rPr>
                <w:rFonts w:hint="eastAsia" w:ascii="宋体" w:hAnsi="宋体"/>
                <w:b/>
                <w:bCs/>
                <w:sz w:val="21"/>
                <w:szCs w:val="21"/>
              </w:rPr>
              <w:t>投标文件中必须提供《廉洁诚信承诺书》及《与招标人/采购人干部职工不存在关联关系的承诺书》，详见第六章 投标文件格式，未提供的，按否决投标处理。</w:t>
            </w:r>
          </w:p>
        </w:tc>
      </w:tr>
      <w:tr w14:paraId="042B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536927DD">
            <w:pPr>
              <w:spacing w:line="360" w:lineRule="auto"/>
              <w:ind w:left="210" w:hanging="210" w:hangingChars="100"/>
              <w:jc w:val="both"/>
              <w:rPr>
                <w:rFonts w:ascii="宋体" w:hAnsi="宋体"/>
                <w:sz w:val="21"/>
                <w:szCs w:val="21"/>
              </w:rPr>
            </w:pPr>
            <w:r>
              <w:rPr>
                <w:rFonts w:ascii="宋体" w:hAnsi="宋体"/>
                <w:sz w:val="21"/>
                <w:szCs w:val="21"/>
              </w:rPr>
              <w:t>9</w:t>
            </w:r>
            <w:r>
              <w:rPr>
                <w:rFonts w:hint="eastAsia" w:ascii="宋体" w:hAnsi="宋体"/>
                <w:sz w:val="21"/>
                <w:szCs w:val="21"/>
              </w:rPr>
              <w:t>.4 中标候选人公示</w:t>
            </w:r>
          </w:p>
        </w:tc>
      </w:tr>
      <w:tr w14:paraId="1DBA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05B8CDC3">
            <w:pPr>
              <w:spacing w:line="360" w:lineRule="auto"/>
              <w:jc w:val="both"/>
              <w:rPr>
                <w:rFonts w:ascii="宋体" w:hAnsi="宋体"/>
                <w:sz w:val="21"/>
                <w:szCs w:val="21"/>
              </w:rPr>
            </w:pPr>
            <w:r>
              <w:rPr>
                <w:rFonts w:hint="eastAsia" w:ascii="宋体" w:hAnsi="宋体"/>
                <w:sz w:val="21"/>
                <w:szCs w:val="21"/>
              </w:rPr>
              <w:t>在中标通知书发出前，招标人将中标候选人的情况在本招标项目招标公告发布的同一媒介予以公示，公示期不少于3个工作日。</w:t>
            </w:r>
          </w:p>
        </w:tc>
      </w:tr>
      <w:tr w14:paraId="4D42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119CF3CF">
            <w:pPr>
              <w:spacing w:line="360" w:lineRule="auto"/>
              <w:jc w:val="both"/>
              <w:rPr>
                <w:rFonts w:ascii="宋体" w:hAnsi="宋体"/>
                <w:sz w:val="21"/>
                <w:szCs w:val="21"/>
              </w:rPr>
            </w:pPr>
            <w:r>
              <w:rPr>
                <w:rFonts w:ascii="宋体" w:hAnsi="宋体"/>
                <w:sz w:val="21"/>
                <w:szCs w:val="21"/>
              </w:rPr>
              <w:t>9.</w:t>
            </w:r>
            <w:bookmarkStart w:id="19" w:name="_Hlk99140201"/>
            <w:r>
              <w:rPr>
                <w:rFonts w:hint="eastAsia" w:ascii="宋体" w:hAnsi="宋体"/>
                <w:sz w:val="21"/>
                <w:szCs w:val="21"/>
              </w:rPr>
              <w:t>5中标结果公示</w:t>
            </w:r>
            <w:bookmarkEnd w:id="19"/>
          </w:p>
        </w:tc>
      </w:tr>
      <w:tr w14:paraId="104B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7A2248B0">
            <w:pPr>
              <w:spacing w:line="360" w:lineRule="auto"/>
              <w:jc w:val="both"/>
              <w:rPr>
                <w:rFonts w:ascii="宋体" w:hAnsi="宋体"/>
                <w:b/>
                <w:bCs/>
                <w:sz w:val="21"/>
                <w:szCs w:val="21"/>
              </w:rPr>
            </w:pPr>
            <w:r>
              <w:rPr>
                <w:rFonts w:hint="eastAsia" w:ascii="宋体" w:hAnsi="宋体"/>
                <w:sz w:val="21"/>
                <w:szCs w:val="21"/>
              </w:rPr>
              <w:t>在中标通知书发出前，中标候选人公示结束后，招标人将中标人的情况在本招标项目招标公告发布的同一媒介予以公示。</w:t>
            </w:r>
          </w:p>
        </w:tc>
      </w:tr>
      <w:tr w14:paraId="3DD9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390988FC">
            <w:pPr>
              <w:spacing w:line="360" w:lineRule="auto"/>
              <w:ind w:left="210" w:hanging="210" w:hangingChars="100"/>
              <w:jc w:val="both"/>
              <w:rPr>
                <w:rFonts w:ascii="宋体" w:hAnsi="宋体"/>
                <w:sz w:val="21"/>
                <w:szCs w:val="21"/>
              </w:rPr>
            </w:pPr>
            <w:r>
              <w:rPr>
                <w:rFonts w:ascii="宋体" w:hAnsi="宋体"/>
                <w:sz w:val="21"/>
                <w:szCs w:val="21"/>
              </w:rPr>
              <w:t>9</w:t>
            </w:r>
            <w:r>
              <w:rPr>
                <w:rFonts w:hint="eastAsia" w:ascii="宋体" w:hAnsi="宋体"/>
                <w:sz w:val="21"/>
                <w:szCs w:val="21"/>
              </w:rPr>
              <w:t>.6知识产权</w:t>
            </w:r>
          </w:p>
        </w:tc>
      </w:tr>
      <w:tr w14:paraId="3A43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4AC74C17">
            <w:pPr>
              <w:spacing w:line="360" w:lineRule="auto"/>
              <w:jc w:val="both"/>
              <w:rPr>
                <w:rFonts w:ascii="宋体" w:hAnsi="宋体"/>
                <w:sz w:val="21"/>
                <w:szCs w:val="21"/>
              </w:rPr>
            </w:pPr>
            <w:r>
              <w:rPr>
                <w:rFonts w:hint="eastAsia" w:ascii="宋体" w:hAnsi="宋体"/>
                <w:sz w:val="21"/>
                <w:szCs w:val="21"/>
              </w:rPr>
              <w:t>1、</w:t>
            </w:r>
            <w:r>
              <w:rPr>
                <w:rFonts w:ascii="宋体" w:hAnsi="宋体"/>
                <w:sz w:val="21"/>
                <w:szCs w:val="21"/>
              </w:rPr>
              <w:t>构成本招标文件各个组成部分的文件，未经招标人书面同意，投标人不得擅自复印和用于非本招标项目所需的其他目的。</w:t>
            </w:r>
          </w:p>
          <w:p w14:paraId="5ABEFDFF">
            <w:pPr>
              <w:spacing w:line="400" w:lineRule="exact"/>
              <w:jc w:val="both"/>
              <w:rPr>
                <w:rFonts w:ascii="宋体" w:hAnsi="宋体"/>
                <w:sz w:val="21"/>
                <w:szCs w:val="21"/>
              </w:rPr>
            </w:pPr>
            <w:r>
              <w:rPr>
                <w:rFonts w:ascii="宋体" w:hAnsi="宋体"/>
                <w:sz w:val="21"/>
                <w:szCs w:val="21"/>
              </w:rPr>
              <w:t>2、</w:t>
            </w:r>
            <w:r>
              <w:rPr>
                <w:rFonts w:hint="eastAsia" w:ascii="宋体" w:hAnsi="宋体"/>
                <w:sz w:val="21"/>
                <w:szCs w:val="21"/>
              </w:rPr>
              <w:t>招标人与中标人签署合同后，招标人在该建设项目中拥有中标人方案的使用权。中标人应保护招标人一旦使用其设计方案不能受到来自第三方的侵权诉讼或索赔，否则中标人应承担由此而产生的一切责任。</w:t>
            </w:r>
          </w:p>
          <w:p w14:paraId="6C231233">
            <w:pPr>
              <w:spacing w:line="400" w:lineRule="exact"/>
              <w:jc w:val="both"/>
              <w:rPr>
                <w:rFonts w:ascii="宋体" w:hAnsi="宋体"/>
                <w:sz w:val="21"/>
                <w:szCs w:val="21"/>
              </w:rPr>
            </w:pPr>
            <w:r>
              <w:rPr>
                <w:rFonts w:ascii="宋体" w:hAnsi="宋体"/>
                <w:sz w:val="21"/>
                <w:szCs w:val="21"/>
              </w:rPr>
              <w:t>3、所有投标文件在评标后不予退回。</w:t>
            </w:r>
          </w:p>
          <w:p w14:paraId="187E2451">
            <w:pPr>
              <w:spacing w:line="360" w:lineRule="auto"/>
              <w:jc w:val="both"/>
              <w:rPr>
                <w:rFonts w:ascii="宋体" w:hAnsi="宋体"/>
                <w:sz w:val="21"/>
                <w:szCs w:val="21"/>
              </w:rPr>
            </w:pPr>
            <w:r>
              <w:rPr>
                <w:rFonts w:ascii="宋体" w:hAnsi="宋体"/>
                <w:sz w:val="21"/>
                <w:szCs w:val="21"/>
              </w:rPr>
              <w:t>4、若投标人使用了第三方的专利、专有技术、软件等知识产权，涉及的责任和费用由投标人承担。</w:t>
            </w:r>
          </w:p>
        </w:tc>
      </w:tr>
      <w:tr w14:paraId="62D7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5DB0CDE5">
            <w:pPr>
              <w:spacing w:line="360" w:lineRule="auto"/>
              <w:ind w:left="210" w:hanging="210" w:hangingChars="100"/>
              <w:jc w:val="both"/>
              <w:rPr>
                <w:rFonts w:ascii="宋体" w:hAnsi="宋体"/>
                <w:sz w:val="21"/>
                <w:szCs w:val="21"/>
              </w:rPr>
            </w:pPr>
            <w:r>
              <w:rPr>
                <w:rFonts w:ascii="宋体" w:hAnsi="宋体"/>
                <w:sz w:val="21"/>
                <w:szCs w:val="21"/>
              </w:rPr>
              <w:t>9</w:t>
            </w:r>
            <w:r>
              <w:rPr>
                <w:rFonts w:hint="eastAsia" w:ascii="宋体" w:hAnsi="宋体"/>
                <w:sz w:val="21"/>
                <w:szCs w:val="21"/>
              </w:rPr>
              <w:t>.7 同义词语</w:t>
            </w:r>
          </w:p>
        </w:tc>
      </w:tr>
      <w:tr w14:paraId="2312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07B0C214">
            <w:pPr>
              <w:spacing w:line="360" w:lineRule="auto"/>
              <w:jc w:val="both"/>
              <w:rPr>
                <w:rFonts w:ascii="宋体" w:hAnsi="宋体"/>
                <w:sz w:val="21"/>
                <w:szCs w:val="21"/>
              </w:rPr>
            </w:pPr>
            <w:r>
              <w:rPr>
                <w:rFonts w:hint="eastAsia" w:ascii="宋体" w:hAnsi="宋体"/>
                <w:sz w:val="21"/>
                <w:szCs w:val="21"/>
              </w:rPr>
              <w:t>构成招标文件组成部分的“合同主要条款”、“技术标准及要求”等章节中出现的措辞“甲方”和“乙方”，在招标投标阶段应当分别按“招标人”和“投标人”进行理解。</w:t>
            </w:r>
          </w:p>
        </w:tc>
      </w:tr>
      <w:tr w14:paraId="5BB2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0D00330B">
            <w:pPr>
              <w:spacing w:line="360" w:lineRule="auto"/>
              <w:ind w:left="210" w:hanging="210" w:hangingChars="100"/>
              <w:jc w:val="both"/>
              <w:rPr>
                <w:rFonts w:ascii="宋体" w:hAnsi="宋体"/>
                <w:sz w:val="21"/>
                <w:szCs w:val="21"/>
              </w:rPr>
            </w:pPr>
            <w:r>
              <w:rPr>
                <w:rFonts w:ascii="宋体" w:hAnsi="宋体"/>
                <w:sz w:val="21"/>
                <w:szCs w:val="21"/>
              </w:rPr>
              <w:t>9</w:t>
            </w:r>
            <w:r>
              <w:rPr>
                <w:rFonts w:hint="eastAsia" w:ascii="宋体" w:hAnsi="宋体"/>
                <w:sz w:val="21"/>
                <w:szCs w:val="21"/>
              </w:rPr>
              <w:t>.8</w:t>
            </w:r>
            <w:r>
              <w:rPr>
                <w:rFonts w:ascii="宋体" w:hAnsi="宋体"/>
                <w:sz w:val="21"/>
                <w:szCs w:val="21"/>
              </w:rPr>
              <w:t xml:space="preserve"> </w:t>
            </w:r>
            <w:r>
              <w:rPr>
                <w:rFonts w:hint="eastAsia" w:ascii="宋体" w:hAnsi="宋体"/>
                <w:sz w:val="21"/>
                <w:szCs w:val="21"/>
              </w:rPr>
              <w:t>监督</w:t>
            </w:r>
          </w:p>
        </w:tc>
      </w:tr>
      <w:tr w14:paraId="486B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76662A21">
            <w:pPr>
              <w:spacing w:line="360" w:lineRule="auto"/>
              <w:jc w:val="both"/>
              <w:rPr>
                <w:rFonts w:ascii="宋体" w:hAnsi="宋体"/>
                <w:sz w:val="21"/>
                <w:szCs w:val="21"/>
              </w:rPr>
            </w:pPr>
            <w:r>
              <w:rPr>
                <w:rFonts w:hint="eastAsia" w:ascii="宋体" w:hAnsi="宋体"/>
                <w:sz w:val="21"/>
                <w:szCs w:val="21"/>
              </w:rPr>
              <w:t>本项目的招标投标活动及其相关当事人应当接受招标人监督部门依法实施的监督。</w:t>
            </w:r>
          </w:p>
        </w:tc>
      </w:tr>
      <w:tr w14:paraId="17FE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51E6A2C2">
            <w:pPr>
              <w:spacing w:line="360" w:lineRule="auto"/>
              <w:ind w:left="210" w:hanging="210" w:hangingChars="100"/>
              <w:jc w:val="both"/>
              <w:rPr>
                <w:rFonts w:ascii="宋体" w:hAnsi="宋体"/>
                <w:sz w:val="21"/>
                <w:szCs w:val="21"/>
              </w:rPr>
            </w:pPr>
            <w:r>
              <w:rPr>
                <w:rFonts w:ascii="宋体" w:hAnsi="宋体"/>
                <w:sz w:val="21"/>
                <w:szCs w:val="21"/>
              </w:rPr>
              <w:t>9</w:t>
            </w:r>
            <w:r>
              <w:rPr>
                <w:rFonts w:hint="eastAsia" w:ascii="宋体" w:hAnsi="宋体"/>
                <w:sz w:val="21"/>
                <w:szCs w:val="21"/>
              </w:rPr>
              <w:t>.9 解释权</w:t>
            </w:r>
          </w:p>
        </w:tc>
      </w:tr>
      <w:tr w14:paraId="5CBB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22D19132">
            <w:pPr>
              <w:spacing w:line="360" w:lineRule="auto"/>
              <w:jc w:val="both"/>
              <w:rPr>
                <w:rFonts w:ascii="宋体" w:hAnsi="宋体"/>
                <w:sz w:val="21"/>
                <w:szCs w:val="21"/>
              </w:rPr>
            </w:pPr>
            <w:r>
              <w:rPr>
                <w:rFonts w:hint="eastAsia" w:ascii="宋体" w:hAnsi="宋体"/>
                <w:sz w:val="21"/>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143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325B3D15">
            <w:pPr>
              <w:spacing w:line="360" w:lineRule="auto"/>
              <w:jc w:val="both"/>
              <w:rPr>
                <w:rFonts w:ascii="宋体" w:hAnsi="宋体"/>
                <w:b/>
                <w:bCs/>
                <w:sz w:val="21"/>
                <w:szCs w:val="21"/>
              </w:rPr>
            </w:pPr>
            <w:r>
              <w:rPr>
                <w:rFonts w:ascii="宋体" w:hAnsi="宋体"/>
                <w:sz w:val="21"/>
                <w:szCs w:val="21"/>
              </w:rPr>
              <w:t>9.10</w:t>
            </w:r>
            <w:r>
              <w:rPr>
                <w:rFonts w:hint="eastAsia" w:ascii="宋体" w:hAnsi="宋体"/>
                <w:b/>
                <w:bCs/>
                <w:sz w:val="21"/>
                <w:szCs w:val="21"/>
              </w:rPr>
              <w:t>其他内容</w:t>
            </w:r>
          </w:p>
        </w:tc>
      </w:tr>
      <w:tr w14:paraId="241A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8" w:type="dxa"/>
            <w:gridSpan w:val="3"/>
            <w:vAlign w:val="center"/>
          </w:tcPr>
          <w:p w14:paraId="36608D31">
            <w:pPr>
              <w:spacing w:line="400" w:lineRule="exact"/>
              <w:jc w:val="both"/>
              <w:rPr>
                <w:rFonts w:ascii="宋体" w:hAnsi="宋体"/>
                <w:sz w:val="21"/>
                <w:szCs w:val="21"/>
              </w:rPr>
            </w:pPr>
            <w:r>
              <w:rPr>
                <w:rFonts w:ascii="宋体" w:hAnsi="宋体"/>
                <w:sz w:val="21"/>
                <w:szCs w:val="21"/>
              </w:rPr>
              <w:t>1、所有投标人的投标文件必须是在接受招标人招标文件（</w:t>
            </w:r>
            <w:r>
              <w:rPr>
                <w:rFonts w:hint="eastAsia" w:ascii="宋体" w:hAnsi="宋体"/>
                <w:sz w:val="21"/>
                <w:szCs w:val="21"/>
              </w:rPr>
              <w:t>含合同条款等）的基础上作出的投标承诺，若中标人对招标文件（含合同条款等）提出修改要求，招标人可视为其不响应招标文件的实质性条款，取消其中标资格，并没收其投标保证金。。</w:t>
            </w:r>
          </w:p>
          <w:p w14:paraId="31156565">
            <w:pPr>
              <w:spacing w:line="400" w:lineRule="exact"/>
              <w:rPr>
                <w:rFonts w:ascii="宋体" w:hAnsi="宋体"/>
                <w:sz w:val="21"/>
                <w:szCs w:val="21"/>
              </w:rPr>
            </w:pPr>
            <w:r>
              <w:rPr>
                <w:rFonts w:ascii="宋体" w:hAnsi="宋体"/>
                <w:sz w:val="21"/>
                <w:szCs w:val="21"/>
              </w:rPr>
              <w:t>2、中标人若因报价过低致使不与招标人签订合同的，或在合同签订中无故要求变更投标承诺和变更投标报价</w:t>
            </w:r>
            <w:r>
              <w:rPr>
                <w:rFonts w:hint="eastAsia" w:ascii="宋体" w:hAnsi="宋体"/>
                <w:sz w:val="21"/>
                <w:szCs w:val="21"/>
              </w:rPr>
              <w:t>（含单价、合价和固定总价）</w:t>
            </w:r>
            <w:r>
              <w:rPr>
                <w:rFonts w:ascii="宋体" w:hAnsi="宋体"/>
                <w:sz w:val="21"/>
                <w:szCs w:val="21"/>
              </w:rPr>
              <w:t>的，招标人可取消其中标资格，并没收其投标保证金；给招标人造成的损失超过投标保证金数额的，中标人应对超过部分予以赔偿</w:t>
            </w:r>
            <w:r>
              <w:rPr>
                <w:rFonts w:hint="eastAsia" w:ascii="宋体" w:hAnsi="宋体"/>
                <w:sz w:val="21"/>
                <w:szCs w:val="21"/>
              </w:rPr>
              <w:t>，招标人及上级主管单位给予不良市场行为记录</w:t>
            </w:r>
            <w:r>
              <w:rPr>
                <w:rFonts w:ascii="宋体" w:hAnsi="宋体"/>
                <w:sz w:val="21"/>
                <w:szCs w:val="21"/>
              </w:rPr>
              <w:t>。</w:t>
            </w:r>
          </w:p>
          <w:p w14:paraId="1CDFB04E">
            <w:pPr>
              <w:spacing w:line="400" w:lineRule="exact"/>
              <w:jc w:val="both"/>
              <w:rPr>
                <w:rFonts w:ascii="宋体" w:hAnsi="宋体"/>
                <w:sz w:val="21"/>
                <w:szCs w:val="21"/>
              </w:rPr>
            </w:pPr>
            <w:r>
              <w:rPr>
                <w:rFonts w:ascii="宋体" w:hAnsi="宋体"/>
                <w:sz w:val="21"/>
                <w:szCs w:val="21"/>
              </w:rPr>
              <w:t>3、本招标文件中的所有条款，包括合同条款、</w:t>
            </w:r>
            <w:r>
              <w:rPr>
                <w:rFonts w:hint="eastAsia" w:ascii="宋体" w:hAnsi="宋体"/>
                <w:sz w:val="21"/>
                <w:szCs w:val="21"/>
              </w:rPr>
              <w:t>技术文件、</w:t>
            </w:r>
            <w:r>
              <w:rPr>
                <w:rFonts w:ascii="宋体" w:hAnsi="宋体"/>
                <w:sz w:val="21"/>
                <w:szCs w:val="21"/>
              </w:rPr>
              <w:t>招标</w:t>
            </w:r>
            <w:r>
              <w:rPr>
                <w:rFonts w:hint="eastAsia" w:ascii="宋体" w:hAnsi="宋体"/>
                <w:sz w:val="21"/>
                <w:szCs w:val="21"/>
              </w:rPr>
              <w:t>最高限价、招标答疑文件及招标补遗书</w:t>
            </w:r>
            <w:r>
              <w:rPr>
                <w:rFonts w:ascii="宋体" w:hAnsi="宋体"/>
                <w:sz w:val="21"/>
                <w:szCs w:val="21"/>
              </w:rPr>
              <w:t>均是招标文件的实质性组成部分，投标人的投标文件是在充分理解了招标文件（</w:t>
            </w:r>
            <w:r>
              <w:rPr>
                <w:rFonts w:hint="eastAsia" w:ascii="宋体" w:hAnsi="宋体"/>
                <w:sz w:val="21"/>
                <w:szCs w:val="21"/>
              </w:rPr>
              <w:t>含合同条款</w:t>
            </w:r>
            <w:r>
              <w:rPr>
                <w:rFonts w:ascii="宋体" w:hAnsi="宋体"/>
                <w:sz w:val="21"/>
                <w:szCs w:val="21"/>
              </w:rPr>
              <w:t>、技术</w:t>
            </w:r>
            <w:r>
              <w:rPr>
                <w:rFonts w:hint="eastAsia" w:ascii="宋体" w:hAnsi="宋体"/>
                <w:sz w:val="21"/>
                <w:szCs w:val="21"/>
              </w:rPr>
              <w:t>文</w:t>
            </w:r>
            <w:r>
              <w:rPr>
                <w:rFonts w:ascii="宋体" w:hAnsi="宋体"/>
                <w:sz w:val="21"/>
                <w:szCs w:val="21"/>
              </w:rPr>
              <w:t>件、招标</w:t>
            </w:r>
            <w:r>
              <w:rPr>
                <w:rFonts w:hint="eastAsia" w:ascii="宋体" w:hAnsi="宋体"/>
                <w:sz w:val="21"/>
                <w:szCs w:val="21"/>
              </w:rPr>
              <w:t>最高限价、招标答疑文件及招标补遗书）的所有条款后作出的投标决定，是对招标文件的实质性响应，投标人中标后不得对招标文件实质性内容进行修改或质询。中标人不得对</w:t>
            </w:r>
            <w:r>
              <w:rPr>
                <w:rFonts w:ascii="宋体" w:hAnsi="宋体"/>
                <w:sz w:val="21"/>
                <w:szCs w:val="21"/>
              </w:rPr>
              <w:t>招标文件实质性内容</w:t>
            </w:r>
            <w:r>
              <w:rPr>
                <w:rFonts w:hint="eastAsia" w:ascii="宋体" w:hAnsi="宋体"/>
                <w:sz w:val="21"/>
                <w:szCs w:val="21"/>
              </w:rPr>
              <w:t>提出修改要求，否则招标人有权拒绝与之签订合同，取消其中标候选人资格，投标保证金不予退还，由此产生的一切后果全部由投标人或中标人承担。同时在合同谈判时招标人合同谈判代表也不得对合同主要条款提出任何修改意见，除非在招标文件发售时没能考虑周全的非影响合同价款履行的项目现场管理性条款，双方可以在合同谈判时进行补充。</w:t>
            </w:r>
          </w:p>
          <w:p w14:paraId="4C7B674B">
            <w:pPr>
              <w:spacing w:line="400" w:lineRule="exact"/>
              <w:jc w:val="both"/>
              <w:rPr>
                <w:rFonts w:ascii="宋体" w:hAnsi="宋体"/>
                <w:sz w:val="21"/>
                <w:szCs w:val="21"/>
              </w:rPr>
            </w:pPr>
            <w:r>
              <w:rPr>
                <w:rFonts w:ascii="宋体" w:hAnsi="宋体"/>
                <w:sz w:val="21"/>
                <w:szCs w:val="21"/>
              </w:rPr>
              <w:t>4</w:t>
            </w:r>
            <w:r>
              <w:rPr>
                <w:rFonts w:hint="eastAsia" w:ascii="宋体" w:hAnsi="宋体"/>
                <w:sz w:val="21"/>
                <w:szCs w:val="21"/>
              </w:rPr>
              <w:t>、招标文件的澄清、修改、补充等内容均以书面形式明确的内容为准。当招标文件、招标文件的澄清、修改、补充等在同一内容的表述上不一致时，以最后发出的书面文件为准。</w:t>
            </w:r>
          </w:p>
          <w:p w14:paraId="3536829C">
            <w:pPr>
              <w:spacing w:line="400" w:lineRule="exact"/>
              <w:jc w:val="both"/>
              <w:rPr>
                <w:rFonts w:ascii="宋体" w:hAnsi="宋体"/>
                <w:sz w:val="21"/>
                <w:szCs w:val="21"/>
              </w:rPr>
            </w:pPr>
            <w:r>
              <w:rPr>
                <w:rFonts w:ascii="宋体" w:hAnsi="宋体"/>
                <w:sz w:val="21"/>
                <w:szCs w:val="21"/>
              </w:rPr>
              <w:t>5</w:t>
            </w:r>
            <w:r>
              <w:rPr>
                <w:rFonts w:hint="eastAsia" w:ascii="宋体" w:hAnsi="宋体"/>
                <w:sz w:val="21"/>
                <w:szCs w:val="21"/>
              </w:rPr>
              <w:t>、投标人需确保其在投标文件中作出的承诺及材料的真实性，若投标人存在隐瞒事实、弄虚作假等不诚信行为，一经发现，则按以下处理：</w:t>
            </w:r>
          </w:p>
          <w:p w14:paraId="073D76C3">
            <w:pPr>
              <w:spacing w:line="400" w:lineRule="exact"/>
              <w:jc w:val="both"/>
              <w:rPr>
                <w:rFonts w:ascii="宋体" w:hAnsi="宋体"/>
                <w:sz w:val="21"/>
                <w:szCs w:val="21"/>
              </w:rPr>
            </w:pPr>
            <w:r>
              <w:rPr>
                <w:rFonts w:hint="eastAsia" w:ascii="宋体" w:hAnsi="宋体"/>
                <w:sz w:val="21"/>
                <w:szCs w:val="21"/>
              </w:rPr>
              <w:t>（</w:t>
            </w:r>
            <w:r>
              <w:rPr>
                <w:rFonts w:ascii="宋体" w:hAnsi="宋体"/>
                <w:sz w:val="21"/>
                <w:szCs w:val="21"/>
              </w:rPr>
              <w:t>1）在评标阶段发现的，否决其投标；</w:t>
            </w:r>
          </w:p>
          <w:p w14:paraId="5C01D361">
            <w:pPr>
              <w:spacing w:line="400" w:lineRule="exact"/>
              <w:jc w:val="both"/>
              <w:rPr>
                <w:rFonts w:ascii="宋体" w:hAnsi="宋体"/>
                <w:sz w:val="21"/>
                <w:szCs w:val="21"/>
              </w:rPr>
            </w:pPr>
            <w:r>
              <w:rPr>
                <w:rFonts w:hint="eastAsia" w:ascii="宋体" w:hAnsi="宋体"/>
                <w:sz w:val="21"/>
                <w:szCs w:val="21"/>
              </w:rPr>
              <w:t>（</w:t>
            </w:r>
            <w:r>
              <w:rPr>
                <w:rFonts w:ascii="宋体" w:hAnsi="宋体"/>
                <w:sz w:val="21"/>
                <w:szCs w:val="21"/>
              </w:rPr>
              <w:t>2）在中标后、合同签订前发现的，取消其中标资格；</w:t>
            </w:r>
          </w:p>
          <w:p w14:paraId="4D172773">
            <w:pPr>
              <w:spacing w:line="400" w:lineRule="exact"/>
              <w:jc w:val="both"/>
              <w:rPr>
                <w:rFonts w:ascii="宋体" w:hAnsi="宋体"/>
                <w:sz w:val="21"/>
                <w:szCs w:val="21"/>
              </w:rPr>
            </w:pPr>
            <w:r>
              <w:rPr>
                <w:rFonts w:hint="eastAsia" w:ascii="宋体" w:hAnsi="宋体"/>
                <w:sz w:val="21"/>
                <w:szCs w:val="21"/>
              </w:rPr>
              <w:t>（</w:t>
            </w:r>
            <w:r>
              <w:rPr>
                <w:rFonts w:ascii="宋体" w:hAnsi="宋体"/>
                <w:sz w:val="21"/>
                <w:szCs w:val="21"/>
              </w:rPr>
              <w:t>3）在合同签订后履约过程中发现的，</w:t>
            </w:r>
            <w:r>
              <w:rPr>
                <w:rFonts w:hint="eastAsia" w:ascii="宋体" w:hAnsi="宋体"/>
                <w:sz w:val="21"/>
                <w:szCs w:val="21"/>
              </w:rPr>
              <w:t>招标人</w:t>
            </w:r>
            <w:r>
              <w:rPr>
                <w:rFonts w:ascii="宋体" w:hAnsi="宋体"/>
                <w:sz w:val="21"/>
                <w:szCs w:val="21"/>
              </w:rPr>
              <w:t>有权单方解除合同，追究</w:t>
            </w:r>
            <w:r>
              <w:rPr>
                <w:rFonts w:hint="eastAsia" w:ascii="宋体" w:hAnsi="宋体"/>
                <w:sz w:val="21"/>
                <w:szCs w:val="21"/>
              </w:rPr>
              <w:t>投标人</w:t>
            </w:r>
            <w:r>
              <w:rPr>
                <w:rFonts w:ascii="宋体" w:hAnsi="宋体"/>
                <w:sz w:val="21"/>
                <w:szCs w:val="21"/>
              </w:rPr>
              <w:t>合同</w:t>
            </w:r>
            <w:r>
              <w:rPr>
                <w:rFonts w:hint="eastAsia" w:ascii="宋体" w:hAnsi="宋体"/>
                <w:sz w:val="21"/>
                <w:szCs w:val="21"/>
              </w:rPr>
              <w:t>含税</w:t>
            </w:r>
            <w:r>
              <w:rPr>
                <w:rFonts w:ascii="宋体" w:hAnsi="宋体"/>
                <w:sz w:val="21"/>
                <w:szCs w:val="21"/>
              </w:rPr>
              <w:t>包干总价30%的违约金，并赔偿因此给</w:t>
            </w:r>
            <w:r>
              <w:rPr>
                <w:rFonts w:hint="eastAsia" w:ascii="宋体" w:hAnsi="宋体"/>
                <w:sz w:val="21"/>
                <w:szCs w:val="21"/>
              </w:rPr>
              <w:t>招标人</w:t>
            </w:r>
            <w:r>
              <w:rPr>
                <w:rFonts w:ascii="宋体" w:hAnsi="宋体"/>
                <w:sz w:val="21"/>
                <w:szCs w:val="21"/>
              </w:rPr>
              <w:t>造成的一切损失，</w:t>
            </w:r>
            <w:r>
              <w:rPr>
                <w:rFonts w:hint="eastAsia" w:ascii="宋体" w:hAnsi="宋体"/>
                <w:sz w:val="21"/>
                <w:szCs w:val="21"/>
              </w:rPr>
              <w:t>招标人</w:t>
            </w:r>
            <w:r>
              <w:rPr>
                <w:rFonts w:ascii="宋体" w:hAnsi="宋体"/>
                <w:sz w:val="21"/>
                <w:szCs w:val="21"/>
              </w:rPr>
              <w:t>并不承担因此解除合同产生的一切责任。</w:t>
            </w:r>
          </w:p>
          <w:p w14:paraId="0C51403F">
            <w:pPr>
              <w:spacing w:line="400" w:lineRule="exact"/>
              <w:jc w:val="both"/>
              <w:rPr>
                <w:rFonts w:ascii="宋体" w:hAnsi="宋体" w:cs="宋体"/>
                <w:b/>
                <w:sz w:val="21"/>
                <w:szCs w:val="21"/>
              </w:rPr>
            </w:pPr>
            <w:r>
              <w:rPr>
                <w:rFonts w:hint="eastAsia" w:ascii="宋体" w:hAnsi="宋体"/>
                <w:sz w:val="21"/>
                <w:szCs w:val="21"/>
              </w:rPr>
              <w:t>6</w:t>
            </w:r>
            <w:r>
              <w:rPr>
                <w:rFonts w:ascii="宋体" w:hAnsi="宋体"/>
                <w:sz w:val="21"/>
                <w:szCs w:val="21"/>
              </w:rPr>
              <w:t>、</w:t>
            </w:r>
            <w:r>
              <w:rPr>
                <w:rFonts w:hint="eastAsia" w:ascii="宋体" w:hAnsi="宋体"/>
                <w:sz w:val="21"/>
                <w:szCs w:val="21"/>
              </w:rPr>
              <w:t>供应商（投标人、乙方）在相关案件查办时，有配合提供证据、作证的义务，如果发生拒不配合监委调查工作的情形，我方（招标人、甲方）有权采取警示约谈、降低考核评价分数、降低供货份额、缩短服务期限、终止或解除合同等多种处理措施。</w:t>
            </w:r>
          </w:p>
        </w:tc>
      </w:tr>
    </w:tbl>
    <w:p w14:paraId="22D6DD7A">
      <w:bookmarkStart w:id="20" w:name="_Toc103248595"/>
    </w:p>
    <w:p w14:paraId="27FB5DAD">
      <w:pPr>
        <w:rPr>
          <w:rFonts w:ascii="宋体" w:hAnsi="宋体"/>
          <w:b/>
          <w:bCs/>
          <w:sz w:val="32"/>
          <w:szCs w:val="32"/>
        </w:rPr>
      </w:pPr>
      <w:r>
        <w:rPr>
          <w:rFonts w:ascii="宋体" w:hAnsi="宋体"/>
        </w:rPr>
        <w:br w:type="page"/>
      </w:r>
    </w:p>
    <w:p w14:paraId="71456CD8">
      <w:pPr>
        <w:pStyle w:val="5"/>
        <w:spacing w:line="415" w:lineRule="auto"/>
        <w:jc w:val="center"/>
        <w:rPr>
          <w:rFonts w:ascii="宋体" w:hAnsi="宋体" w:eastAsia="宋体"/>
        </w:rPr>
      </w:pPr>
      <w:bookmarkStart w:id="21" w:name="_Toc20694"/>
      <w:r>
        <w:rPr>
          <w:rFonts w:hint="eastAsia" w:ascii="宋体" w:hAnsi="宋体" w:eastAsia="宋体"/>
        </w:rPr>
        <w:t>1.总则</w:t>
      </w:r>
      <w:bookmarkEnd w:id="12"/>
      <w:bookmarkEnd w:id="13"/>
      <w:bookmarkEnd w:id="14"/>
      <w:bookmarkEnd w:id="20"/>
      <w:bookmarkEnd w:id="21"/>
    </w:p>
    <w:p w14:paraId="0F6D80C0">
      <w:pPr>
        <w:pStyle w:val="310"/>
        <w:spacing w:line="360" w:lineRule="auto"/>
        <w:rPr>
          <w:rFonts w:ascii="宋体" w:hAnsi="宋体" w:eastAsia="宋体" w:cs="Times New Roman"/>
        </w:rPr>
      </w:pPr>
      <w:bookmarkStart w:id="22" w:name="_Toc152047201"/>
      <w:bookmarkStart w:id="23" w:name="_Toc144974405"/>
      <w:bookmarkStart w:id="24" w:name="_Toc179715694"/>
      <w:r>
        <w:rPr>
          <w:rFonts w:hint="eastAsia" w:ascii="宋体" w:hAnsi="宋体" w:eastAsia="宋体" w:cs="Times New Roman"/>
        </w:rPr>
        <w:t>1.1 项目概况</w:t>
      </w:r>
      <w:bookmarkEnd w:id="22"/>
      <w:bookmarkEnd w:id="23"/>
      <w:bookmarkEnd w:id="24"/>
    </w:p>
    <w:p w14:paraId="76F0F6FA">
      <w:pPr>
        <w:spacing w:line="360" w:lineRule="auto"/>
        <w:ind w:firstLine="420" w:firstLineChars="200"/>
        <w:jc w:val="both"/>
        <w:rPr>
          <w:rFonts w:ascii="宋体" w:hAnsi="宋体"/>
          <w:sz w:val="21"/>
          <w:szCs w:val="21"/>
        </w:rPr>
      </w:pPr>
      <w:r>
        <w:rPr>
          <w:rFonts w:hint="eastAsia" w:ascii="宋体" w:hAnsi="宋体"/>
          <w:sz w:val="21"/>
          <w:szCs w:val="21"/>
        </w:rPr>
        <w:t>1.1.1根据《中华人民共和国招标投标法》等有关法律、法规和规章的规定，本招标项目已具备招标条件，现对本项目进行招标。</w:t>
      </w:r>
    </w:p>
    <w:p w14:paraId="153FBBA0">
      <w:pPr>
        <w:spacing w:line="360" w:lineRule="auto"/>
        <w:ind w:firstLine="420" w:firstLineChars="200"/>
        <w:rPr>
          <w:rFonts w:ascii="宋体" w:hAnsi="宋体"/>
          <w:sz w:val="21"/>
          <w:szCs w:val="21"/>
        </w:rPr>
      </w:pPr>
      <w:r>
        <w:rPr>
          <w:rFonts w:hint="eastAsia" w:ascii="宋体" w:hAnsi="宋体"/>
          <w:sz w:val="21"/>
          <w:szCs w:val="21"/>
        </w:rPr>
        <w:t>1.1.2 本招标项目招标人：见投标人须知前附表。</w:t>
      </w:r>
    </w:p>
    <w:p w14:paraId="490DA4B1">
      <w:pPr>
        <w:spacing w:line="360" w:lineRule="auto"/>
        <w:ind w:firstLine="420" w:firstLineChars="200"/>
        <w:rPr>
          <w:rFonts w:ascii="宋体" w:hAnsi="宋体"/>
          <w:sz w:val="21"/>
          <w:szCs w:val="21"/>
        </w:rPr>
      </w:pPr>
      <w:r>
        <w:rPr>
          <w:rFonts w:hint="eastAsia" w:ascii="宋体" w:hAnsi="宋体"/>
          <w:sz w:val="21"/>
          <w:szCs w:val="21"/>
        </w:rPr>
        <w:t>1.1.3 本招标项目招标代理机构：见投标人须知前附表。</w:t>
      </w:r>
    </w:p>
    <w:p w14:paraId="2B7403A7">
      <w:pPr>
        <w:spacing w:line="360" w:lineRule="auto"/>
        <w:ind w:firstLine="420" w:firstLineChars="200"/>
        <w:rPr>
          <w:rFonts w:ascii="宋体" w:hAnsi="宋体"/>
          <w:sz w:val="21"/>
          <w:szCs w:val="21"/>
        </w:rPr>
      </w:pPr>
      <w:r>
        <w:rPr>
          <w:rFonts w:hint="eastAsia" w:ascii="宋体" w:hAnsi="宋体"/>
          <w:sz w:val="21"/>
          <w:szCs w:val="21"/>
        </w:rPr>
        <w:t>1.1.4 本招标项目名称：见投标人须知前附表。</w:t>
      </w:r>
    </w:p>
    <w:p w14:paraId="1CBCDFFB">
      <w:pPr>
        <w:pStyle w:val="310"/>
        <w:spacing w:line="360" w:lineRule="auto"/>
        <w:rPr>
          <w:rFonts w:ascii="宋体" w:hAnsi="宋体" w:eastAsia="宋体" w:cs="Times New Roman"/>
        </w:rPr>
      </w:pPr>
      <w:bookmarkStart w:id="25" w:name="_Toc144974406"/>
      <w:bookmarkStart w:id="26" w:name="_Toc179715695"/>
      <w:bookmarkStart w:id="27" w:name="_Toc152047202"/>
      <w:r>
        <w:rPr>
          <w:rFonts w:hint="eastAsia" w:ascii="宋体" w:hAnsi="宋体" w:eastAsia="宋体" w:cs="Times New Roman"/>
        </w:rPr>
        <w:t>1.2 资金来源、出资比例和落实情况</w:t>
      </w:r>
      <w:bookmarkEnd w:id="25"/>
      <w:bookmarkEnd w:id="26"/>
      <w:bookmarkEnd w:id="27"/>
    </w:p>
    <w:p w14:paraId="14E97082">
      <w:pPr>
        <w:spacing w:line="360" w:lineRule="auto"/>
        <w:ind w:firstLine="420" w:firstLineChars="200"/>
        <w:jc w:val="both"/>
        <w:rPr>
          <w:rFonts w:ascii="宋体" w:hAnsi="宋体"/>
          <w:sz w:val="21"/>
          <w:szCs w:val="21"/>
        </w:rPr>
      </w:pPr>
      <w:r>
        <w:rPr>
          <w:rFonts w:hint="eastAsia" w:ascii="宋体" w:hAnsi="宋体"/>
          <w:sz w:val="21"/>
          <w:szCs w:val="21"/>
        </w:rPr>
        <w:t>1.2.1 本招标项目的资金来源：见投标人须知前附表。</w:t>
      </w:r>
    </w:p>
    <w:p w14:paraId="5A8DFA46">
      <w:pPr>
        <w:spacing w:line="360" w:lineRule="auto"/>
        <w:ind w:firstLine="420" w:firstLineChars="200"/>
        <w:jc w:val="both"/>
        <w:rPr>
          <w:rFonts w:ascii="宋体" w:hAnsi="宋体"/>
          <w:sz w:val="21"/>
          <w:szCs w:val="21"/>
        </w:rPr>
      </w:pPr>
      <w:r>
        <w:rPr>
          <w:rFonts w:hint="eastAsia" w:ascii="宋体" w:hAnsi="宋体"/>
          <w:sz w:val="21"/>
          <w:szCs w:val="21"/>
        </w:rPr>
        <w:t>1.2.2 本招标项目的出资比例：见投标人须知前附表。</w:t>
      </w:r>
    </w:p>
    <w:p w14:paraId="13C74179">
      <w:pPr>
        <w:spacing w:line="360" w:lineRule="auto"/>
        <w:ind w:firstLine="420" w:firstLineChars="200"/>
        <w:jc w:val="both"/>
        <w:rPr>
          <w:rFonts w:ascii="宋体" w:hAnsi="宋体"/>
          <w:sz w:val="21"/>
          <w:szCs w:val="21"/>
        </w:rPr>
      </w:pPr>
      <w:r>
        <w:rPr>
          <w:rFonts w:hint="eastAsia" w:ascii="宋体" w:hAnsi="宋体"/>
          <w:sz w:val="21"/>
          <w:szCs w:val="21"/>
        </w:rPr>
        <w:t>1.2.3 本招标项目的资金落实情况：见投标人须知前附表。</w:t>
      </w:r>
    </w:p>
    <w:p w14:paraId="5E2783F7">
      <w:pPr>
        <w:pStyle w:val="310"/>
        <w:spacing w:line="360" w:lineRule="auto"/>
        <w:rPr>
          <w:rFonts w:ascii="宋体" w:hAnsi="宋体" w:eastAsia="宋体" w:cs="Times New Roman"/>
        </w:rPr>
      </w:pPr>
      <w:bookmarkStart w:id="28" w:name="_Toc144974407"/>
      <w:bookmarkStart w:id="29" w:name="_Toc179715696"/>
      <w:bookmarkStart w:id="30" w:name="_Toc152047203"/>
      <w:r>
        <w:rPr>
          <w:rFonts w:hint="eastAsia" w:ascii="宋体" w:hAnsi="宋体" w:eastAsia="宋体" w:cs="Times New Roman"/>
        </w:rPr>
        <w:t>1.3 招标范围、项目工期</w:t>
      </w:r>
      <w:bookmarkEnd w:id="28"/>
      <w:bookmarkEnd w:id="29"/>
      <w:bookmarkEnd w:id="30"/>
      <w:r>
        <w:rPr>
          <w:rFonts w:hint="eastAsia" w:ascii="宋体" w:hAnsi="宋体" w:eastAsia="宋体" w:cs="Times New Roman"/>
        </w:rPr>
        <w:t>、质量</w:t>
      </w:r>
      <w:r>
        <w:rPr>
          <w:rFonts w:ascii="宋体" w:hAnsi="宋体" w:eastAsia="宋体" w:cs="Times New Roman"/>
        </w:rPr>
        <w:t>要求</w:t>
      </w:r>
      <w:r>
        <w:rPr>
          <w:rFonts w:hint="eastAsia" w:ascii="宋体" w:hAnsi="宋体" w:eastAsia="宋体" w:cs="Times New Roman"/>
        </w:rPr>
        <w:t>、质保期和标段划分</w:t>
      </w:r>
    </w:p>
    <w:p w14:paraId="2CFE7FBC">
      <w:pPr>
        <w:spacing w:line="360" w:lineRule="auto"/>
        <w:ind w:firstLine="420" w:firstLineChars="200"/>
        <w:jc w:val="both"/>
        <w:rPr>
          <w:rFonts w:ascii="宋体" w:hAnsi="宋体"/>
          <w:sz w:val="21"/>
          <w:szCs w:val="21"/>
        </w:rPr>
      </w:pPr>
      <w:r>
        <w:rPr>
          <w:rFonts w:hint="eastAsia" w:ascii="宋体" w:hAnsi="宋体"/>
          <w:sz w:val="21"/>
          <w:szCs w:val="21"/>
        </w:rPr>
        <w:t>1.3.1 本招标项目的招标范围：见投标人须知前附表。</w:t>
      </w:r>
    </w:p>
    <w:p w14:paraId="3A772371">
      <w:pPr>
        <w:spacing w:line="360" w:lineRule="auto"/>
        <w:ind w:firstLine="420" w:firstLineChars="200"/>
        <w:jc w:val="both"/>
        <w:rPr>
          <w:rFonts w:ascii="宋体" w:hAnsi="宋体"/>
          <w:sz w:val="21"/>
          <w:szCs w:val="21"/>
        </w:rPr>
      </w:pPr>
      <w:r>
        <w:rPr>
          <w:rFonts w:hint="eastAsia" w:ascii="宋体" w:hAnsi="宋体"/>
          <w:sz w:val="21"/>
          <w:szCs w:val="21"/>
        </w:rPr>
        <w:t>1.3.2 本招标项目的项目工期：见投标人须知前附表。</w:t>
      </w:r>
    </w:p>
    <w:p w14:paraId="07977F38">
      <w:pPr>
        <w:spacing w:line="360" w:lineRule="auto"/>
        <w:ind w:firstLine="420" w:firstLineChars="200"/>
        <w:jc w:val="both"/>
        <w:rPr>
          <w:rFonts w:ascii="宋体" w:hAnsi="宋体"/>
          <w:sz w:val="21"/>
          <w:szCs w:val="21"/>
        </w:rPr>
      </w:pPr>
      <w:r>
        <w:rPr>
          <w:rFonts w:hint="eastAsia" w:ascii="宋体" w:hAnsi="宋体"/>
          <w:sz w:val="21"/>
          <w:szCs w:val="21"/>
        </w:rPr>
        <w:t>1.3.3 本招标项目的质量要求：见投标人须知前附表。</w:t>
      </w:r>
    </w:p>
    <w:p w14:paraId="59F840AA">
      <w:pPr>
        <w:spacing w:line="360" w:lineRule="auto"/>
        <w:ind w:firstLine="420" w:firstLineChars="200"/>
        <w:jc w:val="both"/>
        <w:rPr>
          <w:rFonts w:ascii="宋体" w:hAnsi="宋体"/>
          <w:sz w:val="21"/>
          <w:szCs w:val="21"/>
        </w:rPr>
      </w:pPr>
      <w:r>
        <w:rPr>
          <w:rFonts w:hint="eastAsia" w:ascii="宋体" w:hAnsi="宋体"/>
          <w:sz w:val="21"/>
          <w:szCs w:val="21"/>
        </w:rPr>
        <w:t>1.3.4本招标项目设备的质保期：见投标人须知前附表。</w:t>
      </w:r>
    </w:p>
    <w:p w14:paraId="23D591E0">
      <w:pPr>
        <w:spacing w:line="360" w:lineRule="auto"/>
        <w:ind w:firstLine="420" w:firstLineChars="200"/>
        <w:jc w:val="both"/>
        <w:rPr>
          <w:rFonts w:ascii="宋体" w:hAnsi="宋体"/>
          <w:sz w:val="21"/>
          <w:szCs w:val="21"/>
        </w:rPr>
      </w:pPr>
      <w:r>
        <w:rPr>
          <w:rFonts w:hint="eastAsia" w:ascii="宋体" w:hAnsi="宋体"/>
          <w:sz w:val="21"/>
          <w:szCs w:val="21"/>
        </w:rPr>
        <w:t>1.3</w:t>
      </w:r>
      <w:r>
        <w:rPr>
          <w:rFonts w:ascii="宋体" w:hAnsi="宋体"/>
          <w:sz w:val="21"/>
          <w:szCs w:val="21"/>
        </w:rPr>
        <w:t>.</w:t>
      </w:r>
      <w:r>
        <w:rPr>
          <w:rFonts w:hint="eastAsia" w:ascii="宋体" w:hAnsi="宋体"/>
          <w:sz w:val="21"/>
          <w:szCs w:val="21"/>
        </w:rPr>
        <w:t>5本招标项目的标段划分：见投标人须知前附表。</w:t>
      </w:r>
    </w:p>
    <w:p w14:paraId="534A093A">
      <w:pPr>
        <w:pStyle w:val="310"/>
        <w:spacing w:line="360" w:lineRule="auto"/>
        <w:rPr>
          <w:rFonts w:ascii="宋体" w:hAnsi="宋体" w:eastAsia="宋体" w:cs="Times New Roman"/>
        </w:rPr>
      </w:pPr>
      <w:bookmarkStart w:id="31" w:name="_Toc179715697"/>
      <w:bookmarkStart w:id="32" w:name="_Toc152047204"/>
      <w:bookmarkStart w:id="33" w:name="_Toc144974408"/>
      <w:r>
        <w:rPr>
          <w:rFonts w:hint="eastAsia" w:ascii="宋体" w:hAnsi="宋体" w:eastAsia="宋体" w:cs="Times New Roman"/>
        </w:rPr>
        <w:t>1.4 投标人资格要求</w:t>
      </w:r>
      <w:bookmarkEnd w:id="31"/>
      <w:bookmarkEnd w:id="32"/>
      <w:bookmarkEnd w:id="33"/>
    </w:p>
    <w:p w14:paraId="5A50E184">
      <w:pPr>
        <w:spacing w:line="360" w:lineRule="auto"/>
        <w:ind w:firstLine="420" w:firstLineChars="200"/>
        <w:jc w:val="both"/>
        <w:rPr>
          <w:rFonts w:ascii="宋体" w:hAnsi="宋体"/>
          <w:sz w:val="21"/>
          <w:szCs w:val="21"/>
        </w:rPr>
      </w:pPr>
      <w:r>
        <w:rPr>
          <w:rFonts w:hint="eastAsia" w:ascii="宋体" w:hAnsi="宋体"/>
          <w:sz w:val="21"/>
          <w:szCs w:val="21"/>
        </w:rPr>
        <w:t>1.4.1 投标人应具备承担本项目的资质条件、能力和信誉。</w:t>
      </w:r>
    </w:p>
    <w:p w14:paraId="6BE870EC">
      <w:pPr>
        <w:spacing w:line="360" w:lineRule="auto"/>
        <w:ind w:firstLine="420" w:firstLineChars="200"/>
        <w:jc w:val="both"/>
        <w:rPr>
          <w:rFonts w:ascii="宋体" w:hAnsi="宋体"/>
          <w:sz w:val="21"/>
          <w:szCs w:val="21"/>
        </w:rPr>
      </w:pPr>
      <w:r>
        <w:rPr>
          <w:rFonts w:hint="eastAsia" w:ascii="宋体" w:hAnsi="宋体"/>
          <w:sz w:val="21"/>
          <w:szCs w:val="21"/>
        </w:rPr>
        <w:t>（1）资质条件：见投标人须知前附表；</w:t>
      </w:r>
    </w:p>
    <w:p w14:paraId="4F41041F">
      <w:pPr>
        <w:spacing w:line="360" w:lineRule="auto"/>
        <w:ind w:firstLine="420" w:firstLineChars="200"/>
        <w:jc w:val="both"/>
        <w:rPr>
          <w:rFonts w:ascii="宋体" w:hAnsi="宋体"/>
          <w:sz w:val="21"/>
          <w:szCs w:val="21"/>
        </w:rPr>
      </w:pPr>
      <w:r>
        <w:rPr>
          <w:rFonts w:hint="eastAsia" w:ascii="宋体" w:hAnsi="宋体"/>
          <w:sz w:val="21"/>
          <w:szCs w:val="21"/>
        </w:rPr>
        <w:t>1.4.2 本招标项目是否接受联合体投标：</w:t>
      </w:r>
      <w:r>
        <w:rPr>
          <w:rFonts w:ascii="宋体" w:hAnsi="宋体"/>
          <w:sz w:val="21"/>
          <w:szCs w:val="21"/>
        </w:rPr>
        <w:t>见投标人须知前附表。</w:t>
      </w:r>
      <w:r>
        <w:rPr>
          <w:rFonts w:hint="eastAsia" w:ascii="宋体" w:hAnsi="宋体"/>
          <w:sz w:val="21"/>
          <w:szCs w:val="21"/>
        </w:rPr>
        <w:t xml:space="preserve"> </w:t>
      </w:r>
    </w:p>
    <w:p w14:paraId="0C47F2CE">
      <w:pPr>
        <w:spacing w:line="360" w:lineRule="auto"/>
        <w:ind w:firstLine="420" w:firstLineChars="200"/>
        <w:jc w:val="both"/>
        <w:rPr>
          <w:rFonts w:ascii="宋体" w:hAnsi="宋体"/>
          <w:sz w:val="21"/>
          <w:szCs w:val="21"/>
        </w:rPr>
      </w:pPr>
      <w:r>
        <w:rPr>
          <w:rFonts w:hint="eastAsia" w:ascii="宋体" w:hAnsi="宋体"/>
          <w:sz w:val="21"/>
          <w:szCs w:val="21"/>
        </w:rPr>
        <w:t>1.4.3 投标人不得存在下列情形之一：</w:t>
      </w:r>
    </w:p>
    <w:p w14:paraId="3F3A7EA3">
      <w:pPr>
        <w:spacing w:line="360" w:lineRule="auto"/>
        <w:ind w:firstLine="420" w:firstLineChars="200"/>
        <w:jc w:val="both"/>
        <w:rPr>
          <w:rFonts w:ascii="宋体" w:hAnsi="宋体"/>
          <w:sz w:val="21"/>
          <w:szCs w:val="21"/>
        </w:rPr>
      </w:pPr>
      <w:r>
        <w:rPr>
          <w:rFonts w:hint="eastAsia" w:ascii="宋体" w:hAnsi="宋体"/>
          <w:sz w:val="21"/>
          <w:szCs w:val="21"/>
        </w:rPr>
        <w:t>（1）为招标人不具有独立法人资格的附属机构（单位）；</w:t>
      </w:r>
    </w:p>
    <w:p w14:paraId="4218F6BA">
      <w:pPr>
        <w:spacing w:line="360" w:lineRule="auto"/>
        <w:ind w:firstLine="420" w:firstLineChars="200"/>
        <w:jc w:val="both"/>
        <w:rPr>
          <w:rFonts w:ascii="宋体" w:hAnsi="宋体"/>
          <w:sz w:val="21"/>
          <w:szCs w:val="21"/>
        </w:rPr>
      </w:pPr>
      <w:r>
        <w:rPr>
          <w:rFonts w:hint="eastAsia" w:ascii="宋体" w:hAnsi="宋体"/>
          <w:sz w:val="21"/>
          <w:szCs w:val="21"/>
        </w:rPr>
        <w:t>（2）为本招标项目提供招标代理服务的；</w:t>
      </w:r>
    </w:p>
    <w:p w14:paraId="52BE0A4C">
      <w:pPr>
        <w:spacing w:line="360" w:lineRule="auto"/>
        <w:ind w:firstLine="420" w:firstLineChars="200"/>
        <w:jc w:val="both"/>
        <w:rPr>
          <w:rFonts w:ascii="宋体" w:hAnsi="宋体"/>
          <w:sz w:val="21"/>
          <w:szCs w:val="21"/>
        </w:rPr>
      </w:pPr>
      <w:r>
        <w:rPr>
          <w:rFonts w:hint="eastAsia" w:ascii="宋体" w:hAnsi="宋体"/>
          <w:sz w:val="21"/>
          <w:szCs w:val="21"/>
        </w:rPr>
        <w:t>（3）与本招标项目的招标代理机构同为一个法定代表人的；</w:t>
      </w:r>
    </w:p>
    <w:p w14:paraId="5F9DDF72">
      <w:pPr>
        <w:spacing w:line="360" w:lineRule="auto"/>
        <w:ind w:firstLine="420" w:firstLineChars="200"/>
        <w:jc w:val="both"/>
        <w:rPr>
          <w:rFonts w:ascii="宋体" w:hAnsi="宋体"/>
          <w:sz w:val="21"/>
          <w:szCs w:val="21"/>
        </w:rPr>
      </w:pPr>
      <w:r>
        <w:rPr>
          <w:rFonts w:hint="eastAsia" w:ascii="宋体" w:hAnsi="宋体"/>
          <w:sz w:val="21"/>
          <w:szCs w:val="21"/>
        </w:rPr>
        <w:t>（4）与本招标项目的招标代理机构相互控股或参股的；</w:t>
      </w:r>
    </w:p>
    <w:p w14:paraId="46921073">
      <w:pPr>
        <w:spacing w:line="360" w:lineRule="auto"/>
        <w:ind w:firstLine="420" w:firstLineChars="200"/>
        <w:jc w:val="both"/>
        <w:rPr>
          <w:rFonts w:ascii="宋体" w:hAnsi="宋体"/>
          <w:sz w:val="21"/>
          <w:szCs w:val="21"/>
        </w:rPr>
      </w:pPr>
      <w:r>
        <w:rPr>
          <w:rFonts w:hint="eastAsia" w:ascii="宋体" w:hAnsi="宋体"/>
          <w:sz w:val="21"/>
          <w:szCs w:val="21"/>
        </w:rPr>
        <w:t>（5）与本招标项目的招标代理机构相互任职或工作的；</w:t>
      </w:r>
    </w:p>
    <w:p w14:paraId="6C8DE52A">
      <w:pPr>
        <w:spacing w:line="360" w:lineRule="auto"/>
        <w:ind w:firstLine="420" w:firstLineChars="200"/>
        <w:jc w:val="both"/>
        <w:rPr>
          <w:rFonts w:ascii="宋体" w:hAnsi="宋体"/>
          <w:sz w:val="21"/>
          <w:szCs w:val="21"/>
        </w:rPr>
      </w:pPr>
      <w:r>
        <w:rPr>
          <w:rFonts w:hint="eastAsia" w:ascii="宋体" w:hAnsi="宋体"/>
          <w:sz w:val="21"/>
          <w:szCs w:val="21"/>
        </w:rPr>
        <w:t>（6）被责令停业的；</w:t>
      </w:r>
    </w:p>
    <w:p w14:paraId="1A9D70D9">
      <w:pPr>
        <w:spacing w:line="360" w:lineRule="auto"/>
        <w:ind w:firstLine="420" w:firstLineChars="200"/>
        <w:jc w:val="both"/>
        <w:rPr>
          <w:rFonts w:ascii="宋体" w:hAnsi="宋体"/>
          <w:sz w:val="21"/>
          <w:szCs w:val="21"/>
        </w:rPr>
      </w:pPr>
      <w:r>
        <w:rPr>
          <w:rFonts w:hint="eastAsia" w:ascii="宋体" w:hAnsi="宋体"/>
          <w:sz w:val="21"/>
          <w:szCs w:val="21"/>
        </w:rPr>
        <w:t>（7）被暂停或取消投标资格的；</w:t>
      </w:r>
    </w:p>
    <w:p w14:paraId="24FF0096">
      <w:pPr>
        <w:spacing w:line="360" w:lineRule="auto"/>
        <w:ind w:firstLine="420" w:firstLineChars="200"/>
        <w:jc w:val="both"/>
        <w:rPr>
          <w:rFonts w:ascii="宋体" w:hAnsi="宋体"/>
          <w:sz w:val="21"/>
          <w:szCs w:val="21"/>
        </w:rPr>
      </w:pPr>
      <w:r>
        <w:rPr>
          <w:rFonts w:hint="eastAsia" w:ascii="宋体" w:hAnsi="宋体"/>
          <w:sz w:val="21"/>
          <w:szCs w:val="21"/>
        </w:rPr>
        <w:t>（8）财产被接管的；</w:t>
      </w:r>
    </w:p>
    <w:p w14:paraId="65C64678">
      <w:pPr>
        <w:spacing w:line="360" w:lineRule="auto"/>
        <w:ind w:firstLine="420" w:firstLineChars="200"/>
        <w:jc w:val="both"/>
        <w:rPr>
          <w:rFonts w:ascii="宋体" w:hAnsi="宋体"/>
          <w:sz w:val="21"/>
          <w:szCs w:val="21"/>
        </w:rPr>
      </w:pPr>
      <w:r>
        <w:rPr>
          <w:rFonts w:hint="eastAsia" w:ascii="宋体" w:hAnsi="宋体"/>
          <w:sz w:val="21"/>
          <w:szCs w:val="21"/>
        </w:rPr>
        <w:t>（9）在最近三年内有骗取中标或严重违约或重大履约问题的。</w:t>
      </w:r>
    </w:p>
    <w:p w14:paraId="028A4A7B">
      <w:pPr>
        <w:spacing w:line="360" w:lineRule="auto"/>
        <w:ind w:firstLine="420" w:firstLineChars="200"/>
        <w:jc w:val="both"/>
        <w:rPr>
          <w:rFonts w:ascii="宋体" w:hAnsi="宋体"/>
          <w:sz w:val="21"/>
          <w:szCs w:val="21"/>
        </w:rPr>
      </w:pPr>
      <w:r>
        <w:rPr>
          <w:rFonts w:hint="eastAsia" w:ascii="宋体" w:hAnsi="宋体"/>
          <w:sz w:val="21"/>
          <w:szCs w:val="21"/>
        </w:rPr>
        <w:t>1.4.4与招标人存在利害关系可能影响招标公正性的法人、其他组织或者个人，不得参加投标。投标单位负责人为同一人或者存在控股、管理关系的不同单位，不得参加同一标段投标或者未划分标段的同一招标项目投标；为本项目提供整体设计、规范编制或者项目管理、监理、检测等服务的投标人，不得再参加该项目招标活动。</w:t>
      </w:r>
    </w:p>
    <w:p w14:paraId="0E57FED8">
      <w:pPr>
        <w:spacing w:line="360" w:lineRule="auto"/>
        <w:ind w:firstLine="420" w:firstLineChars="200"/>
        <w:jc w:val="both"/>
        <w:rPr>
          <w:rFonts w:ascii="宋体" w:hAnsi="宋体"/>
          <w:sz w:val="21"/>
          <w:szCs w:val="21"/>
        </w:rPr>
      </w:pPr>
      <w:r>
        <w:rPr>
          <w:rFonts w:hint="eastAsia" w:ascii="宋体" w:hAnsi="宋体"/>
          <w:sz w:val="21"/>
          <w:szCs w:val="21"/>
        </w:rPr>
        <w:t>1.4.5潜在投标人负有主动披露其可能存在1.4.3、1.4.4条所述情形的义务，不主动披露构成弄虚作假。</w:t>
      </w:r>
    </w:p>
    <w:p w14:paraId="60D853C0">
      <w:pPr>
        <w:pStyle w:val="310"/>
        <w:spacing w:line="360" w:lineRule="auto"/>
        <w:rPr>
          <w:rFonts w:ascii="宋体" w:hAnsi="宋体" w:eastAsia="宋体" w:cs="Times New Roman"/>
        </w:rPr>
      </w:pPr>
      <w:bookmarkStart w:id="34" w:name="_Hlk99194124"/>
      <w:r>
        <w:rPr>
          <w:rFonts w:ascii="宋体" w:hAnsi="宋体" w:eastAsia="宋体" w:cs="Times New Roman"/>
        </w:rPr>
        <w:t xml:space="preserve">1.5 </w:t>
      </w:r>
      <w:r>
        <w:rPr>
          <w:rFonts w:hint="eastAsia" w:ascii="宋体" w:hAnsi="宋体" w:eastAsia="宋体" w:cs="Times New Roman"/>
        </w:rPr>
        <w:t>费用承担</w:t>
      </w:r>
    </w:p>
    <w:bookmarkEnd w:id="34"/>
    <w:p w14:paraId="6611CED4">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1.5.1 投标人准备和参加投标活动发生的费用自理。</w:t>
      </w:r>
    </w:p>
    <w:p w14:paraId="5438924D">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1.5.2本项目的招标代理服务费由中标人承担。按照招标代理机构与云南中烟签订的《云南中烟</w:t>
      </w:r>
      <w:r>
        <w:rPr>
          <w:rFonts w:ascii="宋体" w:hAnsi="宋体"/>
          <w:bCs/>
          <w:color w:val="000000" w:themeColor="text1"/>
          <w:sz w:val="21"/>
          <w:szCs w:val="21"/>
          <w14:textFill>
            <w14:solidFill>
              <w14:schemeClr w14:val="tx1"/>
            </w14:solidFill>
          </w14:textFill>
        </w:rPr>
        <w:t>20</w:t>
      </w:r>
      <w:r>
        <w:rPr>
          <w:rFonts w:hint="eastAsia" w:ascii="宋体" w:hAnsi="宋体"/>
          <w:bCs/>
          <w:color w:val="000000" w:themeColor="text1"/>
          <w:sz w:val="21"/>
          <w:szCs w:val="21"/>
          <w14:textFill>
            <w14:solidFill>
              <w14:schemeClr w14:val="tx1"/>
            </w14:solidFill>
          </w14:textFill>
        </w:rPr>
        <w:t>25</w:t>
      </w:r>
      <w:r>
        <w:rPr>
          <w:rFonts w:ascii="宋体" w:hAnsi="宋体"/>
          <w:bCs/>
          <w:color w:val="000000" w:themeColor="text1"/>
          <w:sz w:val="21"/>
          <w:szCs w:val="21"/>
          <w14:textFill>
            <w14:solidFill>
              <w14:schemeClr w14:val="tx1"/>
            </w14:solidFill>
          </w14:textFill>
        </w:rPr>
        <w:t xml:space="preserve"> -20</w:t>
      </w:r>
      <w:r>
        <w:rPr>
          <w:rFonts w:hint="eastAsia" w:ascii="宋体" w:hAnsi="宋体"/>
          <w:bCs/>
          <w:color w:val="000000" w:themeColor="text1"/>
          <w:sz w:val="21"/>
          <w:szCs w:val="21"/>
          <w14:textFill>
            <w14:solidFill>
              <w14:schemeClr w14:val="tx1"/>
            </w14:solidFill>
          </w14:textFill>
        </w:rPr>
        <w:t>27</w:t>
      </w:r>
      <w:r>
        <w:rPr>
          <w:rFonts w:ascii="宋体" w:hAnsi="宋体"/>
          <w:bCs/>
          <w:color w:val="000000" w:themeColor="text1"/>
          <w:sz w:val="21"/>
          <w:szCs w:val="21"/>
          <w14:textFill>
            <w14:solidFill>
              <w14:schemeClr w14:val="tx1"/>
            </w14:solidFill>
          </w14:textFill>
        </w:rPr>
        <w:t xml:space="preserve"> </w:t>
      </w:r>
      <w:r>
        <w:rPr>
          <w:rFonts w:hint="eastAsia" w:ascii="宋体" w:hAnsi="宋体"/>
          <w:bCs/>
          <w:color w:val="000000" w:themeColor="text1"/>
          <w:sz w:val="21"/>
          <w:szCs w:val="21"/>
          <w14:textFill>
            <w14:solidFill>
              <w14:schemeClr w14:val="tx1"/>
            </w14:solidFill>
          </w14:textFill>
        </w:rPr>
        <w:t>年度招标代理机构入围项目合同》计算，在中标人领取中标通知书时，由中标人向招标代理机构一次性支付招标代理服务费。</w:t>
      </w:r>
    </w:p>
    <w:p w14:paraId="19517468">
      <w:pPr>
        <w:spacing w:line="360" w:lineRule="auto"/>
        <w:ind w:firstLine="420" w:firstLineChars="200"/>
        <w:jc w:val="both"/>
        <w:rPr>
          <w:rFonts w:ascii="宋体" w:hAnsi="宋体"/>
          <w:bCs/>
          <w:color w:val="000000" w:themeColor="text1"/>
          <w:sz w:val="21"/>
          <w:szCs w:val="21"/>
          <w:highlight w:val="none"/>
          <w14:textFill>
            <w14:solidFill>
              <w14:schemeClr w14:val="tx1"/>
            </w14:solidFill>
          </w14:textFill>
        </w:rPr>
      </w:pPr>
      <w:r>
        <w:rPr>
          <w:rFonts w:hint="eastAsia" w:ascii="宋体" w:hAnsi="宋体"/>
          <w:bCs/>
          <w:color w:val="000000" w:themeColor="text1"/>
          <w:sz w:val="21"/>
          <w:szCs w:val="21"/>
          <w:highlight w:val="none"/>
          <w14:textFill>
            <w14:solidFill>
              <w14:schemeClr w14:val="tx1"/>
            </w14:solidFill>
          </w14:textFill>
        </w:rPr>
        <w:t>计算标准如下：</w:t>
      </w:r>
    </w:p>
    <w:p w14:paraId="64EB8ADA">
      <w:pPr>
        <w:spacing w:line="360" w:lineRule="auto"/>
        <w:ind w:firstLine="420" w:firstLineChars="200"/>
        <w:jc w:val="both"/>
        <w:rPr>
          <w:rFonts w:ascii="宋体" w:hAnsi="宋体"/>
          <w:bCs/>
          <w:color w:val="000000" w:themeColor="text1"/>
          <w:sz w:val="21"/>
          <w:szCs w:val="21"/>
          <w:highlight w:val="none"/>
          <w14:textFill>
            <w14:solidFill>
              <w14:schemeClr w14:val="tx1"/>
            </w14:solidFill>
          </w14:textFill>
        </w:rPr>
      </w:pPr>
      <w:r>
        <w:rPr>
          <w:rFonts w:hint="eastAsia" w:ascii="宋体" w:hAnsi="宋体"/>
          <w:bCs/>
          <w:color w:val="000000" w:themeColor="text1"/>
          <w:sz w:val="21"/>
          <w:szCs w:val="21"/>
          <w:highlight w:val="none"/>
          <w14:textFill>
            <w14:solidFill>
              <w14:schemeClr w14:val="tx1"/>
            </w14:solidFill>
          </w14:textFill>
        </w:rPr>
        <w:t>中标金额“</w:t>
      </w:r>
      <w:r>
        <w:rPr>
          <w:rFonts w:ascii="宋体" w:hAnsi="宋体"/>
          <w:bCs/>
          <w:color w:val="000000" w:themeColor="text1"/>
          <w:sz w:val="21"/>
          <w:szCs w:val="21"/>
          <w:highlight w:val="none"/>
          <w14:textFill>
            <w14:solidFill>
              <w14:schemeClr w14:val="tx1"/>
            </w14:solidFill>
          </w14:textFill>
        </w:rPr>
        <w:t>100</w:t>
      </w:r>
      <w:r>
        <w:rPr>
          <w:rFonts w:hint="eastAsia" w:ascii="宋体" w:hAnsi="宋体"/>
          <w:bCs/>
          <w:color w:val="000000" w:themeColor="text1"/>
          <w:sz w:val="21"/>
          <w:szCs w:val="21"/>
          <w:highlight w:val="none"/>
          <w14:textFill>
            <w14:solidFill>
              <w14:schemeClr w14:val="tx1"/>
            </w14:solidFill>
          </w14:textFill>
        </w:rPr>
        <w:t>万元以下”、“</w:t>
      </w:r>
      <w:r>
        <w:rPr>
          <w:rFonts w:ascii="宋体" w:hAnsi="宋体"/>
          <w:bCs/>
          <w:color w:val="000000" w:themeColor="text1"/>
          <w:sz w:val="21"/>
          <w:szCs w:val="21"/>
          <w:highlight w:val="none"/>
          <w14:textFill>
            <w14:solidFill>
              <w14:schemeClr w14:val="tx1"/>
            </w14:solidFill>
          </w14:textFill>
        </w:rPr>
        <w:t>2</w:t>
      </w:r>
      <w:r>
        <w:rPr>
          <w:rFonts w:hint="eastAsia" w:ascii="宋体" w:hAnsi="宋体"/>
          <w:bCs/>
          <w:color w:val="000000" w:themeColor="text1"/>
          <w:sz w:val="21"/>
          <w:szCs w:val="21"/>
          <w:highlight w:val="none"/>
          <w14:textFill>
            <w14:solidFill>
              <w14:schemeClr w14:val="tx1"/>
            </w14:solidFill>
          </w14:textFill>
        </w:rPr>
        <w:t>亿（含）以上”的项目和“无法确定中标金额”、“直接非公开招标”的项目，按照固定金额计算代理费用，具体标准如下；</w:t>
      </w:r>
    </w:p>
    <w:tbl>
      <w:tblPr>
        <w:tblStyle w:val="62"/>
        <w:tblW w:w="8908" w:type="dxa"/>
        <w:tblInd w:w="0" w:type="dxa"/>
        <w:tblLayout w:type="fixed"/>
        <w:tblCellMar>
          <w:top w:w="0" w:type="dxa"/>
          <w:left w:w="108" w:type="dxa"/>
          <w:bottom w:w="0" w:type="dxa"/>
          <w:right w:w="108" w:type="dxa"/>
        </w:tblCellMar>
      </w:tblPr>
      <w:tblGrid>
        <w:gridCol w:w="3307"/>
        <w:gridCol w:w="1632"/>
        <w:gridCol w:w="2127"/>
        <w:gridCol w:w="1842"/>
      </w:tblGrid>
      <w:tr w14:paraId="6A31CF4C">
        <w:tblPrEx>
          <w:tblCellMar>
            <w:top w:w="0" w:type="dxa"/>
            <w:left w:w="108" w:type="dxa"/>
            <w:bottom w:w="0" w:type="dxa"/>
            <w:right w:w="108" w:type="dxa"/>
          </w:tblCellMar>
        </w:tblPrEx>
        <w:trPr>
          <w:trHeight w:val="634" w:hRule="atLeast"/>
        </w:trPr>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BB91">
            <w:pPr>
              <w:jc w:val="both"/>
              <w:textAlignment w:val="center"/>
              <w:rPr>
                <w:b/>
                <w:bCs/>
                <w:szCs w:val="21"/>
              </w:rPr>
            </w:pPr>
            <w:r>
              <w:rPr>
                <w:b/>
                <w:bCs/>
                <w:szCs w:val="21"/>
              </w:rPr>
              <w:t>100</w:t>
            </w:r>
            <w:r>
              <w:rPr>
                <w:rFonts w:ascii="宋体" w:hAnsi="宋体" w:cs="宋体"/>
                <w:b/>
                <w:bCs/>
                <w:szCs w:val="21"/>
              </w:rPr>
              <w:t>万以下</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7281">
            <w:pPr>
              <w:jc w:val="both"/>
              <w:textAlignment w:val="center"/>
              <w:rPr>
                <w:b/>
                <w:bCs/>
                <w:szCs w:val="21"/>
              </w:rPr>
            </w:pPr>
            <w:r>
              <w:rPr>
                <w:b/>
                <w:bCs/>
                <w:szCs w:val="21"/>
              </w:rPr>
              <w:t>2</w:t>
            </w:r>
            <w:r>
              <w:rPr>
                <w:rFonts w:ascii="宋体" w:hAnsi="宋体" w:cs="宋体"/>
                <w:b/>
                <w:bCs/>
                <w:szCs w:val="21"/>
              </w:rPr>
              <w:t>亿（含）以上</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ADFB">
            <w:pPr>
              <w:jc w:val="both"/>
              <w:textAlignment w:val="center"/>
              <w:rPr>
                <w:rFonts w:ascii="宋体" w:hAnsi="宋体" w:cs="宋体"/>
                <w:b/>
                <w:bCs/>
                <w:szCs w:val="21"/>
              </w:rPr>
            </w:pPr>
            <w:r>
              <w:rPr>
                <w:rFonts w:hint="eastAsia" w:ascii="宋体" w:hAnsi="宋体" w:cs="宋体"/>
                <w:b/>
                <w:bCs/>
                <w:szCs w:val="21"/>
              </w:rPr>
              <w:t>无法确定中标金额</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5E55">
            <w:pPr>
              <w:jc w:val="both"/>
              <w:textAlignment w:val="center"/>
              <w:rPr>
                <w:rFonts w:ascii="宋体" w:hAnsi="宋体" w:cs="宋体"/>
                <w:b/>
                <w:bCs/>
                <w:szCs w:val="21"/>
              </w:rPr>
            </w:pPr>
            <w:r>
              <w:rPr>
                <w:rFonts w:hint="eastAsia" w:ascii="宋体" w:hAnsi="宋体" w:cs="宋体"/>
                <w:b/>
                <w:bCs/>
                <w:szCs w:val="21"/>
              </w:rPr>
              <w:t>直接非公开招标</w:t>
            </w:r>
          </w:p>
        </w:tc>
      </w:tr>
      <w:tr w14:paraId="5AC07383">
        <w:tblPrEx>
          <w:tblCellMar>
            <w:top w:w="0" w:type="dxa"/>
            <w:left w:w="108" w:type="dxa"/>
            <w:bottom w:w="0" w:type="dxa"/>
            <w:right w:w="108" w:type="dxa"/>
          </w:tblCellMar>
        </w:tblPrEx>
        <w:trPr>
          <w:trHeight w:val="558" w:hRule="atLeast"/>
        </w:trPr>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9085">
            <w:pPr>
              <w:jc w:val="both"/>
              <w:textAlignment w:val="center"/>
              <w:rPr>
                <w:rFonts w:ascii="宋体" w:hAnsi="宋体" w:cs="宋体"/>
                <w:b/>
                <w:bCs/>
                <w:szCs w:val="21"/>
              </w:rPr>
            </w:pPr>
            <w:r>
              <w:rPr>
                <w:rFonts w:ascii="宋体" w:hAnsi="宋体" w:cs="宋体"/>
                <w:b/>
                <w:bCs/>
                <w:szCs w:val="21"/>
              </w:rPr>
              <w:t>元</w:t>
            </w:r>
            <w:r>
              <w:rPr>
                <w:b/>
                <w:bCs/>
                <w:szCs w:val="21"/>
              </w:rPr>
              <w:t>/</w:t>
            </w:r>
            <w:r>
              <w:rPr>
                <w:rFonts w:ascii="宋体" w:hAnsi="宋体" w:cs="宋体"/>
                <w:b/>
                <w:bCs/>
                <w:szCs w:val="21"/>
              </w:rPr>
              <w:t>项</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70619">
            <w:pPr>
              <w:jc w:val="both"/>
              <w:textAlignment w:val="center"/>
              <w:rPr>
                <w:rFonts w:ascii="宋体" w:hAnsi="宋体" w:cs="宋体"/>
                <w:b/>
                <w:bCs/>
                <w:szCs w:val="21"/>
              </w:rPr>
            </w:pPr>
            <w:r>
              <w:rPr>
                <w:rFonts w:ascii="宋体" w:hAnsi="宋体" w:cs="宋体"/>
                <w:b/>
                <w:bCs/>
                <w:szCs w:val="21"/>
              </w:rPr>
              <w:t>万元</w:t>
            </w:r>
            <w:r>
              <w:rPr>
                <w:b/>
                <w:bCs/>
                <w:szCs w:val="21"/>
              </w:rPr>
              <w:t>/</w:t>
            </w:r>
            <w:r>
              <w:rPr>
                <w:rFonts w:ascii="宋体" w:hAnsi="宋体" w:cs="宋体"/>
                <w:b/>
                <w:bCs/>
                <w:szCs w:val="21"/>
              </w:rPr>
              <w:t>项</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C760">
            <w:pPr>
              <w:jc w:val="both"/>
              <w:textAlignment w:val="center"/>
              <w:rPr>
                <w:rFonts w:ascii="宋体" w:hAnsi="宋体" w:cs="宋体"/>
                <w:b/>
                <w:bCs/>
                <w:szCs w:val="21"/>
              </w:rPr>
            </w:pPr>
            <w:r>
              <w:rPr>
                <w:rFonts w:ascii="宋体" w:hAnsi="宋体" w:cs="宋体"/>
                <w:b/>
                <w:bCs/>
                <w:szCs w:val="21"/>
              </w:rPr>
              <w:t>元</w:t>
            </w:r>
            <w:r>
              <w:rPr>
                <w:b/>
                <w:bCs/>
                <w:szCs w:val="21"/>
              </w:rPr>
              <w:t>/</w:t>
            </w:r>
            <w:r>
              <w:rPr>
                <w:rFonts w:ascii="宋体" w:hAnsi="宋体" w:cs="宋体"/>
                <w:b/>
                <w:bCs/>
                <w:szCs w:val="21"/>
              </w:rPr>
              <w:t>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5CA1">
            <w:pPr>
              <w:jc w:val="both"/>
              <w:textAlignment w:val="center"/>
              <w:rPr>
                <w:rFonts w:ascii="宋体" w:hAnsi="宋体" w:cs="宋体"/>
                <w:b/>
                <w:bCs/>
                <w:szCs w:val="21"/>
              </w:rPr>
            </w:pPr>
            <w:r>
              <w:rPr>
                <w:rFonts w:ascii="宋体" w:hAnsi="宋体" w:cs="宋体"/>
                <w:b/>
                <w:bCs/>
                <w:szCs w:val="21"/>
              </w:rPr>
              <w:t>元</w:t>
            </w:r>
            <w:r>
              <w:rPr>
                <w:b/>
                <w:bCs/>
                <w:szCs w:val="21"/>
              </w:rPr>
              <w:t>/</w:t>
            </w:r>
            <w:r>
              <w:rPr>
                <w:rFonts w:ascii="宋体" w:hAnsi="宋体" w:cs="宋体"/>
                <w:b/>
                <w:bCs/>
                <w:szCs w:val="21"/>
              </w:rPr>
              <w:t>项</w:t>
            </w:r>
          </w:p>
        </w:tc>
      </w:tr>
      <w:tr w14:paraId="5AAA178B">
        <w:tblPrEx>
          <w:tblCellMar>
            <w:top w:w="0" w:type="dxa"/>
            <w:left w:w="108" w:type="dxa"/>
            <w:bottom w:w="0" w:type="dxa"/>
            <w:right w:w="108" w:type="dxa"/>
          </w:tblCellMar>
        </w:tblPrEx>
        <w:trPr>
          <w:trHeight w:val="552" w:hRule="atLeast"/>
        </w:trPr>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5F81">
            <w:pPr>
              <w:jc w:val="both"/>
              <w:rPr>
                <w:rFonts w:ascii="宋体" w:hAnsi="宋体" w:cs="宋体"/>
                <w:szCs w:val="21"/>
              </w:rPr>
            </w:pPr>
            <w:r>
              <w:rPr>
                <w:rFonts w:hint="eastAsia" w:ascii="宋体" w:hAnsi="宋体" w:cs="宋体"/>
                <w:szCs w:val="21"/>
              </w:rPr>
              <w:t xml:space="preserve">7160.00 </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9574">
            <w:pPr>
              <w:jc w:val="both"/>
              <w:rPr>
                <w:rFonts w:ascii="宋体" w:hAnsi="宋体" w:cs="宋体"/>
                <w:szCs w:val="21"/>
              </w:rPr>
            </w:pPr>
            <w:r>
              <w:rPr>
                <w:rFonts w:hint="eastAsia" w:ascii="宋体" w:hAnsi="宋体" w:cs="宋体"/>
                <w:szCs w:val="21"/>
              </w:rPr>
              <w:t xml:space="preserve">16.00 </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68D1">
            <w:pPr>
              <w:jc w:val="both"/>
              <w:rPr>
                <w:rFonts w:ascii="宋体" w:hAnsi="宋体" w:cs="宋体"/>
                <w:szCs w:val="21"/>
              </w:rPr>
            </w:pPr>
            <w:r>
              <w:rPr>
                <w:rFonts w:hint="eastAsia" w:ascii="宋体" w:hAnsi="宋体" w:cs="宋体"/>
                <w:szCs w:val="21"/>
              </w:rPr>
              <w:t xml:space="preserve">7160.00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0680">
            <w:pPr>
              <w:jc w:val="both"/>
              <w:rPr>
                <w:rFonts w:ascii="宋体" w:hAnsi="宋体" w:cs="宋体"/>
                <w:szCs w:val="21"/>
              </w:rPr>
            </w:pPr>
            <w:r>
              <w:rPr>
                <w:rFonts w:hint="eastAsia" w:ascii="宋体" w:hAnsi="宋体" w:cs="宋体"/>
                <w:szCs w:val="21"/>
              </w:rPr>
              <w:t xml:space="preserve">4000.00 </w:t>
            </w:r>
          </w:p>
        </w:tc>
      </w:tr>
    </w:tbl>
    <w:p w14:paraId="4A560E6E">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中标金额</w:t>
      </w:r>
      <w:r>
        <w:rPr>
          <w:rFonts w:ascii="宋体" w:hAnsi="宋体"/>
          <w:bCs/>
          <w:color w:val="000000" w:themeColor="text1"/>
          <w:sz w:val="21"/>
          <w:szCs w:val="21"/>
          <w14:textFill>
            <w14:solidFill>
              <w14:schemeClr w14:val="tx1"/>
            </w14:solidFill>
          </w14:textFill>
        </w:rPr>
        <w:t>100万（含）至2亿的项目计算方法为差额定率累进法，确定各区间计算标准如下：</w:t>
      </w:r>
    </w:p>
    <w:tbl>
      <w:tblPr>
        <w:tblStyle w:val="62"/>
        <w:tblW w:w="9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2"/>
        <w:gridCol w:w="2068"/>
        <w:gridCol w:w="2257"/>
        <w:gridCol w:w="1963"/>
      </w:tblGrid>
      <w:tr w14:paraId="679A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3122" w:type="dxa"/>
          </w:tcPr>
          <w:p w14:paraId="6274711E">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31750</wp:posOffset>
                      </wp:positionV>
                      <wp:extent cx="1957070" cy="1371600"/>
                      <wp:effectExtent l="0" t="0" r="24130" b="1905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957387" cy="1371600"/>
                              </a:xfrm>
                              <a:prstGeom prst="line">
                                <a:avLst/>
                              </a:prstGeom>
                              <a:noFill/>
                              <a:ln w="6350">
                                <a:solidFill>
                                  <a:srgbClr val="000000"/>
                                </a:solidFill>
                                <a:miter lim="800000"/>
                              </a:ln>
                            </wps:spPr>
                            <wps:bodyPr/>
                          </wps:wsp>
                        </a:graphicData>
                      </a:graphic>
                    </wp:anchor>
                  </w:drawing>
                </mc:Choice>
                <mc:Fallback>
                  <w:pict>
                    <v:line id="_x0000_s1026" o:spid="_x0000_s1026" o:spt="20" style="position:absolute;left:0pt;margin-left:-4.85pt;margin-top:2.5pt;height:108pt;width:154.1pt;z-index:251659264;mso-width-relative:page;mso-height-relative:page;" filled="f" stroked="t" coordsize="21600,21600" o:gfxdata="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QEtBNYAAAAIAQAADwAAAAAAAAABACAAAAAiAAAAZHJzL2Rvd25yZXYueG1sUEsBAhQAFAAA&#10;AAgAh07iQBU5OuzxAQAAvQMAAA4AAAAAAAAAAQAgAAAAJQEAAGRycy9lMm9Eb2MueG1sUEsFBgAA&#10;AAAGAAYAWQEAAIgFAAAAAA==&#10;">
                      <v:fill on="f" focussize="0,0"/>
                      <v:stroke weight="0.5pt" color="#000000" miterlimit="8" joinstyle="miter"/>
                      <v:imagedata o:title=""/>
                      <o:lock v:ext="edit" aspectratio="f"/>
                    </v:line>
                  </w:pict>
                </mc:Fallback>
              </mc:AlternateContent>
            </w:r>
            <w:r>
              <w:rPr>
                <w:rFonts w:ascii="宋体" w:hAnsi="宋体"/>
                <w:bCs/>
                <w:color w:val="000000" w:themeColor="text1"/>
                <w:szCs w:val="21"/>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column">
                        <wp:posOffset>-114300</wp:posOffset>
                      </wp:positionH>
                      <wp:positionV relativeFrom="paragraph">
                        <wp:posOffset>-6350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pt;width:0.05pt;z-index:251660288;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kdN+1QAAAAkB&#10;AAAPAAAAAAAAAAEAIAAAACIAAABkcnMvZG93bnJldi54bWxQSwECFAAUAAAACACHTuJAnjPQuOUB&#10;AAC0AwAADgAAAAAAAAABACAAAAAkAQAAZHJzL2Uyb0RvYy54bWxQSwUGAAAAAAYABgBZAQAAewUA&#10;AAAA&#10;">
                      <v:fill on="f" focussize="0,0"/>
                      <v:stroke color="#000000" joinstyle="round"/>
                      <v:imagedata o:title=""/>
                      <o:lock v:ext="edit" aspectratio="f"/>
                    </v:line>
                  </w:pict>
                </mc:Fallback>
              </mc:AlternateContent>
            </w:r>
            <w:r>
              <w:rPr>
                <w:rFonts w:hint="eastAsia" w:ascii="宋体" w:hAnsi="宋体"/>
                <w:bCs/>
                <w:color w:val="000000" w:themeColor="text1"/>
                <w:szCs w:val="21"/>
                <w14:textFill>
                  <w14:solidFill>
                    <w14:schemeClr w14:val="tx1"/>
                  </w14:solidFill>
                </w14:textFill>
              </w:rPr>
              <w:t>中标金额（万元）</w:t>
            </w:r>
          </w:p>
          <w:p w14:paraId="28247FF7">
            <w:pPr>
              <w:spacing w:line="360" w:lineRule="auto"/>
              <w:ind w:firstLine="200" w:firstLineChars="100"/>
              <w:jc w:val="both"/>
              <w:rPr>
                <w:rFonts w:ascii="宋体" w:hAnsi="宋体"/>
                <w:bCs/>
                <w:color w:val="000000" w:themeColor="text1"/>
                <w:szCs w:val="21"/>
                <w14:textFill>
                  <w14:solidFill>
                    <w14:schemeClr w14:val="tx1"/>
                  </w14:solidFill>
                </w14:textFill>
              </w:rPr>
            </w:pPr>
          </w:p>
          <w:p w14:paraId="1B4DE812">
            <w:pPr>
              <w:spacing w:line="360" w:lineRule="auto"/>
              <w:ind w:firstLine="200" w:firstLineChars="1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费率</w:t>
            </w:r>
          </w:p>
          <w:p w14:paraId="16CCBD01">
            <w:pPr>
              <w:spacing w:line="360" w:lineRule="auto"/>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服务类型</w:t>
            </w:r>
          </w:p>
        </w:tc>
        <w:tc>
          <w:tcPr>
            <w:tcW w:w="2068" w:type="dxa"/>
            <w:vAlign w:val="center"/>
          </w:tcPr>
          <w:p w14:paraId="477B8742">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货物招标</w:t>
            </w:r>
          </w:p>
        </w:tc>
        <w:tc>
          <w:tcPr>
            <w:tcW w:w="2257" w:type="dxa"/>
            <w:vAlign w:val="center"/>
          </w:tcPr>
          <w:p w14:paraId="6900DC25">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服务招标</w:t>
            </w:r>
          </w:p>
        </w:tc>
        <w:tc>
          <w:tcPr>
            <w:tcW w:w="1963" w:type="dxa"/>
            <w:vAlign w:val="center"/>
          </w:tcPr>
          <w:p w14:paraId="610A6A3B">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工程招标</w:t>
            </w:r>
          </w:p>
        </w:tc>
      </w:tr>
      <w:tr w14:paraId="3C45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122" w:type="dxa"/>
            <w:tcBorders>
              <w:top w:val="single" w:color="auto" w:sz="8" w:space="0"/>
            </w:tcBorders>
            <w:vAlign w:val="center"/>
          </w:tcPr>
          <w:p w14:paraId="234043FF">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100-500</w:t>
            </w:r>
          </w:p>
        </w:tc>
        <w:tc>
          <w:tcPr>
            <w:tcW w:w="2068" w:type="dxa"/>
            <w:tcBorders>
              <w:top w:val="single" w:color="auto" w:sz="8" w:space="0"/>
            </w:tcBorders>
          </w:tcPr>
          <w:p w14:paraId="737D6586">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0.6710%</w:t>
            </w:r>
          </w:p>
        </w:tc>
        <w:tc>
          <w:tcPr>
            <w:tcW w:w="2257" w:type="dxa"/>
            <w:tcBorders>
              <w:top w:val="single" w:color="auto" w:sz="8" w:space="0"/>
            </w:tcBorders>
          </w:tcPr>
          <w:p w14:paraId="2CACC85B">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0.4880%</w:t>
            </w:r>
          </w:p>
        </w:tc>
        <w:tc>
          <w:tcPr>
            <w:tcW w:w="1963" w:type="dxa"/>
            <w:tcBorders>
              <w:top w:val="single" w:color="auto" w:sz="8" w:space="0"/>
            </w:tcBorders>
          </w:tcPr>
          <w:p w14:paraId="7B8F1C81">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0.4270%</w:t>
            </w:r>
          </w:p>
        </w:tc>
      </w:tr>
      <w:tr w14:paraId="3274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2" w:type="dxa"/>
            <w:vAlign w:val="center"/>
          </w:tcPr>
          <w:p w14:paraId="4E41FFDB">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500-1000</w:t>
            </w:r>
          </w:p>
        </w:tc>
        <w:tc>
          <w:tcPr>
            <w:tcW w:w="2068" w:type="dxa"/>
          </w:tcPr>
          <w:p w14:paraId="55014D1F">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0.4800%</w:t>
            </w:r>
          </w:p>
        </w:tc>
        <w:tc>
          <w:tcPr>
            <w:tcW w:w="2257" w:type="dxa"/>
          </w:tcPr>
          <w:p w14:paraId="2DF892ED">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0.2700%</w:t>
            </w:r>
          </w:p>
        </w:tc>
        <w:tc>
          <w:tcPr>
            <w:tcW w:w="1963" w:type="dxa"/>
          </w:tcPr>
          <w:p w14:paraId="342960D2">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0.3300%</w:t>
            </w:r>
          </w:p>
        </w:tc>
      </w:tr>
      <w:tr w14:paraId="7B4D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2" w:type="dxa"/>
            <w:vAlign w:val="center"/>
          </w:tcPr>
          <w:p w14:paraId="2C020CB3">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1000-5000</w:t>
            </w:r>
          </w:p>
        </w:tc>
        <w:tc>
          <w:tcPr>
            <w:tcW w:w="2068" w:type="dxa"/>
          </w:tcPr>
          <w:p w14:paraId="65AE0006">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0.2150%</w:t>
            </w:r>
          </w:p>
        </w:tc>
        <w:tc>
          <w:tcPr>
            <w:tcW w:w="2257" w:type="dxa"/>
          </w:tcPr>
          <w:p w14:paraId="5F43CD94">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0.1075%</w:t>
            </w:r>
          </w:p>
        </w:tc>
        <w:tc>
          <w:tcPr>
            <w:tcW w:w="1963" w:type="dxa"/>
          </w:tcPr>
          <w:p w14:paraId="47329A15">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0.150</w:t>
            </w:r>
            <w:r>
              <w:rPr>
                <w:rFonts w:ascii="宋体" w:hAnsi="宋体"/>
                <w:bCs/>
                <w:color w:val="000000" w:themeColor="text1"/>
                <w:szCs w:val="21"/>
                <w14:textFill>
                  <w14:solidFill>
                    <w14:schemeClr w14:val="tx1"/>
                  </w14:solidFill>
                </w14:textFill>
              </w:rPr>
              <w:t>5</w:t>
            </w:r>
            <w:r>
              <w:rPr>
                <w:rFonts w:hint="eastAsia" w:ascii="宋体" w:hAnsi="宋体"/>
                <w:bCs/>
                <w:color w:val="000000" w:themeColor="text1"/>
                <w:szCs w:val="21"/>
                <w14:textFill>
                  <w14:solidFill>
                    <w14:schemeClr w14:val="tx1"/>
                  </w14:solidFill>
                </w14:textFill>
              </w:rPr>
              <w:t>%</w:t>
            </w:r>
          </w:p>
        </w:tc>
      </w:tr>
      <w:tr w14:paraId="65E8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2" w:type="dxa"/>
            <w:vAlign w:val="center"/>
          </w:tcPr>
          <w:p w14:paraId="75979865">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5000-10000</w:t>
            </w:r>
          </w:p>
        </w:tc>
        <w:tc>
          <w:tcPr>
            <w:tcW w:w="2068" w:type="dxa"/>
          </w:tcPr>
          <w:p w14:paraId="53BE5BA4">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0.1075%</w:t>
            </w:r>
          </w:p>
        </w:tc>
        <w:tc>
          <w:tcPr>
            <w:tcW w:w="2257" w:type="dxa"/>
          </w:tcPr>
          <w:p w14:paraId="48CE93A5">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0.0430%</w:t>
            </w:r>
          </w:p>
        </w:tc>
        <w:tc>
          <w:tcPr>
            <w:tcW w:w="1963" w:type="dxa"/>
          </w:tcPr>
          <w:p w14:paraId="3802FE74">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0.0860%</w:t>
            </w:r>
          </w:p>
        </w:tc>
      </w:tr>
      <w:tr w14:paraId="48C0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2" w:type="dxa"/>
            <w:vAlign w:val="center"/>
          </w:tcPr>
          <w:p w14:paraId="2203608D">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10000-20000</w:t>
            </w:r>
          </w:p>
        </w:tc>
        <w:tc>
          <w:tcPr>
            <w:tcW w:w="2068" w:type="dxa"/>
          </w:tcPr>
          <w:p w14:paraId="769BBB70">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0.0</w:t>
            </w:r>
            <w:r>
              <w:rPr>
                <w:rFonts w:ascii="宋体" w:hAnsi="宋体"/>
                <w:bCs/>
                <w:color w:val="000000" w:themeColor="text1"/>
                <w:szCs w:val="21"/>
                <w14:textFill>
                  <w14:solidFill>
                    <w14:schemeClr w14:val="tx1"/>
                  </w14:solidFill>
                </w14:textFill>
              </w:rPr>
              <w:t>205</w:t>
            </w:r>
            <w:r>
              <w:rPr>
                <w:rFonts w:hint="eastAsia" w:ascii="宋体" w:hAnsi="宋体"/>
                <w:bCs/>
                <w:color w:val="000000" w:themeColor="text1"/>
                <w:szCs w:val="21"/>
                <w14:textFill>
                  <w14:solidFill>
                    <w14:schemeClr w14:val="tx1"/>
                  </w14:solidFill>
                </w14:textFill>
              </w:rPr>
              <w:t>%</w:t>
            </w:r>
          </w:p>
        </w:tc>
        <w:tc>
          <w:tcPr>
            <w:tcW w:w="2257" w:type="dxa"/>
          </w:tcPr>
          <w:p w14:paraId="4F72BD0F">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0.0205%</w:t>
            </w:r>
          </w:p>
        </w:tc>
        <w:tc>
          <w:tcPr>
            <w:tcW w:w="1963" w:type="dxa"/>
          </w:tcPr>
          <w:p w14:paraId="7FCBCE93">
            <w:pPr>
              <w:spacing w:line="360" w:lineRule="auto"/>
              <w:ind w:firstLine="400" w:firstLineChars="200"/>
              <w:jc w:val="both"/>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0.0205%</w:t>
            </w:r>
          </w:p>
        </w:tc>
      </w:tr>
    </w:tbl>
    <w:p w14:paraId="27929132">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以服务类</w:t>
      </w:r>
      <w:r>
        <w:rPr>
          <w:rFonts w:ascii="宋体" w:hAnsi="宋体"/>
          <w:bCs/>
          <w:color w:val="000000" w:themeColor="text1"/>
          <w:sz w:val="21"/>
          <w:szCs w:val="21"/>
          <w14:textFill>
            <w14:solidFill>
              <w14:schemeClr w14:val="tx1"/>
            </w14:solidFill>
          </w14:textFill>
        </w:rPr>
        <w:t>中标金额2</w:t>
      </w:r>
      <w:r>
        <w:rPr>
          <w:rFonts w:hint="eastAsia" w:ascii="宋体" w:hAnsi="宋体"/>
          <w:bCs/>
          <w:color w:val="000000" w:themeColor="text1"/>
          <w:sz w:val="21"/>
          <w:szCs w:val="21"/>
          <w14:textFill>
            <w14:solidFill>
              <w14:schemeClr w14:val="tx1"/>
            </w14:solidFill>
          </w14:textFill>
        </w:rPr>
        <w:t>00万为</w:t>
      </w:r>
      <w:r>
        <w:rPr>
          <w:rFonts w:ascii="宋体" w:hAnsi="宋体"/>
          <w:bCs/>
          <w:color w:val="000000" w:themeColor="text1"/>
          <w:sz w:val="21"/>
          <w:szCs w:val="21"/>
          <w14:textFill>
            <w14:solidFill>
              <w14:schemeClr w14:val="tx1"/>
            </w14:solidFill>
          </w14:textFill>
        </w:rPr>
        <w:t>例：</w:t>
      </w:r>
    </w:p>
    <w:p w14:paraId="3CD8F80A">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中</w:t>
      </w:r>
      <w:r>
        <w:rPr>
          <w:rFonts w:ascii="宋体" w:hAnsi="宋体"/>
          <w:bCs/>
          <w:color w:val="000000" w:themeColor="text1"/>
          <w:sz w:val="21"/>
          <w:szCs w:val="21"/>
          <w14:textFill>
            <w14:solidFill>
              <w14:schemeClr w14:val="tx1"/>
            </w14:solidFill>
          </w14:textFill>
        </w:rPr>
        <w:t>标服务费＝716</w:t>
      </w:r>
      <w:r>
        <w:rPr>
          <w:rFonts w:hint="eastAsia" w:ascii="宋体" w:hAnsi="宋体"/>
          <w:bCs/>
          <w:color w:val="000000" w:themeColor="text1"/>
          <w:sz w:val="21"/>
          <w:szCs w:val="21"/>
          <w14:textFill>
            <w14:solidFill>
              <w14:schemeClr w14:val="tx1"/>
            </w14:solidFill>
          </w14:textFill>
        </w:rPr>
        <w:t>0+（</w:t>
      </w:r>
      <w:r>
        <w:rPr>
          <w:rFonts w:ascii="宋体" w:hAnsi="宋体"/>
          <w:bCs/>
          <w:color w:val="000000" w:themeColor="text1"/>
          <w:sz w:val="21"/>
          <w:szCs w:val="21"/>
          <w14:textFill>
            <w14:solidFill>
              <w14:schemeClr w14:val="tx1"/>
            </w14:solidFill>
          </w14:textFill>
        </w:rPr>
        <w:t>2</w:t>
      </w:r>
      <w:r>
        <w:rPr>
          <w:rFonts w:hint="eastAsia" w:ascii="宋体" w:hAnsi="宋体"/>
          <w:bCs/>
          <w:color w:val="000000" w:themeColor="text1"/>
          <w:sz w:val="21"/>
          <w:szCs w:val="21"/>
          <w14:textFill>
            <w14:solidFill>
              <w14:schemeClr w14:val="tx1"/>
            </w14:solidFill>
          </w14:textFill>
        </w:rPr>
        <w:t>00</w:t>
      </w:r>
      <w:r>
        <w:rPr>
          <w:rFonts w:ascii="宋体" w:hAnsi="宋体"/>
          <w:bCs/>
          <w:color w:val="000000" w:themeColor="text1"/>
          <w:sz w:val="21"/>
          <w:szCs w:val="21"/>
          <w14:textFill>
            <w14:solidFill>
              <w14:schemeClr w14:val="tx1"/>
            </w14:solidFill>
          </w14:textFill>
        </w:rPr>
        <w:t>0000</w:t>
      </w:r>
      <w:r>
        <w:rPr>
          <w:rFonts w:hint="eastAsia" w:ascii="宋体" w:hAnsi="宋体"/>
          <w:bCs/>
          <w:color w:val="000000" w:themeColor="text1"/>
          <w:sz w:val="21"/>
          <w:szCs w:val="21"/>
          <w14:textFill>
            <w14:solidFill>
              <w14:schemeClr w14:val="tx1"/>
            </w14:solidFill>
          </w14:textFill>
        </w:rPr>
        <w:t>-100</w:t>
      </w:r>
      <w:r>
        <w:rPr>
          <w:rFonts w:ascii="宋体" w:hAnsi="宋体"/>
          <w:bCs/>
          <w:color w:val="000000" w:themeColor="text1"/>
          <w:sz w:val="21"/>
          <w:szCs w:val="21"/>
          <w14:textFill>
            <w14:solidFill>
              <w14:schemeClr w14:val="tx1"/>
            </w14:solidFill>
          </w14:textFill>
        </w:rPr>
        <w:t>0000</w:t>
      </w:r>
      <w:r>
        <w:rPr>
          <w:rFonts w:hint="eastAsia" w:ascii="宋体" w:hAnsi="宋体"/>
          <w:bCs/>
          <w:color w:val="000000" w:themeColor="text1"/>
          <w:sz w:val="21"/>
          <w:szCs w:val="21"/>
          <w14:textFill>
            <w14:solidFill>
              <w14:schemeClr w14:val="tx1"/>
            </w14:solidFill>
          </w14:textFill>
        </w:rPr>
        <w:t>）*</w:t>
      </w:r>
      <w:r>
        <w:rPr>
          <w:rFonts w:ascii="宋体" w:hAnsi="宋体"/>
          <w:bCs/>
          <w:color w:val="000000" w:themeColor="text1"/>
          <w:sz w:val="21"/>
          <w:szCs w:val="21"/>
          <w14:textFill>
            <w14:solidFill>
              <w14:schemeClr w14:val="tx1"/>
            </w14:solidFill>
          </w14:textFill>
        </w:rPr>
        <w:t>0.4880</w:t>
      </w:r>
      <w:r>
        <w:rPr>
          <w:rFonts w:hint="eastAsia" w:ascii="宋体" w:hAnsi="宋体"/>
          <w:bCs/>
          <w:color w:val="000000" w:themeColor="text1"/>
          <w:sz w:val="21"/>
          <w:szCs w:val="21"/>
          <w14:textFill>
            <w14:solidFill>
              <w14:schemeClr w14:val="tx1"/>
            </w14:solidFill>
          </w14:textFill>
        </w:rPr>
        <w:t>%＝</w:t>
      </w:r>
      <w:r>
        <w:rPr>
          <w:rFonts w:ascii="宋体" w:hAnsi="宋体"/>
          <w:bCs/>
          <w:color w:val="000000" w:themeColor="text1"/>
          <w:sz w:val="21"/>
          <w:szCs w:val="21"/>
          <w14:textFill>
            <w14:solidFill>
              <w14:schemeClr w14:val="tx1"/>
            </w14:solidFill>
          </w14:textFill>
        </w:rPr>
        <w:t>12040</w:t>
      </w:r>
      <w:r>
        <w:rPr>
          <w:rFonts w:hint="eastAsia" w:ascii="宋体" w:hAnsi="宋体"/>
          <w:bCs/>
          <w:color w:val="000000" w:themeColor="text1"/>
          <w:sz w:val="21"/>
          <w:szCs w:val="21"/>
          <w14:textFill>
            <w14:solidFill>
              <w14:schemeClr w14:val="tx1"/>
            </w14:solidFill>
          </w14:textFill>
        </w:rPr>
        <w:t>元</w:t>
      </w:r>
    </w:p>
    <w:p w14:paraId="6AB07F68">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ascii="宋体" w:hAnsi="宋体"/>
          <w:bCs/>
          <w:color w:val="000000" w:themeColor="text1"/>
          <w:sz w:val="21"/>
          <w:szCs w:val="21"/>
          <w14:textFill>
            <w14:solidFill>
              <w14:schemeClr w14:val="tx1"/>
            </w14:solidFill>
          </w14:textFill>
        </w:rPr>
        <w:t>注：招标代理服务收费按差额定率累进法计算。</w:t>
      </w:r>
    </w:p>
    <w:p w14:paraId="1014A894">
      <w:pPr>
        <w:spacing w:line="360" w:lineRule="auto"/>
        <w:ind w:firstLine="420" w:firstLineChars="200"/>
        <w:jc w:val="both"/>
        <w:rPr>
          <w:rFonts w:ascii="宋体" w:hAnsi="宋体"/>
          <w:bCs/>
          <w:color w:val="000000" w:themeColor="text1"/>
          <w:sz w:val="21"/>
          <w:szCs w:val="21"/>
          <w14:textFill>
            <w14:solidFill>
              <w14:schemeClr w14:val="tx1"/>
            </w14:solidFill>
          </w14:textFill>
        </w:rPr>
      </w:pPr>
      <w:r>
        <w:rPr>
          <w:rFonts w:hint="eastAsia" w:ascii="宋体" w:hAnsi="宋体"/>
          <w:bCs/>
          <w:color w:val="000000" w:themeColor="text1"/>
          <w:sz w:val="21"/>
          <w:szCs w:val="21"/>
          <w14:textFill>
            <w14:solidFill>
              <w14:schemeClr w14:val="tx1"/>
            </w14:solidFill>
          </w14:textFill>
        </w:rPr>
        <w:t>1.5.3</w:t>
      </w:r>
      <w:r>
        <w:rPr>
          <w:rFonts w:ascii="宋体" w:hAnsi="宋体"/>
          <w:bCs/>
          <w:color w:val="000000" w:themeColor="text1"/>
          <w:sz w:val="21"/>
          <w:szCs w:val="21"/>
          <w14:textFill>
            <w14:solidFill>
              <w14:schemeClr w14:val="tx1"/>
            </w14:solidFill>
          </w14:textFill>
        </w:rPr>
        <w:t>招标代理服务费</w:t>
      </w:r>
      <w:r>
        <w:rPr>
          <w:rFonts w:hint="eastAsia" w:ascii="宋体" w:hAnsi="宋体"/>
          <w:bCs/>
          <w:color w:val="000000" w:themeColor="text1"/>
          <w:sz w:val="21"/>
          <w:szCs w:val="21"/>
          <w14:textFill>
            <w14:solidFill>
              <w14:schemeClr w14:val="tx1"/>
            </w14:solidFill>
          </w14:textFill>
        </w:rPr>
        <w:t>可以通过网</w:t>
      </w:r>
      <w:r>
        <w:rPr>
          <w:rFonts w:ascii="宋体" w:hAnsi="宋体"/>
          <w:bCs/>
          <w:color w:val="000000" w:themeColor="text1"/>
          <w:sz w:val="21"/>
          <w:szCs w:val="21"/>
          <w14:textFill>
            <w14:solidFill>
              <w14:schemeClr w14:val="tx1"/>
            </w14:solidFill>
          </w14:textFill>
        </w:rPr>
        <w:t>银汇款、银行电汇</w:t>
      </w:r>
      <w:r>
        <w:rPr>
          <w:rFonts w:hint="eastAsia" w:ascii="宋体" w:hAnsi="宋体"/>
          <w:bCs/>
          <w:color w:val="000000" w:themeColor="text1"/>
          <w:sz w:val="21"/>
          <w:szCs w:val="21"/>
          <w14:textFill>
            <w14:solidFill>
              <w14:schemeClr w14:val="tx1"/>
            </w14:solidFill>
          </w14:textFill>
        </w:rPr>
        <w:t>等方式进行缴纳</w:t>
      </w:r>
      <w:r>
        <w:rPr>
          <w:rFonts w:ascii="宋体" w:hAnsi="宋体"/>
          <w:bCs/>
          <w:color w:val="000000" w:themeColor="text1"/>
          <w:sz w:val="21"/>
          <w:szCs w:val="21"/>
          <w14:textFill>
            <w14:solidFill>
              <w14:schemeClr w14:val="tx1"/>
            </w14:solidFill>
          </w14:textFill>
        </w:rPr>
        <w:t>。</w:t>
      </w:r>
    </w:p>
    <w:p w14:paraId="0393E98C">
      <w:pPr>
        <w:pStyle w:val="310"/>
        <w:spacing w:line="360" w:lineRule="auto"/>
        <w:rPr>
          <w:rFonts w:ascii="宋体" w:hAnsi="宋体" w:eastAsia="宋体"/>
        </w:rPr>
      </w:pPr>
      <w:r>
        <w:rPr>
          <w:rFonts w:hint="eastAsia" w:ascii="宋体" w:hAnsi="宋体" w:eastAsia="宋体" w:cs="Times New Roman"/>
        </w:rPr>
        <w:t>1.6 保密</w:t>
      </w:r>
    </w:p>
    <w:p w14:paraId="5C7340AD">
      <w:pPr>
        <w:spacing w:line="360" w:lineRule="auto"/>
        <w:ind w:firstLine="420" w:firstLineChars="200"/>
        <w:jc w:val="both"/>
        <w:rPr>
          <w:rFonts w:ascii="宋体" w:hAnsi="宋体"/>
          <w:sz w:val="21"/>
          <w:szCs w:val="21"/>
        </w:rPr>
      </w:pPr>
      <w:r>
        <w:rPr>
          <w:rFonts w:hint="eastAsia" w:ascii="宋体" w:hAnsi="宋体"/>
          <w:sz w:val="21"/>
          <w:szCs w:val="21"/>
        </w:rPr>
        <w:t>参与招标投标活动的各方应对招标文件和投标文件中的商业和技术等秘密保密，违者应对由此造成的后果承担法律责任。</w:t>
      </w:r>
    </w:p>
    <w:p w14:paraId="4C851C1E">
      <w:pPr>
        <w:pStyle w:val="310"/>
        <w:spacing w:line="360" w:lineRule="auto"/>
        <w:rPr>
          <w:rFonts w:ascii="宋体" w:hAnsi="宋体" w:eastAsia="宋体" w:cs="Times New Roman"/>
        </w:rPr>
      </w:pPr>
      <w:r>
        <w:rPr>
          <w:rFonts w:hint="eastAsia" w:ascii="宋体" w:hAnsi="宋体" w:eastAsia="宋体" w:cs="Times New Roman"/>
        </w:rPr>
        <w:t>1.7 语言文字</w:t>
      </w:r>
    </w:p>
    <w:p w14:paraId="29947AA0">
      <w:pPr>
        <w:spacing w:line="360" w:lineRule="auto"/>
        <w:ind w:firstLine="420" w:firstLineChars="200"/>
        <w:jc w:val="both"/>
        <w:rPr>
          <w:rFonts w:ascii="宋体" w:hAnsi="宋体"/>
          <w:sz w:val="21"/>
          <w:szCs w:val="21"/>
        </w:rPr>
      </w:pPr>
      <w:r>
        <w:rPr>
          <w:rFonts w:hint="eastAsia" w:ascii="宋体" w:hAnsi="宋体"/>
          <w:sz w:val="21"/>
          <w:szCs w:val="21"/>
        </w:rPr>
        <w:t>除专用术语外，与招标投标有关的语言均使用中文，必要时专用术语应附有中文注释。</w:t>
      </w:r>
    </w:p>
    <w:p w14:paraId="403109CB">
      <w:pPr>
        <w:pStyle w:val="310"/>
        <w:spacing w:line="360" w:lineRule="auto"/>
        <w:rPr>
          <w:rFonts w:ascii="宋体" w:hAnsi="宋体" w:eastAsia="宋体" w:cs="Times New Roman"/>
        </w:rPr>
      </w:pPr>
      <w:r>
        <w:rPr>
          <w:rFonts w:hint="eastAsia" w:ascii="宋体" w:hAnsi="宋体" w:eastAsia="宋体" w:cs="Times New Roman"/>
        </w:rPr>
        <w:t>1.8 计量单位</w:t>
      </w:r>
    </w:p>
    <w:p w14:paraId="34517708">
      <w:pPr>
        <w:spacing w:line="360" w:lineRule="auto"/>
        <w:ind w:firstLine="420" w:firstLineChars="200"/>
        <w:jc w:val="both"/>
        <w:rPr>
          <w:rFonts w:ascii="宋体" w:hAnsi="宋体"/>
          <w:sz w:val="21"/>
          <w:szCs w:val="21"/>
        </w:rPr>
      </w:pPr>
      <w:r>
        <w:rPr>
          <w:rFonts w:hint="eastAsia" w:ascii="宋体" w:hAnsi="宋体"/>
          <w:sz w:val="21"/>
          <w:szCs w:val="21"/>
        </w:rPr>
        <w:t>所有计量均采用中华人民共和国法定计量单位。</w:t>
      </w:r>
    </w:p>
    <w:p w14:paraId="34502FEB">
      <w:pPr>
        <w:pStyle w:val="310"/>
        <w:spacing w:line="360" w:lineRule="auto"/>
        <w:rPr>
          <w:rFonts w:ascii="宋体" w:hAnsi="宋体" w:eastAsia="宋体" w:cs="Times New Roman"/>
        </w:rPr>
      </w:pPr>
      <w:r>
        <w:rPr>
          <w:rFonts w:hint="eastAsia" w:ascii="宋体" w:hAnsi="宋体" w:eastAsia="宋体" w:cs="Times New Roman"/>
        </w:rPr>
        <w:t>1.9 踏勘现场</w:t>
      </w:r>
    </w:p>
    <w:p w14:paraId="034B2530">
      <w:pPr>
        <w:spacing w:line="360" w:lineRule="auto"/>
        <w:ind w:firstLine="420" w:firstLineChars="200"/>
        <w:jc w:val="both"/>
        <w:rPr>
          <w:rFonts w:ascii="宋体" w:hAnsi="宋体"/>
          <w:sz w:val="21"/>
          <w:szCs w:val="21"/>
        </w:rPr>
      </w:pPr>
      <w:bookmarkStart w:id="35" w:name="_Hlk11662008"/>
      <w:r>
        <w:rPr>
          <w:rFonts w:hint="eastAsia" w:ascii="宋体" w:hAnsi="宋体"/>
          <w:sz w:val="21"/>
          <w:szCs w:val="21"/>
        </w:rPr>
        <w:t>1</w:t>
      </w:r>
      <w:r>
        <w:rPr>
          <w:rFonts w:ascii="宋体" w:hAnsi="宋体"/>
          <w:sz w:val="21"/>
          <w:szCs w:val="21"/>
        </w:rPr>
        <w:t>.9.1</w:t>
      </w:r>
      <w:r>
        <w:rPr>
          <w:rFonts w:hint="eastAsia" w:ascii="宋体" w:hAnsi="宋体"/>
          <w:sz w:val="21"/>
          <w:szCs w:val="21"/>
        </w:rPr>
        <w:t>投标人须知前附表规定组织踏勘现场的，招标人按投标人须知前附表规定的时间、地点组织投标人踏勘项目现场。</w:t>
      </w:r>
    </w:p>
    <w:p w14:paraId="74DE5B9B">
      <w:pPr>
        <w:spacing w:line="360" w:lineRule="auto"/>
        <w:ind w:firstLine="420" w:firstLineChars="200"/>
        <w:jc w:val="both"/>
        <w:rPr>
          <w:rFonts w:ascii="宋体" w:hAnsi="宋体"/>
          <w:sz w:val="21"/>
          <w:szCs w:val="21"/>
        </w:rPr>
      </w:pPr>
      <w:r>
        <w:rPr>
          <w:rFonts w:hint="eastAsia" w:ascii="宋体" w:hAnsi="宋体"/>
          <w:sz w:val="21"/>
          <w:szCs w:val="21"/>
        </w:rPr>
        <w:t>1</w:t>
      </w:r>
      <w:r>
        <w:rPr>
          <w:rFonts w:ascii="宋体" w:hAnsi="宋体"/>
          <w:sz w:val="21"/>
          <w:szCs w:val="21"/>
        </w:rPr>
        <w:t>.9.2</w:t>
      </w:r>
      <w:r>
        <w:rPr>
          <w:rFonts w:hint="eastAsia" w:ascii="宋体" w:hAnsi="宋体"/>
          <w:sz w:val="21"/>
          <w:szCs w:val="21"/>
        </w:rPr>
        <w:t>投标人踏勘现场发生的费用自理。</w:t>
      </w:r>
    </w:p>
    <w:p w14:paraId="116D39DB">
      <w:pPr>
        <w:spacing w:line="360" w:lineRule="auto"/>
        <w:ind w:firstLine="420" w:firstLineChars="200"/>
        <w:jc w:val="both"/>
        <w:rPr>
          <w:rFonts w:ascii="宋体" w:hAnsi="宋体"/>
          <w:sz w:val="21"/>
          <w:szCs w:val="21"/>
        </w:rPr>
      </w:pPr>
      <w:r>
        <w:rPr>
          <w:rFonts w:hint="eastAsia" w:ascii="宋体" w:hAnsi="宋体"/>
          <w:sz w:val="21"/>
          <w:szCs w:val="21"/>
        </w:rPr>
        <w:t>1.9.3投标人不得因进行踏勘项目现场而使招标人承担有关的责任和蒙受损失。除招标人的原因外，投标人自行负责在踏勘现场中所发生的人员伤亡和财产损失。</w:t>
      </w:r>
    </w:p>
    <w:p w14:paraId="26514A5F">
      <w:pPr>
        <w:spacing w:line="360" w:lineRule="auto"/>
        <w:ind w:firstLine="420" w:firstLineChars="200"/>
        <w:jc w:val="both"/>
        <w:rPr>
          <w:rFonts w:ascii="宋体" w:hAnsi="宋体"/>
          <w:sz w:val="21"/>
          <w:szCs w:val="21"/>
        </w:rPr>
      </w:pPr>
      <w:r>
        <w:rPr>
          <w:rFonts w:hint="eastAsia" w:ascii="宋体" w:hAnsi="宋体"/>
          <w:sz w:val="21"/>
          <w:szCs w:val="21"/>
        </w:rPr>
        <w:t>1.9.4招标人在踏勘现场中介绍的场地和相关的周边环境情况，供投标人在编制投标文件时参考，招标人不对投标人据此作出的判断和决策负责。</w:t>
      </w:r>
    </w:p>
    <w:p w14:paraId="179EE0C0">
      <w:pPr>
        <w:spacing w:line="360" w:lineRule="auto"/>
        <w:ind w:firstLine="420" w:firstLineChars="200"/>
        <w:jc w:val="both"/>
        <w:rPr>
          <w:rFonts w:ascii="宋体" w:hAnsi="宋体"/>
          <w:sz w:val="21"/>
          <w:szCs w:val="21"/>
        </w:rPr>
      </w:pPr>
      <w:r>
        <w:rPr>
          <w:rFonts w:hint="eastAsia" w:ascii="宋体" w:hAnsi="宋体"/>
          <w:sz w:val="21"/>
          <w:szCs w:val="21"/>
        </w:rPr>
        <w:t>1.9.5招标人声明招标人提供的图纸等相关资料是以诚实可信的态度提供给投标人参考的，除非招标文件中另有约定，招标人不对以上资料的准确性负责，亦不对投标人由此而做出的推论、理解和结论负责。投标人有义务自行核查这些资料的准确性。</w:t>
      </w:r>
    </w:p>
    <w:bookmarkEnd w:id="35"/>
    <w:p w14:paraId="4520EF1B">
      <w:pPr>
        <w:pStyle w:val="310"/>
        <w:spacing w:line="360" w:lineRule="auto"/>
        <w:rPr>
          <w:rFonts w:ascii="宋体" w:hAnsi="宋体" w:eastAsia="宋体" w:cs="Times New Roman"/>
        </w:rPr>
      </w:pPr>
      <w:r>
        <w:rPr>
          <w:rFonts w:hint="eastAsia" w:ascii="宋体" w:hAnsi="宋体" w:eastAsia="宋体" w:cs="Times New Roman"/>
        </w:rPr>
        <w:t>1.10 投标预备会</w:t>
      </w:r>
    </w:p>
    <w:p w14:paraId="1B81B1FB">
      <w:pPr>
        <w:spacing w:line="400" w:lineRule="exact"/>
        <w:ind w:firstLine="420" w:firstLineChars="200"/>
        <w:jc w:val="both"/>
        <w:rPr>
          <w:rFonts w:ascii="宋体" w:hAnsi="宋体"/>
          <w:sz w:val="21"/>
          <w:szCs w:val="21"/>
        </w:rPr>
      </w:pPr>
      <w:bookmarkStart w:id="36" w:name="_Hlk100696326"/>
      <w:r>
        <w:rPr>
          <w:rFonts w:ascii="宋体" w:hAnsi="宋体"/>
          <w:sz w:val="21"/>
          <w:szCs w:val="21"/>
        </w:rPr>
        <w:t xml:space="preserve">1.10.1 </w:t>
      </w:r>
      <w:r>
        <w:rPr>
          <w:rFonts w:hint="eastAsia" w:ascii="宋体" w:hAnsi="宋体"/>
          <w:sz w:val="21"/>
          <w:szCs w:val="21"/>
        </w:rPr>
        <w:t>投标人须知前附表规定召开投标预备会的，招标人按投标人须知前附表规定的时间和地点召开投标预备会，澄清投标人提出的问题。</w:t>
      </w:r>
    </w:p>
    <w:p w14:paraId="5995B57C">
      <w:pPr>
        <w:spacing w:line="400" w:lineRule="exact"/>
        <w:ind w:firstLine="420" w:firstLineChars="200"/>
        <w:jc w:val="both"/>
        <w:rPr>
          <w:rFonts w:ascii="宋体" w:hAnsi="宋体"/>
          <w:sz w:val="21"/>
          <w:szCs w:val="21"/>
        </w:rPr>
      </w:pPr>
      <w:r>
        <w:rPr>
          <w:rFonts w:ascii="宋体" w:hAnsi="宋体"/>
          <w:sz w:val="21"/>
          <w:szCs w:val="21"/>
        </w:rPr>
        <w:t xml:space="preserve">1.10.2 </w:t>
      </w:r>
      <w:r>
        <w:rPr>
          <w:rFonts w:hint="eastAsia" w:ascii="宋体" w:hAnsi="宋体"/>
          <w:sz w:val="21"/>
          <w:szCs w:val="21"/>
        </w:rPr>
        <w:t>投标人应在投标人须知前附表规定的时间前，以书面形式将提出的问题送达招标人或招标代理机构，以便招标人澄清。</w:t>
      </w:r>
    </w:p>
    <w:p w14:paraId="5F6044F0">
      <w:pPr>
        <w:spacing w:line="400" w:lineRule="exact"/>
        <w:ind w:firstLine="420" w:firstLineChars="200"/>
        <w:jc w:val="both"/>
        <w:rPr>
          <w:rFonts w:ascii="宋体" w:hAnsi="宋体"/>
          <w:sz w:val="21"/>
          <w:szCs w:val="21"/>
        </w:rPr>
      </w:pPr>
      <w:r>
        <w:rPr>
          <w:rFonts w:ascii="宋体" w:hAnsi="宋体"/>
          <w:sz w:val="21"/>
          <w:szCs w:val="21"/>
        </w:rPr>
        <w:t xml:space="preserve">1.10.3 </w:t>
      </w:r>
      <w:r>
        <w:rPr>
          <w:rFonts w:hint="eastAsia" w:ascii="宋体" w:hAnsi="宋体"/>
          <w:sz w:val="21"/>
          <w:szCs w:val="21"/>
        </w:rPr>
        <w:t>投标预备会后，招标人在投标人须知前附表规定的时间内，将对投标人所提问题的澄清，以书面形式通知所有获取招标文件的潜在投标人。该澄清内容为招标文件的组成部分。</w:t>
      </w:r>
    </w:p>
    <w:bookmarkEnd w:id="36"/>
    <w:p w14:paraId="0B41A4CD">
      <w:pPr>
        <w:pStyle w:val="310"/>
        <w:spacing w:line="360" w:lineRule="auto"/>
        <w:rPr>
          <w:rFonts w:ascii="宋体" w:hAnsi="宋体" w:eastAsia="宋体" w:cs="Times New Roman"/>
          <w:sz w:val="21"/>
          <w:szCs w:val="21"/>
        </w:rPr>
      </w:pPr>
      <w:r>
        <w:rPr>
          <w:rFonts w:ascii="宋体" w:hAnsi="宋体" w:eastAsia="宋体" w:cs="Times New Roman"/>
          <w:sz w:val="21"/>
          <w:szCs w:val="21"/>
        </w:rPr>
        <w:t xml:space="preserve">1.11 </w:t>
      </w:r>
      <w:r>
        <w:rPr>
          <w:rFonts w:hint="eastAsia" w:ascii="宋体" w:hAnsi="宋体" w:eastAsia="宋体" w:cs="Times New Roman"/>
          <w:sz w:val="21"/>
          <w:szCs w:val="21"/>
        </w:rPr>
        <w:t>分包和转包</w:t>
      </w:r>
    </w:p>
    <w:p w14:paraId="705BF861">
      <w:pPr>
        <w:spacing w:line="360" w:lineRule="auto"/>
        <w:ind w:firstLine="420" w:firstLineChars="200"/>
        <w:rPr>
          <w:rFonts w:ascii="宋体" w:hAnsi="宋体"/>
          <w:sz w:val="21"/>
          <w:szCs w:val="21"/>
        </w:rPr>
      </w:pPr>
      <w:r>
        <w:rPr>
          <w:rFonts w:hint="eastAsia" w:ascii="宋体" w:hAnsi="宋体"/>
          <w:sz w:val="21"/>
          <w:szCs w:val="21"/>
        </w:rPr>
        <w:t>见投标人须知前附表。</w:t>
      </w:r>
    </w:p>
    <w:p w14:paraId="13548C04">
      <w:pPr>
        <w:spacing w:line="360" w:lineRule="auto"/>
        <w:ind w:firstLine="420" w:firstLineChars="200"/>
        <w:rPr>
          <w:rFonts w:ascii="宋体" w:hAnsi="宋体"/>
          <w:sz w:val="21"/>
          <w:szCs w:val="21"/>
        </w:rPr>
      </w:pPr>
      <w:r>
        <w:rPr>
          <w:rFonts w:hint="eastAsia" w:ascii="宋体" w:hAnsi="宋体"/>
          <w:sz w:val="21"/>
          <w:szCs w:val="21"/>
        </w:rPr>
        <w:t>1.12 响应和偏离</w:t>
      </w:r>
    </w:p>
    <w:p w14:paraId="2D8C22C9">
      <w:pPr>
        <w:spacing w:line="360" w:lineRule="auto"/>
        <w:ind w:firstLine="420" w:firstLineChars="200"/>
        <w:rPr>
          <w:rFonts w:ascii="宋体" w:hAnsi="宋体"/>
          <w:sz w:val="21"/>
          <w:szCs w:val="21"/>
        </w:rPr>
      </w:pPr>
      <w:r>
        <w:rPr>
          <w:rFonts w:hint="eastAsia" w:ascii="宋体" w:hAnsi="宋体"/>
          <w:sz w:val="21"/>
          <w:szCs w:val="21"/>
        </w:rPr>
        <w:t>1.12.1 投标文件应当对招标文件的实质性要求和条件作出满足性或更有利于招标人的响应，否则，投标人的投标将被否决。实质性要求和条件见技术标准和要求。</w:t>
      </w:r>
    </w:p>
    <w:p w14:paraId="741F4EBC">
      <w:pPr>
        <w:spacing w:line="360" w:lineRule="auto"/>
        <w:ind w:firstLine="420" w:firstLineChars="200"/>
        <w:rPr>
          <w:rFonts w:ascii="宋体" w:hAnsi="宋体"/>
          <w:sz w:val="21"/>
          <w:szCs w:val="21"/>
        </w:rPr>
      </w:pPr>
      <w:r>
        <w:rPr>
          <w:rFonts w:hint="eastAsia" w:ascii="宋体" w:hAnsi="宋体"/>
          <w:sz w:val="21"/>
          <w:szCs w:val="21"/>
        </w:rPr>
        <w:t>1.12.2 投标人应根据招标文件的要求提供投标货物质量标准的详细描述、技术支持资料及相关服务计划等内容以对招标文件作出响应。</w:t>
      </w:r>
    </w:p>
    <w:p w14:paraId="701C7AB4">
      <w:pPr>
        <w:spacing w:line="360" w:lineRule="auto"/>
        <w:ind w:firstLine="420" w:firstLineChars="200"/>
        <w:rPr>
          <w:rFonts w:ascii="宋体" w:hAnsi="宋体"/>
          <w:sz w:val="21"/>
          <w:szCs w:val="21"/>
        </w:rPr>
      </w:pPr>
      <w:r>
        <w:rPr>
          <w:rFonts w:hint="eastAsia" w:ascii="宋体" w:hAnsi="宋体"/>
          <w:sz w:val="21"/>
          <w:szCs w:val="21"/>
        </w:rPr>
        <w:t>1.12.3投标文件对招标文件的全部偏差，均应在投标文件的响应情况说明中列明，除列明的内容外，视为投标人响应招标文件的全部要求。</w:t>
      </w:r>
    </w:p>
    <w:p w14:paraId="0F9C47B3">
      <w:pPr>
        <w:pStyle w:val="5"/>
        <w:spacing w:line="415" w:lineRule="auto"/>
        <w:jc w:val="center"/>
        <w:rPr>
          <w:rFonts w:ascii="宋体" w:hAnsi="宋体" w:eastAsia="宋体"/>
        </w:rPr>
      </w:pPr>
      <w:bookmarkStart w:id="37" w:name="_Toc13748"/>
      <w:bookmarkStart w:id="38" w:name="_Toc179715700"/>
      <w:bookmarkStart w:id="39" w:name="_Toc103248596"/>
      <w:bookmarkStart w:id="40" w:name="_Toc144974411"/>
      <w:bookmarkStart w:id="41" w:name="_Toc152047207"/>
      <w:r>
        <w:rPr>
          <w:rFonts w:hint="eastAsia" w:ascii="宋体" w:hAnsi="宋体" w:eastAsia="宋体"/>
        </w:rPr>
        <w:t>2.招标文件</w:t>
      </w:r>
      <w:bookmarkEnd w:id="37"/>
      <w:bookmarkEnd w:id="38"/>
      <w:bookmarkEnd w:id="39"/>
      <w:bookmarkEnd w:id="40"/>
      <w:bookmarkEnd w:id="41"/>
    </w:p>
    <w:p w14:paraId="79775EB0">
      <w:pPr>
        <w:pStyle w:val="310"/>
        <w:spacing w:line="360" w:lineRule="auto"/>
        <w:rPr>
          <w:rFonts w:ascii="宋体" w:hAnsi="宋体" w:eastAsia="宋体" w:cs="Times New Roman"/>
        </w:rPr>
      </w:pPr>
      <w:bookmarkStart w:id="42" w:name="_Toc179715701"/>
      <w:bookmarkStart w:id="43" w:name="_Toc152047208"/>
      <w:bookmarkStart w:id="44" w:name="_Toc144974412"/>
      <w:r>
        <w:rPr>
          <w:rFonts w:hint="eastAsia" w:ascii="宋体" w:hAnsi="宋体" w:eastAsia="宋体" w:cs="Times New Roman"/>
        </w:rPr>
        <w:t>2.1招标文件的组成</w:t>
      </w:r>
      <w:bookmarkEnd w:id="42"/>
      <w:bookmarkEnd w:id="43"/>
      <w:bookmarkEnd w:id="44"/>
    </w:p>
    <w:p w14:paraId="73787CC5">
      <w:pPr>
        <w:spacing w:line="360" w:lineRule="auto"/>
        <w:ind w:firstLine="420" w:firstLineChars="200"/>
        <w:rPr>
          <w:rFonts w:ascii="宋体" w:hAnsi="宋体"/>
          <w:sz w:val="21"/>
          <w:szCs w:val="21"/>
        </w:rPr>
      </w:pPr>
      <w:r>
        <w:rPr>
          <w:rFonts w:hint="eastAsia" w:ascii="宋体" w:hAnsi="宋体"/>
          <w:sz w:val="21"/>
          <w:szCs w:val="21"/>
        </w:rPr>
        <w:t>2.1.1招标文件的组成：</w:t>
      </w:r>
    </w:p>
    <w:p w14:paraId="70579510">
      <w:pPr>
        <w:spacing w:line="360" w:lineRule="auto"/>
        <w:ind w:firstLine="420" w:firstLineChars="200"/>
        <w:rPr>
          <w:rFonts w:ascii="宋体" w:hAnsi="宋体"/>
          <w:sz w:val="21"/>
          <w:szCs w:val="21"/>
        </w:rPr>
      </w:pPr>
      <w:r>
        <w:rPr>
          <w:rFonts w:hint="eastAsia" w:ascii="宋体" w:hAnsi="宋体"/>
          <w:sz w:val="21"/>
          <w:szCs w:val="21"/>
        </w:rPr>
        <w:t>第一章</w:t>
      </w:r>
      <w:r>
        <w:rPr>
          <w:rFonts w:ascii="宋体" w:hAnsi="宋体"/>
          <w:sz w:val="21"/>
          <w:szCs w:val="21"/>
        </w:rPr>
        <w:t xml:space="preserve"> </w:t>
      </w:r>
      <w:r>
        <w:rPr>
          <w:rFonts w:hint="eastAsia" w:ascii="宋体" w:hAnsi="宋体"/>
          <w:sz w:val="21"/>
          <w:szCs w:val="21"/>
        </w:rPr>
        <w:t>招标公告</w:t>
      </w:r>
    </w:p>
    <w:p w14:paraId="6AFE7E9F">
      <w:pPr>
        <w:spacing w:line="360" w:lineRule="auto"/>
        <w:ind w:firstLine="420" w:firstLineChars="200"/>
        <w:rPr>
          <w:rFonts w:ascii="宋体" w:hAnsi="宋体"/>
          <w:sz w:val="21"/>
          <w:szCs w:val="21"/>
        </w:rPr>
      </w:pPr>
      <w:r>
        <w:rPr>
          <w:rFonts w:hint="eastAsia" w:ascii="宋体" w:hAnsi="宋体"/>
          <w:sz w:val="21"/>
          <w:szCs w:val="21"/>
        </w:rPr>
        <w:t>第二章</w:t>
      </w:r>
      <w:r>
        <w:rPr>
          <w:rFonts w:ascii="宋体" w:hAnsi="宋体"/>
          <w:sz w:val="21"/>
          <w:szCs w:val="21"/>
        </w:rPr>
        <w:t xml:space="preserve"> </w:t>
      </w:r>
      <w:r>
        <w:rPr>
          <w:rFonts w:hint="eastAsia" w:ascii="宋体" w:hAnsi="宋体"/>
          <w:sz w:val="21"/>
          <w:szCs w:val="21"/>
        </w:rPr>
        <w:t>投标人须知</w:t>
      </w:r>
    </w:p>
    <w:p w14:paraId="404C84AF">
      <w:pPr>
        <w:spacing w:line="360" w:lineRule="auto"/>
        <w:ind w:firstLine="420" w:firstLineChars="200"/>
        <w:rPr>
          <w:rFonts w:ascii="宋体" w:hAnsi="宋体"/>
          <w:sz w:val="21"/>
          <w:szCs w:val="21"/>
        </w:rPr>
      </w:pPr>
      <w:r>
        <w:rPr>
          <w:rFonts w:hint="eastAsia" w:ascii="宋体" w:hAnsi="宋体"/>
          <w:sz w:val="21"/>
          <w:szCs w:val="21"/>
        </w:rPr>
        <w:t>第三章</w:t>
      </w:r>
      <w:r>
        <w:rPr>
          <w:rFonts w:ascii="宋体" w:hAnsi="宋体"/>
          <w:sz w:val="21"/>
          <w:szCs w:val="21"/>
        </w:rPr>
        <w:t xml:space="preserve"> </w:t>
      </w:r>
      <w:r>
        <w:rPr>
          <w:rFonts w:hint="eastAsia" w:ascii="宋体" w:hAnsi="宋体"/>
          <w:sz w:val="21"/>
          <w:szCs w:val="21"/>
        </w:rPr>
        <w:t>评标办法</w:t>
      </w:r>
    </w:p>
    <w:p w14:paraId="528B0F34">
      <w:pPr>
        <w:spacing w:line="360" w:lineRule="auto"/>
        <w:ind w:firstLine="420" w:firstLineChars="200"/>
        <w:rPr>
          <w:rFonts w:ascii="宋体" w:hAnsi="宋体"/>
          <w:sz w:val="21"/>
          <w:szCs w:val="21"/>
        </w:rPr>
      </w:pPr>
      <w:r>
        <w:rPr>
          <w:rFonts w:hint="eastAsia" w:ascii="宋体" w:hAnsi="宋体"/>
          <w:sz w:val="21"/>
          <w:szCs w:val="21"/>
        </w:rPr>
        <w:t>第四章</w:t>
      </w:r>
      <w:r>
        <w:rPr>
          <w:rFonts w:ascii="宋体" w:hAnsi="宋体"/>
          <w:sz w:val="21"/>
          <w:szCs w:val="21"/>
        </w:rPr>
        <w:t xml:space="preserve"> </w:t>
      </w:r>
      <w:r>
        <w:rPr>
          <w:rFonts w:hint="eastAsia" w:ascii="宋体" w:hAnsi="宋体"/>
          <w:sz w:val="21"/>
          <w:szCs w:val="21"/>
        </w:rPr>
        <w:t>合同主要条款</w:t>
      </w:r>
    </w:p>
    <w:p w14:paraId="3BD331BB">
      <w:pPr>
        <w:spacing w:line="360" w:lineRule="auto"/>
        <w:ind w:firstLine="420" w:firstLineChars="200"/>
        <w:rPr>
          <w:rFonts w:ascii="宋体" w:hAnsi="宋体"/>
          <w:sz w:val="21"/>
          <w:szCs w:val="21"/>
        </w:rPr>
      </w:pPr>
      <w:r>
        <w:rPr>
          <w:rFonts w:hint="eastAsia" w:ascii="宋体" w:hAnsi="宋体"/>
          <w:sz w:val="21"/>
          <w:szCs w:val="21"/>
        </w:rPr>
        <w:t>第五章</w:t>
      </w:r>
      <w:r>
        <w:rPr>
          <w:rFonts w:ascii="宋体" w:hAnsi="宋体"/>
          <w:sz w:val="21"/>
          <w:szCs w:val="21"/>
        </w:rPr>
        <w:t xml:space="preserve"> </w:t>
      </w:r>
      <w:r>
        <w:rPr>
          <w:rFonts w:hint="eastAsia" w:ascii="宋体" w:hAnsi="宋体"/>
          <w:sz w:val="21"/>
          <w:szCs w:val="21"/>
        </w:rPr>
        <w:t>技术标准和要求</w:t>
      </w:r>
    </w:p>
    <w:p w14:paraId="3027A5BB">
      <w:pPr>
        <w:spacing w:line="360" w:lineRule="auto"/>
        <w:ind w:firstLine="420" w:firstLineChars="200"/>
        <w:rPr>
          <w:rFonts w:ascii="宋体" w:hAnsi="宋体"/>
          <w:sz w:val="21"/>
          <w:szCs w:val="21"/>
        </w:rPr>
      </w:pPr>
      <w:r>
        <w:rPr>
          <w:rFonts w:hint="eastAsia" w:ascii="宋体" w:hAnsi="宋体"/>
          <w:sz w:val="21"/>
          <w:szCs w:val="21"/>
        </w:rPr>
        <w:t>第六章</w:t>
      </w:r>
      <w:r>
        <w:rPr>
          <w:rFonts w:ascii="宋体" w:hAnsi="宋体"/>
          <w:sz w:val="21"/>
          <w:szCs w:val="21"/>
        </w:rPr>
        <w:t xml:space="preserve"> </w:t>
      </w:r>
      <w:r>
        <w:rPr>
          <w:rFonts w:hint="eastAsia" w:ascii="宋体" w:hAnsi="宋体"/>
          <w:sz w:val="21"/>
          <w:szCs w:val="21"/>
        </w:rPr>
        <w:t>投标文件格式</w:t>
      </w:r>
    </w:p>
    <w:p w14:paraId="7C0DC5C1">
      <w:pPr>
        <w:spacing w:line="360" w:lineRule="auto"/>
        <w:ind w:firstLine="420" w:firstLineChars="200"/>
        <w:rPr>
          <w:rFonts w:ascii="宋体" w:hAnsi="宋体"/>
          <w:sz w:val="21"/>
          <w:szCs w:val="21"/>
        </w:rPr>
      </w:pPr>
      <w:r>
        <w:rPr>
          <w:rFonts w:hint="eastAsia" w:ascii="宋体" w:hAnsi="宋体"/>
          <w:sz w:val="21"/>
          <w:szCs w:val="21"/>
        </w:rPr>
        <w:t>2.1.2构成招标文件的其他材料：</w:t>
      </w:r>
    </w:p>
    <w:p w14:paraId="3768809D">
      <w:pPr>
        <w:spacing w:line="360" w:lineRule="auto"/>
        <w:ind w:firstLine="420" w:firstLineChars="200"/>
        <w:jc w:val="both"/>
        <w:rPr>
          <w:rFonts w:ascii="宋体" w:hAnsi="宋体"/>
          <w:sz w:val="21"/>
          <w:szCs w:val="21"/>
        </w:rPr>
      </w:pPr>
      <w:r>
        <w:rPr>
          <w:rFonts w:hint="eastAsia" w:ascii="宋体" w:hAnsi="宋体"/>
          <w:sz w:val="21"/>
          <w:szCs w:val="21"/>
        </w:rPr>
        <w:t>根据本章第2.2 款和第2.3 款对招标文件所作的澄清、修改，构成招标文件的组成部分。</w:t>
      </w:r>
    </w:p>
    <w:p w14:paraId="3F1AD87C">
      <w:pPr>
        <w:spacing w:line="360" w:lineRule="auto"/>
        <w:ind w:firstLine="420" w:firstLineChars="200"/>
        <w:jc w:val="both"/>
        <w:rPr>
          <w:rFonts w:ascii="宋体" w:hAnsi="宋体"/>
          <w:sz w:val="21"/>
          <w:szCs w:val="21"/>
        </w:rPr>
      </w:pPr>
      <w:r>
        <w:rPr>
          <w:rFonts w:hint="eastAsia" w:ascii="宋体" w:hAnsi="宋体"/>
          <w:sz w:val="21"/>
          <w:szCs w:val="21"/>
        </w:rPr>
        <w:t>2.1.3投标人获取招标文件后，应仔细检查招标文件的所有内容，如有残缺或附件不全，应及时向招标人提出，否则，由此引起的投标损失自负；投标人同时应认真审阅招标文件中所有的事项、格式、条款和规范要求等，如果投标人的投标文件没有按照招标文件要求递交全部资料或者投标文件没有对招标文件做出实质性响应，其风险应由投标人自行承担。实质上不响应招标文件要求的投标文件视为无效标被拒绝。</w:t>
      </w:r>
    </w:p>
    <w:p w14:paraId="03EFD189">
      <w:pPr>
        <w:pStyle w:val="310"/>
        <w:spacing w:line="360" w:lineRule="auto"/>
        <w:rPr>
          <w:rFonts w:ascii="宋体" w:hAnsi="宋体" w:eastAsia="宋体" w:cs="Times New Roman"/>
        </w:rPr>
      </w:pPr>
      <w:r>
        <w:rPr>
          <w:rFonts w:hint="eastAsia" w:ascii="宋体" w:hAnsi="宋体" w:eastAsia="宋体" w:cs="Times New Roman"/>
        </w:rPr>
        <w:t>2.2 招标文件的澄清</w:t>
      </w:r>
    </w:p>
    <w:p w14:paraId="224628FF">
      <w:pPr>
        <w:spacing w:line="360" w:lineRule="auto"/>
        <w:ind w:firstLine="420" w:firstLineChars="200"/>
        <w:jc w:val="both"/>
        <w:rPr>
          <w:rFonts w:ascii="宋体" w:hAnsi="宋体"/>
          <w:sz w:val="21"/>
          <w:szCs w:val="21"/>
          <w:u w:val="single"/>
        </w:rPr>
      </w:pPr>
      <w:bookmarkStart w:id="45" w:name="_Hlk11662043"/>
      <w:r>
        <w:rPr>
          <w:rFonts w:ascii="宋体" w:hAnsi="宋体"/>
          <w:sz w:val="21"/>
          <w:szCs w:val="21"/>
        </w:rPr>
        <w:t xml:space="preserve">2.2.1 </w:t>
      </w:r>
      <w:r>
        <w:rPr>
          <w:rFonts w:hint="eastAsia" w:ascii="宋体" w:hAnsi="宋体"/>
          <w:sz w:val="21"/>
          <w:szCs w:val="21"/>
        </w:rPr>
        <w:t>投标人应仔细阅读和检查招标文件的全部内容。如有疑问，应在投标人须知前附表规定的时间前以书面形式，要求招标人对招标文件予以澄清。书面形式送至</w:t>
      </w:r>
      <w:r>
        <w:rPr>
          <w:rFonts w:hint="eastAsia" w:ascii="宋体" w:hAnsi="宋体"/>
          <w:sz w:val="21"/>
          <w:szCs w:val="21"/>
          <w:u w:val="single"/>
        </w:rPr>
        <w:t>云南招标股份有限公司办公楼4楼417室</w:t>
      </w:r>
      <w:r>
        <w:rPr>
          <w:rFonts w:hint="eastAsia" w:ascii="宋体" w:hAnsi="宋体"/>
          <w:sz w:val="21"/>
          <w:szCs w:val="21"/>
        </w:rPr>
        <w:t>。</w:t>
      </w:r>
    </w:p>
    <w:p w14:paraId="789F8943">
      <w:pPr>
        <w:spacing w:line="360" w:lineRule="auto"/>
        <w:ind w:firstLine="420" w:firstLineChars="200"/>
        <w:jc w:val="both"/>
        <w:rPr>
          <w:rFonts w:ascii="宋体" w:hAnsi="宋体"/>
          <w:sz w:val="21"/>
          <w:szCs w:val="21"/>
        </w:rPr>
      </w:pPr>
      <w:r>
        <w:rPr>
          <w:rFonts w:ascii="宋体" w:hAnsi="宋体"/>
          <w:sz w:val="21"/>
          <w:szCs w:val="21"/>
        </w:rPr>
        <w:t>2.2.2</w:t>
      </w:r>
      <w:r>
        <w:rPr>
          <w:rFonts w:hint="eastAsia" w:ascii="宋体" w:hAnsi="宋体"/>
          <w:sz w:val="21"/>
          <w:szCs w:val="21"/>
        </w:rPr>
        <w:t>投标截止时间：见投标人须知前附表，招标文件的澄清将在投标人须知前附表规定的投标截止时间</w:t>
      </w:r>
      <w:r>
        <w:rPr>
          <w:rFonts w:ascii="宋体" w:hAnsi="宋体"/>
          <w:sz w:val="21"/>
          <w:szCs w:val="21"/>
        </w:rPr>
        <w:t xml:space="preserve">15 </w:t>
      </w:r>
      <w:r>
        <w:rPr>
          <w:rFonts w:hint="eastAsia" w:ascii="宋体" w:hAnsi="宋体"/>
          <w:sz w:val="21"/>
          <w:szCs w:val="21"/>
        </w:rPr>
        <w:t>天前，以书面形式发给所有获取招标文件的投标人，但不指明澄清问题的来源。澄清发出的时间距投标截止时间不足</w:t>
      </w:r>
      <w:r>
        <w:rPr>
          <w:rFonts w:ascii="宋体" w:hAnsi="宋体"/>
          <w:sz w:val="21"/>
          <w:szCs w:val="21"/>
        </w:rPr>
        <w:t>15</w:t>
      </w:r>
      <w:r>
        <w:rPr>
          <w:rFonts w:hint="eastAsia" w:ascii="宋体" w:hAnsi="宋体"/>
          <w:sz w:val="21"/>
          <w:szCs w:val="21"/>
        </w:rPr>
        <w:t>天，且澄清的内容可能影响投标文件编制的，相应延长投标截止时间。</w:t>
      </w:r>
    </w:p>
    <w:p w14:paraId="1B61CC3F">
      <w:pPr>
        <w:spacing w:line="360" w:lineRule="auto"/>
        <w:ind w:firstLine="420" w:firstLineChars="200"/>
        <w:jc w:val="both"/>
        <w:rPr>
          <w:rFonts w:ascii="宋体" w:hAnsi="宋体"/>
          <w:sz w:val="21"/>
          <w:szCs w:val="21"/>
        </w:rPr>
      </w:pPr>
      <w:r>
        <w:rPr>
          <w:rFonts w:ascii="宋体" w:hAnsi="宋体"/>
          <w:sz w:val="21"/>
          <w:szCs w:val="21"/>
        </w:rPr>
        <w:t xml:space="preserve">2.2.3 </w:t>
      </w:r>
      <w:r>
        <w:rPr>
          <w:rFonts w:hint="eastAsia" w:ascii="宋体" w:hAnsi="宋体"/>
          <w:sz w:val="21"/>
          <w:szCs w:val="21"/>
        </w:rPr>
        <w:t>投标人在收到澄清后，应在投标人须知前附表规定的时间内以书面形式通知招标人，确认已收到该澄清。</w:t>
      </w:r>
    </w:p>
    <w:bookmarkEnd w:id="45"/>
    <w:p w14:paraId="11E55EF0">
      <w:pPr>
        <w:pStyle w:val="310"/>
        <w:spacing w:line="360" w:lineRule="auto"/>
        <w:rPr>
          <w:rFonts w:ascii="宋体" w:hAnsi="宋体" w:eastAsia="宋体" w:cs="Times New Roman"/>
        </w:rPr>
      </w:pPr>
      <w:r>
        <w:rPr>
          <w:rFonts w:hint="eastAsia" w:ascii="宋体" w:hAnsi="宋体" w:eastAsia="宋体" w:cs="Times New Roman"/>
        </w:rPr>
        <w:t>2.3 招标文件的修改</w:t>
      </w:r>
    </w:p>
    <w:p w14:paraId="2777CCB2">
      <w:pPr>
        <w:spacing w:line="360" w:lineRule="auto"/>
        <w:ind w:firstLine="420" w:firstLineChars="200"/>
        <w:jc w:val="both"/>
        <w:rPr>
          <w:rFonts w:ascii="宋体" w:hAnsi="宋体"/>
          <w:sz w:val="21"/>
          <w:szCs w:val="21"/>
        </w:rPr>
      </w:pPr>
      <w:bookmarkStart w:id="46" w:name="_Hlk11662055"/>
      <w:r>
        <w:rPr>
          <w:rFonts w:ascii="宋体" w:hAnsi="宋体"/>
          <w:sz w:val="21"/>
          <w:szCs w:val="21"/>
        </w:rPr>
        <w:t xml:space="preserve">2.3.1 </w:t>
      </w:r>
      <w:r>
        <w:rPr>
          <w:rFonts w:hint="eastAsia" w:ascii="宋体" w:hAnsi="宋体"/>
          <w:sz w:val="21"/>
          <w:szCs w:val="21"/>
        </w:rPr>
        <w:t>在投标截止时间</w:t>
      </w:r>
      <w:r>
        <w:rPr>
          <w:rFonts w:ascii="宋体" w:hAnsi="宋体"/>
          <w:sz w:val="21"/>
          <w:szCs w:val="21"/>
        </w:rPr>
        <w:t>15</w:t>
      </w:r>
      <w:r>
        <w:rPr>
          <w:rFonts w:hint="eastAsia" w:ascii="宋体" w:hAnsi="宋体"/>
          <w:sz w:val="21"/>
          <w:szCs w:val="21"/>
        </w:rPr>
        <w:t>天前，招标人可以书面形式修改招标文件，并通知所有已获取招标文件的投标人。如果修改招标文件的时间距投标截止时间不足</w:t>
      </w:r>
      <w:r>
        <w:rPr>
          <w:rFonts w:ascii="宋体" w:hAnsi="宋体"/>
          <w:sz w:val="21"/>
          <w:szCs w:val="21"/>
        </w:rPr>
        <w:t>15</w:t>
      </w:r>
      <w:r>
        <w:rPr>
          <w:rFonts w:hint="eastAsia" w:ascii="宋体" w:hAnsi="宋体"/>
          <w:sz w:val="21"/>
          <w:szCs w:val="21"/>
        </w:rPr>
        <w:t>天，且修改的内容可能影响投标文件编制的，相应延长投标截止时间。</w:t>
      </w:r>
    </w:p>
    <w:p w14:paraId="39F48249">
      <w:pPr>
        <w:spacing w:line="360" w:lineRule="auto"/>
        <w:ind w:firstLine="420" w:firstLineChars="200"/>
        <w:jc w:val="both"/>
        <w:rPr>
          <w:rFonts w:ascii="宋体" w:hAnsi="宋体"/>
          <w:sz w:val="21"/>
          <w:szCs w:val="21"/>
        </w:rPr>
      </w:pPr>
      <w:r>
        <w:rPr>
          <w:rFonts w:ascii="宋体" w:hAnsi="宋体"/>
          <w:sz w:val="21"/>
          <w:szCs w:val="21"/>
        </w:rPr>
        <w:t xml:space="preserve">2.3.2 </w:t>
      </w:r>
      <w:r>
        <w:rPr>
          <w:rFonts w:hint="eastAsia" w:ascii="宋体" w:hAnsi="宋体"/>
          <w:sz w:val="21"/>
          <w:szCs w:val="21"/>
        </w:rPr>
        <w:t>投标人收到修改内容后，应在投标人须知前附表规定的时间内以书面形式通知招标人，确认已收到该修改。</w:t>
      </w:r>
    </w:p>
    <w:p w14:paraId="7436F824">
      <w:pPr>
        <w:spacing w:line="360" w:lineRule="auto"/>
        <w:ind w:firstLine="420" w:firstLineChars="200"/>
        <w:jc w:val="both"/>
        <w:rPr>
          <w:rFonts w:ascii="宋体" w:hAnsi="宋体"/>
          <w:sz w:val="21"/>
          <w:szCs w:val="21"/>
        </w:rPr>
      </w:pPr>
      <w:r>
        <w:rPr>
          <w:rFonts w:ascii="宋体" w:hAnsi="宋体"/>
          <w:sz w:val="21"/>
          <w:szCs w:val="21"/>
        </w:rPr>
        <w:t>2.3.3</w:t>
      </w:r>
      <w:r>
        <w:rPr>
          <w:rFonts w:hint="eastAsia" w:ascii="宋体" w:hAnsi="宋体"/>
          <w:sz w:val="21"/>
          <w:szCs w:val="21"/>
        </w:rPr>
        <w:t>潜在投标人或者其他利害关系人对招标文件有异议的，应当在投标截止时间</w:t>
      </w:r>
      <w:r>
        <w:rPr>
          <w:rFonts w:ascii="宋体" w:hAnsi="宋体"/>
          <w:sz w:val="21"/>
          <w:szCs w:val="21"/>
        </w:rPr>
        <w:t>10</w:t>
      </w:r>
      <w:r>
        <w:rPr>
          <w:rFonts w:hint="eastAsia" w:ascii="宋体" w:hAnsi="宋体"/>
          <w:sz w:val="21"/>
          <w:szCs w:val="21"/>
        </w:rPr>
        <w:t>日前提出。招标人应当自收到异议之日起</w:t>
      </w:r>
      <w:r>
        <w:rPr>
          <w:rFonts w:ascii="宋体" w:hAnsi="宋体"/>
          <w:sz w:val="21"/>
          <w:szCs w:val="21"/>
        </w:rPr>
        <w:t>3</w:t>
      </w:r>
      <w:r>
        <w:rPr>
          <w:rFonts w:hint="eastAsia" w:ascii="宋体" w:hAnsi="宋体"/>
          <w:sz w:val="21"/>
          <w:szCs w:val="21"/>
        </w:rPr>
        <w:t>日内作出答复；作出答复前，应当暂停招标投标活动。</w:t>
      </w:r>
    </w:p>
    <w:bookmarkEnd w:id="46"/>
    <w:p w14:paraId="7BDA842C">
      <w:pPr>
        <w:pStyle w:val="5"/>
        <w:spacing w:line="415" w:lineRule="auto"/>
        <w:jc w:val="center"/>
        <w:rPr>
          <w:rFonts w:ascii="宋体" w:hAnsi="宋体" w:eastAsia="宋体"/>
        </w:rPr>
      </w:pPr>
      <w:bookmarkStart w:id="47" w:name="_Toc152047211"/>
      <w:bookmarkStart w:id="48" w:name="_Toc144974415"/>
      <w:bookmarkStart w:id="49" w:name="_Toc179715704"/>
      <w:bookmarkStart w:id="50" w:name="_Toc103248597"/>
      <w:bookmarkStart w:id="51" w:name="_Toc19785"/>
      <w:r>
        <w:rPr>
          <w:rFonts w:hint="eastAsia" w:ascii="宋体" w:hAnsi="宋体" w:eastAsia="宋体"/>
        </w:rPr>
        <w:t>3.</w:t>
      </w:r>
      <w:bookmarkEnd w:id="47"/>
      <w:bookmarkEnd w:id="48"/>
      <w:bookmarkEnd w:id="49"/>
      <w:r>
        <w:rPr>
          <w:rFonts w:hint="eastAsia" w:ascii="宋体" w:hAnsi="宋体" w:eastAsia="宋体"/>
        </w:rPr>
        <w:t>投标文件</w:t>
      </w:r>
      <w:bookmarkEnd w:id="50"/>
      <w:bookmarkEnd w:id="51"/>
    </w:p>
    <w:p w14:paraId="090D7902">
      <w:pPr>
        <w:pStyle w:val="310"/>
        <w:spacing w:line="360" w:lineRule="auto"/>
        <w:rPr>
          <w:rFonts w:ascii="宋体" w:hAnsi="宋体" w:eastAsia="宋体" w:cs="Times New Roman"/>
        </w:rPr>
      </w:pPr>
      <w:r>
        <w:rPr>
          <w:rFonts w:ascii="宋体" w:hAnsi="宋体" w:eastAsia="宋体" w:cs="Times New Roman"/>
        </w:rPr>
        <w:t>3.1 投标文件的组成</w:t>
      </w:r>
    </w:p>
    <w:p w14:paraId="64E8004A">
      <w:pPr>
        <w:spacing w:line="360" w:lineRule="auto"/>
        <w:ind w:firstLine="420" w:firstLineChars="200"/>
        <w:jc w:val="both"/>
        <w:rPr>
          <w:rFonts w:ascii="宋体" w:hAnsi="宋体"/>
          <w:sz w:val="21"/>
          <w:szCs w:val="21"/>
        </w:rPr>
      </w:pPr>
      <w:r>
        <w:rPr>
          <w:rFonts w:ascii="宋体" w:hAnsi="宋体"/>
          <w:sz w:val="21"/>
          <w:szCs w:val="21"/>
        </w:rPr>
        <w:t>3.1.1</w:t>
      </w:r>
      <w:r>
        <w:rPr>
          <w:rFonts w:hint="eastAsia" w:ascii="宋体" w:hAnsi="宋体"/>
          <w:sz w:val="21"/>
          <w:szCs w:val="21"/>
        </w:rPr>
        <w:t>投标文件由资格审查部分、投标函部分、商务部分、技术部分四部分组成。具体内容及格式详见招标文件第六章。</w:t>
      </w:r>
    </w:p>
    <w:p w14:paraId="33600A6C">
      <w:pPr>
        <w:pStyle w:val="310"/>
        <w:spacing w:line="360" w:lineRule="auto"/>
        <w:rPr>
          <w:rFonts w:ascii="宋体" w:hAnsi="宋体" w:eastAsia="宋体" w:cs="Times New Roman"/>
        </w:rPr>
      </w:pPr>
      <w:r>
        <w:rPr>
          <w:rFonts w:ascii="宋体" w:hAnsi="宋体" w:eastAsia="宋体" w:cs="Times New Roman"/>
        </w:rPr>
        <w:t xml:space="preserve">3.2 </w:t>
      </w:r>
      <w:r>
        <w:rPr>
          <w:rFonts w:hint="eastAsia" w:ascii="宋体" w:hAnsi="宋体" w:eastAsia="宋体" w:cs="Times New Roman"/>
        </w:rPr>
        <w:t>投标报价</w:t>
      </w:r>
    </w:p>
    <w:p w14:paraId="067CAE86">
      <w:pPr>
        <w:spacing w:line="360" w:lineRule="auto"/>
        <w:ind w:firstLine="420" w:firstLineChars="200"/>
        <w:rPr>
          <w:rFonts w:ascii="宋体" w:hAnsi="宋体"/>
          <w:sz w:val="21"/>
          <w:szCs w:val="21"/>
        </w:rPr>
      </w:pPr>
      <w:r>
        <w:rPr>
          <w:rFonts w:ascii="宋体" w:hAnsi="宋体"/>
          <w:sz w:val="21"/>
          <w:szCs w:val="21"/>
        </w:rPr>
        <w:t>3.2.1</w:t>
      </w:r>
      <w:r>
        <w:rPr>
          <w:rFonts w:hint="eastAsia" w:ascii="宋体" w:hAnsi="宋体"/>
          <w:sz w:val="21"/>
          <w:szCs w:val="21"/>
        </w:rPr>
        <w:t>投标的报价及合同所有款项的支付均以人民币计算。</w:t>
      </w:r>
    </w:p>
    <w:p w14:paraId="7840039F">
      <w:pPr>
        <w:spacing w:line="360" w:lineRule="auto"/>
        <w:ind w:firstLine="420" w:firstLineChars="200"/>
        <w:rPr>
          <w:rFonts w:ascii="宋体" w:hAnsi="宋体"/>
          <w:sz w:val="21"/>
          <w:szCs w:val="21"/>
        </w:rPr>
      </w:pPr>
      <w:r>
        <w:rPr>
          <w:rFonts w:ascii="宋体" w:hAnsi="宋体"/>
          <w:sz w:val="21"/>
          <w:szCs w:val="21"/>
        </w:rPr>
        <w:t>3.2.2</w:t>
      </w:r>
      <w:r>
        <w:rPr>
          <w:rFonts w:hint="eastAsia" w:ascii="宋体" w:hAnsi="宋体"/>
          <w:sz w:val="21"/>
          <w:szCs w:val="21"/>
        </w:rPr>
        <w:t>本项目报价方式详见投标须知前附表。</w:t>
      </w:r>
    </w:p>
    <w:p w14:paraId="4AD7ECC3">
      <w:pPr>
        <w:tabs>
          <w:tab w:val="left" w:pos="993"/>
        </w:tabs>
        <w:spacing w:line="360" w:lineRule="auto"/>
        <w:ind w:firstLine="420" w:firstLineChars="200"/>
        <w:jc w:val="both"/>
        <w:rPr>
          <w:rFonts w:ascii="宋体" w:hAnsi="宋体"/>
          <w:b/>
          <w:bCs/>
          <w:sz w:val="21"/>
          <w:szCs w:val="21"/>
        </w:rPr>
      </w:pPr>
      <w:r>
        <w:rPr>
          <w:rFonts w:ascii="宋体" w:hAnsi="宋体"/>
          <w:kern w:val="2"/>
          <w:sz w:val="21"/>
          <w:szCs w:val="21"/>
        </w:rPr>
        <w:t>3.2.</w:t>
      </w:r>
      <w:r>
        <w:rPr>
          <w:rFonts w:hint="eastAsia" w:ascii="宋体" w:hAnsi="宋体"/>
          <w:kern w:val="2"/>
          <w:sz w:val="21"/>
          <w:szCs w:val="21"/>
        </w:rPr>
        <w:t>3投标人应依据招标文件的要求及有关资料，按国家或行业现行技术标准、定额及规范，自行测算出满足招标要求的投标报价。</w:t>
      </w:r>
      <w:r>
        <w:rPr>
          <w:rFonts w:hint="eastAsia" w:ascii="宋体" w:hAnsi="宋体"/>
          <w:b/>
          <w:bCs/>
          <w:sz w:val="21"/>
          <w:szCs w:val="21"/>
        </w:rPr>
        <w:t>投标人的投标报价包含但不限于：招标范围及“第五章技术标准和要求”中要求的满足设备正常运行的仪器、仪表、材料、备品备件、设备、软件的检验试验、包装、运输、装卸（包括旧设备）、保险、安装、调试、培训、技术服务等所有费用，以及系统研发、调试、安装、软硬件采购、人员差旅、技术培训等乙方为履行本合同所提供全部服务的价格。投标人投标报价时应综合考虑完成本项目招标范围内容所有可能发生的费用并包含在投标报价中。</w:t>
      </w:r>
    </w:p>
    <w:p w14:paraId="58A2D45F">
      <w:pPr>
        <w:spacing w:line="360" w:lineRule="auto"/>
        <w:ind w:firstLine="420" w:firstLineChars="200"/>
        <w:rPr>
          <w:rFonts w:ascii="宋体" w:hAnsi="宋体"/>
          <w:sz w:val="21"/>
          <w:szCs w:val="21"/>
        </w:rPr>
      </w:pPr>
      <w:r>
        <w:rPr>
          <w:rFonts w:ascii="宋体" w:hAnsi="宋体"/>
          <w:sz w:val="21"/>
          <w:szCs w:val="21"/>
        </w:rPr>
        <w:t>3.2.4每项报价只允许有一个，任何有选择性的报价将不予接受。</w:t>
      </w:r>
      <w:r>
        <w:rPr>
          <w:rFonts w:hint="eastAsia" w:ascii="宋体" w:hAnsi="宋体"/>
          <w:sz w:val="21"/>
          <w:szCs w:val="21"/>
        </w:rPr>
        <w:t>投标人必须对投标报价表和投标人方案中涉及的全部内容进行报价，只对其中部分内容报价的投标文件无效。</w:t>
      </w:r>
    </w:p>
    <w:p w14:paraId="79BA310D">
      <w:pPr>
        <w:spacing w:line="360" w:lineRule="auto"/>
        <w:ind w:firstLine="420" w:firstLineChars="200"/>
        <w:rPr>
          <w:rFonts w:ascii="宋体" w:hAnsi="宋体"/>
          <w:sz w:val="21"/>
          <w:szCs w:val="21"/>
        </w:rPr>
      </w:pPr>
      <w:r>
        <w:rPr>
          <w:rFonts w:ascii="宋体" w:hAnsi="宋体"/>
          <w:sz w:val="21"/>
          <w:szCs w:val="21"/>
        </w:rPr>
        <w:t>3.2.5投标人的投标报价是按招标文件第五章《</w:t>
      </w:r>
      <w:r>
        <w:rPr>
          <w:rFonts w:hint="eastAsia" w:ascii="宋体" w:hAnsi="宋体"/>
          <w:sz w:val="21"/>
          <w:szCs w:val="21"/>
        </w:rPr>
        <w:t>技术标准和要求》中内容作出的完整唯一报价。投标人应保证填报的设备是全新的、技术上先进的、质量上优越的、没有设计和材料及工艺上的缺陷、符合招标文件的规定并且适合于合同规定的用途和目的，如果投标人所填报的内容与使用用途和目的相比较存在漏项的状况且在评标时被接受，则将被认为该遗漏项目已包含在投标价中，中标人在履行合同时应严格按合同要求的内容完整提供，不得要求招标人对其漏报的分项内容追加支付款项。</w:t>
      </w:r>
    </w:p>
    <w:p w14:paraId="76F8B92E">
      <w:pPr>
        <w:spacing w:line="360" w:lineRule="auto"/>
        <w:ind w:firstLine="420" w:firstLineChars="200"/>
        <w:rPr>
          <w:rFonts w:ascii="宋体" w:hAnsi="宋体"/>
          <w:sz w:val="21"/>
          <w:szCs w:val="21"/>
        </w:rPr>
      </w:pPr>
      <w:r>
        <w:rPr>
          <w:rFonts w:ascii="宋体" w:hAnsi="宋体"/>
          <w:sz w:val="21"/>
          <w:szCs w:val="21"/>
        </w:rPr>
        <w:t xml:space="preserve">3.2.6 </w:t>
      </w:r>
      <w:r>
        <w:rPr>
          <w:rFonts w:hint="eastAsia" w:ascii="宋体" w:hAnsi="宋体"/>
          <w:sz w:val="21"/>
          <w:szCs w:val="21"/>
        </w:rPr>
        <w:t>投标人的投标报价为完成招标文件第五章《技术标准和要求》中所有功能要求的价格，中标后如因系统方案、设备功能不能保证满足第五章《技术标准和要求》中所有功能要求，中标人应优化方案，由此增加的费用招标人不再另行支付，由中标人自行承担；如中标人中标后在保证达到第五章《技术标准和要求》中所有功能要求的前提下，因优化方案而减少的费用须在中标人投标报价（或合同价）中扣除。</w:t>
      </w:r>
    </w:p>
    <w:p w14:paraId="3EE5047C">
      <w:pPr>
        <w:spacing w:line="360" w:lineRule="auto"/>
        <w:ind w:firstLine="420" w:firstLineChars="200"/>
        <w:rPr>
          <w:rFonts w:ascii="宋体" w:hAnsi="宋体"/>
          <w:sz w:val="21"/>
          <w:szCs w:val="21"/>
        </w:rPr>
      </w:pPr>
      <w:r>
        <w:rPr>
          <w:rFonts w:ascii="宋体" w:hAnsi="宋体"/>
          <w:sz w:val="21"/>
          <w:szCs w:val="21"/>
        </w:rPr>
        <w:t>3.2.7投标人在报价时，应充分考虑所报材料及设备与本项目的匹配性，在项目实施过程中，若有材料及设备不能与本项目匹配的，造成的损失由中标人承担。</w:t>
      </w:r>
    </w:p>
    <w:p w14:paraId="72E9DCBD">
      <w:pPr>
        <w:spacing w:line="360" w:lineRule="auto"/>
        <w:ind w:firstLine="420" w:firstLineChars="200"/>
        <w:rPr>
          <w:rFonts w:ascii="宋体" w:hAnsi="宋体"/>
          <w:sz w:val="21"/>
          <w:szCs w:val="21"/>
        </w:rPr>
      </w:pPr>
      <w:r>
        <w:rPr>
          <w:rFonts w:ascii="宋体" w:hAnsi="宋体"/>
          <w:sz w:val="21"/>
          <w:szCs w:val="21"/>
        </w:rPr>
        <w:t>3.2.8各投标人报价时应全面考虑，列清所有组成投标报价的价格组成，</w:t>
      </w:r>
      <w:r>
        <w:rPr>
          <w:rFonts w:hint="eastAsia" w:ascii="宋体" w:hAnsi="宋体"/>
          <w:sz w:val="21"/>
          <w:szCs w:val="21"/>
        </w:rPr>
        <w:t>投标人所投设备和软件须保证系统正常运行，发包范围及需求范围内投标人未报或漏报单价或合价的项目，视为该项费用已包括在其他有价款的单价和合价内。在本项目范围内，如在实施过程中如有减少部分（包括种类及数量）在结算时扣除，超过部分（包括种类及数量）视为已含在合同价款中，结算时不予增加。</w:t>
      </w:r>
    </w:p>
    <w:p w14:paraId="10C63ABF">
      <w:pPr>
        <w:spacing w:line="360" w:lineRule="auto"/>
        <w:ind w:firstLine="420" w:firstLineChars="200"/>
        <w:rPr>
          <w:rFonts w:ascii="宋体" w:hAnsi="宋体"/>
          <w:sz w:val="21"/>
          <w:szCs w:val="21"/>
        </w:rPr>
      </w:pPr>
      <w:r>
        <w:rPr>
          <w:rFonts w:ascii="宋体" w:hAnsi="宋体"/>
          <w:sz w:val="21"/>
          <w:szCs w:val="21"/>
        </w:rPr>
        <w:t>3.2.9中标单位投标文件中所报的材料设备等在供货期间如因停产或型号升级等情况需更换材料设备品牌及型号，须经过招标人确认同意，所产生的费用由投标人承担，包括但不限于以下情况：</w:t>
      </w:r>
    </w:p>
    <w:p w14:paraId="1FC85D12">
      <w:pPr>
        <w:spacing w:line="360" w:lineRule="auto"/>
        <w:ind w:firstLine="420" w:firstLineChars="200"/>
        <w:rPr>
          <w:rFonts w:ascii="宋体" w:hAnsi="宋体"/>
          <w:sz w:val="21"/>
          <w:szCs w:val="21"/>
        </w:rPr>
      </w:pPr>
      <w:r>
        <w:rPr>
          <w:rFonts w:hint="eastAsia" w:ascii="宋体" w:hAnsi="宋体"/>
          <w:sz w:val="21"/>
          <w:szCs w:val="21"/>
        </w:rPr>
        <w:t>①在原型号设备和产品升级换代时，替换品的选用必须由投标人书面申请并经过招标人书面确认同意；如替换设备和产品的价格高于投标时该设备和产品的价格，则替换设备和产品的价格不予增加；如替换设备和产品的价格低于投标时该设备和产品的价格，则从合同价中扣除替换设备和产品的价格与原投标时该设备和产品的价格的价差。</w:t>
      </w:r>
    </w:p>
    <w:p w14:paraId="64A75168">
      <w:pPr>
        <w:spacing w:line="360" w:lineRule="auto"/>
        <w:ind w:firstLine="420" w:firstLineChars="200"/>
        <w:rPr>
          <w:rFonts w:ascii="宋体" w:hAnsi="宋体"/>
          <w:sz w:val="21"/>
          <w:szCs w:val="21"/>
        </w:rPr>
      </w:pPr>
      <w:r>
        <w:rPr>
          <w:rFonts w:hint="eastAsia" w:ascii="宋体" w:hAnsi="宋体"/>
          <w:sz w:val="21"/>
          <w:szCs w:val="21"/>
        </w:rPr>
        <w:t>②原型号停产时，用于替换的设备和产品必须由投标人书面申请并经过招标人书面确认同意；如替换设备和产品的价格高于投标时该设备和产品的价格，则替换设备和产品的价格不予增加；如替换设备和产品的价格低于投标时该设备和产品的价格，则从合同价中扣除替换设备和产品的价格与原投标时该设备和产品的价格的价差。</w:t>
      </w:r>
    </w:p>
    <w:p w14:paraId="01EAE2C5">
      <w:pPr>
        <w:spacing w:line="360" w:lineRule="auto"/>
        <w:ind w:firstLine="420" w:firstLineChars="200"/>
        <w:rPr>
          <w:rFonts w:ascii="宋体" w:hAnsi="宋体"/>
          <w:sz w:val="21"/>
          <w:szCs w:val="21"/>
        </w:rPr>
      </w:pPr>
      <w:r>
        <w:rPr>
          <w:rFonts w:hint="eastAsia" w:ascii="宋体" w:hAnsi="宋体"/>
          <w:sz w:val="21"/>
          <w:szCs w:val="21"/>
        </w:rPr>
        <w:t>③如果不满足以上两种情况，投标时提供的型号设备和产品可以继续向招标人供货，出现最新型号设备和产品时，招标人又希望选择最新型号设备和产品时，双方依据市场价格协商确定设备和产品的价格，同时须扣除原投标时提供的设备或产品的价格及相关费用。</w:t>
      </w:r>
    </w:p>
    <w:p w14:paraId="2B0A46D5">
      <w:pPr>
        <w:spacing w:line="360" w:lineRule="auto"/>
        <w:ind w:firstLine="420" w:firstLineChars="200"/>
        <w:rPr>
          <w:rFonts w:ascii="宋体" w:hAnsi="宋体"/>
          <w:sz w:val="21"/>
          <w:szCs w:val="21"/>
        </w:rPr>
      </w:pPr>
      <w:r>
        <w:rPr>
          <w:rFonts w:hint="eastAsia" w:ascii="宋体" w:hAnsi="宋体"/>
          <w:sz w:val="21"/>
          <w:szCs w:val="21"/>
        </w:rPr>
        <w:t>在项目实施过程中，若发生中标人所报设备及材料的品牌不存在的虚假情形，视为违约，须同时承担以下违约责任：①中标人需承担变更设备或材料价款</w:t>
      </w:r>
      <w:r>
        <w:rPr>
          <w:rFonts w:ascii="宋体" w:hAnsi="宋体"/>
          <w:sz w:val="21"/>
          <w:szCs w:val="21"/>
        </w:rPr>
        <w:t>2%</w:t>
      </w:r>
      <w:r>
        <w:rPr>
          <w:rFonts w:hint="eastAsia" w:ascii="宋体" w:hAnsi="宋体"/>
          <w:sz w:val="21"/>
          <w:szCs w:val="21"/>
        </w:rPr>
        <w:t>的违约金；②所变更的设备及材料的品牌、生产厂家经招标人审核同意后方可实施，产生的价格差异按照前述执行，其余产生的额外费用由中标人自行承担。</w:t>
      </w:r>
    </w:p>
    <w:p w14:paraId="444C13C0">
      <w:pPr>
        <w:spacing w:line="360" w:lineRule="auto"/>
        <w:ind w:firstLine="420" w:firstLineChars="200"/>
        <w:rPr>
          <w:rFonts w:ascii="宋体" w:hAnsi="宋体"/>
          <w:sz w:val="21"/>
          <w:szCs w:val="21"/>
        </w:rPr>
      </w:pPr>
      <w:r>
        <w:rPr>
          <w:rFonts w:ascii="宋体" w:hAnsi="宋体"/>
          <w:sz w:val="21"/>
          <w:szCs w:val="21"/>
        </w:rPr>
        <w:t>3.2.10</w:t>
      </w:r>
      <w:r>
        <w:rPr>
          <w:rFonts w:hint="eastAsia" w:ascii="宋体" w:hAnsi="宋体"/>
          <w:sz w:val="21"/>
          <w:szCs w:val="21"/>
        </w:rPr>
        <w:t>本项目所使用的材料设备为国产、合资或进口材料设备品牌原产地的优质产品，其产品要拥有良好信誉及售后服务。产品的品质优良，性能卓越、稳定，其技术及性能必须可以满足第五章《技术标准和要求》的要求。材料设备价格由投标人结合市场价格及自身实力，充分考虑风险后自主报价。材料设备如是进口件的，汇率风险和政策调整风险由投标人自行承担。</w:t>
      </w:r>
    </w:p>
    <w:p w14:paraId="359E8A56">
      <w:pPr>
        <w:tabs>
          <w:tab w:val="left" w:pos="993"/>
        </w:tabs>
        <w:spacing w:line="360" w:lineRule="auto"/>
        <w:ind w:firstLine="420" w:firstLineChars="200"/>
        <w:jc w:val="both"/>
        <w:rPr>
          <w:rFonts w:ascii="宋体" w:hAnsi="宋体"/>
          <w:kern w:val="2"/>
          <w:sz w:val="21"/>
          <w:szCs w:val="21"/>
        </w:rPr>
      </w:pPr>
    </w:p>
    <w:p w14:paraId="1E2DDA10">
      <w:pPr>
        <w:tabs>
          <w:tab w:val="left" w:pos="993"/>
        </w:tabs>
        <w:spacing w:line="360" w:lineRule="auto"/>
        <w:ind w:firstLine="420" w:firstLineChars="200"/>
        <w:rPr>
          <w:rFonts w:ascii="宋体" w:hAnsi="宋体"/>
          <w:sz w:val="21"/>
          <w:szCs w:val="21"/>
        </w:rPr>
      </w:pPr>
      <w:r>
        <w:rPr>
          <w:rFonts w:hint="eastAsia" w:ascii="宋体" w:hAnsi="宋体"/>
          <w:kern w:val="2"/>
          <w:sz w:val="21"/>
          <w:szCs w:val="21"/>
        </w:rPr>
        <w:t>3</w:t>
      </w:r>
      <w:r>
        <w:rPr>
          <w:rFonts w:ascii="宋体" w:hAnsi="宋体"/>
          <w:kern w:val="2"/>
          <w:sz w:val="21"/>
          <w:szCs w:val="21"/>
        </w:rPr>
        <w:t>.2.</w:t>
      </w:r>
      <w:r>
        <w:rPr>
          <w:rFonts w:hint="eastAsia" w:ascii="宋体" w:hAnsi="宋体"/>
          <w:kern w:val="2"/>
          <w:sz w:val="21"/>
          <w:szCs w:val="21"/>
        </w:rPr>
        <w:t>11</w:t>
      </w:r>
      <w:r>
        <w:rPr>
          <w:rFonts w:hint="eastAsia" w:ascii="宋体" w:hAnsi="宋体"/>
          <w:sz w:val="21"/>
          <w:szCs w:val="21"/>
        </w:rPr>
        <w:t>报价修正原则：</w:t>
      </w:r>
    </w:p>
    <w:p w14:paraId="601362F7">
      <w:pPr>
        <w:tabs>
          <w:tab w:val="left" w:pos="993"/>
        </w:tabs>
        <w:spacing w:line="360" w:lineRule="auto"/>
        <w:ind w:firstLine="420" w:firstLineChars="200"/>
        <w:jc w:val="both"/>
        <w:rPr>
          <w:rFonts w:ascii="宋体" w:hAnsi="宋体"/>
          <w:sz w:val="21"/>
          <w:szCs w:val="21"/>
        </w:rPr>
      </w:pPr>
      <w:r>
        <w:rPr>
          <w:rFonts w:hint="eastAsia" w:ascii="宋体" w:hAnsi="宋体"/>
          <w:sz w:val="21"/>
          <w:szCs w:val="21"/>
        </w:rPr>
        <w:t>1）</w:t>
      </w:r>
      <w:r>
        <w:rPr>
          <w:rFonts w:ascii="宋体" w:hAnsi="宋体"/>
          <w:sz w:val="21"/>
          <w:szCs w:val="21"/>
        </w:rPr>
        <w:t>报价大小写金额不一致的，以大写金额为准；</w:t>
      </w:r>
    </w:p>
    <w:p w14:paraId="62C87EB0">
      <w:pPr>
        <w:tabs>
          <w:tab w:val="left" w:pos="993"/>
        </w:tabs>
        <w:spacing w:line="360" w:lineRule="auto"/>
        <w:ind w:firstLine="420" w:firstLineChars="200"/>
        <w:jc w:val="both"/>
        <w:rPr>
          <w:rFonts w:ascii="宋体" w:hAnsi="宋体"/>
          <w:sz w:val="21"/>
          <w:szCs w:val="21"/>
        </w:rPr>
      </w:pPr>
      <w:r>
        <w:rPr>
          <w:rFonts w:hint="eastAsia" w:ascii="宋体" w:hAnsi="宋体"/>
          <w:sz w:val="21"/>
          <w:szCs w:val="21"/>
        </w:rPr>
        <w:t>2）总价金额与依据单价计算出的结果不一致的，以单价金额为准修正总价，但单价金额小数点有明显错误的除外</w:t>
      </w:r>
      <w:r>
        <w:rPr>
          <w:rFonts w:ascii="宋体" w:hAnsi="宋体"/>
          <w:sz w:val="21"/>
          <w:szCs w:val="21"/>
        </w:rPr>
        <w:t>；</w:t>
      </w:r>
    </w:p>
    <w:p w14:paraId="40B1016D">
      <w:pPr>
        <w:tabs>
          <w:tab w:val="left" w:pos="993"/>
        </w:tabs>
        <w:spacing w:line="360" w:lineRule="auto"/>
        <w:ind w:firstLine="420" w:firstLineChars="200"/>
        <w:jc w:val="both"/>
        <w:rPr>
          <w:rFonts w:ascii="宋体" w:hAnsi="宋体"/>
          <w:sz w:val="21"/>
          <w:szCs w:val="21"/>
        </w:rPr>
      </w:pPr>
      <w:r>
        <w:rPr>
          <w:rFonts w:ascii="宋体" w:hAnsi="宋体"/>
          <w:sz w:val="21"/>
          <w:szCs w:val="21"/>
        </w:rPr>
        <w:t>3</w:t>
      </w:r>
      <w:r>
        <w:rPr>
          <w:rFonts w:hint="eastAsia" w:ascii="宋体" w:hAnsi="宋体"/>
          <w:sz w:val="21"/>
          <w:szCs w:val="21"/>
        </w:rPr>
        <w:t>）</w:t>
      </w:r>
      <w:r>
        <w:rPr>
          <w:rFonts w:ascii="宋体" w:hAnsi="宋体"/>
          <w:sz w:val="21"/>
          <w:szCs w:val="21"/>
        </w:rPr>
        <w:t>单价金额小数点有明显错位的，应以总价为准，并修改单价；</w:t>
      </w:r>
    </w:p>
    <w:p w14:paraId="6190841E">
      <w:pPr>
        <w:tabs>
          <w:tab w:val="left" w:pos="993"/>
        </w:tabs>
        <w:spacing w:line="360" w:lineRule="auto"/>
        <w:ind w:firstLine="420" w:firstLineChars="200"/>
        <w:jc w:val="both"/>
        <w:rPr>
          <w:rFonts w:ascii="宋体" w:hAnsi="宋体"/>
          <w:sz w:val="21"/>
          <w:szCs w:val="21"/>
        </w:rPr>
      </w:pPr>
      <w:r>
        <w:rPr>
          <w:rFonts w:ascii="宋体" w:hAnsi="宋体"/>
          <w:sz w:val="21"/>
          <w:szCs w:val="21"/>
        </w:rPr>
        <w:t>4</w:t>
      </w:r>
      <w:r>
        <w:rPr>
          <w:rFonts w:hint="eastAsia" w:ascii="宋体" w:hAnsi="宋体"/>
          <w:sz w:val="21"/>
          <w:szCs w:val="21"/>
        </w:rPr>
        <w:t>）</w:t>
      </w:r>
      <w:r>
        <w:rPr>
          <w:rFonts w:ascii="宋体" w:hAnsi="宋体"/>
          <w:sz w:val="21"/>
          <w:szCs w:val="21"/>
        </w:rPr>
        <w:t>对不同文字文本响应文件的解释发生异议的，以中文文本为准</w:t>
      </w:r>
      <w:r>
        <w:rPr>
          <w:rFonts w:hint="eastAsia" w:ascii="宋体" w:hAnsi="宋体"/>
          <w:sz w:val="21"/>
          <w:szCs w:val="21"/>
        </w:rPr>
        <w:t>；</w:t>
      </w:r>
    </w:p>
    <w:p w14:paraId="002964B8">
      <w:pPr>
        <w:tabs>
          <w:tab w:val="left" w:pos="993"/>
        </w:tabs>
        <w:spacing w:line="360" w:lineRule="auto"/>
        <w:ind w:firstLine="420" w:firstLineChars="200"/>
        <w:jc w:val="both"/>
        <w:rPr>
          <w:rFonts w:ascii="宋体" w:hAnsi="宋体"/>
          <w:sz w:val="21"/>
          <w:szCs w:val="21"/>
        </w:rPr>
      </w:pPr>
      <w:r>
        <w:rPr>
          <w:rFonts w:ascii="宋体" w:hAnsi="宋体"/>
          <w:sz w:val="21"/>
          <w:szCs w:val="21"/>
        </w:rPr>
        <w:t>5</w:t>
      </w:r>
      <w:r>
        <w:rPr>
          <w:rFonts w:hint="eastAsia" w:ascii="宋体" w:hAnsi="宋体"/>
          <w:sz w:val="21"/>
          <w:szCs w:val="21"/>
        </w:rPr>
        <w:t>）投</w:t>
      </w:r>
      <w:r>
        <w:rPr>
          <w:rFonts w:ascii="宋体" w:hAnsi="宋体"/>
          <w:sz w:val="21"/>
          <w:szCs w:val="21"/>
        </w:rPr>
        <w:t>标报价（</w:t>
      </w:r>
      <w:r>
        <w:rPr>
          <w:rFonts w:hint="eastAsia" w:ascii="宋体" w:hAnsi="宋体"/>
          <w:sz w:val="21"/>
          <w:szCs w:val="21"/>
        </w:rPr>
        <w:t>含</w:t>
      </w:r>
      <w:r>
        <w:rPr>
          <w:rFonts w:ascii="宋体" w:hAnsi="宋体"/>
          <w:sz w:val="21"/>
          <w:szCs w:val="21"/>
        </w:rPr>
        <w:t>税）</w:t>
      </w:r>
      <w:r>
        <w:rPr>
          <w:rFonts w:hint="eastAsia" w:ascii="宋体" w:hAnsi="宋体"/>
          <w:sz w:val="21"/>
          <w:szCs w:val="21"/>
        </w:rPr>
        <w:t>与</w:t>
      </w:r>
      <w:r>
        <w:rPr>
          <w:rFonts w:ascii="宋体" w:hAnsi="宋体"/>
          <w:sz w:val="21"/>
          <w:szCs w:val="21"/>
        </w:rPr>
        <w:t>投标报价（</w:t>
      </w:r>
      <w:r>
        <w:rPr>
          <w:rFonts w:hint="eastAsia" w:ascii="宋体" w:hAnsi="宋体"/>
          <w:sz w:val="21"/>
          <w:szCs w:val="21"/>
        </w:rPr>
        <w:t>不</w:t>
      </w:r>
      <w:r>
        <w:rPr>
          <w:rFonts w:ascii="宋体" w:hAnsi="宋体"/>
          <w:sz w:val="21"/>
          <w:szCs w:val="21"/>
        </w:rPr>
        <w:t>含</w:t>
      </w:r>
      <w:r>
        <w:rPr>
          <w:rFonts w:hint="eastAsia" w:ascii="宋体" w:hAnsi="宋体"/>
          <w:sz w:val="21"/>
          <w:szCs w:val="21"/>
        </w:rPr>
        <w:t>增值</w:t>
      </w:r>
      <w:r>
        <w:rPr>
          <w:rFonts w:ascii="宋体" w:hAnsi="宋体"/>
          <w:sz w:val="21"/>
          <w:szCs w:val="21"/>
        </w:rPr>
        <w:t>税）</w:t>
      </w:r>
      <w:r>
        <w:rPr>
          <w:rFonts w:hint="eastAsia" w:ascii="宋体" w:hAnsi="宋体"/>
          <w:sz w:val="21"/>
          <w:szCs w:val="21"/>
        </w:rPr>
        <w:t>*（1+增值</w:t>
      </w:r>
      <w:r>
        <w:rPr>
          <w:rFonts w:ascii="宋体" w:hAnsi="宋体"/>
          <w:sz w:val="21"/>
          <w:szCs w:val="21"/>
        </w:rPr>
        <w:t>税税率</w:t>
      </w:r>
      <w:r>
        <w:rPr>
          <w:rFonts w:hint="eastAsia" w:ascii="宋体" w:hAnsi="宋体"/>
          <w:sz w:val="21"/>
          <w:szCs w:val="21"/>
        </w:rPr>
        <w:t>）计算不</w:t>
      </w:r>
      <w:r>
        <w:rPr>
          <w:rFonts w:ascii="宋体" w:hAnsi="宋体"/>
          <w:sz w:val="21"/>
          <w:szCs w:val="21"/>
        </w:rPr>
        <w:t>一致</w:t>
      </w:r>
      <w:r>
        <w:rPr>
          <w:rFonts w:hint="eastAsia" w:ascii="宋体" w:hAnsi="宋体"/>
          <w:sz w:val="21"/>
          <w:szCs w:val="21"/>
        </w:rPr>
        <w:t>的</w:t>
      </w:r>
      <w:r>
        <w:rPr>
          <w:rFonts w:ascii="宋体" w:hAnsi="宋体"/>
          <w:sz w:val="21"/>
          <w:szCs w:val="21"/>
        </w:rPr>
        <w:t>，以投标报价（</w:t>
      </w:r>
      <w:r>
        <w:rPr>
          <w:rFonts w:hint="eastAsia" w:ascii="宋体" w:hAnsi="宋体"/>
          <w:sz w:val="21"/>
          <w:szCs w:val="21"/>
        </w:rPr>
        <w:t>不</w:t>
      </w:r>
      <w:r>
        <w:rPr>
          <w:rFonts w:ascii="宋体" w:hAnsi="宋体"/>
          <w:sz w:val="21"/>
          <w:szCs w:val="21"/>
        </w:rPr>
        <w:t>含</w:t>
      </w:r>
      <w:r>
        <w:rPr>
          <w:rFonts w:hint="eastAsia" w:ascii="宋体" w:hAnsi="宋体"/>
          <w:sz w:val="21"/>
          <w:szCs w:val="21"/>
        </w:rPr>
        <w:t>增值</w:t>
      </w:r>
      <w:r>
        <w:rPr>
          <w:rFonts w:ascii="宋体" w:hAnsi="宋体"/>
          <w:sz w:val="21"/>
          <w:szCs w:val="21"/>
        </w:rPr>
        <w:t>税）</w:t>
      </w:r>
      <w:r>
        <w:rPr>
          <w:rFonts w:hint="eastAsia" w:ascii="宋体" w:hAnsi="宋体"/>
          <w:sz w:val="21"/>
          <w:szCs w:val="21"/>
        </w:rPr>
        <w:t>*（1+增值</w:t>
      </w:r>
      <w:r>
        <w:rPr>
          <w:rFonts w:ascii="宋体" w:hAnsi="宋体"/>
          <w:sz w:val="21"/>
          <w:szCs w:val="21"/>
        </w:rPr>
        <w:t>税税率</w:t>
      </w:r>
      <w:r>
        <w:rPr>
          <w:rFonts w:hint="eastAsia" w:ascii="宋体" w:hAnsi="宋体"/>
          <w:sz w:val="21"/>
          <w:szCs w:val="21"/>
        </w:rPr>
        <w:t>）</w:t>
      </w:r>
      <w:r>
        <w:rPr>
          <w:rFonts w:ascii="宋体" w:hAnsi="宋体"/>
          <w:sz w:val="21"/>
          <w:szCs w:val="21"/>
        </w:rPr>
        <w:t>修</w:t>
      </w:r>
      <w:r>
        <w:rPr>
          <w:rFonts w:hint="eastAsia" w:ascii="宋体" w:hAnsi="宋体"/>
          <w:sz w:val="21"/>
          <w:szCs w:val="21"/>
        </w:rPr>
        <w:t>正</w:t>
      </w:r>
      <w:r>
        <w:rPr>
          <w:rFonts w:ascii="宋体" w:hAnsi="宋体"/>
          <w:sz w:val="21"/>
          <w:szCs w:val="21"/>
        </w:rPr>
        <w:t>投标报价（</w:t>
      </w:r>
      <w:r>
        <w:rPr>
          <w:rFonts w:hint="eastAsia" w:ascii="宋体" w:hAnsi="宋体"/>
          <w:sz w:val="21"/>
          <w:szCs w:val="21"/>
        </w:rPr>
        <w:t>含</w:t>
      </w:r>
      <w:r>
        <w:rPr>
          <w:rFonts w:ascii="宋体" w:hAnsi="宋体"/>
          <w:sz w:val="21"/>
          <w:szCs w:val="21"/>
        </w:rPr>
        <w:t>税）</w:t>
      </w:r>
      <w:r>
        <w:rPr>
          <w:rFonts w:hint="eastAsia" w:ascii="宋体" w:hAnsi="宋体"/>
          <w:sz w:val="21"/>
          <w:szCs w:val="21"/>
        </w:rPr>
        <w:t>。</w:t>
      </w:r>
    </w:p>
    <w:p w14:paraId="4F0996F2">
      <w:pPr>
        <w:tabs>
          <w:tab w:val="left" w:pos="993"/>
        </w:tabs>
        <w:spacing w:line="360" w:lineRule="auto"/>
        <w:ind w:firstLine="420" w:firstLineChars="200"/>
        <w:jc w:val="both"/>
        <w:rPr>
          <w:rFonts w:ascii="宋体" w:hAnsi="宋体"/>
          <w:sz w:val="21"/>
          <w:szCs w:val="21"/>
        </w:rPr>
      </w:pPr>
      <w:r>
        <w:rPr>
          <w:rFonts w:hint="eastAsia" w:ascii="宋体" w:hAnsi="宋体"/>
          <w:sz w:val="21"/>
          <w:szCs w:val="21"/>
        </w:rPr>
        <w:t>3.2.12本项目设最高投标限价，最高投标限价详见投标人须知前附表。投标人的含税投标报价超过最高投标限价的，其投标文件将被否决。</w:t>
      </w:r>
    </w:p>
    <w:p w14:paraId="3DF0B348">
      <w:pPr>
        <w:spacing w:line="360" w:lineRule="auto"/>
        <w:ind w:firstLine="420" w:firstLineChars="200"/>
        <w:jc w:val="both"/>
        <w:rPr>
          <w:rFonts w:ascii="宋体" w:hAnsi="宋体"/>
          <w:sz w:val="21"/>
          <w:szCs w:val="21"/>
        </w:rPr>
      </w:pPr>
      <w:r>
        <w:rPr>
          <w:rFonts w:hint="eastAsia" w:ascii="宋体" w:hAnsi="宋体"/>
          <w:sz w:val="21"/>
          <w:szCs w:val="21"/>
        </w:rPr>
        <w:t>3.2.13报价应本着合理的原则，招标人不保证报价最低者一定中标。</w:t>
      </w:r>
    </w:p>
    <w:p w14:paraId="561AB290">
      <w:pPr>
        <w:spacing w:line="360" w:lineRule="auto"/>
        <w:ind w:firstLine="420" w:firstLineChars="200"/>
        <w:rPr>
          <w:rFonts w:ascii="宋体" w:hAnsi="宋体"/>
          <w:sz w:val="21"/>
          <w:szCs w:val="21"/>
        </w:rPr>
      </w:pPr>
      <w:r>
        <w:rPr>
          <w:rFonts w:ascii="宋体" w:hAnsi="宋体"/>
          <w:sz w:val="21"/>
          <w:szCs w:val="21"/>
        </w:rPr>
        <w:t>3.2.</w:t>
      </w:r>
      <w:r>
        <w:rPr>
          <w:rFonts w:hint="eastAsia" w:ascii="宋体" w:hAnsi="宋体"/>
          <w:sz w:val="21"/>
          <w:szCs w:val="21"/>
        </w:rPr>
        <w:t>14投标报价应为市场正常水平，不可明显偏离生产成本或市场价，可能影响项目实施质量，诚信履约的，评标委员会有权作否决投标处理。</w:t>
      </w:r>
    </w:p>
    <w:p w14:paraId="59411D3F">
      <w:pPr>
        <w:tabs>
          <w:tab w:val="left" w:pos="993"/>
        </w:tabs>
        <w:spacing w:line="360" w:lineRule="auto"/>
        <w:ind w:firstLine="420" w:firstLineChars="200"/>
        <w:jc w:val="both"/>
        <w:rPr>
          <w:rFonts w:ascii="宋体" w:hAnsi="宋体"/>
          <w:sz w:val="21"/>
          <w:szCs w:val="21"/>
        </w:rPr>
      </w:pPr>
      <w:r>
        <w:rPr>
          <w:rFonts w:hint="eastAsia" w:ascii="宋体" w:hAnsi="宋体"/>
          <w:sz w:val="21"/>
          <w:szCs w:val="21"/>
        </w:rPr>
        <w:t>3.2.15增值税税金的计算方法：按国家规定税率及计税方法计算。</w:t>
      </w:r>
    </w:p>
    <w:p w14:paraId="320BD90C">
      <w:pPr>
        <w:tabs>
          <w:tab w:val="left" w:pos="993"/>
        </w:tabs>
        <w:spacing w:line="360" w:lineRule="auto"/>
        <w:ind w:firstLine="420" w:firstLineChars="200"/>
        <w:jc w:val="both"/>
        <w:rPr>
          <w:sz w:val="21"/>
          <w:szCs w:val="21"/>
        </w:rPr>
      </w:pPr>
      <w:r>
        <w:rPr>
          <w:rFonts w:hint="eastAsia" w:ascii="宋体" w:hAnsi="宋体"/>
          <w:sz w:val="21"/>
          <w:szCs w:val="21"/>
        </w:rPr>
        <w:t>不含增值税价=含税价/（1+增值税税率），计算时保留至小数点后二位（四舍五入）。</w:t>
      </w:r>
    </w:p>
    <w:p w14:paraId="0B926F10">
      <w:pPr>
        <w:pStyle w:val="310"/>
        <w:spacing w:line="360" w:lineRule="auto"/>
        <w:rPr>
          <w:rFonts w:ascii="宋体" w:hAnsi="宋体" w:eastAsia="宋体" w:cs="Times New Roman"/>
        </w:rPr>
      </w:pPr>
      <w:r>
        <w:rPr>
          <w:rFonts w:hint="eastAsia" w:ascii="宋体" w:hAnsi="宋体" w:eastAsia="宋体" w:cs="Times New Roman"/>
        </w:rPr>
        <w:t xml:space="preserve">3.3 投标有效期 </w:t>
      </w:r>
    </w:p>
    <w:p w14:paraId="0BBB7A27">
      <w:pPr>
        <w:spacing w:line="360" w:lineRule="auto"/>
        <w:ind w:firstLine="420" w:firstLineChars="200"/>
        <w:rPr>
          <w:rFonts w:ascii="宋体" w:hAnsi="宋体"/>
          <w:sz w:val="21"/>
          <w:szCs w:val="21"/>
        </w:rPr>
      </w:pPr>
      <w:r>
        <w:rPr>
          <w:rFonts w:ascii="宋体" w:hAnsi="宋体"/>
          <w:sz w:val="21"/>
          <w:szCs w:val="21"/>
        </w:rPr>
        <w:t>3.3.1 除投标人须知前附表另有规定外，投标人不得要求撤销或修改其投标文件。</w:t>
      </w:r>
    </w:p>
    <w:p w14:paraId="3249ECA1">
      <w:pPr>
        <w:spacing w:line="360" w:lineRule="auto"/>
        <w:ind w:firstLine="420" w:firstLineChars="200"/>
        <w:jc w:val="both"/>
        <w:rPr>
          <w:rFonts w:ascii="宋体" w:hAnsi="宋体"/>
          <w:sz w:val="21"/>
          <w:szCs w:val="21"/>
        </w:rPr>
      </w:pPr>
      <w:r>
        <w:rPr>
          <w:rFonts w:ascii="宋体" w:hAnsi="宋体"/>
          <w:sz w:val="21"/>
          <w:szCs w:val="21"/>
        </w:rPr>
        <w:t>3.3.2在投标有效期内，投标人撤销或修改其投标文件的，应承担招标文件和法律规定的责任。</w:t>
      </w:r>
    </w:p>
    <w:p w14:paraId="5907BABF">
      <w:pPr>
        <w:spacing w:line="360" w:lineRule="auto"/>
        <w:ind w:firstLine="420" w:firstLineChars="200"/>
        <w:jc w:val="both"/>
        <w:rPr>
          <w:rFonts w:ascii="宋体" w:hAnsi="宋体"/>
          <w:sz w:val="21"/>
          <w:szCs w:val="21"/>
        </w:rPr>
      </w:pPr>
      <w:r>
        <w:rPr>
          <w:rFonts w:ascii="宋体" w:hAnsi="宋体"/>
          <w:sz w:val="21"/>
          <w:szCs w:val="21"/>
        </w:rPr>
        <w:t>3.3.3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8941E8F">
      <w:pPr>
        <w:pStyle w:val="310"/>
        <w:spacing w:line="360" w:lineRule="auto"/>
        <w:rPr>
          <w:rFonts w:ascii="宋体" w:hAnsi="宋体" w:eastAsia="宋体" w:cs="Times New Roman"/>
        </w:rPr>
      </w:pPr>
      <w:r>
        <w:rPr>
          <w:rFonts w:hint="eastAsia" w:ascii="宋体" w:hAnsi="宋体" w:eastAsia="宋体" w:cs="Times New Roman"/>
        </w:rPr>
        <w:t>3.4 投标保证金</w:t>
      </w:r>
    </w:p>
    <w:p w14:paraId="05652061">
      <w:pPr>
        <w:spacing w:line="360" w:lineRule="auto"/>
        <w:ind w:firstLine="472" w:firstLineChars="225"/>
        <w:jc w:val="both"/>
        <w:rPr>
          <w:rFonts w:ascii="宋体" w:hAnsi="宋体"/>
          <w:sz w:val="21"/>
          <w:szCs w:val="21"/>
        </w:rPr>
      </w:pPr>
      <w:r>
        <w:rPr>
          <w:rFonts w:ascii="宋体" w:hAnsi="宋体"/>
          <w:sz w:val="21"/>
          <w:szCs w:val="21"/>
        </w:rPr>
        <w:t xml:space="preserve">3.4.1 </w:t>
      </w:r>
      <w:r>
        <w:rPr>
          <w:rFonts w:hint="eastAsia" w:ascii="宋体" w:hAnsi="宋体"/>
          <w:sz w:val="21"/>
          <w:szCs w:val="21"/>
        </w:rPr>
        <w:t>投标人在递交投标文件之前，应按投标人须知前附表规定的金额、形式递交投标保证金，并作为其投标文件的组成部分。</w:t>
      </w:r>
    </w:p>
    <w:p w14:paraId="1397E735">
      <w:pPr>
        <w:spacing w:line="360" w:lineRule="auto"/>
        <w:ind w:firstLine="472" w:firstLineChars="225"/>
        <w:jc w:val="both"/>
        <w:rPr>
          <w:rFonts w:ascii="宋体" w:hAnsi="宋体"/>
          <w:sz w:val="21"/>
          <w:szCs w:val="21"/>
        </w:rPr>
      </w:pPr>
      <w:r>
        <w:rPr>
          <w:rFonts w:ascii="宋体" w:hAnsi="宋体"/>
          <w:sz w:val="21"/>
          <w:szCs w:val="21"/>
        </w:rPr>
        <w:t xml:space="preserve">3.4.2 </w:t>
      </w:r>
      <w:r>
        <w:rPr>
          <w:rFonts w:hint="eastAsia" w:ascii="宋体" w:hAnsi="宋体"/>
          <w:sz w:val="21"/>
          <w:szCs w:val="21"/>
        </w:rPr>
        <w:t>投标人不按本章第</w:t>
      </w:r>
      <w:r>
        <w:rPr>
          <w:rFonts w:ascii="宋体" w:hAnsi="宋体"/>
          <w:sz w:val="21"/>
          <w:szCs w:val="21"/>
        </w:rPr>
        <w:t xml:space="preserve">3.4.1 </w:t>
      </w:r>
      <w:r>
        <w:rPr>
          <w:rFonts w:hint="eastAsia" w:ascii="宋体" w:hAnsi="宋体"/>
          <w:sz w:val="21"/>
          <w:szCs w:val="21"/>
        </w:rPr>
        <w:t>项要求提交投标保证金的，其投标文件将按投标被否决处理。</w:t>
      </w:r>
    </w:p>
    <w:p w14:paraId="458D980C">
      <w:pPr>
        <w:spacing w:line="360" w:lineRule="auto"/>
        <w:ind w:firstLine="472" w:firstLineChars="225"/>
        <w:jc w:val="both"/>
        <w:rPr>
          <w:rFonts w:ascii="宋体" w:hAnsi="宋体"/>
          <w:sz w:val="21"/>
          <w:szCs w:val="21"/>
        </w:rPr>
      </w:pPr>
      <w:r>
        <w:rPr>
          <w:rFonts w:ascii="宋体" w:hAnsi="宋体"/>
          <w:sz w:val="21"/>
          <w:szCs w:val="21"/>
        </w:rPr>
        <w:t>3.4.3</w:t>
      </w:r>
      <w:r>
        <w:rPr>
          <w:rFonts w:hint="eastAsia" w:ascii="宋体" w:hAnsi="宋体"/>
          <w:sz w:val="21"/>
          <w:szCs w:val="21"/>
        </w:rPr>
        <w:t>未中标的投标保证金可在中标公示发出后5日内到招标代理机构办理退还投标保证金手续，中标人的投标保证金在合同签订后5日内到投标代理机构办理退还投标保证金手续，但因投标人自身原因导致无法及时退还的除外。</w:t>
      </w:r>
    </w:p>
    <w:p w14:paraId="640EDC40">
      <w:pPr>
        <w:spacing w:line="360" w:lineRule="auto"/>
        <w:ind w:firstLine="474" w:firstLineChars="225"/>
        <w:rPr>
          <w:rFonts w:ascii="宋体" w:hAnsi="宋体"/>
          <w:b/>
          <w:sz w:val="21"/>
          <w:szCs w:val="21"/>
        </w:rPr>
      </w:pPr>
      <w:r>
        <w:rPr>
          <w:rFonts w:ascii="宋体" w:hAnsi="宋体"/>
          <w:b/>
          <w:sz w:val="21"/>
          <w:szCs w:val="21"/>
        </w:rPr>
        <w:t xml:space="preserve">3.4.4 </w:t>
      </w:r>
      <w:r>
        <w:rPr>
          <w:rFonts w:hint="eastAsia" w:ascii="宋体" w:hAnsi="宋体"/>
          <w:b/>
          <w:sz w:val="21"/>
          <w:szCs w:val="21"/>
        </w:rPr>
        <w:t>有下列情形之一的，投标保证金将不予退还：</w:t>
      </w:r>
    </w:p>
    <w:p w14:paraId="29245F90">
      <w:pPr>
        <w:spacing w:line="360" w:lineRule="auto"/>
        <w:ind w:firstLine="472" w:firstLineChars="225"/>
        <w:rPr>
          <w:rFonts w:ascii="宋体" w:hAnsi="宋体"/>
          <w:sz w:val="21"/>
          <w:szCs w:val="21"/>
        </w:rPr>
      </w:pPr>
      <w:bookmarkStart w:id="52" w:name="_Hlk11662117"/>
      <w:r>
        <w:rPr>
          <w:rFonts w:hint="eastAsia" w:ascii="宋体" w:hAnsi="宋体"/>
          <w:sz w:val="21"/>
          <w:szCs w:val="21"/>
        </w:rPr>
        <w:t>（</w:t>
      </w:r>
      <w:r>
        <w:rPr>
          <w:rFonts w:ascii="宋体" w:hAnsi="宋体"/>
          <w:sz w:val="21"/>
          <w:szCs w:val="21"/>
        </w:rPr>
        <w:t>1</w:t>
      </w:r>
      <w:r>
        <w:rPr>
          <w:rFonts w:hint="eastAsia" w:ascii="宋体" w:hAnsi="宋体"/>
          <w:sz w:val="21"/>
          <w:szCs w:val="21"/>
        </w:rPr>
        <w:t>）投标人在规定的投标有效期内撤销或修改其投标文件；</w:t>
      </w:r>
    </w:p>
    <w:p w14:paraId="7372E8C2">
      <w:pPr>
        <w:spacing w:line="360" w:lineRule="auto"/>
        <w:ind w:firstLine="472" w:firstLineChars="225"/>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）中标通知书发出后，中标人无故放弃中标项目或无正当理由在规定时间内不与招标人签订合同的；</w:t>
      </w:r>
    </w:p>
    <w:p w14:paraId="1A584554">
      <w:pPr>
        <w:spacing w:line="360" w:lineRule="auto"/>
        <w:ind w:firstLine="472" w:firstLineChars="225"/>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）存在弄虚作假、围标串标行为，经查情况属实的；</w:t>
      </w:r>
    </w:p>
    <w:p w14:paraId="47685BE4">
      <w:pPr>
        <w:spacing w:line="360" w:lineRule="auto"/>
        <w:ind w:firstLine="472" w:firstLineChars="225"/>
        <w:jc w:val="both"/>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）投标人在招投标活动中有其它违法违纪行为，经调查核实事实清楚的；</w:t>
      </w:r>
    </w:p>
    <w:p w14:paraId="099A1266">
      <w:pPr>
        <w:spacing w:line="360" w:lineRule="auto"/>
        <w:ind w:firstLine="472" w:firstLineChars="225"/>
        <w:jc w:val="both"/>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）中标人对招标文件（含最高投标限价等）提出修改要求的；</w:t>
      </w:r>
    </w:p>
    <w:p w14:paraId="76C07AFD">
      <w:pPr>
        <w:spacing w:line="360" w:lineRule="auto"/>
        <w:ind w:firstLine="472" w:firstLineChars="225"/>
        <w:jc w:val="both"/>
        <w:rPr>
          <w:rFonts w:ascii="宋体" w:hAnsi="宋体"/>
          <w:sz w:val="21"/>
          <w:szCs w:val="21"/>
        </w:rPr>
      </w:pPr>
      <w:r>
        <w:rPr>
          <w:rFonts w:hint="eastAsia" w:ascii="宋体" w:hAnsi="宋体"/>
          <w:sz w:val="21"/>
          <w:szCs w:val="21"/>
        </w:rPr>
        <w:t>（</w:t>
      </w:r>
      <w:r>
        <w:rPr>
          <w:rFonts w:ascii="宋体" w:hAnsi="宋体"/>
          <w:sz w:val="21"/>
          <w:szCs w:val="21"/>
        </w:rPr>
        <w:t>6</w:t>
      </w:r>
      <w:r>
        <w:rPr>
          <w:rFonts w:hint="eastAsia" w:ascii="宋体" w:hAnsi="宋体"/>
          <w:sz w:val="21"/>
          <w:szCs w:val="21"/>
        </w:rPr>
        <w:t>）中标人若因报价过低致使不与招标人签订合同的，或在合同签订、履行中无故要求变更投标承诺和变更投标报价（含单价、合价和总价）的；</w:t>
      </w:r>
    </w:p>
    <w:p w14:paraId="513B34FE">
      <w:pPr>
        <w:spacing w:line="360" w:lineRule="auto"/>
        <w:ind w:firstLine="472" w:firstLineChars="225"/>
        <w:jc w:val="both"/>
        <w:rPr>
          <w:rFonts w:ascii="宋体" w:hAnsi="宋体"/>
          <w:sz w:val="21"/>
          <w:szCs w:val="21"/>
        </w:rPr>
      </w:pPr>
      <w:r>
        <w:rPr>
          <w:rFonts w:hint="eastAsia" w:ascii="宋体" w:hAnsi="宋体"/>
          <w:sz w:val="21"/>
          <w:szCs w:val="21"/>
        </w:rPr>
        <w:t>（</w:t>
      </w:r>
      <w:r>
        <w:rPr>
          <w:rFonts w:ascii="宋体" w:hAnsi="宋体"/>
          <w:sz w:val="21"/>
          <w:szCs w:val="21"/>
        </w:rPr>
        <w:t>7</w:t>
      </w:r>
      <w:r>
        <w:rPr>
          <w:rFonts w:hint="eastAsia" w:ascii="宋体" w:hAnsi="宋体"/>
          <w:sz w:val="21"/>
          <w:szCs w:val="21"/>
        </w:rPr>
        <w:t>）中标人在中标后对招标文件（含招标答疑文件及招标补遗书）提出修改要求的。</w:t>
      </w:r>
    </w:p>
    <w:p w14:paraId="676CE27E">
      <w:pPr>
        <w:pStyle w:val="310"/>
        <w:spacing w:line="360" w:lineRule="auto"/>
        <w:rPr>
          <w:rFonts w:ascii="宋体" w:hAnsi="宋体" w:eastAsia="宋体" w:cs="Times New Roman"/>
        </w:rPr>
      </w:pPr>
      <w:r>
        <w:rPr>
          <w:rFonts w:ascii="宋体" w:hAnsi="宋体" w:eastAsia="宋体" w:cs="Times New Roman"/>
        </w:rPr>
        <w:t>3.5 资格审查资料</w:t>
      </w:r>
    </w:p>
    <w:p w14:paraId="5739DD07">
      <w:pPr>
        <w:spacing w:line="360" w:lineRule="auto"/>
        <w:ind w:firstLine="472" w:firstLineChars="225"/>
        <w:jc w:val="both"/>
        <w:rPr>
          <w:rFonts w:ascii="宋体" w:hAnsi="宋体"/>
          <w:sz w:val="21"/>
          <w:szCs w:val="21"/>
        </w:rPr>
      </w:pPr>
      <w:r>
        <w:rPr>
          <w:rFonts w:hint="eastAsia" w:ascii="宋体" w:hAnsi="宋体"/>
          <w:sz w:val="21"/>
          <w:szCs w:val="21"/>
        </w:rPr>
        <w:t>投标人应按招标文件第六章的要求出具资格证明文件，证明投标人是合格的，而且中标后有能力履行合同。</w:t>
      </w:r>
    </w:p>
    <w:bookmarkEnd w:id="52"/>
    <w:p w14:paraId="61E14CE7">
      <w:pPr>
        <w:pStyle w:val="310"/>
        <w:spacing w:line="360" w:lineRule="auto"/>
        <w:rPr>
          <w:rFonts w:ascii="宋体" w:hAnsi="宋体" w:eastAsia="宋体" w:cs="Times New Roman"/>
        </w:rPr>
      </w:pPr>
      <w:r>
        <w:rPr>
          <w:rFonts w:hint="eastAsia" w:ascii="宋体" w:hAnsi="宋体" w:eastAsia="宋体" w:cs="Times New Roman"/>
        </w:rPr>
        <w:t>3.</w:t>
      </w:r>
      <w:r>
        <w:rPr>
          <w:rFonts w:ascii="宋体" w:hAnsi="宋体" w:eastAsia="宋体" w:cs="Times New Roman"/>
        </w:rPr>
        <w:t>6</w:t>
      </w:r>
      <w:r>
        <w:rPr>
          <w:rFonts w:hint="eastAsia" w:ascii="宋体" w:hAnsi="宋体" w:eastAsia="宋体" w:cs="Times New Roman"/>
        </w:rPr>
        <w:t xml:space="preserve"> 备选投标方案</w:t>
      </w:r>
    </w:p>
    <w:p w14:paraId="1B502152">
      <w:pPr>
        <w:spacing w:line="360" w:lineRule="auto"/>
        <w:ind w:firstLine="472" w:firstLineChars="225"/>
        <w:rPr>
          <w:rFonts w:ascii="宋体" w:hAnsi="宋体"/>
          <w:sz w:val="21"/>
          <w:szCs w:val="21"/>
        </w:rPr>
      </w:pPr>
      <w:r>
        <w:rPr>
          <w:rFonts w:ascii="宋体" w:hAnsi="宋体"/>
          <w:sz w:val="21"/>
          <w:szCs w:val="21"/>
        </w:rPr>
        <w:t>除投标人须知前附表另有规定外，投标人不得递交备选投标方案。</w:t>
      </w:r>
    </w:p>
    <w:p w14:paraId="6C1B13BD">
      <w:pPr>
        <w:pStyle w:val="310"/>
        <w:spacing w:line="360" w:lineRule="auto"/>
        <w:rPr>
          <w:rFonts w:ascii="宋体" w:hAnsi="宋体" w:eastAsia="宋体" w:cs="Times New Roman"/>
        </w:rPr>
      </w:pPr>
      <w:r>
        <w:rPr>
          <w:rFonts w:hint="eastAsia" w:ascii="宋体" w:hAnsi="宋体" w:eastAsia="宋体" w:cs="Times New Roman"/>
        </w:rPr>
        <w:t>3.</w:t>
      </w:r>
      <w:r>
        <w:rPr>
          <w:rFonts w:ascii="宋体" w:hAnsi="宋体" w:eastAsia="宋体" w:cs="Times New Roman"/>
        </w:rPr>
        <w:t>7</w:t>
      </w:r>
      <w:r>
        <w:rPr>
          <w:rFonts w:hint="eastAsia" w:ascii="宋体" w:hAnsi="宋体" w:eastAsia="宋体" w:cs="Times New Roman"/>
        </w:rPr>
        <w:t>投标文件的编制</w:t>
      </w:r>
    </w:p>
    <w:p w14:paraId="65D12867">
      <w:pPr>
        <w:spacing w:line="360" w:lineRule="auto"/>
        <w:ind w:firstLine="472" w:firstLineChars="225"/>
        <w:jc w:val="both"/>
        <w:rPr>
          <w:rFonts w:ascii="宋体" w:hAnsi="宋体"/>
          <w:sz w:val="21"/>
          <w:szCs w:val="21"/>
        </w:rPr>
      </w:pPr>
      <w:r>
        <w:rPr>
          <w:rFonts w:ascii="宋体" w:hAnsi="宋体"/>
          <w:sz w:val="21"/>
          <w:szCs w:val="21"/>
        </w:rPr>
        <w:t xml:space="preserve">3.7.1 </w:t>
      </w:r>
      <w:r>
        <w:rPr>
          <w:rFonts w:hint="eastAsia" w:ascii="宋体" w:hAnsi="宋体"/>
          <w:sz w:val="21"/>
          <w:szCs w:val="21"/>
        </w:rPr>
        <w:t>投标文件应按第六章</w:t>
      </w:r>
      <w:r>
        <w:rPr>
          <w:rFonts w:ascii="宋体" w:hAnsi="宋体"/>
          <w:sz w:val="21"/>
          <w:szCs w:val="21"/>
        </w:rPr>
        <w:t>“</w:t>
      </w:r>
      <w:r>
        <w:rPr>
          <w:rFonts w:hint="eastAsia" w:ascii="宋体" w:hAnsi="宋体"/>
          <w:sz w:val="21"/>
          <w:szCs w:val="21"/>
        </w:rPr>
        <w:t>投标文件格式</w:t>
      </w:r>
      <w:r>
        <w:rPr>
          <w:rFonts w:ascii="宋体" w:hAnsi="宋体"/>
          <w:sz w:val="21"/>
          <w:szCs w:val="21"/>
        </w:rPr>
        <w:t>”</w:t>
      </w:r>
      <w:r>
        <w:rPr>
          <w:rFonts w:hint="eastAsia" w:ascii="宋体" w:hAnsi="宋体"/>
          <w:sz w:val="21"/>
          <w:szCs w:val="21"/>
        </w:rPr>
        <w:t>进行编写，如有必要，可以增加附页，作为投标文件的组成部分。其中，投标函附录在满足招标文件实质性要求的基础上，可以提出比招标文件要求更有利于招标人的承诺。</w:t>
      </w:r>
    </w:p>
    <w:p w14:paraId="2407E33E">
      <w:pPr>
        <w:spacing w:line="360" w:lineRule="auto"/>
        <w:ind w:firstLine="472" w:firstLineChars="225"/>
        <w:jc w:val="both"/>
        <w:rPr>
          <w:rFonts w:ascii="宋体" w:hAnsi="宋体"/>
          <w:sz w:val="21"/>
          <w:szCs w:val="21"/>
        </w:rPr>
      </w:pPr>
      <w:r>
        <w:rPr>
          <w:rFonts w:ascii="宋体" w:hAnsi="宋体"/>
          <w:sz w:val="21"/>
          <w:szCs w:val="21"/>
        </w:rPr>
        <w:t xml:space="preserve">3.7.2 </w:t>
      </w:r>
      <w:r>
        <w:rPr>
          <w:rFonts w:hint="eastAsia" w:ascii="宋体" w:hAnsi="宋体"/>
          <w:sz w:val="21"/>
          <w:szCs w:val="21"/>
        </w:rPr>
        <w:t>投标文件应当对招标文件工期、投标有效期、技术标准和要求、招标范围等实质性内容作出响应。</w:t>
      </w:r>
    </w:p>
    <w:p w14:paraId="5DA5839C">
      <w:pPr>
        <w:spacing w:line="360" w:lineRule="auto"/>
        <w:ind w:firstLine="472" w:firstLineChars="225"/>
        <w:jc w:val="both"/>
        <w:rPr>
          <w:rFonts w:ascii="宋体" w:hAnsi="宋体"/>
          <w:sz w:val="21"/>
          <w:szCs w:val="21"/>
        </w:rPr>
      </w:pPr>
      <w:r>
        <w:rPr>
          <w:rFonts w:ascii="宋体" w:hAnsi="宋体"/>
          <w:sz w:val="21"/>
          <w:szCs w:val="21"/>
        </w:rPr>
        <w:t xml:space="preserve">3.7.3 </w:t>
      </w:r>
      <w:r>
        <w:rPr>
          <w:rFonts w:hint="eastAsia" w:ascii="宋体" w:hAnsi="宋体"/>
          <w:sz w:val="21"/>
          <w:szCs w:val="21"/>
        </w:rPr>
        <w:t>投标文件封面及招标文件明确要求签署的文件均应加盖投标人公章并经法定代表人（或其委托代理人）签字或盖章。由委托代理人签字或盖章的在投标文件中须同时提交投标文件签署加盖公章的投标文件授权委托书。</w:t>
      </w:r>
    </w:p>
    <w:p w14:paraId="31B6D974">
      <w:pPr>
        <w:spacing w:line="360" w:lineRule="auto"/>
        <w:ind w:firstLine="472" w:firstLineChars="225"/>
        <w:jc w:val="both"/>
        <w:rPr>
          <w:rFonts w:ascii="宋体" w:hAnsi="宋体"/>
          <w:sz w:val="21"/>
          <w:szCs w:val="21"/>
        </w:rPr>
      </w:pPr>
      <w:r>
        <w:rPr>
          <w:rFonts w:ascii="宋体" w:hAnsi="宋体"/>
          <w:sz w:val="21"/>
          <w:szCs w:val="21"/>
        </w:rPr>
        <w:t xml:space="preserve">3.7.4 </w:t>
      </w:r>
      <w:r>
        <w:rPr>
          <w:rFonts w:hint="eastAsia" w:ascii="宋体" w:hAnsi="宋体"/>
          <w:sz w:val="21"/>
          <w:szCs w:val="21"/>
        </w:rPr>
        <w:t>投标文件正本一份，</w:t>
      </w:r>
      <w:r>
        <w:rPr>
          <w:rFonts w:ascii="宋体" w:hAnsi="宋体"/>
          <w:sz w:val="21"/>
          <w:szCs w:val="21"/>
        </w:rPr>
        <w:t xml:space="preserve"> </w:t>
      </w:r>
      <w:r>
        <w:rPr>
          <w:rFonts w:hint="eastAsia" w:ascii="宋体" w:hAnsi="宋体"/>
          <w:sz w:val="21"/>
          <w:szCs w:val="21"/>
        </w:rPr>
        <w:t>副本份数见投标人须知前附表。正本和副本的封面上应清楚地标记</w:t>
      </w:r>
      <w:r>
        <w:rPr>
          <w:rFonts w:ascii="宋体" w:hAnsi="宋体"/>
          <w:sz w:val="21"/>
          <w:szCs w:val="21"/>
        </w:rPr>
        <w:t>“</w:t>
      </w:r>
      <w:r>
        <w:rPr>
          <w:rFonts w:hint="eastAsia" w:ascii="宋体" w:hAnsi="宋体"/>
          <w:sz w:val="21"/>
          <w:szCs w:val="21"/>
        </w:rPr>
        <w:t>正本</w:t>
      </w:r>
      <w:r>
        <w:rPr>
          <w:rFonts w:ascii="宋体" w:hAnsi="宋体"/>
          <w:sz w:val="21"/>
          <w:szCs w:val="21"/>
        </w:rPr>
        <w:t>”</w:t>
      </w:r>
      <w:r>
        <w:rPr>
          <w:rFonts w:hint="eastAsia" w:ascii="宋体" w:hAnsi="宋体"/>
          <w:sz w:val="21"/>
          <w:szCs w:val="21"/>
        </w:rPr>
        <w:t>或</w:t>
      </w:r>
      <w:r>
        <w:rPr>
          <w:rFonts w:ascii="宋体" w:hAnsi="宋体"/>
          <w:sz w:val="21"/>
          <w:szCs w:val="21"/>
        </w:rPr>
        <w:t>“</w:t>
      </w:r>
      <w:r>
        <w:rPr>
          <w:rFonts w:hint="eastAsia" w:ascii="宋体" w:hAnsi="宋体"/>
          <w:sz w:val="21"/>
          <w:szCs w:val="21"/>
        </w:rPr>
        <w:t>副本</w:t>
      </w:r>
      <w:r>
        <w:rPr>
          <w:rFonts w:ascii="宋体" w:hAnsi="宋体"/>
          <w:sz w:val="21"/>
          <w:szCs w:val="21"/>
        </w:rPr>
        <w:t>”</w:t>
      </w:r>
      <w:r>
        <w:rPr>
          <w:rFonts w:hint="eastAsia" w:ascii="宋体" w:hAnsi="宋体"/>
          <w:sz w:val="21"/>
          <w:szCs w:val="21"/>
        </w:rPr>
        <w:t>的字样。当副本和正本不一致时，以正本为准。</w:t>
      </w:r>
    </w:p>
    <w:p w14:paraId="4EC1128D">
      <w:pPr>
        <w:spacing w:line="360" w:lineRule="auto"/>
        <w:ind w:firstLine="472" w:firstLineChars="225"/>
        <w:jc w:val="both"/>
        <w:rPr>
          <w:rFonts w:ascii="宋体" w:hAnsi="宋体"/>
          <w:sz w:val="21"/>
          <w:szCs w:val="21"/>
        </w:rPr>
      </w:pPr>
      <w:r>
        <w:rPr>
          <w:rFonts w:ascii="宋体" w:hAnsi="宋体"/>
          <w:sz w:val="21"/>
          <w:szCs w:val="21"/>
        </w:rPr>
        <w:t>3.7.5</w:t>
      </w:r>
      <w:r>
        <w:rPr>
          <w:rFonts w:hint="eastAsia" w:ascii="宋体" w:hAnsi="宋体"/>
          <w:sz w:val="21"/>
          <w:szCs w:val="21"/>
        </w:rPr>
        <w:t>投标文件的正本与副本应分别装订成册，并编制目录，具体装订要求见投标人须知前附表规定。</w:t>
      </w:r>
    </w:p>
    <w:p w14:paraId="5FF19C23">
      <w:pPr>
        <w:pStyle w:val="5"/>
        <w:spacing w:line="415" w:lineRule="auto"/>
        <w:jc w:val="center"/>
        <w:rPr>
          <w:rFonts w:ascii="宋体" w:hAnsi="宋体" w:eastAsia="宋体"/>
        </w:rPr>
      </w:pPr>
      <w:bookmarkStart w:id="53" w:name="_Toc32307"/>
      <w:bookmarkStart w:id="54" w:name="_Toc103248598"/>
      <w:r>
        <w:rPr>
          <w:rFonts w:hint="eastAsia" w:ascii="宋体" w:hAnsi="宋体" w:eastAsia="宋体"/>
        </w:rPr>
        <w:t>4.投标</w:t>
      </w:r>
      <w:bookmarkEnd w:id="53"/>
      <w:bookmarkEnd w:id="54"/>
    </w:p>
    <w:p w14:paraId="52FFE0A7">
      <w:pPr>
        <w:pStyle w:val="310"/>
        <w:spacing w:line="360" w:lineRule="auto"/>
        <w:rPr>
          <w:rFonts w:ascii="宋体" w:hAnsi="宋体" w:eastAsia="宋体" w:cs="Times New Roman"/>
        </w:rPr>
      </w:pPr>
      <w:r>
        <w:rPr>
          <w:rFonts w:hint="eastAsia" w:ascii="宋体" w:hAnsi="宋体" w:eastAsia="宋体" w:cs="Times New Roman"/>
        </w:rPr>
        <w:t>4.1 投标文件的密封和标记</w:t>
      </w:r>
    </w:p>
    <w:p w14:paraId="3D5A3CC3">
      <w:pPr>
        <w:spacing w:line="360" w:lineRule="auto"/>
        <w:ind w:firstLine="472" w:firstLineChars="225"/>
        <w:jc w:val="both"/>
        <w:rPr>
          <w:rFonts w:ascii="宋体" w:hAnsi="宋体"/>
          <w:sz w:val="21"/>
          <w:szCs w:val="21"/>
        </w:rPr>
      </w:pPr>
      <w:r>
        <w:rPr>
          <w:rFonts w:hint="eastAsia" w:ascii="宋体" w:hAnsi="宋体"/>
          <w:sz w:val="21"/>
          <w:szCs w:val="21"/>
        </w:rPr>
        <w:t>4.1.1 投标文件应密封包装并加盖投标人单位章或密封章，其他内容见投标人须知前附表。</w:t>
      </w:r>
    </w:p>
    <w:p w14:paraId="49D9D35D">
      <w:pPr>
        <w:spacing w:line="360" w:lineRule="auto"/>
        <w:ind w:firstLine="472" w:firstLineChars="225"/>
        <w:jc w:val="both"/>
        <w:rPr>
          <w:rFonts w:ascii="宋体" w:hAnsi="宋体"/>
          <w:sz w:val="21"/>
          <w:szCs w:val="21"/>
        </w:rPr>
      </w:pPr>
      <w:r>
        <w:rPr>
          <w:rFonts w:hint="eastAsia" w:ascii="宋体" w:hAnsi="宋体"/>
          <w:sz w:val="21"/>
          <w:szCs w:val="21"/>
        </w:rPr>
        <w:t>4.1.2 投标文件外封套上应写明的其他内容见投标人须知前附表。</w:t>
      </w:r>
    </w:p>
    <w:p w14:paraId="448E7E69">
      <w:pPr>
        <w:spacing w:line="360" w:lineRule="auto"/>
        <w:ind w:firstLine="472" w:firstLineChars="225"/>
        <w:jc w:val="both"/>
        <w:rPr>
          <w:rFonts w:ascii="宋体" w:hAnsi="宋体"/>
          <w:sz w:val="21"/>
          <w:szCs w:val="21"/>
        </w:rPr>
      </w:pPr>
      <w:r>
        <w:rPr>
          <w:rFonts w:hint="eastAsia" w:ascii="宋体" w:hAnsi="宋体"/>
          <w:sz w:val="21"/>
          <w:szCs w:val="21"/>
        </w:rPr>
        <w:t>4.1.3 未按本章第4.1.1 项或第4.1.2 项要求密封和加写标记的投标文件，招标人不予受理。</w:t>
      </w:r>
    </w:p>
    <w:p w14:paraId="29946401">
      <w:pPr>
        <w:pStyle w:val="310"/>
        <w:spacing w:line="360" w:lineRule="auto"/>
        <w:rPr>
          <w:rFonts w:ascii="宋体" w:hAnsi="宋体" w:eastAsia="宋体" w:cs="Times New Roman"/>
        </w:rPr>
      </w:pPr>
      <w:r>
        <w:rPr>
          <w:rFonts w:hint="eastAsia" w:ascii="宋体" w:hAnsi="宋体" w:eastAsia="宋体" w:cs="Times New Roman"/>
        </w:rPr>
        <w:t>4.2 投标文件的递交</w:t>
      </w:r>
    </w:p>
    <w:p w14:paraId="3CCD3662">
      <w:pPr>
        <w:spacing w:line="360" w:lineRule="auto"/>
        <w:ind w:firstLine="472" w:firstLineChars="225"/>
        <w:jc w:val="both"/>
        <w:rPr>
          <w:rFonts w:ascii="宋体" w:hAnsi="宋体"/>
          <w:sz w:val="21"/>
          <w:szCs w:val="21"/>
        </w:rPr>
      </w:pPr>
      <w:r>
        <w:rPr>
          <w:rFonts w:hint="eastAsia" w:ascii="宋体" w:hAnsi="宋体"/>
          <w:sz w:val="21"/>
          <w:szCs w:val="21"/>
        </w:rPr>
        <w:t>4.2.1 投标人应在本章第2.2.2 项规定的投标截止时间前递交投标文件。</w:t>
      </w:r>
    </w:p>
    <w:p w14:paraId="27AC1409">
      <w:pPr>
        <w:spacing w:line="360" w:lineRule="auto"/>
        <w:ind w:firstLine="472" w:firstLineChars="225"/>
        <w:jc w:val="both"/>
        <w:rPr>
          <w:rFonts w:ascii="宋体" w:hAnsi="宋体"/>
          <w:sz w:val="21"/>
          <w:szCs w:val="21"/>
        </w:rPr>
      </w:pPr>
      <w:r>
        <w:rPr>
          <w:rFonts w:hint="eastAsia" w:ascii="宋体" w:hAnsi="宋体"/>
          <w:sz w:val="21"/>
          <w:szCs w:val="21"/>
        </w:rPr>
        <w:t>4.2.2 投标人递交投标文件的地点：见投标人须知前附表。</w:t>
      </w:r>
    </w:p>
    <w:p w14:paraId="0F896D39">
      <w:pPr>
        <w:spacing w:line="360" w:lineRule="auto"/>
        <w:ind w:firstLine="472" w:firstLineChars="225"/>
        <w:jc w:val="both"/>
        <w:rPr>
          <w:rFonts w:ascii="宋体" w:hAnsi="宋体"/>
          <w:sz w:val="21"/>
          <w:szCs w:val="21"/>
        </w:rPr>
      </w:pPr>
      <w:r>
        <w:rPr>
          <w:rFonts w:hint="eastAsia" w:ascii="宋体" w:hAnsi="宋体"/>
          <w:sz w:val="21"/>
          <w:szCs w:val="21"/>
        </w:rPr>
        <w:t>4.2.3 除投标人须知前附表另有规定外，投标人所递交的投标文件不予退还。</w:t>
      </w:r>
    </w:p>
    <w:p w14:paraId="262FCFEB">
      <w:pPr>
        <w:spacing w:line="360" w:lineRule="auto"/>
        <w:ind w:firstLine="472" w:firstLineChars="225"/>
        <w:jc w:val="both"/>
        <w:rPr>
          <w:rFonts w:ascii="宋体" w:hAnsi="宋体"/>
          <w:sz w:val="21"/>
          <w:szCs w:val="21"/>
        </w:rPr>
      </w:pPr>
      <w:r>
        <w:rPr>
          <w:rFonts w:hint="eastAsia" w:ascii="宋体" w:hAnsi="宋体"/>
          <w:sz w:val="21"/>
          <w:szCs w:val="21"/>
        </w:rPr>
        <w:t>4.2.4逾期送达的或者未送达指定地点的投标文件，招标人不予受理。</w:t>
      </w:r>
    </w:p>
    <w:p w14:paraId="1348244B">
      <w:pPr>
        <w:pStyle w:val="310"/>
        <w:spacing w:line="360" w:lineRule="auto"/>
        <w:rPr>
          <w:rFonts w:ascii="宋体" w:hAnsi="宋体" w:eastAsia="宋体" w:cs="Times New Roman"/>
        </w:rPr>
      </w:pPr>
      <w:r>
        <w:rPr>
          <w:rFonts w:hint="eastAsia" w:ascii="宋体" w:hAnsi="宋体" w:eastAsia="宋体" w:cs="Times New Roman"/>
        </w:rPr>
        <w:t>4.3 投标文件的修改与撤回</w:t>
      </w:r>
    </w:p>
    <w:p w14:paraId="51A51462">
      <w:pPr>
        <w:spacing w:line="360" w:lineRule="auto"/>
        <w:ind w:firstLine="472" w:firstLineChars="225"/>
        <w:jc w:val="both"/>
        <w:rPr>
          <w:rFonts w:ascii="宋体" w:hAnsi="宋体"/>
          <w:sz w:val="21"/>
          <w:szCs w:val="21"/>
        </w:rPr>
      </w:pPr>
      <w:r>
        <w:rPr>
          <w:rFonts w:hint="eastAsia" w:ascii="宋体" w:hAnsi="宋体"/>
          <w:sz w:val="21"/>
          <w:szCs w:val="21"/>
        </w:rPr>
        <w:t>4.3.1 在本章第2.2.2 项规定的投标截止时间前，投标人可以修改或撤回已递交的投标文件，但应以书面形式通知招标人。</w:t>
      </w:r>
    </w:p>
    <w:p w14:paraId="450BC3DA">
      <w:pPr>
        <w:spacing w:line="360" w:lineRule="auto"/>
        <w:ind w:firstLine="472" w:firstLineChars="225"/>
        <w:jc w:val="both"/>
        <w:rPr>
          <w:rFonts w:ascii="宋体" w:hAnsi="宋体"/>
          <w:sz w:val="21"/>
          <w:szCs w:val="21"/>
        </w:rPr>
      </w:pPr>
      <w:r>
        <w:rPr>
          <w:rFonts w:hint="eastAsia" w:ascii="宋体" w:hAnsi="宋体"/>
          <w:sz w:val="21"/>
          <w:szCs w:val="21"/>
        </w:rPr>
        <w:t>4.3.2 投标人修改或撤回已递交投标文件的书面通知应按照本章第3.7.3 项的要求签字或盖章。招标人收到书面通知后，向投标人出具签收凭证。</w:t>
      </w:r>
    </w:p>
    <w:p w14:paraId="6F654A46">
      <w:pPr>
        <w:spacing w:line="360" w:lineRule="auto"/>
        <w:ind w:firstLine="472" w:firstLineChars="225"/>
        <w:jc w:val="both"/>
        <w:rPr>
          <w:rFonts w:ascii="宋体" w:hAnsi="宋体"/>
          <w:sz w:val="21"/>
          <w:szCs w:val="21"/>
        </w:rPr>
      </w:pPr>
      <w:r>
        <w:rPr>
          <w:rFonts w:hint="eastAsia" w:ascii="宋体" w:hAnsi="宋体"/>
          <w:sz w:val="21"/>
          <w:szCs w:val="21"/>
        </w:rPr>
        <w:t>4.3.3 修改的内容为投标文件的组成部分。修改的投标文件应按照本章第3 条、第4 条规定进行编制、密封、标记和递交，并标明“修改”字样。</w:t>
      </w:r>
    </w:p>
    <w:p w14:paraId="1BDF5598">
      <w:pPr>
        <w:pStyle w:val="5"/>
        <w:spacing w:line="415" w:lineRule="auto"/>
        <w:jc w:val="center"/>
        <w:rPr>
          <w:rFonts w:ascii="宋体" w:hAnsi="宋体" w:eastAsia="宋体"/>
        </w:rPr>
      </w:pPr>
      <w:bookmarkStart w:id="55" w:name="_Toc26088"/>
      <w:bookmarkStart w:id="56" w:name="_Toc103248599"/>
      <w:r>
        <w:rPr>
          <w:rFonts w:hint="eastAsia" w:ascii="宋体" w:hAnsi="宋体" w:eastAsia="宋体"/>
        </w:rPr>
        <w:t>5.开标</w:t>
      </w:r>
      <w:bookmarkEnd w:id="55"/>
      <w:bookmarkEnd w:id="56"/>
    </w:p>
    <w:p w14:paraId="61E36CED">
      <w:pPr>
        <w:pStyle w:val="310"/>
        <w:spacing w:line="360" w:lineRule="auto"/>
        <w:rPr>
          <w:rFonts w:ascii="宋体" w:hAnsi="宋体" w:eastAsia="宋体" w:cs="Times New Roman"/>
        </w:rPr>
      </w:pPr>
      <w:r>
        <w:rPr>
          <w:rFonts w:hint="eastAsia" w:ascii="宋体" w:hAnsi="宋体" w:eastAsia="宋体" w:cs="Times New Roman"/>
        </w:rPr>
        <w:t>5.1 开标时间和地点</w:t>
      </w:r>
    </w:p>
    <w:p w14:paraId="6CD6AF97">
      <w:pPr>
        <w:spacing w:line="360" w:lineRule="auto"/>
        <w:ind w:firstLine="472" w:firstLineChars="225"/>
        <w:jc w:val="both"/>
        <w:rPr>
          <w:rFonts w:ascii="宋体" w:hAnsi="宋体"/>
          <w:sz w:val="21"/>
          <w:szCs w:val="21"/>
        </w:rPr>
      </w:pPr>
      <w:r>
        <w:rPr>
          <w:rFonts w:hint="eastAsia" w:ascii="宋体" w:hAnsi="宋体"/>
          <w:sz w:val="21"/>
          <w:szCs w:val="21"/>
        </w:rPr>
        <w:t>招标人在本章第</w:t>
      </w:r>
      <w:r>
        <w:rPr>
          <w:rFonts w:ascii="宋体" w:hAnsi="宋体"/>
          <w:sz w:val="21"/>
          <w:szCs w:val="21"/>
        </w:rPr>
        <w:t xml:space="preserve">2.2.2 </w:t>
      </w:r>
      <w:r>
        <w:rPr>
          <w:rFonts w:hint="eastAsia" w:ascii="宋体" w:hAnsi="宋体"/>
          <w:sz w:val="21"/>
          <w:szCs w:val="21"/>
        </w:rPr>
        <w:t>项规定的投标截止时间（开标时间）和投标人须知前附表规定的地点公开开标，并邀请所有投标人的法定代表人或其委托代理人准时参加。</w:t>
      </w:r>
    </w:p>
    <w:p w14:paraId="031B187D">
      <w:pPr>
        <w:pStyle w:val="310"/>
        <w:spacing w:line="360" w:lineRule="auto"/>
        <w:rPr>
          <w:rFonts w:ascii="宋体" w:hAnsi="宋体" w:eastAsia="宋体" w:cs="Times New Roman"/>
        </w:rPr>
      </w:pPr>
      <w:r>
        <w:rPr>
          <w:rFonts w:hint="eastAsia" w:ascii="宋体" w:hAnsi="宋体" w:eastAsia="宋体" w:cs="Times New Roman"/>
        </w:rPr>
        <w:t>5.2 开标程序</w:t>
      </w:r>
    </w:p>
    <w:p w14:paraId="418724CA">
      <w:pPr>
        <w:spacing w:line="360" w:lineRule="auto"/>
        <w:ind w:firstLine="359" w:firstLineChars="171"/>
        <w:jc w:val="both"/>
        <w:rPr>
          <w:rFonts w:ascii="宋体" w:hAnsi="宋体"/>
          <w:sz w:val="21"/>
          <w:szCs w:val="21"/>
        </w:rPr>
      </w:pPr>
      <w:r>
        <w:rPr>
          <w:rFonts w:hint="eastAsia" w:ascii="宋体" w:hAnsi="宋体"/>
          <w:sz w:val="21"/>
          <w:szCs w:val="21"/>
        </w:rPr>
        <w:t>详见投标人须知前附表。</w:t>
      </w:r>
    </w:p>
    <w:p w14:paraId="789B27C2">
      <w:pPr>
        <w:pStyle w:val="310"/>
        <w:spacing w:line="360" w:lineRule="auto"/>
        <w:rPr>
          <w:rFonts w:ascii="宋体" w:hAnsi="宋体" w:eastAsia="宋体"/>
        </w:rPr>
      </w:pPr>
      <w:bookmarkStart w:id="57" w:name="_Toc300834983"/>
      <w:bookmarkStart w:id="58" w:name="_Hlk100696575"/>
      <w:r>
        <w:rPr>
          <w:rFonts w:ascii="宋体" w:hAnsi="宋体" w:eastAsia="宋体" w:cs="Times New Roman"/>
        </w:rPr>
        <w:t xml:space="preserve">5.3 </w:t>
      </w:r>
      <w:r>
        <w:rPr>
          <w:rFonts w:hint="eastAsia" w:ascii="宋体" w:hAnsi="宋体" w:eastAsia="宋体" w:cs="Times New Roman"/>
        </w:rPr>
        <w:t>开标异议</w:t>
      </w:r>
      <w:bookmarkEnd w:id="57"/>
    </w:p>
    <w:p w14:paraId="73512E2A">
      <w:pPr>
        <w:spacing w:line="400" w:lineRule="exact"/>
        <w:ind w:firstLine="359" w:firstLineChars="171"/>
        <w:jc w:val="both"/>
        <w:rPr>
          <w:rFonts w:ascii="宋体" w:hAnsi="宋体"/>
          <w:sz w:val="21"/>
          <w:szCs w:val="21"/>
        </w:rPr>
      </w:pPr>
      <w:r>
        <w:rPr>
          <w:rFonts w:hint="eastAsia" w:ascii="宋体" w:hAnsi="宋体"/>
          <w:sz w:val="21"/>
          <w:szCs w:val="21"/>
        </w:rPr>
        <w:t>投标人对开标有异议的，应当在开标现场提出，招标人当场作出答复，并制作记录。</w:t>
      </w:r>
    </w:p>
    <w:bookmarkEnd w:id="58"/>
    <w:p w14:paraId="0C6508A8">
      <w:pPr>
        <w:spacing w:line="360" w:lineRule="auto"/>
        <w:ind w:firstLine="359" w:firstLineChars="171"/>
        <w:jc w:val="both"/>
        <w:rPr>
          <w:rFonts w:ascii="宋体" w:hAnsi="宋体"/>
          <w:sz w:val="21"/>
          <w:szCs w:val="21"/>
        </w:rPr>
      </w:pPr>
    </w:p>
    <w:p w14:paraId="1B09D134">
      <w:pPr>
        <w:pStyle w:val="5"/>
        <w:spacing w:line="415" w:lineRule="auto"/>
        <w:jc w:val="center"/>
        <w:rPr>
          <w:rFonts w:ascii="宋体" w:hAnsi="宋体" w:eastAsia="宋体"/>
        </w:rPr>
      </w:pPr>
      <w:bookmarkStart w:id="59" w:name="_Toc23325"/>
      <w:bookmarkStart w:id="60" w:name="_Toc103248600"/>
      <w:r>
        <w:rPr>
          <w:rFonts w:hint="eastAsia" w:ascii="宋体" w:hAnsi="宋体" w:eastAsia="宋体"/>
        </w:rPr>
        <w:t>6.评标</w:t>
      </w:r>
      <w:bookmarkEnd w:id="59"/>
      <w:bookmarkEnd w:id="60"/>
    </w:p>
    <w:p w14:paraId="62AB65E5">
      <w:pPr>
        <w:pStyle w:val="310"/>
        <w:spacing w:line="360" w:lineRule="auto"/>
        <w:rPr>
          <w:rFonts w:ascii="宋体" w:hAnsi="宋体" w:eastAsia="宋体" w:cs="Times New Roman"/>
        </w:rPr>
      </w:pPr>
      <w:r>
        <w:rPr>
          <w:rFonts w:hint="eastAsia" w:ascii="宋体" w:hAnsi="宋体" w:eastAsia="宋体" w:cs="Times New Roman"/>
        </w:rPr>
        <w:t>6.1 评标委员会</w:t>
      </w:r>
    </w:p>
    <w:p w14:paraId="6470F042">
      <w:pPr>
        <w:spacing w:line="360" w:lineRule="auto"/>
        <w:ind w:firstLine="472" w:firstLineChars="225"/>
        <w:jc w:val="both"/>
        <w:rPr>
          <w:rFonts w:ascii="宋体" w:hAnsi="宋体"/>
          <w:sz w:val="21"/>
          <w:szCs w:val="21"/>
        </w:rPr>
      </w:pPr>
      <w:r>
        <w:rPr>
          <w:rFonts w:ascii="宋体" w:hAnsi="宋体"/>
          <w:sz w:val="21"/>
          <w:szCs w:val="21"/>
        </w:rPr>
        <w:t>6.1.1 评标由招标人依法组建的评标委员会负责。评标委员会由招标人代表，以及有关技术、经济等方面的专家组成。评标委员会成员人数以及技术、经济等方面专家的确定方式见投标人须知前附表。</w:t>
      </w:r>
    </w:p>
    <w:p w14:paraId="5BBE0DA9">
      <w:pPr>
        <w:spacing w:line="360" w:lineRule="auto"/>
        <w:ind w:firstLine="472" w:firstLineChars="225"/>
        <w:jc w:val="both"/>
        <w:rPr>
          <w:rFonts w:ascii="宋体" w:hAnsi="宋体"/>
          <w:sz w:val="21"/>
          <w:szCs w:val="21"/>
        </w:rPr>
      </w:pPr>
      <w:r>
        <w:rPr>
          <w:rFonts w:ascii="宋体" w:hAnsi="宋体"/>
          <w:sz w:val="21"/>
          <w:szCs w:val="21"/>
        </w:rPr>
        <w:t>6.1.2 评标委员会成员有下列情形之一的，应当回避：</w:t>
      </w:r>
    </w:p>
    <w:p w14:paraId="251EE5A3">
      <w:pPr>
        <w:spacing w:line="360" w:lineRule="auto"/>
        <w:ind w:firstLine="472" w:firstLineChars="225"/>
        <w:jc w:val="both"/>
        <w:rPr>
          <w:rFonts w:ascii="宋体" w:hAnsi="宋体"/>
          <w:sz w:val="21"/>
          <w:szCs w:val="21"/>
        </w:rPr>
      </w:pPr>
      <w:r>
        <w:rPr>
          <w:rFonts w:ascii="宋体" w:hAnsi="宋体"/>
          <w:sz w:val="21"/>
          <w:szCs w:val="21"/>
        </w:rPr>
        <w:t>（1）</w:t>
      </w:r>
      <w:r>
        <w:rPr>
          <w:rFonts w:hint="eastAsia" w:ascii="宋体" w:hAnsi="宋体"/>
          <w:sz w:val="21"/>
          <w:szCs w:val="21"/>
        </w:rPr>
        <w:t>投</w:t>
      </w:r>
      <w:r>
        <w:rPr>
          <w:rFonts w:ascii="宋体" w:hAnsi="宋体"/>
          <w:sz w:val="21"/>
          <w:szCs w:val="21"/>
        </w:rPr>
        <w:t>标人或投标人的主要负责人的近亲属；</w:t>
      </w:r>
    </w:p>
    <w:p w14:paraId="2D5C5E81">
      <w:pPr>
        <w:spacing w:line="360" w:lineRule="auto"/>
        <w:ind w:firstLine="472" w:firstLineChars="225"/>
        <w:jc w:val="both"/>
        <w:rPr>
          <w:rFonts w:ascii="宋体" w:hAnsi="宋体"/>
          <w:sz w:val="21"/>
          <w:szCs w:val="21"/>
        </w:rPr>
      </w:pPr>
      <w:r>
        <w:rPr>
          <w:rFonts w:ascii="宋体" w:hAnsi="宋体"/>
          <w:sz w:val="21"/>
          <w:szCs w:val="21"/>
        </w:rPr>
        <w:t>（2）项目主管部门或者行政监督部门的人员；</w:t>
      </w:r>
    </w:p>
    <w:p w14:paraId="4BA24EDC">
      <w:pPr>
        <w:spacing w:line="360" w:lineRule="auto"/>
        <w:ind w:firstLine="472" w:firstLineChars="225"/>
        <w:jc w:val="both"/>
        <w:rPr>
          <w:rFonts w:ascii="宋体" w:hAnsi="宋体"/>
          <w:sz w:val="21"/>
          <w:szCs w:val="21"/>
        </w:rPr>
      </w:pPr>
      <w:r>
        <w:rPr>
          <w:rFonts w:ascii="宋体" w:hAnsi="宋体"/>
          <w:sz w:val="21"/>
          <w:szCs w:val="21"/>
        </w:rPr>
        <w:t>（3）与投标人有经济利益关系，可能影响对投标公正评审的；</w:t>
      </w:r>
    </w:p>
    <w:p w14:paraId="2CB81927">
      <w:pPr>
        <w:spacing w:line="360" w:lineRule="auto"/>
        <w:ind w:firstLine="472" w:firstLineChars="225"/>
        <w:jc w:val="both"/>
        <w:rPr>
          <w:rFonts w:ascii="宋体" w:hAnsi="宋体"/>
          <w:sz w:val="21"/>
          <w:szCs w:val="21"/>
        </w:rPr>
      </w:pPr>
      <w:r>
        <w:rPr>
          <w:rFonts w:ascii="宋体" w:hAnsi="宋体"/>
          <w:sz w:val="21"/>
          <w:szCs w:val="21"/>
        </w:rPr>
        <w:t>（4）曾因在招标、评标以及其他与招标投标有关活动中从事违法行为而受过行政处罚或刑事处罚的</w:t>
      </w:r>
      <w:r>
        <w:rPr>
          <w:rFonts w:hint="eastAsia" w:ascii="宋体" w:hAnsi="宋体"/>
          <w:sz w:val="21"/>
          <w:szCs w:val="21"/>
        </w:rPr>
        <w:t>；</w:t>
      </w:r>
    </w:p>
    <w:p w14:paraId="2DA9AEBB">
      <w:pPr>
        <w:spacing w:line="360" w:lineRule="auto"/>
        <w:ind w:firstLine="472" w:firstLineChars="225"/>
        <w:jc w:val="both"/>
        <w:rPr>
          <w:rFonts w:ascii="宋体" w:hAnsi="宋体"/>
          <w:sz w:val="21"/>
          <w:szCs w:val="21"/>
        </w:rPr>
      </w:pPr>
      <w:r>
        <w:rPr>
          <w:rFonts w:hint="eastAsia" w:ascii="宋体" w:hAnsi="宋体"/>
          <w:sz w:val="21"/>
          <w:szCs w:val="21"/>
        </w:rPr>
        <w:t>（5）与投标人有其他利害关系。</w:t>
      </w:r>
    </w:p>
    <w:p w14:paraId="61A1134C">
      <w:pPr>
        <w:spacing w:line="360" w:lineRule="auto"/>
        <w:ind w:firstLine="472" w:firstLineChars="225"/>
        <w:jc w:val="both"/>
        <w:rPr>
          <w:rFonts w:ascii="宋体" w:hAnsi="宋体"/>
          <w:sz w:val="21"/>
          <w:szCs w:val="21"/>
        </w:rPr>
      </w:pPr>
      <w:r>
        <w:rPr>
          <w:rFonts w:hint="eastAsia" w:ascii="宋体" w:hAnsi="宋体"/>
          <w:sz w:val="21"/>
          <w:szCs w:val="21"/>
        </w:rPr>
        <w:t>6.1.3评标过程中，评标委员会成员有回避事由、擅离职守或者因健康等原因不能继续评标的，招标人有权更换。被更换的评标委员会成员作出的评审结论无效，由更换后的评标委员会成员重新进行评审。</w:t>
      </w:r>
    </w:p>
    <w:p w14:paraId="7B6E42DE">
      <w:pPr>
        <w:pStyle w:val="310"/>
        <w:spacing w:line="360" w:lineRule="auto"/>
        <w:rPr>
          <w:rFonts w:ascii="宋体" w:hAnsi="宋体" w:eastAsia="宋体" w:cs="Times New Roman"/>
        </w:rPr>
      </w:pPr>
      <w:r>
        <w:rPr>
          <w:rFonts w:hint="eastAsia" w:ascii="宋体" w:hAnsi="宋体" w:eastAsia="宋体" w:cs="Times New Roman"/>
        </w:rPr>
        <w:t>6.2 评标原则</w:t>
      </w:r>
    </w:p>
    <w:p w14:paraId="50082CF1">
      <w:pPr>
        <w:spacing w:line="360" w:lineRule="auto"/>
        <w:ind w:firstLine="472" w:firstLineChars="225"/>
        <w:jc w:val="both"/>
        <w:rPr>
          <w:rFonts w:ascii="宋体" w:hAnsi="宋体"/>
          <w:sz w:val="21"/>
          <w:szCs w:val="21"/>
        </w:rPr>
      </w:pPr>
      <w:bookmarkStart w:id="61" w:name="_Hlk11662211"/>
      <w:r>
        <w:rPr>
          <w:rFonts w:hint="eastAsia" w:ascii="宋体" w:hAnsi="宋体"/>
          <w:sz w:val="21"/>
          <w:szCs w:val="21"/>
        </w:rPr>
        <w:t>评标活动遵循公平、公正、科学和择优的原则，任何单位或个人不得非法干预或者影响评标过程和结果。</w:t>
      </w:r>
      <w:bookmarkEnd w:id="61"/>
    </w:p>
    <w:p w14:paraId="64B101C6">
      <w:pPr>
        <w:pStyle w:val="310"/>
        <w:spacing w:line="360" w:lineRule="auto"/>
        <w:rPr>
          <w:rFonts w:ascii="宋体" w:hAnsi="宋体" w:eastAsia="宋体" w:cs="Times New Roman"/>
        </w:rPr>
      </w:pPr>
      <w:r>
        <w:rPr>
          <w:rFonts w:hint="eastAsia" w:ascii="宋体" w:hAnsi="宋体" w:eastAsia="宋体" w:cs="Times New Roman"/>
        </w:rPr>
        <w:t>6.3 评标</w:t>
      </w:r>
    </w:p>
    <w:p w14:paraId="759DFC2B">
      <w:pPr>
        <w:spacing w:line="360" w:lineRule="auto"/>
        <w:ind w:firstLine="472" w:firstLineChars="225"/>
        <w:jc w:val="both"/>
        <w:rPr>
          <w:rFonts w:ascii="宋体" w:hAnsi="宋体"/>
          <w:sz w:val="21"/>
          <w:szCs w:val="21"/>
        </w:rPr>
      </w:pPr>
      <w:r>
        <w:rPr>
          <w:rFonts w:hint="eastAsia" w:ascii="宋体" w:hAnsi="宋体"/>
          <w:sz w:val="21"/>
          <w:szCs w:val="21"/>
        </w:rPr>
        <w:t>6</w:t>
      </w:r>
      <w:r>
        <w:rPr>
          <w:rFonts w:ascii="宋体" w:hAnsi="宋体"/>
          <w:sz w:val="21"/>
          <w:szCs w:val="21"/>
        </w:rPr>
        <w:t>.3.1</w:t>
      </w:r>
      <w:r>
        <w:rPr>
          <w:rFonts w:hint="eastAsia" w:ascii="宋体" w:hAnsi="宋体"/>
          <w:sz w:val="21"/>
          <w:szCs w:val="21"/>
        </w:rPr>
        <w:t>评标委员会按照第三章“评标办法”规定的方法、评审因素、标准和程序对投标文件进行评审。第三章“评标办法”没有规定的方法、评审因素和标准，不作为评标依据。</w:t>
      </w:r>
    </w:p>
    <w:p w14:paraId="48DFE566">
      <w:pPr>
        <w:spacing w:line="360" w:lineRule="auto"/>
        <w:ind w:firstLine="474" w:firstLineChars="225"/>
        <w:jc w:val="both"/>
        <w:rPr>
          <w:rFonts w:ascii="宋体" w:hAnsi="宋体"/>
          <w:b/>
          <w:bCs/>
          <w:sz w:val="21"/>
          <w:szCs w:val="21"/>
        </w:rPr>
      </w:pPr>
      <w:r>
        <w:rPr>
          <w:rFonts w:ascii="宋体" w:hAnsi="宋体"/>
          <w:b/>
          <w:bCs/>
          <w:sz w:val="21"/>
          <w:szCs w:val="21"/>
        </w:rPr>
        <w:t>6.3.2</w:t>
      </w:r>
      <w:r>
        <w:rPr>
          <w:rFonts w:hint="eastAsia" w:ascii="宋体" w:hAnsi="宋体"/>
          <w:b/>
          <w:bCs/>
          <w:sz w:val="21"/>
          <w:szCs w:val="21"/>
        </w:rPr>
        <w:t>评标委员会根据第三章“评标办法”的规定作否决投标处理后，若因有效投标人不足三家，且经评标委员会评审认为投标仍具有竞争性时，评标委员会可以继续进行评审，可由评标委员会对各投标文件按本招标文件规定的评标办法进行综合评分推荐中标候选人；若因有效投标不足三家，且经评标委员会评审认为投标明显缺乏竞争的，评标委员会应当否决全部投标，建议招标人重新招标；所有投标被否决的，招标人应当依法重新招标。</w:t>
      </w:r>
    </w:p>
    <w:p w14:paraId="5070438F">
      <w:pPr>
        <w:pStyle w:val="5"/>
        <w:spacing w:line="415" w:lineRule="auto"/>
        <w:jc w:val="center"/>
        <w:rPr>
          <w:rFonts w:ascii="宋体" w:hAnsi="宋体" w:eastAsia="宋体"/>
        </w:rPr>
      </w:pPr>
      <w:bookmarkStart w:id="62" w:name="_Toc25451"/>
      <w:bookmarkStart w:id="63" w:name="_Toc103248601"/>
      <w:r>
        <w:rPr>
          <w:rFonts w:hint="eastAsia" w:ascii="宋体" w:hAnsi="宋体" w:eastAsia="宋体"/>
        </w:rPr>
        <w:t>7.合同授予</w:t>
      </w:r>
      <w:bookmarkEnd w:id="62"/>
      <w:bookmarkEnd w:id="63"/>
    </w:p>
    <w:p w14:paraId="7DDCA60E">
      <w:pPr>
        <w:pStyle w:val="310"/>
        <w:spacing w:line="360" w:lineRule="auto"/>
        <w:rPr>
          <w:rFonts w:ascii="宋体" w:hAnsi="宋体" w:eastAsia="宋体" w:cs="Times New Roman"/>
        </w:rPr>
      </w:pPr>
      <w:r>
        <w:rPr>
          <w:rFonts w:hint="eastAsia" w:ascii="宋体" w:hAnsi="宋体" w:eastAsia="宋体" w:cs="Times New Roman"/>
        </w:rPr>
        <w:t>7.1 定标方式</w:t>
      </w:r>
    </w:p>
    <w:p w14:paraId="14DB5083">
      <w:pPr>
        <w:spacing w:line="360" w:lineRule="auto"/>
        <w:ind w:firstLine="472" w:firstLineChars="225"/>
        <w:jc w:val="both"/>
        <w:rPr>
          <w:rFonts w:ascii="宋体" w:hAnsi="宋体"/>
          <w:sz w:val="21"/>
          <w:szCs w:val="21"/>
        </w:rPr>
      </w:pPr>
      <w:r>
        <w:rPr>
          <w:rFonts w:hint="eastAsia" w:ascii="宋体" w:hAnsi="宋体"/>
          <w:sz w:val="21"/>
          <w:szCs w:val="21"/>
        </w:rPr>
        <w:t>除投标人须知前附表规定评标委员会直接确定中标人外，招标人应根据评标委员会提供的评标报告和推荐的中标候选人排列的先后顺序确定中标人，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评标委员会推荐中标候选人的人数见投标人须知前附表。</w:t>
      </w:r>
    </w:p>
    <w:p w14:paraId="3CAC7AF2">
      <w:pPr>
        <w:pStyle w:val="310"/>
        <w:spacing w:line="360" w:lineRule="auto"/>
        <w:rPr>
          <w:rFonts w:ascii="宋体" w:hAnsi="宋体" w:eastAsia="宋体" w:cs="Times New Roman"/>
        </w:rPr>
      </w:pPr>
      <w:bookmarkStart w:id="64" w:name="_Hlk11671737"/>
      <w:r>
        <w:rPr>
          <w:rFonts w:ascii="宋体" w:hAnsi="宋体" w:eastAsia="宋体" w:cs="Times New Roman"/>
        </w:rPr>
        <w:t>7.2 中标候选人公示</w:t>
      </w:r>
    </w:p>
    <w:p w14:paraId="3FF56916">
      <w:pPr>
        <w:spacing w:line="360" w:lineRule="auto"/>
        <w:ind w:firstLine="472" w:firstLineChars="225"/>
        <w:rPr>
          <w:rFonts w:ascii="宋体" w:hAnsi="宋体"/>
          <w:sz w:val="21"/>
          <w:szCs w:val="21"/>
        </w:rPr>
      </w:pPr>
      <w:r>
        <w:rPr>
          <w:rFonts w:ascii="宋体" w:hAnsi="宋体"/>
          <w:sz w:val="21"/>
          <w:szCs w:val="21"/>
        </w:rPr>
        <w:t>招标人在投标人须知前附表规定的媒介公示中标候选人。</w:t>
      </w:r>
      <w:bookmarkEnd w:id="64"/>
    </w:p>
    <w:p w14:paraId="44CD3C4C">
      <w:pPr>
        <w:pStyle w:val="310"/>
        <w:spacing w:line="360" w:lineRule="auto"/>
        <w:rPr>
          <w:rFonts w:ascii="宋体" w:hAnsi="宋体" w:eastAsia="宋体" w:cs="Times New Roman"/>
        </w:rPr>
      </w:pPr>
      <w:r>
        <w:rPr>
          <w:rFonts w:ascii="宋体" w:hAnsi="宋体" w:eastAsia="宋体" w:cs="Times New Roman"/>
        </w:rPr>
        <w:t>7.3</w:t>
      </w:r>
      <w:r>
        <w:rPr>
          <w:rFonts w:hint="eastAsia" w:ascii="宋体" w:hAnsi="宋体" w:eastAsia="宋体" w:cs="Times New Roman"/>
        </w:rPr>
        <w:t>中标结果公示</w:t>
      </w:r>
    </w:p>
    <w:p w14:paraId="108EF825">
      <w:pPr>
        <w:spacing w:line="360" w:lineRule="auto"/>
        <w:ind w:firstLine="472" w:firstLineChars="225"/>
        <w:rPr>
          <w:rFonts w:ascii="宋体" w:hAnsi="宋体"/>
          <w:sz w:val="24"/>
        </w:rPr>
      </w:pPr>
      <w:r>
        <w:rPr>
          <w:rFonts w:hint="eastAsia" w:ascii="宋体" w:hAnsi="宋体"/>
          <w:sz w:val="21"/>
          <w:szCs w:val="21"/>
        </w:rPr>
        <w:t>招标人将中标人的情况在本招标项目招标公告发布的同一媒介予以公示。</w:t>
      </w:r>
    </w:p>
    <w:p w14:paraId="57D25053">
      <w:pPr>
        <w:pStyle w:val="310"/>
        <w:spacing w:line="360" w:lineRule="auto"/>
        <w:rPr>
          <w:rFonts w:ascii="宋体" w:hAnsi="宋体" w:eastAsia="宋体" w:cs="Times New Roman"/>
        </w:rPr>
      </w:pPr>
      <w:r>
        <w:rPr>
          <w:rFonts w:hint="eastAsia" w:ascii="宋体" w:hAnsi="宋体" w:eastAsia="宋体" w:cs="Times New Roman"/>
        </w:rPr>
        <w:t>7.</w:t>
      </w:r>
      <w:r>
        <w:rPr>
          <w:rFonts w:ascii="宋体" w:hAnsi="宋体" w:eastAsia="宋体" w:cs="Times New Roman"/>
        </w:rPr>
        <w:t>4</w:t>
      </w:r>
      <w:r>
        <w:rPr>
          <w:rFonts w:hint="eastAsia" w:ascii="宋体" w:hAnsi="宋体" w:eastAsia="宋体" w:cs="Times New Roman"/>
        </w:rPr>
        <w:t xml:space="preserve"> 中标通知</w:t>
      </w:r>
    </w:p>
    <w:p w14:paraId="3A60526D">
      <w:pPr>
        <w:spacing w:line="360" w:lineRule="auto"/>
        <w:ind w:firstLine="472" w:firstLineChars="225"/>
        <w:jc w:val="both"/>
        <w:rPr>
          <w:rFonts w:ascii="宋体" w:hAnsi="宋体"/>
          <w:sz w:val="21"/>
          <w:szCs w:val="21"/>
        </w:rPr>
      </w:pPr>
      <w:bookmarkStart w:id="65" w:name="_Hlk11671703"/>
      <w:r>
        <w:rPr>
          <w:rFonts w:hint="eastAsia" w:ascii="宋体" w:hAnsi="宋体"/>
          <w:sz w:val="21"/>
          <w:szCs w:val="21"/>
        </w:rPr>
        <w:t>在本章第3.3款规定的投标有效期内，招标人以书面形式向中标人发出中标通知书。</w:t>
      </w:r>
      <w:bookmarkEnd w:id="65"/>
    </w:p>
    <w:p w14:paraId="1C46E402">
      <w:pPr>
        <w:pStyle w:val="310"/>
        <w:spacing w:line="360" w:lineRule="auto"/>
        <w:rPr>
          <w:rFonts w:ascii="宋体" w:hAnsi="宋体" w:eastAsia="宋体" w:cs="Times New Roman"/>
        </w:rPr>
      </w:pPr>
      <w:r>
        <w:rPr>
          <w:rFonts w:hint="eastAsia" w:ascii="宋体" w:hAnsi="宋体" w:eastAsia="宋体" w:cs="Times New Roman"/>
        </w:rPr>
        <w:t>7.</w:t>
      </w:r>
      <w:r>
        <w:rPr>
          <w:rFonts w:ascii="宋体" w:hAnsi="宋体" w:eastAsia="宋体" w:cs="Times New Roman"/>
        </w:rPr>
        <w:t>5</w:t>
      </w:r>
      <w:r>
        <w:rPr>
          <w:rFonts w:hint="eastAsia" w:ascii="宋体" w:hAnsi="宋体" w:eastAsia="宋体" w:cs="Times New Roman"/>
        </w:rPr>
        <w:t xml:space="preserve"> 履约担保</w:t>
      </w:r>
    </w:p>
    <w:p w14:paraId="66A5F458">
      <w:pPr>
        <w:spacing w:line="360" w:lineRule="auto"/>
        <w:ind w:firstLine="472" w:firstLineChars="225"/>
        <w:jc w:val="both"/>
        <w:rPr>
          <w:rFonts w:ascii="宋体" w:hAnsi="宋体"/>
          <w:sz w:val="21"/>
          <w:szCs w:val="21"/>
        </w:rPr>
      </w:pPr>
      <w:r>
        <w:rPr>
          <w:rFonts w:hint="eastAsia" w:ascii="宋体" w:hAnsi="宋体"/>
          <w:sz w:val="21"/>
          <w:szCs w:val="21"/>
        </w:rPr>
        <w:t>详见投标人须知前附表。</w:t>
      </w:r>
    </w:p>
    <w:p w14:paraId="079BC916">
      <w:pPr>
        <w:pStyle w:val="310"/>
        <w:spacing w:line="360" w:lineRule="auto"/>
        <w:rPr>
          <w:rFonts w:ascii="宋体" w:hAnsi="宋体" w:eastAsia="宋体" w:cs="Times New Roman"/>
        </w:rPr>
      </w:pPr>
      <w:r>
        <w:rPr>
          <w:rFonts w:ascii="宋体" w:hAnsi="宋体" w:eastAsia="宋体" w:cs="Times New Roman"/>
        </w:rPr>
        <w:t>7.6签订合同</w:t>
      </w:r>
    </w:p>
    <w:p w14:paraId="7E7E00CB">
      <w:pPr>
        <w:spacing w:line="360" w:lineRule="auto"/>
        <w:ind w:firstLine="472" w:firstLineChars="225"/>
        <w:jc w:val="both"/>
        <w:rPr>
          <w:rFonts w:ascii="宋体" w:hAnsi="宋体"/>
          <w:sz w:val="21"/>
          <w:szCs w:val="21"/>
        </w:rPr>
      </w:pPr>
      <w:r>
        <w:rPr>
          <w:rFonts w:ascii="宋体" w:hAnsi="宋体"/>
          <w:sz w:val="21"/>
          <w:szCs w:val="21"/>
        </w:rPr>
        <w:t>7.6.1 招标人和中标人应当自中标通知书发出之日起</w:t>
      </w:r>
      <w:r>
        <w:rPr>
          <w:rFonts w:hint="eastAsia" w:ascii="宋体" w:hAnsi="宋体"/>
          <w:sz w:val="21"/>
          <w:szCs w:val="21"/>
        </w:rPr>
        <w:t>30</w:t>
      </w:r>
      <w:r>
        <w:rPr>
          <w:rFonts w:ascii="宋体" w:hAnsi="宋体"/>
          <w:sz w:val="21"/>
          <w:szCs w:val="21"/>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42F1679A">
      <w:pPr>
        <w:spacing w:line="360" w:lineRule="auto"/>
        <w:ind w:firstLine="472" w:firstLineChars="225"/>
        <w:jc w:val="both"/>
        <w:rPr>
          <w:rFonts w:ascii="宋体" w:hAnsi="宋体"/>
          <w:sz w:val="21"/>
          <w:szCs w:val="21"/>
        </w:rPr>
      </w:pPr>
      <w:r>
        <w:rPr>
          <w:rFonts w:ascii="宋体" w:hAnsi="宋体"/>
          <w:sz w:val="21"/>
          <w:szCs w:val="21"/>
        </w:rPr>
        <w:t>7.6.2 发出中标通知书后，招标人无正当理由拒签合同的，招标人向中标人退还投标保证金；给中标人造成损失的，还应当赔偿损失。</w:t>
      </w:r>
    </w:p>
    <w:p w14:paraId="42206286">
      <w:pPr>
        <w:pStyle w:val="5"/>
        <w:spacing w:line="415" w:lineRule="auto"/>
        <w:jc w:val="center"/>
        <w:rPr>
          <w:rFonts w:ascii="宋体" w:hAnsi="宋体" w:eastAsia="宋体"/>
        </w:rPr>
      </w:pPr>
      <w:bookmarkStart w:id="66" w:name="_Toc3053"/>
      <w:bookmarkStart w:id="67" w:name="_Toc103248602"/>
      <w:r>
        <w:rPr>
          <w:rFonts w:hint="eastAsia" w:ascii="宋体" w:hAnsi="宋体" w:eastAsia="宋体"/>
        </w:rPr>
        <w:t>8.纪律和监督</w:t>
      </w:r>
      <w:bookmarkEnd w:id="66"/>
      <w:bookmarkEnd w:id="67"/>
    </w:p>
    <w:p w14:paraId="6F7097E0">
      <w:pPr>
        <w:pStyle w:val="310"/>
        <w:spacing w:line="360" w:lineRule="auto"/>
        <w:rPr>
          <w:rFonts w:ascii="宋体" w:hAnsi="宋体" w:eastAsia="宋体" w:cs="Times New Roman"/>
        </w:rPr>
      </w:pPr>
      <w:r>
        <w:rPr>
          <w:rFonts w:hint="eastAsia" w:ascii="宋体" w:hAnsi="宋体" w:eastAsia="宋体" w:cs="Times New Roman"/>
        </w:rPr>
        <w:t>8</w:t>
      </w:r>
      <w:r>
        <w:rPr>
          <w:rFonts w:ascii="宋体" w:hAnsi="宋体" w:eastAsia="宋体" w:cs="Times New Roman"/>
        </w:rPr>
        <w:t>.1 对招标人的纪律要求</w:t>
      </w:r>
    </w:p>
    <w:p w14:paraId="4D7F6D7A">
      <w:pPr>
        <w:spacing w:line="360" w:lineRule="auto"/>
        <w:ind w:firstLine="472" w:firstLineChars="225"/>
        <w:jc w:val="both"/>
        <w:rPr>
          <w:rFonts w:ascii="宋体" w:hAnsi="宋体"/>
          <w:sz w:val="21"/>
          <w:szCs w:val="21"/>
        </w:rPr>
      </w:pPr>
      <w:r>
        <w:rPr>
          <w:rFonts w:ascii="宋体" w:hAnsi="宋体"/>
          <w:sz w:val="21"/>
          <w:szCs w:val="21"/>
        </w:rPr>
        <w:t>招标人不得泄漏招标投标活动中应当保密的情况和资料，不得与投标人串通损害国家利益、社会公共利益或者他人合法权益。</w:t>
      </w:r>
    </w:p>
    <w:p w14:paraId="2C97B9F6">
      <w:pPr>
        <w:pStyle w:val="310"/>
        <w:spacing w:line="360" w:lineRule="auto"/>
        <w:rPr>
          <w:rFonts w:ascii="宋体" w:hAnsi="宋体" w:eastAsia="宋体" w:cs="Times New Roman"/>
        </w:rPr>
      </w:pPr>
      <w:r>
        <w:rPr>
          <w:rFonts w:hint="eastAsia" w:ascii="宋体" w:hAnsi="宋体" w:eastAsia="宋体" w:cs="Times New Roman"/>
        </w:rPr>
        <w:t>8</w:t>
      </w:r>
      <w:r>
        <w:rPr>
          <w:rFonts w:ascii="宋体" w:hAnsi="宋体" w:eastAsia="宋体" w:cs="Times New Roman"/>
        </w:rPr>
        <w:t>.2 对投标人的纪律要求</w:t>
      </w:r>
    </w:p>
    <w:p w14:paraId="53C5E7A2">
      <w:pPr>
        <w:spacing w:line="360" w:lineRule="auto"/>
        <w:ind w:firstLine="472" w:firstLineChars="225"/>
        <w:jc w:val="both"/>
        <w:rPr>
          <w:rFonts w:ascii="宋体" w:hAnsi="宋体"/>
          <w:sz w:val="21"/>
          <w:szCs w:val="21"/>
        </w:rPr>
      </w:pPr>
      <w:bookmarkStart w:id="68" w:name="_Hlk11662241"/>
      <w:r>
        <w:rPr>
          <w:rFonts w:hint="eastAsia" w:ascii="宋体" w:hAnsi="宋体"/>
          <w:sz w:val="21"/>
          <w:szCs w:val="21"/>
        </w:rPr>
        <w:t>8.2.1投标人不得相互串通投标或者与招标人串通投标，不得向招标人或者评标委员会成员行贿谋取中标，不得以他人名义投标或者以其他方式弄虚作假骗取中标；投标人不得以任何方式干扰、影响评标工作。</w:t>
      </w:r>
    </w:p>
    <w:p w14:paraId="6A5426D0">
      <w:pPr>
        <w:spacing w:line="360" w:lineRule="auto"/>
        <w:ind w:firstLine="472" w:firstLineChars="225"/>
        <w:jc w:val="both"/>
        <w:rPr>
          <w:rFonts w:ascii="宋体" w:hAnsi="宋体"/>
          <w:sz w:val="21"/>
          <w:szCs w:val="21"/>
        </w:rPr>
      </w:pPr>
      <w:r>
        <w:rPr>
          <w:rFonts w:hint="eastAsia" w:ascii="宋体" w:hAnsi="宋体"/>
          <w:sz w:val="21"/>
          <w:szCs w:val="21"/>
        </w:rPr>
        <w:t>8.2.2根据《中华人民共和国刑法》第二百二十三条【串通投标罪】规定，投标人相互串通投标报价，损害招标人或者其他投标人利益，情节严重的，处三年以下有期徒刑或者拘役，并处或者单处罚金。投标人与招标人串通投标，损害国家、集体、公民的合法利益的，依照前款的规定处罚。</w:t>
      </w:r>
    </w:p>
    <w:p w14:paraId="3961E828">
      <w:pPr>
        <w:spacing w:line="360" w:lineRule="auto"/>
        <w:ind w:firstLine="472" w:firstLineChars="225"/>
        <w:jc w:val="both"/>
        <w:rPr>
          <w:rFonts w:ascii="宋体" w:hAnsi="宋体"/>
          <w:sz w:val="21"/>
          <w:szCs w:val="21"/>
        </w:rPr>
      </w:pPr>
      <w:r>
        <w:rPr>
          <w:rFonts w:hint="eastAsia" w:ascii="宋体" w:hAnsi="宋体"/>
          <w:sz w:val="21"/>
          <w:szCs w:val="21"/>
        </w:rPr>
        <w:t>投标人的行为涉及触犯【串通投标罪】相关规定的，将移送司法机关处理。</w:t>
      </w:r>
    </w:p>
    <w:bookmarkEnd w:id="68"/>
    <w:p w14:paraId="7C142443">
      <w:pPr>
        <w:pStyle w:val="310"/>
        <w:spacing w:line="360" w:lineRule="auto"/>
        <w:rPr>
          <w:rFonts w:ascii="宋体" w:hAnsi="宋体" w:eastAsia="宋体" w:cs="Times New Roman"/>
        </w:rPr>
      </w:pPr>
      <w:r>
        <w:rPr>
          <w:rFonts w:hint="eastAsia" w:ascii="宋体" w:hAnsi="宋体" w:eastAsia="宋体" w:cs="Times New Roman"/>
        </w:rPr>
        <w:t>8</w:t>
      </w:r>
      <w:r>
        <w:rPr>
          <w:rFonts w:ascii="宋体" w:hAnsi="宋体" w:eastAsia="宋体" w:cs="Times New Roman"/>
        </w:rPr>
        <w:t>.3 对评标委员会成员的纪律要求</w:t>
      </w:r>
    </w:p>
    <w:p w14:paraId="2BC02776">
      <w:pPr>
        <w:spacing w:line="360" w:lineRule="auto"/>
        <w:ind w:firstLine="472" w:firstLineChars="225"/>
        <w:jc w:val="both"/>
        <w:rPr>
          <w:rFonts w:ascii="宋体" w:hAnsi="宋体"/>
          <w:sz w:val="21"/>
          <w:szCs w:val="21"/>
        </w:rPr>
      </w:pPr>
      <w:r>
        <w:rPr>
          <w:rFonts w:hint="eastAsia" w:ascii="宋体" w:hAnsi="宋体"/>
          <w:sz w:val="21"/>
          <w:szCs w:val="21"/>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05B69CEF">
      <w:pPr>
        <w:pStyle w:val="310"/>
        <w:spacing w:line="360" w:lineRule="auto"/>
        <w:rPr>
          <w:rFonts w:ascii="宋体" w:hAnsi="宋体" w:eastAsia="宋体" w:cs="Times New Roman"/>
        </w:rPr>
      </w:pPr>
      <w:r>
        <w:rPr>
          <w:rFonts w:hint="eastAsia" w:ascii="宋体" w:hAnsi="宋体" w:eastAsia="宋体" w:cs="Times New Roman"/>
        </w:rPr>
        <w:t>8</w:t>
      </w:r>
      <w:r>
        <w:rPr>
          <w:rFonts w:ascii="宋体" w:hAnsi="宋体" w:eastAsia="宋体" w:cs="Times New Roman"/>
        </w:rPr>
        <w:t>.4 对与评标活动有关的工作人员的纪律要求</w:t>
      </w:r>
    </w:p>
    <w:p w14:paraId="49AF1FBE">
      <w:pPr>
        <w:spacing w:line="360" w:lineRule="auto"/>
        <w:ind w:firstLine="472" w:firstLineChars="225"/>
        <w:jc w:val="both"/>
        <w:rPr>
          <w:rFonts w:ascii="宋体" w:hAnsi="宋体"/>
          <w:sz w:val="21"/>
          <w:szCs w:val="21"/>
        </w:rPr>
      </w:pPr>
      <w:r>
        <w:rPr>
          <w:rFonts w:ascii="宋体" w:hAnsi="宋体"/>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E618839">
      <w:pPr>
        <w:pStyle w:val="310"/>
        <w:spacing w:line="360" w:lineRule="auto"/>
        <w:rPr>
          <w:rFonts w:ascii="宋体" w:hAnsi="宋体" w:eastAsia="宋体" w:cs="Times New Roman"/>
        </w:rPr>
      </w:pPr>
      <w:r>
        <w:rPr>
          <w:rFonts w:hint="eastAsia" w:ascii="宋体" w:hAnsi="宋体" w:eastAsia="宋体" w:cs="Times New Roman"/>
        </w:rPr>
        <w:t>8</w:t>
      </w:r>
      <w:r>
        <w:rPr>
          <w:rFonts w:ascii="宋体" w:hAnsi="宋体" w:eastAsia="宋体" w:cs="Times New Roman"/>
        </w:rPr>
        <w:t>.5</w:t>
      </w:r>
      <w:r>
        <w:rPr>
          <w:rFonts w:hint="eastAsia" w:ascii="宋体" w:hAnsi="宋体" w:eastAsia="宋体" w:cs="Times New Roman"/>
        </w:rPr>
        <w:t>异议</w:t>
      </w:r>
    </w:p>
    <w:p w14:paraId="5EB3E87E">
      <w:pPr>
        <w:spacing w:line="360" w:lineRule="auto"/>
        <w:ind w:firstLine="472" w:firstLineChars="225"/>
        <w:jc w:val="both"/>
        <w:rPr>
          <w:rFonts w:ascii="宋体" w:hAnsi="宋体"/>
          <w:sz w:val="21"/>
          <w:szCs w:val="21"/>
        </w:rPr>
      </w:pPr>
      <w:bookmarkStart w:id="69" w:name="_Hlk11662275"/>
      <w:r>
        <w:rPr>
          <w:rFonts w:hint="eastAsia" w:ascii="宋体" w:hAnsi="宋体"/>
          <w:sz w:val="21"/>
          <w:szCs w:val="21"/>
        </w:rPr>
        <w:t>8.5.1潜在投标人或者其他利害关系人对招标文件有异议的，应当在投标截止时间10日前以书面形式向招标人或招标代理公司提出。招标人在收到异议之日起3日内作出书面答复；作出答复前，暂停招标投标活动。</w:t>
      </w:r>
    </w:p>
    <w:p w14:paraId="36EB184B">
      <w:pPr>
        <w:spacing w:line="360" w:lineRule="auto"/>
        <w:ind w:firstLine="472" w:firstLineChars="225"/>
        <w:jc w:val="both"/>
        <w:rPr>
          <w:rFonts w:ascii="宋体" w:hAnsi="宋体"/>
          <w:sz w:val="21"/>
          <w:szCs w:val="21"/>
        </w:rPr>
      </w:pPr>
      <w:r>
        <w:rPr>
          <w:rFonts w:hint="eastAsia" w:ascii="宋体" w:hAnsi="宋体"/>
          <w:sz w:val="21"/>
          <w:szCs w:val="21"/>
        </w:rPr>
        <w:t>8.5.2投标人认为开标不符合有关规定的，应当在开标现场提出异议。招标人应当场对异议给予书面答复或者处理。异议和答复应记入开标记录或者制作专门记录以存档备查。</w:t>
      </w:r>
    </w:p>
    <w:p w14:paraId="740FCC03">
      <w:pPr>
        <w:spacing w:line="360" w:lineRule="auto"/>
        <w:ind w:firstLine="472" w:firstLineChars="225"/>
        <w:jc w:val="both"/>
        <w:rPr>
          <w:rFonts w:ascii="宋体" w:hAnsi="宋体"/>
          <w:sz w:val="21"/>
          <w:szCs w:val="21"/>
        </w:rPr>
      </w:pPr>
      <w:r>
        <w:rPr>
          <w:rFonts w:hint="eastAsia" w:ascii="宋体" w:hAnsi="宋体"/>
          <w:sz w:val="21"/>
          <w:szCs w:val="21"/>
        </w:rPr>
        <w:t>8.5.3投标人及其他利害关系人对评标结果有异议的，应当在中标候选人公示期内以书面形式向招标人或招标代理公司提出。招标人将在收到异议之日起3日内作出书面答复；作出答复前，暂停招标投标活动。</w:t>
      </w:r>
    </w:p>
    <w:bookmarkEnd w:id="69"/>
    <w:p w14:paraId="1D1275F8">
      <w:pPr>
        <w:pStyle w:val="310"/>
        <w:spacing w:line="360" w:lineRule="auto"/>
        <w:rPr>
          <w:rFonts w:ascii="宋体" w:hAnsi="宋体" w:eastAsia="宋体" w:cs="Times New Roman"/>
        </w:rPr>
      </w:pPr>
      <w:r>
        <w:rPr>
          <w:rFonts w:hint="eastAsia" w:ascii="宋体" w:hAnsi="宋体" w:eastAsia="宋体" w:cs="Times New Roman"/>
        </w:rPr>
        <w:t>8</w:t>
      </w:r>
      <w:r>
        <w:rPr>
          <w:rFonts w:ascii="宋体" w:hAnsi="宋体" w:eastAsia="宋体" w:cs="Times New Roman"/>
        </w:rPr>
        <w:t>.</w:t>
      </w:r>
      <w:r>
        <w:rPr>
          <w:rFonts w:hint="eastAsia" w:ascii="宋体" w:hAnsi="宋体" w:eastAsia="宋体" w:cs="Times New Roman"/>
        </w:rPr>
        <w:t>6投诉</w:t>
      </w:r>
    </w:p>
    <w:p w14:paraId="68446DB4">
      <w:pPr>
        <w:spacing w:line="360" w:lineRule="auto"/>
        <w:ind w:firstLine="472" w:firstLineChars="225"/>
        <w:jc w:val="both"/>
        <w:rPr>
          <w:rFonts w:ascii="宋体" w:hAnsi="宋体"/>
          <w:sz w:val="21"/>
          <w:szCs w:val="21"/>
        </w:rPr>
      </w:pPr>
      <w:bookmarkStart w:id="70" w:name="_Hlk11662293"/>
      <w:r>
        <w:rPr>
          <w:rFonts w:hint="eastAsia" w:ascii="宋体" w:hAnsi="宋体"/>
          <w:sz w:val="21"/>
          <w:szCs w:val="21"/>
        </w:rPr>
        <w:t>8.6.1投标人和其他利害关系人认为招标投标活动不符合法律、法规和规章规定的，有权依法向有关行政监督部门投诉。其他利害关系人是指投标人以外的，与招标项目或者招标活动有直接和间接利益关系的法人、其他组织和个人。</w:t>
      </w:r>
    </w:p>
    <w:p w14:paraId="24317E97">
      <w:pPr>
        <w:spacing w:line="360" w:lineRule="auto"/>
        <w:ind w:firstLine="472" w:firstLineChars="225"/>
        <w:jc w:val="both"/>
        <w:rPr>
          <w:rFonts w:ascii="宋体" w:hAnsi="宋体"/>
          <w:sz w:val="21"/>
          <w:szCs w:val="21"/>
        </w:rPr>
      </w:pPr>
      <w:r>
        <w:rPr>
          <w:rFonts w:hint="eastAsia" w:ascii="宋体" w:hAnsi="宋体"/>
          <w:sz w:val="21"/>
          <w:szCs w:val="21"/>
        </w:rPr>
        <w:t>8.6.2投诉人应当在知道或者应当知道其权益受到侵害之日起10日内提出书面投诉。投诉书应当包括：投诉人的名称、地址及有效联系方式；被投诉人的名称、地址及有效联系方式；投诉事项的基本事实；相关请求及主张；有效线索和相关证明材料。</w:t>
      </w:r>
    </w:p>
    <w:p w14:paraId="19D2256C">
      <w:pPr>
        <w:spacing w:line="360" w:lineRule="auto"/>
        <w:ind w:firstLine="472" w:firstLineChars="225"/>
        <w:jc w:val="both"/>
        <w:rPr>
          <w:rFonts w:ascii="宋体" w:hAnsi="宋体"/>
          <w:sz w:val="21"/>
          <w:szCs w:val="21"/>
        </w:rPr>
      </w:pPr>
      <w:r>
        <w:rPr>
          <w:rFonts w:hint="eastAsia" w:ascii="宋体" w:hAnsi="宋体"/>
          <w:sz w:val="21"/>
          <w:szCs w:val="21"/>
        </w:rPr>
        <w:t>投诉人是法人的，投诉书必须由其法定代表人或者授权代表签字并盖章；其他组织或者个人投诉的，投诉书必须由其主要负责人或者投诉人本人签字，并附有效身份证明复印件。</w:t>
      </w:r>
    </w:p>
    <w:p w14:paraId="2DF26D69">
      <w:pPr>
        <w:spacing w:line="360" w:lineRule="auto"/>
        <w:ind w:firstLine="472" w:firstLineChars="225"/>
        <w:jc w:val="both"/>
        <w:rPr>
          <w:rFonts w:ascii="宋体" w:hAnsi="宋体"/>
          <w:sz w:val="21"/>
          <w:szCs w:val="21"/>
        </w:rPr>
      </w:pPr>
      <w:r>
        <w:rPr>
          <w:rFonts w:hint="eastAsia" w:ascii="宋体" w:hAnsi="宋体"/>
          <w:sz w:val="21"/>
          <w:szCs w:val="21"/>
        </w:rPr>
        <w:t>8.6.3有下列情形之一的投诉不予受理：投诉人不是所投诉招标投标活动的参与者，或者与投诉项目无任何利害关系；投诉事项不具体，且未提供有效线索，难以查证的；投诉书未署具投诉人真实姓名、签字和有效联系方式的；以法人名义投诉的，投诉书未经法定代表人签字并加盖公章的；超过投诉时效的；已经作出处理决定，并且投诉人没有提出新的证据；投诉事项已进入行政复议或者行政诉讼程序的。</w:t>
      </w:r>
    </w:p>
    <w:p w14:paraId="485C326E">
      <w:pPr>
        <w:spacing w:line="360" w:lineRule="auto"/>
        <w:ind w:firstLine="472" w:firstLineChars="225"/>
        <w:jc w:val="both"/>
        <w:rPr>
          <w:rFonts w:ascii="宋体" w:hAnsi="宋体"/>
          <w:sz w:val="21"/>
          <w:szCs w:val="21"/>
        </w:rPr>
      </w:pPr>
      <w:r>
        <w:rPr>
          <w:rFonts w:hint="eastAsia" w:ascii="宋体" w:hAnsi="宋体"/>
          <w:sz w:val="21"/>
          <w:szCs w:val="21"/>
        </w:rPr>
        <w:t>8.6.4投标人以他人名义投标或者以其他方式弄虚作假骗取中标的，中标无效；未中标的投标人有此情形，按照国家法律法规也给予相应的处罚。</w:t>
      </w:r>
    </w:p>
    <w:p w14:paraId="14078546">
      <w:pPr>
        <w:spacing w:line="360" w:lineRule="auto"/>
        <w:ind w:firstLine="472" w:firstLineChars="225"/>
        <w:jc w:val="both"/>
        <w:rPr>
          <w:rFonts w:ascii="宋体" w:hAnsi="宋体"/>
          <w:sz w:val="21"/>
          <w:szCs w:val="21"/>
        </w:rPr>
      </w:pPr>
      <w:r>
        <w:rPr>
          <w:rFonts w:hint="eastAsia" w:ascii="宋体" w:hAnsi="宋体"/>
          <w:sz w:val="21"/>
          <w:szCs w:val="21"/>
        </w:rPr>
        <w:t>8.6.5未尽事宜，按国家有关法律法规和《云南省招标投标活动投诉处理办法》的规定执行。</w:t>
      </w:r>
    </w:p>
    <w:p w14:paraId="7F9083B3">
      <w:pPr>
        <w:spacing w:line="360" w:lineRule="auto"/>
        <w:ind w:firstLine="474" w:firstLineChars="225"/>
        <w:jc w:val="both"/>
        <w:rPr>
          <w:rFonts w:ascii="宋体" w:hAnsi="宋体" w:eastAsia="宋体"/>
          <w:b/>
          <w:bCs/>
          <w:sz w:val="21"/>
          <w:szCs w:val="21"/>
        </w:rPr>
      </w:pPr>
      <w:r>
        <w:rPr>
          <w:rFonts w:ascii="宋体" w:hAnsi="宋体" w:eastAsia="宋体"/>
          <w:b/>
          <w:bCs/>
          <w:sz w:val="21"/>
          <w:szCs w:val="21"/>
        </w:rPr>
        <w:t>8.7</w:t>
      </w:r>
      <w:r>
        <w:rPr>
          <w:rFonts w:hint="eastAsia" w:ascii="宋体" w:hAnsi="宋体" w:eastAsia="宋体"/>
          <w:b/>
          <w:bCs/>
          <w:sz w:val="21"/>
          <w:szCs w:val="21"/>
        </w:rPr>
        <w:t>红云红河集团关于对存在行贿行为供应商实施禁入措施的告知书</w:t>
      </w:r>
    </w:p>
    <w:p w14:paraId="41D325D7">
      <w:pPr>
        <w:spacing w:line="360" w:lineRule="auto"/>
        <w:ind w:firstLine="472" w:firstLineChars="225"/>
        <w:jc w:val="both"/>
        <w:rPr>
          <w:rFonts w:ascii="宋体" w:hAnsi="宋体"/>
          <w:sz w:val="21"/>
          <w:szCs w:val="21"/>
        </w:rPr>
      </w:pPr>
      <w:r>
        <w:rPr>
          <w:rFonts w:hint="eastAsia" w:ascii="宋体" w:hAnsi="宋体"/>
          <w:sz w:val="21"/>
          <w:szCs w:val="21"/>
        </w:rPr>
        <w:t>供应商行贿行为严重破坏市场公平竞争秩序、妨碍市场配置资源，其腐蚀性、危害性极大。为进一步防范采购领域廉洁风险，加大对供应商行贿行为的惩戒力度，依据国家有关法律法规，按照烟草行业、云南中烟及红云红河集团的相关要求，结合工作实际，红云红河集团对存在行贿行为供应商实施禁入措施，现告知如下：</w:t>
      </w:r>
    </w:p>
    <w:p w14:paraId="5C5F6EDD">
      <w:pPr>
        <w:spacing w:line="360" w:lineRule="auto"/>
        <w:ind w:firstLine="472" w:firstLineChars="225"/>
        <w:jc w:val="both"/>
        <w:rPr>
          <w:rFonts w:ascii="宋体" w:hAnsi="宋体"/>
          <w:sz w:val="21"/>
          <w:szCs w:val="21"/>
        </w:rPr>
      </w:pPr>
      <w:r>
        <w:rPr>
          <w:rFonts w:hint="eastAsia" w:ascii="宋体" w:hAnsi="宋体"/>
          <w:sz w:val="21"/>
          <w:szCs w:val="21"/>
        </w:rPr>
        <w:t>一、供应商在参加云南中烟采购活动中，向云南中烟干部职工行贿的，将其列入“存在行贿行为供应商名单”，实施严格禁入措施，禁止参加新采购项目。根据生效的各级人民法院刑事判决书、刑事裁定书或者各级党政纪处分决定书认定的行贿数额：</w:t>
      </w:r>
    </w:p>
    <w:p w14:paraId="542CF23F">
      <w:pPr>
        <w:spacing w:line="360" w:lineRule="auto"/>
        <w:ind w:firstLine="472" w:firstLineChars="225"/>
        <w:jc w:val="both"/>
        <w:rPr>
          <w:rFonts w:ascii="宋体" w:hAnsi="宋体"/>
          <w:sz w:val="21"/>
          <w:szCs w:val="21"/>
        </w:rPr>
      </w:pPr>
      <w:r>
        <w:rPr>
          <w:rFonts w:hint="eastAsia" w:ascii="宋体" w:hAnsi="宋体"/>
          <w:sz w:val="21"/>
          <w:szCs w:val="21"/>
        </w:rPr>
        <w:t>（一）行贿数额不满100万元的，禁入期限1年。</w:t>
      </w:r>
    </w:p>
    <w:p w14:paraId="5B562C2F">
      <w:pPr>
        <w:spacing w:line="360" w:lineRule="auto"/>
        <w:ind w:firstLine="472" w:firstLineChars="225"/>
        <w:jc w:val="both"/>
        <w:rPr>
          <w:rFonts w:ascii="宋体" w:hAnsi="宋体"/>
          <w:sz w:val="21"/>
          <w:szCs w:val="21"/>
        </w:rPr>
      </w:pPr>
      <w:r>
        <w:rPr>
          <w:rFonts w:hint="eastAsia" w:ascii="宋体" w:hAnsi="宋体"/>
          <w:sz w:val="21"/>
          <w:szCs w:val="21"/>
        </w:rPr>
        <w:t>（二）行贿数额在100万元（含）以上不满500万元的，禁入期限2年。</w:t>
      </w:r>
    </w:p>
    <w:p w14:paraId="13E9E3FD">
      <w:pPr>
        <w:spacing w:line="360" w:lineRule="auto"/>
        <w:ind w:firstLine="472" w:firstLineChars="225"/>
        <w:jc w:val="both"/>
        <w:rPr>
          <w:rFonts w:ascii="宋体" w:hAnsi="宋体"/>
          <w:sz w:val="21"/>
          <w:szCs w:val="21"/>
        </w:rPr>
      </w:pPr>
      <w:r>
        <w:rPr>
          <w:rFonts w:hint="eastAsia" w:ascii="宋体" w:hAnsi="宋体"/>
          <w:sz w:val="21"/>
          <w:szCs w:val="21"/>
        </w:rPr>
        <w:t>（三）行贿数额在500万元（含）以上的，禁入期限3年。</w:t>
      </w:r>
    </w:p>
    <w:p w14:paraId="0EDC1D61">
      <w:pPr>
        <w:spacing w:line="360" w:lineRule="auto"/>
        <w:ind w:firstLine="472" w:firstLineChars="225"/>
        <w:jc w:val="both"/>
        <w:rPr>
          <w:rFonts w:ascii="宋体" w:hAnsi="宋体"/>
          <w:sz w:val="21"/>
          <w:szCs w:val="21"/>
        </w:rPr>
      </w:pPr>
      <w:r>
        <w:rPr>
          <w:rFonts w:hint="eastAsia" w:ascii="宋体" w:hAnsi="宋体"/>
          <w:sz w:val="21"/>
          <w:szCs w:val="21"/>
        </w:rPr>
        <w:t>（四）行贿行为情节特别严重的，永久禁入。</w:t>
      </w:r>
    </w:p>
    <w:p w14:paraId="2D5FDC1E">
      <w:pPr>
        <w:spacing w:line="360" w:lineRule="auto"/>
        <w:ind w:firstLine="472" w:firstLineChars="225"/>
        <w:jc w:val="both"/>
        <w:rPr>
          <w:rFonts w:ascii="宋体" w:hAnsi="宋体"/>
          <w:sz w:val="21"/>
          <w:szCs w:val="21"/>
        </w:rPr>
      </w:pPr>
      <w:r>
        <w:rPr>
          <w:rFonts w:hint="eastAsia" w:ascii="宋体" w:hAnsi="宋体"/>
          <w:sz w:val="21"/>
          <w:szCs w:val="21"/>
        </w:rPr>
        <w:t>二、存在行贿行为供应商在禁入期满后再次向云南中烟干部职工行贿的，从重处理，直至永久禁入。</w:t>
      </w:r>
    </w:p>
    <w:p w14:paraId="518C487C">
      <w:pPr>
        <w:spacing w:line="360" w:lineRule="auto"/>
        <w:ind w:firstLine="472" w:firstLineChars="225"/>
        <w:jc w:val="both"/>
        <w:rPr>
          <w:rFonts w:ascii="宋体" w:hAnsi="宋体"/>
          <w:sz w:val="21"/>
          <w:szCs w:val="21"/>
        </w:rPr>
      </w:pPr>
      <w:r>
        <w:rPr>
          <w:rFonts w:hint="eastAsia" w:ascii="宋体" w:hAnsi="宋体"/>
          <w:sz w:val="21"/>
          <w:szCs w:val="21"/>
        </w:rPr>
        <w:t>三、对存在行贿行为供应商名单的具体禁入的方式如下：</w:t>
      </w:r>
    </w:p>
    <w:p w14:paraId="0DC591DE">
      <w:pPr>
        <w:spacing w:line="360" w:lineRule="auto"/>
        <w:ind w:firstLine="472" w:firstLineChars="225"/>
        <w:jc w:val="both"/>
        <w:rPr>
          <w:rFonts w:ascii="宋体" w:hAnsi="宋体"/>
          <w:sz w:val="21"/>
          <w:szCs w:val="21"/>
        </w:rPr>
      </w:pPr>
      <w:r>
        <w:rPr>
          <w:rFonts w:hint="eastAsia" w:ascii="宋体" w:hAnsi="宋体"/>
          <w:sz w:val="21"/>
          <w:szCs w:val="21"/>
        </w:rPr>
        <w:t>（一）采购计划编制审核阶段</w:t>
      </w:r>
    </w:p>
    <w:p w14:paraId="6F79BCCD">
      <w:pPr>
        <w:spacing w:line="360" w:lineRule="auto"/>
        <w:ind w:firstLine="472" w:firstLineChars="225"/>
        <w:jc w:val="both"/>
        <w:rPr>
          <w:rFonts w:ascii="宋体" w:hAnsi="宋体"/>
          <w:sz w:val="21"/>
          <w:szCs w:val="21"/>
        </w:rPr>
      </w:pPr>
      <w:r>
        <w:rPr>
          <w:rFonts w:hint="eastAsia" w:ascii="宋体" w:hAnsi="宋体"/>
          <w:sz w:val="21"/>
          <w:szCs w:val="21"/>
        </w:rPr>
        <w:t>供应商及其法定代表人被列入“存在行贿行为供应商名单”的，不得在采购计划中将其列为单一来源、直接采购对象。</w:t>
      </w:r>
    </w:p>
    <w:p w14:paraId="2C4CE56E">
      <w:pPr>
        <w:spacing w:line="360" w:lineRule="auto"/>
        <w:ind w:firstLine="472" w:firstLineChars="225"/>
        <w:jc w:val="both"/>
        <w:rPr>
          <w:rFonts w:ascii="宋体" w:hAnsi="宋体"/>
          <w:sz w:val="21"/>
          <w:szCs w:val="21"/>
        </w:rPr>
      </w:pPr>
      <w:r>
        <w:rPr>
          <w:rFonts w:hint="eastAsia" w:ascii="宋体" w:hAnsi="宋体"/>
          <w:sz w:val="21"/>
          <w:szCs w:val="21"/>
        </w:rPr>
        <w:t>（二）邀请潜在供应商阶段</w:t>
      </w:r>
    </w:p>
    <w:p w14:paraId="1D0A889A">
      <w:pPr>
        <w:spacing w:line="360" w:lineRule="auto"/>
        <w:ind w:firstLine="472" w:firstLineChars="225"/>
        <w:jc w:val="both"/>
        <w:rPr>
          <w:rFonts w:ascii="宋体" w:hAnsi="宋体"/>
          <w:sz w:val="21"/>
          <w:szCs w:val="21"/>
        </w:rPr>
      </w:pPr>
      <w:r>
        <w:rPr>
          <w:rFonts w:hint="eastAsia" w:ascii="宋体" w:hAnsi="宋体"/>
          <w:sz w:val="21"/>
          <w:szCs w:val="21"/>
        </w:rPr>
        <w:t>供应商及其法定代表人被列入“存在行贿行为供应商名单”的，不得向其发出任何形式的采购邀请。</w:t>
      </w:r>
    </w:p>
    <w:p w14:paraId="3827350B">
      <w:pPr>
        <w:spacing w:line="360" w:lineRule="auto"/>
        <w:ind w:firstLine="472" w:firstLineChars="225"/>
        <w:jc w:val="both"/>
        <w:rPr>
          <w:rFonts w:ascii="宋体" w:hAnsi="宋体"/>
          <w:sz w:val="21"/>
          <w:szCs w:val="21"/>
        </w:rPr>
      </w:pPr>
      <w:r>
        <w:rPr>
          <w:rFonts w:hint="eastAsia" w:ascii="宋体" w:hAnsi="宋体"/>
          <w:sz w:val="21"/>
          <w:szCs w:val="21"/>
        </w:rPr>
        <w:t>（三）采购项目实施阶段</w:t>
      </w:r>
    </w:p>
    <w:p w14:paraId="532AAA35">
      <w:pPr>
        <w:spacing w:line="360" w:lineRule="auto"/>
        <w:ind w:firstLine="472" w:firstLineChars="225"/>
        <w:jc w:val="both"/>
        <w:rPr>
          <w:rFonts w:ascii="宋体" w:hAnsi="宋体"/>
          <w:sz w:val="21"/>
          <w:szCs w:val="21"/>
        </w:rPr>
      </w:pPr>
      <w:r>
        <w:rPr>
          <w:rFonts w:hint="eastAsia" w:ascii="宋体" w:hAnsi="宋体"/>
          <w:sz w:val="21"/>
          <w:szCs w:val="21"/>
        </w:rPr>
        <w:t>供应商已收到采购邀请，或者已在公开招标中报名后，但在谈判或者开评标前，供应商及其法定代表人被列入“存在行贿行为供应商名单”的，不得通过资格审查。</w:t>
      </w:r>
    </w:p>
    <w:p w14:paraId="26D08A79">
      <w:pPr>
        <w:spacing w:line="360" w:lineRule="auto"/>
        <w:ind w:firstLine="472" w:firstLineChars="225"/>
        <w:jc w:val="both"/>
        <w:rPr>
          <w:rFonts w:ascii="宋体" w:hAnsi="宋体"/>
          <w:sz w:val="21"/>
          <w:szCs w:val="21"/>
        </w:rPr>
      </w:pPr>
      <w:r>
        <w:rPr>
          <w:rFonts w:hint="eastAsia" w:ascii="宋体" w:hAnsi="宋体"/>
          <w:sz w:val="21"/>
          <w:szCs w:val="21"/>
        </w:rPr>
        <w:t>（四）采购结果确认阶段</w:t>
      </w:r>
    </w:p>
    <w:p w14:paraId="295D07EB">
      <w:pPr>
        <w:spacing w:line="360" w:lineRule="auto"/>
        <w:ind w:firstLine="472" w:firstLineChars="225"/>
        <w:jc w:val="both"/>
        <w:rPr>
          <w:rFonts w:ascii="宋体" w:hAnsi="宋体"/>
          <w:sz w:val="21"/>
          <w:szCs w:val="21"/>
        </w:rPr>
      </w:pPr>
      <w:r>
        <w:rPr>
          <w:rFonts w:hint="eastAsia" w:ascii="宋体" w:hAnsi="宋体"/>
          <w:sz w:val="21"/>
          <w:szCs w:val="21"/>
        </w:rPr>
        <w:t>投标供应商被确定为确定中标/中选人并发出《中标/中选通知书》前，供应商及其法定代表人被列入“存在行贿行为供应商名单”，不得将其确定为中标/中选人。</w:t>
      </w:r>
    </w:p>
    <w:p w14:paraId="7105928B">
      <w:pPr>
        <w:spacing w:line="360" w:lineRule="auto"/>
        <w:ind w:firstLine="472" w:firstLineChars="225"/>
        <w:jc w:val="both"/>
        <w:rPr>
          <w:rFonts w:ascii="宋体" w:hAnsi="宋体"/>
          <w:sz w:val="21"/>
          <w:szCs w:val="21"/>
        </w:rPr>
      </w:pPr>
      <w:r>
        <w:rPr>
          <w:rFonts w:hint="eastAsia" w:ascii="宋体" w:hAnsi="宋体"/>
          <w:sz w:val="21"/>
          <w:szCs w:val="21"/>
        </w:rPr>
        <w:t>（五）合同签订阶段</w:t>
      </w:r>
    </w:p>
    <w:p w14:paraId="7DD3C5F8">
      <w:pPr>
        <w:spacing w:line="360" w:lineRule="auto"/>
        <w:ind w:firstLine="472" w:firstLineChars="225"/>
        <w:jc w:val="both"/>
        <w:rPr>
          <w:rFonts w:ascii="宋体" w:hAnsi="宋体"/>
          <w:sz w:val="21"/>
          <w:szCs w:val="21"/>
        </w:rPr>
      </w:pPr>
      <w:r>
        <w:rPr>
          <w:rFonts w:hint="eastAsia" w:ascii="宋体" w:hAnsi="宋体"/>
          <w:sz w:val="21"/>
          <w:szCs w:val="21"/>
        </w:rPr>
        <w:t>与中标/中选人合同签订前，供应商及其法定代表人被列入“存在行贿行为供应商名单”，取消中选资格，不得签订合同。</w:t>
      </w:r>
    </w:p>
    <w:p w14:paraId="405EB574">
      <w:pPr>
        <w:spacing w:line="360" w:lineRule="auto"/>
        <w:ind w:firstLine="472" w:firstLineChars="225"/>
        <w:jc w:val="both"/>
        <w:rPr>
          <w:rFonts w:ascii="宋体" w:hAnsi="宋体"/>
          <w:sz w:val="21"/>
          <w:szCs w:val="21"/>
        </w:rPr>
      </w:pPr>
      <w:r>
        <w:rPr>
          <w:rFonts w:hint="eastAsia" w:ascii="宋体" w:hAnsi="宋体"/>
          <w:sz w:val="21"/>
          <w:szCs w:val="21"/>
        </w:rPr>
        <w:t>（六）合同履行阶段</w:t>
      </w:r>
    </w:p>
    <w:p w14:paraId="0C63EE72">
      <w:pPr>
        <w:spacing w:line="360" w:lineRule="auto"/>
        <w:ind w:firstLine="472" w:firstLineChars="225"/>
        <w:jc w:val="both"/>
        <w:rPr>
          <w:rFonts w:ascii="宋体" w:hAnsi="宋体"/>
          <w:sz w:val="21"/>
          <w:szCs w:val="21"/>
        </w:rPr>
      </w:pPr>
      <w:r>
        <w:rPr>
          <w:rFonts w:hint="eastAsia" w:ascii="宋体" w:hAnsi="宋体"/>
          <w:sz w:val="21"/>
          <w:szCs w:val="21"/>
        </w:rPr>
        <w:t>1.合同履行期间被列入“行业名单”或“云南中烟名单”，严格执行禁入措施的，合同履行单位（部门）将依照合同约定和项目实际情况制定处理方案，方案应当明确自禁入措施开始之日起，一般应根据项目替代工作的复杂难易情况，最迟在6个月且不超过合同剩余有效期内正式终止或解除合同。</w:t>
      </w:r>
    </w:p>
    <w:p w14:paraId="70BF53F1">
      <w:pPr>
        <w:spacing w:line="360" w:lineRule="auto"/>
        <w:ind w:firstLine="472" w:firstLineChars="225"/>
        <w:jc w:val="both"/>
        <w:rPr>
          <w:rFonts w:ascii="宋体" w:hAnsi="宋体"/>
          <w:sz w:val="21"/>
          <w:szCs w:val="21"/>
        </w:rPr>
      </w:pPr>
      <w:r>
        <w:rPr>
          <w:rFonts w:hint="eastAsia" w:ascii="宋体" w:hAnsi="宋体"/>
          <w:sz w:val="21"/>
          <w:szCs w:val="21"/>
        </w:rPr>
        <w:t>上述期间内，合同履行单位（部门）在警示约谈的基础上，根据合同约定和项目实际情况，选取降低考核评价分数、降低供货份额或金额、缩短服务期限、扣减履约保证金或合同金额、将项目涉及的核心技术资料（香精香料配方、软件源代码等）交给其他供应商使用、终止或解除合同（质保期除外）等处理措施，同时明确完成相关措施的最后期限，经过合同履行单位决策流程后，对其提供的工程、货物、服务进行替代。</w:t>
      </w:r>
    </w:p>
    <w:p w14:paraId="77043E28">
      <w:pPr>
        <w:spacing w:line="360" w:lineRule="auto"/>
        <w:ind w:firstLine="472" w:firstLineChars="225"/>
        <w:jc w:val="both"/>
        <w:rPr>
          <w:rFonts w:ascii="宋体" w:hAnsi="宋体"/>
          <w:sz w:val="21"/>
          <w:szCs w:val="21"/>
        </w:rPr>
      </w:pPr>
      <w:r>
        <w:rPr>
          <w:rFonts w:hint="eastAsia" w:ascii="宋体" w:hAnsi="宋体"/>
          <w:sz w:val="21"/>
          <w:szCs w:val="21"/>
        </w:rPr>
        <w:t>超过6个月仍无法正式终止或解除合同的，应当申请暂缓执行禁入措施。</w:t>
      </w:r>
    </w:p>
    <w:p w14:paraId="78D17D3D">
      <w:pPr>
        <w:spacing w:line="360" w:lineRule="auto"/>
        <w:ind w:firstLine="472" w:firstLineChars="225"/>
        <w:jc w:val="both"/>
        <w:rPr>
          <w:rFonts w:ascii="宋体" w:hAnsi="宋体"/>
          <w:sz w:val="21"/>
          <w:szCs w:val="21"/>
        </w:rPr>
      </w:pPr>
      <w:r>
        <w:rPr>
          <w:rFonts w:hint="eastAsia" w:ascii="宋体" w:hAnsi="宋体"/>
          <w:sz w:val="21"/>
          <w:szCs w:val="21"/>
        </w:rPr>
        <w:t>2.被列入“行业转发名单”，严格资质审查的，由合同履行单位（部门）依照合同约定和项目实际情况制定处理方案。</w:t>
      </w:r>
    </w:p>
    <w:p w14:paraId="17BE7EFB">
      <w:pPr>
        <w:spacing w:line="360" w:lineRule="auto"/>
        <w:ind w:firstLine="472" w:firstLineChars="225"/>
        <w:jc w:val="both"/>
        <w:rPr>
          <w:rFonts w:ascii="宋体" w:hAnsi="宋体"/>
          <w:sz w:val="21"/>
          <w:szCs w:val="21"/>
        </w:rPr>
      </w:pPr>
      <w:r>
        <w:rPr>
          <w:rFonts w:hint="eastAsia" w:ascii="宋体" w:hAnsi="宋体"/>
          <w:sz w:val="21"/>
          <w:szCs w:val="21"/>
        </w:rPr>
        <w:t>方案应当明确在警示约谈的基础上，根据合同约定和项目实际情况，选取降低考核评价分数、降低供货份额或金额、缩短服务期限、扣减履约保证金或合同金额等处理措施，同时明确完成相关措施的最后期限，经过合同履行单位决策流程后，对其提供的工程、货物、服务进行替代。</w:t>
      </w:r>
    </w:p>
    <w:p w14:paraId="021A135E">
      <w:pPr>
        <w:spacing w:line="360" w:lineRule="auto"/>
        <w:ind w:firstLine="472" w:firstLineChars="225"/>
        <w:jc w:val="both"/>
        <w:rPr>
          <w:rFonts w:ascii="宋体" w:hAnsi="宋体"/>
          <w:sz w:val="21"/>
          <w:szCs w:val="21"/>
        </w:rPr>
      </w:pPr>
      <w:r>
        <w:rPr>
          <w:rFonts w:hint="eastAsia" w:ascii="宋体" w:hAnsi="宋体"/>
          <w:sz w:val="21"/>
          <w:szCs w:val="21"/>
        </w:rPr>
        <w:t>（七）向行业外行贿的</w:t>
      </w:r>
    </w:p>
    <w:p w14:paraId="3D65A8C2">
      <w:pPr>
        <w:spacing w:line="360" w:lineRule="auto"/>
        <w:ind w:firstLine="472" w:firstLineChars="225"/>
        <w:jc w:val="both"/>
        <w:rPr>
          <w:rFonts w:ascii="宋体" w:hAnsi="宋体"/>
          <w:sz w:val="21"/>
          <w:szCs w:val="21"/>
        </w:rPr>
      </w:pPr>
      <w:r>
        <w:rPr>
          <w:rFonts w:hint="eastAsia" w:ascii="宋体" w:hAnsi="宋体"/>
          <w:sz w:val="21"/>
          <w:szCs w:val="21"/>
        </w:rPr>
        <w:t>采购人开展新采购项目时，若通过裁判文书网查询供应商存在行贿行为，将对其进行严格资格审查，防止不法供应商参与行业采购。对确实存在向行业外人员行贿行为的在供供应商，要补充签订廉洁合同，进行警示约谈，明确廉洁要求。</w:t>
      </w:r>
    </w:p>
    <w:p w14:paraId="0007E962">
      <w:pPr>
        <w:spacing w:line="360" w:lineRule="auto"/>
        <w:ind w:firstLine="472" w:firstLineChars="225"/>
        <w:jc w:val="both"/>
        <w:rPr>
          <w:rFonts w:ascii="宋体" w:hAnsi="宋体"/>
          <w:sz w:val="21"/>
          <w:szCs w:val="21"/>
        </w:rPr>
      </w:pPr>
      <w:r>
        <w:rPr>
          <w:rFonts w:hint="eastAsia" w:ascii="宋体" w:hAnsi="宋体"/>
          <w:sz w:val="21"/>
          <w:szCs w:val="21"/>
        </w:rPr>
        <w:t>四、被列入总公司、云南中烟发布的“存在行贿行为供应商名单”的供应商，应当对其实施禁入措施；被列入总公司转发的行业其它工商企业“存在行贿行为供应商名单”的供应商，应当对其严格资格审查，禁止参加云南中烟新采购项目。</w:t>
      </w:r>
    </w:p>
    <w:p w14:paraId="4A9102FB">
      <w:pPr>
        <w:spacing w:line="360" w:lineRule="auto"/>
        <w:ind w:firstLine="472" w:firstLineChars="225"/>
        <w:jc w:val="both"/>
        <w:rPr>
          <w:rFonts w:ascii="宋体" w:hAnsi="宋体"/>
          <w:sz w:val="21"/>
          <w:szCs w:val="21"/>
        </w:rPr>
      </w:pPr>
      <w:r>
        <w:rPr>
          <w:rFonts w:hint="eastAsia" w:ascii="宋体" w:hAnsi="宋体"/>
          <w:sz w:val="21"/>
          <w:szCs w:val="21"/>
        </w:rPr>
        <w:t>五、对存在行贿行为供应商的禁入措施和进行严格资格审查，适用于其法定代表人、主要负责人和行贿人。在禁入期限内，上述人员担任法定代表人、主要负责人或实际控制人的其他企业，均不得参加云南中烟新采购项目。</w:t>
      </w:r>
    </w:p>
    <w:p w14:paraId="382C41BC">
      <w:pPr>
        <w:spacing w:line="360" w:lineRule="auto"/>
        <w:ind w:firstLine="472" w:firstLineChars="225"/>
        <w:jc w:val="both"/>
        <w:rPr>
          <w:rFonts w:ascii="宋体" w:hAnsi="宋体"/>
          <w:sz w:val="21"/>
          <w:szCs w:val="21"/>
        </w:rPr>
      </w:pPr>
      <w:r>
        <w:rPr>
          <w:rFonts w:hint="eastAsia" w:ascii="宋体" w:hAnsi="宋体"/>
          <w:sz w:val="21"/>
          <w:szCs w:val="21"/>
        </w:rPr>
        <w:t>六、加强供应商背景调查，在采购活动中发现行贿供应商存在“换马甲”“换壳”行为的，要严格审查，采取相应措施。</w:t>
      </w:r>
    </w:p>
    <w:p w14:paraId="14E295A7">
      <w:pPr>
        <w:spacing w:line="360" w:lineRule="auto"/>
        <w:ind w:firstLine="472" w:firstLineChars="225"/>
        <w:jc w:val="both"/>
        <w:rPr>
          <w:rFonts w:ascii="宋体" w:hAnsi="宋体"/>
          <w:sz w:val="21"/>
          <w:szCs w:val="21"/>
        </w:rPr>
      </w:pPr>
      <w:r>
        <w:rPr>
          <w:rFonts w:hint="eastAsia" w:ascii="宋体" w:hAnsi="宋体"/>
          <w:sz w:val="21"/>
          <w:szCs w:val="21"/>
        </w:rPr>
        <w:t>七、存在行贿行为供应商禁入期限届满，在原公布单位将其从“存在行贿行为供应商名单”中移除后，可以参加云南中烟采购活动。</w:t>
      </w:r>
    </w:p>
    <w:p w14:paraId="5393DEAA">
      <w:pPr>
        <w:spacing w:line="360" w:lineRule="auto"/>
        <w:ind w:firstLine="472" w:firstLineChars="225"/>
        <w:jc w:val="both"/>
        <w:rPr>
          <w:rFonts w:ascii="宋体" w:hAnsi="宋体"/>
          <w:sz w:val="21"/>
          <w:szCs w:val="21"/>
        </w:rPr>
      </w:pPr>
      <w:r>
        <w:rPr>
          <w:rFonts w:hint="eastAsia" w:ascii="宋体" w:hAnsi="宋体"/>
          <w:sz w:val="21"/>
          <w:szCs w:val="21"/>
        </w:rPr>
        <w:t>八、供应商同意与红云红河集团共同在律师见证下，将采购项目涉及真实的核心技术资料（香精香料配方、软件源代码等）铅封交给第三方保存，如果在履约期间发现供应商或其法定代表人、主要负责人、行贿人向烟草干部职工行贿，红云红河集团则有权解除合同，并将存在行贿行为供应商的核心技术资料公开，交给其他供应商使用。在履约期间红云红河集团委托的第三方发生变更的，由红云红河集团采购工作领导小组办公室组织供应商、原受托第三方、新受托第三方共同见证下，将核心技术资料的完好铅封交由新受托的第三方保存。供应商承诺交付铅封的核心技术资料完全真实，在发生上述情形的情况下，若采购人将铅封的核心技术资料公开，交给其他供应商使用时，发现该核心技术资料部分或完全不真实，导致无法顺利使用的，采购人有权要求供应商补充提供技术资料。</w:t>
      </w:r>
    </w:p>
    <w:p w14:paraId="6AD20608">
      <w:pPr>
        <w:spacing w:line="360" w:lineRule="auto"/>
        <w:ind w:firstLine="472" w:firstLineChars="225"/>
        <w:jc w:val="both"/>
        <w:rPr>
          <w:rFonts w:ascii="宋体" w:hAnsi="宋体"/>
          <w:sz w:val="21"/>
          <w:szCs w:val="21"/>
        </w:rPr>
      </w:pPr>
      <w:r>
        <w:rPr>
          <w:rFonts w:hint="eastAsia" w:ascii="宋体" w:hAnsi="宋体"/>
          <w:sz w:val="21"/>
          <w:szCs w:val="21"/>
        </w:rPr>
        <w:t>九、依据本告知书对行贿供应商作出的处理措施不免除其应承担的其他法律责任。</w:t>
      </w:r>
    </w:p>
    <w:p w14:paraId="5A6B7B5E">
      <w:pPr>
        <w:spacing w:line="360" w:lineRule="auto"/>
        <w:ind w:firstLine="472" w:firstLineChars="225"/>
        <w:jc w:val="both"/>
        <w:rPr>
          <w:rFonts w:ascii="宋体" w:hAnsi="宋体"/>
          <w:sz w:val="21"/>
          <w:szCs w:val="21"/>
        </w:rPr>
      </w:pPr>
      <w:r>
        <w:rPr>
          <w:rFonts w:hint="eastAsia" w:ascii="宋体" w:hAnsi="宋体"/>
          <w:sz w:val="21"/>
          <w:szCs w:val="21"/>
        </w:rPr>
        <w:t>十、在相关案件查办时，供应商将自觉履行配合提供证据、作证的义务，如果发生拒不配合监委调查工作的情形，采购人有权对本公司采取警示约谈、降低考核评价分数、降低供货份额、缩短服务期限、终止或解除合同等多种处理措施。</w:t>
      </w:r>
    </w:p>
    <w:p w14:paraId="68689AA4">
      <w:pPr>
        <w:pStyle w:val="2"/>
        <w:spacing w:line="360" w:lineRule="auto"/>
        <w:ind w:left="400" w:firstLine="472" w:firstLineChars="225"/>
        <w:jc w:val="both"/>
        <w:rPr>
          <w:rFonts w:ascii="宋体" w:hAnsi="宋体"/>
          <w:sz w:val="21"/>
          <w:szCs w:val="21"/>
        </w:rPr>
      </w:pPr>
    </w:p>
    <w:bookmarkEnd w:id="70"/>
    <w:p w14:paraId="10016916">
      <w:pPr>
        <w:pStyle w:val="5"/>
        <w:spacing w:line="415" w:lineRule="auto"/>
        <w:jc w:val="center"/>
        <w:rPr>
          <w:rFonts w:ascii="宋体" w:hAnsi="宋体" w:eastAsia="宋体"/>
        </w:rPr>
      </w:pPr>
      <w:bookmarkStart w:id="71" w:name="_Toc8854"/>
      <w:bookmarkStart w:id="72" w:name="_Toc103248603"/>
      <w:r>
        <w:rPr>
          <w:rFonts w:hint="eastAsia" w:ascii="宋体" w:hAnsi="宋体" w:eastAsia="宋体"/>
        </w:rPr>
        <w:t>9.需要补充的其他内容</w:t>
      </w:r>
      <w:bookmarkEnd w:id="71"/>
      <w:bookmarkEnd w:id="72"/>
    </w:p>
    <w:p w14:paraId="21292CDD">
      <w:pPr>
        <w:spacing w:line="360" w:lineRule="auto"/>
        <w:ind w:firstLine="472" w:firstLineChars="225"/>
        <w:rPr>
          <w:rFonts w:ascii="宋体" w:hAnsi="宋体"/>
          <w:sz w:val="21"/>
          <w:szCs w:val="21"/>
        </w:rPr>
      </w:pPr>
      <w:r>
        <w:rPr>
          <w:rFonts w:hint="eastAsia" w:ascii="宋体" w:hAnsi="宋体"/>
          <w:sz w:val="21"/>
          <w:szCs w:val="21"/>
        </w:rPr>
        <w:t>需要补充的其他内容：见投标人须知前附表。</w:t>
      </w:r>
      <w:bookmarkStart w:id="73" w:name="_Toc302769230"/>
    </w:p>
    <w:bookmarkEnd w:id="73"/>
    <w:p w14:paraId="43AAD2C8">
      <w:pPr>
        <w:rPr>
          <w:rFonts w:ascii="宋体" w:hAnsi="宋体"/>
          <w:b/>
          <w:bCs/>
          <w:kern w:val="44"/>
          <w:sz w:val="36"/>
          <w:szCs w:val="36"/>
        </w:rPr>
      </w:pPr>
      <w:bookmarkStart w:id="74" w:name="_Toc507430311"/>
      <w:r>
        <w:rPr>
          <w:rFonts w:ascii="宋体" w:hAnsi="宋体"/>
          <w:sz w:val="36"/>
          <w:szCs w:val="36"/>
        </w:rPr>
        <w:br w:type="page"/>
      </w:r>
    </w:p>
    <w:p w14:paraId="0B651ADA">
      <w:pPr>
        <w:pStyle w:val="4"/>
        <w:spacing w:line="240" w:lineRule="auto"/>
        <w:jc w:val="center"/>
        <w:rPr>
          <w:rFonts w:ascii="宋体" w:hAnsi="宋体"/>
          <w:sz w:val="36"/>
          <w:szCs w:val="36"/>
        </w:rPr>
      </w:pPr>
      <w:bookmarkStart w:id="75" w:name="_Toc28856"/>
      <w:r>
        <w:rPr>
          <w:rFonts w:hint="eastAsia" w:ascii="宋体" w:hAnsi="宋体"/>
          <w:sz w:val="36"/>
          <w:szCs w:val="36"/>
        </w:rPr>
        <w:t>第三章 评标办法</w:t>
      </w:r>
      <w:bookmarkEnd w:id="74"/>
      <w:bookmarkEnd w:id="75"/>
    </w:p>
    <w:p w14:paraId="40C3C8A7">
      <w:pPr>
        <w:pStyle w:val="5"/>
        <w:spacing w:line="240" w:lineRule="auto"/>
        <w:jc w:val="center"/>
        <w:rPr>
          <w:rFonts w:ascii="宋体" w:hAnsi="宋体" w:eastAsia="宋体"/>
        </w:rPr>
      </w:pPr>
      <w:bookmarkStart w:id="76" w:name="_Toc507430312"/>
      <w:bookmarkStart w:id="77" w:name="_Toc18411"/>
      <w:bookmarkStart w:id="78" w:name="_Toc408334318"/>
      <w:bookmarkStart w:id="79" w:name="_Toc302769231"/>
      <w:r>
        <w:rPr>
          <w:rFonts w:ascii="宋体" w:hAnsi="宋体" w:eastAsia="宋体"/>
        </w:rPr>
        <w:t>评标办法前附表</w:t>
      </w:r>
      <w:bookmarkEnd w:id="76"/>
      <w:bookmarkEnd w:id="77"/>
      <w:bookmarkEnd w:id="78"/>
      <w:bookmarkEnd w:id="79"/>
    </w:p>
    <w:tbl>
      <w:tblPr>
        <w:tblStyle w:val="62"/>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05"/>
        <w:gridCol w:w="551"/>
        <w:gridCol w:w="516"/>
        <w:gridCol w:w="2150"/>
        <w:gridCol w:w="5387"/>
      </w:tblGrid>
      <w:tr w14:paraId="0F6C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87" w:type="dxa"/>
            <w:gridSpan w:val="3"/>
            <w:vAlign w:val="center"/>
          </w:tcPr>
          <w:p w14:paraId="31F595FF">
            <w:pPr>
              <w:autoSpaceDE w:val="0"/>
              <w:autoSpaceDN w:val="0"/>
              <w:adjustRightInd w:val="0"/>
              <w:spacing w:line="360" w:lineRule="auto"/>
              <w:jc w:val="both"/>
              <w:rPr>
                <w:rFonts w:ascii="宋体" w:hAnsi="宋体"/>
                <w:sz w:val="21"/>
                <w:szCs w:val="21"/>
              </w:rPr>
            </w:pPr>
            <w:r>
              <w:rPr>
                <w:rFonts w:ascii="宋体" w:hAnsi="宋体"/>
                <w:sz w:val="21"/>
                <w:szCs w:val="21"/>
              </w:rPr>
              <w:t>条款号</w:t>
            </w:r>
          </w:p>
        </w:tc>
        <w:tc>
          <w:tcPr>
            <w:tcW w:w="2666" w:type="dxa"/>
            <w:gridSpan w:val="2"/>
            <w:vAlign w:val="center"/>
          </w:tcPr>
          <w:p w14:paraId="35881D9F">
            <w:pPr>
              <w:autoSpaceDE w:val="0"/>
              <w:autoSpaceDN w:val="0"/>
              <w:adjustRightInd w:val="0"/>
              <w:spacing w:line="360" w:lineRule="auto"/>
              <w:jc w:val="both"/>
              <w:rPr>
                <w:rFonts w:ascii="宋体" w:hAnsi="宋体"/>
                <w:sz w:val="21"/>
                <w:szCs w:val="21"/>
              </w:rPr>
            </w:pPr>
            <w:r>
              <w:rPr>
                <w:rFonts w:ascii="宋体" w:hAnsi="宋体"/>
                <w:sz w:val="21"/>
                <w:szCs w:val="21"/>
              </w:rPr>
              <w:t>评审因素</w:t>
            </w:r>
          </w:p>
        </w:tc>
        <w:tc>
          <w:tcPr>
            <w:tcW w:w="5387" w:type="dxa"/>
            <w:vAlign w:val="center"/>
          </w:tcPr>
          <w:p w14:paraId="41E52944">
            <w:pPr>
              <w:autoSpaceDE w:val="0"/>
              <w:autoSpaceDN w:val="0"/>
              <w:adjustRightInd w:val="0"/>
              <w:spacing w:line="360" w:lineRule="auto"/>
              <w:jc w:val="both"/>
              <w:rPr>
                <w:rFonts w:ascii="宋体" w:hAnsi="宋体"/>
                <w:sz w:val="21"/>
                <w:szCs w:val="21"/>
              </w:rPr>
            </w:pPr>
            <w:r>
              <w:rPr>
                <w:rFonts w:ascii="宋体" w:hAnsi="宋体"/>
                <w:sz w:val="21"/>
                <w:szCs w:val="21"/>
              </w:rPr>
              <w:t>评审标准</w:t>
            </w:r>
          </w:p>
        </w:tc>
      </w:tr>
      <w:tr w14:paraId="5926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restart"/>
            <w:vAlign w:val="center"/>
          </w:tcPr>
          <w:p w14:paraId="5E0C7D40">
            <w:pPr>
              <w:autoSpaceDE w:val="0"/>
              <w:autoSpaceDN w:val="0"/>
              <w:adjustRightInd w:val="0"/>
              <w:spacing w:line="360" w:lineRule="auto"/>
              <w:jc w:val="both"/>
              <w:rPr>
                <w:rFonts w:ascii="宋体" w:hAnsi="宋体"/>
                <w:sz w:val="21"/>
                <w:szCs w:val="21"/>
              </w:rPr>
            </w:pPr>
            <w:r>
              <w:rPr>
                <w:rFonts w:ascii="宋体" w:hAnsi="宋体"/>
                <w:sz w:val="21"/>
                <w:szCs w:val="21"/>
              </w:rPr>
              <w:t>2.1.1</w:t>
            </w:r>
          </w:p>
        </w:tc>
        <w:tc>
          <w:tcPr>
            <w:tcW w:w="756" w:type="dxa"/>
            <w:gridSpan w:val="2"/>
            <w:vMerge w:val="restart"/>
            <w:vAlign w:val="center"/>
          </w:tcPr>
          <w:p w14:paraId="202DD885">
            <w:pPr>
              <w:autoSpaceDE w:val="0"/>
              <w:autoSpaceDN w:val="0"/>
              <w:adjustRightInd w:val="0"/>
              <w:spacing w:line="360" w:lineRule="auto"/>
              <w:jc w:val="both"/>
              <w:rPr>
                <w:rFonts w:ascii="宋体" w:hAnsi="宋体"/>
                <w:sz w:val="21"/>
                <w:szCs w:val="21"/>
              </w:rPr>
            </w:pPr>
            <w:r>
              <w:rPr>
                <w:rFonts w:ascii="宋体" w:hAnsi="宋体"/>
                <w:sz w:val="21"/>
                <w:szCs w:val="21"/>
              </w:rPr>
              <w:t>形式评审</w:t>
            </w:r>
            <w:r>
              <w:rPr>
                <w:rFonts w:hint="eastAsia" w:ascii="宋体" w:hAnsi="宋体"/>
                <w:sz w:val="21"/>
                <w:szCs w:val="21"/>
              </w:rPr>
              <w:t>标准</w:t>
            </w:r>
          </w:p>
        </w:tc>
        <w:tc>
          <w:tcPr>
            <w:tcW w:w="2666" w:type="dxa"/>
            <w:gridSpan w:val="2"/>
            <w:vAlign w:val="center"/>
          </w:tcPr>
          <w:p w14:paraId="19D818BF">
            <w:pPr>
              <w:autoSpaceDE w:val="0"/>
              <w:autoSpaceDN w:val="0"/>
              <w:adjustRightInd w:val="0"/>
              <w:spacing w:line="360" w:lineRule="auto"/>
              <w:jc w:val="both"/>
              <w:rPr>
                <w:rFonts w:ascii="宋体" w:hAnsi="宋体"/>
                <w:sz w:val="21"/>
                <w:szCs w:val="21"/>
              </w:rPr>
            </w:pPr>
            <w:r>
              <w:rPr>
                <w:rFonts w:ascii="宋体" w:hAnsi="宋体"/>
                <w:sz w:val="21"/>
                <w:szCs w:val="21"/>
              </w:rPr>
              <w:t>投标人名称</w:t>
            </w:r>
          </w:p>
        </w:tc>
        <w:tc>
          <w:tcPr>
            <w:tcW w:w="5387" w:type="dxa"/>
            <w:vAlign w:val="center"/>
          </w:tcPr>
          <w:p w14:paraId="123A143B">
            <w:pPr>
              <w:autoSpaceDE w:val="0"/>
              <w:autoSpaceDN w:val="0"/>
              <w:adjustRightInd w:val="0"/>
              <w:spacing w:line="360" w:lineRule="auto"/>
              <w:jc w:val="both"/>
              <w:rPr>
                <w:rFonts w:ascii="宋体" w:hAnsi="宋体"/>
                <w:sz w:val="21"/>
                <w:szCs w:val="21"/>
              </w:rPr>
            </w:pPr>
            <w:r>
              <w:rPr>
                <w:rFonts w:hint="eastAsia" w:ascii="宋体" w:hAnsi="宋体"/>
                <w:sz w:val="21"/>
                <w:szCs w:val="21"/>
              </w:rPr>
              <w:t>与营业执照一致</w:t>
            </w:r>
          </w:p>
        </w:tc>
      </w:tr>
      <w:tr w14:paraId="7644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43B0F1BA">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76364342">
            <w:pPr>
              <w:autoSpaceDE w:val="0"/>
              <w:autoSpaceDN w:val="0"/>
              <w:adjustRightInd w:val="0"/>
              <w:spacing w:line="360" w:lineRule="auto"/>
              <w:jc w:val="both"/>
              <w:rPr>
                <w:rFonts w:ascii="宋体" w:hAnsi="宋体"/>
                <w:sz w:val="21"/>
                <w:szCs w:val="21"/>
              </w:rPr>
            </w:pPr>
          </w:p>
        </w:tc>
        <w:tc>
          <w:tcPr>
            <w:tcW w:w="2666" w:type="dxa"/>
            <w:gridSpan w:val="2"/>
            <w:vAlign w:val="center"/>
          </w:tcPr>
          <w:p w14:paraId="1ABF4140">
            <w:pPr>
              <w:autoSpaceDE w:val="0"/>
              <w:autoSpaceDN w:val="0"/>
              <w:adjustRightInd w:val="0"/>
              <w:spacing w:line="360" w:lineRule="auto"/>
              <w:jc w:val="both"/>
              <w:rPr>
                <w:rFonts w:ascii="宋体" w:hAnsi="宋体"/>
                <w:sz w:val="21"/>
                <w:szCs w:val="21"/>
              </w:rPr>
            </w:pPr>
            <w:r>
              <w:rPr>
                <w:rFonts w:hint="eastAsia" w:ascii="宋体" w:hAnsi="宋体"/>
                <w:sz w:val="21"/>
                <w:szCs w:val="21"/>
              </w:rPr>
              <w:t>签字和盖章</w:t>
            </w:r>
          </w:p>
        </w:tc>
        <w:tc>
          <w:tcPr>
            <w:tcW w:w="5387" w:type="dxa"/>
            <w:vAlign w:val="center"/>
          </w:tcPr>
          <w:p w14:paraId="3636FAE9">
            <w:pPr>
              <w:autoSpaceDE w:val="0"/>
              <w:autoSpaceDN w:val="0"/>
              <w:adjustRightInd w:val="0"/>
              <w:spacing w:line="360" w:lineRule="auto"/>
              <w:jc w:val="both"/>
              <w:rPr>
                <w:rFonts w:ascii="宋体" w:hAnsi="宋体"/>
                <w:sz w:val="21"/>
                <w:szCs w:val="21"/>
              </w:rPr>
            </w:pPr>
            <w:r>
              <w:rPr>
                <w:rFonts w:hint="eastAsia" w:ascii="宋体" w:hAnsi="宋体"/>
                <w:sz w:val="21"/>
                <w:szCs w:val="21"/>
              </w:rPr>
              <w:t>符合第二章“投标人须知”第3.7.3项要求</w:t>
            </w:r>
          </w:p>
        </w:tc>
      </w:tr>
      <w:tr w14:paraId="4725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3C34B3EC">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4CE74637">
            <w:pPr>
              <w:autoSpaceDE w:val="0"/>
              <w:autoSpaceDN w:val="0"/>
              <w:adjustRightInd w:val="0"/>
              <w:spacing w:line="360" w:lineRule="auto"/>
              <w:jc w:val="both"/>
              <w:rPr>
                <w:rFonts w:ascii="宋体" w:hAnsi="宋体"/>
                <w:sz w:val="21"/>
                <w:szCs w:val="21"/>
              </w:rPr>
            </w:pPr>
          </w:p>
        </w:tc>
        <w:tc>
          <w:tcPr>
            <w:tcW w:w="2666" w:type="dxa"/>
            <w:gridSpan w:val="2"/>
            <w:vAlign w:val="center"/>
          </w:tcPr>
          <w:p w14:paraId="5F7D91E2">
            <w:pPr>
              <w:autoSpaceDE w:val="0"/>
              <w:autoSpaceDN w:val="0"/>
              <w:adjustRightInd w:val="0"/>
              <w:spacing w:line="360" w:lineRule="auto"/>
              <w:jc w:val="both"/>
              <w:rPr>
                <w:rFonts w:ascii="宋体" w:hAnsi="宋体"/>
                <w:sz w:val="21"/>
                <w:szCs w:val="21"/>
              </w:rPr>
            </w:pPr>
            <w:r>
              <w:rPr>
                <w:rFonts w:ascii="宋体" w:hAnsi="宋体"/>
                <w:sz w:val="21"/>
                <w:szCs w:val="21"/>
              </w:rPr>
              <w:t>报价唯一</w:t>
            </w:r>
          </w:p>
        </w:tc>
        <w:tc>
          <w:tcPr>
            <w:tcW w:w="5387" w:type="dxa"/>
            <w:vAlign w:val="center"/>
          </w:tcPr>
          <w:p w14:paraId="6F526623">
            <w:pPr>
              <w:autoSpaceDE w:val="0"/>
              <w:autoSpaceDN w:val="0"/>
              <w:adjustRightInd w:val="0"/>
              <w:spacing w:line="360" w:lineRule="auto"/>
              <w:jc w:val="both"/>
              <w:rPr>
                <w:rFonts w:ascii="宋体" w:hAnsi="宋体"/>
                <w:sz w:val="21"/>
                <w:szCs w:val="21"/>
              </w:rPr>
            </w:pPr>
            <w:r>
              <w:rPr>
                <w:rFonts w:ascii="宋体" w:hAnsi="宋体"/>
                <w:sz w:val="21"/>
                <w:szCs w:val="21"/>
              </w:rPr>
              <w:t>只能有一个有效报价</w:t>
            </w:r>
          </w:p>
        </w:tc>
      </w:tr>
      <w:tr w14:paraId="1532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7B41597E">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15133F4C">
            <w:pPr>
              <w:autoSpaceDE w:val="0"/>
              <w:autoSpaceDN w:val="0"/>
              <w:adjustRightInd w:val="0"/>
              <w:spacing w:line="360" w:lineRule="auto"/>
              <w:jc w:val="both"/>
              <w:rPr>
                <w:rFonts w:ascii="宋体" w:hAnsi="宋体"/>
                <w:sz w:val="21"/>
                <w:szCs w:val="21"/>
              </w:rPr>
            </w:pPr>
          </w:p>
        </w:tc>
        <w:tc>
          <w:tcPr>
            <w:tcW w:w="2666" w:type="dxa"/>
            <w:gridSpan w:val="2"/>
            <w:vAlign w:val="center"/>
          </w:tcPr>
          <w:p w14:paraId="1E6FF84A">
            <w:pPr>
              <w:autoSpaceDE w:val="0"/>
              <w:autoSpaceDN w:val="0"/>
              <w:adjustRightInd w:val="0"/>
              <w:spacing w:line="360" w:lineRule="auto"/>
              <w:jc w:val="both"/>
              <w:rPr>
                <w:rFonts w:ascii="宋体" w:hAnsi="宋体"/>
                <w:sz w:val="21"/>
                <w:szCs w:val="21"/>
              </w:rPr>
            </w:pPr>
            <w:r>
              <w:rPr>
                <w:rFonts w:ascii="宋体" w:hAnsi="宋体"/>
                <w:sz w:val="21"/>
                <w:szCs w:val="21"/>
              </w:rPr>
              <w:t>投标文件格式</w:t>
            </w:r>
          </w:p>
        </w:tc>
        <w:tc>
          <w:tcPr>
            <w:tcW w:w="5387" w:type="dxa"/>
            <w:vAlign w:val="center"/>
          </w:tcPr>
          <w:p w14:paraId="4894F2C5">
            <w:pPr>
              <w:autoSpaceDE w:val="0"/>
              <w:autoSpaceDN w:val="0"/>
              <w:adjustRightInd w:val="0"/>
              <w:spacing w:line="360" w:lineRule="auto"/>
              <w:jc w:val="both"/>
              <w:rPr>
                <w:rFonts w:ascii="宋体" w:hAnsi="宋体"/>
                <w:sz w:val="21"/>
                <w:szCs w:val="21"/>
              </w:rPr>
            </w:pPr>
            <w:r>
              <w:rPr>
                <w:rFonts w:ascii="宋体" w:hAnsi="宋体"/>
                <w:sz w:val="21"/>
                <w:szCs w:val="21"/>
              </w:rPr>
              <w:t>符合第</w:t>
            </w:r>
            <w:r>
              <w:rPr>
                <w:rFonts w:hint="eastAsia" w:ascii="宋体" w:hAnsi="宋体"/>
                <w:sz w:val="21"/>
                <w:szCs w:val="21"/>
              </w:rPr>
              <w:t>六</w:t>
            </w:r>
            <w:r>
              <w:rPr>
                <w:rFonts w:ascii="宋体" w:hAnsi="宋体"/>
                <w:sz w:val="21"/>
                <w:szCs w:val="21"/>
              </w:rPr>
              <w:t>章“投标文件格式”的要求</w:t>
            </w:r>
          </w:p>
        </w:tc>
      </w:tr>
      <w:tr w14:paraId="6ED4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42B8C92A">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460A23CE">
            <w:pPr>
              <w:autoSpaceDE w:val="0"/>
              <w:autoSpaceDN w:val="0"/>
              <w:adjustRightInd w:val="0"/>
              <w:spacing w:line="360" w:lineRule="auto"/>
              <w:jc w:val="both"/>
              <w:rPr>
                <w:rFonts w:ascii="宋体" w:hAnsi="宋体"/>
                <w:sz w:val="21"/>
                <w:szCs w:val="21"/>
              </w:rPr>
            </w:pPr>
          </w:p>
        </w:tc>
        <w:tc>
          <w:tcPr>
            <w:tcW w:w="2666" w:type="dxa"/>
            <w:gridSpan w:val="2"/>
            <w:vAlign w:val="center"/>
          </w:tcPr>
          <w:p w14:paraId="0E0C5D9F">
            <w:pPr>
              <w:autoSpaceDE w:val="0"/>
              <w:autoSpaceDN w:val="0"/>
              <w:adjustRightInd w:val="0"/>
              <w:spacing w:line="360" w:lineRule="auto"/>
              <w:jc w:val="both"/>
              <w:rPr>
                <w:rFonts w:ascii="宋体" w:hAnsi="宋体"/>
                <w:sz w:val="21"/>
                <w:szCs w:val="21"/>
              </w:rPr>
            </w:pPr>
            <w:r>
              <w:rPr>
                <w:rFonts w:hint="eastAsia" w:ascii="宋体" w:hAnsi="宋体"/>
                <w:sz w:val="21"/>
                <w:szCs w:val="21"/>
              </w:rPr>
              <w:t>联合体</w:t>
            </w:r>
          </w:p>
        </w:tc>
        <w:tc>
          <w:tcPr>
            <w:tcW w:w="5387" w:type="dxa"/>
            <w:vAlign w:val="center"/>
          </w:tcPr>
          <w:p w14:paraId="0B7050B1">
            <w:pPr>
              <w:autoSpaceDE w:val="0"/>
              <w:autoSpaceDN w:val="0"/>
              <w:adjustRightInd w:val="0"/>
              <w:spacing w:line="360" w:lineRule="auto"/>
              <w:jc w:val="both"/>
              <w:rPr>
                <w:rFonts w:ascii="宋体" w:hAnsi="宋体"/>
                <w:sz w:val="21"/>
                <w:szCs w:val="21"/>
              </w:rPr>
            </w:pPr>
            <w:r>
              <w:rPr>
                <w:rFonts w:hint="eastAsia" w:ascii="宋体" w:hAnsi="宋体"/>
                <w:sz w:val="21"/>
                <w:szCs w:val="21"/>
              </w:rPr>
              <w:t>不接受联合体投标</w:t>
            </w:r>
          </w:p>
        </w:tc>
      </w:tr>
      <w:tr w14:paraId="3C76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restart"/>
            <w:vAlign w:val="center"/>
          </w:tcPr>
          <w:p w14:paraId="606A111C">
            <w:pPr>
              <w:autoSpaceDE w:val="0"/>
              <w:autoSpaceDN w:val="0"/>
              <w:adjustRightInd w:val="0"/>
              <w:spacing w:line="360" w:lineRule="auto"/>
              <w:jc w:val="both"/>
              <w:rPr>
                <w:rFonts w:ascii="宋体" w:hAnsi="宋体"/>
                <w:sz w:val="21"/>
                <w:szCs w:val="21"/>
              </w:rPr>
            </w:pPr>
            <w:r>
              <w:rPr>
                <w:rFonts w:ascii="宋体" w:hAnsi="宋体"/>
                <w:sz w:val="21"/>
                <w:szCs w:val="21"/>
              </w:rPr>
              <w:t>2.1.2</w:t>
            </w:r>
          </w:p>
        </w:tc>
        <w:tc>
          <w:tcPr>
            <w:tcW w:w="756" w:type="dxa"/>
            <w:gridSpan w:val="2"/>
            <w:vMerge w:val="restart"/>
            <w:vAlign w:val="center"/>
          </w:tcPr>
          <w:p w14:paraId="601F5615">
            <w:pPr>
              <w:autoSpaceDE w:val="0"/>
              <w:autoSpaceDN w:val="0"/>
              <w:adjustRightInd w:val="0"/>
              <w:spacing w:line="360" w:lineRule="auto"/>
              <w:jc w:val="both"/>
              <w:rPr>
                <w:rFonts w:ascii="宋体" w:hAnsi="宋体"/>
                <w:sz w:val="21"/>
                <w:szCs w:val="21"/>
              </w:rPr>
            </w:pPr>
            <w:r>
              <w:rPr>
                <w:rFonts w:ascii="宋体" w:hAnsi="宋体"/>
                <w:sz w:val="21"/>
                <w:szCs w:val="21"/>
              </w:rPr>
              <w:t>资格评审</w:t>
            </w:r>
            <w:r>
              <w:rPr>
                <w:rFonts w:hint="eastAsia" w:ascii="宋体" w:hAnsi="宋体"/>
                <w:sz w:val="21"/>
                <w:szCs w:val="21"/>
              </w:rPr>
              <w:t>标准</w:t>
            </w:r>
          </w:p>
        </w:tc>
        <w:tc>
          <w:tcPr>
            <w:tcW w:w="2666" w:type="dxa"/>
            <w:gridSpan w:val="2"/>
            <w:vAlign w:val="center"/>
          </w:tcPr>
          <w:p w14:paraId="2D364796">
            <w:pPr>
              <w:spacing w:line="440" w:lineRule="exact"/>
              <w:jc w:val="both"/>
              <w:rPr>
                <w:rFonts w:ascii="宋体" w:hAnsi="宋体"/>
                <w:sz w:val="21"/>
                <w:szCs w:val="21"/>
              </w:rPr>
            </w:pPr>
            <w:r>
              <w:rPr>
                <w:rFonts w:hint="eastAsia" w:ascii="宋体" w:hAnsi="宋体"/>
                <w:sz w:val="21"/>
                <w:szCs w:val="21"/>
              </w:rPr>
              <w:t>营业执照</w:t>
            </w:r>
          </w:p>
        </w:tc>
        <w:tc>
          <w:tcPr>
            <w:tcW w:w="5387" w:type="dxa"/>
            <w:vAlign w:val="center"/>
          </w:tcPr>
          <w:p w14:paraId="166504CF">
            <w:pPr>
              <w:spacing w:line="360" w:lineRule="auto"/>
              <w:jc w:val="both"/>
              <w:rPr>
                <w:rFonts w:ascii="宋体" w:hAnsi="宋体"/>
                <w:b/>
                <w:sz w:val="21"/>
                <w:szCs w:val="21"/>
              </w:rPr>
            </w:pPr>
            <w:r>
              <w:rPr>
                <w:rFonts w:ascii="宋体" w:hAnsi="宋体"/>
                <w:sz w:val="21"/>
                <w:szCs w:val="21"/>
              </w:rPr>
              <w:t>符合第二章“投标人须知”第1.4.1项规定</w:t>
            </w:r>
          </w:p>
        </w:tc>
      </w:tr>
      <w:tr w14:paraId="559F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1F687A52">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0629587C">
            <w:pPr>
              <w:autoSpaceDE w:val="0"/>
              <w:autoSpaceDN w:val="0"/>
              <w:adjustRightInd w:val="0"/>
              <w:spacing w:line="360" w:lineRule="auto"/>
              <w:jc w:val="both"/>
              <w:rPr>
                <w:rFonts w:ascii="宋体" w:hAnsi="宋体"/>
                <w:sz w:val="21"/>
                <w:szCs w:val="21"/>
              </w:rPr>
            </w:pPr>
          </w:p>
        </w:tc>
        <w:tc>
          <w:tcPr>
            <w:tcW w:w="2666" w:type="dxa"/>
            <w:gridSpan w:val="2"/>
            <w:vAlign w:val="center"/>
          </w:tcPr>
          <w:p w14:paraId="7B344577">
            <w:pPr>
              <w:spacing w:line="440" w:lineRule="exact"/>
              <w:jc w:val="both"/>
              <w:rPr>
                <w:rFonts w:ascii="宋体" w:hAnsi="宋体"/>
                <w:sz w:val="21"/>
                <w:szCs w:val="21"/>
              </w:rPr>
            </w:pPr>
            <w:r>
              <w:rPr>
                <w:rFonts w:hint="eastAsia" w:ascii="宋体" w:hAnsi="宋体"/>
                <w:sz w:val="21"/>
                <w:szCs w:val="21"/>
              </w:rPr>
              <w:t>财务要求</w:t>
            </w:r>
          </w:p>
        </w:tc>
        <w:tc>
          <w:tcPr>
            <w:tcW w:w="5387" w:type="dxa"/>
            <w:vAlign w:val="center"/>
          </w:tcPr>
          <w:p w14:paraId="1F59DDD1">
            <w:pPr>
              <w:spacing w:line="360" w:lineRule="auto"/>
              <w:jc w:val="both"/>
              <w:rPr>
                <w:rFonts w:ascii="宋体" w:hAnsi="宋体"/>
                <w:sz w:val="21"/>
                <w:szCs w:val="21"/>
              </w:rPr>
            </w:pPr>
            <w:r>
              <w:rPr>
                <w:rFonts w:ascii="宋体" w:hAnsi="宋体"/>
                <w:sz w:val="21"/>
                <w:szCs w:val="21"/>
              </w:rPr>
              <w:t>符合第二章“投标人须知”第1.4.1项规定</w:t>
            </w:r>
          </w:p>
        </w:tc>
      </w:tr>
      <w:tr w14:paraId="282D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60B9DB99">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552A6C73">
            <w:pPr>
              <w:autoSpaceDE w:val="0"/>
              <w:autoSpaceDN w:val="0"/>
              <w:adjustRightInd w:val="0"/>
              <w:spacing w:line="360" w:lineRule="auto"/>
              <w:jc w:val="both"/>
              <w:rPr>
                <w:rFonts w:ascii="宋体" w:hAnsi="宋体"/>
                <w:sz w:val="21"/>
                <w:szCs w:val="21"/>
              </w:rPr>
            </w:pPr>
          </w:p>
        </w:tc>
        <w:tc>
          <w:tcPr>
            <w:tcW w:w="2666" w:type="dxa"/>
            <w:gridSpan w:val="2"/>
            <w:vAlign w:val="center"/>
          </w:tcPr>
          <w:p w14:paraId="578F58E2">
            <w:pPr>
              <w:spacing w:line="440" w:lineRule="exact"/>
              <w:jc w:val="both"/>
              <w:rPr>
                <w:rFonts w:ascii="宋体" w:hAnsi="宋体"/>
                <w:sz w:val="21"/>
                <w:szCs w:val="21"/>
              </w:rPr>
            </w:pPr>
            <w:r>
              <w:rPr>
                <w:rFonts w:hint="eastAsia" w:ascii="宋体" w:hAnsi="宋体"/>
                <w:sz w:val="21"/>
                <w:szCs w:val="21"/>
              </w:rPr>
              <w:t>信誉要求</w:t>
            </w:r>
          </w:p>
        </w:tc>
        <w:tc>
          <w:tcPr>
            <w:tcW w:w="5387" w:type="dxa"/>
            <w:vAlign w:val="center"/>
          </w:tcPr>
          <w:p w14:paraId="3151BF87">
            <w:pPr>
              <w:autoSpaceDE w:val="0"/>
              <w:autoSpaceDN w:val="0"/>
              <w:adjustRightInd w:val="0"/>
              <w:spacing w:line="360" w:lineRule="auto"/>
              <w:jc w:val="both"/>
              <w:rPr>
                <w:rFonts w:ascii="宋体" w:hAnsi="宋体"/>
                <w:sz w:val="21"/>
                <w:szCs w:val="21"/>
              </w:rPr>
            </w:pPr>
            <w:r>
              <w:rPr>
                <w:rFonts w:hint="eastAsia" w:ascii="宋体" w:hAnsi="宋体"/>
                <w:sz w:val="21"/>
                <w:szCs w:val="21"/>
              </w:rPr>
              <w:t>符合第二章“投标人须知”第1.4.1项规定</w:t>
            </w:r>
          </w:p>
        </w:tc>
      </w:tr>
      <w:tr w14:paraId="50D2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1" w:type="dxa"/>
            <w:vMerge w:val="continue"/>
            <w:vAlign w:val="center"/>
          </w:tcPr>
          <w:p w14:paraId="70E1A75A">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1BDE1D7C">
            <w:pPr>
              <w:autoSpaceDE w:val="0"/>
              <w:autoSpaceDN w:val="0"/>
              <w:adjustRightInd w:val="0"/>
              <w:spacing w:line="360" w:lineRule="auto"/>
              <w:jc w:val="both"/>
              <w:rPr>
                <w:rFonts w:ascii="宋体" w:hAnsi="宋体"/>
                <w:sz w:val="21"/>
                <w:szCs w:val="21"/>
              </w:rPr>
            </w:pPr>
          </w:p>
        </w:tc>
        <w:tc>
          <w:tcPr>
            <w:tcW w:w="2666" w:type="dxa"/>
            <w:gridSpan w:val="2"/>
            <w:vAlign w:val="center"/>
          </w:tcPr>
          <w:p w14:paraId="331DE634">
            <w:pPr>
              <w:spacing w:line="440" w:lineRule="exact"/>
              <w:jc w:val="both"/>
              <w:rPr>
                <w:rFonts w:ascii="宋体" w:hAnsi="宋体"/>
                <w:sz w:val="21"/>
                <w:szCs w:val="21"/>
              </w:rPr>
            </w:pPr>
            <w:r>
              <w:rPr>
                <w:rFonts w:hint="eastAsia" w:ascii="宋体" w:hAnsi="宋体"/>
                <w:sz w:val="21"/>
                <w:szCs w:val="21"/>
              </w:rPr>
              <w:t>廉洁诚信承诺书</w:t>
            </w:r>
          </w:p>
        </w:tc>
        <w:tc>
          <w:tcPr>
            <w:tcW w:w="5387" w:type="dxa"/>
            <w:vAlign w:val="center"/>
          </w:tcPr>
          <w:p w14:paraId="1D152FA9">
            <w:pPr>
              <w:autoSpaceDE w:val="0"/>
              <w:autoSpaceDN w:val="0"/>
              <w:adjustRightInd w:val="0"/>
              <w:spacing w:line="360" w:lineRule="auto"/>
              <w:jc w:val="both"/>
              <w:rPr>
                <w:rFonts w:ascii="宋体" w:hAnsi="宋体"/>
                <w:sz w:val="21"/>
                <w:szCs w:val="21"/>
              </w:rPr>
            </w:pPr>
            <w:r>
              <w:rPr>
                <w:rFonts w:hint="eastAsia" w:ascii="宋体" w:hAnsi="宋体"/>
                <w:sz w:val="21"/>
                <w:szCs w:val="21"/>
              </w:rPr>
              <w:t>符合第二章“投标人须知”第1.4.1项规定，投标文件中必</w:t>
            </w:r>
            <w:r>
              <w:rPr>
                <w:rFonts w:ascii="宋体" w:hAnsi="宋体"/>
                <w:sz w:val="21"/>
                <w:szCs w:val="21"/>
              </w:rPr>
              <w:t>须</w:t>
            </w:r>
            <w:r>
              <w:rPr>
                <w:rFonts w:hint="eastAsia" w:ascii="宋体" w:hAnsi="宋体"/>
                <w:sz w:val="21"/>
                <w:szCs w:val="21"/>
              </w:rPr>
              <w:t>提供廉洁诚信承诺书，并按照廉洁诚信承诺书盖章签字</w:t>
            </w:r>
          </w:p>
        </w:tc>
      </w:tr>
      <w:tr w14:paraId="64F1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31" w:type="dxa"/>
            <w:vMerge w:val="continue"/>
            <w:vAlign w:val="center"/>
          </w:tcPr>
          <w:p w14:paraId="292B7B2F">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042178F1">
            <w:pPr>
              <w:autoSpaceDE w:val="0"/>
              <w:autoSpaceDN w:val="0"/>
              <w:adjustRightInd w:val="0"/>
              <w:spacing w:line="360" w:lineRule="auto"/>
              <w:jc w:val="both"/>
              <w:rPr>
                <w:rFonts w:ascii="宋体" w:hAnsi="宋体"/>
                <w:sz w:val="21"/>
                <w:szCs w:val="21"/>
              </w:rPr>
            </w:pPr>
          </w:p>
        </w:tc>
        <w:tc>
          <w:tcPr>
            <w:tcW w:w="2666" w:type="dxa"/>
            <w:gridSpan w:val="2"/>
            <w:vAlign w:val="center"/>
          </w:tcPr>
          <w:p w14:paraId="1329783D">
            <w:pPr>
              <w:autoSpaceDE w:val="0"/>
              <w:autoSpaceDN w:val="0"/>
              <w:adjustRightInd w:val="0"/>
              <w:spacing w:line="360" w:lineRule="auto"/>
              <w:jc w:val="both"/>
              <w:rPr>
                <w:rFonts w:ascii="宋体" w:hAnsi="宋体"/>
                <w:sz w:val="21"/>
                <w:szCs w:val="21"/>
              </w:rPr>
            </w:pPr>
            <w:r>
              <w:rPr>
                <w:rFonts w:hint="eastAsia" w:ascii="宋体" w:hAnsi="宋体"/>
                <w:sz w:val="21"/>
                <w:szCs w:val="21"/>
              </w:rPr>
              <w:t>《与采购人干部职工不存在关联关系的承诺书》</w:t>
            </w:r>
          </w:p>
        </w:tc>
        <w:tc>
          <w:tcPr>
            <w:tcW w:w="5387" w:type="dxa"/>
            <w:vAlign w:val="center"/>
          </w:tcPr>
          <w:p w14:paraId="38F688F6">
            <w:pPr>
              <w:autoSpaceDE w:val="0"/>
              <w:autoSpaceDN w:val="0"/>
              <w:adjustRightInd w:val="0"/>
              <w:spacing w:line="360" w:lineRule="auto"/>
              <w:jc w:val="both"/>
              <w:rPr>
                <w:rFonts w:ascii="宋体" w:hAnsi="宋体"/>
                <w:sz w:val="21"/>
                <w:szCs w:val="21"/>
              </w:rPr>
            </w:pPr>
            <w:r>
              <w:rPr>
                <w:rFonts w:hint="eastAsia" w:ascii="宋体" w:hAnsi="宋体"/>
                <w:sz w:val="21"/>
                <w:szCs w:val="21"/>
              </w:rPr>
              <w:t>符合第二章“投标人须知”第1.4.1项规定，投标文件必须提供《与招标人/采购人干部职工不存在关联关系的承诺书》，并做出真实承诺</w:t>
            </w:r>
          </w:p>
        </w:tc>
      </w:tr>
      <w:tr w14:paraId="5BAF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125259E7">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7C4FA651">
            <w:pPr>
              <w:autoSpaceDE w:val="0"/>
              <w:autoSpaceDN w:val="0"/>
              <w:adjustRightInd w:val="0"/>
              <w:spacing w:line="360" w:lineRule="auto"/>
              <w:jc w:val="both"/>
              <w:rPr>
                <w:rFonts w:ascii="宋体" w:hAnsi="宋体"/>
                <w:sz w:val="21"/>
                <w:szCs w:val="21"/>
              </w:rPr>
            </w:pPr>
          </w:p>
        </w:tc>
        <w:tc>
          <w:tcPr>
            <w:tcW w:w="2666" w:type="dxa"/>
            <w:gridSpan w:val="2"/>
            <w:vAlign w:val="center"/>
          </w:tcPr>
          <w:p w14:paraId="16AC627F">
            <w:pPr>
              <w:widowControl w:val="0"/>
              <w:spacing w:line="420" w:lineRule="exact"/>
              <w:jc w:val="both"/>
              <w:rPr>
                <w:rFonts w:ascii="宋体" w:hAnsi="宋体"/>
                <w:sz w:val="21"/>
                <w:szCs w:val="21"/>
              </w:rPr>
            </w:pPr>
            <w:r>
              <w:rPr>
                <w:rFonts w:hint="eastAsia" w:ascii="宋体" w:hAnsi="宋体"/>
                <w:sz w:val="21"/>
                <w:szCs w:val="21"/>
              </w:rPr>
              <w:t>法定代表人身份证明或附有法定代表人身份证明的授权委托书</w:t>
            </w:r>
          </w:p>
        </w:tc>
        <w:tc>
          <w:tcPr>
            <w:tcW w:w="5387" w:type="dxa"/>
            <w:vAlign w:val="center"/>
          </w:tcPr>
          <w:p w14:paraId="6E4B595B">
            <w:pPr>
              <w:spacing w:line="360" w:lineRule="auto"/>
              <w:jc w:val="both"/>
              <w:rPr>
                <w:rFonts w:ascii="宋体" w:hAnsi="宋体"/>
                <w:sz w:val="21"/>
                <w:szCs w:val="21"/>
              </w:rPr>
            </w:pPr>
            <w:r>
              <w:rPr>
                <w:rFonts w:hint="eastAsia" w:ascii="宋体" w:hAnsi="宋体"/>
                <w:sz w:val="21"/>
                <w:szCs w:val="21"/>
              </w:rPr>
              <w:t>按规定格式填写。</w:t>
            </w:r>
          </w:p>
        </w:tc>
      </w:tr>
      <w:tr w14:paraId="475C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08135CAE">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69D739CD">
            <w:pPr>
              <w:autoSpaceDE w:val="0"/>
              <w:autoSpaceDN w:val="0"/>
              <w:adjustRightInd w:val="0"/>
              <w:spacing w:line="360" w:lineRule="auto"/>
              <w:jc w:val="both"/>
              <w:rPr>
                <w:rFonts w:ascii="宋体" w:hAnsi="宋体"/>
                <w:sz w:val="21"/>
                <w:szCs w:val="21"/>
              </w:rPr>
            </w:pPr>
          </w:p>
        </w:tc>
        <w:tc>
          <w:tcPr>
            <w:tcW w:w="2666" w:type="dxa"/>
            <w:gridSpan w:val="2"/>
            <w:vAlign w:val="center"/>
          </w:tcPr>
          <w:p w14:paraId="00D16F54">
            <w:pPr>
              <w:widowControl w:val="0"/>
              <w:spacing w:line="420" w:lineRule="exact"/>
              <w:jc w:val="both"/>
              <w:rPr>
                <w:rFonts w:ascii="宋体" w:hAnsi="宋体"/>
                <w:sz w:val="21"/>
                <w:szCs w:val="21"/>
              </w:rPr>
            </w:pPr>
            <w:r>
              <w:rPr>
                <w:rFonts w:hint="eastAsia" w:ascii="宋体" w:hAnsi="宋体"/>
                <w:kern w:val="2"/>
                <w:sz w:val="21"/>
                <w:szCs w:val="21"/>
              </w:rPr>
              <w:t>法定代表人或授权代理人居民身份证</w:t>
            </w:r>
          </w:p>
        </w:tc>
        <w:tc>
          <w:tcPr>
            <w:tcW w:w="5387" w:type="dxa"/>
            <w:vAlign w:val="center"/>
          </w:tcPr>
          <w:p w14:paraId="7DA894AC">
            <w:pPr>
              <w:spacing w:line="360" w:lineRule="auto"/>
              <w:jc w:val="both"/>
              <w:rPr>
                <w:rFonts w:ascii="宋体" w:hAnsi="宋体"/>
                <w:sz w:val="21"/>
                <w:szCs w:val="21"/>
              </w:rPr>
            </w:pPr>
            <w:r>
              <w:rPr>
                <w:rFonts w:hint="eastAsia" w:ascii="宋体" w:hAnsi="宋体"/>
                <w:sz w:val="21"/>
                <w:szCs w:val="21"/>
              </w:rPr>
              <w:t>具备有效证件。</w:t>
            </w:r>
          </w:p>
        </w:tc>
      </w:tr>
      <w:tr w14:paraId="0E31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4219780E">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661F8202">
            <w:pPr>
              <w:autoSpaceDE w:val="0"/>
              <w:autoSpaceDN w:val="0"/>
              <w:adjustRightInd w:val="0"/>
              <w:spacing w:line="360" w:lineRule="auto"/>
              <w:jc w:val="both"/>
              <w:rPr>
                <w:rFonts w:ascii="宋体" w:hAnsi="宋体"/>
                <w:sz w:val="21"/>
                <w:szCs w:val="21"/>
              </w:rPr>
            </w:pPr>
          </w:p>
        </w:tc>
        <w:tc>
          <w:tcPr>
            <w:tcW w:w="2666" w:type="dxa"/>
            <w:gridSpan w:val="2"/>
            <w:vAlign w:val="center"/>
          </w:tcPr>
          <w:p w14:paraId="61CB6728">
            <w:pPr>
              <w:widowControl w:val="0"/>
              <w:spacing w:line="420" w:lineRule="exact"/>
              <w:jc w:val="both"/>
              <w:rPr>
                <w:rFonts w:ascii="宋体" w:hAnsi="宋体"/>
                <w:sz w:val="21"/>
                <w:szCs w:val="21"/>
              </w:rPr>
            </w:pPr>
            <w:r>
              <w:rPr>
                <w:rFonts w:hint="eastAsia" w:ascii="宋体" w:hAnsi="宋体"/>
                <w:sz w:val="21"/>
                <w:szCs w:val="21"/>
              </w:rPr>
              <w:t>其他要求</w:t>
            </w:r>
          </w:p>
        </w:tc>
        <w:tc>
          <w:tcPr>
            <w:tcW w:w="5387" w:type="dxa"/>
            <w:vAlign w:val="center"/>
          </w:tcPr>
          <w:p w14:paraId="534160F7">
            <w:pPr>
              <w:spacing w:line="360" w:lineRule="auto"/>
              <w:jc w:val="both"/>
              <w:rPr>
                <w:rFonts w:ascii="宋体" w:hAnsi="宋体"/>
                <w:sz w:val="21"/>
                <w:szCs w:val="21"/>
              </w:rPr>
            </w:pPr>
            <w:r>
              <w:rPr>
                <w:rFonts w:hint="eastAsia" w:ascii="宋体" w:hAnsi="宋体"/>
                <w:sz w:val="21"/>
                <w:szCs w:val="21"/>
              </w:rPr>
              <w:t>符合第二章“投标人须知”第1.4.1项规定</w:t>
            </w:r>
          </w:p>
        </w:tc>
      </w:tr>
      <w:tr w14:paraId="714F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2855F847">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0522848D">
            <w:pPr>
              <w:autoSpaceDE w:val="0"/>
              <w:autoSpaceDN w:val="0"/>
              <w:adjustRightInd w:val="0"/>
              <w:spacing w:line="360" w:lineRule="auto"/>
              <w:jc w:val="both"/>
              <w:rPr>
                <w:rFonts w:ascii="宋体" w:hAnsi="宋体"/>
                <w:sz w:val="21"/>
                <w:szCs w:val="21"/>
              </w:rPr>
            </w:pPr>
          </w:p>
        </w:tc>
        <w:tc>
          <w:tcPr>
            <w:tcW w:w="2666" w:type="dxa"/>
            <w:gridSpan w:val="2"/>
            <w:vAlign w:val="center"/>
          </w:tcPr>
          <w:p w14:paraId="1843D703">
            <w:pPr>
              <w:autoSpaceDE w:val="0"/>
              <w:autoSpaceDN w:val="0"/>
              <w:adjustRightInd w:val="0"/>
              <w:spacing w:line="360" w:lineRule="auto"/>
              <w:jc w:val="both"/>
              <w:rPr>
                <w:rFonts w:ascii="宋体" w:hAnsi="宋体"/>
                <w:sz w:val="21"/>
                <w:szCs w:val="21"/>
              </w:rPr>
            </w:pPr>
            <w:r>
              <w:rPr>
                <w:rFonts w:ascii="宋体" w:hAnsi="宋体"/>
                <w:sz w:val="21"/>
                <w:szCs w:val="21"/>
              </w:rPr>
              <w:t>投标真实有效</w:t>
            </w:r>
          </w:p>
        </w:tc>
        <w:tc>
          <w:tcPr>
            <w:tcW w:w="5387" w:type="dxa"/>
            <w:vAlign w:val="center"/>
          </w:tcPr>
          <w:p w14:paraId="7D9C53FF">
            <w:pPr>
              <w:autoSpaceDE w:val="0"/>
              <w:autoSpaceDN w:val="0"/>
              <w:adjustRightInd w:val="0"/>
              <w:spacing w:line="360" w:lineRule="auto"/>
              <w:jc w:val="both"/>
              <w:rPr>
                <w:rFonts w:ascii="宋体" w:hAnsi="宋体"/>
                <w:sz w:val="21"/>
                <w:szCs w:val="21"/>
              </w:rPr>
            </w:pPr>
            <w:r>
              <w:rPr>
                <w:rFonts w:ascii="宋体" w:hAnsi="宋体"/>
                <w:sz w:val="21"/>
                <w:szCs w:val="21"/>
              </w:rPr>
              <w:t>未发现投标人以他人名义投标、串通投标、以行贿手段谋取中标或者以其他弄虚作假方式投标</w:t>
            </w:r>
          </w:p>
        </w:tc>
      </w:tr>
      <w:tr w14:paraId="4AED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restart"/>
            <w:vAlign w:val="center"/>
          </w:tcPr>
          <w:p w14:paraId="09C4D5D4">
            <w:pPr>
              <w:autoSpaceDE w:val="0"/>
              <w:autoSpaceDN w:val="0"/>
              <w:adjustRightInd w:val="0"/>
              <w:spacing w:line="360" w:lineRule="auto"/>
              <w:jc w:val="both"/>
              <w:rPr>
                <w:rFonts w:ascii="宋体" w:hAnsi="宋体"/>
                <w:sz w:val="21"/>
                <w:szCs w:val="21"/>
              </w:rPr>
            </w:pPr>
            <w:r>
              <w:rPr>
                <w:rFonts w:ascii="宋体" w:hAnsi="宋体"/>
                <w:sz w:val="21"/>
                <w:szCs w:val="21"/>
              </w:rPr>
              <w:t>2.1.3</w:t>
            </w:r>
          </w:p>
        </w:tc>
        <w:tc>
          <w:tcPr>
            <w:tcW w:w="756" w:type="dxa"/>
            <w:gridSpan w:val="2"/>
            <w:vMerge w:val="restart"/>
            <w:vAlign w:val="center"/>
          </w:tcPr>
          <w:p w14:paraId="5F4BDD63">
            <w:pPr>
              <w:autoSpaceDE w:val="0"/>
              <w:autoSpaceDN w:val="0"/>
              <w:adjustRightInd w:val="0"/>
              <w:spacing w:line="360" w:lineRule="auto"/>
              <w:jc w:val="both"/>
              <w:rPr>
                <w:rFonts w:ascii="宋体" w:hAnsi="宋体"/>
                <w:sz w:val="21"/>
                <w:szCs w:val="21"/>
              </w:rPr>
            </w:pPr>
            <w:r>
              <w:rPr>
                <w:rFonts w:ascii="宋体" w:hAnsi="宋体"/>
                <w:sz w:val="21"/>
                <w:szCs w:val="21"/>
              </w:rPr>
              <w:t>响应性评审</w:t>
            </w:r>
            <w:r>
              <w:rPr>
                <w:rFonts w:hint="eastAsia" w:ascii="宋体" w:hAnsi="宋体"/>
                <w:sz w:val="21"/>
                <w:szCs w:val="21"/>
              </w:rPr>
              <w:t>标准</w:t>
            </w:r>
          </w:p>
        </w:tc>
        <w:tc>
          <w:tcPr>
            <w:tcW w:w="2666" w:type="dxa"/>
            <w:gridSpan w:val="2"/>
            <w:vAlign w:val="center"/>
          </w:tcPr>
          <w:p w14:paraId="7C7901B8">
            <w:pPr>
              <w:spacing w:line="360" w:lineRule="auto"/>
              <w:jc w:val="both"/>
              <w:rPr>
                <w:rFonts w:ascii="宋体" w:hAnsi="宋体"/>
                <w:sz w:val="21"/>
                <w:szCs w:val="21"/>
              </w:rPr>
            </w:pPr>
            <w:r>
              <w:rPr>
                <w:rFonts w:hint="eastAsia" w:ascii="宋体" w:hAnsi="宋体"/>
                <w:sz w:val="21"/>
                <w:szCs w:val="21"/>
              </w:rPr>
              <w:t>工期</w:t>
            </w:r>
          </w:p>
        </w:tc>
        <w:tc>
          <w:tcPr>
            <w:tcW w:w="5387" w:type="dxa"/>
            <w:vAlign w:val="center"/>
          </w:tcPr>
          <w:p w14:paraId="4943D91E">
            <w:pPr>
              <w:spacing w:line="360" w:lineRule="auto"/>
              <w:jc w:val="both"/>
              <w:rPr>
                <w:rFonts w:ascii="宋体" w:hAnsi="宋体"/>
                <w:sz w:val="21"/>
                <w:szCs w:val="21"/>
              </w:rPr>
            </w:pPr>
            <w:r>
              <w:rPr>
                <w:rFonts w:hint="eastAsia" w:ascii="宋体" w:hAnsi="宋体"/>
                <w:sz w:val="21"/>
                <w:szCs w:val="21"/>
              </w:rPr>
              <w:t>符合第二章投标人须知前附表“1.3.2”项规定</w:t>
            </w:r>
          </w:p>
        </w:tc>
      </w:tr>
      <w:tr w14:paraId="7653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09312FA1">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3EFCD7AE">
            <w:pPr>
              <w:autoSpaceDE w:val="0"/>
              <w:autoSpaceDN w:val="0"/>
              <w:adjustRightInd w:val="0"/>
              <w:spacing w:line="360" w:lineRule="auto"/>
              <w:jc w:val="both"/>
              <w:rPr>
                <w:rFonts w:ascii="宋体" w:hAnsi="宋体"/>
                <w:sz w:val="21"/>
                <w:szCs w:val="21"/>
              </w:rPr>
            </w:pPr>
          </w:p>
        </w:tc>
        <w:tc>
          <w:tcPr>
            <w:tcW w:w="2666" w:type="dxa"/>
            <w:gridSpan w:val="2"/>
            <w:vAlign w:val="center"/>
          </w:tcPr>
          <w:p w14:paraId="04EAFDCA">
            <w:pPr>
              <w:spacing w:line="360" w:lineRule="auto"/>
              <w:jc w:val="both"/>
              <w:rPr>
                <w:rFonts w:ascii="宋体" w:hAnsi="宋体"/>
                <w:sz w:val="21"/>
                <w:szCs w:val="21"/>
              </w:rPr>
            </w:pPr>
            <w:r>
              <w:rPr>
                <w:rFonts w:hint="eastAsia" w:ascii="宋体" w:hAnsi="宋体"/>
                <w:sz w:val="21"/>
                <w:szCs w:val="21"/>
              </w:rPr>
              <w:t>质量要求</w:t>
            </w:r>
          </w:p>
        </w:tc>
        <w:tc>
          <w:tcPr>
            <w:tcW w:w="5387" w:type="dxa"/>
            <w:vAlign w:val="center"/>
          </w:tcPr>
          <w:p w14:paraId="4616DE1D">
            <w:pPr>
              <w:spacing w:line="360" w:lineRule="auto"/>
              <w:jc w:val="both"/>
              <w:rPr>
                <w:rFonts w:ascii="宋体" w:hAnsi="宋体"/>
                <w:sz w:val="21"/>
                <w:szCs w:val="21"/>
              </w:rPr>
            </w:pPr>
            <w:r>
              <w:rPr>
                <w:rFonts w:hint="eastAsia" w:ascii="宋体" w:hAnsi="宋体"/>
                <w:sz w:val="21"/>
                <w:szCs w:val="21"/>
              </w:rPr>
              <w:t>符合第二章投标人须知前附表“1.3.3”项规定</w:t>
            </w:r>
          </w:p>
        </w:tc>
      </w:tr>
      <w:tr w14:paraId="3C1C9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07EEA014">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687FDAD5">
            <w:pPr>
              <w:autoSpaceDE w:val="0"/>
              <w:autoSpaceDN w:val="0"/>
              <w:adjustRightInd w:val="0"/>
              <w:spacing w:line="360" w:lineRule="auto"/>
              <w:jc w:val="both"/>
              <w:rPr>
                <w:rFonts w:ascii="宋体" w:hAnsi="宋体"/>
                <w:sz w:val="21"/>
                <w:szCs w:val="21"/>
              </w:rPr>
            </w:pPr>
          </w:p>
        </w:tc>
        <w:tc>
          <w:tcPr>
            <w:tcW w:w="2666" w:type="dxa"/>
            <w:gridSpan w:val="2"/>
            <w:vAlign w:val="center"/>
          </w:tcPr>
          <w:p w14:paraId="0BFB06BB">
            <w:pPr>
              <w:spacing w:line="360" w:lineRule="auto"/>
              <w:jc w:val="both"/>
              <w:rPr>
                <w:rFonts w:ascii="宋体" w:hAnsi="宋体"/>
                <w:sz w:val="21"/>
                <w:szCs w:val="21"/>
              </w:rPr>
            </w:pPr>
            <w:r>
              <w:rPr>
                <w:rFonts w:hint="eastAsia" w:ascii="宋体" w:hAnsi="宋体"/>
                <w:sz w:val="21"/>
                <w:szCs w:val="21"/>
              </w:rPr>
              <w:t>质保期</w:t>
            </w:r>
          </w:p>
        </w:tc>
        <w:tc>
          <w:tcPr>
            <w:tcW w:w="5387" w:type="dxa"/>
            <w:vAlign w:val="center"/>
          </w:tcPr>
          <w:p w14:paraId="383DF63F">
            <w:pPr>
              <w:spacing w:line="360" w:lineRule="auto"/>
              <w:jc w:val="both"/>
              <w:rPr>
                <w:rFonts w:ascii="宋体" w:hAnsi="宋体"/>
                <w:sz w:val="21"/>
                <w:szCs w:val="21"/>
              </w:rPr>
            </w:pPr>
            <w:r>
              <w:rPr>
                <w:rFonts w:hint="eastAsia" w:ascii="宋体" w:hAnsi="宋体"/>
                <w:sz w:val="21"/>
                <w:szCs w:val="21"/>
              </w:rPr>
              <w:t>符合第二章投标人须知前附表“1.3.</w:t>
            </w:r>
            <w:r>
              <w:rPr>
                <w:rFonts w:ascii="宋体" w:hAnsi="宋体"/>
                <w:sz w:val="21"/>
                <w:szCs w:val="21"/>
              </w:rPr>
              <w:t>4</w:t>
            </w:r>
            <w:r>
              <w:rPr>
                <w:rFonts w:hint="eastAsia" w:ascii="宋体" w:hAnsi="宋体"/>
                <w:sz w:val="21"/>
                <w:szCs w:val="21"/>
              </w:rPr>
              <w:t>”项规定</w:t>
            </w:r>
          </w:p>
        </w:tc>
      </w:tr>
      <w:tr w14:paraId="0D7D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3114A9AB">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00BDD0CE">
            <w:pPr>
              <w:autoSpaceDE w:val="0"/>
              <w:autoSpaceDN w:val="0"/>
              <w:adjustRightInd w:val="0"/>
              <w:spacing w:line="360" w:lineRule="auto"/>
              <w:jc w:val="both"/>
              <w:rPr>
                <w:rFonts w:ascii="宋体" w:hAnsi="宋体"/>
                <w:sz w:val="21"/>
                <w:szCs w:val="21"/>
              </w:rPr>
            </w:pPr>
          </w:p>
        </w:tc>
        <w:tc>
          <w:tcPr>
            <w:tcW w:w="2666" w:type="dxa"/>
            <w:gridSpan w:val="2"/>
            <w:vAlign w:val="center"/>
          </w:tcPr>
          <w:p w14:paraId="0D000D7C">
            <w:pPr>
              <w:spacing w:line="360" w:lineRule="auto"/>
              <w:jc w:val="both"/>
              <w:rPr>
                <w:rFonts w:ascii="宋体" w:hAnsi="宋体"/>
                <w:sz w:val="21"/>
                <w:szCs w:val="21"/>
              </w:rPr>
            </w:pPr>
            <w:r>
              <w:rPr>
                <w:rFonts w:ascii="宋体" w:hAnsi="宋体"/>
                <w:sz w:val="21"/>
                <w:szCs w:val="21"/>
              </w:rPr>
              <w:t>投标有效期</w:t>
            </w:r>
          </w:p>
        </w:tc>
        <w:tc>
          <w:tcPr>
            <w:tcW w:w="5387" w:type="dxa"/>
            <w:vAlign w:val="center"/>
          </w:tcPr>
          <w:p w14:paraId="56120CB0">
            <w:pPr>
              <w:spacing w:line="360" w:lineRule="auto"/>
              <w:jc w:val="both"/>
              <w:rPr>
                <w:rFonts w:ascii="宋体" w:hAnsi="宋体"/>
                <w:sz w:val="21"/>
                <w:szCs w:val="21"/>
              </w:rPr>
            </w:pPr>
            <w:r>
              <w:rPr>
                <w:rFonts w:hint="eastAsia" w:ascii="宋体" w:hAnsi="宋体"/>
                <w:sz w:val="21"/>
                <w:szCs w:val="21"/>
              </w:rPr>
              <w:t>符合第二章投标人须知前附表“3.3.1”项规定</w:t>
            </w:r>
          </w:p>
        </w:tc>
      </w:tr>
      <w:tr w14:paraId="5725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26C68AFB">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29CE8F95">
            <w:pPr>
              <w:autoSpaceDE w:val="0"/>
              <w:autoSpaceDN w:val="0"/>
              <w:adjustRightInd w:val="0"/>
              <w:spacing w:line="360" w:lineRule="auto"/>
              <w:jc w:val="both"/>
              <w:rPr>
                <w:rFonts w:ascii="宋体" w:hAnsi="宋体"/>
                <w:sz w:val="21"/>
                <w:szCs w:val="21"/>
              </w:rPr>
            </w:pPr>
          </w:p>
        </w:tc>
        <w:tc>
          <w:tcPr>
            <w:tcW w:w="2666" w:type="dxa"/>
            <w:gridSpan w:val="2"/>
            <w:vAlign w:val="center"/>
          </w:tcPr>
          <w:p w14:paraId="74671D25">
            <w:pPr>
              <w:autoSpaceDE w:val="0"/>
              <w:autoSpaceDN w:val="0"/>
              <w:adjustRightInd w:val="0"/>
              <w:spacing w:line="360" w:lineRule="auto"/>
              <w:jc w:val="both"/>
              <w:rPr>
                <w:rFonts w:ascii="宋体" w:hAnsi="宋体"/>
                <w:sz w:val="21"/>
                <w:szCs w:val="21"/>
              </w:rPr>
            </w:pPr>
            <w:r>
              <w:rPr>
                <w:rFonts w:hint="eastAsia" w:ascii="宋体" w:hAnsi="宋体"/>
                <w:sz w:val="21"/>
                <w:szCs w:val="21"/>
              </w:rPr>
              <w:t>投标保证金</w:t>
            </w:r>
          </w:p>
        </w:tc>
        <w:tc>
          <w:tcPr>
            <w:tcW w:w="5387" w:type="dxa"/>
            <w:vAlign w:val="center"/>
          </w:tcPr>
          <w:p w14:paraId="32D6025D">
            <w:pPr>
              <w:autoSpaceDE w:val="0"/>
              <w:autoSpaceDN w:val="0"/>
              <w:adjustRightInd w:val="0"/>
              <w:spacing w:line="360" w:lineRule="auto"/>
              <w:jc w:val="both"/>
              <w:rPr>
                <w:rFonts w:ascii="宋体" w:hAnsi="宋体"/>
                <w:sz w:val="21"/>
                <w:szCs w:val="21"/>
              </w:rPr>
            </w:pPr>
            <w:r>
              <w:rPr>
                <w:rFonts w:hint="eastAsia" w:ascii="宋体" w:hAnsi="宋体"/>
                <w:sz w:val="21"/>
                <w:szCs w:val="21"/>
              </w:rPr>
              <w:t>符合第二章“投标人须知”第3.4.1项规定</w:t>
            </w:r>
          </w:p>
        </w:tc>
      </w:tr>
      <w:tr w14:paraId="41D9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522985F9">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1E05833E">
            <w:pPr>
              <w:autoSpaceDE w:val="0"/>
              <w:autoSpaceDN w:val="0"/>
              <w:adjustRightInd w:val="0"/>
              <w:spacing w:line="360" w:lineRule="auto"/>
              <w:jc w:val="both"/>
              <w:rPr>
                <w:rFonts w:ascii="宋体" w:hAnsi="宋体"/>
                <w:sz w:val="21"/>
                <w:szCs w:val="21"/>
              </w:rPr>
            </w:pPr>
          </w:p>
        </w:tc>
        <w:tc>
          <w:tcPr>
            <w:tcW w:w="2666" w:type="dxa"/>
            <w:gridSpan w:val="2"/>
            <w:vAlign w:val="center"/>
          </w:tcPr>
          <w:p w14:paraId="54889692">
            <w:pPr>
              <w:spacing w:line="360" w:lineRule="auto"/>
              <w:jc w:val="both"/>
              <w:rPr>
                <w:rFonts w:ascii="宋体" w:hAnsi="宋体"/>
                <w:sz w:val="21"/>
                <w:szCs w:val="21"/>
              </w:rPr>
            </w:pPr>
            <w:r>
              <w:rPr>
                <w:rFonts w:hint="eastAsia" w:ascii="宋体" w:hAnsi="宋体"/>
                <w:sz w:val="21"/>
                <w:szCs w:val="21"/>
              </w:rPr>
              <w:t>权利义务</w:t>
            </w:r>
          </w:p>
        </w:tc>
        <w:tc>
          <w:tcPr>
            <w:tcW w:w="5387" w:type="dxa"/>
            <w:vAlign w:val="center"/>
          </w:tcPr>
          <w:p w14:paraId="17054FF5">
            <w:pPr>
              <w:spacing w:line="360" w:lineRule="auto"/>
              <w:jc w:val="both"/>
              <w:rPr>
                <w:rFonts w:ascii="宋体" w:hAnsi="宋体"/>
                <w:sz w:val="21"/>
                <w:szCs w:val="21"/>
              </w:rPr>
            </w:pPr>
            <w:r>
              <w:rPr>
                <w:rFonts w:hint="eastAsia" w:ascii="宋体" w:hAnsi="宋体"/>
                <w:sz w:val="21"/>
                <w:szCs w:val="21"/>
              </w:rPr>
              <w:t>符合第四章“合同主要条款”规定</w:t>
            </w:r>
          </w:p>
        </w:tc>
      </w:tr>
      <w:tr w14:paraId="1768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4582B8DC">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42FA9E72">
            <w:pPr>
              <w:autoSpaceDE w:val="0"/>
              <w:autoSpaceDN w:val="0"/>
              <w:adjustRightInd w:val="0"/>
              <w:spacing w:line="360" w:lineRule="auto"/>
              <w:jc w:val="both"/>
              <w:rPr>
                <w:rFonts w:ascii="宋体" w:hAnsi="宋体"/>
                <w:sz w:val="21"/>
                <w:szCs w:val="21"/>
              </w:rPr>
            </w:pPr>
          </w:p>
        </w:tc>
        <w:tc>
          <w:tcPr>
            <w:tcW w:w="2666" w:type="dxa"/>
            <w:gridSpan w:val="2"/>
            <w:vAlign w:val="center"/>
          </w:tcPr>
          <w:p w14:paraId="239D630B">
            <w:pPr>
              <w:spacing w:line="360" w:lineRule="auto"/>
              <w:jc w:val="both"/>
              <w:rPr>
                <w:rFonts w:ascii="宋体" w:hAnsi="宋体"/>
                <w:sz w:val="21"/>
                <w:szCs w:val="21"/>
              </w:rPr>
            </w:pPr>
            <w:r>
              <w:rPr>
                <w:rFonts w:ascii="宋体" w:hAnsi="宋体"/>
                <w:sz w:val="21"/>
                <w:szCs w:val="21"/>
              </w:rPr>
              <w:t>技术</w:t>
            </w:r>
            <w:r>
              <w:rPr>
                <w:rFonts w:hint="eastAsia" w:ascii="宋体" w:hAnsi="宋体"/>
                <w:sz w:val="21"/>
                <w:szCs w:val="21"/>
              </w:rPr>
              <w:t>标准和</w:t>
            </w:r>
            <w:r>
              <w:rPr>
                <w:rFonts w:ascii="宋体" w:hAnsi="宋体"/>
                <w:sz w:val="21"/>
                <w:szCs w:val="21"/>
              </w:rPr>
              <w:t>要求</w:t>
            </w:r>
          </w:p>
        </w:tc>
        <w:tc>
          <w:tcPr>
            <w:tcW w:w="5387" w:type="dxa"/>
            <w:vAlign w:val="center"/>
          </w:tcPr>
          <w:p w14:paraId="67ED587D">
            <w:pPr>
              <w:spacing w:line="360" w:lineRule="auto"/>
              <w:jc w:val="both"/>
              <w:rPr>
                <w:rFonts w:ascii="宋体" w:hAnsi="宋体"/>
                <w:sz w:val="21"/>
                <w:szCs w:val="21"/>
              </w:rPr>
            </w:pPr>
            <w:r>
              <w:rPr>
                <w:rFonts w:ascii="宋体" w:hAnsi="宋体"/>
                <w:sz w:val="21"/>
                <w:szCs w:val="21"/>
              </w:rPr>
              <w:t>符合第</w:t>
            </w:r>
            <w:r>
              <w:rPr>
                <w:rFonts w:hint="eastAsia" w:ascii="宋体" w:hAnsi="宋体"/>
                <w:sz w:val="21"/>
                <w:szCs w:val="21"/>
              </w:rPr>
              <w:t>五</w:t>
            </w:r>
            <w:r>
              <w:rPr>
                <w:rFonts w:ascii="宋体" w:hAnsi="宋体"/>
                <w:sz w:val="21"/>
                <w:szCs w:val="21"/>
              </w:rPr>
              <w:t>章“技术</w:t>
            </w:r>
            <w:r>
              <w:rPr>
                <w:rFonts w:hint="eastAsia" w:ascii="宋体" w:hAnsi="宋体"/>
                <w:sz w:val="21"/>
                <w:szCs w:val="21"/>
              </w:rPr>
              <w:t>标准和</w:t>
            </w:r>
            <w:r>
              <w:rPr>
                <w:rFonts w:ascii="宋体" w:hAnsi="宋体"/>
                <w:sz w:val="21"/>
                <w:szCs w:val="21"/>
              </w:rPr>
              <w:t>要求”规定</w:t>
            </w:r>
          </w:p>
        </w:tc>
      </w:tr>
      <w:tr w14:paraId="4FEB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2247532E">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254EDBA9">
            <w:pPr>
              <w:autoSpaceDE w:val="0"/>
              <w:autoSpaceDN w:val="0"/>
              <w:adjustRightInd w:val="0"/>
              <w:spacing w:line="360" w:lineRule="auto"/>
              <w:jc w:val="both"/>
              <w:rPr>
                <w:rFonts w:ascii="宋体" w:hAnsi="宋体"/>
                <w:sz w:val="21"/>
                <w:szCs w:val="21"/>
              </w:rPr>
            </w:pPr>
          </w:p>
        </w:tc>
        <w:tc>
          <w:tcPr>
            <w:tcW w:w="2666" w:type="dxa"/>
            <w:gridSpan w:val="2"/>
            <w:vAlign w:val="center"/>
          </w:tcPr>
          <w:p w14:paraId="5D4DB4F7">
            <w:pPr>
              <w:spacing w:line="360" w:lineRule="auto"/>
              <w:jc w:val="both"/>
              <w:rPr>
                <w:rFonts w:ascii="宋体" w:hAnsi="宋体"/>
                <w:sz w:val="21"/>
                <w:szCs w:val="21"/>
              </w:rPr>
            </w:pPr>
            <w:r>
              <w:rPr>
                <w:rFonts w:hint="eastAsia" w:ascii="宋体" w:hAnsi="宋体"/>
                <w:sz w:val="21"/>
                <w:szCs w:val="21"/>
              </w:rPr>
              <w:t>投标报价</w:t>
            </w:r>
          </w:p>
        </w:tc>
        <w:tc>
          <w:tcPr>
            <w:tcW w:w="5387" w:type="dxa"/>
            <w:vAlign w:val="center"/>
          </w:tcPr>
          <w:p w14:paraId="09244804">
            <w:pPr>
              <w:spacing w:line="360" w:lineRule="auto"/>
              <w:jc w:val="both"/>
              <w:rPr>
                <w:rFonts w:ascii="宋体" w:hAnsi="宋体"/>
                <w:sz w:val="21"/>
                <w:szCs w:val="21"/>
              </w:rPr>
            </w:pPr>
            <w:r>
              <w:rPr>
                <w:rFonts w:hint="eastAsia" w:ascii="宋体" w:hAnsi="宋体"/>
                <w:sz w:val="21"/>
                <w:szCs w:val="21"/>
              </w:rPr>
              <w:t>按</w:t>
            </w:r>
            <w:r>
              <w:rPr>
                <w:rFonts w:ascii="宋体" w:hAnsi="宋体"/>
                <w:sz w:val="21"/>
                <w:szCs w:val="21"/>
              </w:rPr>
              <w:t>招标文件要求</w:t>
            </w:r>
            <w:r>
              <w:rPr>
                <w:rFonts w:hint="eastAsia" w:ascii="宋体" w:hAnsi="宋体"/>
                <w:sz w:val="21"/>
                <w:szCs w:val="21"/>
              </w:rPr>
              <w:t>报价，不超过最高投标限价。</w:t>
            </w:r>
          </w:p>
        </w:tc>
      </w:tr>
      <w:tr w14:paraId="4776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194A651B">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561584E3">
            <w:pPr>
              <w:autoSpaceDE w:val="0"/>
              <w:autoSpaceDN w:val="0"/>
              <w:adjustRightInd w:val="0"/>
              <w:spacing w:line="360" w:lineRule="auto"/>
              <w:jc w:val="both"/>
              <w:rPr>
                <w:rFonts w:ascii="宋体" w:hAnsi="宋体"/>
                <w:sz w:val="21"/>
                <w:szCs w:val="21"/>
              </w:rPr>
            </w:pPr>
          </w:p>
        </w:tc>
        <w:tc>
          <w:tcPr>
            <w:tcW w:w="2666" w:type="dxa"/>
            <w:gridSpan w:val="2"/>
            <w:vAlign w:val="center"/>
          </w:tcPr>
          <w:p w14:paraId="1297EEA1">
            <w:pPr>
              <w:spacing w:line="360" w:lineRule="auto"/>
              <w:jc w:val="both"/>
              <w:rPr>
                <w:rFonts w:ascii="宋体" w:hAnsi="宋体"/>
                <w:sz w:val="21"/>
                <w:szCs w:val="21"/>
              </w:rPr>
            </w:pPr>
            <w:r>
              <w:rPr>
                <w:rFonts w:hint="eastAsia" w:ascii="宋体" w:hAnsi="宋体"/>
                <w:sz w:val="21"/>
                <w:szCs w:val="21"/>
              </w:rPr>
              <w:t>实质性要求</w:t>
            </w:r>
          </w:p>
        </w:tc>
        <w:tc>
          <w:tcPr>
            <w:tcW w:w="5387" w:type="dxa"/>
            <w:vAlign w:val="center"/>
          </w:tcPr>
          <w:p w14:paraId="69AA5B1F">
            <w:pPr>
              <w:spacing w:line="360" w:lineRule="auto"/>
              <w:jc w:val="both"/>
              <w:rPr>
                <w:rFonts w:ascii="宋体" w:hAnsi="宋体"/>
                <w:sz w:val="21"/>
                <w:szCs w:val="21"/>
              </w:rPr>
            </w:pPr>
            <w:r>
              <w:rPr>
                <w:rFonts w:hint="eastAsia" w:ascii="宋体" w:hAnsi="宋体"/>
                <w:sz w:val="21"/>
                <w:szCs w:val="21"/>
              </w:rPr>
              <w:t>符合招标文件中规定的其它实质性要求</w:t>
            </w:r>
          </w:p>
        </w:tc>
      </w:tr>
      <w:tr w14:paraId="346F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2C69B3C5">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6E2263DB">
            <w:pPr>
              <w:autoSpaceDE w:val="0"/>
              <w:autoSpaceDN w:val="0"/>
              <w:adjustRightInd w:val="0"/>
              <w:spacing w:line="360" w:lineRule="auto"/>
              <w:jc w:val="both"/>
              <w:rPr>
                <w:rFonts w:ascii="宋体" w:hAnsi="宋体"/>
                <w:sz w:val="21"/>
                <w:szCs w:val="21"/>
              </w:rPr>
            </w:pPr>
          </w:p>
        </w:tc>
        <w:tc>
          <w:tcPr>
            <w:tcW w:w="2666" w:type="dxa"/>
            <w:gridSpan w:val="2"/>
            <w:vAlign w:val="center"/>
          </w:tcPr>
          <w:p w14:paraId="385DB9DA">
            <w:pPr>
              <w:spacing w:line="360" w:lineRule="auto"/>
              <w:jc w:val="both"/>
              <w:rPr>
                <w:rFonts w:ascii="宋体" w:hAnsi="宋体"/>
                <w:sz w:val="21"/>
                <w:szCs w:val="21"/>
              </w:rPr>
            </w:pPr>
            <w:r>
              <w:rPr>
                <w:rFonts w:hint="eastAsia" w:ascii="宋体" w:hAnsi="宋体"/>
                <w:sz w:val="21"/>
                <w:szCs w:val="21"/>
              </w:rPr>
              <w:t>否决投标条件</w:t>
            </w:r>
          </w:p>
        </w:tc>
        <w:tc>
          <w:tcPr>
            <w:tcW w:w="5387" w:type="dxa"/>
            <w:vAlign w:val="center"/>
          </w:tcPr>
          <w:p w14:paraId="7EAFAC3E">
            <w:pPr>
              <w:spacing w:line="360" w:lineRule="auto"/>
              <w:jc w:val="both"/>
              <w:rPr>
                <w:rFonts w:ascii="宋体" w:hAnsi="宋体"/>
                <w:sz w:val="21"/>
                <w:szCs w:val="21"/>
              </w:rPr>
            </w:pPr>
            <w:r>
              <w:rPr>
                <w:rFonts w:hint="eastAsia" w:ascii="宋体" w:hAnsi="宋体"/>
                <w:sz w:val="21"/>
                <w:szCs w:val="21"/>
              </w:rPr>
              <w:t>不得出现第三章“评标办法”附件B规定的情形</w:t>
            </w:r>
          </w:p>
        </w:tc>
      </w:tr>
      <w:tr w14:paraId="3B2A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vMerge w:val="continue"/>
            <w:vAlign w:val="center"/>
          </w:tcPr>
          <w:p w14:paraId="41412735">
            <w:pPr>
              <w:autoSpaceDE w:val="0"/>
              <w:autoSpaceDN w:val="0"/>
              <w:adjustRightInd w:val="0"/>
              <w:spacing w:line="360" w:lineRule="auto"/>
              <w:jc w:val="both"/>
              <w:rPr>
                <w:rFonts w:ascii="宋体" w:hAnsi="宋体"/>
                <w:sz w:val="21"/>
                <w:szCs w:val="21"/>
              </w:rPr>
            </w:pPr>
          </w:p>
        </w:tc>
        <w:tc>
          <w:tcPr>
            <w:tcW w:w="756" w:type="dxa"/>
            <w:gridSpan w:val="2"/>
            <w:vMerge w:val="continue"/>
            <w:vAlign w:val="center"/>
          </w:tcPr>
          <w:p w14:paraId="7B8A0034">
            <w:pPr>
              <w:autoSpaceDE w:val="0"/>
              <w:autoSpaceDN w:val="0"/>
              <w:adjustRightInd w:val="0"/>
              <w:spacing w:line="360" w:lineRule="auto"/>
              <w:jc w:val="both"/>
              <w:rPr>
                <w:rFonts w:ascii="宋体" w:hAnsi="宋体"/>
                <w:sz w:val="21"/>
                <w:szCs w:val="21"/>
              </w:rPr>
            </w:pPr>
          </w:p>
        </w:tc>
        <w:tc>
          <w:tcPr>
            <w:tcW w:w="2666" w:type="dxa"/>
            <w:gridSpan w:val="2"/>
            <w:vAlign w:val="center"/>
          </w:tcPr>
          <w:p w14:paraId="7836D6EE">
            <w:pPr>
              <w:spacing w:line="360" w:lineRule="auto"/>
              <w:jc w:val="both"/>
              <w:rPr>
                <w:rFonts w:ascii="宋体" w:hAnsi="宋体"/>
                <w:sz w:val="21"/>
                <w:szCs w:val="21"/>
              </w:rPr>
            </w:pPr>
            <w:r>
              <w:rPr>
                <w:rFonts w:hint="eastAsia" w:ascii="宋体" w:hAnsi="宋体"/>
                <w:sz w:val="21"/>
                <w:szCs w:val="21"/>
              </w:rPr>
              <w:t>其他</w:t>
            </w:r>
          </w:p>
        </w:tc>
        <w:tc>
          <w:tcPr>
            <w:tcW w:w="5387" w:type="dxa"/>
            <w:vAlign w:val="center"/>
          </w:tcPr>
          <w:p w14:paraId="6AE05508">
            <w:pPr>
              <w:spacing w:line="360" w:lineRule="auto"/>
              <w:jc w:val="both"/>
              <w:rPr>
                <w:rFonts w:ascii="宋体" w:hAnsi="宋体"/>
                <w:sz w:val="21"/>
                <w:szCs w:val="21"/>
              </w:rPr>
            </w:pPr>
            <w:r>
              <w:rPr>
                <w:rFonts w:hint="eastAsia" w:ascii="宋体" w:hAnsi="宋体"/>
                <w:sz w:val="21"/>
                <w:szCs w:val="21"/>
              </w:rPr>
              <w:t>投标文件中未附有招标人不能接受的条件的</w:t>
            </w:r>
          </w:p>
        </w:tc>
      </w:tr>
      <w:tr w14:paraId="5ACA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7" w:type="dxa"/>
            <w:gridSpan w:val="3"/>
            <w:vAlign w:val="center"/>
          </w:tcPr>
          <w:p w14:paraId="7A14BCF0">
            <w:pPr>
              <w:autoSpaceDE w:val="0"/>
              <w:autoSpaceDN w:val="0"/>
              <w:adjustRightInd w:val="0"/>
              <w:spacing w:line="360" w:lineRule="auto"/>
              <w:jc w:val="both"/>
              <w:rPr>
                <w:rFonts w:ascii="宋体" w:hAnsi="宋体"/>
                <w:sz w:val="21"/>
                <w:szCs w:val="21"/>
              </w:rPr>
            </w:pPr>
            <w:r>
              <w:rPr>
                <w:rFonts w:ascii="宋体" w:hAnsi="宋体"/>
                <w:sz w:val="21"/>
                <w:szCs w:val="21"/>
              </w:rPr>
              <w:t>条款号</w:t>
            </w:r>
          </w:p>
        </w:tc>
        <w:tc>
          <w:tcPr>
            <w:tcW w:w="2666" w:type="dxa"/>
            <w:gridSpan w:val="2"/>
            <w:vAlign w:val="center"/>
          </w:tcPr>
          <w:p w14:paraId="08A14B90">
            <w:pPr>
              <w:pStyle w:val="58"/>
              <w:spacing w:line="360" w:lineRule="auto"/>
              <w:jc w:val="both"/>
              <w:rPr>
                <w:kern w:val="2"/>
                <w:sz w:val="21"/>
                <w:szCs w:val="21"/>
              </w:rPr>
            </w:pPr>
            <w:r>
              <w:rPr>
                <w:kern w:val="2"/>
                <w:sz w:val="21"/>
                <w:szCs w:val="21"/>
              </w:rPr>
              <w:t>条款内容</w:t>
            </w:r>
          </w:p>
        </w:tc>
        <w:tc>
          <w:tcPr>
            <w:tcW w:w="5387" w:type="dxa"/>
            <w:vAlign w:val="center"/>
          </w:tcPr>
          <w:p w14:paraId="2EDC76E8">
            <w:pPr>
              <w:pStyle w:val="58"/>
              <w:spacing w:line="360" w:lineRule="auto"/>
              <w:jc w:val="both"/>
              <w:rPr>
                <w:kern w:val="2"/>
                <w:sz w:val="21"/>
                <w:szCs w:val="21"/>
              </w:rPr>
            </w:pPr>
            <w:r>
              <w:rPr>
                <w:kern w:val="2"/>
                <w:sz w:val="21"/>
                <w:szCs w:val="21"/>
              </w:rPr>
              <w:t>编列内容</w:t>
            </w:r>
          </w:p>
        </w:tc>
      </w:tr>
      <w:tr w14:paraId="6072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587" w:type="dxa"/>
            <w:gridSpan w:val="3"/>
            <w:vAlign w:val="center"/>
          </w:tcPr>
          <w:p w14:paraId="20E3D2A8">
            <w:pPr>
              <w:autoSpaceDE w:val="0"/>
              <w:autoSpaceDN w:val="0"/>
              <w:adjustRightInd w:val="0"/>
              <w:spacing w:line="360" w:lineRule="auto"/>
              <w:jc w:val="both"/>
              <w:rPr>
                <w:rFonts w:ascii="宋体" w:hAnsi="宋体"/>
                <w:sz w:val="21"/>
                <w:szCs w:val="21"/>
              </w:rPr>
            </w:pPr>
            <w:r>
              <w:rPr>
                <w:rStyle w:val="640"/>
                <w:rFonts w:hint="eastAsia" w:ascii="宋体" w:hAnsi="宋体"/>
                <w:sz w:val="21"/>
                <w:szCs w:val="21"/>
              </w:rPr>
              <w:t>2</w:t>
            </w:r>
            <w:r>
              <w:rPr>
                <w:rStyle w:val="640"/>
                <w:rFonts w:ascii="宋体" w:hAnsi="宋体"/>
                <w:sz w:val="21"/>
                <w:szCs w:val="21"/>
              </w:rPr>
              <w:t>.2</w:t>
            </w:r>
          </w:p>
        </w:tc>
        <w:tc>
          <w:tcPr>
            <w:tcW w:w="2666" w:type="dxa"/>
            <w:gridSpan w:val="2"/>
            <w:vAlign w:val="center"/>
          </w:tcPr>
          <w:p w14:paraId="5F15428F">
            <w:pPr>
              <w:pStyle w:val="58"/>
              <w:spacing w:line="360" w:lineRule="auto"/>
              <w:jc w:val="both"/>
              <w:rPr>
                <w:kern w:val="2"/>
                <w:sz w:val="21"/>
                <w:szCs w:val="21"/>
              </w:rPr>
            </w:pPr>
            <w:r>
              <w:rPr>
                <w:b/>
                <w:bCs/>
                <w:kern w:val="2"/>
                <w:sz w:val="21"/>
                <w:szCs w:val="21"/>
              </w:rPr>
              <w:t>分值构成（技术部分</w:t>
            </w:r>
            <w:r>
              <w:rPr>
                <w:rFonts w:hint="eastAsia"/>
                <w:b/>
                <w:bCs/>
                <w:kern w:val="2"/>
                <w:sz w:val="21"/>
                <w:szCs w:val="21"/>
              </w:rPr>
              <w:t>和</w:t>
            </w:r>
            <w:r>
              <w:rPr>
                <w:b/>
                <w:bCs/>
                <w:kern w:val="2"/>
                <w:sz w:val="21"/>
                <w:szCs w:val="21"/>
              </w:rPr>
              <w:t>商务部分</w:t>
            </w:r>
            <w:r>
              <w:rPr>
                <w:rFonts w:hint="eastAsia"/>
                <w:b/>
                <w:bCs/>
                <w:kern w:val="2"/>
                <w:sz w:val="21"/>
                <w:szCs w:val="21"/>
              </w:rPr>
              <w:t>满分</w:t>
            </w:r>
            <w:r>
              <w:rPr>
                <w:b/>
                <w:bCs/>
                <w:kern w:val="2"/>
                <w:sz w:val="21"/>
                <w:szCs w:val="21"/>
              </w:rPr>
              <w:t>为100分）</w:t>
            </w:r>
          </w:p>
        </w:tc>
        <w:tc>
          <w:tcPr>
            <w:tcW w:w="5387" w:type="dxa"/>
            <w:vAlign w:val="center"/>
          </w:tcPr>
          <w:p w14:paraId="4DA74562">
            <w:pPr>
              <w:spacing w:line="360" w:lineRule="auto"/>
              <w:jc w:val="both"/>
              <w:rPr>
                <w:rFonts w:ascii="宋体" w:hAnsi="宋体"/>
                <w:sz w:val="21"/>
                <w:szCs w:val="21"/>
              </w:rPr>
            </w:pPr>
            <w:r>
              <w:rPr>
                <w:rFonts w:hint="eastAsia" w:ascii="宋体" w:hAnsi="宋体"/>
                <w:sz w:val="21"/>
                <w:szCs w:val="21"/>
              </w:rPr>
              <w:t>本项目评标办法采用综合评估打分法，并按照投标人的最后得分由高到低的顺序推荐中标候选人。</w:t>
            </w:r>
          </w:p>
          <w:p w14:paraId="251DADD9">
            <w:pPr>
              <w:spacing w:line="360" w:lineRule="auto"/>
              <w:jc w:val="both"/>
              <w:rPr>
                <w:rFonts w:ascii="宋体" w:hAnsi="宋体"/>
                <w:sz w:val="21"/>
                <w:szCs w:val="21"/>
              </w:rPr>
            </w:pPr>
            <w:r>
              <w:rPr>
                <w:rFonts w:ascii="宋体" w:hAnsi="宋体"/>
                <w:sz w:val="21"/>
                <w:szCs w:val="21"/>
              </w:rPr>
              <w:t>Z=S+J</w:t>
            </w:r>
            <w:r>
              <w:rPr>
                <w:rFonts w:hint="eastAsia" w:ascii="宋体" w:hAnsi="宋体"/>
                <w:sz w:val="21"/>
                <w:szCs w:val="21"/>
              </w:rPr>
              <w:t xml:space="preserve"> </w:t>
            </w:r>
          </w:p>
          <w:p w14:paraId="7EA33139">
            <w:pPr>
              <w:spacing w:line="360" w:lineRule="auto"/>
              <w:jc w:val="both"/>
              <w:rPr>
                <w:rFonts w:ascii="宋体" w:hAnsi="宋体"/>
                <w:sz w:val="21"/>
                <w:szCs w:val="21"/>
              </w:rPr>
            </w:pPr>
            <w:r>
              <w:rPr>
                <w:rFonts w:hint="eastAsia" w:ascii="宋体" w:hAnsi="宋体"/>
                <w:sz w:val="21"/>
                <w:szCs w:val="21"/>
              </w:rPr>
              <w:t>其中：</w:t>
            </w:r>
          </w:p>
          <w:p w14:paraId="55A45E47">
            <w:pPr>
              <w:spacing w:line="360" w:lineRule="auto"/>
              <w:jc w:val="both"/>
              <w:rPr>
                <w:rFonts w:ascii="宋体" w:hAnsi="宋体"/>
                <w:sz w:val="21"/>
                <w:szCs w:val="21"/>
              </w:rPr>
            </w:pPr>
            <w:r>
              <w:rPr>
                <w:rFonts w:ascii="宋体" w:hAnsi="宋体"/>
                <w:sz w:val="21"/>
                <w:szCs w:val="21"/>
              </w:rPr>
              <w:t>Z</w:t>
            </w:r>
            <w:r>
              <w:rPr>
                <w:rFonts w:hint="eastAsia" w:ascii="宋体" w:hAnsi="宋体"/>
                <w:sz w:val="21"/>
                <w:szCs w:val="21"/>
              </w:rPr>
              <w:t>：指投标人最后得分（满分</w:t>
            </w:r>
            <w:r>
              <w:rPr>
                <w:rFonts w:ascii="宋体" w:hAnsi="宋体"/>
                <w:sz w:val="21"/>
                <w:szCs w:val="21"/>
              </w:rPr>
              <w:t>100</w:t>
            </w:r>
            <w:r>
              <w:rPr>
                <w:rFonts w:hint="eastAsia" w:ascii="宋体" w:hAnsi="宋体"/>
                <w:sz w:val="21"/>
                <w:szCs w:val="21"/>
              </w:rPr>
              <w:t>分）；</w:t>
            </w:r>
          </w:p>
          <w:p w14:paraId="1DC1AC53">
            <w:pPr>
              <w:spacing w:line="360" w:lineRule="auto"/>
              <w:jc w:val="both"/>
              <w:rPr>
                <w:rFonts w:ascii="宋体" w:hAnsi="宋体"/>
                <w:sz w:val="21"/>
                <w:szCs w:val="21"/>
              </w:rPr>
            </w:pPr>
            <w:r>
              <w:rPr>
                <w:rFonts w:ascii="宋体" w:hAnsi="宋体"/>
                <w:sz w:val="21"/>
                <w:szCs w:val="21"/>
              </w:rPr>
              <w:t>S</w:t>
            </w:r>
            <w:r>
              <w:rPr>
                <w:rFonts w:hint="eastAsia" w:ascii="宋体" w:hAnsi="宋体"/>
                <w:sz w:val="21"/>
                <w:szCs w:val="21"/>
              </w:rPr>
              <w:t>：指商务部分得分（满分4</w:t>
            </w:r>
            <w:r>
              <w:rPr>
                <w:rFonts w:ascii="宋体" w:hAnsi="宋体"/>
                <w:sz w:val="21"/>
                <w:szCs w:val="21"/>
              </w:rPr>
              <w:t>0</w:t>
            </w:r>
            <w:r>
              <w:rPr>
                <w:rFonts w:hint="eastAsia" w:ascii="宋体" w:hAnsi="宋体"/>
                <w:sz w:val="21"/>
                <w:szCs w:val="21"/>
              </w:rPr>
              <w:t>分）；</w:t>
            </w:r>
          </w:p>
          <w:p w14:paraId="29FCC086">
            <w:pPr>
              <w:spacing w:line="360" w:lineRule="auto"/>
              <w:jc w:val="both"/>
              <w:rPr>
                <w:rFonts w:ascii="宋体" w:hAnsi="宋体"/>
                <w:sz w:val="21"/>
                <w:szCs w:val="21"/>
              </w:rPr>
            </w:pPr>
            <w:r>
              <w:rPr>
                <w:rFonts w:ascii="宋体" w:hAnsi="宋体"/>
                <w:sz w:val="21"/>
                <w:szCs w:val="21"/>
              </w:rPr>
              <w:t>J</w:t>
            </w:r>
            <w:r>
              <w:rPr>
                <w:rFonts w:hint="eastAsia" w:ascii="宋体" w:hAnsi="宋体"/>
                <w:sz w:val="21"/>
                <w:szCs w:val="21"/>
              </w:rPr>
              <w:t>：指技术部分得分（满分60分）；</w:t>
            </w:r>
          </w:p>
        </w:tc>
      </w:tr>
      <w:tr w14:paraId="4940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1" w:type="dxa"/>
            <w:vAlign w:val="center"/>
          </w:tcPr>
          <w:p w14:paraId="27E65549">
            <w:pPr>
              <w:autoSpaceDE w:val="0"/>
              <w:autoSpaceDN w:val="0"/>
              <w:adjustRightInd w:val="0"/>
              <w:spacing w:line="360" w:lineRule="auto"/>
              <w:jc w:val="both"/>
              <w:rPr>
                <w:rFonts w:ascii="宋体" w:hAnsi="宋体"/>
                <w:sz w:val="21"/>
                <w:szCs w:val="21"/>
              </w:rPr>
            </w:pPr>
            <w:r>
              <w:rPr>
                <w:rFonts w:ascii="宋体" w:hAnsi="宋体"/>
                <w:sz w:val="21"/>
                <w:szCs w:val="21"/>
              </w:rPr>
              <w:t>A4.2</w:t>
            </w:r>
          </w:p>
        </w:tc>
        <w:tc>
          <w:tcPr>
            <w:tcW w:w="3422" w:type="dxa"/>
            <w:gridSpan w:val="4"/>
            <w:vAlign w:val="center"/>
          </w:tcPr>
          <w:p w14:paraId="4A62AAC2">
            <w:pPr>
              <w:jc w:val="both"/>
              <w:rPr>
                <w:rFonts w:ascii="宋体" w:hAnsi="宋体"/>
                <w:sz w:val="21"/>
                <w:szCs w:val="21"/>
              </w:rPr>
            </w:pPr>
            <w:r>
              <w:rPr>
                <w:rFonts w:hint="eastAsia" w:ascii="宋体" w:hAnsi="宋体"/>
                <w:b/>
                <w:sz w:val="21"/>
                <w:szCs w:val="21"/>
              </w:rPr>
              <w:t>技术部分（满分为60分）</w:t>
            </w:r>
          </w:p>
        </w:tc>
        <w:tc>
          <w:tcPr>
            <w:tcW w:w="5387" w:type="dxa"/>
            <w:vAlign w:val="center"/>
          </w:tcPr>
          <w:p w14:paraId="463DBB21">
            <w:pPr>
              <w:jc w:val="both"/>
              <w:rPr>
                <w:rFonts w:ascii="宋体" w:hAnsi="宋体"/>
                <w:sz w:val="21"/>
                <w:szCs w:val="21"/>
              </w:rPr>
            </w:pPr>
            <w:r>
              <w:rPr>
                <w:rFonts w:hint="eastAsia" w:ascii="宋体" w:hAnsi="宋体"/>
                <w:sz w:val="21"/>
                <w:szCs w:val="21"/>
              </w:rPr>
              <w:t>符合本章附件评A中的详细评分标准要求</w:t>
            </w:r>
          </w:p>
        </w:tc>
      </w:tr>
      <w:tr w14:paraId="18D6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1" w:type="dxa"/>
            <w:vAlign w:val="center"/>
          </w:tcPr>
          <w:p w14:paraId="526BF2C6">
            <w:pPr>
              <w:autoSpaceDE w:val="0"/>
              <w:autoSpaceDN w:val="0"/>
              <w:adjustRightInd w:val="0"/>
              <w:spacing w:line="360" w:lineRule="auto"/>
              <w:jc w:val="both"/>
              <w:rPr>
                <w:rFonts w:ascii="宋体" w:hAnsi="宋体"/>
                <w:sz w:val="21"/>
                <w:szCs w:val="21"/>
              </w:rPr>
            </w:pPr>
            <w:r>
              <w:rPr>
                <w:rFonts w:ascii="宋体" w:hAnsi="宋体"/>
                <w:sz w:val="21"/>
                <w:szCs w:val="21"/>
              </w:rPr>
              <w:t>A4.</w:t>
            </w:r>
            <w:r>
              <w:rPr>
                <w:rFonts w:hint="eastAsia" w:ascii="宋体" w:hAnsi="宋体"/>
                <w:sz w:val="21"/>
                <w:szCs w:val="21"/>
              </w:rPr>
              <w:t>2</w:t>
            </w:r>
          </w:p>
        </w:tc>
        <w:tc>
          <w:tcPr>
            <w:tcW w:w="3422" w:type="dxa"/>
            <w:gridSpan w:val="4"/>
            <w:vAlign w:val="center"/>
          </w:tcPr>
          <w:p w14:paraId="124D7DDC">
            <w:pPr>
              <w:jc w:val="both"/>
              <w:rPr>
                <w:rFonts w:ascii="宋体" w:hAnsi="宋体"/>
                <w:sz w:val="21"/>
                <w:szCs w:val="21"/>
              </w:rPr>
            </w:pPr>
            <w:r>
              <w:rPr>
                <w:rFonts w:hint="eastAsia" w:ascii="宋体" w:hAnsi="宋体"/>
                <w:b/>
                <w:sz w:val="21"/>
                <w:szCs w:val="21"/>
              </w:rPr>
              <w:t>商务部分（满分为40分）</w:t>
            </w:r>
          </w:p>
        </w:tc>
        <w:tc>
          <w:tcPr>
            <w:tcW w:w="5387" w:type="dxa"/>
            <w:vAlign w:val="center"/>
          </w:tcPr>
          <w:p w14:paraId="41E211ED">
            <w:pPr>
              <w:jc w:val="both"/>
              <w:rPr>
                <w:rFonts w:ascii="宋体" w:hAnsi="宋体"/>
                <w:sz w:val="21"/>
                <w:szCs w:val="21"/>
              </w:rPr>
            </w:pPr>
            <w:r>
              <w:rPr>
                <w:rFonts w:hint="eastAsia" w:ascii="宋体" w:hAnsi="宋体"/>
                <w:sz w:val="21"/>
                <w:szCs w:val="21"/>
              </w:rPr>
              <w:t>符合本章附件评A中的详细评分标准要求</w:t>
            </w:r>
          </w:p>
        </w:tc>
      </w:tr>
      <w:tr w14:paraId="5520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3" w:type="dxa"/>
            <w:gridSpan w:val="4"/>
            <w:vAlign w:val="center"/>
          </w:tcPr>
          <w:p w14:paraId="786C3891">
            <w:pPr>
              <w:autoSpaceDE w:val="0"/>
              <w:autoSpaceDN w:val="0"/>
              <w:adjustRightInd w:val="0"/>
              <w:spacing w:line="360" w:lineRule="auto"/>
              <w:jc w:val="both"/>
              <w:rPr>
                <w:rFonts w:ascii="宋体" w:hAnsi="宋体"/>
                <w:sz w:val="21"/>
                <w:szCs w:val="21"/>
              </w:rPr>
            </w:pPr>
            <w:r>
              <w:rPr>
                <w:rFonts w:ascii="宋体" w:hAnsi="宋体"/>
                <w:sz w:val="21"/>
                <w:szCs w:val="21"/>
              </w:rPr>
              <w:t>条款号</w:t>
            </w:r>
          </w:p>
        </w:tc>
        <w:tc>
          <w:tcPr>
            <w:tcW w:w="7537" w:type="dxa"/>
            <w:gridSpan w:val="2"/>
            <w:vAlign w:val="center"/>
          </w:tcPr>
          <w:p w14:paraId="6AC2FAE6">
            <w:pPr>
              <w:pStyle w:val="58"/>
              <w:spacing w:line="360" w:lineRule="auto"/>
              <w:jc w:val="both"/>
              <w:rPr>
                <w:kern w:val="2"/>
                <w:sz w:val="21"/>
                <w:szCs w:val="21"/>
              </w:rPr>
            </w:pPr>
            <w:r>
              <w:rPr>
                <w:kern w:val="2"/>
                <w:sz w:val="21"/>
                <w:szCs w:val="21"/>
              </w:rPr>
              <w:t>编列内容</w:t>
            </w:r>
          </w:p>
        </w:tc>
      </w:tr>
      <w:tr w14:paraId="728C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gridSpan w:val="2"/>
            <w:vAlign w:val="center"/>
          </w:tcPr>
          <w:p w14:paraId="50CBFF64">
            <w:pPr>
              <w:autoSpaceDE w:val="0"/>
              <w:autoSpaceDN w:val="0"/>
              <w:adjustRightInd w:val="0"/>
              <w:spacing w:line="360" w:lineRule="auto"/>
              <w:jc w:val="both"/>
              <w:rPr>
                <w:rFonts w:ascii="宋体" w:hAnsi="宋体"/>
                <w:sz w:val="21"/>
                <w:szCs w:val="21"/>
              </w:rPr>
            </w:pPr>
            <w:r>
              <w:rPr>
                <w:rFonts w:ascii="宋体" w:hAnsi="宋体"/>
                <w:kern w:val="2"/>
                <w:sz w:val="21"/>
                <w:szCs w:val="21"/>
              </w:rPr>
              <w:t>附件A</w:t>
            </w:r>
          </w:p>
        </w:tc>
        <w:tc>
          <w:tcPr>
            <w:tcW w:w="1067" w:type="dxa"/>
            <w:gridSpan w:val="2"/>
            <w:vAlign w:val="center"/>
          </w:tcPr>
          <w:p w14:paraId="3D118B00">
            <w:pPr>
              <w:autoSpaceDE w:val="0"/>
              <w:autoSpaceDN w:val="0"/>
              <w:adjustRightInd w:val="0"/>
              <w:spacing w:line="360" w:lineRule="auto"/>
              <w:jc w:val="both"/>
              <w:rPr>
                <w:rFonts w:ascii="宋体" w:hAnsi="宋体"/>
                <w:sz w:val="21"/>
                <w:szCs w:val="21"/>
              </w:rPr>
            </w:pPr>
            <w:r>
              <w:rPr>
                <w:rFonts w:ascii="宋体" w:hAnsi="宋体"/>
                <w:sz w:val="21"/>
                <w:szCs w:val="21"/>
              </w:rPr>
              <w:t>评标程序</w:t>
            </w:r>
          </w:p>
        </w:tc>
        <w:tc>
          <w:tcPr>
            <w:tcW w:w="7537" w:type="dxa"/>
            <w:gridSpan w:val="2"/>
            <w:vAlign w:val="center"/>
          </w:tcPr>
          <w:p w14:paraId="650E5983">
            <w:pPr>
              <w:pStyle w:val="58"/>
              <w:spacing w:line="360" w:lineRule="auto"/>
              <w:jc w:val="both"/>
              <w:rPr>
                <w:kern w:val="2"/>
                <w:sz w:val="21"/>
                <w:szCs w:val="21"/>
              </w:rPr>
            </w:pPr>
            <w:r>
              <w:rPr>
                <w:kern w:val="2"/>
                <w:sz w:val="21"/>
                <w:szCs w:val="21"/>
              </w:rPr>
              <w:t>详见本章附件A：评标详细程序</w:t>
            </w:r>
          </w:p>
        </w:tc>
      </w:tr>
      <w:tr w14:paraId="0874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6" w:type="dxa"/>
            <w:gridSpan w:val="2"/>
            <w:vAlign w:val="center"/>
          </w:tcPr>
          <w:p w14:paraId="2191C1B3">
            <w:pPr>
              <w:autoSpaceDE w:val="0"/>
              <w:autoSpaceDN w:val="0"/>
              <w:adjustRightInd w:val="0"/>
              <w:spacing w:line="360" w:lineRule="auto"/>
              <w:jc w:val="both"/>
              <w:rPr>
                <w:rFonts w:ascii="宋体" w:hAnsi="宋体"/>
                <w:sz w:val="21"/>
                <w:szCs w:val="21"/>
              </w:rPr>
            </w:pPr>
            <w:r>
              <w:rPr>
                <w:rFonts w:ascii="宋体" w:hAnsi="宋体"/>
                <w:kern w:val="2"/>
                <w:sz w:val="21"/>
                <w:szCs w:val="21"/>
              </w:rPr>
              <w:t>附件B</w:t>
            </w:r>
          </w:p>
        </w:tc>
        <w:tc>
          <w:tcPr>
            <w:tcW w:w="1067" w:type="dxa"/>
            <w:gridSpan w:val="2"/>
            <w:vAlign w:val="center"/>
          </w:tcPr>
          <w:p w14:paraId="6FC0C1C6">
            <w:pPr>
              <w:autoSpaceDE w:val="0"/>
              <w:autoSpaceDN w:val="0"/>
              <w:adjustRightInd w:val="0"/>
              <w:spacing w:line="360" w:lineRule="auto"/>
              <w:jc w:val="both"/>
              <w:rPr>
                <w:rFonts w:ascii="宋体" w:hAnsi="宋体"/>
                <w:sz w:val="21"/>
                <w:szCs w:val="21"/>
              </w:rPr>
            </w:pPr>
            <w:r>
              <w:rPr>
                <w:rFonts w:hint="eastAsia" w:ascii="宋体" w:hAnsi="宋体"/>
                <w:sz w:val="21"/>
                <w:szCs w:val="21"/>
              </w:rPr>
              <w:t>投标被否决条件</w:t>
            </w:r>
          </w:p>
        </w:tc>
        <w:tc>
          <w:tcPr>
            <w:tcW w:w="7537" w:type="dxa"/>
            <w:gridSpan w:val="2"/>
            <w:vAlign w:val="center"/>
          </w:tcPr>
          <w:p w14:paraId="50D6A949">
            <w:pPr>
              <w:pStyle w:val="58"/>
              <w:spacing w:before="0" w:beforeAutospacing="0" w:after="0" w:afterAutospacing="0" w:line="360" w:lineRule="auto"/>
              <w:jc w:val="both"/>
              <w:rPr>
                <w:kern w:val="2"/>
                <w:sz w:val="21"/>
                <w:szCs w:val="21"/>
              </w:rPr>
            </w:pPr>
            <w:r>
              <w:rPr>
                <w:kern w:val="2"/>
                <w:sz w:val="21"/>
                <w:szCs w:val="21"/>
              </w:rPr>
              <w:t>详见本章附件B：</w:t>
            </w:r>
            <w:r>
              <w:rPr>
                <w:rFonts w:hint="eastAsia"/>
                <w:kern w:val="2"/>
                <w:sz w:val="21"/>
                <w:szCs w:val="21"/>
              </w:rPr>
              <w:t>投标被否决</w:t>
            </w:r>
            <w:r>
              <w:rPr>
                <w:kern w:val="2"/>
                <w:sz w:val="21"/>
                <w:szCs w:val="21"/>
              </w:rPr>
              <w:t>条件</w:t>
            </w:r>
          </w:p>
          <w:p w14:paraId="56294623">
            <w:pPr>
              <w:pStyle w:val="58"/>
              <w:spacing w:before="0" w:beforeAutospacing="0" w:after="0" w:afterAutospacing="0" w:line="360" w:lineRule="auto"/>
              <w:jc w:val="both"/>
              <w:rPr>
                <w:kern w:val="2"/>
                <w:sz w:val="21"/>
                <w:szCs w:val="21"/>
              </w:rPr>
            </w:pPr>
            <w:r>
              <w:rPr>
                <w:rFonts w:hint="eastAsia"/>
                <w:kern w:val="2"/>
                <w:sz w:val="21"/>
                <w:szCs w:val="21"/>
              </w:rPr>
              <w:t>若与投标须知内容相互矛盾，以本附件</w:t>
            </w:r>
            <w:r>
              <w:rPr>
                <w:kern w:val="2"/>
                <w:sz w:val="21"/>
                <w:szCs w:val="21"/>
              </w:rPr>
              <w:t>B</w:t>
            </w:r>
            <w:r>
              <w:rPr>
                <w:rFonts w:hint="eastAsia"/>
                <w:kern w:val="2"/>
                <w:sz w:val="21"/>
                <w:szCs w:val="21"/>
              </w:rPr>
              <w:t>为准。</w:t>
            </w:r>
          </w:p>
        </w:tc>
      </w:tr>
    </w:tbl>
    <w:p w14:paraId="796366DE">
      <w:pPr>
        <w:rPr>
          <w:rFonts w:ascii="宋体" w:hAnsi="宋体"/>
        </w:rPr>
      </w:pPr>
      <w:bookmarkStart w:id="80" w:name="_Toc302769233"/>
      <w:bookmarkStart w:id="81" w:name="_Toc186513209"/>
    </w:p>
    <w:bookmarkEnd w:id="80"/>
    <w:bookmarkEnd w:id="81"/>
    <w:p w14:paraId="756E4609">
      <w:pPr>
        <w:pStyle w:val="310"/>
        <w:spacing w:line="360" w:lineRule="auto"/>
        <w:rPr>
          <w:rFonts w:ascii="宋体" w:hAnsi="宋体" w:eastAsia="宋体" w:cs="Times New Roman"/>
        </w:rPr>
      </w:pPr>
      <w:r>
        <w:rPr>
          <w:rFonts w:ascii="宋体" w:hAnsi="宋体" w:eastAsia="宋体" w:cs="Times New Roman"/>
        </w:rPr>
        <w:t>1.评标方法</w:t>
      </w:r>
    </w:p>
    <w:p w14:paraId="2281BCFC">
      <w:pPr>
        <w:spacing w:line="360" w:lineRule="auto"/>
        <w:ind w:firstLine="420" w:firstLineChars="200"/>
        <w:jc w:val="both"/>
        <w:rPr>
          <w:rFonts w:ascii="宋体" w:hAnsi="宋体"/>
          <w:sz w:val="21"/>
          <w:szCs w:val="21"/>
        </w:rPr>
      </w:pPr>
      <w:bookmarkStart w:id="82" w:name="_Toc186513210"/>
      <w:r>
        <w:rPr>
          <w:rFonts w:hint="eastAsia" w:ascii="宋体" w:hAnsi="宋体"/>
          <w:sz w:val="21"/>
          <w:szCs w:val="21"/>
        </w:rPr>
        <w:t>本项目采用综合评估打分法进行评审，依照《中华人民共和国招标投标法》、中华人民共和国七部委第12号令（2001）《评标委员会和评标方法暂行规定》等有关法律、行政法规和部门规章，结合本项目特点制定。</w:t>
      </w:r>
    </w:p>
    <w:p w14:paraId="663BD0CF">
      <w:pPr>
        <w:spacing w:line="360" w:lineRule="auto"/>
        <w:ind w:firstLine="420" w:firstLineChars="200"/>
        <w:jc w:val="both"/>
        <w:rPr>
          <w:rFonts w:ascii="宋体" w:hAnsi="宋体"/>
          <w:sz w:val="21"/>
          <w:szCs w:val="21"/>
        </w:rPr>
      </w:pPr>
      <w:r>
        <w:rPr>
          <w:rFonts w:hint="eastAsia" w:ascii="宋体" w:hAnsi="宋体"/>
          <w:sz w:val="21"/>
          <w:szCs w:val="21"/>
        </w:rPr>
        <w:t>评标委员会对满足招标文件实质性要求的投标文件，按照本章第2.2款规定的评分标准进行打分，推荐总得分最高的投标人为第一中标候选人，以此类推。若出现总分相同时，按技术部分得分高低顺序排列，若技术部分得分相同，按投标人的投标报价得分由高到低的顺序进行排列，若报价得分也相同，则按报价由低到高的顺序排列，若报价得分和报价仍相同的，则由评标委员会以记名投票进行表决。评标委员会按照投标人最后得分高低排序，推荐出前二或前三名中标候选人，标明排列顺序后报招标人。对评审结论有不同意见的可书面阐述不同意见和理由。</w:t>
      </w:r>
    </w:p>
    <w:p w14:paraId="1FC6770F">
      <w:pPr>
        <w:pStyle w:val="310"/>
        <w:spacing w:line="360" w:lineRule="auto"/>
        <w:rPr>
          <w:rFonts w:ascii="宋体" w:hAnsi="宋体" w:eastAsia="宋体" w:cs="Times New Roman"/>
        </w:rPr>
      </w:pPr>
      <w:bookmarkStart w:id="83" w:name="_Toc302769236"/>
      <w:r>
        <w:rPr>
          <w:rFonts w:ascii="宋体" w:hAnsi="宋体" w:eastAsia="宋体" w:cs="Times New Roman"/>
        </w:rPr>
        <w:t>2.评审标准</w:t>
      </w:r>
      <w:bookmarkEnd w:id="82"/>
      <w:bookmarkEnd w:id="83"/>
      <w:bookmarkStart w:id="84" w:name="_Toc186513211"/>
    </w:p>
    <w:p w14:paraId="1BD23678">
      <w:pPr>
        <w:spacing w:line="360" w:lineRule="auto"/>
        <w:jc w:val="both"/>
        <w:rPr>
          <w:rFonts w:ascii="宋体" w:hAnsi="宋体"/>
          <w:b/>
          <w:sz w:val="21"/>
          <w:szCs w:val="21"/>
        </w:rPr>
      </w:pPr>
      <w:bookmarkStart w:id="85" w:name="_Toc302769237"/>
      <w:r>
        <w:rPr>
          <w:rFonts w:ascii="宋体" w:hAnsi="宋体"/>
          <w:b/>
          <w:sz w:val="21"/>
          <w:szCs w:val="21"/>
        </w:rPr>
        <w:t>2.1 初步评审标准</w:t>
      </w:r>
      <w:bookmarkEnd w:id="84"/>
      <w:bookmarkEnd w:id="85"/>
    </w:p>
    <w:p w14:paraId="6A806006">
      <w:pPr>
        <w:spacing w:line="360" w:lineRule="auto"/>
        <w:ind w:firstLine="420" w:firstLineChars="200"/>
        <w:jc w:val="both"/>
        <w:rPr>
          <w:rFonts w:ascii="宋体" w:hAnsi="宋体"/>
          <w:sz w:val="21"/>
          <w:szCs w:val="21"/>
        </w:rPr>
      </w:pPr>
      <w:bookmarkStart w:id="86" w:name="_Toc302769238"/>
      <w:bookmarkStart w:id="87" w:name="_Toc186513212"/>
      <w:r>
        <w:rPr>
          <w:rFonts w:ascii="宋体" w:hAnsi="宋体"/>
          <w:sz w:val="21"/>
          <w:szCs w:val="21"/>
        </w:rPr>
        <w:t>2.1.1 形式评审标准：见评标办法前附表。</w:t>
      </w:r>
      <w:bookmarkEnd w:id="86"/>
    </w:p>
    <w:p w14:paraId="59F0BC7D">
      <w:pPr>
        <w:spacing w:line="360" w:lineRule="auto"/>
        <w:ind w:firstLine="420" w:firstLineChars="200"/>
        <w:jc w:val="both"/>
        <w:rPr>
          <w:rFonts w:ascii="宋体" w:hAnsi="宋体"/>
          <w:sz w:val="21"/>
          <w:szCs w:val="21"/>
        </w:rPr>
      </w:pPr>
      <w:bookmarkStart w:id="88" w:name="_Toc302769239"/>
      <w:r>
        <w:rPr>
          <w:rFonts w:ascii="宋体" w:hAnsi="宋体"/>
          <w:sz w:val="21"/>
          <w:szCs w:val="21"/>
        </w:rPr>
        <w:t>2.1.2 资格评审标准：见评标办法前附表。</w:t>
      </w:r>
      <w:bookmarkEnd w:id="88"/>
    </w:p>
    <w:p w14:paraId="037C0059">
      <w:pPr>
        <w:spacing w:line="360" w:lineRule="auto"/>
        <w:ind w:firstLine="420" w:firstLineChars="200"/>
        <w:jc w:val="both"/>
        <w:rPr>
          <w:rFonts w:ascii="宋体" w:hAnsi="宋体"/>
          <w:sz w:val="21"/>
          <w:szCs w:val="21"/>
        </w:rPr>
      </w:pPr>
      <w:bookmarkStart w:id="89" w:name="_Toc302769240"/>
      <w:r>
        <w:rPr>
          <w:rFonts w:ascii="宋体" w:hAnsi="宋体"/>
          <w:sz w:val="21"/>
          <w:szCs w:val="21"/>
        </w:rPr>
        <w:t>2.1.3 响应性评审标准：见评标办法前附表。</w:t>
      </w:r>
      <w:bookmarkEnd w:id="89"/>
    </w:p>
    <w:p w14:paraId="47261040">
      <w:pPr>
        <w:spacing w:line="360" w:lineRule="auto"/>
        <w:jc w:val="both"/>
        <w:rPr>
          <w:rFonts w:ascii="宋体" w:hAnsi="宋体"/>
          <w:b/>
          <w:sz w:val="21"/>
          <w:szCs w:val="21"/>
        </w:rPr>
      </w:pPr>
      <w:bookmarkStart w:id="90" w:name="_Toc302769241"/>
      <w:r>
        <w:rPr>
          <w:rFonts w:ascii="宋体" w:hAnsi="宋体"/>
          <w:b/>
          <w:sz w:val="21"/>
          <w:szCs w:val="21"/>
        </w:rPr>
        <w:t>2.2分值构成与评分标准</w:t>
      </w:r>
      <w:bookmarkEnd w:id="87"/>
      <w:bookmarkEnd w:id="90"/>
    </w:p>
    <w:p w14:paraId="1A4A50C0">
      <w:pPr>
        <w:spacing w:line="360" w:lineRule="auto"/>
        <w:ind w:firstLine="420" w:firstLineChars="200"/>
        <w:jc w:val="both"/>
        <w:rPr>
          <w:rFonts w:ascii="宋体" w:hAnsi="宋体"/>
          <w:sz w:val="21"/>
          <w:szCs w:val="21"/>
        </w:rPr>
      </w:pPr>
      <w:bookmarkStart w:id="91" w:name="_Toc302769245"/>
      <w:bookmarkStart w:id="92" w:name="_Toc186513213"/>
      <w:r>
        <w:rPr>
          <w:rFonts w:ascii="宋体" w:hAnsi="宋体"/>
          <w:sz w:val="21"/>
          <w:szCs w:val="21"/>
        </w:rPr>
        <w:t>2.2.</w:t>
      </w:r>
      <w:r>
        <w:rPr>
          <w:rFonts w:hint="eastAsia" w:ascii="宋体" w:hAnsi="宋体"/>
          <w:sz w:val="21"/>
          <w:szCs w:val="21"/>
        </w:rPr>
        <w:t>1技术</w:t>
      </w:r>
      <w:r>
        <w:rPr>
          <w:rFonts w:ascii="宋体" w:hAnsi="宋体"/>
          <w:sz w:val="21"/>
          <w:szCs w:val="21"/>
        </w:rPr>
        <w:t>部分评分标准</w:t>
      </w:r>
      <w:bookmarkEnd w:id="91"/>
    </w:p>
    <w:p w14:paraId="3008A600">
      <w:pPr>
        <w:spacing w:line="360" w:lineRule="auto"/>
        <w:ind w:firstLine="420" w:firstLineChars="200"/>
        <w:jc w:val="both"/>
        <w:rPr>
          <w:rFonts w:ascii="宋体" w:hAnsi="宋体"/>
          <w:sz w:val="21"/>
          <w:szCs w:val="21"/>
        </w:rPr>
      </w:pPr>
      <w:bookmarkStart w:id="93" w:name="_Toc302769246"/>
      <w:r>
        <w:rPr>
          <w:rFonts w:hint="eastAsia" w:ascii="宋体" w:hAnsi="宋体"/>
          <w:sz w:val="21"/>
          <w:szCs w:val="21"/>
        </w:rPr>
        <w:t>技术</w:t>
      </w:r>
      <w:r>
        <w:rPr>
          <w:rFonts w:ascii="宋体" w:hAnsi="宋体"/>
          <w:sz w:val="21"/>
          <w:szCs w:val="21"/>
        </w:rPr>
        <w:t>部分评分标准：</w:t>
      </w:r>
      <w:bookmarkEnd w:id="93"/>
      <w:r>
        <w:rPr>
          <w:rFonts w:ascii="宋体" w:hAnsi="宋体"/>
          <w:sz w:val="21"/>
          <w:szCs w:val="21"/>
        </w:rPr>
        <w:t>详见附件A“评标详细程序”</w:t>
      </w:r>
    </w:p>
    <w:p w14:paraId="56D51614">
      <w:pPr>
        <w:spacing w:line="360" w:lineRule="auto"/>
        <w:ind w:firstLine="420" w:firstLineChars="200"/>
        <w:jc w:val="both"/>
        <w:rPr>
          <w:rFonts w:ascii="宋体" w:hAnsi="宋体"/>
          <w:sz w:val="21"/>
          <w:szCs w:val="21"/>
        </w:rPr>
      </w:pPr>
      <w:r>
        <w:rPr>
          <w:rFonts w:ascii="宋体" w:hAnsi="宋体"/>
          <w:sz w:val="21"/>
          <w:szCs w:val="21"/>
        </w:rPr>
        <w:t>2.2.</w:t>
      </w:r>
      <w:r>
        <w:rPr>
          <w:rFonts w:hint="eastAsia" w:ascii="宋体" w:hAnsi="宋体"/>
          <w:sz w:val="21"/>
          <w:szCs w:val="21"/>
        </w:rPr>
        <w:t>2商务</w:t>
      </w:r>
      <w:r>
        <w:rPr>
          <w:rFonts w:ascii="宋体" w:hAnsi="宋体"/>
          <w:sz w:val="21"/>
          <w:szCs w:val="21"/>
        </w:rPr>
        <w:t>部分评分标准</w:t>
      </w:r>
    </w:p>
    <w:p w14:paraId="47BCF36D">
      <w:pPr>
        <w:spacing w:line="360" w:lineRule="auto"/>
        <w:ind w:firstLine="420" w:firstLineChars="200"/>
        <w:jc w:val="both"/>
        <w:rPr>
          <w:rFonts w:ascii="宋体" w:hAnsi="宋体"/>
          <w:sz w:val="21"/>
          <w:szCs w:val="21"/>
        </w:rPr>
      </w:pPr>
      <w:r>
        <w:rPr>
          <w:rFonts w:hint="eastAsia" w:ascii="宋体" w:hAnsi="宋体"/>
          <w:sz w:val="21"/>
          <w:szCs w:val="21"/>
        </w:rPr>
        <w:t>商务</w:t>
      </w:r>
      <w:r>
        <w:rPr>
          <w:rFonts w:ascii="宋体" w:hAnsi="宋体"/>
          <w:sz w:val="21"/>
          <w:szCs w:val="21"/>
        </w:rPr>
        <w:t>部分评分标准：详见附件A“评标详细程序”</w:t>
      </w:r>
    </w:p>
    <w:p w14:paraId="36D38799">
      <w:pPr>
        <w:pStyle w:val="310"/>
        <w:spacing w:line="360" w:lineRule="auto"/>
        <w:rPr>
          <w:rFonts w:ascii="宋体" w:hAnsi="宋体" w:eastAsia="宋体" w:cs="Times New Roman"/>
        </w:rPr>
      </w:pPr>
      <w:bookmarkStart w:id="94" w:name="_Toc302769249"/>
      <w:r>
        <w:rPr>
          <w:rFonts w:ascii="宋体" w:hAnsi="宋体" w:eastAsia="宋体" w:cs="Times New Roman"/>
        </w:rPr>
        <w:t>3.评标程序</w:t>
      </w:r>
      <w:bookmarkEnd w:id="92"/>
      <w:bookmarkEnd w:id="94"/>
      <w:bookmarkStart w:id="95" w:name="_Toc186513214"/>
    </w:p>
    <w:p w14:paraId="6C05BABE">
      <w:pPr>
        <w:spacing w:line="360" w:lineRule="auto"/>
        <w:jc w:val="both"/>
        <w:rPr>
          <w:rFonts w:ascii="宋体" w:hAnsi="宋体"/>
          <w:b/>
          <w:sz w:val="21"/>
          <w:szCs w:val="21"/>
        </w:rPr>
      </w:pPr>
      <w:bookmarkStart w:id="96" w:name="_Toc302769250"/>
      <w:r>
        <w:rPr>
          <w:rFonts w:ascii="宋体" w:hAnsi="宋体"/>
          <w:b/>
          <w:sz w:val="21"/>
          <w:szCs w:val="21"/>
        </w:rPr>
        <w:t>3.1 初步评审</w:t>
      </w:r>
      <w:bookmarkEnd w:id="95"/>
      <w:bookmarkEnd w:id="96"/>
    </w:p>
    <w:p w14:paraId="32D9F3C6">
      <w:pPr>
        <w:spacing w:line="360" w:lineRule="auto"/>
        <w:ind w:firstLine="420" w:firstLineChars="200"/>
        <w:jc w:val="both"/>
        <w:rPr>
          <w:rFonts w:ascii="宋体" w:hAnsi="宋体"/>
          <w:sz w:val="21"/>
          <w:szCs w:val="21"/>
        </w:rPr>
      </w:pPr>
      <w:bookmarkStart w:id="97" w:name="_Toc186513215"/>
      <w:r>
        <w:rPr>
          <w:rFonts w:hint="eastAsia" w:ascii="宋体" w:hAnsi="宋体"/>
          <w:sz w:val="21"/>
          <w:szCs w:val="21"/>
        </w:rPr>
        <w:t>3.1.1 评标委员会依据本章第2.1.1 项、第2.1.2 项、第2.1.3 项规定的评审标准对投标文件进行初步评审。有一项不符合评审标准的，其投标作否决投标处理。</w:t>
      </w:r>
    </w:p>
    <w:p w14:paraId="6E69CA5E">
      <w:pPr>
        <w:spacing w:line="360" w:lineRule="auto"/>
        <w:ind w:firstLine="422" w:firstLineChars="200"/>
        <w:jc w:val="both"/>
        <w:rPr>
          <w:rFonts w:ascii="宋体" w:hAnsi="宋体"/>
          <w:b/>
          <w:sz w:val="21"/>
          <w:szCs w:val="21"/>
        </w:rPr>
      </w:pPr>
      <w:r>
        <w:rPr>
          <w:rFonts w:hint="eastAsia" w:ascii="宋体" w:hAnsi="宋体"/>
          <w:b/>
          <w:sz w:val="21"/>
          <w:szCs w:val="21"/>
        </w:rPr>
        <w:t>3.1.2 投标人有附件B“投标被否决条件”中规定的任何一种情形的，其投标作投标被否决处理。</w:t>
      </w:r>
    </w:p>
    <w:p w14:paraId="6B857760">
      <w:pPr>
        <w:spacing w:line="360" w:lineRule="auto"/>
        <w:ind w:firstLine="420" w:firstLineChars="200"/>
        <w:jc w:val="both"/>
        <w:rPr>
          <w:rFonts w:ascii="宋体" w:hAnsi="宋体"/>
          <w:sz w:val="21"/>
          <w:szCs w:val="21"/>
        </w:rPr>
      </w:pPr>
      <w:bookmarkStart w:id="98" w:name="_Toc302769257"/>
      <w:r>
        <w:rPr>
          <w:rFonts w:ascii="宋体" w:hAnsi="宋体"/>
          <w:sz w:val="21"/>
          <w:szCs w:val="21"/>
        </w:rPr>
        <w:t xml:space="preserve">3.1.3 </w:t>
      </w:r>
      <w:r>
        <w:rPr>
          <w:rFonts w:hint="eastAsia" w:ascii="宋体" w:hAnsi="宋体"/>
          <w:sz w:val="21"/>
          <w:szCs w:val="21"/>
        </w:rPr>
        <w:t>投标报价有算术错误的，评标委员会按以下原则对投标报价进行修正，修正的价格经投标人书面确认后具有约束力。</w:t>
      </w:r>
      <w:bookmarkEnd w:id="98"/>
      <w:r>
        <w:rPr>
          <w:rFonts w:hint="eastAsia" w:ascii="宋体" w:hAnsi="宋体"/>
          <w:sz w:val="21"/>
          <w:szCs w:val="21"/>
        </w:rPr>
        <w:t>投标人不接受修正价格的，其投标将被否决。</w:t>
      </w:r>
    </w:p>
    <w:p w14:paraId="7A418832">
      <w:pPr>
        <w:spacing w:line="360" w:lineRule="auto"/>
        <w:ind w:firstLine="420" w:firstLineChars="200"/>
        <w:jc w:val="both"/>
        <w:rPr>
          <w:rFonts w:ascii="宋体" w:hAnsi="宋体"/>
          <w:sz w:val="21"/>
          <w:szCs w:val="21"/>
        </w:rPr>
      </w:pPr>
      <w:r>
        <w:rPr>
          <w:rFonts w:hint="eastAsia" w:ascii="宋体" w:hAnsi="宋体"/>
          <w:sz w:val="21"/>
          <w:szCs w:val="21"/>
        </w:rPr>
        <w:t>（1）投标文件中的大写金额与小写金额不一致的，以大写金额为准；</w:t>
      </w:r>
    </w:p>
    <w:p w14:paraId="3F12DCC7">
      <w:pPr>
        <w:spacing w:line="360" w:lineRule="auto"/>
        <w:ind w:firstLine="420" w:firstLineChars="200"/>
        <w:jc w:val="both"/>
        <w:rPr>
          <w:rFonts w:ascii="宋体" w:hAnsi="宋体"/>
          <w:sz w:val="21"/>
          <w:szCs w:val="21"/>
        </w:rPr>
      </w:pPr>
      <w:r>
        <w:rPr>
          <w:rFonts w:hint="eastAsia" w:ascii="宋体" w:hAnsi="宋体"/>
          <w:sz w:val="21"/>
          <w:szCs w:val="21"/>
        </w:rPr>
        <w:t>（2）总价金额与依据单价计算出的结果不一致的，以单价金额为准修正总价，但单价金额小数点有明显错误的除外。</w:t>
      </w:r>
    </w:p>
    <w:p w14:paraId="51AC8673">
      <w:pPr>
        <w:spacing w:line="360" w:lineRule="auto"/>
        <w:ind w:firstLine="420" w:firstLineChars="200"/>
        <w:jc w:val="both"/>
        <w:rPr>
          <w:rFonts w:ascii="宋体" w:hAnsi="宋体"/>
          <w:sz w:val="21"/>
          <w:szCs w:val="21"/>
        </w:rPr>
      </w:pPr>
      <w:r>
        <w:rPr>
          <w:rFonts w:hint="eastAsia" w:ascii="宋体" w:hAnsi="宋体"/>
          <w:sz w:val="21"/>
          <w:szCs w:val="21"/>
        </w:rPr>
        <w:t>（3）单价金额小数点有明显错位的，应以总价为准，并修改单价；</w:t>
      </w:r>
    </w:p>
    <w:p w14:paraId="62AEC08B">
      <w:pPr>
        <w:spacing w:line="360" w:lineRule="auto"/>
        <w:ind w:firstLine="420" w:firstLineChars="200"/>
        <w:jc w:val="both"/>
        <w:rPr>
          <w:rFonts w:ascii="宋体" w:hAnsi="宋体"/>
          <w:sz w:val="21"/>
          <w:szCs w:val="21"/>
        </w:rPr>
      </w:pPr>
      <w:r>
        <w:rPr>
          <w:rFonts w:hint="eastAsia" w:ascii="宋体" w:hAnsi="宋体"/>
          <w:sz w:val="21"/>
          <w:szCs w:val="21"/>
        </w:rPr>
        <w:t>（4）投</w:t>
      </w:r>
      <w:r>
        <w:rPr>
          <w:rFonts w:ascii="宋体" w:hAnsi="宋体"/>
          <w:sz w:val="21"/>
          <w:szCs w:val="21"/>
        </w:rPr>
        <w:t>标报价（</w:t>
      </w:r>
      <w:r>
        <w:rPr>
          <w:rFonts w:hint="eastAsia" w:ascii="宋体" w:hAnsi="宋体"/>
          <w:sz w:val="21"/>
          <w:szCs w:val="21"/>
        </w:rPr>
        <w:t>含</w:t>
      </w:r>
      <w:r>
        <w:rPr>
          <w:rFonts w:ascii="宋体" w:hAnsi="宋体"/>
          <w:sz w:val="21"/>
          <w:szCs w:val="21"/>
        </w:rPr>
        <w:t>税）</w:t>
      </w:r>
      <w:r>
        <w:rPr>
          <w:rFonts w:hint="eastAsia" w:ascii="宋体" w:hAnsi="宋体"/>
          <w:sz w:val="21"/>
          <w:szCs w:val="21"/>
        </w:rPr>
        <w:t>与</w:t>
      </w:r>
      <w:r>
        <w:rPr>
          <w:rFonts w:ascii="宋体" w:hAnsi="宋体"/>
          <w:sz w:val="21"/>
          <w:szCs w:val="21"/>
        </w:rPr>
        <w:t>投标报价（</w:t>
      </w:r>
      <w:r>
        <w:rPr>
          <w:rFonts w:hint="eastAsia" w:ascii="宋体" w:hAnsi="宋体"/>
          <w:sz w:val="21"/>
          <w:szCs w:val="21"/>
        </w:rPr>
        <w:t>不</w:t>
      </w:r>
      <w:r>
        <w:rPr>
          <w:rFonts w:ascii="宋体" w:hAnsi="宋体"/>
          <w:sz w:val="21"/>
          <w:szCs w:val="21"/>
        </w:rPr>
        <w:t>含</w:t>
      </w:r>
      <w:r>
        <w:rPr>
          <w:rFonts w:hint="eastAsia" w:ascii="宋体" w:hAnsi="宋体"/>
          <w:sz w:val="21"/>
          <w:szCs w:val="21"/>
        </w:rPr>
        <w:t>增值</w:t>
      </w:r>
      <w:r>
        <w:rPr>
          <w:rFonts w:ascii="宋体" w:hAnsi="宋体"/>
          <w:sz w:val="21"/>
          <w:szCs w:val="21"/>
        </w:rPr>
        <w:t>税）</w:t>
      </w:r>
      <w:r>
        <w:rPr>
          <w:rFonts w:hint="eastAsia" w:ascii="宋体" w:hAnsi="宋体"/>
          <w:sz w:val="21"/>
          <w:szCs w:val="21"/>
        </w:rPr>
        <w:t>*（1+增值</w:t>
      </w:r>
      <w:r>
        <w:rPr>
          <w:rFonts w:ascii="宋体" w:hAnsi="宋体"/>
          <w:sz w:val="21"/>
          <w:szCs w:val="21"/>
        </w:rPr>
        <w:t>税税率</w:t>
      </w:r>
      <w:r>
        <w:rPr>
          <w:rFonts w:hint="eastAsia" w:ascii="宋体" w:hAnsi="宋体"/>
          <w:sz w:val="21"/>
          <w:szCs w:val="21"/>
        </w:rPr>
        <w:t>）计算不</w:t>
      </w:r>
      <w:r>
        <w:rPr>
          <w:rFonts w:ascii="宋体" w:hAnsi="宋体"/>
          <w:sz w:val="21"/>
          <w:szCs w:val="21"/>
        </w:rPr>
        <w:t>一致</w:t>
      </w:r>
      <w:r>
        <w:rPr>
          <w:rFonts w:hint="eastAsia" w:ascii="宋体" w:hAnsi="宋体"/>
          <w:sz w:val="21"/>
          <w:szCs w:val="21"/>
        </w:rPr>
        <w:t>的</w:t>
      </w:r>
      <w:r>
        <w:rPr>
          <w:rFonts w:ascii="宋体" w:hAnsi="宋体"/>
          <w:sz w:val="21"/>
          <w:szCs w:val="21"/>
        </w:rPr>
        <w:t>，以投标报价（</w:t>
      </w:r>
      <w:r>
        <w:rPr>
          <w:rFonts w:hint="eastAsia" w:ascii="宋体" w:hAnsi="宋体"/>
          <w:sz w:val="21"/>
          <w:szCs w:val="21"/>
        </w:rPr>
        <w:t>不</w:t>
      </w:r>
      <w:r>
        <w:rPr>
          <w:rFonts w:ascii="宋体" w:hAnsi="宋体"/>
          <w:sz w:val="21"/>
          <w:szCs w:val="21"/>
        </w:rPr>
        <w:t>含</w:t>
      </w:r>
      <w:r>
        <w:rPr>
          <w:rFonts w:hint="eastAsia" w:ascii="宋体" w:hAnsi="宋体"/>
          <w:sz w:val="21"/>
          <w:szCs w:val="21"/>
        </w:rPr>
        <w:t>增值</w:t>
      </w:r>
      <w:r>
        <w:rPr>
          <w:rFonts w:ascii="宋体" w:hAnsi="宋体"/>
          <w:sz w:val="21"/>
          <w:szCs w:val="21"/>
        </w:rPr>
        <w:t>税）</w:t>
      </w:r>
      <w:r>
        <w:rPr>
          <w:rFonts w:hint="eastAsia" w:ascii="宋体" w:hAnsi="宋体"/>
          <w:sz w:val="21"/>
          <w:szCs w:val="21"/>
        </w:rPr>
        <w:t>*（1+增值</w:t>
      </w:r>
      <w:r>
        <w:rPr>
          <w:rFonts w:ascii="宋体" w:hAnsi="宋体"/>
          <w:sz w:val="21"/>
          <w:szCs w:val="21"/>
        </w:rPr>
        <w:t>税税率</w:t>
      </w:r>
      <w:r>
        <w:rPr>
          <w:rFonts w:hint="eastAsia" w:ascii="宋体" w:hAnsi="宋体"/>
          <w:sz w:val="21"/>
          <w:szCs w:val="21"/>
        </w:rPr>
        <w:t>）</w:t>
      </w:r>
      <w:r>
        <w:rPr>
          <w:rFonts w:ascii="宋体" w:hAnsi="宋体"/>
          <w:sz w:val="21"/>
          <w:szCs w:val="21"/>
        </w:rPr>
        <w:t>修</w:t>
      </w:r>
      <w:r>
        <w:rPr>
          <w:rFonts w:hint="eastAsia" w:ascii="宋体" w:hAnsi="宋体"/>
          <w:sz w:val="21"/>
          <w:szCs w:val="21"/>
        </w:rPr>
        <w:t>正</w:t>
      </w:r>
      <w:r>
        <w:rPr>
          <w:rFonts w:ascii="宋体" w:hAnsi="宋体"/>
          <w:sz w:val="21"/>
          <w:szCs w:val="21"/>
        </w:rPr>
        <w:t>投标报价（</w:t>
      </w:r>
      <w:r>
        <w:rPr>
          <w:rFonts w:hint="eastAsia" w:ascii="宋体" w:hAnsi="宋体"/>
          <w:sz w:val="21"/>
          <w:szCs w:val="21"/>
        </w:rPr>
        <w:t>含</w:t>
      </w:r>
      <w:r>
        <w:rPr>
          <w:rFonts w:ascii="宋体" w:hAnsi="宋体"/>
          <w:sz w:val="21"/>
          <w:szCs w:val="21"/>
        </w:rPr>
        <w:t>税）</w:t>
      </w:r>
      <w:r>
        <w:rPr>
          <w:rFonts w:hint="eastAsia" w:ascii="宋体" w:hAnsi="宋体"/>
          <w:sz w:val="21"/>
          <w:szCs w:val="21"/>
        </w:rPr>
        <w:t>。</w:t>
      </w:r>
    </w:p>
    <w:p w14:paraId="651D7B5F">
      <w:pPr>
        <w:spacing w:line="360" w:lineRule="auto"/>
        <w:ind w:firstLine="420" w:firstLineChars="200"/>
        <w:jc w:val="both"/>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）对不同文字文本投标文件的解释发生异议的，以中文文本为准。</w:t>
      </w:r>
    </w:p>
    <w:p w14:paraId="3712D46A">
      <w:pPr>
        <w:spacing w:line="360" w:lineRule="auto"/>
        <w:jc w:val="both"/>
        <w:rPr>
          <w:rFonts w:ascii="宋体" w:hAnsi="宋体"/>
          <w:b/>
          <w:sz w:val="21"/>
          <w:szCs w:val="21"/>
        </w:rPr>
      </w:pPr>
      <w:bookmarkStart w:id="99" w:name="_Toc302769260"/>
      <w:r>
        <w:rPr>
          <w:rFonts w:ascii="宋体" w:hAnsi="宋体"/>
          <w:b/>
          <w:sz w:val="21"/>
          <w:szCs w:val="21"/>
        </w:rPr>
        <w:t>3.2 详细评审</w:t>
      </w:r>
      <w:bookmarkEnd w:id="97"/>
      <w:bookmarkEnd w:id="99"/>
    </w:p>
    <w:p w14:paraId="686BA55F">
      <w:pPr>
        <w:spacing w:line="360" w:lineRule="auto"/>
        <w:ind w:firstLine="420" w:firstLineChars="200"/>
        <w:jc w:val="both"/>
        <w:rPr>
          <w:rFonts w:ascii="宋体" w:hAnsi="宋体"/>
          <w:sz w:val="21"/>
          <w:szCs w:val="21"/>
        </w:rPr>
      </w:pPr>
      <w:bookmarkStart w:id="100" w:name="_Toc302769261"/>
      <w:r>
        <w:rPr>
          <w:rFonts w:ascii="宋体" w:hAnsi="宋体"/>
          <w:sz w:val="21"/>
          <w:szCs w:val="21"/>
        </w:rPr>
        <w:t>3.2.</w:t>
      </w:r>
      <w:r>
        <w:rPr>
          <w:rFonts w:hint="eastAsia" w:ascii="宋体" w:hAnsi="宋体"/>
          <w:sz w:val="21"/>
          <w:szCs w:val="21"/>
        </w:rPr>
        <w:t>1本项目采用综合评分法。只有通过了初步评审才能进入到详细评审阶段</w:t>
      </w:r>
      <w:bookmarkEnd w:id="100"/>
      <w:r>
        <w:rPr>
          <w:rFonts w:hint="eastAsia" w:ascii="宋体" w:hAnsi="宋体"/>
          <w:sz w:val="21"/>
          <w:szCs w:val="21"/>
        </w:rPr>
        <w:t>。</w:t>
      </w:r>
    </w:p>
    <w:p w14:paraId="04B41691">
      <w:pPr>
        <w:spacing w:line="360" w:lineRule="auto"/>
        <w:ind w:firstLine="420" w:firstLineChars="200"/>
        <w:jc w:val="both"/>
        <w:rPr>
          <w:rFonts w:ascii="宋体" w:hAnsi="宋体"/>
          <w:sz w:val="21"/>
          <w:szCs w:val="21"/>
        </w:rPr>
      </w:pPr>
      <w:bookmarkStart w:id="101" w:name="_Toc302769262"/>
      <w:r>
        <w:rPr>
          <w:rFonts w:ascii="宋体" w:hAnsi="宋体"/>
          <w:sz w:val="21"/>
          <w:szCs w:val="21"/>
        </w:rPr>
        <w:t>3.2.</w:t>
      </w:r>
      <w:r>
        <w:rPr>
          <w:rFonts w:hint="eastAsia" w:ascii="宋体" w:hAnsi="宋体"/>
          <w:sz w:val="21"/>
          <w:szCs w:val="21"/>
        </w:rPr>
        <w:t>2</w:t>
      </w:r>
      <w:r>
        <w:rPr>
          <w:rFonts w:ascii="宋体" w:hAnsi="宋体"/>
          <w:sz w:val="21"/>
          <w:szCs w:val="21"/>
        </w:rPr>
        <w:t>评分分值计算</w:t>
      </w:r>
      <w:r>
        <w:rPr>
          <w:rFonts w:hint="eastAsia" w:ascii="宋体" w:hAnsi="宋体"/>
          <w:sz w:val="21"/>
          <w:szCs w:val="21"/>
        </w:rPr>
        <w:t>按“四舍五入”</w:t>
      </w:r>
      <w:r>
        <w:rPr>
          <w:rFonts w:ascii="宋体" w:hAnsi="宋体"/>
          <w:sz w:val="21"/>
          <w:szCs w:val="21"/>
        </w:rPr>
        <w:t>保留小数点后两位</w:t>
      </w:r>
      <w:r>
        <w:rPr>
          <w:rFonts w:hint="eastAsia" w:ascii="宋体" w:hAnsi="宋体"/>
          <w:sz w:val="21"/>
          <w:szCs w:val="21"/>
        </w:rPr>
        <w:t>小数</w:t>
      </w:r>
      <w:r>
        <w:rPr>
          <w:rFonts w:ascii="宋体" w:hAnsi="宋体"/>
          <w:sz w:val="21"/>
          <w:szCs w:val="21"/>
        </w:rPr>
        <w:t>。</w:t>
      </w:r>
      <w:bookmarkEnd w:id="101"/>
    </w:p>
    <w:p w14:paraId="0BD25F1E">
      <w:pPr>
        <w:spacing w:line="360" w:lineRule="auto"/>
        <w:jc w:val="both"/>
        <w:rPr>
          <w:rFonts w:ascii="宋体" w:hAnsi="宋体"/>
          <w:b/>
          <w:sz w:val="21"/>
          <w:szCs w:val="21"/>
        </w:rPr>
      </w:pPr>
      <w:bookmarkStart w:id="102" w:name="_Toc302769264"/>
      <w:bookmarkStart w:id="103" w:name="_Toc186513216"/>
      <w:r>
        <w:rPr>
          <w:rFonts w:ascii="宋体" w:hAnsi="宋体"/>
          <w:b/>
          <w:sz w:val="21"/>
          <w:szCs w:val="21"/>
        </w:rPr>
        <w:t>3.3 投标文件的澄清和补正</w:t>
      </w:r>
      <w:bookmarkEnd w:id="102"/>
      <w:bookmarkEnd w:id="103"/>
    </w:p>
    <w:p w14:paraId="2097BC58">
      <w:pPr>
        <w:spacing w:line="360" w:lineRule="auto"/>
        <w:ind w:firstLine="420" w:firstLineChars="200"/>
        <w:jc w:val="both"/>
        <w:rPr>
          <w:rFonts w:ascii="宋体" w:hAnsi="宋体"/>
          <w:sz w:val="21"/>
          <w:szCs w:val="21"/>
        </w:rPr>
      </w:pPr>
      <w:bookmarkStart w:id="104" w:name="_Toc302769265"/>
      <w:r>
        <w:rPr>
          <w:rFonts w:ascii="宋体" w:hAnsi="宋体"/>
          <w:sz w:val="21"/>
          <w:szCs w:val="21"/>
        </w:rPr>
        <w:t>3.3.1 在评标过程中，评标委员会可以书面形式要求投标人对所提交投标文件中不明确的内容进行书面澄清或说明，或者对细微偏差进行补正。评标委员会不接受投标人主动提出的澄清、说明或补正。</w:t>
      </w:r>
    </w:p>
    <w:p w14:paraId="78214984">
      <w:pPr>
        <w:spacing w:line="360" w:lineRule="auto"/>
        <w:ind w:firstLine="420" w:firstLineChars="200"/>
        <w:jc w:val="both"/>
        <w:rPr>
          <w:rFonts w:ascii="宋体" w:hAnsi="宋体"/>
          <w:sz w:val="21"/>
          <w:szCs w:val="21"/>
        </w:rPr>
      </w:pPr>
      <w:r>
        <w:rPr>
          <w:rFonts w:ascii="宋体" w:hAnsi="宋体"/>
          <w:sz w:val="21"/>
          <w:szCs w:val="21"/>
        </w:rPr>
        <w:t>3.3.2 澄清、说明和补正不得改变投标文件的实质性内容（算术性错误修正的除外）。投标人的书面澄清、说明和补正属于投标文件的组成部分。</w:t>
      </w:r>
    </w:p>
    <w:p w14:paraId="300E4D15">
      <w:pPr>
        <w:spacing w:line="360" w:lineRule="auto"/>
        <w:ind w:firstLine="420" w:firstLineChars="200"/>
        <w:jc w:val="both"/>
        <w:rPr>
          <w:rFonts w:ascii="宋体" w:hAnsi="宋体"/>
          <w:sz w:val="21"/>
          <w:szCs w:val="21"/>
        </w:rPr>
      </w:pPr>
      <w:r>
        <w:rPr>
          <w:rFonts w:ascii="宋体" w:hAnsi="宋体"/>
          <w:sz w:val="21"/>
          <w:szCs w:val="21"/>
        </w:rPr>
        <w:t>3.3.3 评标委员会对投标人提交的澄清、说明或补正有疑问的，可以要求投标人进一步澄清、说明或补正，直至满足评标委员会的要求。</w:t>
      </w:r>
    </w:p>
    <w:bookmarkEnd w:id="104"/>
    <w:p w14:paraId="2FAFE97C">
      <w:pPr>
        <w:spacing w:line="360" w:lineRule="auto"/>
        <w:jc w:val="both"/>
        <w:rPr>
          <w:rFonts w:ascii="宋体" w:hAnsi="宋体"/>
          <w:b/>
          <w:sz w:val="21"/>
          <w:szCs w:val="21"/>
        </w:rPr>
      </w:pPr>
      <w:bookmarkStart w:id="105" w:name="_Toc186513217"/>
      <w:bookmarkStart w:id="106" w:name="_Toc302769268"/>
      <w:r>
        <w:rPr>
          <w:rFonts w:ascii="宋体" w:hAnsi="宋体"/>
          <w:b/>
          <w:sz w:val="21"/>
          <w:szCs w:val="21"/>
        </w:rPr>
        <w:t>3.4 评标结果</w:t>
      </w:r>
      <w:bookmarkEnd w:id="105"/>
      <w:bookmarkEnd w:id="106"/>
    </w:p>
    <w:p w14:paraId="0A9CFF22">
      <w:pPr>
        <w:spacing w:line="360" w:lineRule="auto"/>
        <w:ind w:firstLine="420" w:firstLineChars="200"/>
        <w:jc w:val="both"/>
        <w:rPr>
          <w:rFonts w:ascii="宋体" w:hAnsi="宋体"/>
          <w:sz w:val="21"/>
          <w:szCs w:val="21"/>
        </w:rPr>
      </w:pPr>
      <w:bookmarkStart w:id="107" w:name="_Toc302769269"/>
      <w:r>
        <w:rPr>
          <w:rFonts w:ascii="宋体" w:hAnsi="宋体"/>
          <w:sz w:val="21"/>
          <w:szCs w:val="21"/>
        </w:rPr>
        <w:t>3.4.1 除第二章“投标人须知”前附表授权直接确定中标人外，</w:t>
      </w:r>
      <w:r>
        <w:rPr>
          <w:rFonts w:hint="eastAsia" w:ascii="宋体" w:hAnsi="宋体"/>
          <w:sz w:val="21"/>
          <w:szCs w:val="21"/>
        </w:rPr>
        <w:t>评标委员会对满足招标文件实质性要求的投标文件，按照本章第2.2款规定的评分标准进行打分，推荐得分最高的投标人为第一中标候选人，以此类推。若出现总分相同时，按技术部分得分高低顺序排列，若技术部分得分相同，按投标人的投标报价得分由高到低的顺序进行排列，若报价得分也相同，则按报价由低到高的顺序排列，若报价得分和报价仍相同的，则由评标委员会以记名投票进行表决。评标委员会按照投标人最后得分高低排序，推荐出前二或前三名中标候选人，标明排列顺序后报招标人。对评审结论有不同意见的可书面阐述不同意见和理由。</w:t>
      </w:r>
    </w:p>
    <w:p w14:paraId="43F480F6">
      <w:pPr>
        <w:spacing w:line="360" w:lineRule="auto"/>
        <w:ind w:firstLine="420" w:firstLineChars="200"/>
        <w:jc w:val="both"/>
        <w:rPr>
          <w:rFonts w:ascii="宋体" w:hAnsi="宋体"/>
          <w:sz w:val="21"/>
          <w:szCs w:val="21"/>
        </w:rPr>
      </w:pPr>
      <w:r>
        <w:rPr>
          <w:rFonts w:ascii="宋体" w:hAnsi="宋体"/>
          <w:sz w:val="21"/>
          <w:szCs w:val="21"/>
        </w:rPr>
        <w:t>3.4.2 评标委员会完成评标后，应当向招标人提交书面评标报告。</w:t>
      </w:r>
      <w:r>
        <w:rPr>
          <w:rFonts w:hint="eastAsia" w:ascii="宋体" w:hAnsi="宋体"/>
          <w:sz w:val="21"/>
          <w:szCs w:val="21"/>
        </w:rPr>
        <w:t>评标报告由评标委员会全体成员签字。对评标结论和建议持有异议的评标委员可以书面方式阐述其不同意见和理由。评标委员会成员拒绝在评标报告上签字且不陈述其不同意见和理由的，视为同意评标结论和建议。评标委员会负责人应当对此作出书面说明并记录在案。</w:t>
      </w:r>
    </w:p>
    <w:bookmarkEnd w:id="107"/>
    <w:p w14:paraId="16042D65">
      <w:pPr>
        <w:rPr>
          <w:rFonts w:ascii="宋体" w:hAnsi="宋体"/>
          <w:sz w:val="21"/>
          <w:szCs w:val="21"/>
        </w:rPr>
      </w:pPr>
      <w:r>
        <w:rPr>
          <w:rFonts w:ascii="宋体" w:hAnsi="宋体"/>
          <w:sz w:val="21"/>
          <w:szCs w:val="21"/>
        </w:rPr>
        <w:br w:type="page"/>
      </w:r>
    </w:p>
    <w:p w14:paraId="394E2EDE">
      <w:pPr>
        <w:spacing w:line="360" w:lineRule="auto"/>
        <w:contextualSpacing/>
        <w:rPr>
          <w:rFonts w:ascii="宋体" w:hAnsi="宋体"/>
          <w:sz w:val="21"/>
          <w:szCs w:val="21"/>
        </w:rPr>
      </w:pPr>
      <w:bookmarkStart w:id="108" w:name="_Toc302769271"/>
      <w:r>
        <w:rPr>
          <w:rFonts w:hint="eastAsia" w:ascii="宋体" w:hAnsi="宋体" w:cs="宋体"/>
          <w:b/>
          <w:sz w:val="21"/>
          <w:szCs w:val="21"/>
        </w:rPr>
        <w:t>附件A：评标详细程序</w:t>
      </w:r>
    </w:p>
    <w:p w14:paraId="0768D6D0">
      <w:pPr>
        <w:spacing w:line="360" w:lineRule="auto"/>
        <w:contextualSpacing/>
        <w:rPr>
          <w:rFonts w:ascii="宋体" w:hAnsi="宋体"/>
          <w:sz w:val="21"/>
          <w:szCs w:val="21"/>
        </w:rPr>
      </w:pPr>
      <w:bookmarkStart w:id="109" w:name="_Toc302769272"/>
      <w:r>
        <w:rPr>
          <w:rFonts w:hint="eastAsia" w:ascii="宋体" w:hAnsi="宋体"/>
          <w:sz w:val="21"/>
          <w:szCs w:val="21"/>
        </w:rPr>
        <w:t>评标详细程序</w:t>
      </w:r>
      <w:bookmarkEnd w:id="109"/>
    </w:p>
    <w:p w14:paraId="5C05AD12">
      <w:pPr>
        <w:keepNext/>
        <w:keepLines/>
        <w:spacing w:line="360" w:lineRule="auto"/>
        <w:contextualSpacing/>
        <w:outlineLvl w:val="3"/>
        <w:rPr>
          <w:rFonts w:ascii="宋体" w:hAnsi="宋体"/>
          <w:sz w:val="21"/>
          <w:szCs w:val="21"/>
        </w:rPr>
      </w:pPr>
      <w:r>
        <w:rPr>
          <w:rFonts w:hint="eastAsia" w:ascii="宋体" w:hAnsi="宋体"/>
          <w:b/>
          <w:bCs/>
          <w:sz w:val="21"/>
          <w:szCs w:val="21"/>
        </w:rPr>
        <w:t>A0.总则</w:t>
      </w:r>
    </w:p>
    <w:p w14:paraId="60CD7EA1">
      <w:pPr>
        <w:spacing w:line="360" w:lineRule="auto"/>
        <w:contextualSpacing/>
        <w:jc w:val="both"/>
        <w:rPr>
          <w:rFonts w:ascii="宋体" w:hAnsi="宋体"/>
          <w:sz w:val="21"/>
          <w:szCs w:val="21"/>
        </w:rPr>
      </w:pPr>
      <w:r>
        <w:rPr>
          <w:rFonts w:hint="eastAsia" w:ascii="宋体" w:hAnsi="宋体"/>
          <w:sz w:val="21"/>
          <w:szCs w:val="21"/>
        </w:rPr>
        <w:t>本附件是本章“评标办法”的组成部分，是对本章第3条所规定的评标程序的进一步细化，评标委员会应当按照本附件所规定的详细程序开展并完成评标工作。</w:t>
      </w:r>
      <w:r>
        <w:rPr>
          <w:rFonts w:hint="eastAsia" w:ascii="宋体" w:hAnsi="宋体"/>
          <w:b/>
          <w:bCs/>
          <w:sz w:val="21"/>
          <w:szCs w:val="21"/>
        </w:rPr>
        <w:t>基本程序为：</w:t>
      </w:r>
    </w:p>
    <w:p w14:paraId="467FC054">
      <w:pPr>
        <w:spacing w:line="360" w:lineRule="auto"/>
        <w:contextualSpacing/>
        <w:rPr>
          <w:rFonts w:ascii="宋体" w:hAnsi="宋体"/>
          <w:sz w:val="21"/>
          <w:szCs w:val="21"/>
        </w:rPr>
      </w:pPr>
      <w:r>
        <w:rPr>
          <w:rFonts w:hint="eastAsia" w:ascii="宋体" w:hAnsi="宋体"/>
          <w:sz w:val="21"/>
          <w:szCs w:val="21"/>
        </w:rPr>
        <w:t>评标活动将按以下五个步骤进行：</w:t>
      </w:r>
    </w:p>
    <w:p w14:paraId="2E022830">
      <w:pPr>
        <w:spacing w:line="360" w:lineRule="auto"/>
        <w:contextualSpacing/>
        <w:rPr>
          <w:rFonts w:ascii="宋体" w:hAnsi="宋体"/>
          <w:sz w:val="21"/>
          <w:szCs w:val="21"/>
        </w:rPr>
      </w:pPr>
      <w:r>
        <w:rPr>
          <w:rFonts w:hint="eastAsia" w:ascii="宋体" w:hAnsi="宋体"/>
          <w:sz w:val="21"/>
          <w:szCs w:val="21"/>
        </w:rPr>
        <w:t>（1）评标准备；</w:t>
      </w:r>
    </w:p>
    <w:p w14:paraId="23CC92D4">
      <w:pPr>
        <w:spacing w:line="360" w:lineRule="auto"/>
        <w:contextualSpacing/>
        <w:rPr>
          <w:rFonts w:ascii="宋体" w:hAnsi="宋体"/>
          <w:sz w:val="21"/>
          <w:szCs w:val="21"/>
        </w:rPr>
      </w:pPr>
      <w:r>
        <w:rPr>
          <w:rFonts w:hint="eastAsia" w:ascii="宋体" w:hAnsi="宋体"/>
          <w:sz w:val="21"/>
          <w:szCs w:val="21"/>
        </w:rPr>
        <w:t>（2）述</w:t>
      </w:r>
      <w:r>
        <w:rPr>
          <w:rFonts w:ascii="宋体" w:hAnsi="宋体"/>
          <w:sz w:val="21"/>
          <w:szCs w:val="21"/>
        </w:rPr>
        <w:t>标</w:t>
      </w:r>
      <w:r>
        <w:rPr>
          <w:rFonts w:hint="eastAsia" w:ascii="宋体" w:hAnsi="宋体"/>
          <w:sz w:val="21"/>
          <w:szCs w:val="21"/>
        </w:rPr>
        <w:t>（本项目不要求述标）；</w:t>
      </w:r>
    </w:p>
    <w:p w14:paraId="7A299D3D">
      <w:pPr>
        <w:spacing w:line="360" w:lineRule="auto"/>
        <w:contextualSpacing/>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）初步评审；</w:t>
      </w:r>
    </w:p>
    <w:p w14:paraId="29821F47">
      <w:pPr>
        <w:spacing w:line="360" w:lineRule="auto"/>
        <w:contextualSpacing/>
        <w:rPr>
          <w:rFonts w:ascii="宋体" w:hAnsi="宋体"/>
          <w:sz w:val="21"/>
          <w:szCs w:val="21"/>
        </w:rPr>
      </w:pPr>
      <w:r>
        <w:rPr>
          <w:rFonts w:hint="eastAsia" w:ascii="宋体" w:hAnsi="宋体"/>
          <w:sz w:val="21"/>
          <w:szCs w:val="21"/>
        </w:rPr>
        <w:t>（</w:t>
      </w:r>
      <w:r>
        <w:rPr>
          <w:rFonts w:ascii="宋体" w:hAnsi="宋体"/>
          <w:sz w:val="21"/>
          <w:szCs w:val="21"/>
        </w:rPr>
        <w:t>4</w:t>
      </w:r>
      <w:r>
        <w:rPr>
          <w:rFonts w:hint="eastAsia" w:ascii="宋体" w:hAnsi="宋体"/>
          <w:sz w:val="21"/>
          <w:szCs w:val="21"/>
        </w:rPr>
        <w:t>）详细评审（澄清、说明或补正）；</w:t>
      </w:r>
    </w:p>
    <w:p w14:paraId="7FF6B2D7">
      <w:pPr>
        <w:spacing w:line="360" w:lineRule="auto"/>
        <w:contextualSpacing/>
        <w:rPr>
          <w:rFonts w:ascii="宋体" w:hAnsi="宋体"/>
          <w:sz w:val="21"/>
          <w:szCs w:val="21"/>
        </w:rPr>
      </w:pPr>
      <w:r>
        <w:rPr>
          <w:rFonts w:hint="eastAsia" w:ascii="宋体" w:hAnsi="宋体"/>
          <w:sz w:val="21"/>
          <w:szCs w:val="21"/>
        </w:rPr>
        <w:t>（</w:t>
      </w:r>
      <w:r>
        <w:rPr>
          <w:rFonts w:ascii="宋体" w:hAnsi="宋体"/>
          <w:sz w:val="21"/>
          <w:szCs w:val="21"/>
        </w:rPr>
        <w:t>5</w:t>
      </w:r>
      <w:r>
        <w:rPr>
          <w:rFonts w:hint="eastAsia" w:ascii="宋体" w:hAnsi="宋体"/>
          <w:sz w:val="21"/>
          <w:szCs w:val="21"/>
        </w:rPr>
        <w:t>）推荐中标候选人或者直接确定中标人及提交评标报告。</w:t>
      </w:r>
    </w:p>
    <w:p w14:paraId="3637F052">
      <w:pPr>
        <w:keepNext/>
        <w:keepLines/>
        <w:spacing w:line="360" w:lineRule="auto"/>
        <w:contextualSpacing/>
        <w:outlineLvl w:val="3"/>
        <w:rPr>
          <w:rFonts w:ascii="宋体" w:hAnsi="宋体"/>
          <w:b/>
          <w:bCs/>
          <w:sz w:val="21"/>
          <w:szCs w:val="21"/>
        </w:rPr>
      </w:pPr>
      <w:r>
        <w:rPr>
          <w:rFonts w:hint="eastAsia" w:ascii="宋体" w:hAnsi="宋体"/>
          <w:b/>
          <w:bCs/>
          <w:sz w:val="21"/>
          <w:szCs w:val="21"/>
        </w:rPr>
        <w:t>A</w:t>
      </w:r>
      <w:r>
        <w:rPr>
          <w:rFonts w:ascii="宋体" w:hAnsi="宋体"/>
          <w:b/>
          <w:bCs/>
          <w:sz w:val="21"/>
          <w:szCs w:val="21"/>
        </w:rPr>
        <w:t>1</w:t>
      </w:r>
      <w:r>
        <w:rPr>
          <w:rFonts w:hint="eastAsia" w:ascii="宋体" w:hAnsi="宋体"/>
          <w:b/>
          <w:bCs/>
          <w:sz w:val="21"/>
          <w:szCs w:val="21"/>
        </w:rPr>
        <w:t>.评标准备</w:t>
      </w:r>
    </w:p>
    <w:p w14:paraId="1B0B4A57">
      <w:pPr>
        <w:keepNext/>
        <w:keepLines/>
        <w:numPr>
          <w:ilvl w:val="5"/>
          <w:numId w:val="0"/>
        </w:numPr>
        <w:tabs>
          <w:tab w:val="left" w:pos="1440"/>
          <w:tab w:val="left" w:pos="3052"/>
        </w:tabs>
        <w:spacing w:before="240" w:after="64" w:line="360" w:lineRule="auto"/>
        <w:contextualSpacing/>
        <w:outlineLvl w:val="5"/>
        <w:rPr>
          <w:rFonts w:ascii="宋体" w:hAnsi="宋体"/>
          <w:bCs/>
          <w:sz w:val="21"/>
          <w:szCs w:val="21"/>
        </w:rPr>
      </w:pPr>
      <w:r>
        <w:rPr>
          <w:rFonts w:hint="eastAsia" w:ascii="宋体" w:hAnsi="宋体"/>
          <w:bCs/>
          <w:sz w:val="21"/>
          <w:szCs w:val="21"/>
        </w:rPr>
        <w:t>A</w:t>
      </w:r>
      <w:r>
        <w:rPr>
          <w:rFonts w:ascii="宋体" w:hAnsi="宋体"/>
          <w:bCs/>
          <w:sz w:val="21"/>
          <w:szCs w:val="21"/>
        </w:rPr>
        <w:t>1</w:t>
      </w:r>
      <w:r>
        <w:rPr>
          <w:rFonts w:hint="eastAsia" w:ascii="宋体" w:hAnsi="宋体"/>
          <w:bCs/>
          <w:sz w:val="21"/>
          <w:szCs w:val="21"/>
        </w:rPr>
        <w:t>.1评标委员会成员签到</w:t>
      </w:r>
    </w:p>
    <w:p w14:paraId="1B2FA933">
      <w:pPr>
        <w:spacing w:line="360" w:lineRule="auto"/>
        <w:ind w:firstLine="315" w:firstLineChars="150"/>
        <w:contextualSpacing/>
        <w:rPr>
          <w:rFonts w:ascii="宋体" w:hAnsi="宋体"/>
          <w:sz w:val="21"/>
          <w:szCs w:val="21"/>
        </w:rPr>
      </w:pPr>
      <w:r>
        <w:rPr>
          <w:rFonts w:hint="eastAsia" w:ascii="宋体" w:hAnsi="宋体"/>
          <w:sz w:val="21"/>
          <w:szCs w:val="21"/>
        </w:rPr>
        <w:t>评标委员会成员到达评标现场时应在签到表上签到以证明其出席。</w:t>
      </w:r>
    </w:p>
    <w:p w14:paraId="0E7AC8D8">
      <w:pPr>
        <w:keepNext/>
        <w:keepLines/>
        <w:numPr>
          <w:ilvl w:val="5"/>
          <w:numId w:val="0"/>
        </w:numPr>
        <w:tabs>
          <w:tab w:val="left" w:pos="1440"/>
          <w:tab w:val="left" w:pos="3052"/>
        </w:tabs>
        <w:spacing w:before="240" w:after="64" w:line="360" w:lineRule="auto"/>
        <w:contextualSpacing/>
        <w:outlineLvl w:val="5"/>
        <w:rPr>
          <w:rFonts w:ascii="宋体" w:hAnsi="宋体"/>
          <w:bCs/>
          <w:sz w:val="21"/>
          <w:szCs w:val="21"/>
        </w:rPr>
      </w:pPr>
      <w:r>
        <w:rPr>
          <w:rFonts w:hint="eastAsia" w:ascii="宋体" w:hAnsi="宋体"/>
          <w:bCs/>
          <w:sz w:val="21"/>
          <w:szCs w:val="21"/>
        </w:rPr>
        <w:t>A</w:t>
      </w:r>
      <w:r>
        <w:rPr>
          <w:rFonts w:ascii="宋体" w:hAnsi="宋体"/>
          <w:bCs/>
          <w:sz w:val="21"/>
          <w:szCs w:val="21"/>
        </w:rPr>
        <w:t>1</w:t>
      </w:r>
      <w:r>
        <w:rPr>
          <w:rFonts w:hint="eastAsia" w:ascii="宋体" w:hAnsi="宋体"/>
          <w:bCs/>
          <w:sz w:val="21"/>
          <w:szCs w:val="21"/>
        </w:rPr>
        <w:t>.2评标委员会的分工</w:t>
      </w:r>
    </w:p>
    <w:p w14:paraId="1777CC9B">
      <w:pPr>
        <w:spacing w:line="360" w:lineRule="auto"/>
        <w:ind w:firstLine="315" w:firstLineChars="150"/>
        <w:contextualSpacing/>
        <w:jc w:val="both"/>
        <w:rPr>
          <w:rFonts w:ascii="宋体" w:hAnsi="宋体"/>
          <w:sz w:val="21"/>
          <w:szCs w:val="21"/>
        </w:rPr>
      </w:pPr>
      <w:r>
        <w:rPr>
          <w:rFonts w:hint="eastAsia" w:ascii="宋体" w:hAnsi="宋体"/>
          <w:sz w:val="21"/>
          <w:szCs w:val="21"/>
        </w:rPr>
        <w:t>评标委员会首先推选一名评标委员会主任。评标委员会主任负责评标活动的组织领导工作。评标委员会主任在与其他评标委员会成员商议的基础上可以将评标委员会划分为技术组和商务组。</w:t>
      </w:r>
    </w:p>
    <w:p w14:paraId="69F10A62">
      <w:pPr>
        <w:keepNext/>
        <w:keepLines/>
        <w:numPr>
          <w:ilvl w:val="5"/>
          <w:numId w:val="0"/>
        </w:numPr>
        <w:tabs>
          <w:tab w:val="left" w:pos="1440"/>
          <w:tab w:val="left" w:pos="3052"/>
        </w:tabs>
        <w:spacing w:before="240" w:after="64" w:line="360" w:lineRule="auto"/>
        <w:contextualSpacing/>
        <w:jc w:val="both"/>
        <w:outlineLvl w:val="5"/>
        <w:rPr>
          <w:rFonts w:ascii="宋体" w:hAnsi="宋体"/>
          <w:bCs/>
          <w:sz w:val="21"/>
          <w:szCs w:val="21"/>
        </w:rPr>
      </w:pPr>
      <w:r>
        <w:rPr>
          <w:rFonts w:hint="eastAsia" w:ascii="宋体" w:hAnsi="宋体"/>
          <w:bCs/>
          <w:sz w:val="21"/>
          <w:szCs w:val="21"/>
        </w:rPr>
        <w:t>A</w:t>
      </w:r>
      <w:r>
        <w:rPr>
          <w:rFonts w:ascii="宋体" w:hAnsi="宋体"/>
          <w:bCs/>
          <w:sz w:val="21"/>
          <w:szCs w:val="21"/>
        </w:rPr>
        <w:t>1</w:t>
      </w:r>
      <w:r>
        <w:rPr>
          <w:rFonts w:hint="eastAsia" w:ascii="宋体" w:hAnsi="宋体"/>
          <w:bCs/>
          <w:sz w:val="21"/>
          <w:szCs w:val="21"/>
        </w:rPr>
        <w:t>.3熟悉文件资料</w:t>
      </w:r>
    </w:p>
    <w:p w14:paraId="5F2834A8">
      <w:pPr>
        <w:spacing w:line="360" w:lineRule="auto"/>
        <w:ind w:firstLine="315" w:firstLineChars="150"/>
        <w:contextualSpacing/>
        <w:jc w:val="both"/>
        <w:rPr>
          <w:rFonts w:ascii="宋体" w:hAnsi="宋体"/>
          <w:sz w:val="21"/>
          <w:szCs w:val="21"/>
        </w:rPr>
      </w:pPr>
      <w:r>
        <w:rPr>
          <w:rFonts w:hint="eastAsia" w:ascii="宋体" w:hAnsi="宋体"/>
          <w:sz w:val="21"/>
          <w:szCs w:val="21"/>
        </w:rPr>
        <w:t>A</w:t>
      </w:r>
      <w:r>
        <w:rPr>
          <w:rFonts w:ascii="宋体" w:hAnsi="宋体"/>
          <w:sz w:val="21"/>
          <w:szCs w:val="21"/>
        </w:rPr>
        <w:t>1</w:t>
      </w:r>
      <w:r>
        <w:rPr>
          <w:rFonts w:hint="eastAsia" w:ascii="宋体" w:hAnsi="宋体"/>
          <w:sz w:val="21"/>
          <w:szCs w:val="21"/>
        </w:rPr>
        <w:t>.3.1评标委员会主任应组织评标委员会成员认真研究招标文件，了解和熟悉招标目的、招标范围、主要合同条件、技术标准和要求、质量标准和项目工期，掌握评标标准和方法，熟悉本章及评标表格的使用，如果本章及评标表格不能满足评标所需时，评标委员会应补充编制评标所需的表格，尤其是用于详细分析计算的表格。未在招标文件中规定的标准和方法不得作为评标的依据。</w:t>
      </w:r>
    </w:p>
    <w:p w14:paraId="2478EFD1">
      <w:pPr>
        <w:spacing w:line="360" w:lineRule="auto"/>
        <w:ind w:firstLine="315" w:firstLineChars="150"/>
        <w:contextualSpacing/>
        <w:jc w:val="both"/>
        <w:rPr>
          <w:rFonts w:ascii="宋体" w:hAnsi="宋体"/>
          <w:sz w:val="21"/>
          <w:szCs w:val="21"/>
        </w:rPr>
      </w:pPr>
      <w:r>
        <w:rPr>
          <w:rFonts w:hint="eastAsia" w:ascii="宋体" w:hAnsi="宋体"/>
          <w:sz w:val="21"/>
          <w:szCs w:val="21"/>
        </w:rPr>
        <w:t>A</w:t>
      </w:r>
      <w:r>
        <w:rPr>
          <w:rFonts w:ascii="宋体" w:hAnsi="宋体"/>
          <w:sz w:val="21"/>
          <w:szCs w:val="21"/>
        </w:rPr>
        <w:t>1</w:t>
      </w:r>
      <w:r>
        <w:rPr>
          <w:rFonts w:hint="eastAsia" w:ascii="宋体" w:hAnsi="宋体"/>
          <w:sz w:val="21"/>
          <w:szCs w:val="21"/>
        </w:rPr>
        <w:t>.3.2招标人或招标代理机构应向评标委员会提供评标所需的信息和数据，包括招标文件、未在开标会上当场拒绝的各投标文件、开标会记录、有关的法律、法规、规章、国家标准以及招标人或评标委员会认为必要的其他信息和数据。</w:t>
      </w:r>
    </w:p>
    <w:p w14:paraId="4E94F626">
      <w:pPr>
        <w:keepNext/>
        <w:keepLines/>
        <w:spacing w:line="360" w:lineRule="auto"/>
        <w:contextualSpacing/>
        <w:outlineLvl w:val="3"/>
        <w:rPr>
          <w:rFonts w:ascii="宋体" w:hAnsi="宋体"/>
          <w:sz w:val="21"/>
          <w:szCs w:val="21"/>
        </w:rPr>
      </w:pPr>
      <w:r>
        <w:rPr>
          <w:rFonts w:hint="eastAsia" w:ascii="宋体" w:hAnsi="宋体"/>
          <w:b/>
          <w:bCs/>
          <w:sz w:val="21"/>
          <w:szCs w:val="21"/>
        </w:rPr>
        <w:t>A</w:t>
      </w:r>
      <w:r>
        <w:rPr>
          <w:rFonts w:ascii="宋体" w:hAnsi="宋体"/>
          <w:b/>
          <w:bCs/>
          <w:sz w:val="21"/>
          <w:szCs w:val="21"/>
        </w:rPr>
        <w:t>2</w:t>
      </w:r>
      <w:r>
        <w:rPr>
          <w:rFonts w:hint="eastAsia" w:ascii="宋体" w:hAnsi="宋体"/>
          <w:b/>
          <w:bCs/>
          <w:sz w:val="21"/>
          <w:szCs w:val="21"/>
        </w:rPr>
        <w:t>. 述标</w:t>
      </w:r>
    </w:p>
    <w:p w14:paraId="43B3E5BF">
      <w:pPr>
        <w:spacing w:line="360" w:lineRule="auto"/>
        <w:ind w:firstLine="315" w:firstLineChars="150"/>
        <w:contextualSpacing/>
        <w:rPr>
          <w:rFonts w:ascii="宋体" w:hAnsi="宋体"/>
          <w:sz w:val="21"/>
          <w:szCs w:val="21"/>
        </w:rPr>
      </w:pPr>
      <w:r>
        <w:rPr>
          <w:rFonts w:hint="eastAsia" w:ascii="宋体" w:hAnsi="宋体"/>
          <w:sz w:val="21"/>
          <w:szCs w:val="21"/>
        </w:rPr>
        <w:t>本项目不要求述标。</w:t>
      </w:r>
    </w:p>
    <w:p w14:paraId="6781B756">
      <w:pPr>
        <w:keepNext/>
        <w:keepLines/>
        <w:spacing w:line="360" w:lineRule="auto"/>
        <w:contextualSpacing/>
        <w:outlineLvl w:val="3"/>
        <w:rPr>
          <w:rFonts w:ascii="宋体" w:hAnsi="宋体"/>
          <w:b/>
          <w:bCs/>
          <w:sz w:val="21"/>
          <w:szCs w:val="21"/>
        </w:rPr>
      </w:pPr>
      <w:r>
        <w:rPr>
          <w:rFonts w:hint="eastAsia" w:ascii="宋体" w:hAnsi="宋体"/>
          <w:b/>
          <w:bCs/>
          <w:sz w:val="21"/>
          <w:szCs w:val="21"/>
        </w:rPr>
        <w:t>A</w:t>
      </w:r>
      <w:r>
        <w:rPr>
          <w:rFonts w:ascii="宋体" w:hAnsi="宋体"/>
          <w:b/>
          <w:bCs/>
          <w:sz w:val="21"/>
          <w:szCs w:val="21"/>
        </w:rPr>
        <w:t>3</w:t>
      </w:r>
      <w:r>
        <w:rPr>
          <w:rFonts w:hint="eastAsia" w:ascii="宋体" w:hAnsi="宋体"/>
          <w:b/>
          <w:bCs/>
          <w:sz w:val="21"/>
          <w:szCs w:val="21"/>
        </w:rPr>
        <w:t>.初步评审</w:t>
      </w:r>
    </w:p>
    <w:p w14:paraId="76634E1B">
      <w:pPr>
        <w:keepNext/>
        <w:keepLines/>
        <w:numPr>
          <w:ilvl w:val="5"/>
          <w:numId w:val="0"/>
        </w:numPr>
        <w:tabs>
          <w:tab w:val="left" w:pos="1440"/>
          <w:tab w:val="left" w:pos="3052"/>
        </w:tabs>
        <w:spacing w:before="240" w:after="64" w:line="360" w:lineRule="auto"/>
        <w:contextualSpacing/>
        <w:outlineLvl w:val="5"/>
        <w:rPr>
          <w:rFonts w:ascii="宋体" w:hAnsi="宋体"/>
          <w:bCs/>
          <w:sz w:val="21"/>
          <w:szCs w:val="21"/>
        </w:rPr>
      </w:pPr>
      <w:r>
        <w:rPr>
          <w:rFonts w:hint="eastAsia" w:ascii="宋体" w:hAnsi="宋体"/>
          <w:bCs/>
          <w:sz w:val="21"/>
          <w:szCs w:val="21"/>
        </w:rPr>
        <w:t>A</w:t>
      </w:r>
      <w:r>
        <w:rPr>
          <w:rFonts w:ascii="宋体" w:hAnsi="宋体"/>
          <w:bCs/>
          <w:sz w:val="21"/>
          <w:szCs w:val="21"/>
        </w:rPr>
        <w:t>3</w:t>
      </w:r>
      <w:r>
        <w:rPr>
          <w:rFonts w:hint="eastAsia" w:ascii="宋体" w:hAnsi="宋体"/>
          <w:bCs/>
          <w:sz w:val="21"/>
          <w:szCs w:val="21"/>
        </w:rPr>
        <w:t>.1形式评审</w:t>
      </w:r>
    </w:p>
    <w:p w14:paraId="5AB86947">
      <w:pPr>
        <w:spacing w:line="360" w:lineRule="auto"/>
        <w:ind w:firstLine="315" w:firstLineChars="150"/>
        <w:contextualSpacing/>
        <w:jc w:val="both"/>
        <w:rPr>
          <w:rFonts w:ascii="宋体" w:hAnsi="宋体"/>
          <w:sz w:val="21"/>
          <w:szCs w:val="21"/>
        </w:rPr>
      </w:pPr>
      <w:r>
        <w:rPr>
          <w:rFonts w:hint="eastAsia" w:ascii="宋体" w:hAnsi="宋体"/>
          <w:sz w:val="21"/>
          <w:szCs w:val="21"/>
        </w:rPr>
        <w:t>评标委员会根据评标办法前附表中规定的评审因素和评审标准，对投标人的投标文件进行形式评审，并记录评审结果。不通过形式评审的，不得进入下一步评审。</w:t>
      </w:r>
    </w:p>
    <w:p w14:paraId="6FABB237">
      <w:pPr>
        <w:keepNext/>
        <w:keepLines/>
        <w:numPr>
          <w:ilvl w:val="5"/>
          <w:numId w:val="0"/>
        </w:numPr>
        <w:tabs>
          <w:tab w:val="left" w:pos="1440"/>
          <w:tab w:val="left" w:pos="3052"/>
        </w:tabs>
        <w:spacing w:before="240" w:after="64" w:line="360" w:lineRule="auto"/>
        <w:contextualSpacing/>
        <w:outlineLvl w:val="5"/>
        <w:rPr>
          <w:rFonts w:ascii="宋体" w:hAnsi="宋体"/>
          <w:bCs/>
          <w:sz w:val="21"/>
          <w:szCs w:val="21"/>
        </w:rPr>
      </w:pPr>
      <w:r>
        <w:rPr>
          <w:rFonts w:hint="eastAsia" w:ascii="宋体" w:hAnsi="宋体"/>
          <w:bCs/>
          <w:sz w:val="21"/>
          <w:szCs w:val="21"/>
        </w:rPr>
        <w:t>A</w:t>
      </w:r>
      <w:r>
        <w:rPr>
          <w:rFonts w:ascii="宋体" w:hAnsi="宋体"/>
          <w:bCs/>
          <w:sz w:val="21"/>
          <w:szCs w:val="21"/>
        </w:rPr>
        <w:t>3</w:t>
      </w:r>
      <w:r>
        <w:rPr>
          <w:rFonts w:hint="eastAsia" w:ascii="宋体" w:hAnsi="宋体"/>
          <w:bCs/>
          <w:sz w:val="21"/>
          <w:szCs w:val="21"/>
        </w:rPr>
        <w:t>.2资格评审</w:t>
      </w:r>
    </w:p>
    <w:p w14:paraId="28E0D7A0">
      <w:pPr>
        <w:spacing w:line="360" w:lineRule="auto"/>
        <w:ind w:firstLine="315" w:firstLineChars="150"/>
        <w:contextualSpacing/>
        <w:jc w:val="both"/>
        <w:rPr>
          <w:rFonts w:ascii="宋体" w:hAnsi="宋体"/>
          <w:sz w:val="21"/>
          <w:szCs w:val="21"/>
        </w:rPr>
      </w:pPr>
      <w:r>
        <w:rPr>
          <w:rFonts w:hint="eastAsia" w:ascii="宋体" w:hAnsi="宋体"/>
          <w:sz w:val="21"/>
          <w:szCs w:val="21"/>
        </w:rPr>
        <w:t>评标委员会根据评标办法前附表中规定的评审因素和评审标准，对投标人的投标文件进行资格评审，并记录评审结果。不通过资格评审的，不得进入下一步评审。</w:t>
      </w:r>
    </w:p>
    <w:p w14:paraId="54BCE17A">
      <w:pPr>
        <w:keepNext/>
        <w:keepLines/>
        <w:numPr>
          <w:ilvl w:val="5"/>
          <w:numId w:val="0"/>
        </w:numPr>
        <w:tabs>
          <w:tab w:val="left" w:pos="1440"/>
          <w:tab w:val="left" w:pos="3052"/>
        </w:tabs>
        <w:spacing w:before="240" w:after="64" w:line="360" w:lineRule="auto"/>
        <w:contextualSpacing/>
        <w:outlineLvl w:val="5"/>
        <w:rPr>
          <w:rFonts w:ascii="宋体" w:hAnsi="宋体"/>
          <w:bCs/>
          <w:sz w:val="21"/>
          <w:szCs w:val="21"/>
        </w:rPr>
      </w:pPr>
      <w:r>
        <w:rPr>
          <w:rFonts w:hint="eastAsia" w:ascii="宋体" w:hAnsi="宋体"/>
          <w:bCs/>
          <w:sz w:val="21"/>
          <w:szCs w:val="21"/>
        </w:rPr>
        <w:t>A</w:t>
      </w:r>
      <w:r>
        <w:rPr>
          <w:rFonts w:ascii="宋体" w:hAnsi="宋体"/>
          <w:bCs/>
          <w:sz w:val="21"/>
          <w:szCs w:val="21"/>
        </w:rPr>
        <w:t>3</w:t>
      </w:r>
      <w:r>
        <w:rPr>
          <w:rFonts w:hint="eastAsia" w:ascii="宋体" w:hAnsi="宋体"/>
          <w:bCs/>
          <w:sz w:val="21"/>
          <w:szCs w:val="21"/>
        </w:rPr>
        <w:t>.3 响应性评审</w:t>
      </w:r>
    </w:p>
    <w:p w14:paraId="6D22E2AE">
      <w:pPr>
        <w:spacing w:line="360" w:lineRule="auto"/>
        <w:ind w:firstLine="420" w:firstLineChars="200"/>
        <w:contextualSpacing/>
        <w:jc w:val="both"/>
        <w:rPr>
          <w:rFonts w:ascii="宋体" w:hAnsi="宋体"/>
          <w:sz w:val="21"/>
          <w:szCs w:val="21"/>
        </w:rPr>
      </w:pPr>
      <w:r>
        <w:rPr>
          <w:rFonts w:hint="eastAsia" w:ascii="宋体" w:hAnsi="宋体"/>
          <w:sz w:val="21"/>
          <w:szCs w:val="21"/>
        </w:rPr>
        <w:t>评标委员会根据评标办法前附表中规定的评审因素和评审标准，对投标人的投标文件进行响应性评审，并记录评审结果。不通过响应性评审的，不得进入下一步评审。</w:t>
      </w:r>
    </w:p>
    <w:p w14:paraId="6E5F137C">
      <w:pPr>
        <w:keepNext/>
        <w:keepLines/>
        <w:numPr>
          <w:ilvl w:val="5"/>
          <w:numId w:val="0"/>
        </w:numPr>
        <w:tabs>
          <w:tab w:val="left" w:pos="1440"/>
          <w:tab w:val="left" w:pos="3052"/>
        </w:tabs>
        <w:spacing w:before="240" w:after="64" w:line="360" w:lineRule="auto"/>
        <w:contextualSpacing/>
        <w:outlineLvl w:val="5"/>
        <w:rPr>
          <w:rFonts w:ascii="宋体" w:hAnsi="宋体"/>
          <w:bCs/>
          <w:sz w:val="21"/>
          <w:szCs w:val="21"/>
        </w:rPr>
      </w:pPr>
      <w:r>
        <w:rPr>
          <w:rFonts w:hint="eastAsia" w:ascii="宋体" w:hAnsi="宋体"/>
          <w:bCs/>
          <w:sz w:val="21"/>
          <w:szCs w:val="21"/>
        </w:rPr>
        <w:t>A</w:t>
      </w:r>
      <w:r>
        <w:rPr>
          <w:rFonts w:ascii="宋体" w:hAnsi="宋体"/>
          <w:bCs/>
          <w:sz w:val="21"/>
          <w:szCs w:val="21"/>
        </w:rPr>
        <w:t>3</w:t>
      </w:r>
      <w:r>
        <w:rPr>
          <w:rFonts w:hint="eastAsia" w:ascii="宋体" w:hAnsi="宋体"/>
          <w:bCs/>
          <w:sz w:val="21"/>
          <w:szCs w:val="21"/>
        </w:rPr>
        <w:t>.4 判断投标是否为否决投标</w:t>
      </w:r>
    </w:p>
    <w:p w14:paraId="507B7A00">
      <w:pPr>
        <w:spacing w:line="360" w:lineRule="auto"/>
        <w:ind w:firstLine="315" w:firstLineChars="150"/>
        <w:contextualSpacing/>
        <w:jc w:val="both"/>
        <w:rPr>
          <w:rFonts w:ascii="宋体" w:hAnsi="宋体"/>
          <w:sz w:val="21"/>
          <w:szCs w:val="21"/>
        </w:rPr>
      </w:pPr>
      <w:r>
        <w:rPr>
          <w:rFonts w:hint="eastAsia" w:ascii="宋体" w:hAnsi="宋体"/>
          <w:sz w:val="21"/>
          <w:szCs w:val="21"/>
        </w:rPr>
        <w:t>A</w:t>
      </w:r>
      <w:r>
        <w:rPr>
          <w:rFonts w:ascii="宋体" w:hAnsi="宋体"/>
          <w:sz w:val="21"/>
          <w:szCs w:val="21"/>
        </w:rPr>
        <w:t>3</w:t>
      </w:r>
      <w:r>
        <w:rPr>
          <w:rFonts w:hint="eastAsia" w:ascii="宋体" w:hAnsi="宋体"/>
          <w:sz w:val="21"/>
          <w:szCs w:val="21"/>
        </w:rPr>
        <w:t>.4.1 判断投标人的投标是否为否决投标的全部条件(包括本章前附表中规定的条件)，在本章附件B中集中列示。</w:t>
      </w:r>
    </w:p>
    <w:p w14:paraId="2C0438E1">
      <w:pPr>
        <w:spacing w:line="360" w:lineRule="auto"/>
        <w:ind w:firstLine="315" w:firstLineChars="150"/>
        <w:contextualSpacing/>
        <w:jc w:val="both"/>
        <w:rPr>
          <w:rFonts w:ascii="宋体" w:hAnsi="宋体"/>
          <w:sz w:val="21"/>
          <w:szCs w:val="21"/>
        </w:rPr>
      </w:pPr>
      <w:r>
        <w:rPr>
          <w:rFonts w:hint="eastAsia" w:ascii="宋体" w:hAnsi="宋体"/>
          <w:sz w:val="21"/>
          <w:szCs w:val="21"/>
        </w:rPr>
        <w:t>A</w:t>
      </w:r>
      <w:r>
        <w:rPr>
          <w:rFonts w:ascii="宋体" w:hAnsi="宋体"/>
          <w:sz w:val="21"/>
          <w:szCs w:val="21"/>
        </w:rPr>
        <w:t>3</w:t>
      </w:r>
      <w:r>
        <w:rPr>
          <w:rFonts w:hint="eastAsia" w:ascii="宋体" w:hAnsi="宋体"/>
          <w:sz w:val="21"/>
          <w:szCs w:val="21"/>
        </w:rPr>
        <w:t>.4.2本章附件B集中列示的否决投标条件不应与第二章“投标人须知”和本章正文部分包括的否决投标条件抵触，如果出现相互矛盾的情况，以第二章“投标人须知”和本章正文部分的规定为准。</w:t>
      </w:r>
    </w:p>
    <w:p w14:paraId="3906D246">
      <w:pPr>
        <w:spacing w:line="360" w:lineRule="auto"/>
        <w:ind w:firstLine="315" w:firstLineChars="150"/>
        <w:contextualSpacing/>
        <w:jc w:val="both"/>
        <w:rPr>
          <w:rFonts w:ascii="宋体" w:hAnsi="宋体"/>
          <w:sz w:val="21"/>
          <w:szCs w:val="21"/>
        </w:rPr>
      </w:pPr>
      <w:r>
        <w:rPr>
          <w:rFonts w:hint="eastAsia" w:ascii="宋体" w:hAnsi="宋体"/>
          <w:sz w:val="21"/>
          <w:szCs w:val="21"/>
        </w:rPr>
        <w:t>A</w:t>
      </w:r>
      <w:r>
        <w:rPr>
          <w:rFonts w:ascii="宋体" w:hAnsi="宋体"/>
          <w:sz w:val="21"/>
          <w:szCs w:val="21"/>
        </w:rPr>
        <w:t>3</w:t>
      </w:r>
      <w:r>
        <w:rPr>
          <w:rFonts w:hint="eastAsia" w:ascii="宋体" w:hAnsi="宋体"/>
          <w:sz w:val="21"/>
          <w:szCs w:val="21"/>
        </w:rPr>
        <w:t>.4.3评标委员会在评标(包括初步评审和详细评审)过程中，依据本章附件B中规定的否决投标条件判断投标人的投标是否为否决投标。</w:t>
      </w:r>
    </w:p>
    <w:p w14:paraId="55BDACA8">
      <w:pPr>
        <w:spacing w:line="360" w:lineRule="auto"/>
        <w:ind w:firstLine="315" w:firstLineChars="150"/>
        <w:contextualSpacing/>
        <w:jc w:val="both"/>
        <w:rPr>
          <w:rFonts w:ascii="宋体" w:hAnsi="宋体"/>
          <w:sz w:val="21"/>
          <w:szCs w:val="21"/>
        </w:rPr>
      </w:pPr>
      <w:r>
        <w:rPr>
          <w:rFonts w:hint="eastAsia" w:ascii="宋体" w:hAnsi="宋体"/>
          <w:bCs/>
          <w:sz w:val="21"/>
          <w:szCs w:val="21"/>
        </w:rPr>
        <w:t>A</w:t>
      </w:r>
      <w:r>
        <w:rPr>
          <w:rFonts w:ascii="宋体" w:hAnsi="宋体"/>
          <w:bCs/>
          <w:sz w:val="21"/>
          <w:szCs w:val="21"/>
        </w:rPr>
        <w:t>3</w:t>
      </w:r>
      <w:r>
        <w:rPr>
          <w:rFonts w:hint="eastAsia" w:ascii="宋体" w:hAnsi="宋体"/>
          <w:bCs/>
          <w:sz w:val="21"/>
          <w:szCs w:val="21"/>
        </w:rPr>
        <w:t>.5算术错误修正</w:t>
      </w:r>
    </w:p>
    <w:p w14:paraId="68959214">
      <w:pPr>
        <w:spacing w:line="360" w:lineRule="auto"/>
        <w:ind w:firstLine="315" w:firstLineChars="150"/>
        <w:contextualSpacing/>
        <w:jc w:val="both"/>
        <w:rPr>
          <w:rFonts w:ascii="宋体" w:hAnsi="宋体"/>
          <w:sz w:val="21"/>
          <w:szCs w:val="21"/>
        </w:rPr>
      </w:pPr>
      <w:r>
        <w:rPr>
          <w:rFonts w:hint="eastAsia" w:ascii="宋体" w:hAnsi="宋体"/>
          <w:sz w:val="21"/>
          <w:szCs w:val="21"/>
        </w:rPr>
        <w:t>评标委员会依据本章中规定的相关原则对投标报价中存在的算术错误进行修正，并根据算术错误修正结果计算评标价。</w:t>
      </w:r>
    </w:p>
    <w:p w14:paraId="4D11FC6E">
      <w:pPr>
        <w:spacing w:line="360" w:lineRule="auto"/>
        <w:ind w:firstLine="315" w:firstLineChars="150"/>
        <w:contextualSpacing/>
        <w:jc w:val="both"/>
        <w:rPr>
          <w:rFonts w:ascii="宋体" w:hAnsi="宋体"/>
          <w:sz w:val="21"/>
          <w:szCs w:val="21"/>
        </w:rPr>
      </w:pPr>
      <w:r>
        <w:rPr>
          <w:rFonts w:hint="eastAsia" w:ascii="宋体" w:hAnsi="宋体"/>
          <w:bCs/>
          <w:sz w:val="21"/>
          <w:szCs w:val="21"/>
        </w:rPr>
        <w:t>A3.6澄清、说明或补正</w:t>
      </w:r>
    </w:p>
    <w:p w14:paraId="460DE8C5">
      <w:pPr>
        <w:spacing w:line="360" w:lineRule="auto"/>
        <w:ind w:firstLine="315" w:firstLineChars="150"/>
        <w:contextualSpacing/>
        <w:jc w:val="both"/>
        <w:rPr>
          <w:rFonts w:ascii="宋体" w:hAnsi="宋体"/>
          <w:sz w:val="21"/>
          <w:szCs w:val="21"/>
        </w:rPr>
      </w:pPr>
      <w:r>
        <w:rPr>
          <w:rFonts w:hint="eastAsia" w:ascii="宋体" w:hAnsi="宋体"/>
          <w:sz w:val="21"/>
          <w:szCs w:val="21"/>
        </w:rPr>
        <w:t>在初步评审过程中，评标委员会应当就投标文件中不明确的内容要求投标人进行澄清、说明或者补正。投标人对此以书面形式予以澄清、说明或者补正。澄清、说明或补正根据本章第3.3款的规定执行。</w:t>
      </w:r>
    </w:p>
    <w:p w14:paraId="1EA79B1F">
      <w:pPr>
        <w:spacing w:line="360" w:lineRule="auto"/>
        <w:ind w:firstLine="316" w:firstLineChars="150"/>
        <w:contextualSpacing/>
        <w:jc w:val="both"/>
        <w:rPr>
          <w:rFonts w:ascii="宋体" w:hAnsi="宋体"/>
          <w:sz w:val="21"/>
          <w:szCs w:val="21"/>
        </w:rPr>
      </w:pPr>
      <w:r>
        <w:rPr>
          <w:rFonts w:hint="eastAsia" w:ascii="宋体" w:hAnsi="宋体"/>
          <w:b/>
          <w:bCs/>
          <w:sz w:val="21"/>
          <w:szCs w:val="21"/>
        </w:rPr>
        <w:t>A</w:t>
      </w:r>
      <w:r>
        <w:rPr>
          <w:rFonts w:ascii="宋体" w:hAnsi="宋体"/>
          <w:b/>
          <w:bCs/>
          <w:sz w:val="21"/>
          <w:szCs w:val="21"/>
        </w:rPr>
        <w:t>4</w:t>
      </w:r>
      <w:r>
        <w:rPr>
          <w:rFonts w:hint="eastAsia" w:ascii="宋体" w:hAnsi="宋体"/>
          <w:b/>
          <w:bCs/>
          <w:sz w:val="21"/>
          <w:szCs w:val="21"/>
        </w:rPr>
        <w:t>.详细评审</w:t>
      </w:r>
    </w:p>
    <w:p w14:paraId="1EF6A7AA">
      <w:pPr>
        <w:spacing w:line="360" w:lineRule="auto"/>
        <w:ind w:firstLine="315" w:firstLineChars="150"/>
        <w:contextualSpacing/>
        <w:jc w:val="both"/>
        <w:rPr>
          <w:rFonts w:ascii="宋体" w:hAnsi="宋体"/>
          <w:sz w:val="21"/>
          <w:szCs w:val="21"/>
        </w:rPr>
      </w:pPr>
      <w:r>
        <w:rPr>
          <w:rFonts w:hint="eastAsia" w:ascii="宋体" w:hAnsi="宋体"/>
          <w:sz w:val="21"/>
          <w:szCs w:val="21"/>
        </w:rPr>
        <w:t>只有通过了初步评审、被判定为合格的投标人可进入详细评审。</w:t>
      </w:r>
    </w:p>
    <w:p w14:paraId="778AEF75">
      <w:pPr>
        <w:spacing w:line="360" w:lineRule="auto"/>
        <w:ind w:firstLine="315" w:firstLineChars="150"/>
        <w:contextualSpacing/>
        <w:jc w:val="both"/>
        <w:rPr>
          <w:rFonts w:ascii="宋体" w:hAnsi="宋体"/>
          <w:sz w:val="21"/>
          <w:szCs w:val="21"/>
        </w:rPr>
      </w:pPr>
      <w:r>
        <w:rPr>
          <w:rFonts w:hint="eastAsia" w:ascii="宋体" w:hAnsi="宋体"/>
          <w:bCs/>
          <w:sz w:val="21"/>
          <w:szCs w:val="21"/>
        </w:rPr>
        <w:t>A4.1详细评审的程序</w:t>
      </w:r>
    </w:p>
    <w:p w14:paraId="28115F61">
      <w:pPr>
        <w:spacing w:line="360" w:lineRule="auto"/>
        <w:ind w:firstLine="315" w:firstLineChars="150"/>
        <w:contextualSpacing/>
        <w:jc w:val="both"/>
        <w:rPr>
          <w:rFonts w:ascii="宋体" w:hAnsi="宋体"/>
          <w:sz w:val="21"/>
          <w:szCs w:val="21"/>
        </w:rPr>
      </w:pPr>
      <w:r>
        <w:rPr>
          <w:rFonts w:hint="eastAsia" w:ascii="宋体" w:hAnsi="宋体"/>
          <w:sz w:val="21"/>
          <w:szCs w:val="21"/>
        </w:rPr>
        <w:t>评标委员会按照本章第3.2款中规定的程序进行详细评审：</w:t>
      </w:r>
    </w:p>
    <w:p w14:paraId="3D84DA17">
      <w:pPr>
        <w:spacing w:line="360" w:lineRule="auto"/>
        <w:ind w:firstLine="315" w:firstLineChars="150"/>
        <w:contextualSpacing/>
        <w:jc w:val="both"/>
        <w:rPr>
          <w:rFonts w:ascii="宋体" w:hAnsi="宋体"/>
          <w:sz w:val="21"/>
          <w:szCs w:val="21"/>
        </w:rPr>
      </w:pPr>
      <w:r>
        <w:rPr>
          <w:rFonts w:hint="eastAsia" w:ascii="宋体" w:hAnsi="宋体"/>
          <w:sz w:val="21"/>
          <w:szCs w:val="21"/>
        </w:rPr>
        <w:t>（1）商务部分评审和评分；</w:t>
      </w:r>
    </w:p>
    <w:p w14:paraId="2CAF73A2">
      <w:pPr>
        <w:spacing w:line="360" w:lineRule="auto"/>
        <w:ind w:firstLine="315" w:firstLineChars="150"/>
        <w:contextualSpacing/>
        <w:jc w:val="both"/>
        <w:rPr>
          <w:rFonts w:ascii="宋体" w:hAnsi="宋体"/>
          <w:sz w:val="21"/>
          <w:szCs w:val="21"/>
        </w:rPr>
      </w:pPr>
      <w:r>
        <w:rPr>
          <w:rFonts w:hint="eastAsia" w:ascii="宋体" w:hAnsi="宋体"/>
          <w:sz w:val="21"/>
          <w:szCs w:val="21"/>
        </w:rPr>
        <w:t>（</w:t>
      </w:r>
      <w:r>
        <w:rPr>
          <w:rFonts w:ascii="宋体" w:hAnsi="宋体"/>
          <w:sz w:val="21"/>
          <w:szCs w:val="21"/>
        </w:rPr>
        <w:t>2</w:t>
      </w:r>
      <w:r>
        <w:rPr>
          <w:rFonts w:hint="eastAsia" w:ascii="宋体" w:hAnsi="宋体"/>
          <w:sz w:val="21"/>
          <w:szCs w:val="21"/>
        </w:rPr>
        <w:t>）技术部分评审和评分；</w:t>
      </w:r>
    </w:p>
    <w:p w14:paraId="61F3C812">
      <w:pPr>
        <w:spacing w:line="360" w:lineRule="auto"/>
        <w:ind w:firstLine="315" w:firstLineChars="150"/>
        <w:contextualSpacing/>
        <w:jc w:val="both"/>
        <w:rPr>
          <w:rFonts w:ascii="宋体" w:hAnsi="宋体"/>
          <w:sz w:val="21"/>
          <w:szCs w:val="21"/>
        </w:rPr>
      </w:pPr>
      <w:r>
        <w:rPr>
          <w:rFonts w:hint="eastAsia" w:ascii="宋体" w:hAnsi="宋体"/>
          <w:sz w:val="21"/>
          <w:szCs w:val="21"/>
        </w:rPr>
        <w:t>（</w:t>
      </w:r>
      <w:r>
        <w:rPr>
          <w:rFonts w:ascii="宋体" w:hAnsi="宋体"/>
          <w:sz w:val="21"/>
          <w:szCs w:val="21"/>
        </w:rPr>
        <w:t>3</w:t>
      </w:r>
      <w:r>
        <w:rPr>
          <w:rFonts w:hint="eastAsia" w:ascii="宋体" w:hAnsi="宋体"/>
          <w:sz w:val="21"/>
          <w:szCs w:val="21"/>
        </w:rPr>
        <w:t>）汇总评分结果。</w:t>
      </w:r>
    </w:p>
    <w:p w14:paraId="604F398C">
      <w:pPr>
        <w:spacing w:line="360" w:lineRule="auto"/>
        <w:ind w:firstLine="315" w:firstLineChars="150"/>
        <w:contextualSpacing/>
        <w:jc w:val="both"/>
        <w:rPr>
          <w:rFonts w:ascii="宋体" w:hAnsi="宋体"/>
          <w:sz w:val="21"/>
          <w:szCs w:val="21"/>
        </w:rPr>
      </w:pPr>
      <w:r>
        <w:rPr>
          <w:rFonts w:hint="eastAsia" w:ascii="宋体" w:hAnsi="宋体"/>
          <w:bCs/>
          <w:sz w:val="21"/>
          <w:szCs w:val="21"/>
        </w:rPr>
        <w:t>A4.2分值构成与评分标准</w:t>
      </w:r>
    </w:p>
    <w:p w14:paraId="5A5F95FC">
      <w:pPr>
        <w:spacing w:line="360" w:lineRule="auto"/>
        <w:ind w:firstLine="315" w:firstLineChars="150"/>
        <w:contextualSpacing/>
        <w:jc w:val="both"/>
        <w:rPr>
          <w:rFonts w:ascii="宋体" w:hAnsi="宋体"/>
          <w:sz w:val="21"/>
          <w:szCs w:val="21"/>
        </w:rPr>
      </w:pPr>
      <w:r>
        <w:rPr>
          <w:rFonts w:hint="eastAsia" w:ascii="宋体" w:hAnsi="宋体"/>
          <w:sz w:val="21"/>
          <w:szCs w:val="21"/>
        </w:rPr>
        <w:t>本项目采用百分制综合评估打分法进行评标，满分100分。评标委员会评委根据招标文件规定的评审项目及评</w:t>
      </w:r>
      <w:r>
        <w:rPr>
          <w:rFonts w:ascii="宋体" w:hAnsi="宋体"/>
          <w:sz w:val="21"/>
          <w:szCs w:val="21"/>
        </w:rPr>
        <w:t>分标准</w:t>
      </w:r>
      <w:r>
        <w:rPr>
          <w:rFonts w:hint="eastAsia" w:ascii="宋体" w:hAnsi="宋体"/>
          <w:sz w:val="21"/>
          <w:szCs w:val="21"/>
        </w:rPr>
        <w:t>，独立打分并签名确认。评分得分为各评委对应评审项打分的平均得分（四</w:t>
      </w:r>
      <w:r>
        <w:rPr>
          <w:rFonts w:ascii="宋体" w:hAnsi="宋体"/>
          <w:sz w:val="21"/>
          <w:szCs w:val="21"/>
        </w:rPr>
        <w:t>舍五入</w:t>
      </w:r>
      <w:r>
        <w:rPr>
          <w:rFonts w:hint="eastAsia" w:ascii="宋体" w:hAnsi="宋体"/>
          <w:sz w:val="21"/>
          <w:szCs w:val="21"/>
        </w:rPr>
        <w:t>保留小数点后两位）。</w:t>
      </w:r>
    </w:p>
    <w:tbl>
      <w:tblPr>
        <w:tblStyle w:val="62"/>
        <w:tblW w:w="96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95"/>
        <w:gridCol w:w="708"/>
        <w:gridCol w:w="6785"/>
      </w:tblGrid>
      <w:tr w14:paraId="1D1AC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6" w:type="dxa"/>
            <w:tcBorders>
              <w:top w:val="single" w:color="auto" w:sz="12" w:space="0"/>
              <w:left w:val="single" w:color="auto" w:sz="12" w:space="0"/>
              <w:bottom w:val="single" w:color="auto" w:sz="4" w:space="0"/>
              <w:right w:val="single" w:color="auto" w:sz="4" w:space="0"/>
            </w:tcBorders>
            <w:vAlign w:val="center"/>
          </w:tcPr>
          <w:p w14:paraId="2009D47E">
            <w:pPr>
              <w:jc w:val="center"/>
              <w:rPr>
                <w:rFonts w:ascii="宋体" w:hAnsi="宋体"/>
                <w:b/>
                <w:sz w:val="21"/>
                <w:szCs w:val="21"/>
              </w:rPr>
            </w:pPr>
            <w:r>
              <w:rPr>
                <w:rFonts w:hint="eastAsia" w:ascii="宋体" w:hAnsi="宋体"/>
                <w:b/>
                <w:sz w:val="21"/>
                <w:szCs w:val="21"/>
              </w:rPr>
              <w:t>序号</w:t>
            </w:r>
          </w:p>
        </w:tc>
        <w:tc>
          <w:tcPr>
            <w:tcW w:w="1295" w:type="dxa"/>
            <w:tcBorders>
              <w:top w:val="single" w:color="auto" w:sz="12" w:space="0"/>
              <w:left w:val="single" w:color="auto" w:sz="4" w:space="0"/>
              <w:bottom w:val="single" w:color="auto" w:sz="4" w:space="0"/>
              <w:right w:val="single" w:color="auto" w:sz="4" w:space="0"/>
            </w:tcBorders>
            <w:vAlign w:val="center"/>
          </w:tcPr>
          <w:p w14:paraId="3429A77D">
            <w:pPr>
              <w:jc w:val="center"/>
              <w:rPr>
                <w:rFonts w:ascii="宋体" w:hAnsi="宋体"/>
                <w:b/>
                <w:sz w:val="21"/>
                <w:szCs w:val="21"/>
              </w:rPr>
            </w:pPr>
            <w:r>
              <w:rPr>
                <w:rFonts w:hint="eastAsia" w:ascii="宋体" w:hAnsi="宋体"/>
                <w:b/>
                <w:sz w:val="21"/>
                <w:szCs w:val="21"/>
              </w:rPr>
              <w:t>评审项目</w:t>
            </w:r>
          </w:p>
        </w:tc>
        <w:tc>
          <w:tcPr>
            <w:tcW w:w="708" w:type="dxa"/>
            <w:tcBorders>
              <w:top w:val="single" w:color="auto" w:sz="12" w:space="0"/>
              <w:left w:val="single" w:color="auto" w:sz="4" w:space="0"/>
              <w:bottom w:val="single" w:color="auto" w:sz="4" w:space="0"/>
              <w:right w:val="single" w:color="auto" w:sz="4" w:space="0"/>
            </w:tcBorders>
            <w:vAlign w:val="center"/>
          </w:tcPr>
          <w:p w14:paraId="3D0B255A">
            <w:pPr>
              <w:jc w:val="center"/>
              <w:rPr>
                <w:rFonts w:ascii="宋体" w:hAnsi="宋体"/>
                <w:b/>
                <w:sz w:val="21"/>
                <w:szCs w:val="21"/>
              </w:rPr>
            </w:pPr>
            <w:r>
              <w:rPr>
                <w:rFonts w:hint="eastAsia" w:ascii="宋体" w:hAnsi="宋体"/>
                <w:b/>
                <w:sz w:val="21"/>
                <w:szCs w:val="21"/>
              </w:rPr>
              <w:t>满分分值</w:t>
            </w:r>
          </w:p>
        </w:tc>
        <w:tc>
          <w:tcPr>
            <w:tcW w:w="6785" w:type="dxa"/>
            <w:tcBorders>
              <w:top w:val="single" w:color="auto" w:sz="12" w:space="0"/>
              <w:left w:val="single" w:color="auto" w:sz="4" w:space="0"/>
              <w:bottom w:val="single" w:color="auto" w:sz="4" w:space="0"/>
              <w:right w:val="single" w:color="auto" w:sz="12" w:space="0"/>
            </w:tcBorders>
            <w:vAlign w:val="center"/>
          </w:tcPr>
          <w:p w14:paraId="6FA4B759">
            <w:pPr>
              <w:jc w:val="center"/>
              <w:rPr>
                <w:rFonts w:ascii="宋体" w:hAnsi="宋体"/>
                <w:b/>
                <w:sz w:val="21"/>
                <w:szCs w:val="21"/>
              </w:rPr>
            </w:pPr>
            <w:r>
              <w:rPr>
                <w:rFonts w:hint="eastAsia" w:ascii="宋体" w:hAnsi="宋体"/>
                <w:b/>
                <w:sz w:val="21"/>
                <w:szCs w:val="21"/>
              </w:rPr>
              <w:t>评分标准</w:t>
            </w:r>
          </w:p>
        </w:tc>
      </w:tr>
      <w:tr w14:paraId="2D999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6" w:type="dxa"/>
            <w:tcBorders>
              <w:top w:val="single" w:color="auto" w:sz="4" w:space="0"/>
              <w:left w:val="single" w:color="auto" w:sz="12" w:space="0"/>
              <w:bottom w:val="single" w:color="auto" w:sz="4" w:space="0"/>
              <w:right w:val="single" w:color="auto" w:sz="4" w:space="0"/>
            </w:tcBorders>
            <w:vAlign w:val="center"/>
          </w:tcPr>
          <w:p w14:paraId="26530435">
            <w:pPr>
              <w:jc w:val="center"/>
              <w:rPr>
                <w:rFonts w:ascii="宋体" w:hAnsi="宋体"/>
                <w:b/>
                <w:sz w:val="21"/>
                <w:szCs w:val="21"/>
              </w:rPr>
            </w:pPr>
            <w:r>
              <w:rPr>
                <w:rFonts w:hint="eastAsia" w:ascii="宋体" w:hAnsi="宋体"/>
                <w:sz w:val="21"/>
                <w:szCs w:val="21"/>
              </w:rPr>
              <w:t>1</w:t>
            </w:r>
          </w:p>
        </w:tc>
        <w:tc>
          <w:tcPr>
            <w:tcW w:w="1295" w:type="dxa"/>
            <w:tcBorders>
              <w:top w:val="single" w:color="auto" w:sz="4" w:space="0"/>
              <w:left w:val="single" w:color="auto" w:sz="4" w:space="0"/>
              <w:bottom w:val="single" w:color="auto" w:sz="4" w:space="0"/>
              <w:right w:val="single" w:color="auto" w:sz="4" w:space="0"/>
            </w:tcBorders>
            <w:vAlign w:val="center"/>
          </w:tcPr>
          <w:p w14:paraId="59D53D38">
            <w:pPr>
              <w:jc w:val="center"/>
              <w:rPr>
                <w:rFonts w:ascii="宋体" w:hAnsi="宋体"/>
                <w:b/>
                <w:sz w:val="21"/>
                <w:szCs w:val="21"/>
              </w:rPr>
            </w:pPr>
            <w:r>
              <w:rPr>
                <w:rFonts w:hint="eastAsia" w:ascii="宋体" w:hAnsi="宋体"/>
                <w:b/>
                <w:sz w:val="21"/>
                <w:szCs w:val="21"/>
              </w:rPr>
              <w:t>商务部分-投标报价</w:t>
            </w:r>
          </w:p>
        </w:tc>
        <w:tc>
          <w:tcPr>
            <w:tcW w:w="708" w:type="dxa"/>
            <w:tcBorders>
              <w:top w:val="single" w:color="auto" w:sz="4" w:space="0"/>
              <w:left w:val="single" w:color="auto" w:sz="4" w:space="0"/>
              <w:bottom w:val="single" w:color="auto" w:sz="4" w:space="0"/>
              <w:right w:val="single" w:color="auto" w:sz="4" w:space="0"/>
            </w:tcBorders>
            <w:vAlign w:val="center"/>
          </w:tcPr>
          <w:p w14:paraId="649A709F">
            <w:pPr>
              <w:jc w:val="center"/>
              <w:rPr>
                <w:rFonts w:ascii="宋体" w:hAnsi="宋体"/>
                <w:b/>
                <w:sz w:val="21"/>
                <w:szCs w:val="21"/>
              </w:rPr>
            </w:pPr>
            <w:r>
              <w:rPr>
                <w:rFonts w:hint="eastAsia" w:ascii="宋体" w:hAnsi="宋体"/>
                <w:sz w:val="21"/>
                <w:szCs w:val="21"/>
              </w:rPr>
              <w:t>40分</w:t>
            </w:r>
          </w:p>
        </w:tc>
        <w:tc>
          <w:tcPr>
            <w:tcW w:w="6785" w:type="dxa"/>
            <w:tcBorders>
              <w:top w:val="single" w:color="auto" w:sz="4" w:space="0"/>
              <w:left w:val="single" w:color="auto" w:sz="4" w:space="0"/>
              <w:bottom w:val="single" w:color="auto" w:sz="4" w:space="0"/>
              <w:right w:val="single" w:color="auto" w:sz="12" w:space="0"/>
            </w:tcBorders>
            <w:vAlign w:val="center"/>
          </w:tcPr>
          <w:p w14:paraId="13DF7774">
            <w:pPr>
              <w:rPr>
                <w:rFonts w:ascii="宋体" w:hAnsi="宋体"/>
                <w:sz w:val="21"/>
                <w:szCs w:val="21"/>
              </w:rPr>
            </w:pPr>
            <w:r>
              <w:rPr>
                <w:rFonts w:hint="eastAsia" w:ascii="宋体" w:hAnsi="宋体"/>
                <w:sz w:val="21"/>
                <w:szCs w:val="21"/>
              </w:rPr>
              <w:t>一、投标报价（40分）</w:t>
            </w:r>
          </w:p>
          <w:p w14:paraId="7EF661FF">
            <w:pPr>
              <w:rPr>
                <w:rFonts w:ascii="宋体" w:hAnsi="宋体" w:cs="宋体"/>
                <w:sz w:val="21"/>
                <w:szCs w:val="21"/>
              </w:rPr>
            </w:pPr>
            <w:r>
              <w:rPr>
                <w:rFonts w:hint="eastAsia" w:ascii="宋体" w:hAnsi="宋体"/>
                <w:sz w:val="21"/>
                <w:szCs w:val="21"/>
              </w:rPr>
              <w:t>1.评标价＝</w:t>
            </w:r>
            <w:r>
              <w:rPr>
                <w:rFonts w:hint="eastAsia" w:ascii="宋体" w:hAnsi="宋体" w:cs="宋体"/>
                <w:sz w:val="21"/>
                <w:szCs w:val="21"/>
              </w:rPr>
              <w:t>投标总报价；</w:t>
            </w:r>
          </w:p>
          <w:p w14:paraId="4D1A7111">
            <w:pPr>
              <w:rPr>
                <w:rFonts w:ascii="宋体" w:hAnsi="宋体"/>
                <w:sz w:val="21"/>
                <w:szCs w:val="21"/>
              </w:rPr>
            </w:pPr>
            <w:r>
              <w:rPr>
                <w:rFonts w:hint="eastAsia" w:ascii="宋体" w:hAnsi="宋体"/>
                <w:sz w:val="21"/>
                <w:szCs w:val="21"/>
              </w:rPr>
              <w:t>①当所有通过初步评审的投标人填报的税率相同时，则用投标人的含税投标总报价进行投标报价部分的评审评分；</w:t>
            </w:r>
          </w:p>
          <w:p w14:paraId="0A7075B7">
            <w:pPr>
              <w:rPr>
                <w:rFonts w:ascii="宋体" w:hAnsi="宋体"/>
                <w:sz w:val="21"/>
                <w:szCs w:val="21"/>
              </w:rPr>
            </w:pPr>
            <w:r>
              <w:rPr>
                <w:rFonts w:hint="eastAsia" w:ascii="宋体" w:hAnsi="宋体"/>
                <w:sz w:val="21"/>
                <w:szCs w:val="21"/>
              </w:rPr>
              <w:t>②当所有通过初步评审的投标人填报的税率不一致时，则用投标人的不含增值税投标总报价进行投标报价部分的评审评分；</w:t>
            </w:r>
          </w:p>
          <w:p w14:paraId="1760AD79">
            <w:pPr>
              <w:rPr>
                <w:rFonts w:ascii="宋体" w:hAnsi="宋体"/>
                <w:sz w:val="21"/>
                <w:szCs w:val="21"/>
              </w:rPr>
            </w:pPr>
            <w:r>
              <w:rPr>
                <w:rFonts w:hint="eastAsia" w:ascii="宋体" w:hAnsi="宋体"/>
                <w:sz w:val="21"/>
                <w:szCs w:val="21"/>
              </w:rPr>
              <w:t>③计算步骤如下：</w:t>
            </w:r>
          </w:p>
          <w:p w14:paraId="72EBB313">
            <w:pPr>
              <w:rPr>
                <w:rFonts w:ascii="宋体" w:hAnsi="宋体"/>
                <w:sz w:val="21"/>
                <w:szCs w:val="21"/>
              </w:rPr>
            </w:pPr>
            <w:r>
              <w:rPr>
                <w:rFonts w:ascii="宋体" w:hAnsi="宋体"/>
                <w:sz w:val="21"/>
                <w:szCs w:val="21"/>
              </w:rPr>
              <w:t>1</w:t>
            </w:r>
            <w:r>
              <w:rPr>
                <w:rFonts w:hint="eastAsia" w:ascii="宋体" w:hAnsi="宋体"/>
                <w:sz w:val="21"/>
                <w:szCs w:val="21"/>
              </w:rPr>
              <w:t>）计算各单项不含增值税单价，不含增值税单价</w:t>
            </w:r>
            <w:r>
              <w:rPr>
                <w:rFonts w:ascii="宋体" w:hAnsi="宋体"/>
                <w:sz w:val="21"/>
                <w:szCs w:val="21"/>
              </w:rPr>
              <w:t>=</w:t>
            </w:r>
            <w:r>
              <w:rPr>
                <w:rFonts w:hint="eastAsia" w:ascii="宋体" w:hAnsi="宋体"/>
                <w:sz w:val="21"/>
                <w:szCs w:val="21"/>
              </w:rPr>
              <w:t>含税单价</w:t>
            </w:r>
            <w:r>
              <w:rPr>
                <w:rFonts w:ascii="宋体" w:hAnsi="宋体"/>
                <w:sz w:val="21"/>
                <w:szCs w:val="21"/>
              </w:rPr>
              <w:t>/</w:t>
            </w:r>
            <w:r>
              <w:rPr>
                <w:rFonts w:hint="eastAsia" w:ascii="宋体" w:hAnsi="宋体"/>
                <w:sz w:val="21"/>
                <w:szCs w:val="21"/>
              </w:rPr>
              <w:t>（</w:t>
            </w:r>
            <w:r>
              <w:rPr>
                <w:rFonts w:ascii="宋体" w:hAnsi="宋体"/>
                <w:sz w:val="21"/>
                <w:szCs w:val="21"/>
              </w:rPr>
              <w:t>1+</w:t>
            </w:r>
            <w:r>
              <w:rPr>
                <w:rFonts w:hint="eastAsia" w:ascii="宋体" w:hAnsi="宋体"/>
                <w:sz w:val="21"/>
                <w:szCs w:val="21"/>
              </w:rPr>
              <w:t>增值税税率）；</w:t>
            </w:r>
          </w:p>
          <w:p w14:paraId="5741E1FA">
            <w:pPr>
              <w:rPr>
                <w:rFonts w:ascii="宋体" w:hAnsi="宋体"/>
                <w:sz w:val="21"/>
                <w:szCs w:val="21"/>
              </w:rPr>
            </w:pPr>
            <w:r>
              <w:rPr>
                <w:rFonts w:ascii="宋体" w:hAnsi="宋体"/>
                <w:sz w:val="21"/>
                <w:szCs w:val="21"/>
              </w:rPr>
              <w:t>2</w:t>
            </w:r>
            <w:r>
              <w:rPr>
                <w:rFonts w:hint="eastAsia" w:ascii="宋体" w:hAnsi="宋体"/>
                <w:sz w:val="21"/>
                <w:szCs w:val="21"/>
              </w:rPr>
              <w:t>）计算各单项不含增值税合价，不含增值税合价</w:t>
            </w:r>
            <w:r>
              <w:rPr>
                <w:rFonts w:ascii="宋体" w:hAnsi="宋体"/>
                <w:sz w:val="21"/>
                <w:szCs w:val="21"/>
              </w:rPr>
              <w:t>=</w:t>
            </w:r>
            <w:r>
              <w:rPr>
                <w:rFonts w:hint="eastAsia" w:ascii="宋体" w:hAnsi="宋体"/>
                <w:sz w:val="21"/>
                <w:szCs w:val="21"/>
              </w:rPr>
              <w:t>不含增值税单价</w:t>
            </w:r>
            <w:r>
              <w:rPr>
                <w:rFonts w:ascii="宋体" w:hAnsi="宋体"/>
                <w:sz w:val="21"/>
                <w:szCs w:val="21"/>
              </w:rPr>
              <w:t>*</w:t>
            </w:r>
            <w:r>
              <w:rPr>
                <w:rFonts w:hint="eastAsia" w:ascii="宋体" w:hAnsi="宋体"/>
                <w:sz w:val="21"/>
                <w:szCs w:val="21"/>
              </w:rPr>
              <w:t>数量；</w:t>
            </w:r>
          </w:p>
          <w:p w14:paraId="15871A40">
            <w:pPr>
              <w:rPr>
                <w:rFonts w:ascii="宋体" w:hAnsi="宋体"/>
                <w:sz w:val="21"/>
                <w:szCs w:val="21"/>
              </w:rPr>
            </w:pPr>
            <w:r>
              <w:rPr>
                <w:rFonts w:ascii="宋体" w:hAnsi="宋体"/>
                <w:sz w:val="21"/>
                <w:szCs w:val="21"/>
              </w:rPr>
              <w:t>3</w:t>
            </w:r>
            <w:r>
              <w:rPr>
                <w:rFonts w:hint="eastAsia" w:ascii="宋体" w:hAnsi="宋体"/>
                <w:sz w:val="21"/>
                <w:szCs w:val="21"/>
              </w:rPr>
              <w:t>）计算不含增值税投标总报价，不含增值税投标总报价</w:t>
            </w:r>
            <w:r>
              <w:rPr>
                <w:rFonts w:ascii="宋体" w:hAnsi="宋体"/>
                <w:sz w:val="21"/>
                <w:szCs w:val="21"/>
              </w:rPr>
              <w:t>=</w:t>
            </w:r>
            <w:r>
              <w:rPr>
                <w:rFonts w:hint="eastAsia" w:ascii="宋体" w:hAnsi="宋体"/>
                <w:sz w:val="21"/>
                <w:szCs w:val="21"/>
              </w:rPr>
              <w:t>所有项不含增值税合价累加。</w:t>
            </w:r>
          </w:p>
          <w:p w14:paraId="7B06C856">
            <w:pPr>
              <w:rPr>
                <w:rFonts w:ascii="宋体" w:hAnsi="宋体"/>
                <w:sz w:val="21"/>
                <w:szCs w:val="21"/>
              </w:rPr>
            </w:pPr>
            <w:r>
              <w:rPr>
                <w:rFonts w:hint="eastAsia" w:ascii="宋体" w:hAnsi="宋体"/>
                <w:sz w:val="21"/>
                <w:szCs w:val="21"/>
              </w:rPr>
              <w:t>2.评标报价等于评标指标价的，得40分；</w:t>
            </w:r>
          </w:p>
          <w:p w14:paraId="4E408932">
            <w:pPr>
              <w:rPr>
                <w:rFonts w:ascii="宋体" w:hAnsi="宋体"/>
                <w:sz w:val="21"/>
                <w:szCs w:val="21"/>
              </w:rPr>
            </w:pPr>
            <w:r>
              <w:rPr>
                <w:rFonts w:hint="eastAsia" w:ascii="宋体" w:hAnsi="宋体"/>
                <w:sz w:val="21"/>
                <w:szCs w:val="21"/>
              </w:rPr>
              <w:t>3.评标价与评标指标价相比，每向上浮动</w:t>
            </w:r>
            <w:r>
              <w:rPr>
                <w:rFonts w:ascii="宋体" w:hAnsi="宋体"/>
                <w:sz w:val="21"/>
                <w:szCs w:val="21"/>
              </w:rPr>
              <w:t>1%扣0.5分，</w:t>
            </w:r>
            <w:r>
              <w:rPr>
                <w:rFonts w:hint="eastAsia" w:ascii="宋体" w:hAnsi="宋体"/>
                <w:sz w:val="21"/>
                <w:szCs w:val="21"/>
              </w:rPr>
              <w:t>扣完为止，每向下浮动</w:t>
            </w:r>
            <w:r>
              <w:rPr>
                <w:rFonts w:ascii="宋体" w:hAnsi="宋体"/>
                <w:sz w:val="21"/>
                <w:szCs w:val="21"/>
              </w:rPr>
              <w:t>1%</w:t>
            </w:r>
            <w:r>
              <w:rPr>
                <w:rFonts w:hint="eastAsia" w:ascii="宋体" w:hAnsi="宋体"/>
                <w:sz w:val="21"/>
                <w:szCs w:val="21"/>
              </w:rPr>
              <w:t>扣0.25分，扣完为止，浮动值按线性插入法计算（计算结果四舍五入保留小数点两位）。</w:t>
            </w:r>
          </w:p>
          <w:p w14:paraId="1CDC2A0B">
            <w:pPr>
              <w:rPr>
                <w:rFonts w:ascii="宋体" w:hAnsi="宋体"/>
                <w:sz w:val="21"/>
                <w:szCs w:val="21"/>
              </w:rPr>
            </w:pPr>
            <w:r>
              <w:rPr>
                <w:rFonts w:hint="eastAsia" w:ascii="宋体" w:hAnsi="宋体"/>
                <w:sz w:val="21"/>
                <w:szCs w:val="21"/>
              </w:rPr>
              <w:t>二、评标指标价：</w:t>
            </w:r>
          </w:p>
          <w:p w14:paraId="4545AA88">
            <w:pPr>
              <w:spacing w:line="240" w:lineRule="auto"/>
              <w:rPr>
                <w:rFonts w:ascii="宋体" w:hAnsi="宋体"/>
                <w:sz w:val="21"/>
                <w:szCs w:val="21"/>
              </w:rPr>
            </w:pPr>
            <w:r>
              <w:rPr>
                <w:rFonts w:hint="eastAsia" w:ascii="宋体" w:hAnsi="宋体"/>
                <w:sz w:val="21"/>
                <w:szCs w:val="21"/>
              </w:rPr>
              <w:t>（一）评标指标价计算公式：</w:t>
            </w:r>
          </w:p>
          <w:p w14:paraId="1CAC08A3">
            <w:pPr>
              <w:spacing w:line="240" w:lineRule="auto"/>
              <w:rPr>
                <w:rFonts w:ascii="宋体" w:hAnsi="宋体"/>
                <w:sz w:val="21"/>
                <w:szCs w:val="21"/>
              </w:rPr>
            </w:pPr>
            <w:r>
              <w:rPr>
                <w:rFonts w:hint="eastAsia" w:ascii="宋体" w:hAnsi="宋体"/>
                <w:sz w:val="21"/>
                <w:szCs w:val="21"/>
              </w:rPr>
              <w:t>F＝a×Pt＋（1-a）×T</w:t>
            </w:r>
          </w:p>
          <w:p w14:paraId="0ED417E8">
            <w:pPr>
              <w:spacing w:line="240" w:lineRule="auto"/>
              <w:rPr>
                <w:rFonts w:ascii="宋体" w:hAnsi="宋体"/>
                <w:sz w:val="21"/>
                <w:szCs w:val="21"/>
              </w:rPr>
            </w:pPr>
            <w:r>
              <w:rPr>
                <w:rFonts w:hint="eastAsia" w:ascii="宋体" w:hAnsi="宋体"/>
                <w:sz w:val="21"/>
                <w:szCs w:val="21"/>
              </w:rPr>
              <w:t>其中：1.F为评标指标价；</w:t>
            </w:r>
          </w:p>
          <w:p w14:paraId="79A5C5B7">
            <w:pPr>
              <w:spacing w:line="240" w:lineRule="auto"/>
              <w:rPr>
                <w:rFonts w:ascii="宋体" w:hAnsi="宋体"/>
                <w:sz w:val="21"/>
                <w:szCs w:val="21"/>
              </w:rPr>
            </w:pPr>
            <w:r>
              <w:rPr>
                <w:rFonts w:hint="eastAsia" w:ascii="宋体" w:hAnsi="宋体"/>
                <w:sz w:val="21"/>
                <w:szCs w:val="21"/>
              </w:rPr>
              <w:t>2.Pt为用平均价计算公式计算出的不超过最高投标限价的投标报价的平均价；</w:t>
            </w:r>
          </w:p>
          <w:p w14:paraId="679F04A6">
            <w:pPr>
              <w:spacing w:line="240" w:lineRule="auto"/>
              <w:rPr>
                <w:rFonts w:ascii="宋体" w:hAnsi="宋体"/>
                <w:sz w:val="21"/>
                <w:szCs w:val="21"/>
              </w:rPr>
            </w:pPr>
            <w:r>
              <w:rPr>
                <w:rFonts w:hint="eastAsia" w:ascii="宋体" w:hAnsi="宋体"/>
                <w:sz w:val="21"/>
                <w:szCs w:val="21"/>
              </w:rPr>
              <w:t>3.a为权重数，a=0.3；</w:t>
            </w:r>
          </w:p>
          <w:p w14:paraId="5A824838">
            <w:pPr>
              <w:spacing w:line="240" w:lineRule="auto"/>
              <w:rPr>
                <w:rFonts w:ascii="宋体" w:hAnsi="宋体"/>
                <w:sz w:val="21"/>
                <w:szCs w:val="21"/>
              </w:rPr>
            </w:pPr>
            <w:r>
              <w:rPr>
                <w:rFonts w:hint="eastAsia" w:ascii="宋体" w:hAnsi="宋体"/>
                <w:sz w:val="21"/>
                <w:szCs w:val="21"/>
              </w:rPr>
              <w:t>4.T为低于Pt的所有投标报价的平均值。</w:t>
            </w:r>
          </w:p>
          <w:p w14:paraId="5319661B">
            <w:pPr>
              <w:spacing w:line="240" w:lineRule="auto"/>
              <w:rPr>
                <w:rFonts w:ascii="宋体" w:hAnsi="宋体"/>
                <w:sz w:val="21"/>
                <w:szCs w:val="21"/>
              </w:rPr>
            </w:pPr>
            <w:r>
              <w:rPr>
                <w:rFonts w:hint="eastAsia" w:ascii="宋体" w:hAnsi="宋体"/>
                <w:sz w:val="21"/>
                <w:szCs w:val="21"/>
              </w:rPr>
              <w:t>公式：</w:t>
            </w:r>
          </w:p>
          <w:p w14:paraId="106F0AE1">
            <w:pPr>
              <w:spacing w:line="240" w:lineRule="auto"/>
              <w:rPr>
                <w:rFonts w:ascii="宋体" w:hAnsi="宋体"/>
                <w:sz w:val="21"/>
                <w:szCs w:val="21"/>
              </w:rPr>
            </w:pPr>
            <w:r>
              <w:rPr>
                <w:rFonts w:hint="eastAsia" w:ascii="宋体" w:hAnsi="宋体"/>
                <w:sz w:val="21"/>
                <w:szCs w:val="21"/>
              </w:rPr>
              <w:t xml:space="preserve"> </w:t>
            </w:r>
            <w:bookmarkStart w:id="110" w:name="_Hlk131433422"/>
            <w:r>
              <w:rPr>
                <w:rFonts w:hint="eastAsia" w:ascii="宋体" w:hAnsi="宋体"/>
                <w:sz w:val="21"/>
                <w:szCs w:val="21"/>
              </w:rPr>
              <w:object>
                <v:shape id="_x0000_i1025" o:spt="75" type="#_x0000_t75" style="height:36.75pt;width:122.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bookmarkEnd w:id="110"/>
          </w:p>
          <w:p w14:paraId="0F0110E4">
            <w:pPr>
              <w:spacing w:line="240" w:lineRule="auto"/>
              <w:rPr>
                <w:rFonts w:ascii="宋体" w:hAnsi="宋体"/>
                <w:sz w:val="21"/>
                <w:szCs w:val="21"/>
              </w:rPr>
            </w:pPr>
            <w:r>
              <w:rPr>
                <w:rFonts w:hint="eastAsia" w:ascii="宋体" w:hAnsi="宋体"/>
                <w:sz w:val="21"/>
                <w:szCs w:val="21"/>
              </w:rPr>
              <w:t>其中：(1)t1、t2、…、tn指低于Pt的所有投标报价；</w:t>
            </w:r>
          </w:p>
          <w:p w14:paraId="36F1A251">
            <w:pPr>
              <w:spacing w:line="240" w:lineRule="auto"/>
              <w:rPr>
                <w:rFonts w:ascii="宋体" w:hAnsi="宋体"/>
                <w:sz w:val="21"/>
                <w:szCs w:val="21"/>
              </w:rPr>
            </w:pPr>
            <w:r>
              <w:rPr>
                <w:rFonts w:hint="eastAsia" w:ascii="宋体" w:hAnsi="宋体"/>
                <w:sz w:val="21"/>
                <w:szCs w:val="21"/>
              </w:rPr>
              <w:t>(2)n指低于Pt的所有投标报价个数。</w:t>
            </w:r>
          </w:p>
          <w:p w14:paraId="6EECCCB3">
            <w:pPr>
              <w:spacing w:line="240" w:lineRule="auto"/>
              <w:rPr>
                <w:rFonts w:ascii="宋体" w:hAnsi="宋体"/>
                <w:sz w:val="21"/>
                <w:szCs w:val="21"/>
              </w:rPr>
            </w:pPr>
            <w:r>
              <w:rPr>
                <w:rFonts w:hint="eastAsia" w:ascii="宋体" w:hAnsi="宋体"/>
                <w:sz w:val="21"/>
                <w:szCs w:val="21"/>
              </w:rPr>
              <w:t>（二）平均价计算公式：</w:t>
            </w:r>
          </w:p>
          <w:p w14:paraId="0D75CF9D">
            <w:pPr>
              <w:spacing w:line="240" w:lineRule="auto"/>
              <w:rPr>
                <w:rFonts w:ascii="宋体" w:hAnsi="宋体"/>
                <w:sz w:val="21"/>
                <w:szCs w:val="21"/>
              </w:rPr>
            </w:pPr>
            <w:r>
              <w:rPr>
                <w:rFonts w:hint="eastAsia" w:ascii="宋体" w:hAnsi="宋体"/>
                <w:sz w:val="21"/>
                <w:szCs w:val="21"/>
              </w:rPr>
              <w:t>公式一：（适用于当投标报价个数n≥10时）</w:t>
            </w:r>
          </w:p>
          <w:p w14:paraId="7BAA72C1">
            <w:pPr>
              <w:spacing w:line="240" w:lineRule="auto"/>
              <w:rPr>
                <w:rFonts w:ascii="宋体" w:hAnsi="宋体"/>
                <w:sz w:val="21"/>
                <w:szCs w:val="21"/>
              </w:rPr>
            </w:pPr>
            <w:r>
              <w:rPr>
                <w:rFonts w:hint="eastAsia" w:ascii="宋体" w:hAnsi="宋体"/>
                <w:sz w:val="21"/>
                <w:szCs w:val="21"/>
              </w:rPr>
              <w:t>去掉投标报价最高的20%家（四舍五入取整）和最低的20%家（四舍五入取整），然后进行算术平均，计算得出一个平均价。</w:t>
            </w:r>
          </w:p>
          <w:p w14:paraId="55014335">
            <w:pPr>
              <w:spacing w:line="240" w:lineRule="auto"/>
              <w:rPr>
                <w:rFonts w:ascii="宋体" w:hAnsi="宋体"/>
                <w:sz w:val="21"/>
                <w:szCs w:val="21"/>
              </w:rPr>
            </w:pPr>
            <w:r>
              <w:rPr>
                <w:rFonts w:hint="eastAsia" w:ascii="宋体" w:hAnsi="宋体"/>
                <w:sz w:val="21"/>
                <w:szCs w:val="21"/>
              </w:rPr>
              <w:t>公式二：（适用于当投标报价个数10＞n≥7时）</w:t>
            </w:r>
          </w:p>
          <w:p w14:paraId="2C7C3414">
            <w:pPr>
              <w:spacing w:line="240" w:lineRule="auto"/>
              <w:rPr>
                <w:rFonts w:ascii="宋体" w:hAnsi="宋体"/>
                <w:sz w:val="21"/>
                <w:szCs w:val="21"/>
              </w:rPr>
            </w:pPr>
            <w:r>
              <w:rPr>
                <w:rFonts w:hint="eastAsia" w:ascii="宋体" w:hAnsi="宋体"/>
                <w:sz w:val="21"/>
                <w:szCs w:val="21"/>
              </w:rPr>
              <w:t xml:space="preserve"> </w:t>
            </w:r>
            <w:bookmarkStart w:id="111" w:name="_Hlk131433430"/>
            <w:r>
              <w:rPr>
                <w:rFonts w:hint="eastAsia" w:ascii="宋体" w:hAnsi="宋体"/>
                <w:sz w:val="21"/>
                <w:szCs w:val="21"/>
              </w:rPr>
              <w:object>
                <v:shape id="_x0000_i1026" o:spt="75" type="#_x0000_t75" style="height:36.75pt;width:288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bookmarkEnd w:id="111"/>
          </w:p>
          <w:p w14:paraId="33E6A55A">
            <w:pPr>
              <w:spacing w:line="240" w:lineRule="auto"/>
              <w:rPr>
                <w:rFonts w:ascii="宋体" w:hAnsi="宋体"/>
                <w:sz w:val="21"/>
                <w:szCs w:val="21"/>
              </w:rPr>
            </w:pPr>
            <w:r>
              <w:rPr>
                <w:rFonts w:hint="eastAsia" w:ascii="宋体" w:hAnsi="宋体"/>
                <w:sz w:val="21"/>
                <w:szCs w:val="21"/>
              </w:rPr>
              <w:t>其中：1.P为平均价；</w:t>
            </w:r>
          </w:p>
          <w:p w14:paraId="32624F7A">
            <w:pPr>
              <w:spacing w:line="240" w:lineRule="auto"/>
              <w:rPr>
                <w:rFonts w:ascii="宋体" w:hAnsi="宋体"/>
                <w:sz w:val="21"/>
                <w:szCs w:val="21"/>
              </w:rPr>
            </w:pPr>
            <w:r>
              <w:rPr>
                <w:rFonts w:hint="eastAsia" w:ascii="宋体" w:hAnsi="宋体"/>
                <w:sz w:val="21"/>
                <w:szCs w:val="21"/>
              </w:rPr>
              <w:t>2.t为投标人报价；（tmax－1指投标报价中第二高值；tmin+1指投标报价中第二低值；t1、t2、···、tn-4指分别去掉一个第一、第二高值和一个第一、第二低值后的投标报价；</w:t>
            </w:r>
          </w:p>
          <w:p w14:paraId="008FD6BD">
            <w:pPr>
              <w:spacing w:line="240" w:lineRule="auto"/>
              <w:rPr>
                <w:rFonts w:ascii="宋体" w:hAnsi="宋体"/>
                <w:sz w:val="21"/>
                <w:szCs w:val="21"/>
              </w:rPr>
            </w:pPr>
            <w:r>
              <w:rPr>
                <w:rFonts w:hint="eastAsia" w:ascii="宋体" w:hAnsi="宋体"/>
                <w:sz w:val="21"/>
                <w:szCs w:val="21"/>
              </w:rPr>
              <w:t>3.n指投标报价个数。</w:t>
            </w:r>
          </w:p>
          <w:p w14:paraId="292DB4DA">
            <w:pPr>
              <w:spacing w:line="240" w:lineRule="auto"/>
              <w:rPr>
                <w:rFonts w:ascii="宋体" w:hAnsi="宋体"/>
                <w:sz w:val="21"/>
                <w:szCs w:val="21"/>
              </w:rPr>
            </w:pPr>
            <w:r>
              <w:rPr>
                <w:rFonts w:hint="eastAsia" w:ascii="宋体" w:hAnsi="宋体"/>
                <w:sz w:val="21"/>
                <w:szCs w:val="21"/>
              </w:rPr>
              <w:t>公式三：（适用于当投标报价个数n在7＞n≥5范围时）</w:t>
            </w:r>
          </w:p>
          <w:p w14:paraId="597FDEC5">
            <w:pPr>
              <w:spacing w:line="240" w:lineRule="auto"/>
              <w:rPr>
                <w:rFonts w:ascii="宋体" w:hAnsi="宋体"/>
                <w:sz w:val="21"/>
                <w:szCs w:val="21"/>
              </w:rPr>
            </w:pPr>
            <w:r>
              <w:rPr>
                <w:rFonts w:hint="eastAsia" w:ascii="宋体" w:hAnsi="宋体"/>
                <w:sz w:val="21"/>
                <w:szCs w:val="21"/>
              </w:rPr>
              <w:t xml:space="preserve"> </w:t>
            </w:r>
            <w:bookmarkStart w:id="112" w:name="_Hlk131433436"/>
            <w:r>
              <w:rPr>
                <w:rFonts w:hint="eastAsia" w:ascii="宋体" w:hAnsi="宋体"/>
                <w:sz w:val="21"/>
                <w:szCs w:val="21"/>
              </w:rPr>
              <w:object>
                <v:shape id="_x0000_i1027" o:spt="75" type="#_x0000_t75" style="height:36.75pt;width:129.7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bookmarkEnd w:id="112"/>
          </w:p>
          <w:p w14:paraId="19920D2A">
            <w:pPr>
              <w:spacing w:line="240" w:lineRule="auto"/>
              <w:rPr>
                <w:rFonts w:ascii="宋体" w:hAnsi="宋体"/>
                <w:sz w:val="21"/>
                <w:szCs w:val="21"/>
              </w:rPr>
            </w:pPr>
            <w:r>
              <w:rPr>
                <w:rFonts w:hint="eastAsia" w:ascii="宋体" w:hAnsi="宋体"/>
                <w:sz w:val="21"/>
                <w:szCs w:val="21"/>
              </w:rPr>
              <w:t>其中：t1、t2…、tn－2指去掉一个最高值和一个最低值后的投标报价。</w:t>
            </w:r>
          </w:p>
          <w:p w14:paraId="130FBB1C">
            <w:pPr>
              <w:spacing w:line="240" w:lineRule="auto"/>
              <w:rPr>
                <w:rFonts w:ascii="宋体" w:hAnsi="宋体"/>
                <w:sz w:val="21"/>
                <w:szCs w:val="21"/>
              </w:rPr>
            </w:pPr>
            <w:r>
              <w:rPr>
                <w:rFonts w:hint="eastAsia" w:ascii="宋体" w:hAnsi="宋体"/>
                <w:sz w:val="21"/>
                <w:szCs w:val="21"/>
              </w:rPr>
              <w:t>公式四：（适用于当投标报价个数n在5＞n≥2范围时）</w:t>
            </w:r>
          </w:p>
          <w:p w14:paraId="5D89D326">
            <w:pPr>
              <w:spacing w:line="240" w:lineRule="auto"/>
              <w:rPr>
                <w:rFonts w:ascii="宋体" w:hAnsi="宋体"/>
                <w:sz w:val="21"/>
                <w:szCs w:val="21"/>
              </w:rPr>
            </w:pPr>
            <w:r>
              <w:rPr>
                <w:rFonts w:hint="eastAsia" w:ascii="宋体" w:hAnsi="宋体"/>
                <w:sz w:val="21"/>
                <w:szCs w:val="21"/>
              </w:rPr>
              <w:t xml:space="preserve"> </w:t>
            </w:r>
            <w:bookmarkStart w:id="113" w:name="_Hlk131433441"/>
            <w:r>
              <w:rPr>
                <w:rFonts w:hint="eastAsia" w:ascii="宋体" w:hAnsi="宋体"/>
                <w:sz w:val="21"/>
                <w:szCs w:val="21"/>
              </w:rPr>
              <w:object>
                <v:shape id="_x0000_i1028" o:spt="75" type="#_x0000_t75" style="height:36.75pt;width:122.2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bookmarkEnd w:id="113"/>
          </w:p>
          <w:p w14:paraId="0B763891">
            <w:pPr>
              <w:spacing w:line="240" w:lineRule="auto"/>
              <w:rPr>
                <w:rFonts w:ascii="宋体" w:hAnsi="宋体"/>
                <w:sz w:val="21"/>
                <w:szCs w:val="21"/>
              </w:rPr>
            </w:pPr>
            <w:r>
              <w:rPr>
                <w:rFonts w:hint="eastAsia" w:ascii="宋体" w:hAnsi="宋体"/>
                <w:sz w:val="21"/>
                <w:szCs w:val="21"/>
              </w:rPr>
              <w:t>其中：t1、t2、…、tn指投标报价</w:t>
            </w:r>
          </w:p>
          <w:p w14:paraId="5164CB65">
            <w:pPr>
              <w:spacing w:line="240" w:lineRule="auto"/>
              <w:rPr>
                <w:rFonts w:ascii="宋体" w:hAnsi="宋体"/>
                <w:sz w:val="21"/>
                <w:szCs w:val="21"/>
              </w:rPr>
            </w:pPr>
            <w:r>
              <w:rPr>
                <w:rFonts w:hint="eastAsia" w:ascii="宋体" w:hAnsi="宋体"/>
                <w:sz w:val="21"/>
                <w:szCs w:val="21"/>
              </w:rPr>
              <w:t>（5）浮动值计算公式</w:t>
            </w:r>
          </w:p>
          <w:p w14:paraId="22DBCECA">
            <w:pPr>
              <w:spacing w:line="240" w:lineRule="auto"/>
              <w:rPr>
                <w:rFonts w:ascii="宋体" w:hAnsi="宋体"/>
                <w:sz w:val="21"/>
                <w:szCs w:val="21"/>
              </w:rPr>
            </w:pPr>
            <w:r>
              <w:rPr>
                <w:rFonts w:hint="eastAsia" w:ascii="宋体" w:hAnsi="宋体"/>
                <w:sz w:val="21"/>
                <w:szCs w:val="21"/>
              </w:rPr>
              <w:t>浮动值=（B－F）÷F×100%</w:t>
            </w:r>
          </w:p>
          <w:p w14:paraId="6598E0D7">
            <w:pPr>
              <w:spacing w:line="240" w:lineRule="auto"/>
              <w:rPr>
                <w:rFonts w:ascii="宋体" w:hAnsi="宋体"/>
                <w:sz w:val="21"/>
                <w:szCs w:val="21"/>
              </w:rPr>
            </w:pPr>
            <w:r>
              <w:rPr>
                <w:rFonts w:hint="eastAsia" w:ascii="宋体" w:hAnsi="宋体"/>
                <w:sz w:val="21"/>
                <w:szCs w:val="21"/>
              </w:rPr>
              <w:t>其中：①B为投标人评标价；</w:t>
            </w:r>
          </w:p>
          <w:p w14:paraId="34F6808E">
            <w:pPr>
              <w:spacing w:line="240" w:lineRule="auto"/>
              <w:rPr>
                <w:rFonts w:ascii="宋体" w:hAnsi="宋体"/>
                <w:sz w:val="21"/>
                <w:szCs w:val="21"/>
              </w:rPr>
            </w:pPr>
            <w:r>
              <w:rPr>
                <w:rFonts w:hint="eastAsia" w:ascii="宋体" w:hAnsi="宋体"/>
                <w:sz w:val="21"/>
                <w:szCs w:val="21"/>
              </w:rPr>
              <w:t>②F为评标指标价；</w:t>
            </w:r>
          </w:p>
          <w:p w14:paraId="6FAEA95D">
            <w:pPr>
              <w:spacing w:line="240" w:lineRule="auto"/>
              <w:rPr>
                <w:rFonts w:ascii="宋体" w:hAnsi="宋体"/>
                <w:sz w:val="21"/>
                <w:szCs w:val="21"/>
              </w:rPr>
            </w:pPr>
            <w:r>
              <w:rPr>
                <w:rFonts w:hint="eastAsia" w:ascii="宋体" w:hAnsi="宋体"/>
                <w:sz w:val="21"/>
                <w:szCs w:val="21"/>
              </w:rPr>
              <w:t>说明：以上公式中的投标报价及投标报价个数是指通过评标委员会初步评审的有效投标报价及投标报价个数。</w:t>
            </w:r>
          </w:p>
          <w:p w14:paraId="1AA45690">
            <w:pPr>
              <w:pStyle w:val="2"/>
              <w:ind w:left="0" w:leftChars="0" w:firstLine="0" w:firstLineChars="0"/>
              <w:rPr>
                <w:rFonts w:ascii="宋体" w:hAnsi="宋体"/>
                <w:sz w:val="21"/>
                <w:szCs w:val="21"/>
              </w:rPr>
            </w:pPr>
          </w:p>
        </w:tc>
      </w:tr>
      <w:tr w14:paraId="3C7FE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36" w:type="dxa"/>
            <w:tcBorders>
              <w:top w:val="single" w:color="auto" w:sz="4" w:space="0"/>
              <w:left w:val="single" w:color="auto" w:sz="12" w:space="0"/>
              <w:bottom w:val="single" w:color="auto" w:sz="4" w:space="0"/>
              <w:right w:val="single" w:color="auto" w:sz="4" w:space="0"/>
            </w:tcBorders>
            <w:vAlign w:val="center"/>
          </w:tcPr>
          <w:p w14:paraId="7923C038">
            <w:pPr>
              <w:jc w:val="center"/>
              <w:rPr>
                <w:rFonts w:ascii="宋体" w:hAnsi="宋体"/>
                <w:sz w:val="21"/>
                <w:szCs w:val="21"/>
              </w:rPr>
            </w:pPr>
            <w:r>
              <w:rPr>
                <w:rFonts w:ascii="宋体" w:hAnsi="宋体"/>
                <w:sz w:val="21"/>
                <w:szCs w:val="21"/>
              </w:rPr>
              <w:t>2</w:t>
            </w:r>
          </w:p>
        </w:tc>
        <w:tc>
          <w:tcPr>
            <w:tcW w:w="1295" w:type="dxa"/>
            <w:tcBorders>
              <w:top w:val="single" w:color="auto" w:sz="4" w:space="0"/>
              <w:left w:val="single" w:color="auto" w:sz="4" w:space="0"/>
              <w:bottom w:val="single" w:color="auto" w:sz="4" w:space="0"/>
              <w:right w:val="single" w:color="auto" w:sz="4" w:space="0"/>
            </w:tcBorders>
            <w:vAlign w:val="center"/>
          </w:tcPr>
          <w:p w14:paraId="6B9220CC">
            <w:pPr>
              <w:jc w:val="center"/>
              <w:rPr>
                <w:rFonts w:ascii="宋体" w:hAnsi="宋体"/>
                <w:b/>
                <w:sz w:val="21"/>
                <w:szCs w:val="21"/>
              </w:rPr>
            </w:pP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sz w:val="21"/>
                <w:szCs w:val="21"/>
              </w:rPr>
              <w:t>项目技术方案</w:t>
            </w:r>
          </w:p>
        </w:tc>
        <w:tc>
          <w:tcPr>
            <w:tcW w:w="708" w:type="dxa"/>
            <w:tcBorders>
              <w:top w:val="single" w:color="auto" w:sz="4" w:space="0"/>
              <w:left w:val="single" w:color="auto" w:sz="4" w:space="0"/>
              <w:bottom w:val="single" w:color="auto" w:sz="4" w:space="0"/>
              <w:right w:val="single" w:color="auto" w:sz="4" w:space="0"/>
            </w:tcBorders>
            <w:vAlign w:val="center"/>
          </w:tcPr>
          <w:p w14:paraId="60012712">
            <w:pPr>
              <w:jc w:val="center"/>
              <w:rPr>
                <w:rFonts w:ascii="宋体" w:hAnsi="宋体"/>
                <w:sz w:val="21"/>
                <w:szCs w:val="21"/>
              </w:rPr>
            </w:pPr>
            <w:r>
              <w:rPr>
                <w:rFonts w:hint="eastAsia" w:ascii="宋体" w:hAnsi="宋体"/>
                <w:sz w:val="21"/>
                <w:szCs w:val="21"/>
              </w:rPr>
              <w:t>25分</w:t>
            </w:r>
          </w:p>
        </w:tc>
        <w:tc>
          <w:tcPr>
            <w:tcW w:w="6785" w:type="dxa"/>
            <w:tcBorders>
              <w:top w:val="single" w:color="auto" w:sz="4" w:space="0"/>
              <w:left w:val="single" w:color="auto" w:sz="4" w:space="0"/>
              <w:bottom w:val="single" w:color="auto" w:sz="4" w:space="0"/>
              <w:right w:val="single" w:color="auto" w:sz="12" w:space="0"/>
            </w:tcBorders>
            <w:vAlign w:val="center"/>
          </w:tcPr>
          <w:p w14:paraId="2744CC36">
            <w:pPr>
              <w:rPr>
                <w:rFonts w:ascii="宋体" w:hAnsi="宋体"/>
                <w:sz w:val="21"/>
                <w:szCs w:val="21"/>
              </w:rPr>
            </w:pPr>
            <w:r>
              <w:rPr>
                <w:rFonts w:hint="eastAsia" w:ascii="宋体" w:hAnsi="宋体"/>
                <w:sz w:val="21"/>
                <w:szCs w:val="21"/>
              </w:rPr>
              <w:t>根据投标人项目技术方案（包含但不限于对项目的理解及项目重难点分析、项目实施方案、关键技术和工艺描述、实施计划及各节点内容安排、施工组织设计、</w:t>
            </w:r>
            <w:r>
              <w:rPr>
                <w:rFonts w:hint="eastAsia" w:ascii="宋体" w:hAnsi="宋体" w:cs="Arial"/>
                <w:sz w:val="21"/>
                <w:szCs w:val="21"/>
              </w:rPr>
              <w:t>安全文明施工</w:t>
            </w:r>
            <w:r>
              <w:rPr>
                <w:rFonts w:hint="eastAsia" w:ascii="宋体" w:hAnsi="宋体"/>
                <w:sz w:val="21"/>
                <w:szCs w:val="21"/>
              </w:rPr>
              <w:t>方案等）针对性</w:t>
            </w:r>
            <w:r>
              <w:rPr>
                <w:rFonts w:ascii="宋体" w:hAnsi="宋体"/>
                <w:sz w:val="21"/>
                <w:szCs w:val="21"/>
              </w:rPr>
              <w:t>、可行性、完整性等方面</w:t>
            </w:r>
            <w:r>
              <w:rPr>
                <w:rFonts w:hint="eastAsia" w:ascii="宋体" w:hAnsi="宋体"/>
                <w:sz w:val="21"/>
                <w:szCs w:val="21"/>
              </w:rPr>
              <w:t>进行综合评审：</w:t>
            </w:r>
          </w:p>
          <w:p w14:paraId="5B57FC2E">
            <w:pPr>
              <w:rPr>
                <w:rFonts w:ascii="宋体" w:hAnsi="宋体"/>
                <w:sz w:val="21"/>
                <w:szCs w:val="21"/>
              </w:rPr>
            </w:pPr>
            <w:r>
              <w:rPr>
                <w:rFonts w:hint="eastAsia" w:ascii="宋体" w:hAnsi="宋体"/>
                <w:sz w:val="21"/>
                <w:szCs w:val="21"/>
              </w:rPr>
              <w:t>第一档（17-25分）：充分理解项目需求，项目重点、难点分析准确，项目改造方案完整性、科学性、合理性、针对性、可实施性强，技术选型与招标人现有信息化软硬件及网络环境兼容性较好，项目实施方案能充分满足项目实施需要，实施计划合理可行，各节点内容安排清晰；</w:t>
            </w:r>
          </w:p>
          <w:p w14:paraId="5972635A">
            <w:pPr>
              <w:rPr>
                <w:rFonts w:ascii="宋体" w:hAnsi="宋体"/>
                <w:sz w:val="21"/>
                <w:szCs w:val="21"/>
              </w:rPr>
            </w:pPr>
            <w:r>
              <w:rPr>
                <w:rFonts w:hint="eastAsia" w:ascii="宋体" w:hAnsi="宋体"/>
                <w:sz w:val="21"/>
                <w:szCs w:val="21"/>
              </w:rPr>
              <w:t>第二档（9-16分）：理解项目需求，项目重点、难点分析较准确，项目改造方案完整性、科学性、合理性、针对性、可实施性较强，技术选型与招标人现有信息化软硬件及网络环境兼容性一般，实施计划较合理，各节点内容安排较清晰；</w:t>
            </w:r>
          </w:p>
          <w:p w14:paraId="145A4A17">
            <w:pPr>
              <w:rPr>
                <w:rFonts w:ascii="宋体" w:hAnsi="宋体"/>
                <w:sz w:val="21"/>
                <w:szCs w:val="21"/>
              </w:rPr>
            </w:pPr>
            <w:r>
              <w:rPr>
                <w:rFonts w:hint="eastAsia" w:ascii="宋体" w:hAnsi="宋体"/>
                <w:sz w:val="21"/>
                <w:szCs w:val="21"/>
              </w:rPr>
              <w:t>第三档（1-8分）：项目需求理解不足，项目重点、难点分析不够准确，项目改造方案完整性、科学性、合理性、针对性、可实施性基本满足，技术选型与招标人现有信息化软硬件及网络环境兼容性差，实施计划基本合理，各节点内容安排不够清晰。</w:t>
            </w:r>
          </w:p>
          <w:p w14:paraId="0F9AB0DE">
            <w:pPr>
              <w:rPr>
                <w:rFonts w:ascii="宋体" w:hAnsi="宋体"/>
                <w:sz w:val="21"/>
                <w:szCs w:val="21"/>
              </w:rPr>
            </w:pPr>
            <w:r>
              <w:rPr>
                <w:rFonts w:hint="eastAsia" w:ascii="宋体" w:hAnsi="宋体"/>
                <w:sz w:val="21"/>
                <w:szCs w:val="21"/>
              </w:rPr>
              <w:t>未提供项目实施方案的不得分。</w:t>
            </w:r>
          </w:p>
        </w:tc>
      </w:tr>
      <w:tr w14:paraId="4B5B1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6" w:type="dxa"/>
            <w:tcBorders>
              <w:top w:val="single" w:color="auto" w:sz="4" w:space="0"/>
              <w:left w:val="single" w:color="auto" w:sz="12" w:space="0"/>
              <w:bottom w:val="single" w:color="auto" w:sz="4" w:space="0"/>
              <w:right w:val="single" w:color="auto" w:sz="4" w:space="0"/>
            </w:tcBorders>
            <w:vAlign w:val="center"/>
          </w:tcPr>
          <w:p w14:paraId="129F9DCD">
            <w:pPr>
              <w:jc w:val="center"/>
              <w:rPr>
                <w:rFonts w:ascii="宋体" w:hAnsi="宋体"/>
                <w:sz w:val="21"/>
                <w:szCs w:val="21"/>
              </w:rPr>
            </w:pPr>
            <w:r>
              <w:rPr>
                <w:rFonts w:hint="eastAsia" w:ascii="宋体" w:hAnsi="宋体"/>
                <w:sz w:val="21"/>
                <w:szCs w:val="21"/>
              </w:rPr>
              <w:t>3</w:t>
            </w:r>
          </w:p>
        </w:tc>
        <w:tc>
          <w:tcPr>
            <w:tcW w:w="1295" w:type="dxa"/>
            <w:tcBorders>
              <w:top w:val="single" w:color="auto" w:sz="4" w:space="0"/>
              <w:left w:val="single" w:color="auto" w:sz="4" w:space="0"/>
              <w:bottom w:val="single" w:color="auto" w:sz="4" w:space="0"/>
              <w:right w:val="single" w:color="auto" w:sz="4" w:space="0"/>
            </w:tcBorders>
            <w:vAlign w:val="center"/>
          </w:tcPr>
          <w:p w14:paraId="10756BA9">
            <w:pPr>
              <w:jc w:val="center"/>
              <w:rPr>
                <w:rFonts w:ascii="宋体" w:hAnsi="宋体"/>
                <w:sz w:val="21"/>
                <w:szCs w:val="21"/>
              </w:rPr>
            </w:pP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sz w:val="21"/>
                <w:szCs w:val="21"/>
              </w:rPr>
              <w:t>拟投产品配置</w:t>
            </w:r>
          </w:p>
        </w:tc>
        <w:tc>
          <w:tcPr>
            <w:tcW w:w="708" w:type="dxa"/>
            <w:tcBorders>
              <w:top w:val="single" w:color="auto" w:sz="4" w:space="0"/>
              <w:left w:val="single" w:color="auto" w:sz="4" w:space="0"/>
              <w:bottom w:val="single" w:color="auto" w:sz="4" w:space="0"/>
              <w:right w:val="single" w:color="auto" w:sz="4" w:space="0"/>
            </w:tcBorders>
            <w:vAlign w:val="center"/>
          </w:tcPr>
          <w:p w14:paraId="03AFEFFD">
            <w:pPr>
              <w:jc w:val="center"/>
              <w:rPr>
                <w:rFonts w:ascii="宋体" w:hAnsi="宋体"/>
                <w:sz w:val="21"/>
                <w:szCs w:val="21"/>
              </w:rPr>
            </w:pPr>
            <w:r>
              <w:rPr>
                <w:rFonts w:hint="eastAsia" w:ascii="宋体" w:hAnsi="宋体"/>
                <w:sz w:val="21"/>
                <w:szCs w:val="21"/>
              </w:rPr>
              <w:t>20分</w:t>
            </w:r>
          </w:p>
        </w:tc>
        <w:tc>
          <w:tcPr>
            <w:tcW w:w="6785" w:type="dxa"/>
            <w:tcBorders>
              <w:top w:val="single" w:color="auto" w:sz="4" w:space="0"/>
              <w:left w:val="single" w:color="auto" w:sz="4" w:space="0"/>
              <w:bottom w:val="single" w:color="auto" w:sz="4" w:space="0"/>
              <w:right w:val="single" w:color="auto" w:sz="12" w:space="0"/>
            </w:tcBorders>
            <w:vAlign w:val="center"/>
          </w:tcPr>
          <w:p w14:paraId="0F967C3A">
            <w:pPr>
              <w:rPr>
                <w:rFonts w:ascii="宋体" w:hAnsi="宋体"/>
                <w:sz w:val="21"/>
                <w:szCs w:val="21"/>
              </w:rPr>
            </w:pPr>
            <w:r>
              <w:rPr>
                <w:rFonts w:hint="eastAsia" w:ascii="宋体" w:hAnsi="宋体"/>
                <w:sz w:val="21"/>
                <w:szCs w:val="21"/>
              </w:rPr>
              <w:t>根据投标人拟投产品的配置情况进行综合评审：</w:t>
            </w:r>
          </w:p>
          <w:p w14:paraId="6DF4B2AF">
            <w:pPr>
              <w:rPr>
                <w:rFonts w:ascii="宋体" w:hAnsi="宋体"/>
                <w:sz w:val="21"/>
                <w:szCs w:val="21"/>
              </w:rPr>
            </w:pPr>
            <w:r>
              <w:rPr>
                <w:rFonts w:hint="eastAsia" w:ascii="宋体" w:hAnsi="宋体"/>
                <w:sz w:val="21"/>
                <w:szCs w:val="21"/>
              </w:rPr>
              <w:t>第一档次（14-20分）：完全满足招标文件规定的系统软硬件配置，相应技术指标、参数、主要性能、选型配置、功能等综合较优，有相关质量资料或技术参数资料，且提供资料较全；</w:t>
            </w:r>
          </w:p>
          <w:p w14:paraId="5F77D6BD">
            <w:pPr>
              <w:rPr>
                <w:rFonts w:ascii="宋体" w:hAnsi="宋体"/>
                <w:sz w:val="21"/>
                <w:szCs w:val="21"/>
              </w:rPr>
            </w:pPr>
            <w:r>
              <w:rPr>
                <w:rFonts w:hint="eastAsia" w:ascii="宋体" w:hAnsi="宋体"/>
                <w:sz w:val="21"/>
                <w:szCs w:val="21"/>
              </w:rPr>
              <w:t>第二档次（7-13分）：满足招标文件规定的系统软硬件配置，相应技术指标、参数、主要性能、选型配置、功能等一般，有相关质量资料或技术参数资料，提供资料较少；</w:t>
            </w:r>
          </w:p>
          <w:p w14:paraId="7A9D4591">
            <w:pPr>
              <w:rPr>
                <w:rFonts w:ascii="宋体" w:hAnsi="宋体"/>
                <w:sz w:val="21"/>
                <w:szCs w:val="21"/>
              </w:rPr>
            </w:pPr>
            <w:r>
              <w:rPr>
                <w:rFonts w:hint="eastAsia" w:ascii="宋体" w:hAnsi="宋体"/>
                <w:sz w:val="21"/>
                <w:szCs w:val="21"/>
              </w:rPr>
              <w:t>第三档次（1-6分）：基本满足招标文件规定的系统软硬件配置，相应技术指标、参数、主要性能、选型配置、功能等较差，未提供相关质量资料或技术参数资料。</w:t>
            </w:r>
          </w:p>
          <w:p w14:paraId="7E82D0F8">
            <w:pPr>
              <w:pStyle w:val="2"/>
              <w:ind w:left="400" w:firstLine="400"/>
            </w:pPr>
          </w:p>
          <w:p w14:paraId="7B97BFB0">
            <w:pPr>
              <w:rPr>
                <w:rFonts w:ascii="宋体" w:hAnsi="宋体"/>
                <w:sz w:val="21"/>
                <w:szCs w:val="21"/>
              </w:rPr>
            </w:pPr>
            <w:r>
              <w:rPr>
                <w:rFonts w:hint="eastAsia" w:ascii="宋体" w:hAnsi="宋体"/>
                <w:sz w:val="21"/>
                <w:szCs w:val="21"/>
              </w:rPr>
              <w:t>招标文件“第五章 技术标准和要求”中“主要设备技术要求”所要求的条款不允许出现负偏离，不满足其中任何一项的，“</w:t>
            </w: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sz w:val="21"/>
                <w:szCs w:val="21"/>
              </w:rPr>
              <w:t>拟投产品配置”得0分。</w:t>
            </w:r>
          </w:p>
          <w:p w14:paraId="07A1BE0C">
            <w:pPr>
              <w:rPr>
                <w:rFonts w:ascii="宋体" w:hAnsi="宋体"/>
                <w:sz w:val="21"/>
                <w:szCs w:val="21"/>
              </w:rPr>
            </w:pPr>
            <w:r>
              <w:rPr>
                <w:rFonts w:hint="eastAsia" w:ascii="宋体" w:hAnsi="宋体"/>
                <w:sz w:val="21"/>
                <w:szCs w:val="21"/>
              </w:rPr>
              <w:t>注：</w:t>
            </w:r>
          </w:p>
          <w:p w14:paraId="6304969E">
            <w:pPr>
              <w:rPr>
                <w:rFonts w:ascii="宋体" w:hAnsi="宋体"/>
                <w:sz w:val="21"/>
                <w:szCs w:val="21"/>
              </w:rPr>
            </w:pPr>
            <w:r>
              <w:rPr>
                <w:rFonts w:hint="eastAsia" w:ascii="宋体" w:hAnsi="宋体"/>
                <w:sz w:val="21"/>
                <w:szCs w:val="21"/>
              </w:rPr>
              <w:t>1.投标产品参数如在其官网存在范围区间值的，以最小值为准，提供官网截图并加盖原厂商公章的扫描件或复印件证明。</w:t>
            </w:r>
          </w:p>
          <w:p w14:paraId="42131772">
            <w:pPr>
              <w:rPr>
                <w:rFonts w:ascii="宋体" w:hAnsi="宋体"/>
                <w:sz w:val="21"/>
                <w:szCs w:val="21"/>
              </w:rPr>
            </w:pPr>
            <w:r>
              <w:rPr>
                <w:rFonts w:hint="eastAsia" w:ascii="宋体" w:hAnsi="宋体"/>
                <w:sz w:val="21"/>
                <w:szCs w:val="21"/>
              </w:rPr>
              <w:t>2.提供原厂商针对本项目的授权书和售后服务承诺函，项目质保期内提供原厂质保服务；提供的原厂商授权书、售后服务承诺函须为加盖原厂商公章的原件或复印件并加盖投标人公章。</w:t>
            </w:r>
          </w:p>
          <w:p w14:paraId="71774767">
            <w:pPr>
              <w:rPr>
                <w:rFonts w:ascii="宋体" w:hAnsi="宋体"/>
                <w:sz w:val="21"/>
                <w:szCs w:val="21"/>
              </w:rPr>
            </w:pPr>
            <w:r>
              <w:rPr>
                <w:rFonts w:hint="eastAsia" w:ascii="宋体" w:hAnsi="宋体"/>
                <w:sz w:val="21"/>
                <w:szCs w:val="21"/>
              </w:rPr>
              <w:t>（以上两项纳入相关质量资料或技术参数资料进行评分考量）</w:t>
            </w:r>
          </w:p>
          <w:p w14:paraId="07FB3634">
            <w:pPr>
              <w:rPr>
                <w:sz w:val="21"/>
                <w:szCs w:val="21"/>
              </w:rPr>
            </w:pPr>
            <w:r>
              <w:rPr>
                <w:rFonts w:hint="eastAsia" w:ascii="宋体" w:hAnsi="宋体"/>
                <w:sz w:val="21"/>
                <w:szCs w:val="21"/>
              </w:rPr>
              <w:t>3.投标人需用投标产品实际参数应标，为避免投标人虚假应标而影响招标人使用效果，招标人有权对第一中标人所投设备按照招标文件要求进行测试，若为虚假应标，招标人有权根据相关法律法规取消其中标资格，并纳入相关不良记录，其须承担相关法律责任。</w:t>
            </w:r>
          </w:p>
        </w:tc>
      </w:tr>
      <w:tr w14:paraId="50E78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6" w:type="dxa"/>
            <w:tcBorders>
              <w:top w:val="single" w:color="auto" w:sz="4" w:space="0"/>
              <w:left w:val="single" w:color="auto" w:sz="12" w:space="0"/>
              <w:bottom w:val="single" w:color="auto" w:sz="4" w:space="0"/>
              <w:right w:val="single" w:color="auto" w:sz="4" w:space="0"/>
            </w:tcBorders>
            <w:vAlign w:val="center"/>
          </w:tcPr>
          <w:p w14:paraId="01C38F2B">
            <w:pPr>
              <w:jc w:val="center"/>
              <w:rPr>
                <w:rFonts w:ascii="宋体" w:hAnsi="宋体"/>
                <w:sz w:val="21"/>
                <w:szCs w:val="21"/>
              </w:rPr>
            </w:pPr>
            <w:r>
              <w:rPr>
                <w:rFonts w:hint="eastAsia" w:ascii="宋体" w:hAnsi="宋体"/>
                <w:sz w:val="21"/>
                <w:szCs w:val="21"/>
              </w:rPr>
              <w:t>4</w:t>
            </w:r>
          </w:p>
        </w:tc>
        <w:tc>
          <w:tcPr>
            <w:tcW w:w="1295" w:type="dxa"/>
            <w:tcBorders>
              <w:top w:val="single" w:color="auto" w:sz="4" w:space="0"/>
              <w:left w:val="single" w:color="auto" w:sz="4" w:space="0"/>
              <w:bottom w:val="single" w:color="auto" w:sz="4" w:space="0"/>
              <w:right w:val="single" w:color="auto" w:sz="4" w:space="0"/>
            </w:tcBorders>
            <w:vAlign w:val="center"/>
          </w:tcPr>
          <w:p w14:paraId="46581CBE">
            <w:pPr>
              <w:jc w:val="center"/>
              <w:rPr>
                <w:rFonts w:ascii="宋体" w:hAnsi="宋体"/>
                <w:b/>
                <w:sz w:val="21"/>
                <w:szCs w:val="21"/>
              </w:rPr>
            </w:pP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sz w:val="21"/>
                <w:szCs w:val="21"/>
              </w:rPr>
              <w:t>质量、工期的承诺及违约责任</w:t>
            </w:r>
          </w:p>
        </w:tc>
        <w:tc>
          <w:tcPr>
            <w:tcW w:w="708" w:type="dxa"/>
            <w:tcBorders>
              <w:top w:val="single" w:color="auto" w:sz="4" w:space="0"/>
              <w:left w:val="single" w:color="auto" w:sz="4" w:space="0"/>
              <w:bottom w:val="single" w:color="auto" w:sz="4" w:space="0"/>
              <w:right w:val="single" w:color="auto" w:sz="4" w:space="0"/>
            </w:tcBorders>
            <w:vAlign w:val="center"/>
          </w:tcPr>
          <w:p w14:paraId="3D5380BD">
            <w:pPr>
              <w:jc w:val="center"/>
              <w:rPr>
                <w:rFonts w:ascii="宋体" w:hAnsi="宋体"/>
                <w:sz w:val="21"/>
                <w:szCs w:val="21"/>
              </w:rPr>
            </w:pPr>
            <w:r>
              <w:rPr>
                <w:rFonts w:hint="eastAsia" w:ascii="宋体" w:hAnsi="宋体"/>
                <w:sz w:val="21"/>
                <w:szCs w:val="21"/>
              </w:rPr>
              <w:t>5分</w:t>
            </w:r>
          </w:p>
        </w:tc>
        <w:tc>
          <w:tcPr>
            <w:tcW w:w="6785" w:type="dxa"/>
            <w:tcBorders>
              <w:top w:val="single" w:color="auto" w:sz="4" w:space="0"/>
              <w:left w:val="single" w:color="auto" w:sz="4" w:space="0"/>
              <w:bottom w:val="single" w:color="auto" w:sz="4" w:space="0"/>
              <w:right w:val="single" w:color="auto" w:sz="12" w:space="0"/>
            </w:tcBorders>
            <w:vAlign w:val="center"/>
          </w:tcPr>
          <w:p w14:paraId="477EA9BA">
            <w:pPr>
              <w:rPr>
                <w:rFonts w:ascii="宋体" w:hAnsi="宋体"/>
                <w:sz w:val="21"/>
                <w:szCs w:val="21"/>
              </w:rPr>
            </w:pPr>
            <w:r>
              <w:rPr>
                <w:rFonts w:hint="eastAsia" w:ascii="宋体" w:hAnsi="宋体"/>
                <w:sz w:val="21"/>
                <w:szCs w:val="21"/>
              </w:rPr>
              <w:t>根据投标人的质量和工期承诺、</w:t>
            </w:r>
            <w:r>
              <w:rPr>
                <w:rFonts w:ascii="宋体" w:hAnsi="宋体"/>
                <w:sz w:val="21"/>
                <w:szCs w:val="21"/>
              </w:rPr>
              <w:t>违约责任</w:t>
            </w:r>
            <w:r>
              <w:rPr>
                <w:rFonts w:hint="eastAsia" w:ascii="宋体" w:hAnsi="宋体"/>
                <w:sz w:val="21"/>
                <w:szCs w:val="21"/>
              </w:rPr>
              <w:t>等内容进行综合评审并打分。</w:t>
            </w:r>
          </w:p>
          <w:p w14:paraId="614220F5">
            <w:pPr>
              <w:rPr>
                <w:rFonts w:ascii="宋体" w:hAnsi="宋体"/>
                <w:sz w:val="21"/>
                <w:szCs w:val="21"/>
              </w:rPr>
            </w:pPr>
            <w:r>
              <w:rPr>
                <w:rFonts w:hint="eastAsia" w:ascii="宋体" w:hAnsi="宋体"/>
                <w:sz w:val="21"/>
                <w:szCs w:val="21"/>
              </w:rPr>
              <w:t>第一档（4-5分）：质量、工期承诺完整，违约责任承诺合理、可行，能充分满足招标要求的；</w:t>
            </w:r>
          </w:p>
          <w:p w14:paraId="40F72F6B">
            <w:pPr>
              <w:rPr>
                <w:rFonts w:ascii="宋体" w:hAnsi="宋体"/>
                <w:sz w:val="21"/>
                <w:szCs w:val="21"/>
              </w:rPr>
            </w:pPr>
            <w:r>
              <w:rPr>
                <w:rFonts w:hint="eastAsia" w:ascii="宋体" w:hAnsi="宋体"/>
                <w:sz w:val="21"/>
                <w:szCs w:val="21"/>
              </w:rPr>
              <w:t>第二档（</w:t>
            </w:r>
            <w:r>
              <w:rPr>
                <w:rFonts w:ascii="宋体" w:hAnsi="宋体"/>
                <w:sz w:val="21"/>
                <w:szCs w:val="21"/>
              </w:rPr>
              <w:t>2</w:t>
            </w:r>
            <w:r>
              <w:rPr>
                <w:rFonts w:hint="eastAsia" w:ascii="宋体" w:hAnsi="宋体"/>
                <w:sz w:val="21"/>
                <w:szCs w:val="21"/>
              </w:rPr>
              <w:t>-3分）：质量、工期承诺良好，违约责任承诺基本合理、可行，能较好满足招标要求的；</w:t>
            </w:r>
          </w:p>
          <w:p w14:paraId="095DEEEB">
            <w:pPr>
              <w:rPr>
                <w:rFonts w:ascii="宋体" w:hAnsi="宋体"/>
                <w:sz w:val="21"/>
                <w:szCs w:val="21"/>
              </w:rPr>
            </w:pPr>
            <w:r>
              <w:rPr>
                <w:rFonts w:hint="eastAsia" w:ascii="宋体" w:hAnsi="宋体"/>
                <w:sz w:val="21"/>
                <w:szCs w:val="21"/>
              </w:rPr>
              <w:t>第三档（1分）：质量、工期承诺一般，违约责任承诺合理性较差。基本满足招标要求。</w:t>
            </w:r>
          </w:p>
          <w:p w14:paraId="65E30299">
            <w:r>
              <w:rPr>
                <w:rFonts w:hint="eastAsia" w:ascii="宋体" w:hAnsi="宋体"/>
                <w:sz w:val="21"/>
                <w:szCs w:val="21"/>
              </w:rPr>
              <w:t>未提供项目质量和工期的承诺及违约责任的不得分。</w:t>
            </w:r>
          </w:p>
        </w:tc>
      </w:tr>
      <w:tr w14:paraId="24D3C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6" w:type="dxa"/>
            <w:tcBorders>
              <w:top w:val="single" w:color="auto" w:sz="4" w:space="0"/>
              <w:left w:val="single" w:color="auto" w:sz="12" w:space="0"/>
              <w:bottom w:val="single" w:color="auto" w:sz="4" w:space="0"/>
              <w:right w:val="single" w:color="auto" w:sz="4" w:space="0"/>
            </w:tcBorders>
            <w:vAlign w:val="center"/>
          </w:tcPr>
          <w:p w14:paraId="5C87FBF7">
            <w:pPr>
              <w:jc w:val="center"/>
              <w:rPr>
                <w:rFonts w:ascii="宋体" w:hAnsi="宋体"/>
                <w:sz w:val="21"/>
                <w:szCs w:val="21"/>
              </w:rPr>
            </w:pPr>
            <w:r>
              <w:rPr>
                <w:rFonts w:hint="eastAsia" w:ascii="宋体" w:hAnsi="宋体"/>
                <w:sz w:val="21"/>
                <w:szCs w:val="21"/>
              </w:rPr>
              <w:t>5</w:t>
            </w:r>
          </w:p>
        </w:tc>
        <w:tc>
          <w:tcPr>
            <w:tcW w:w="1295" w:type="dxa"/>
            <w:tcBorders>
              <w:top w:val="single" w:color="auto" w:sz="4" w:space="0"/>
              <w:left w:val="single" w:color="auto" w:sz="4" w:space="0"/>
              <w:bottom w:val="single" w:color="auto" w:sz="4" w:space="0"/>
              <w:right w:val="single" w:color="auto" w:sz="4" w:space="0"/>
            </w:tcBorders>
            <w:vAlign w:val="center"/>
          </w:tcPr>
          <w:p w14:paraId="67DA1B07">
            <w:pPr>
              <w:jc w:val="center"/>
              <w:rPr>
                <w:rFonts w:ascii="宋体" w:hAnsi="宋体"/>
                <w:b/>
                <w:sz w:val="21"/>
                <w:szCs w:val="21"/>
              </w:rPr>
            </w:pP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sz w:val="21"/>
                <w:szCs w:val="21"/>
              </w:rPr>
              <w:t>项目人员配置</w:t>
            </w:r>
          </w:p>
        </w:tc>
        <w:tc>
          <w:tcPr>
            <w:tcW w:w="708" w:type="dxa"/>
            <w:tcBorders>
              <w:top w:val="single" w:color="auto" w:sz="4" w:space="0"/>
              <w:left w:val="single" w:color="auto" w:sz="4" w:space="0"/>
              <w:bottom w:val="single" w:color="auto" w:sz="4" w:space="0"/>
              <w:right w:val="single" w:color="auto" w:sz="4" w:space="0"/>
            </w:tcBorders>
            <w:vAlign w:val="center"/>
          </w:tcPr>
          <w:p w14:paraId="354BD5C1">
            <w:pPr>
              <w:jc w:val="center"/>
              <w:rPr>
                <w:rFonts w:ascii="宋体" w:hAnsi="宋体"/>
                <w:sz w:val="21"/>
                <w:szCs w:val="21"/>
              </w:rPr>
            </w:pPr>
            <w:r>
              <w:rPr>
                <w:rFonts w:hint="eastAsia" w:ascii="宋体" w:hAnsi="宋体"/>
                <w:sz w:val="21"/>
                <w:szCs w:val="21"/>
              </w:rPr>
              <w:t>5分</w:t>
            </w:r>
          </w:p>
        </w:tc>
        <w:tc>
          <w:tcPr>
            <w:tcW w:w="6785" w:type="dxa"/>
            <w:tcBorders>
              <w:top w:val="single" w:color="auto" w:sz="4" w:space="0"/>
              <w:left w:val="single" w:color="auto" w:sz="4" w:space="0"/>
              <w:bottom w:val="single" w:color="auto" w:sz="4" w:space="0"/>
              <w:right w:val="single" w:color="auto" w:sz="12" w:space="0"/>
            </w:tcBorders>
            <w:vAlign w:val="center"/>
          </w:tcPr>
          <w:p w14:paraId="39540A68">
            <w:pPr>
              <w:rPr>
                <w:rFonts w:ascii="宋体" w:hAnsi="宋体"/>
                <w:sz w:val="21"/>
                <w:szCs w:val="21"/>
              </w:rPr>
            </w:pPr>
            <w:r>
              <w:rPr>
                <w:rFonts w:hint="eastAsia" w:ascii="宋体" w:hAnsi="宋体"/>
                <w:sz w:val="21"/>
                <w:szCs w:val="21"/>
              </w:rPr>
              <w:t>根据投标人项目人员配置（包含但不限于拟派人员信息、人员配置、分工协调等）进行综合评审</w:t>
            </w:r>
          </w:p>
          <w:p w14:paraId="68200195">
            <w:pPr>
              <w:rPr>
                <w:rFonts w:ascii="宋体" w:hAnsi="宋体"/>
                <w:sz w:val="21"/>
                <w:szCs w:val="21"/>
              </w:rPr>
            </w:pPr>
            <w:r>
              <w:rPr>
                <w:rFonts w:hint="eastAsia" w:ascii="宋体" w:hAnsi="宋体"/>
                <w:sz w:val="21"/>
                <w:szCs w:val="21"/>
              </w:rPr>
              <w:t>第一档（4-5分）：项目组织机构及团队成员配置合理，人员分工明确，人员专业和项目匹配度高，有丰富的类似项目实施经验，技术力量强，充分满足项目需求；</w:t>
            </w:r>
          </w:p>
          <w:p w14:paraId="2EE9AE1C">
            <w:pPr>
              <w:rPr>
                <w:rFonts w:ascii="宋体" w:hAnsi="宋体"/>
                <w:sz w:val="21"/>
                <w:szCs w:val="21"/>
              </w:rPr>
            </w:pPr>
            <w:r>
              <w:rPr>
                <w:rFonts w:hint="eastAsia" w:ascii="宋体" w:hAnsi="宋体"/>
                <w:sz w:val="21"/>
                <w:szCs w:val="21"/>
              </w:rPr>
              <w:t>第二档（2-3分）：项目组织机构及团队成员配置较合理，人员分工较明确，人员专业和项目匹配度较高，有类似项目实施经验，技术力量较强，满足项目需求；</w:t>
            </w:r>
          </w:p>
          <w:p w14:paraId="14653556">
            <w:pPr>
              <w:rPr>
                <w:rFonts w:ascii="宋体" w:hAnsi="宋体"/>
                <w:sz w:val="21"/>
                <w:szCs w:val="21"/>
              </w:rPr>
            </w:pPr>
            <w:r>
              <w:rPr>
                <w:rFonts w:hint="eastAsia" w:ascii="宋体" w:hAnsi="宋体"/>
                <w:sz w:val="21"/>
                <w:szCs w:val="21"/>
              </w:rPr>
              <w:t>第三档（1分）：项目组织机构及团队成员配置基本合理，人员分工基本明确，人员专业和项目匹配度不高，类似项目实施经验一般，技术力量一般，基本满足项目需求。</w:t>
            </w:r>
          </w:p>
          <w:p w14:paraId="55C9411C">
            <w:r>
              <w:rPr>
                <w:rFonts w:hint="eastAsia" w:ascii="宋体" w:hAnsi="宋体"/>
                <w:sz w:val="21"/>
                <w:szCs w:val="21"/>
              </w:rPr>
              <w:t>未提供项目人员配置的不得分。</w:t>
            </w:r>
          </w:p>
        </w:tc>
      </w:tr>
      <w:tr w14:paraId="65A8C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6" w:type="dxa"/>
            <w:tcBorders>
              <w:top w:val="single" w:color="auto" w:sz="4" w:space="0"/>
              <w:left w:val="single" w:color="auto" w:sz="12" w:space="0"/>
              <w:bottom w:val="single" w:color="auto" w:sz="4" w:space="0"/>
              <w:right w:val="single" w:color="auto" w:sz="4" w:space="0"/>
            </w:tcBorders>
            <w:vAlign w:val="center"/>
          </w:tcPr>
          <w:p w14:paraId="6A85A18A">
            <w:pPr>
              <w:jc w:val="center"/>
              <w:rPr>
                <w:rFonts w:ascii="宋体" w:hAnsi="宋体"/>
                <w:sz w:val="21"/>
                <w:szCs w:val="21"/>
              </w:rPr>
            </w:pPr>
            <w:r>
              <w:rPr>
                <w:rFonts w:hint="eastAsia" w:ascii="宋体" w:hAnsi="宋体"/>
                <w:sz w:val="21"/>
                <w:szCs w:val="21"/>
              </w:rPr>
              <w:t>6</w:t>
            </w:r>
          </w:p>
        </w:tc>
        <w:tc>
          <w:tcPr>
            <w:tcW w:w="1295" w:type="dxa"/>
            <w:tcBorders>
              <w:top w:val="single" w:color="auto" w:sz="4" w:space="0"/>
              <w:left w:val="single" w:color="auto" w:sz="4" w:space="0"/>
              <w:bottom w:val="single" w:color="auto" w:sz="4" w:space="0"/>
              <w:right w:val="single" w:color="auto" w:sz="4" w:space="0"/>
            </w:tcBorders>
            <w:vAlign w:val="center"/>
          </w:tcPr>
          <w:p w14:paraId="23931B3A">
            <w:pPr>
              <w:jc w:val="center"/>
              <w:rPr>
                <w:rFonts w:ascii="宋体" w:hAnsi="宋体" w:cs="Arial"/>
                <w:sz w:val="21"/>
                <w:szCs w:val="21"/>
              </w:rPr>
            </w:pP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cs="Arial"/>
                <w:sz w:val="21"/>
                <w:szCs w:val="21"/>
              </w:rPr>
              <w:t>售后服务、培训及应急保障</w:t>
            </w:r>
          </w:p>
        </w:tc>
        <w:tc>
          <w:tcPr>
            <w:tcW w:w="708" w:type="dxa"/>
            <w:tcBorders>
              <w:top w:val="single" w:color="auto" w:sz="4" w:space="0"/>
              <w:left w:val="single" w:color="auto" w:sz="4" w:space="0"/>
              <w:bottom w:val="single" w:color="auto" w:sz="4" w:space="0"/>
              <w:right w:val="single" w:color="auto" w:sz="4" w:space="0"/>
            </w:tcBorders>
            <w:vAlign w:val="center"/>
          </w:tcPr>
          <w:p w14:paraId="5D884FB8">
            <w:pPr>
              <w:jc w:val="center"/>
              <w:rPr>
                <w:rFonts w:ascii="宋体" w:hAnsi="宋体"/>
                <w:sz w:val="21"/>
                <w:szCs w:val="21"/>
              </w:rPr>
            </w:pPr>
            <w:r>
              <w:rPr>
                <w:rFonts w:hint="eastAsia" w:ascii="宋体" w:hAnsi="宋体"/>
                <w:sz w:val="21"/>
                <w:szCs w:val="21"/>
              </w:rPr>
              <w:t>5分</w:t>
            </w:r>
          </w:p>
        </w:tc>
        <w:tc>
          <w:tcPr>
            <w:tcW w:w="6785" w:type="dxa"/>
            <w:tcBorders>
              <w:top w:val="single" w:color="auto" w:sz="4" w:space="0"/>
              <w:left w:val="single" w:color="auto" w:sz="4" w:space="0"/>
              <w:bottom w:val="single" w:color="auto" w:sz="4" w:space="0"/>
              <w:right w:val="single" w:color="auto" w:sz="12" w:space="0"/>
            </w:tcBorders>
            <w:vAlign w:val="center"/>
          </w:tcPr>
          <w:p w14:paraId="516722E7">
            <w:pPr>
              <w:jc w:val="both"/>
              <w:rPr>
                <w:rFonts w:ascii="宋体" w:hAnsi="宋体" w:cs="Arial"/>
                <w:sz w:val="21"/>
                <w:szCs w:val="21"/>
              </w:rPr>
            </w:pPr>
            <w:r>
              <w:rPr>
                <w:rFonts w:hint="eastAsia" w:ascii="宋体" w:hAnsi="宋体"/>
                <w:sz w:val="21"/>
                <w:szCs w:val="21"/>
              </w:rPr>
              <w:t>根据投标人</w:t>
            </w:r>
            <w:r>
              <w:rPr>
                <w:rFonts w:hint="eastAsia" w:ascii="宋体" w:hAnsi="宋体" w:cs="Arial"/>
                <w:sz w:val="21"/>
                <w:szCs w:val="21"/>
              </w:rPr>
              <w:t>售后服务、人员培训及应急保障等内容进行综合评审</w:t>
            </w:r>
          </w:p>
          <w:p w14:paraId="7CB2E8AF">
            <w:pPr>
              <w:jc w:val="both"/>
              <w:rPr>
                <w:rFonts w:ascii="宋体" w:hAnsi="宋体" w:cs="Arial"/>
                <w:sz w:val="21"/>
                <w:szCs w:val="21"/>
              </w:rPr>
            </w:pPr>
            <w:r>
              <w:rPr>
                <w:rFonts w:hint="eastAsia" w:ascii="宋体" w:hAnsi="宋体" w:cs="Arial"/>
                <w:sz w:val="21"/>
                <w:szCs w:val="21"/>
              </w:rPr>
              <w:t>第一档（4-5</w:t>
            </w:r>
            <w:r>
              <w:rPr>
                <w:rFonts w:ascii="宋体" w:hAnsi="宋体" w:cs="Arial"/>
                <w:sz w:val="21"/>
                <w:szCs w:val="21"/>
              </w:rPr>
              <w:t>分）</w:t>
            </w:r>
            <w:r>
              <w:rPr>
                <w:rFonts w:hint="eastAsia" w:ascii="宋体" w:hAnsi="宋体" w:cs="Arial"/>
                <w:sz w:val="21"/>
                <w:szCs w:val="21"/>
              </w:rPr>
              <w:t>售后服务、人员培训、应急处置措施完善，内容及承诺优越，针对性强，充分响应且优于招标文件要求；</w:t>
            </w:r>
          </w:p>
          <w:p w14:paraId="76956992">
            <w:pPr>
              <w:jc w:val="both"/>
              <w:rPr>
                <w:rFonts w:ascii="宋体" w:hAnsi="宋体" w:cs="Arial"/>
                <w:sz w:val="21"/>
                <w:szCs w:val="21"/>
              </w:rPr>
            </w:pPr>
            <w:r>
              <w:rPr>
                <w:rFonts w:hint="eastAsia" w:ascii="宋体" w:hAnsi="宋体" w:cs="Arial"/>
                <w:sz w:val="21"/>
                <w:szCs w:val="21"/>
              </w:rPr>
              <w:t>第二档（</w:t>
            </w:r>
            <w:r>
              <w:rPr>
                <w:rFonts w:ascii="宋体" w:hAnsi="宋体" w:cs="Arial"/>
                <w:sz w:val="21"/>
                <w:szCs w:val="21"/>
              </w:rPr>
              <w:t>2</w:t>
            </w:r>
            <w:r>
              <w:rPr>
                <w:rFonts w:hint="eastAsia" w:ascii="宋体" w:hAnsi="宋体" w:cs="Arial"/>
                <w:sz w:val="21"/>
                <w:szCs w:val="21"/>
              </w:rPr>
              <w:t>-3</w:t>
            </w:r>
            <w:r>
              <w:rPr>
                <w:rFonts w:ascii="宋体" w:hAnsi="宋体" w:cs="Arial"/>
                <w:sz w:val="21"/>
                <w:szCs w:val="21"/>
              </w:rPr>
              <w:t>分）：</w:t>
            </w:r>
            <w:r>
              <w:rPr>
                <w:rFonts w:hint="eastAsia" w:ascii="宋体" w:hAnsi="宋体" w:cs="Arial"/>
                <w:sz w:val="21"/>
                <w:szCs w:val="21"/>
              </w:rPr>
              <w:t>售后服务、人员培训、应急处置措施较为完善，内容及承诺良好，针对性较好，响应招标文件要求；</w:t>
            </w:r>
          </w:p>
          <w:p w14:paraId="451B314E">
            <w:pPr>
              <w:rPr>
                <w:rFonts w:ascii="宋体" w:hAnsi="宋体" w:cs="Arial"/>
                <w:sz w:val="21"/>
                <w:szCs w:val="21"/>
              </w:rPr>
            </w:pPr>
            <w:r>
              <w:rPr>
                <w:rFonts w:hint="eastAsia" w:ascii="宋体" w:hAnsi="宋体" w:cs="Arial"/>
                <w:sz w:val="21"/>
                <w:szCs w:val="21"/>
              </w:rPr>
              <w:t>第三档（</w:t>
            </w:r>
            <w:r>
              <w:rPr>
                <w:rFonts w:ascii="宋体" w:hAnsi="宋体" w:cs="Arial"/>
                <w:sz w:val="21"/>
                <w:szCs w:val="21"/>
              </w:rPr>
              <w:t>1分）：</w:t>
            </w:r>
            <w:r>
              <w:rPr>
                <w:rFonts w:hint="eastAsia" w:ascii="宋体" w:hAnsi="宋体" w:cs="Arial"/>
                <w:sz w:val="21"/>
                <w:szCs w:val="21"/>
              </w:rPr>
              <w:t>售后服务、人员培训、应急处置措施一般，内容及承诺一般，针对性一般，响应招标文件要求。</w:t>
            </w:r>
          </w:p>
          <w:p w14:paraId="5D000ABC">
            <w:r>
              <w:rPr>
                <w:rFonts w:hint="eastAsia" w:ascii="宋体" w:hAnsi="宋体" w:cs="Arial"/>
                <w:sz w:val="21"/>
                <w:szCs w:val="21"/>
              </w:rPr>
              <w:t>未提供项目售后服务、培训及应急保障的不得分。</w:t>
            </w:r>
          </w:p>
        </w:tc>
      </w:tr>
    </w:tbl>
    <w:p w14:paraId="163AEADE">
      <w:pPr>
        <w:spacing w:line="360" w:lineRule="auto"/>
        <w:ind w:firstLine="315" w:firstLineChars="150"/>
        <w:contextualSpacing/>
        <w:rPr>
          <w:rFonts w:ascii="宋体" w:hAnsi="宋体"/>
          <w:sz w:val="21"/>
          <w:szCs w:val="21"/>
        </w:rPr>
      </w:pPr>
    </w:p>
    <w:p w14:paraId="6D5100DE">
      <w:pPr>
        <w:spacing w:line="360" w:lineRule="auto"/>
        <w:ind w:firstLine="316" w:firstLineChars="150"/>
        <w:contextualSpacing/>
        <w:rPr>
          <w:rFonts w:ascii="宋体" w:hAnsi="宋体"/>
          <w:b/>
          <w:bCs/>
          <w:sz w:val="21"/>
          <w:szCs w:val="21"/>
        </w:rPr>
      </w:pPr>
      <w:r>
        <w:rPr>
          <w:rFonts w:hint="eastAsia" w:ascii="宋体" w:hAnsi="宋体"/>
          <w:b/>
          <w:bCs/>
          <w:sz w:val="21"/>
          <w:szCs w:val="21"/>
        </w:rPr>
        <w:t>A5.推荐中标候选人</w:t>
      </w:r>
    </w:p>
    <w:p w14:paraId="579B23A8">
      <w:pPr>
        <w:spacing w:line="360" w:lineRule="auto"/>
        <w:ind w:firstLine="315" w:firstLineChars="150"/>
        <w:contextualSpacing/>
        <w:jc w:val="both"/>
        <w:rPr>
          <w:rFonts w:ascii="宋体" w:hAnsi="宋体"/>
          <w:b/>
          <w:bCs/>
          <w:sz w:val="21"/>
          <w:szCs w:val="21"/>
        </w:rPr>
      </w:pPr>
      <w:r>
        <w:rPr>
          <w:rFonts w:hint="eastAsia" w:ascii="宋体" w:hAnsi="宋体"/>
          <w:bCs/>
          <w:sz w:val="21"/>
          <w:szCs w:val="21"/>
        </w:rPr>
        <w:t>A5.1汇总评标结果</w:t>
      </w:r>
    </w:p>
    <w:p w14:paraId="75B3CA28">
      <w:pPr>
        <w:spacing w:line="360" w:lineRule="auto"/>
        <w:ind w:firstLine="315" w:firstLineChars="150"/>
        <w:contextualSpacing/>
        <w:jc w:val="both"/>
        <w:rPr>
          <w:rFonts w:ascii="宋体" w:hAnsi="宋体"/>
          <w:b/>
          <w:sz w:val="21"/>
          <w:szCs w:val="21"/>
        </w:rPr>
      </w:pPr>
      <w:r>
        <w:rPr>
          <w:rFonts w:hint="eastAsia" w:ascii="宋体" w:hAnsi="宋体"/>
          <w:sz w:val="21"/>
          <w:szCs w:val="21"/>
        </w:rPr>
        <w:t>投标报价评审工作全部结束后，评标委员会应填写评标结果汇总表。</w:t>
      </w:r>
    </w:p>
    <w:p w14:paraId="0D5F507A">
      <w:pPr>
        <w:spacing w:line="360" w:lineRule="auto"/>
        <w:ind w:firstLine="315" w:firstLineChars="150"/>
        <w:contextualSpacing/>
        <w:jc w:val="both"/>
        <w:rPr>
          <w:rFonts w:ascii="宋体" w:hAnsi="宋体"/>
          <w:b/>
          <w:sz w:val="21"/>
          <w:szCs w:val="21"/>
        </w:rPr>
      </w:pPr>
      <w:r>
        <w:rPr>
          <w:rFonts w:hint="eastAsia" w:ascii="宋体" w:hAnsi="宋体"/>
          <w:bCs/>
          <w:sz w:val="21"/>
          <w:szCs w:val="21"/>
        </w:rPr>
        <w:t>A5.2 推荐中标候选人</w:t>
      </w:r>
    </w:p>
    <w:p w14:paraId="1C9F1A2F">
      <w:pPr>
        <w:spacing w:line="360" w:lineRule="auto"/>
        <w:ind w:firstLine="315" w:firstLineChars="150"/>
        <w:contextualSpacing/>
        <w:jc w:val="both"/>
        <w:rPr>
          <w:rFonts w:ascii="宋体" w:hAnsi="宋体"/>
          <w:sz w:val="21"/>
          <w:szCs w:val="21"/>
        </w:rPr>
      </w:pPr>
      <w:r>
        <w:rPr>
          <w:rFonts w:hint="eastAsia" w:ascii="宋体" w:hAnsi="宋体"/>
          <w:sz w:val="21"/>
          <w:szCs w:val="21"/>
        </w:rPr>
        <w:t>A5.2.1评标委员会在推荐中标候选人时，应遵照以下原则:</w:t>
      </w:r>
    </w:p>
    <w:p w14:paraId="1EBC49F4">
      <w:pPr>
        <w:spacing w:line="360" w:lineRule="auto"/>
        <w:ind w:firstLine="315" w:firstLineChars="150"/>
        <w:contextualSpacing/>
        <w:jc w:val="both"/>
        <w:rPr>
          <w:rFonts w:ascii="宋体" w:hAnsi="宋体"/>
          <w:sz w:val="21"/>
          <w:szCs w:val="21"/>
        </w:rPr>
      </w:pPr>
      <w:r>
        <w:rPr>
          <w:rFonts w:hint="eastAsia" w:ascii="宋体" w:hAnsi="宋体"/>
          <w:sz w:val="21"/>
          <w:szCs w:val="21"/>
        </w:rPr>
        <w:t>（1）评标委员会按照最终得分由高至低的次序排列，并根据第二章“投标人须知”前附表第7.1款规定的中标候选人数量，将排序在前的投标人推荐为中标候选人。</w:t>
      </w:r>
    </w:p>
    <w:p w14:paraId="386DD70E">
      <w:pPr>
        <w:spacing w:line="360" w:lineRule="auto"/>
        <w:ind w:firstLine="315" w:firstLineChars="150"/>
        <w:contextualSpacing/>
        <w:jc w:val="both"/>
        <w:rPr>
          <w:rFonts w:ascii="宋体" w:hAnsi="宋体"/>
          <w:sz w:val="21"/>
          <w:szCs w:val="21"/>
        </w:rPr>
      </w:pPr>
      <w:r>
        <w:rPr>
          <w:rFonts w:hint="eastAsia" w:ascii="宋体" w:hAnsi="宋体"/>
          <w:sz w:val="21"/>
          <w:szCs w:val="21"/>
        </w:rPr>
        <w:t>（2）经评标委员会评审,认为所有投标都有不符合招标文件要求或者形不成竞争时,可以否决所有投标，所有投标被否决后,招标人应当依法重新招标。如实质性响应招标文件的投标人不足3家时，评标评委会认为其仍可以满足招标要求具有竞争性，由评标委员会继续按照本评标办法对各投标文件进行评审并推荐中标候选人，按照最终得分从高到低的顺序推荐中标候选人。</w:t>
      </w:r>
    </w:p>
    <w:p w14:paraId="68DFFD83">
      <w:pPr>
        <w:spacing w:line="360" w:lineRule="auto"/>
        <w:ind w:firstLine="315" w:firstLineChars="150"/>
        <w:contextualSpacing/>
        <w:jc w:val="both"/>
        <w:rPr>
          <w:rFonts w:ascii="宋体" w:hAnsi="宋体"/>
          <w:sz w:val="21"/>
          <w:szCs w:val="21"/>
        </w:rPr>
      </w:pPr>
      <w:r>
        <w:rPr>
          <w:rFonts w:hint="eastAsia" w:ascii="宋体" w:hAnsi="宋体"/>
          <w:sz w:val="21"/>
          <w:szCs w:val="21"/>
        </w:rPr>
        <w:t>A5.2.2所有投标被否决的，招标人应当依法重新招标。</w:t>
      </w:r>
    </w:p>
    <w:p w14:paraId="740D8B17">
      <w:pPr>
        <w:spacing w:line="360" w:lineRule="auto"/>
        <w:ind w:firstLine="315" w:firstLineChars="150"/>
        <w:contextualSpacing/>
        <w:jc w:val="both"/>
        <w:rPr>
          <w:rFonts w:ascii="宋体" w:hAnsi="宋体"/>
          <w:sz w:val="21"/>
          <w:szCs w:val="21"/>
        </w:rPr>
      </w:pPr>
      <w:r>
        <w:rPr>
          <w:rFonts w:hint="eastAsia" w:ascii="宋体" w:hAnsi="宋体"/>
          <w:bCs/>
          <w:sz w:val="21"/>
          <w:szCs w:val="21"/>
        </w:rPr>
        <w:t>A5.3编制及提交评标报告</w:t>
      </w:r>
    </w:p>
    <w:p w14:paraId="469DDEE7">
      <w:pPr>
        <w:spacing w:line="360" w:lineRule="auto"/>
        <w:ind w:firstLine="315" w:firstLineChars="150"/>
        <w:contextualSpacing/>
        <w:jc w:val="both"/>
        <w:rPr>
          <w:rFonts w:ascii="宋体" w:hAnsi="宋体"/>
          <w:sz w:val="21"/>
          <w:szCs w:val="21"/>
        </w:rPr>
      </w:pPr>
      <w:r>
        <w:rPr>
          <w:rFonts w:hint="eastAsia" w:ascii="宋体" w:hAnsi="宋体"/>
          <w:sz w:val="21"/>
          <w:szCs w:val="21"/>
        </w:rPr>
        <w:t>评标委员会根据本章第3.4.2项的规定向招标人提交评标报告。评标报告应当由全体评标委员会成员签字，并于评标结束时抄送有关监督部门。评标报告应当包括以下内容：</w:t>
      </w:r>
    </w:p>
    <w:p w14:paraId="317D0CF9">
      <w:pPr>
        <w:spacing w:line="360" w:lineRule="auto"/>
        <w:ind w:firstLine="315" w:firstLineChars="150"/>
        <w:contextualSpacing/>
        <w:jc w:val="both"/>
        <w:rPr>
          <w:rFonts w:ascii="宋体" w:hAnsi="宋体"/>
          <w:sz w:val="21"/>
          <w:szCs w:val="21"/>
        </w:rPr>
      </w:pPr>
      <w:r>
        <w:rPr>
          <w:rFonts w:hint="eastAsia" w:ascii="宋体" w:hAnsi="宋体"/>
          <w:sz w:val="21"/>
          <w:szCs w:val="21"/>
        </w:rPr>
        <w:t>（1）基本情况和数据表；</w:t>
      </w:r>
    </w:p>
    <w:p w14:paraId="25678A1F">
      <w:pPr>
        <w:spacing w:line="360" w:lineRule="auto"/>
        <w:ind w:firstLine="315" w:firstLineChars="150"/>
        <w:contextualSpacing/>
        <w:jc w:val="both"/>
        <w:rPr>
          <w:rFonts w:ascii="宋体" w:hAnsi="宋体"/>
          <w:sz w:val="21"/>
          <w:szCs w:val="21"/>
        </w:rPr>
      </w:pPr>
      <w:r>
        <w:rPr>
          <w:rFonts w:hint="eastAsia" w:ascii="宋体" w:hAnsi="宋体"/>
          <w:sz w:val="21"/>
          <w:szCs w:val="21"/>
        </w:rPr>
        <w:t>（2）评标委员会成员名单；</w:t>
      </w:r>
    </w:p>
    <w:p w14:paraId="102A7CB0">
      <w:pPr>
        <w:spacing w:line="360" w:lineRule="auto"/>
        <w:ind w:firstLine="315" w:firstLineChars="150"/>
        <w:contextualSpacing/>
        <w:jc w:val="both"/>
        <w:rPr>
          <w:rFonts w:ascii="宋体" w:hAnsi="宋体"/>
          <w:sz w:val="21"/>
          <w:szCs w:val="21"/>
        </w:rPr>
      </w:pPr>
      <w:r>
        <w:rPr>
          <w:rFonts w:hint="eastAsia" w:ascii="宋体" w:hAnsi="宋体"/>
          <w:sz w:val="21"/>
          <w:szCs w:val="21"/>
        </w:rPr>
        <w:t>（3）开标记录；</w:t>
      </w:r>
    </w:p>
    <w:p w14:paraId="48FE32F8">
      <w:pPr>
        <w:spacing w:line="360" w:lineRule="auto"/>
        <w:ind w:firstLine="315" w:firstLineChars="150"/>
        <w:contextualSpacing/>
        <w:jc w:val="both"/>
        <w:rPr>
          <w:rFonts w:ascii="宋体" w:hAnsi="宋体"/>
          <w:sz w:val="21"/>
          <w:szCs w:val="21"/>
        </w:rPr>
      </w:pPr>
      <w:r>
        <w:rPr>
          <w:rFonts w:hint="eastAsia" w:ascii="宋体" w:hAnsi="宋体"/>
          <w:sz w:val="21"/>
          <w:szCs w:val="21"/>
        </w:rPr>
        <w:t>（4）符合要求的投标一览表；</w:t>
      </w:r>
    </w:p>
    <w:p w14:paraId="5AF6356D">
      <w:pPr>
        <w:spacing w:line="360" w:lineRule="auto"/>
        <w:ind w:firstLine="315" w:firstLineChars="150"/>
        <w:contextualSpacing/>
        <w:jc w:val="both"/>
        <w:rPr>
          <w:rFonts w:ascii="宋体" w:hAnsi="宋体"/>
          <w:sz w:val="21"/>
          <w:szCs w:val="21"/>
        </w:rPr>
      </w:pPr>
      <w:r>
        <w:rPr>
          <w:rFonts w:hint="eastAsia" w:ascii="宋体" w:hAnsi="宋体"/>
          <w:sz w:val="21"/>
          <w:szCs w:val="21"/>
        </w:rPr>
        <w:t>（5）否决投标情况说明；</w:t>
      </w:r>
    </w:p>
    <w:p w14:paraId="326C6E91">
      <w:pPr>
        <w:spacing w:line="360" w:lineRule="auto"/>
        <w:ind w:firstLine="315" w:firstLineChars="150"/>
        <w:contextualSpacing/>
        <w:jc w:val="both"/>
        <w:rPr>
          <w:rFonts w:ascii="宋体" w:hAnsi="宋体"/>
          <w:sz w:val="21"/>
          <w:szCs w:val="21"/>
        </w:rPr>
      </w:pPr>
      <w:r>
        <w:rPr>
          <w:rFonts w:hint="eastAsia" w:ascii="宋体" w:hAnsi="宋体"/>
          <w:sz w:val="21"/>
          <w:szCs w:val="21"/>
        </w:rPr>
        <w:t>（6）评标标准、评标方法；</w:t>
      </w:r>
    </w:p>
    <w:p w14:paraId="04DA6D99">
      <w:pPr>
        <w:spacing w:line="360" w:lineRule="auto"/>
        <w:ind w:firstLine="315" w:firstLineChars="150"/>
        <w:contextualSpacing/>
        <w:jc w:val="both"/>
        <w:rPr>
          <w:rFonts w:ascii="宋体" w:hAnsi="宋体"/>
          <w:sz w:val="21"/>
          <w:szCs w:val="21"/>
        </w:rPr>
      </w:pPr>
      <w:r>
        <w:rPr>
          <w:rFonts w:hint="eastAsia" w:ascii="宋体" w:hAnsi="宋体"/>
          <w:sz w:val="21"/>
          <w:szCs w:val="21"/>
        </w:rPr>
        <w:t>（7）经评审的价格一览表(包括评标委员会在评标过程中所形成的所有记载评标结果、结论的表格、说明、记录等文件)；</w:t>
      </w:r>
    </w:p>
    <w:p w14:paraId="4AAB2D8B">
      <w:pPr>
        <w:spacing w:line="360" w:lineRule="auto"/>
        <w:ind w:firstLine="315" w:firstLineChars="150"/>
        <w:contextualSpacing/>
        <w:jc w:val="both"/>
        <w:rPr>
          <w:rFonts w:ascii="宋体" w:hAnsi="宋体"/>
          <w:sz w:val="21"/>
          <w:szCs w:val="21"/>
        </w:rPr>
      </w:pPr>
      <w:r>
        <w:rPr>
          <w:rFonts w:hint="eastAsia" w:ascii="宋体" w:hAnsi="宋体"/>
          <w:sz w:val="21"/>
          <w:szCs w:val="21"/>
        </w:rPr>
        <w:t>（8）经评审的投标人排序；</w:t>
      </w:r>
    </w:p>
    <w:p w14:paraId="23FF18B8">
      <w:pPr>
        <w:spacing w:line="360" w:lineRule="auto"/>
        <w:ind w:firstLine="315" w:firstLineChars="150"/>
        <w:contextualSpacing/>
        <w:jc w:val="both"/>
        <w:rPr>
          <w:rFonts w:ascii="宋体" w:hAnsi="宋体"/>
          <w:sz w:val="21"/>
          <w:szCs w:val="21"/>
        </w:rPr>
      </w:pPr>
      <w:r>
        <w:rPr>
          <w:rFonts w:hint="eastAsia" w:ascii="宋体" w:hAnsi="宋体"/>
          <w:sz w:val="21"/>
          <w:szCs w:val="21"/>
        </w:rPr>
        <w:t>（9）推荐的中标候选人名单与签订合同前要处理的事宜；</w:t>
      </w:r>
    </w:p>
    <w:p w14:paraId="0C6421EA">
      <w:pPr>
        <w:spacing w:line="360" w:lineRule="auto"/>
        <w:ind w:firstLine="315" w:firstLineChars="150"/>
        <w:contextualSpacing/>
        <w:jc w:val="both"/>
        <w:rPr>
          <w:rFonts w:ascii="宋体" w:hAnsi="宋体"/>
          <w:sz w:val="21"/>
          <w:szCs w:val="21"/>
        </w:rPr>
      </w:pPr>
      <w:r>
        <w:rPr>
          <w:rFonts w:hint="eastAsia" w:ascii="宋体" w:hAnsi="宋体"/>
          <w:sz w:val="21"/>
          <w:szCs w:val="21"/>
        </w:rPr>
        <w:t>（10）澄清、说明、补正事项纪要。</w:t>
      </w:r>
    </w:p>
    <w:p w14:paraId="7875C407">
      <w:pPr>
        <w:spacing w:line="360" w:lineRule="auto"/>
        <w:ind w:firstLine="316" w:firstLineChars="150"/>
        <w:contextualSpacing/>
        <w:jc w:val="both"/>
        <w:rPr>
          <w:rFonts w:ascii="宋体" w:hAnsi="宋体"/>
          <w:sz w:val="21"/>
          <w:szCs w:val="21"/>
        </w:rPr>
      </w:pPr>
      <w:r>
        <w:rPr>
          <w:rFonts w:hint="eastAsia" w:ascii="宋体" w:hAnsi="宋体"/>
          <w:b/>
          <w:bCs/>
          <w:sz w:val="21"/>
          <w:szCs w:val="21"/>
        </w:rPr>
        <w:t>A6．特殊情况的处置程序</w:t>
      </w:r>
    </w:p>
    <w:p w14:paraId="58EE3F52">
      <w:pPr>
        <w:spacing w:line="360" w:lineRule="auto"/>
        <w:ind w:firstLine="315" w:firstLineChars="150"/>
        <w:contextualSpacing/>
        <w:jc w:val="both"/>
        <w:rPr>
          <w:rFonts w:ascii="宋体" w:hAnsi="宋体"/>
          <w:sz w:val="21"/>
          <w:szCs w:val="21"/>
        </w:rPr>
      </w:pPr>
      <w:r>
        <w:rPr>
          <w:rFonts w:hint="eastAsia" w:ascii="宋体" w:hAnsi="宋体"/>
          <w:bCs/>
          <w:sz w:val="21"/>
          <w:szCs w:val="21"/>
        </w:rPr>
        <w:t>A6.1关于评标活动暂停</w:t>
      </w:r>
    </w:p>
    <w:p w14:paraId="47001384">
      <w:pPr>
        <w:spacing w:line="360" w:lineRule="auto"/>
        <w:ind w:firstLine="315" w:firstLineChars="150"/>
        <w:contextualSpacing/>
        <w:jc w:val="both"/>
        <w:rPr>
          <w:rFonts w:ascii="宋体" w:hAnsi="宋体"/>
          <w:sz w:val="21"/>
          <w:szCs w:val="21"/>
        </w:rPr>
      </w:pPr>
      <w:r>
        <w:rPr>
          <w:rFonts w:hint="eastAsia" w:ascii="宋体" w:hAnsi="宋体"/>
          <w:sz w:val="21"/>
          <w:szCs w:val="21"/>
        </w:rPr>
        <w:t>A6.1.1评标委员会应当执行连续评标的原则，按评标办法中规定的程序、内容、方法、标准完成全部评标工作。只有发生不可抗力导致评标工作无法继续时，评标活动方可暂停。</w:t>
      </w:r>
    </w:p>
    <w:p w14:paraId="68F989EA">
      <w:pPr>
        <w:spacing w:line="360" w:lineRule="auto"/>
        <w:ind w:firstLine="315" w:firstLineChars="150"/>
        <w:contextualSpacing/>
        <w:jc w:val="both"/>
        <w:rPr>
          <w:rFonts w:ascii="宋体" w:hAnsi="宋体"/>
          <w:sz w:val="21"/>
          <w:szCs w:val="21"/>
        </w:rPr>
      </w:pPr>
      <w:r>
        <w:rPr>
          <w:rFonts w:hint="eastAsia" w:ascii="宋体" w:hAnsi="宋体"/>
          <w:sz w:val="21"/>
          <w:szCs w:val="21"/>
        </w:rPr>
        <w:t>A6.1.2发生评标暂停情况时，评标委员会应当封存全部投标文件和评标记录，待不可抗力的影响结束且具备继续评标的条件时，由原评标委员会继续评标。</w:t>
      </w:r>
    </w:p>
    <w:p w14:paraId="482CC37A">
      <w:pPr>
        <w:spacing w:line="360" w:lineRule="auto"/>
        <w:ind w:firstLine="315" w:firstLineChars="150"/>
        <w:contextualSpacing/>
        <w:jc w:val="both"/>
        <w:rPr>
          <w:rFonts w:ascii="宋体" w:hAnsi="宋体"/>
          <w:sz w:val="21"/>
          <w:szCs w:val="21"/>
        </w:rPr>
      </w:pPr>
      <w:r>
        <w:rPr>
          <w:rFonts w:hint="eastAsia" w:ascii="宋体" w:hAnsi="宋体"/>
          <w:bCs/>
          <w:sz w:val="21"/>
          <w:szCs w:val="21"/>
        </w:rPr>
        <w:t>A6.2关于评标中途更换评委</w:t>
      </w:r>
    </w:p>
    <w:p w14:paraId="7854079E">
      <w:pPr>
        <w:spacing w:line="360" w:lineRule="auto"/>
        <w:ind w:firstLine="315" w:firstLineChars="150"/>
        <w:contextualSpacing/>
        <w:jc w:val="both"/>
        <w:rPr>
          <w:rFonts w:ascii="宋体" w:hAnsi="宋体"/>
          <w:sz w:val="21"/>
          <w:szCs w:val="21"/>
        </w:rPr>
      </w:pPr>
      <w:r>
        <w:rPr>
          <w:rFonts w:hint="eastAsia" w:ascii="宋体" w:hAnsi="宋体"/>
          <w:sz w:val="21"/>
          <w:szCs w:val="21"/>
        </w:rPr>
        <w:t>A6.2.1 除非发生下列情况之一，评标委员会成员不得在评标中途更换：</w:t>
      </w:r>
    </w:p>
    <w:p w14:paraId="4AB5329B">
      <w:pPr>
        <w:spacing w:line="360" w:lineRule="auto"/>
        <w:ind w:firstLine="315" w:firstLineChars="150"/>
        <w:contextualSpacing/>
        <w:jc w:val="both"/>
        <w:rPr>
          <w:rFonts w:ascii="宋体" w:hAnsi="宋体"/>
          <w:sz w:val="21"/>
          <w:szCs w:val="21"/>
        </w:rPr>
      </w:pPr>
      <w:r>
        <w:rPr>
          <w:rFonts w:hint="eastAsia" w:ascii="宋体" w:hAnsi="宋体"/>
          <w:sz w:val="21"/>
          <w:szCs w:val="21"/>
        </w:rPr>
        <w:t>(1) 因不可抗拒的客观原因，不能到场或需在评标中途退出评标活动。</w:t>
      </w:r>
    </w:p>
    <w:p w14:paraId="2463480A">
      <w:pPr>
        <w:spacing w:line="360" w:lineRule="auto"/>
        <w:ind w:firstLine="315" w:firstLineChars="150"/>
        <w:contextualSpacing/>
        <w:jc w:val="both"/>
        <w:rPr>
          <w:rFonts w:ascii="宋体" w:hAnsi="宋体"/>
          <w:sz w:val="21"/>
          <w:szCs w:val="21"/>
        </w:rPr>
      </w:pPr>
      <w:r>
        <w:rPr>
          <w:rFonts w:hint="eastAsia" w:ascii="宋体" w:hAnsi="宋体"/>
          <w:sz w:val="21"/>
          <w:szCs w:val="21"/>
        </w:rPr>
        <w:t>(2) 根据法律法规规定，某个或某几个评标委员会成员需要回避。</w:t>
      </w:r>
    </w:p>
    <w:p w14:paraId="0FCF7869">
      <w:pPr>
        <w:spacing w:line="360" w:lineRule="auto"/>
        <w:ind w:firstLine="315" w:firstLineChars="150"/>
        <w:contextualSpacing/>
        <w:jc w:val="both"/>
        <w:rPr>
          <w:rFonts w:ascii="宋体" w:hAnsi="宋体"/>
          <w:sz w:val="21"/>
          <w:szCs w:val="21"/>
        </w:rPr>
      </w:pPr>
      <w:r>
        <w:rPr>
          <w:rFonts w:hint="eastAsia" w:ascii="宋体" w:hAnsi="宋体"/>
          <w:sz w:val="21"/>
          <w:szCs w:val="21"/>
        </w:rPr>
        <w:t>A6.2.2退出评标的评标委员会成员，其已完成的评标行为无效。由招标人根据本招标文件规定的评标委员会成员产生方式另行确定替代者进行评标。</w:t>
      </w:r>
    </w:p>
    <w:p w14:paraId="254B0047">
      <w:pPr>
        <w:spacing w:line="360" w:lineRule="auto"/>
        <w:ind w:firstLine="315" w:firstLineChars="150"/>
        <w:contextualSpacing/>
        <w:jc w:val="both"/>
        <w:rPr>
          <w:rFonts w:ascii="宋体" w:hAnsi="宋体"/>
          <w:sz w:val="21"/>
          <w:szCs w:val="21"/>
        </w:rPr>
      </w:pPr>
      <w:r>
        <w:rPr>
          <w:rFonts w:hint="eastAsia" w:ascii="宋体" w:hAnsi="宋体"/>
          <w:bCs/>
          <w:sz w:val="21"/>
          <w:szCs w:val="21"/>
        </w:rPr>
        <w:t>A6.3记名投票</w:t>
      </w:r>
    </w:p>
    <w:p w14:paraId="49567D1B">
      <w:pPr>
        <w:spacing w:line="360" w:lineRule="auto"/>
        <w:ind w:firstLine="315" w:firstLineChars="150"/>
        <w:contextualSpacing/>
        <w:jc w:val="both"/>
        <w:rPr>
          <w:rFonts w:ascii="宋体" w:hAnsi="宋体"/>
          <w:sz w:val="21"/>
          <w:szCs w:val="21"/>
        </w:rPr>
      </w:pPr>
      <w:r>
        <w:rPr>
          <w:rFonts w:hint="eastAsia" w:ascii="宋体" w:hAnsi="宋体"/>
          <w:sz w:val="21"/>
          <w:szCs w:val="21"/>
        </w:rPr>
        <w:t>在任何评标环节中，需评标委员会就某项定性的评审结论做出表决的，由评标委员会全体成员按照少数服从多数的原则，以记名投票方式表决。</w:t>
      </w:r>
    </w:p>
    <w:p w14:paraId="160A626E">
      <w:pPr>
        <w:spacing w:line="360" w:lineRule="auto"/>
        <w:ind w:firstLine="316" w:firstLineChars="150"/>
        <w:contextualSpacing/>
        <w:rPr>
          <w:rFonts w:ascii="宋体" w:hAnsi="宋体"/>
          <w:sz w:val="21"/>
          <w:szCs w:val="21"/>
        </w:rPr>
      </w:pPr>
      <w:r>
        <w:rPr>
          <w:rFonts w:hint="eastAsia" w:ascii="宋体" w:hAnsi="宋体"/>
          <w:b/>
          <w:bCs/>
          <w:sz w:val="21"/>
          <w:szCs w:val="21"/>
        </w:rPr>
        <w:t>A7.补充条款</w:t>
      </w:r>
    </w:p>
    <w:p w14:paraId="276EE5D6">
      <w:pPr>
        <w:spacing w:line="360" w:lineRule="auto"/>
        <w:ind w:firstLine="315" w:firstLineChars="150"/>
        <w:contextualSpacing/>
        <w:jc w:val="both"/>
        <w:rPr>
          <w:rFonts w:ascii="宋体" w:hAnsi="宋体"/>
          <w:sz w:val="21"/>
          <w:szCs w:val="21"/>
        </w:rPr>
      </w:pPr>
      <w:r>
        <w:rPr>
          <w:rFonts w:hint="eastAsia" w:ascii="宋体" w:hAnsi="宋体"/>
          <w:sz w:val="21"/>
          <w:szCs w:val="21"/>
        </w:rPr>
        <w:t>评标中若遇特殊问题，由评标委员会根据有关法律、法规、规定研究决定。</w:t>
      </w:r>
    </w:p>
    <w:p w14:paraId="64740E58">
      <w:pPr>
        <w:rPr>
          <w:rFonts w:ascii="宋体" w:hAnsi="宋体"/>
          <w:sz w:val="21"/>
          <w:szCs w:val="21"/>
        </w:rPr>
      </w:pPr>
      <w:r>
        <w:rPr>
          <w:rFonts w:ascii="宋体" w:hAnsi="宋体" w:cs="宋体"/>
          <w:b/>
          <w:sz w:val="21"/>
          <w:szCs w:val="21"/>
        </w:rPr>
        <w:br w:type="page"/>
      </w:r>
      <w:r>
        <w:rPr>
          <w:rFonts w:hint="eastAsia" w:ascii="宋体" w:hAnsi="宋体" w:cs="宋体"/>
          <w:b/>
          <w:sz w:val="21"/>
          <w:szCs w:val="21"/>
        </w:rPr>
        <w:t>附件B：否决投标条件</w:t>
      </w:r>
    </w:p>
    <w:p w14:paraId="53572A5F">
      <w:pPr>
        <w:spacing w:line="360" w:lineRule="auto"/>
        <w:contextualSpacing/>
        <w:rPr>
          <w:rFonts w:ascii="宋体" w:hAnsi="宋体"/>
          <w:sz w:val="21"/>
          <w:szCs w:val="21"/>
        </w:rPr>
      </w:pPr>
      <w:r>
        <w:rPr>
          <w:rFonts w:ascii="宋体" w:hAnsi="宋体"/>
          <w:b/>
          <w:bCs/>
          <w:sz w:val="21"/>
          <w:szCs w:val="21"/>
        </w:rPr>
        <w:t>B0</w:t>
      </w:r>
      <w:r>
        <w:rPr>
          <w:rFonts w:hint="eastAsia" w:ascii="宋体" w:hAnsi="宋体"/>
          <w:b/>
          <w:bCs/>
          <w:sz w:val="21"/>
          <w:szCs w:val="21"/>
        </w:rPr>
        <w:t>.总则</w:t>
      </w:r>
    </w:p>
    <w:p w14:paraId="520167A3">
      <w:pPr>
        <w:spacing w:line="360" w:lineRule="auto"/>
        <w:contextualSpacing/>
        <w:jc w:val="both"/>
        <w:rPr>
          <w:rFonts w:ascii="宋体" w:hAnsi="宋体"/>
          <w:sz w:val="21"/>
          <w:szCs w:val="21"/>
        </w:rPr>
      </w:pPr>
      <w:r>
        <w:rPr>
          <w:rFonts w:hint="eastAsia" w:ascii="宋体" w:hAnsi="宋体"/>
          <w:sz w:val="21"/>
          <w:szCs w:val="21"/>
        </w:rPr>
        <w:t>否决投标的全部条件应为本章前附表中2.1.1、2.1.2、2.1.3所包含全部内容，本附件所集中列示的否决投标条件，是前附表对2.1.3“响应性评审”的补充。</w:t>
      </w:r>
    </w:p>
    <w:p w14:paraId="1AF1ABFD">
      <w:pPr>
        <w:spacing w:line="360" w:lineRule="auto"/>
        <w:contextualSpacing/>
        <w:rPr>
          <w:rFonts w:ascii="宋体" w:hAnsi="宋体"/>
          <w:sz w:val="21"/>
          <w:szCs w:val="21"/>
        </w:rPr>
      </w:pPr>
      <w:r>
        <w:rPr>
          <w:rFonts w:ascii="宋体" w:hAnsi="宋体"/>
          <w:b/>
          <w:bCs/>
          <w:sz w:val="21"/>
          <w:szCs w:val="21"/>
        </w:rPr>
        <w:t>B</w:t>
      </w:r>
      <w:r>
        <w:rPr>
          <w:rFonts w:hint="eastAsia" w:ascii="宋体" w:hAnsi="宋体"/>
          <w:b/>
          <w:bCs/>
          <w:sz w:val="21"/>
          <w:szCs w:val="21"/>
        </w:rPr>
        <w:t>1</w:t>
      </w:r>
      <w:r>
        <w:rPr>
          <w:rFonts w:ascii="宋体" w:hAnsi="宋体"/>
          <w:b/>
          <w:bCs/>
          <w:sz w:val="21"/>
          <w:szCs w:val="21"/>
        </w:rPr>
        <w:t>．否决投标条件</w:t>
      </w:r>
    </w:p>
    <w:p w14:paraId="445FBF3C">
      <w:pPr>
        <w:spacing w:line="360" w:lineRule="auto"/>
        <w:contextualSpacing/>
        <w:rPr>
          <w:rFonts w:ascii="宋体" w:hAnsi="宋体"/>
          <w:sz w:val="21"/>
          <w:szCs w:val="21"/>
        </w:rPr>
      </w:pPr>
      <w:r>
        <w:rPr>
          <w:rFonts w:hint="eastAsia" w:ascii="宋体" w:hAnsi="宋体"/>
          <w:sz w:val="21"/>
          <w:szCs w:val="21"/>
        </w:rPr>
        <w:t>投标人或投标文件有下列情形之一的,其投标作否决投标处理：</w:t>
      </w:r>
    </w:p>
    <w:p w14:paraId="28382EB9">
      <w:pPr>
        <w:spacing w:line="360" w:lineRule="auto"/>
        <w:contextualSpacing/>
        <w:jc w:val="both"/>
        <w:rPr>
          <w:rFonts w:ascii="宋体" w:hAnsi="宋体"/>
          <w:sz w:val="21"/>
          <w:szCs w:val="21"/>
        </w:rPr>
      </w:pPr>
      <w:r>
        <w:rPr>
          <w:rFonts w:hint="eastAsia" w:ascii="宋体" w:hAnsi="宋体"/>
          <w:sz w:val="21"/>
          <w:szCs w:val="21"/>
        </w:rPr>
        <w:t>B1.1 有串通投标或弄虚作假或有其他违法行为的；</w:t>
      </w:r>
    </w:p>
    <w:p w14:paraId="0E654574">
      <w:pPr>
        <w:spacing w:line="360" w:lineRule="auto"/>
        <w:contextualSpacing/>
        <w:jc w:val="both"/>
        <w:rPr>
          <w:rFonts w:ascii="宋体" w:hAnsi="宋体"/>
          <w:sz w:val="21"/>
          <w:szCs w:val="21"/>
        </w:rPr>
      </w:pPr>
      <w:r>
        <w:rPr>
          <w:rFonts w:hint="eastAsia" w:ascii="宋体" w:hAnsi="宋体"/>
          <w:sz w:val="21"/>
          <w:szCs w:val="21"/>
        </w:rPr>
        <w:t>B1.2 不按评标委员会要求澄清、说明或补正的，或未经同意主动提交澄清、说明或补正材料的；</w:t>
      </w:r>
    </w:p>
    <w:p w14:paraId="5E26293D">
      <w:pPr>
        <w:spacing w:line="360" w:lineRule="auto"/>
        <w:contextualSpacing/>
        <w:jc w:val="both"/>
        <w:rPr>
          <w:rFonts w:ascii="宋体" w:hAnsi="宋体"/>
          <w:sz w:val="21"/>
          <w:szCs w:val="21"/>
        </w:rPr>
      </w:pPr>
      <w:r>
        <w:rPr>
          <w:rFonts w:hint="eastAsia" w:ascii="宋体" w:hAnsi="宋体"/>
          <w:sz w:val="21"/>
          <w:szCs w:val="21"/>
        </w:rPr>
        <w:t>B1.3 在形式评审、资格审查、响应性评审中，评标委员会认定投标人的投标不符合评标办法前附表中规定的任何一项评审标准的；</w:t>
      </w:r>
    </w:p>
    <w:p w14:paraId="7908E88A">
      <w:pPr>
        <w:spacing w:line="360" w:lineRule="auto"/>
        <w:contextualSpacing/>
        <w:jc w:val="both"/>
        <w:rPr>
          <w:rFonts w:ascii="宋体" w:hAnsi="宋体"/>
          <w:sz w:val="21"/>
          <w:szCs w:val="21"/>
        </w:rPr>
      </w:pPr>
      <w:r>
        <w:rPr>
          <w:rFonts w:hint="eastAsia" w:ascii="宋体" w:hAnsi="宋体"/>
          <w:sz w:val="21"/>
          <w:szCs w:val="21"/>
        </w:rPr>
        <w:t>B1.4评标委员会认定投标人以低于成本报价投标的；</w:t>
      </w:r>
    </w:p>
    <w:p w14:paraId="65CDFF1A">
      <w:pPr>
        <w:spacing w:line="360" w:lineRule="auto"/>
        <w:contextualSpacing/>
        <w:jc w:val="both"/>
        <w:rPr>
          <w:rFonts w:ascii="宋体" w:hAnsi="宋体"/>
          <w:sz w:val="21"/>
          <w:szCs w:val="21"/>
        </w:rPr>
      </w:pPr>
      <w:r>
        <w:rPr>
          <w:rFonts w:hint="eastAsia" w:ascii="宋体" w:hAnsi="宋体"/>
          <w:sz w:val="21"/>
          <w:szCs w:val="21"/>
        </w:rPr>
        <w:t xml:space="preserve">B1.5投标文件未按招标文件的要求加盖单位章或法定代表人或授权代理人未按要求签字的； </w:t>
      </w:r>
    </w:p>
    <w:p w14:paraId="2AC063C9">
      <w:pPr>
        <w:spacing w:line="360" w:lineRule="auto"/>
        <w:contextualSpacing/>
        <w:jc w:val="both"/>
        <w:rPr>
          <w:rFonts w:ascii="宋体" w:hAnsi="宋体"/>
          <w:sz w:val="21"/>
          <w:szCs w:val="21"/>
        </w:rPr>
      </w:pPr>
      <w:r>
        <w:rPr>
          <w:rFonts w:hint="eastAsia" w:ascii="宋体" w:hAnsi="宋体"/>
          <w:sz w:val="21"/>
          <w:szCs w:val="21"/>
        </w:rPr>
        <w:t xml:space="preserve">B1.6投标文件未按招标文件规定的格式填写，内容不全或关键字迹模糊、无法辨认的； </w:t>
      </w:r>
    </w:p>
    <w:p w14:paraId="31C0D99B">
      <w:pPr>
        <w:spacing w:line="360" w:lineRule="auto"/>
        <w:contextualSpacing/>
        <w:jc w:val="both"/>
        <w:rPr>
          <w:rFonts w:ascii="宋体" w:hAnsi="宋体"/>
          <w:sz w:val="21"/>
          <w:szCs w:val="21"/>
        </w:rPr>
      </w:pPr>
      <w:r>
        <w:rPr>
          <w:rFonts w:hint="eastAsia" w:ascii="宋体" w:hAnsi="宋体"/>
          <w:sz w:val="21"/>
          <w:szCs w:val="21"/>
        </w:rPr>
        <w:t>B1.7投标人递交两份或多份内容不同的投标文件，或在一份投标文件中对同一招标项目报有两个或多个报价，且未声明哪一个有效，按招标文件规定提交备选投标方案的除外；</w:t>
      </w:r>
    </w:p>
    <w:p w14:paraId="4E68E301">
      <w:pPr>
        <w:spacing w:line="360" w:lineRule="auto"/>
        <w:contextualSpacing/>
        <w:jc w:val="both"/>
        <w:rPr>
          <w:rFonts w:ascii="宋体" w:hAnsi="宋体"/>
          <w:sz w:val="21"/>
          <w:szCs w:val="21"/>
        </w:rPr>
      </w:pPr>
      <w:r>
        <w:rPr>
          <w:rFonts w:hint="eastAsia" w:ascii="宋体" w:hAnsi="宋体"/>
          <w:sz w:val="21"/>
          <w:szCs w:val="21"/>
        </w:rPr>
        <w:t>B1.8未按招标文件要求提交投标保证金或提交的投标保证金有瑕疵的；</w:t>
      </w:r>
    </w:p>
    <w:p w14:paraId="28D97315">
      <w:pPr>
        <w:spacing w:line="360" w:lineRule="auto"/>
        <w:contextualSpacing/>
        <w:jc w:val="both"/>
        <w:rPr>
          <w:rFonts w:ascii="宋体" w:hAnsi="宋体"/>
          <w:b/>
          <w:sz w:val="21"/>
          <w:szCs w:val="21"/>
        </w:rPr>
      </w:pPr>
      <w:r>
        <w:rPr>
          <w:rFonts w:hint="eastAsia" w:ascii="宋体" w:hAnsi="宋体"/>
          <w:b/>
          <w:sz w:val="21"/>
          <w:szCs w:val="21"/>
        </w:rPr>
        <w:t>B1.9投标报价超过最高投标限价（含税）的；</w:t>
      </w:r>
    </w:p>
    <w:p w14:paraId="3920BEAD">
      <w:pPr>
        <w:spacing w:line="360" w:lineRule="auto"/>
        <w:contextualSpacing/>
        <w:jc w:val="both"/>
        <w:rPr>
          <w:rFonts w:ascii="宋体" w:hAnsi="宋体"/>
          <w:sz w:val="21"/>
          <w:szCs w:val="21"/>
        </w:rPr>
      </w:pPr>
      <w:r>
        <w:rPr>
          <w:rFonts w:hint="eastAsia" w:ascii="宋体" w:hAnsi="宋体"/>
          <w:sz w:val="21"/>
          <w:szCs w:val="21"/>
        </w:rPr>
        <w:t>B1.</w:t>
      </w:r>
      <w:r>
        <w:rPr>
          <w:rFonts w:ascii="宋体" w:hAnsi="宋体"/>
          <w:sz w:val="21"/>
          <w:szCs w:val="21"/>
        </w:rPr>
        <w:t>10</w:t>
      </w:r>
      <w:r>
        <w:rPr>
          <w:rFonts w:hint="eastAsia" w:ascii="宋体" w:hAnsi="宋体"/>
          <w:sz w:val="21"/>
          <w:szCs w:val="21"/>
        </w:rPr>
        <w:t>不符合招标文件其它实质性要求的；</w:t>
      </w:r>
    </w:p>
    <w:p w14:paraId="383FC8B7">
      <w:pPr>
        <w:spacing w:line="360" w:lineRule="auto"/>
        <w:contextualSpacing/>
        <w:jc w:val="both"/>
        <w:rPr>
          <w:rFonts w:ascii="宋体" w:hAnsi="宋体"/>
          <w:sz w:val="21"/>
          <w:szCs w:val="21"/>
        </w:rPr>
      </w:pPr>
      <w:r>
        <w:rPr>
          <w:rFonts w:hint="eastAsia" w:ascii="宋体" w:hAnsi="宋体"/>
          <w:sz w:val="21"/>
          <w:szCs w:val="21"/>
        </w:rPr>
        <w:t>B</w:t>
      </w:r>
      <w:r>
        <w:rPr>
          <w:rFonts w:ascii="宋体" w:hAnsi="宋体"/>
          <w:sz w:val="21"/>
          <w:szCs w:val="21"/>
        </w:rPr>
        <w:t>1.11</w:t>
      </w:r>
      <w:r>
        <w:rPr>
          <w:rFonts w:hint="eastAsia" w:ascii="宋体" w:hAnsi="宋体"/>
          <w:sz w:val="21"/>
          <w:szCs w:val="21"/>
        </w:rPr>
        <w:t>附</w:t>
      </w:r>
      <w:r>
        <w:rPr>
          <w:rFonts w:ascii="宋体" w:hAnsi="宋体"/>
          <w:sz w:val="21"/>
          <w:szCs w:val="21"/>
        </w:rPr>
        <w:t>有招标人不能接受的</w:t>
      </w:r>
      <w:r>
        <w:rPr>
          <w:rFonts w:hint="eastAsia" w:ascii="宋体" w:hAnsi="宋体"/>
          <w:sz w:val="21"/>
          <w:szCs w:val="21"/>
        </w:rPr>
        <w:t>条款</w:t>
      </w:r>
      <w:r>
        <w:rPr>
          <w:rFonts w:ascii="宋体" w:hAnsi="宋体"/>
          <w:sz w:val="21"/>
          <w:szCs w:val="21"/>
        </w:rPr>
        <w:t>的；</w:t>
      </w:r>
    </w:p>
    <w:p w14:paraId="0203F478">
      <w:pPr>
        <w:spacing w:line="360" w:lineRule="auto"/>
        <w:contextualSpacing/>
        <w:jc w:val="both"/>
        <w:rPr>
          <w:rFonts w:ascii="宋体" w:hAnsi="宋体"/>
          <w:sz w:val="21"/>
          <w:szCs w:val="21"/>
        </w:rPr>
      </w:pPr>
      <w:r>
        <w:rPr>
          <w:rFonts w:hint="eastAsia" w:ascii="宋体" w:hAnsi="宋体"/>
          <w:sz w:val="21"/>
          <w:szCs w:val="21"/>
        </w:rPr>
        <w:t>B1.1</w:t>
      </w:r>
      <w:r>
        <w:rPr>
          <w:rFonts w:ascii="宋体" w:hAnsi="宋体"/>
          <w:sz w:val="21"/>
          <w:szCs w:val="21"/>
        </w:rPr>
        <w:t>2经评标委员会集体表决后认定</w:t>
      </w:r>
      <w:r>
        <w:rPr>
          <w:rFonts w:hint="eastAsia" w:ascii="宋体" w:hAnsi="宋体"/>
          <w:sz w:val="21"/>
          <w:szCs w:val="21"/>
        </w:rPr>
        <w:t>的</w:t>
      </w:r>
      <w:r>
        <w:rPr>
          <w:rFonts w:ascii="宋体" w:hAnsi="宋体"/>
          <w:sz w:val="21"/>
          <w:szCs w:val="21"/>
        </w:rPr>
        <w:t>围标、</w:t>
      </w:r>
      <w:r>
        <w:rPr>
          <w:rFonts w:hint="eastAsia" w:ascii="宋体" w:hAnsi="宋体"/>
          <w:sz w:val="21"/>
          <w:szCs w:val="21"/>
        </w:rPr>
        <w:t>串通投标情形：</w:t>
      </w:r>
    </w:p>
    <w:p w14:paraId="6CC646DB">
      <w:pPr>
        <w:spacing w:line="360" w:lineRule="auto"/>
        <w:ind w:firstLine="420" w:firstLineChars="200"/>
        <w:rPr>
          <w:rFonts w:ascii="宋体" w:hAnsi="宋体"/>
          <w:sz w:val="21"/>
          <w:szCs w:val="21"/>
        </w:rPr>
      </w:pPr>
      <w:r>
        <w:rPr>
          <w:rFonts w:ascii="宋体" w:hAnsi="宋体"/>
          <w:sz w:val="21"/>
          <w:szCs w:val="21"/>
        </w:rPr>
        <w:t>a、不同投标人的投标文件内容存在非正常一致的；</w:t>
      </w:r>
    </w:p>
    <w:p w14:paraId="0D99204C">
      <w:pPr>
        <w:spacing w:line="360" w:lineRule="auto"/>
        <w:ind w:firstLine="420" w:firstLineChars="200"/>
        <w:rPr>
          <w:rFonts w:ascii="宋体" w:hAnsi="宋体"/>
          <w:sz w:val="21"/>
          <w:szCs w:val="21"/>
        </w:rPr>
      </w:pPr>
      <w:r>
        <w:rPr>
          <w:rFonts w:ascii="宋体" w:hAnsi="宋体"/>
          <w:sz w:val="21"/>
          <w:szCs w:val="21"/>
        </w:rPr>
        <w:t>b、不同投标人的投标文件两处以上错漏一致的；</w:t>
      </w:r>
    </w:p>
    <w:p w14:paraId="4678BAD5">
      <w:pPr>
        <w:spacing w:line="360" w:lineRule="auto"/>
        <w:ind w:firstLine="420" w:firstLineChars="200"/>
        <w:rPr>
          <w:rFonts w:ascii="宋体" w:hAnsi="宋体"/>
          <w:sz w:val="21"/>
          <w:szCs w:val="21"/>
        </w:rPr>
      </w:pPr>
      <w:r>
        <w:rPr>
          <w:rFonts w:ascii="宋体" w:hAnsi="宋体"/>
          <w:sz w:val="21"/>
          <w:szCs w:val="21"/>
        </w:rPr>
        <w:t>c、不同投标人的投标文件由同一企业或者同一人编制的；</w:t>
      </w:r>
    </w:p>
    <w:p w14:paraId="20A45233">
      <w:pPr>
        <w:spacing w:line="360" w:lineRule="auto"/>
        <w:ind w:firstLine="420" w:firstLineChars="200"/>
        <w:rPr>
          <w:rFonts w:ascii="宋体" w:hAnsi="宋体"/>
          <w:sz w:val="21"/>
          <w:szCs w:val="21"/>
        </w:rPr>
      </w:pPr>
      <w:r>
        <w:rPr>
          <w:rFonts w:ascii="宋体" w:hAnsi="宋体"/>
          <w:sz w:val="21"/>
          <w:szCs w:val="21"/>
        </w:rPr>
        <w:t>d、不同投标人的投标文件载明的项目管理班子成员出现同一个人的；</w:t>
      </w:r>
    </w:p>
    <w:p w14:paraId="5AF239AE">
      <w:pPr>
        <w:spacing w:line="360" w:lineRule="auto"/>
        <w:ind w:firstLine="420" w:firstLineChars="200"/>
        <w:rPr>
          <w:rFonts w:ascii="宋体" w:hAnsi="宋体"/>
          <w:sz w:val="21"/>
          <w:szCs w:val="21"/>
        </w:rPr>
      </w:pPr>
      <w:r>
        <w:rPr>
          <w:rFonts w:ascii="宋体" w:hAnsi="宋体"/>
          <w:sz w:val="21"/>
          <w:szCs w:val="21"/>
        </w:rPr>
        <w:t>e、不同的投标人的投标文件相互混装的；</w:t>
      </w:r>
    </w:p>
    <w:p w14:paraId="199BA92C">
      <w:pPr>
        <w:spacing w:line="360" w:lineRule="auto"/>
        <w:ind w:firstLine="420" w:firstLineChars="200"/>
        <w:rPr>
          <w:rFonts w:ascii="宋体" w:hAnsi="宋体"/>
          <w:sz w:val="21"/>
          <w:szCs w:val="21"/>
        </w:rPr>
      </w:pPr>
      <w:r>
        <w:rPr>
          <w:rFonts w:ascii="宋体" w:hAnsi="宋体"/>
          <w:sz w:val="21"/>
          <w:szCs w:val="21"/>
        </w:rPr>
        <w:t>f、不同的投标人的投标文件由同一台电脑编制或者同一台附属软件打印的；</w:t>
      </w:r>
    </w:p>
    <w:p w14:paraId="03B5B21D">
      <w:pPr>
        <w:spacing w:line="360" w:lineRule="auto"/>
        <w:ind w:firstLine="420" w:firstLineChars="200"/>
        <w:rPr>
          <w:rFonts w:ascii="宋体" w:hAnsi="宋体"/>
          <w:sz w:val="21"/>
          <w:szCs w:val="21"/>
        </w:rPr>
      </w:pPr>
      <w:r>
        <w:rPr>
          <w:rFonts w:ascii="宋体" w:hAnsi="宋体"/>
          <w:sz w:val="21"/>
          <w:szCs w:val="21"/>
        </w:rPr>
        <w:t>g、不同的投标人委托同一人投标的；</w:t>
      </w:r>
    </w:p>
    <w:p w14:paraId="6C7EADB1">
      <w:pPr>
        <w:spacing w:line="360" w:lineRule="auto"/>
        <w:ind w:firstLine="420" w:firstLineChars="200"/>
        <w:rPr>
          <w:rFonts w:ascii="宋体" w:hAnsi="宋体"/>
          <w:sz w:val="21"/>
          <w:szCs w:val="21"/>
        </w:rPr>
      </w:pPr>
      <w:r>
        <w:rPr>
          <w:rFonts w:ascii="宋体" w:hAnsi="宋体"/>
          <w:sz w:val="21"/>
          <w:szCs w:val="21"/>
        </w:rPr>
        <w:t>h、不同的投标人使用同一个人或者同一个企业资金交纳投标保证金；</w:t>
      </w:r>
    </w:p>
    <w:p w14:paraId="52DA511E">
      <w:pPr>
        <w:spacing w:line="360" w:lineRule="auto"/>
        <w:ind w:firstLine="420" w:firstLineChars="200"/>
        <w:rPr>
          <w:rFonts w:ascii="宋体" w:hAnsi="宋体"/>
          <w:sz w:val="21"/>
          <w:szCs w:val="21"/>
        </w:rPr>
      </w:pPr>
      <w:r>
        <w:rPr>
          <w:rFonts w:ascii="宋体" w:hAnsi="宋体"/>
          <w:sz w:val="21"/>
          <w:szCs w:val="21"/>
        </w:rPr>
        <w:t>i、不同的投标人委托同一个人或者注册在同一家企业的人员为其提供投标咨询、技术咨询（招标项目本身要求采用专有技术的除外）等服务；</w:t>
      </w:r>
    </w:p>
    <w:p w14:paraId="1C66C271">
      <w:pPr>
        <w:spacing w:line="360" w:lineRule="auto"/>
        <w:ind w:firstLine="420" w:firstLineChars="200"/>
        <w:rPr>
          <w:rFonts w:ascii="宋体" w:hAnsi="宋体"/>
          <w:sz w:val="21"/>
          <w:szCs w:val="21"/>
        </w:rPr>
      </w:pPr>
      <w:r>
        <w:rPr>
          <w:rFonts w:ascii="宋体" w:hAnsi="宋体"/>
          <w:sz w:val="21"/>
          <w:szCs w:val="21"/>
        </w:rPr>
        <w:t>j、评标委员会认定的其他串通投标情形。</w:t>
      </w:r>
    </w:p>
    <w:p w14:paraId="2D3E3B06">
      <w:pPr>
        <w:spacing w:line="360" w:lineRule="auto"/>
        <w:contextualSpacing/>
        <w:jc w:val="both"/>
        <w:rPr>
          <w:rFonts w:ascii="宋体" w:hAnsi="宋体"/>
          <w:sz w:val="21"/>
          <w:szCs w:val="21"/>
        </w:rPr>
      </w:pPr>
    </w:p>
    <w:p w14:paraId="476B2414">
      <w:pPr>
        <w:spacing w:line="360" w:lineRule="auto"/>
        <w:contextualSpacing/>
        <w:jc w:val="both"/>
        <w:rPr>
          <w:rFonts w:ascii="宋体" w:hAnsi="宋体"/>
          <w:sz w:val="21"/>
          <w:szCs w:val="21"/>
        </w:rPr>
      </w:pPr>
      <w:r>
        <w:rPr>
          <w:rFonts w:hint="eastAsia" w:ascii="宋体" w:hAnsi="宋体"/>
          <w:sz w:val="21"/>
          <w:szCs w:val="21"/>
        </w:rPr>
        <w:t>B1.1</w:t>
      </w:r>
      <w:r>
        <w:rPr>
          <w:rFonts w:ascii="宋体" w:hAnsi="宋体"/>
          <w:sz w:val="21"/>
          <w:szCs w:val="21"/>
        </w:rPr>
        <w:t>3</w:t>
      </w:r>
      <w:r>
        <w:rPr>
          <w:rFonts w:hint="eastAsia" w:ascii="宋体" w:hAnsi="宋体"/>
          <w:sz w:val="21"/>
          <w:szCs w:val="21"/>
        </w:rPr>
        <w:t>未提供符合要求的《廉洁诚信承诺书》或《廉洁诚信承诺书》未按规定格式进行签字盖章的；</w:t>
      </w:r>
    </w:p>
    <w:p w14:paraId="7453F75E">
      <w:pPr>
        <w:spacing w:line="360" w:lineRule="auto"/>
        <w:contextualSpacing/>
        <w:jc w:val="both"/>
        <w:rPr>
          <w:rFonts w:ascii="宋体" w:hAnsi="宋体"/>
          <w:sz w:val="21"/>
          <w:szCs w:val="21"/>
        </w:rPr>
      </w:pPr>
      <w:r>
        <w:rPr>
          <w:rFonts w:hint="eastAsia" w:ascii="宋体" w:hAnsi="宋体"/>
          <w:sz w:val="21"/>
          <w:szCs w:val="21"/>
        </w:rPr>
        <w:t>B1.</w:t>
      </w:r>
      <w:r>
        <w:rPr>
          <w:rFonts w:ascii="宋体" w:hAnsi="宋体"/>
          <w:sz w:val="21"/>
          <w:szCs w:val="21"/>
        </w:rPr>
        <w:t>14</w:t>
      </w:r>
      <w:r>
        <w:rPr>
          <w:rFonts w:hint="eastAsia" w:ascii="宋体" w:hAnsi="宋体"/>
          <w:sz w:val="21"/>
          <w:szCs w:val="21"/>
        </w:rPr>
        <w:t>未按采购文件要求签署并提交《与招标人/采购人干部职工不存在关联关系的承诺书》或做出虚假承诺的。</w:t>
      </w:r>
    </w:p>
    <w:bookmarkEnd w:id="108"/>
    <w:p w14:paraId="5445C4C3">
      <w:pPr>
        <w:spacing w:line="360" w:lineRule="auto"/>
        <w:rPr>
          <w:rFonts w:ascii="宋体" w:hAnsi="宋体"/>
          <w:sz w:val="21"/>
          <w:szCs w:val="21"/>
        </w:rPr>
      </w:pPr>
      <w:r>
        <w:rPr>
          <w:rFonts w:ascii="宋体" w:hAnsi="宋体"/>
          <w:sz w:val="21"/>
          <w:szCs w:val="21"/>
        </w:rPr>
        <w:t>B1.15</w:t>
      </w:r>
      <w:r>
        <w:rPr>
          <w:rFonts w:hint="eastAsia" w:ascii="宋体" w:hAnsi="宋体"/>
          <w:sz w:val="21"/>
          <w:szCs w:val="21"/>
        </w:rPr>
        <w:t>投标人不得采取任何方式干扰评标工作，一经发现，该投标人的投标文件作否决投标处理，并取消其参加本项目投标资格。</w:t>
      </w:r>
    </w:p>
    <w:p w14:paraId="139A512C">
      <w:pPr>
        <w:spacing w:line="360" w:lineRule="auto"/>
        <w:rPr>
          <w:rFonts w:ascii="宋体" w:hAnsi="宋体"/>
          <w:sz w:val="21"/>
          <w:szCs w:val="21"/>
        </w:rPr>
      </w:pPr>
      <w:r>
        <w:rPr>
          <w:rFonts w:ascii="宋体" w:hAnsi="宋体"/>
          <w:sz w:val="21"/>
          <w:szCs w:val="21"/>
        </w:rPr>
        <w:t>B1.1</w:t>
      </w:r>
      <w:r>
        <w:rPr>
          <w:rFonts w:hint="eastAsia" w:ascii="宋体" w:hAnsi="宋体"/>
          <w:sz w:val="21"/>
          <w:szCs w:val="21"/>
        </w:rPr>
        <w:t>6未按招标文件“注意事项”要求提供相关证件的；</w:t>
      </w:r>
    </w:p>
    <w:p w14:paraId="2228C0C8">
      <w:pPr>
        <w:spacing w:line="360" w:lineRule="auto"/>
        <w:rPr>
          <w:rFonts w:ascii="宋体" w:hAnsi="宋体"/>
          <w:sz w:val="21"/>
          <w:szCs w:val="21"/>
        </w:rPr>
      </w:pPr>
      <w:r>
        <w:rPr>
          <w:rFonts w:ascii="宋体" w:hAnsi="宋体"/>
          <w:sz w:val="21"/>
          <w:szCs w:val="21"/>
        </w:rPr>
        <w:t>B1.</w:t>
      </w:r>
      <w:r>
        <w:rPr>
          <w:rFonts w:hint="eastAsia" w:ascii="宋体" w:hAnsi="宋体"/>
          <w:sz w:val="21"/>
          <w:szCs w:val="21"/>
        </w:rPr>
        <w:t>17</w:t>
      </w:r>
      <w:r>
        <w:rPr>
          <w:rFonts w:ascii="宋体" w:hAnsi="宋体"/>
          <w:sz w:val="21"/>
          <w:szCs w:val="21"/>
        </w:rPr>
        <w:t>投标文件中载明的</w:t>
      </w:r>
      <w:r>
        <w:rPr>
          <w:rFonts w:hint="eastAsia" w:ascii="宋体" w:hAnsi="宋体"/>
          <w:sz w:val="21"/>
          <w:szCs w:val="21"/>
        </w:rPr>
        <w:t>工期或质保期不满足招标文件要求的；</w:t>
      </w:r>
    </w:p>
    <w:p w14:paraId="10786A30">
      <w:pPr>
        <w:spacing w:line="360" w:lineRule="auto"/>
        <w:rPr>
          <w:rFonts w:ascii="宋体" w:hAnsi="宋体"/>
          <w:sz w:val="21"/>
          <w:szCs w:val="21"/>
        </w:rPr>
      </w:pPr>
      <w:r>
        <w:rPr>
          <w:rFonts w:ascii="宋体" w:hAnsi="宋体"/>
          <w:sz w:val="21"/>
          <w:szCs w:val="21"/>
        </w:rPr>
        <w:t>B1.1</w:t>
      </w:r>
      <w:r>
        <w:rPr>
          <w:rFonts w:hint="eastAsia" w:ascii="宋体" w:hAnsi="宋体"/>
          <w:sz w:val="21"/>
          <w:szCs w:val="21"/>
        </w:rPr>
        <w:t>8</w:t>
      </w:r>
      <w:r>
        <w:rPr>
          <w:rFonts w:ascii="宋体" w:hAnsi="宋体"/>
          <w:sz w:val="21"/>
          <w:szCs w:val="21"/>
        </w:rPr>
        <w:t>以他人名义投标，或者以其他方式弄虚作假的；</w:t>
      </w:r>
    </w:p>
    <w:p w14:paraId="768E6962">
      <w:pPr>
        <w:spacing w:line="360" w:lineRule="auto"/>
        <w:rPr>
          <w:rFonts w:ascii="宋体" w:hAnsi="宋体"/>
          <w:sz w:val="21"/>
          <w:szCs w:val="21"/>
        </w:rPr>
      </w:pPr>
      <w:r>
        <w:rPr>
          <w:rFonts w:ascii="宋体" w:hAnsi="宋体"/>
          <w:sz w:val="21"/>
          <w:szCs w:val="21"/>
        </w:rPr>
        <w:t>B1.1</w:t>
      </w:r>
      <w:r>
        <w:rPr>
          <w:rFonts w:hint="eastAsia" w:ascii="宋体" w:hAnsi="宋体"/>
          <w:sz w:val="21"/>
          <w:szCs w:val="21"/>
        </w:rPr>
        <w:t>9</w:t>
      </w:r>
      <w:r>
        <w:rPr>
          <w:rFonts w:ascii="宋体" w:hAnsi="宋体"/>
          <w:sz w:val="21"/>
          <w:szCs w:val="21"/>
        </w:rPr>
        <w:t>投标文件中承诺的投标有效期短于招标文件规定的</w:t>
      </w:r>
      <w:r>
        <w:rPr>
          <w:rFonts w:hint="eastAsia" w:ascii="宋体" w:hAnsi="宋体"/>
          <w:sz w:val="21"/>
          <w:szCs w:val="21"/>
        </w:rPr>
        <w:t>。</w:t>
      </w:r>
    </w:p>
    <w:p w14:paraId="506DCC69">
      <w:pPr>
        <w:spacing w:line="360" w:lineRule="auto"/>
        <w:ind w:firstLine="420" w:firstLineChars="200"/>
        <w:rPr>
          <w:rFonts w:ascii="宋体" w:hAnsi="宋体"/>
          <w:sz w:val="21"/>
          <w:szCs w:val="21"/>
        </w:rPr>
      </w:pPr>
    </w:p>
    <w:p w14:paraId="1F47C312">
      <w:pPr>
        <w:rPr>
          <w:rFonts w:ascii="宋体" w:hAnsi="宋体"/>
          <w:b/>
          <w:bCs/>
          <w:kern w:val="44"/>
          <w:sz w:val="36"/>
          <w:szCs w:val="36"/>
        </w:rPr>
      </w:pPr>
      <w:r>
        <w:rPr>
          <w:rFonts w:ascii="宋体" w:hAnsi="宋体"/>
          <w:sz w:val="36"/>
          <w:szCs w:val="36"/>
        </w:rPr>
        <w:br w:type="page"/>
      </w:r>
    </w:p>
    <w:p w14:paraId="1F1344BC">
      <w:pPr>
        <w:pStyle w:val="4"/>
        <w:spacing w:line="240" w:lineRule="auto"/>
        <w:jc w:val="center"/>
        <w:rPr>
          <w:rFonts w:ascii="宋体" w:hAnsi="宋体"/>
          <w:sz w:val="36"/>
          <w:szCs w:val="36"/>
        </w:rPr>
      </w:pPr>
      <w:bookmarkStart w:id="114" w:name="_Toc21947"/>
      <w:r>
        <w:rPr>
          <w:rFonts w:hint="eastAsia" w:ascii="宋体" w:hAnsi="宋体"/>
          <w:sz w:val="36"/>
          <w:szCs w:val="36"/>
        </w:rPr>
        <w:t>第四章</w:t>
      </w:r>
      <w:bookmarkStart w:id="115" w:name="_Hlk99141435"/>
      <w:r>
        <w:rPr>
          <w:rFonts w:hint="eastAsia" w:ascii="宋体" w:hAnsi="宋体"/>
          <w:sz w:val="36"/>
          <w:szCs w:val="36"/>
        </w:rPr>
        <w:t xml:space="preserve"> 合同主要条款</w:t>
      </w:r>
      <w:bookmarkEnd w:id="114"/>
    </w:p>
    <w:p w14:paraId="4140A6CE">
      <w:pPr>
        <w:jc w:val="center"/>
        <w:rPr>
          <w:rFonts w:ascii="宋体" w:hAnsi="宋体" w:cs="宋体"/>
          <w:b/>
          <w:bCs/>
          <w:sz w:val="36"/>
          <w:szCs w:val="36"/>
        </w:rPr>
      </w:pPr>
      <w:bookmarkStart w:id="116" w:name="_Toc162450296"/>
      <w:bookmarkStart w:id="117" w:name="_Toc162443889"/>
      <w:r>
        <w:rPr>
          <w:rFonts w:hint="eastAsia" w:ascii="宋体" w:hAnsi="宋体"/>
          <w:sz w:val="24"/>
        </w:rPr>
        <w:t>(以下合同内容为拟签合同，具体合同内容以签订合同时甲乙双方商定为准)</w:t>
      </w:r>
      <w:bookmarkEnd w:id="115"/>
      <w:bookmarkEnd w:id="116"/>
      <w:bookmarkEnd w:id="117"/>
      <w:r>
        <w:rPr>
          <w:rFonts w:hint="eastAsia" w:ascii="宋体" w:hAnsi="宋体" w:cs="宋体"/>
          <w:b/>
          <w:bCs/>
          <w:sz w:val="36"/>
          <w:szCs w:val="36"/>
        </w:rPr>
        <w:t xml:space="preserve"> </w:t>
      </w:r>
    </w:p>
    <w:p w14:paraId="684C03C0">
      <w:pPr>
        <w:snapToGrid w:val="0"/>
        <w:spacing w:line="360" w:lineRule="auto"/>
        <w:jc w:val="center"/>
        <w:rPr>
          <w:rFonts w:ascii="宋体" w:hAnsi="宋体"/>
          <w:b/>
          <w:bCs/>
          <w:sz w:val="36"/>
          <w:szCs w:val="36"/>
        </w:rPr>
      </w:pPr>
      <w:bookmarkStart w:id="118" w:name="_Toc244227393"/>
      <w:bookmarkStart w:id="119" w:name="_Toc85016367"/>
      <w:bookmarkStart w:id="120" w:name="_Toc3209709"/>
      <w:bookmarkStart w:id="121" w:name="_Toc244224697"/>
      <w:bookmarkStart w:id="122" w:name="_Toc167350841"/>
      <w:bookmarkStart w:id="123" w:name="_Toc110926407"/>
      <w:bookmarkStart w:id="124" w:name="_Toc29229"/>
      <w:bookmarkStart w:id="125" w:name="_Hlk84590064"/>
      <w:bookmarkStart w:id="126" w:name="_Toc47254453"/>
      <w:bookmarkStart w:id="127" w:name="_Toc47248206"/>
      <w:bookmarkStart w:id="128" w:name="_Toc132185039"/>
      <w:bookmarkStart w:id="129" w:name="_Toc47248248"/>
      <w:bookmarkStart w:id="130" w:name="_Hlk166143724"/>
      <w:bookmarkStart w:id="131" w:name="_Toc47248350"/>
    </w:p>
    <w:p w14:paraId="4738D190">
      <w:pPr>
        <w:jc w:val="center"/>
        <w:rPr>
          <w:sz w:val="36"/>
          <w:szCs w:val="36"/>
        </w:rPr>
      </w:pPr>
      <w:r>
        <w:rPr>
          <w:rFonts w:hint="eastAsia"/>
          <w:sz w:val="36"/>
          <w:szCs w:val="36"/>
        </w:rPr>
        <w:t>红云红河烟草（集团）有限责任公司</w:t>
      </w:r>
    </w:p>
    <w:p w14:paraId="69CC61F8">
      <w:pPr>
        <w:jc w:val="center"/>
        <w:rPr>
          <w:sz w:val="36"/>
          <w:szCs w:val="36"/>
          <w:u w:val="single"/>
        </w:rPr>
      </w:pPr>
      <w:r>
        <w:rPr>
          <w:rFonts w:hint="eastAsia"/>
          <w:sz w:val="36"/>
          <w:szCs w:val="36"/>
        </w:rPr>
        <w:t>曲靖卷烟厂智能工厂建设（智能生产、数字能源）项目合同</w:t>
      </w:r>
    </w:p>
    <w:p w14:paraId="60D74D12">
      <w:pPr>
        <w:pStyle w:val="17"/>
        <w:ind w:firstLine="400"/>
        <w:rPr>
          <w:rFonts w:ascii="宋体" w:hAnsi="宋体"/>
        </w:rPr>
      </w:pPr>
    </w:p>
    <w:p w14:paraId="3EB48D8C">
      <w:pPr>
        <w:spacing w:after="0" w:line="360" w:lineRule="auto"/>
        <w:jc w:val="both"/>
        <w:rPr>
          <w:rFonts w:ascii="宋体" w:hAnsi="宋体"/>
          <w:sz w:val="21"/>
          <w:szCs w:val="21"/>
          <w:u w:val="single"/>
        </w:rPr>
      </w:pPr>
      <w:r>
        <w:rPr>
          <w:rFonts w:hint="eastAsia" w:ascii="宋体" w:hAnsi="宋体"/>
          <w:sz w:val="21"/>
          <w:szCs w:val="21"/>
        </w:rPr>
        <w:t>甲方：红云红河烟草（集团）有限责任公司</w:t>
      </w:r>
    </w:p>
    <w:p w14:paraId="2FA6FDD1">
      <w:pPr>
        <w:spacing w:after="0" w:line="360" w:lineRule="auto"/>
        <w:jc w:val="both"/>
        <w:rPr>
          <w:rFonts w:ascii="宋体" w:hAnsi="宋体"/>
          <w:sz w:val="21"/>
          <w:szCs w:val="21"/>
        </w:rPr>
      </w:pPr>
      <w:r>
        <w:rPr>
          <w:rFonts w:hint="eastAsia" w:ascii="宋体" w:hAnsi="宋体"/>
          <w:sz w:val="21"/>
          <w:szCs w:val="21"/>
        </w:rPr>
        <w:t>法定代表人：王桂铝</w:t>
      </w:r>
    </w:p>
    <w:p w14:paraId="3463F91E">
      <w:pPr>
        <w:spacing w:after="0" w:line="360" w:lineRule="auto"/>
        <w:jc w:val="both"/>
        <w:rPr>
          <w:rFonts w:ascii="宋体" w:hAnsi="宋体"/>
          <w:sz w:val="21"/>
          <w:szCs w:val="21"/>
        </w:rPr>
      </w:pPr>
      <w:r>
        <w:rPr>
          <w:rFonts w:hint="eastAsia" w:ascii="宋体" w:hAnsi="宋体"/>
          <w:sz w:val="21"/>
          <w:szCs w:val="21"/>
        </w:rPr>
        <w:t>地址：云南省昆明市五华区红锦路367号</w:t>
      </w:r>
    </w:p>
    <w:p w14:paraId="7A58C498">
      <w:pPr>
        <w:spacing w:after="0" w:line="360" w:lineRule="auto"/>
        <w:jc w:val="both"/>
        <w:rPr>
          <w:rFonts w:ascii="宋体" w:hAnsi="宋体"/>
          <w:sz w:val="21"/>
          <w:szCs w:val="21"/>
          <w:u w:val="single"/>
        </w:rPr>
      </w:pPr>
      <w:r>
        <w:rPr>
          <w:rFonts w:hint="eastAsia" w:ascii="宋体" w:hAnsi="宋体"/>
          <w:sz w:val="21"/>
          <w:szCs w:val="21"/>
        </w:rPr>
        <w:t>乙方：</w:t>
      </w:r>
    </w:p>
    <w:p w14:paraId="3A7AED1C">
      <w:pPr>
        <w:spacing w:after="0" w:line="360" w:lineRule="auto"/>
        <w:jc w:val="both"/>
        <w:rPr>
          <w:rFonts w:ascii="宋体" w:hAnsi="宋体"/>
          <w:sz w:val="21"/>
          <w:szCs w:val="21"/>
        </w:rPr>
      </w:pPr>
      <w:r>
        <w:rPr>
          <w:rFonts w:hint="eastAsia" w:ascii="宋体" w:hAnsi="宋体"/>
          <w:sz w:val="21"/>
          <w:szCs w:val="21"/>
        </w:rPr>
        <w:t>法定代表人：</w:t>
      </w:r>
    </w:p>
    <w:p w14:paraId="18E7289C">
      <w:pPr>
        <w:spacing w:after="0" w:line="360" w:lineRule="auto"/>
        <w:jc w:val="both"/>
        <w:rPr>
          <w:rFonts w:ascii="宋体" w:hAnsi="宋体"/>
          <w:sz w:val="21"/>
          <w:szCs w:val="21"/>
        </w:rPr>
      </w:pPr>
      <w:r>
        <w:rPr>
          <w:rFonts w:hint="eastAsia" w:ascii="宋体" w:hAnsi="宋体"/>
          <w:sz w:val="21"/>
          <w:szCs w:val="21"/>
        </w:rPr>
        <w:t>地址：</w:t>
      </w:r>
    </w:p>
    <w:p w14:paraId="770DAF8D">
      <w:pPr>
        <w:autoSpaceDE w:val="0"/>
        <w:autoSpaceDN w:val="0"/>
        <w:adjustRightInd w:val="0"/>
        <w:spacing w:before="120" w:beforeLines="50" w:after="120" w:afterLines="50" w:line="360" w:lineRule="auto"/>
        <w:ind w:firstLine="420" w:firstLineChars="200"/>
        <w:jc w:val="both"/>
        <w:rPr>
          <w:rFonts w:ascii="宋体" w:hAnsi="宋体"/>
          <w:sz w:val="21"/>
          <w:szCs w:val="21"/>
        </w:rPr>
      </w:pPr>
      <w:r>
        <w:rPr>
          <w:rFonts w:hint="eastAsia" w:ascii="宋体" w:hAnsi="宋体"/>
          <w:sz w:val="21"/>
          <w:szCs w:val="21"/>
        </w:rPr>
        <w:t>根据《中华人民共和国民法典》的规定，甲乙双方经协商达成一致，就甲方</w:t>
      </w:r>
      <w:r>
        <w:rPr>
          <w:rFonts w:ascii="宋体" w:hAnsi="宋体"/>
          <w:sz w:val="21"/>
          <w:szCs w:val="21"/>
        </w:rPr>
        <w:t>向乙方采购</w:t>
      </w:r>
      <w:r>
        <w:rPr>
          <w:rFonts w:hint="eastAsia" w:ascii="宋体" w:hAnsi="宋体"/>
          <w:sz w:val="21"/>
          <w:szCs w:val="21"/>
        </w:rPr>
        <w:t>_红云红河烟草（集团）有限责任公司曲靖卷烟厂智能工厂建设（智能生产、数字能源）项目</w:t>
      </w:r>
      <w:r>
        <w:rPr>
          <w:rFonts w:ascii="宋体" w:hAnsi="宋体"/>
          <w:sz w:val="21"/>
          <w:szCs w:val="21"/>
        </w:rPr>
        <w:t>，</w:t>
      </w:r>
      <w:r>
        <w:rPr>
          <w:rFonts w:hint="eastAsia" w:ascii="宋体" w:hAnsi="宋体"/>
          <w:sz w:val="21"/>
          <w:szCs w:val="21"/>
        </w:rPr>
        <w:t>订立本合同，以明确双方的权利、义务，确保合同双方共同执行。</w:t>
      </w:r>
    </w:p>
    <w:p w14:paraId="6314ADFB">
      <w:pPr>
        <w:keepNext/>
        <w:keepLines/>
        <w:spacing w:after="0" w:line="360" w:lineRule="auto"/>
        <w:jc w:val="both"/>
        <w:outlineLvl w:val="1"/>
        <w:rPr>
          <w:b/>
          <w:bCs/>
          <w:kern w:val="44"/>
          <w:sz w:val="21"/>
          <w:szCs w:val="21"/>
        </w:rPr>
      </w:pPr>
      <w:bookmarkStart w:id="132" w:name="_Toc10628"/>
      <w:r>
        <w:rPr>
          <w:rFonts w:hint="eastAsia"/>
          <w:b/>
          <w:bCs/>
          <w:kern w:val="44"/>
          <w:sz w:val="21"/>
          <w:szCs w:val="21"/>
        </w:rPr>
        <w:t>1 定义</w:t>
      </w:r>
      <w:bookmarkEnd w:id="132"/>
    </w:p>
    <w:p w14:paraId="2B635678">
      <w:pPr>
        <w:spacing w:after="0" w:line="360" w:lineRule="auto"/>
        <w:ind w:right="-90" w:rightChars="-45"/>
        <w:jc w:val="both"/>
        <w:rPr>
          <w:rFonts w:ascii="宋体" w:hAnsi="宋体"/>
          <w:sz w:val="21"/>
          <w:szCs w:val="21"/>
        </w:rPr>
      </w:pPr>
      <w:r>
        <w:rPr>
          <w:rFonts w:ascii="宋体" w:hAnsi="宋体"/>
          <w:sz w:val="21"/>
          <w:szCs w:val="21"/>
        </w:rPr>
        <w:t>除本合同上下文中另有规定外，下列各词语定义如下</w:t>
      </w:r>
      <w:r>
        <w:rPr>
          <w:rFonts w:hint="eastAsia" w:ascii="宋体" w:hAnsi="宋体"/>
          <w:sz w:val="21"/>
          <w:szCs w:val="21"/>
        </w:rPr>
        <w:t>：</w:t>
      </w:r>
    </w:p>
    <w:p w14:paraId="1CF8FCBB">
      <w:pPr>
        <w:spacing w:after="0" w:line="360" w:lineRule="auto"/>
        <w:jc w:val="both"/>
        <w:rPr>
          <w:rFonts w:ascii="宋体" w:hAnsi="宋体"/>
          <w:sz w:val="21"/>
          <w:szCs w:val="21"/>
        </w:rPr>
      </w:pPr>
      <w:r>
        <w:rPr>
          <w:rFonts w:ascii="宋体" w:hAnsi="宋体"/>
          <w:sz w:val="21"/>
          <w:szCs w:val="21"/>
        </w:rPr>
        <w:t>1.1 “</w:t>
      </w:r>
      <w:r>
        <w:rPr>
          <w:rFonts w:hint="eastAsia" w:ascii="宋体" w:hAnsi="宋体"/>
          <w:sz w:val="21"/>
          <w:szCs w:val="21"/>
        </w:rPr>
        <w:t>甲</w:t>
      </w:r>
      <w:r>
        <w:rPr>
          <w:rFonts w:ascii="宋体" w:hAnsi="宋体"/>
          <w:sz w:val="21"/>
          <w:szCs w:val="21"/>
        </w:rPr>
        <w:t>方”是指</w:t>
      </w:r>
      <w:r>
        <w:rPr>
          <w:rFonts w:hint="eastAsia" w:ascii="宋体" w:hAnsi="宋体"/>
          <w:sz w:val="21"/>
          <w:szCs w:val="21"/>
        </w:rPr>
        <w:t>红云红河烟草（集团）有限责任公司。</w:t>
      </w:r>
    </w:p>
    <w:p w14:paraId="1704622F">
      <w:pPr>
        <w:spacing w:after="0" w:line="360" w:lineRule="auto"/>
        <w:jc w:val="both"/>
        <w:rPr>
          <w:rFonts w:ascii="宋体" w:hAnsi="宋体"/>
          <w:sz w:val="21"/>
          <w:szCs w:val="21"/>
        </w:rPr>
      </w:pPr>
      <w:r>
        <w:rPr>
          <w:rFonts w:ascii="宋体" w:hAnsi="宋体"/>
          <w:sz w:val="21"/>
          <w:szCs w:val="21"/>
        </w:rPr>
        <w:t xml:space="preserve">1.2 </w:t>
      </w:r>
      <w:r>
        <w:rPr>
          <w:rFonts w:hint="eastAsia" w:ascii="宋体" w:hAnsi="宋体"/>
          <w:sz w:val="21"/>
          <w:szCs w:val="21"/>
        </w:rPr>
        <w:t>“乙</w:t>
      </w:r>
      <w:r>
        <w:rPr>
          <w:rFonts w:ascii="宋体" w:hAnsi="宋体"/>
          <w:sz w:val="21"/>
          <w:szCs w:val="21"/>
        </w:rPr>
        <w:t>方</w:t>
      </w:r>
      <w:r>
        <w:rPr>
          <w:rFonts w:hint="eastAsia" w:ascii="宋体" w:hAnsi="宋体"/>
          <w:sz w:val="21"/>
          <w:szCs w:val="21"/>
        </w:rPr>
        <w:t>”</w:t>
      </w:r>
      <w:r>
        <w:rPr>
          <w:rFonts w:ascii="宋体" w:hAnsi="宋体"/>
          <w:sz w:val="21"/>
          <w:szCs w:val="21"/>
        </w:rPr>
        <w:t>是指合同条款中明确的提供合同项下货物和服务的一方。</w:t>
      </w:r>
    </w:p>
    <w:p w14:paraId="1E376D28">
      <w:pPr>
        <w:spacing w:after="0" w:line="360" w:lineRule="auto"/>
        <w:jc w:val="both"/>
        <w:rPr>
          <w:rFonts w:ascii="宋体" w:hAnsi="宋体"/>
          <w:sz w:val="21"/>
          <w:szCs w:val="21"/>
        </w:rPr>
      </w:pPr>
      <w:r>
        <w:rPr>
          <w:rFonts w:hint="eastAsia" w:ascii="宋体" w:hAnsi="宋体"/>
          <w:sz w:val="21"/>
          <w:szCs w:val="21"/>
        </w:rPr>
        <w:t>1.3 “</w:t>
      </w:r>
      <w:r>
        <w:rPr>
          <w:rFonts w:ascii="宋体" w:hAnsi="宋体"/>
          <w:sz w:val="21"/>
          <w:szCs w:val="21"/>
        </w:rPr>
        <w:t>双方</w:t>
      </w:r>
      <w:r>
        <w:rPr>
          <w:rFonts w:hint="eastAsia" w:ascii="宋体" w:hAnsi="宋体"/>
          <w:sz w:val="21"/>
          <w:szCs w:val="21"/>
        </w:rPr>
        <w:t>”</w:t>
      </w:r>
      <w:r>
        <w:rPr>
          <w:rFonts w:ascii="宋体" w:hAnsi="宋体"/>
          <w:sz w:val="21"/>
          <w:szCs w:val="21"/>
        </w:rPr>
        <w:t>指</w:t>
      </w:r>
      <w:r>
        <w:rPr>
          <w:rFonts w:hint="eastAsia" w:ascii="宋体" w:hAnsi="宋体"/>
          <w:sz w:val="21"/>
          <w:szCs w:val="21"/>
        </w:rPr>
        <w:t>甲</w:t>
      </w:r>
      <w:r>
        <w:rPr>
          <w:rFonts w:ascii="宋体" w:hAnsi="宋体"/>
          <w:sz w:val="21"/>
          <w:szCs w:val="21"/>
        </w:rPr>
        <w:t>方与</w:t>
      </w:r>
      <w:r>
        <w:rPr>
          <w:rFonts w:hint="eastAsia" w:ascii="宋体" w:hAnsi="宋体"/>
          <w:sz w:val="21"/>
          <w:szCs w:val="21"/>
        </w:rPr>
        <w:t>乙</w:t>
      </w:r>
      <w:r>
        <w:rPr>
          <w:rFonts w:ascii="宋体" w:hAnsi="宋体"/>
          <w:sz w:val="21"/>
          <w:szCs w:val="21"/>
        </w:rPr>
        <w:t>方。</w:t>
      </w:r>
    </w:p>
    <w:p w14:paraId="4F636754">
      <w:pPr>
        <w:spacing w:after="0" w:line="360" w:lineRule="auto"/>
        <w:jc w:val="both"/>
        <w:rPr>
          <w:rFonts w:ascii="宋体" w:hAnsi="宋体"/>
          <w:sz w:val="21"/>
          <w:szCs w:val="21"/>
        </w:rPr>
      </w:pPr>
      <w:r>
        <w:rPr>
          <w:rFonts w:hint="eastAsia" w:ascii="宋体" w:hAnsi="宋体"/>
          <w:sz w:val="21"/>
          <w:szCs w:val="21"/>
        </w:rPr>
        <w:t>1.4 “</w:t>
      </w:r>
      <w:r>
        <w:rPr>
          <w:rFonts w:ascii="宋体" w:hAnsi="宋体"/>
          <w:sz w:val="21"/>
          <w:szCs w:val="21"/>
        </w:rPr>
        <w:t>合同</w:t>
      </w:r>
      <w:r>
        <w:rPr>
          <w:rFonts w:hint="eastAsia" w:ascii="宋体" w:hAnsi="宋体"/>
          <w:sz w:val="21"/>
          <w:szCs w:val="21"/>
        </w:rPr>
        <w:t>”</w:t>
      </w:r>
      <w:r>
        <w:rPr>
          <w:rFonts w:ascii="宋体" w:hAnsi="宋体"/>
          <w:sz w:val="21"/>
          <w:szCs w:val="21"/>
        </w:rPr>
        <w:t>系指甲方、乙方双方签署的、协议书载明的甲方、乙方所达成的协议、合同条款、所有的附件、附录和上述文件所提到的构成合同的所有文件。</w:t>
      </w:r>
    </w:p>
    <w:p w14:paraId="337FEC84">
      <w:pPr>
        <w:spacing w:after="0" w:line="360" w:lineRule="auto"/>
        <w:jc w:val="both"/>
        <w:rPr>
          <w:rFonts w:ascii="宋体" w:hAnsi="宋体"/>
          <w:sz w:val="21"/>
          <w:szCs w:val="21"/>
        </w:rPr>
      </w:pPr>
      <w:r>
        <w:rPr>
          <w:rFonts w:hint="eastAsia" w:ascii="宋体" w:hAnsi="宋体"/>
          <w:sz w:val="21"/>
          <w:szCs w:val="21"/>
        </w:rPr>
        <w:t>1.5 “</w:t>
      </w:r>
      <w:r>
        <w:rPr>
          <w:rFonts w:ascii="宋体" w:hAnsi="宋体"/>
          <w:sz w:val="21"/>
          <w:szCs w:val="21"/>
        </w:rPr>
        <w:t>合同项目</w:t>
      </w:r>
      <w:r>
        <w:rPr>
          <w:rFonts w:hint="eastAsia" w:ascii="宋体" w:hAnsi="宋体"/>
          <w:sz w:val="21"/>
          <w:szCs w:val="21"/>
        </w:rPr>
        <w:t>”</w:t>
      </w:r>
      <w:r>
        <w:rPr>
          <w:rFonts w:ascii="宋体" w:hAnsi="宋体"/>
          <w:sz w:val="21"/>
          <w:szCs w:val="21"/>
        </w:rPr>
        <w:t>是指</w:t>
      </w:r>
      <w:r>
        <w:rPr>
          <w:rFonts w:hint="eastAsia" w:ascii="宋体" w:hAnsi="宋体"/>
          <w:sz w:val="21"/>
          <w:szCs w:val="21"/>
        </w:rPr>
        <w:t>红云红河烟草（集团）有限责任公司</w:t>
      </w:r>
      <w:r>
        <w:rPr>
          <w:rFonts w:hint="eastAsia" w:ascii="宋体" w:hAnsi="宋体"/>
          <w:sz w:val="21"/>
          <w:szCs w:val="21"/>
          <w:u w:val="single"/>
        </w:rPr>
        <w:t xml:space="preserve"> </w:t>
      </w:r>
      <w:r>
        <w:rPr>
          <w:rFonts w:hint="eastAsia" w:ascii="宋体" w:hAnsi="宋体"/>
          <w:sz w:val="21"/>
          <w:szCs w:val="21"/>
        </w:rPr>
        <w:t>曲靖卷烟厂智能工厂建设（智能生产、数字能源）</w:t>
      </w:r>
      <w:r>
        <w:rPr>
          <w:rFonts w:hint="eastAsia" w:ascii="宋体" w:hAnsi="宋体"/>
          <w:sz w:val="21"/>
          <w:szCs w:val="21"/>
          <w:u w:val="single"/>
        </w:rPr>
        <w:t xml:space="preserve"> </w:t>
      </w:r>
      <w:r>
        <w:rPr>
          <w:rFonts w:hint="eastAsia" w:ascii="宋体" w:hAnsi="宋体"/>
          <w:sz w:val="21"/>
          <w:szCs w:val="21"/>
        </w:rPr>
        <w:t>项目</w:t>
      </w:r>
      <w:r>
        <w:rPr>
          <w:rFonts w:ascii="宋体" w:hAnsi="宋体"/>
          <w:sz w:val="21"/>
          <w:szCs w:val="21"/>
        </w:rPr>
        <w:t>。</w:t>
      </w:r>
    </w:p>
    <w:p w14:paraId="4DA1461D">
      <w:pPr>
        <w:spacing w:after="0" w:line="360" w:lineRule="auto"/>
        <w:jc w:val="both"/>
        <w:rPr>
          <w:rFonts w:ascii="宋体" w:hAnsi="宋体"/>
          <w:sz w:val="21"/>
          <w:szCs w:val="21"/>
        </w:rPr>
      </w:pPr>
      <w:r>
        <w:rPr>
          <w:rFonts w:ascii="宋体" w:hAnsi="宋体"/>
          <w:sz w:val="21"/>
          <w:szCs w:val="21"/>
        </w:rPr>
        <w:t>1.6 “技术文件”系指合同中指明的方案、设计、交验</w:t>
      </w:r>
      <w:r>
        <w:rPr>
          <w:rFonts w:hint="eastAsia" w:ascii="宋体" w:hAnsi="宋体"/>
          <w:sz w:val="21"/>
          <w:szCs w:val="21"/>
        </w:rPr>
        <w:t>、培训</w:t>
      </w:r>
      <w:r>
        <w:rPr>
          <w:rFonts w:ascii="宋体" w:hAnsi="宋体"/>
          <w:sz w:val="21"/>
          <w:szCs w:val="21"/>
        </w:rPr>
        <w:t>和服务有关的所有技术</w:t>
      </w:r>
      <w:r>
        <w:rPr>
          <w:rFonts w:hint="eastAsia" w:ascii="宋体" w:hAnsi="宋体"/>
          <w:sz w:val="21"/>
          <w:szCs w:val="21"/>
        </w:rPr>
        <w:t>文件</w:t>
      </w:r>
      <w:r>
        <w:rPr>
          <w:rFonts w:ascii="宋体" w:hAnsi="宋体"/>
          <w:sz w:val="21"/>
          <w:szCs w:val="21"/>
        </w:rPr>
        <w:t>，包括技术标准规格、图纸、资料、手册、各种电子版本文件及说明等。</w:t>
      </w:r>
    </w:p>
    <w:p w14:paraId="3F0BAF49">
      <w:pPr>
        <w:spacing w:after="0" w:line="360" w:lineRule="auto"/>
        <w:jc w:val="both"/>
        <w:rPr>
          <w:rFonts w:ascii="宋体" w:hAnsi="宋体"/>
          <w:sz w:val="21"/>
          <w:szCs w:val="21"/>
        </w:rPr>
      </w:pPr>
      <w:r>
        <w:rPr>
          <w:rFonts w:ascii="宋体" w:hAnsi="宋体"/>
          <w:sz w:val="21"/>
          <w:szCs w:val="21"/>
        </w:rPr>
        <w:t xml:space="preserve">1.7 </w:t>
      </w:r>
      <w:r>
        <w:rPr>
          <w:rFonts w:hint="eastAsia" w:ascii="宋体" w:hAnsi="宋体"/>
          <w:sz w:val="21"/>
          <w:szCs w:val="21"/>
        </w:rPr>
        <w:t>“</w:t>
      </w:r>
      <w:r>
        <w:rPr>
          <w:rFonts w:ascii="宋体" w:hAnsi="宋体"/>
          <w:sz w:val="21"/>
          <w:szCs w:val="21"/>
        </w:rPr>
        <w:t>工作现场</w:t>
      </w:r>
      <w:r>
        <w:rPr>
          <w:rFonts w:hint="eastAsia" w:ascii="宋体" w:hAnsi="宋体"/>
          <w:sz w:val="21"/>
          <w:szCs w:val="21"/>
        </w:rPr>
        <w:t>”</w:t>
      </w:r>
      <w:r>
        <w:rPr>
          <w:rFonts w:ascii="宋体" w:hAnsi="宋体"/>
          <w:sz w:val="21"/>
          <w:szCs w:val="21"/>
        </w:rPr>
        <w:t>是指</w:t>
      </w:r>
      <w:r>
        <w:rPr>
          <w:rFonts w:hint="eastAsia" w:ascii="宋体" w:hAnsi="宋体"/>
          <w:sz w:val="21"/>
          <w:szCs w:val="21"/>
          <w:u w:val="single"/>
        </w:rPr>
        <w:t xml:space="preserve"> 红云红河烟草（集团）有限责任公司曲靖卷烟厂 </w:t>
      </w:r>
      <w:r>
        <w:rPr>
          <w:rFonts w:hint="eastAsia" w:ascii="宋体" w:hAnsi="宋体"/>
          <w:sz w:val="21"/>
          <w:szCs w:val="21"/>
        </w:rPr>
        <w:t xml:space="preserve">。 </w:t>
      </w:r>
    </w:p>
    <w:p w14:paraId="3E505AD0">
      <w:pPr>
        <w:spacing w:after="0" w:line="360" w:lineRule="auto"/>
        <w:jc w:val="both"/>
        <w:rPr>
          <w:rFonts w:ascii="宋体" w:hAnsi="宋体"/>
          <w:sz w:val="21"/>
          <w:szCs w:val="21"/>
        </w:rPr>
      </w:pPr>
      <w:r>
        <w:rPr>
          <w:rFonts w:ascii="宋体" w:hAnsi="宋体"/>
          <w:sz w:val="21"/>
          <w:szCs w:val="21"/>
        </w:rPr>
        <w:t xml:space="preserve">1.8 </w:t>
      </w:r>
      <w:r>
        <w:rPr>
          <w:rFonts w:hint="eastAsia" w:ascii="宋体" w:hAnsi="宋体"/>
          <w:sz w:val="21"/>
          <w:szCs w:val="21"/>
        </w:rPr>
        <w:t>“</w:t>
      </w:r>
      <w:r>
        <w:rPr>
          <w:rFonts w:ascii="宋体" w:hAnsi="宋体"/>
          <w:sz w:val="21"/>
          <w:szCs w:val="21"/>
        </w:rPr>
        <w:t>技术服务</w:t>
      </w:r>
      <w:r>
        <w:rPr>
          <w:rFonts w:hint="eastAsia" w:ascii="宋体" w:hAnsi="宋体"/>
          <w:sz w:val="21"/>
          <w:szCs w:val="21"/>
        </w:rPr>
        <w:t>”</w:t>
      </w:r>
      <w:r>
        <w:rPr>
          <w:rFonts w:ascii="宋体" w:hAnsi="宋体"/>
          <w:sz w:val="21"/>
          <w:szCs w:val="21"/>
        </w:rPr>
        <w:t>是</w:t>
      </w:r>
      <w:r>
        <w:rPr>
          <w:rFonts w:hint="eastAsia" w:ascii="宋体" w:hAnsi="宋体"/>
          <w:sz w:val="21"/>
          <w:szCs w:val="21"/>
        </w:rPr>
        <w:t>项目实施过程</w:t>
      </w:r>
      <w:r>
        <w:rPr>
          <w:rFonts w:ascii="宋体" w:hAnsi="宋体"/>
          <w:sz w:val="21"/>
          <w:szCs w:val="21"/>
        </w:rPr>
        <w:t>以及其它工作等方面乙方给予甲方的技术指导、协助以及监督等。</w:t>
      </w:r>
    </w:p>
    <w:p w14:paraId="2BB8A87E">
      <w:pPr>
        <w:spacing w:after="0" w:line="360" w:lineRule="auto"/>
        <w:jc w:val="both"/>
        <w:rPr>
          <w:rFonts w:ascii="宋体" w:hAnsi="宋体"/>
          <w:sz w:val="21"/>
          <w:szCs w:val="21"/>
        </w:rPr>
      </w:pPr>
      <w:r>
        <w:rPr>
          <w:rFonts w:ascii="宋体" w:hAnsi="宋体"/>
          <w:sz w:val="21"/>
          <w:szCs w:val="21"/>
        </w:rPr>
        <w:t xml:space="preserve">1.9 </w:t>
      </w:r>
      <w:r>
        <w:rPr>
          <w:rFonts w:hint="eastAsia" w:ascii="宋体" w:hAnsi="宋体"/>
          <w:sz w:val="21"/>
          <w:szCs w:val="21"/>
        </w:rPr>
        <w:t>“</w:t>
      </w:r>
      <w:r>
        <w:rPr>
          <w:rFonts w:ascii="宋体" w:hAnsi="宋体"/>
          <w:sz w:val="21"/>
          <w:szCs w:val="21"/>
        </w:rPr>
        <w:t>服务</w:t>
      </w:r>
      <w:r>
        <w:rPr>
          <w:rFonts w:hint="eastAsia" w:ascii="宋体" w:hAnsi="宋体"/>
          <w:sz w:val="21"/>
          <w:szCs w:val="21"/>
        </w:rPr>
        <w:t>”</w:t>
      </w:r>
      <w:r>
        <w:rPr>
          <w:rFonts w:ascii="宋体" w:hAnsi="宋体"/>
          <w:sz w:val="21"/>
          <w:szCs w:val="21"/>
        </w:rPr>
        <w:t>系指合同规定乙方提供</w:t>
      </w:r>
      <w:r>
        <w:rPr>
          <w:rFonts w:hint="eastAsia" w:ascii="宋体" w:hAnsi="宋体"/>
          <w:sz w:val="21"/>
          <w:szCs w:val="21"/>
        </w:rPr>
        <w:t>服务</w:t>
      </w:r>
      <w:r>
        <w:rPr>
          <w:rFonts w:ascii="宋体" w:hAnsi="宋体"/>
          <w:sz w:val="21"/>
          <w:szCs w:val="21"/>
        </w:rPr>
        <w:t>必须承担的技术指导和技术支持、培训以及其它类似的义务。</w:t>
      </w:r>
    </w:p>
    <w:p w14:paraId="6624B5D3">
      <w:pPr>
        <w:spacing w:after="0" w:line="360" w:lineRule="auto"/>
        <w:jc w:val="both"/>
        <w:rPr>
          <w:rFonts w:ascii="宋体" w:hAnsi="宋体"/>
          <w:sz w:val="21"/>
          <w:szCs w:val="21"/>
        </w:rPr>
      </w:pPr>
      <w:r>
        <w:rPr>
          <w:rFonts w:ascii="宋体" w:hAnsi="宋体"/>
          <w:sz w:val="21"/>
          <w:szCs w:val="21"/>
        </w:rPr>
        <w:t xml:space="preserve">1.10 </w:t>
      </w:r>
      <w:r>
        <w:rPr>
          <w:rFonts w:hint="eastAsia" w:ascii="宋体" w:hAnsi="宋体"/>
          <w:sz w:val="21"/>
          <w:szCs w:val="21"/>
        </w:rPr>
        <w:t>“</w:t>
      </w:r>
      <w:r>
        <w:rPr>
          <w:rFonts w:ascii="宋体" w:hAnsi="宋体"/>
          <w:sz w:val="21"/>
          <w:szCs w:val="21"/>
        </w:rPr>
        <w:t>技术培训</w:t>
      </w:r>
      <w:r>
        <w:rPr>
          <w:rFonts w:hint="eastAsia" w:ascii="宋体" w:hAnsi="宋体"/>
          <w:sz w:val="21"/>
          <w:szCs w:val="21"/>
        </w:rPr>
        <w:t>”</w:t>
      </w:r>
      <w:r>
        <w:rPr>
          <w:rFonts w:ascii="宋体" w:hAnsi="宋体"/>
          <w:sz w:val="21"/>
          <w:szCs w:val="21"/>
        </w:rPr>
        <w:t>是指乙方给予甲方</w:t>
      </w:r>
      <w:r>
        <w:rPr>
          <w:rFonts w:hint="eastAsia" w:ascii="宋体" w:hAnsi="宋体"/>
          <w:sz w:val="21"/>
          <w:szCs w:val="21"/>
        </w:rPr>
        <w:t>提供</w:t>
      </w:r>
      <w:r>
        <w:rPr>
          <w:rFonts w:ascii="宋体" w:hAnsi="宋体"/>
          <w:sz w:val="21"/>
          <w:szCs w:val="21"/>
        </w:rPr>
        <w:t>的</w:t>
      </w:r>
      <w:r>
        <w:rPr>
          <w:rFonts w:hint="eastAsia" w:ascii="宋体" w:hAnsi="宋体"/>
          <w:sz w:val="21"/>
          <w:szCs w:val="21"/>
        </w:rPr>
        <w:t>各类</w:t>
      </w:r>
      <w:r>
        <w:rPr>
          <w:rFonts w:ascii="宋体" w:hAnsi="宋体"/>
          <w:sz w:val="21"/>
          <w:szCs w:val="21"/>
        </w:rPr>
        <w:t>培训。</w:t>
      </w:r>
    </w:p>
    <w:p w14:paraId="29604781">
      <w:pPr>
        <w:spacing w:after="0" w:line="360" w:lineRule="auto"/>
        <w:jc w:val="both"/>
        <w:rPr>
          <w:rFonts w:ascii="宋体" w:hAnsi="宋体"/>
          <w:sz w:val="21"/>
          <w:szCs w:val="21"/>
        </w:rPr>
      </w:pPr>
      <w:r>
        <w:rPr>
          <w:rFonts w:hint="eastAsia" w:ascii="宋体" w:hAnsi="宋体"/>
          <w:sz w:val="21"/>
          <w:szCs w:val="21"/>
        </w:rPr>
        <w:t>1.11 “</w:t>
      </w:r>
      <w:r>
        <w:rPr>
          <w:rFonts w:ascii="宋体" w:hAnsi="宋体"/>
          <w:sz w:val="21"/>
          <w:szCs w:val="21"/>
        </w:rPr>
        <w:t>验收</w:t>
      </w:r>
      <w:r>
        <w:rPr>
          <w:rFonts w:hint="eastAsia" w:ascii="宋体" w:hAnsi="宋体"/>
          <w:sz w:val="21"/>
          <w:szCs w:val="21"/>
        </w:rPr>
        <w:t>”</w:t>
      </w:r>
      <w:r>
        <w:rPr>
          <w:rFonts w:ascii="宋体" w:hAnsi="宋体"/>
          <w:sz w:val="21"/>
          <w:szCs w:val="21"/>
        </w:rPr>
        <w:t>是指甲方依据</w:t>
      </w:r>
      <w:r>
        <w:rPr>
          <w:rFonts w:hint="eastAsia" w:ascii="宋体" w:hAnsi="宋体"/>
          <w:sz w:val="21"/>
          <w:szCs w:val="21"/>
        </w:rPr>
        <w:t>合同</w:t>
      </w:r>
      <w:r>
        <w:rPr>
          <w:rFonts w:ascii="宋体" w:hAnsi="宋体"/>
          <w:sz w:val="21"/>
          <w:szCs w:val="21"/>
        </w:rPr>
        <w:t>规定接受合同</w:t>
      </w:r>
      <w:r>
        <w:rPr>
          <w:rFonts w:hint="eastAsia" w:ascii="宋体" w:hAnsi="宋体"/>
          <w:sz w:val="21"/>
          <w:szCs w:val="21"/>
        </w:rPr>
        <w:t>标的</w:t>
      </w:r>
      <w:r>
        <w:rPr>
          <w:rFonts w:ascii="宋体" w:hAnsi="宋体"/>
          <w:sz w:val="21"/>
          <w:szCs w:val="21"/>
        </w:rPr>
        <w:t>所依据的程序和条件。</w:t>
      </w:r>
    </w:p>
    <w:p w14:paraId="6DA3F042">
      <w:pPr>
        <w:spacing w:after="0" w:line="360" w:lineRule="auto"/>
        <w:jc w:val="both"/>
        <w:rPr>
          <w:rFonts w:ascii="宋体" w:hAnsi="宋体"/>
          <w:sz w:val="21"/>
          <w:szCs w:val="21"/>
        </w:rPr>
      </w:pPr>
      <w:r>
        <w:rPr>
          <w:rFonts w:hint="eastAsia" w:ascii="宋体" w:hAnsi="宋体"/>
          <w:sz w:val="21"/>
          <w:szCs w:val="21"/>
        </w:rPr>
        <w:t>1.11.1 “</w:t>
      </w:r>
      <w:r>
        <w:rPr>
          <w:rFonts w:ascii="宋体" w:hAnsi="宋体"/>
          <w:sz w:val="21"/>
          <w:szCs w:val="21"/>
        </w:rPr>
        <w:t>初验”是</w:t>
      </w:r>
      <w:r>
        <w:rPr>
          <w:rFonts w:hint="eastAsia" w:ascii="宋体" w:hAnsi="宋体"/>
          <w:sz w:val="21"/>
          <w:szCs w:val="21"/>
        </w:rPr>
        <w:t>指信息化项目基本实施完毕（软、硬、平台等基本部署完毕）后，按合同要求进行项目初步验收的阶段程序，由甲方初验合格后可以上线试运行。</w:t>
      </w:r>
    </w:p>
    <w:p w14:paraId="22CFAAB4">
      <w:pPr>
        <w:spacing w:after="0" w:line="360" w:lineRule="auto"/>
        <w:jc w:val="both"/>
        <w:rPr>
          <w:rFonts w:ascii="宋体" w:hAnsi="宋体"/>
          <w:sz w:val="21"/>
          <w:szCs w:val="21"/>
        </w:rPr>
      </w:pPr>
      <w:r>
        <w:rPr>
          <w:rFonts w:hint="eastAsia" w:ascii="宋体" w:hAnsi="宋体"/>
          <w:sz w:val="21"/>
          <w:szCs w:val="21"/>
        </w:rPr>
        <w:t>1.11.2 “合同单项验收”是指按合同约定开展项目试运行三个月后且不超过六个月，按合同要求进行单个合同验收的阶段程序，由甲方组织。“整体工程竣工验收”是指项目已按设计要求建成，能够满足批复的生产、经营、科研等功能的使用要求，在各单项工程验收和各专项工程验收合格，并经工程审计的基础上，对整体工程项目进行综合验收，对建设项目、工程质量、参建单位等进行整体性综合评价，提出验收意见或验收结论，项目整体工程竣工验收由项目审批单位组织。</w:t>
      </w:r>
    </w:p>
    <w:p w14:paraId="059160FB">
      <w:pPr>
        <w:spacing w:after="0" w:line="360" w:lineRule="auto"/>
        <w:jc w:val="both"/>
        <w:rPr>
          <w:rFonts w:ascii="宋体" w:hAnsi="宋体"/>
          <w:sz w:val="21"/>
          <w:szCs w:val="21"/>
        </w:rPr>
      </w:pPr>
      <w:r>
        <w:rPr>
          <w:rFonts w:hint="eastAsia" w:ascii="宋体" w:hAnsi="宋体"/>
          <w:sz w:val="21"/>
          <w:szCs w:val="21"/>
        </w:rPr>
        <w:t>1.12 “质量保证”是指乙方对整体项目实施内容的质量保证、项目所涉软硬件设备的原厂质保及相应的技术服务支持等内容的质量保证。</w:t>
      </w:r>
    </w:p>
    <w:p w14:paraId="35424291">
      <w:pPr>
        <w:spacing w:after="0" w:line="360" w:lineRule="auto"/>
        <w:jc w:val="both"/>
        <w:rPr>
          <w:rFonts w:ascii="宋体" w:hAnsi="宋体"/>
          <w:sz w:val="21"/>
          <w:szCs w:val="21"/>
        </w:rPr>
      </w:pPr>
      <w:r>
        <w:rPr>
          <w:rFonts w:hint="eastAsia" w:ascii="宋体" w:hAnsi="宋体"/>
          <w:sz w:val="21"/>
          <w:szCs w:val="21"/>
        </w:rPr>
        <w:t>1.13 “</w:t>
      </w:r>
      <w:r>
        <w:rPr>
          <w:rFonts w:ascii="宋体" w:hAnsi="宋体"/>
          <w:sz w:val="21"/>
          <w:szCs w:val="21"/>
        </w:rPr>
        <w:t>合同价格</w:t>
      </w:r>
      <w:r>
        <w:rPr>
          <w:rFonts w:hint="eastAsia" w:ascii="宋体" w:hAnsi="宋体"/>
          <w:sz w:val="21"/>
          <w:szCs w:val="21"/>
        </w:rPr>
        <w:t>”</w:t>
      </w:r>
      <w:r>
        <w:rPr>
          <w:rFonts w:ascii="宋体" w:hAnsi="宋体"/>
          <w:sz w:val="21"/>
          <w:szCs w:val="21"/>
        </w:rPr>
        <w:t>根据合同规定乙方在正确地完全履行合同义务后甲方应支付给乙方的</w:t>
      </w:r>
      <w:r>
        <w:rPr>
          <w:rFonts w:hint="eastAsia" w:ascii="宋体" w:hAnsi="宋体"/>
          <w:sz w:val="21"/>
          <w:szCs w:val="21"/>
        </w:rPr>
        <w:t>含税</w:t>
      </w:r>
      <w:r>
        <w:rPr>
          <w:rFonts w:ascii="宋体" w:hAnsi="宋体"/>
          <w:sz w:val="21"/>
          <w:szCs w:val="21"/>
        </w:rPr>
        <w:t>价格</w:t>
      </w:r>
      <w:r>
        <w:rPr>
          <w:rFonts w:hint="eastAsia" w:ascii="宋体" w:hAnsi="宋体"/>
          <w:sz w:val="21"/>
          <w:szCs w:val="21"/>
        </w:rPr>
        <w:t>。</w:t>
      </w:r>
    </w:p>
    <w:p w14:paraId="4A009628">
      <w:pPr>
        <w:spacing w:after="0" w:line="360" w:lineRule="auto"/>
        <w:jc w:val="both"/>
        <w:rPr>
          <w:rFonts w:ascii="宋体" w:hAnsi="宋体"/>
          <w:sz w:val="21"/>
          <w:szCs w:val="21"/>
        </w:rPr>
      </w:pPr>
      <w:r>
        <w:rPr>
          <w:rFonts w:ascii="宋体" w:hAnsi="宋体"/>
          <w:sz w:val="21"/>
          <w:szCs w:val="21"/>
        </w:rPr>
        <w:t>1.14</w:t>
      </w:r>
      <w:r>
        <w:rPr>
          <w:rFonts w:hint="eastAsia" w:ascii="宋体" w:hAnsi="宋体"/>
          <w:sz w:val="21"/>
          <w:szCs w:val="21"/>
        </w:rPr>
        <w:t xml:space="preserve"> “</w:t>
      </w:r>
      <w:r>
        <w:rPr>
          <w:rFonts w:ascii="宋体" w:hAnsi="宋体"/>
          <w:sz w:val="21"/>
          <w:szCs w:val="21"/>
        </w:rPr>
        <w:t>天</w:t>
      </w:r>
      <w:r>
        <w:rPr>
          <w:rFonts w:hint="eastAsia" w:ascii="宋体" w:hAnsi="宋体"/>
          <w:sz w:val="21"/>
          <w:szCs w:val="21"/>
        </w:rPr>
        <w:t>”</w:t>
      </w:r>
      <w:r>
        <w:rPr>
          <w:rFonts w:ascii="宋体" w:hAnsi="宋体"/>
          <w:sz w:val="21"/>
          <w:szCs w:val="21"/>
        </w:rPr>
        <w:t>或</w:t>
      </w:r>
      <w:r>
        <w:rPr>
          <w:rFonts w:hint="eastAsia" w:ascii="宋体" w:hAnsi="宋体"/>
          <w:sz w:val="21"/>
          <w:szCs w:val="21"/>
        </w:rPr>
        <w:t>“</w:t>
      </w:r>
      <w:r>
        <w:rPr>
          <w:rFonts w:ascii="宋体" w:hAnsi="宋体"/>
          <w:sz w:val="21"/>
          <w:szCs w:val="21"/>
        </w:rPr>
        <w:t>日</w:t>
      </w:r>
      <w:r>
        <w:rPr>
          <w:rFonts w:hint="eastAsia" w:ascii="宋体" w:hAnsi="宋体"/>
          <w:sz w:val="21"/>
          <w:szCs w:val="21"/>
        </w:rPr>
        <w:t>”</w:t>
      </w:r>
      <w:r>
        <w:rPr>
          <w:rFonts w:ascii="宋体" w:hAnsi="宋体"/>
          <w:sz w:val="21"/>
          <w:szCs w:val="21"/>
        </w:rPr>
        <w:t>指公历日。</w:t>
      </w:r>
    </w:p>
    <w:p w14:paraId="138D6270">
      <w:pPr>
        <w:spacing w:after="0" w:line="360" w:lineRule="auto"/>
        <w:jc w:val="both"/>
        <w:rPr>
          <w:rFonts w:ascii="宋体" w:hAnsi="宋体"/>
          <w:sz w:val="21"/>
          <w:szCs w:val="21"/>
        </w:rPr>
      </w:pPr>
      <w:r>
        <w:rPr>
          <w:rFonts w:hint="eastAsia" w:ascii="宋体" w:hAnsi="宋体"/>
          <w:sz w:val="21"/>
          <w:szCs w:val="21"/>
        </w:rPr>
        <w:t>1.15 “</w:t>
      </w:r>
      <w:r>
        <w:rPr>
          <w:rFonts w:ascii="宋体" w:hAnsi="宋体"/>
          <w:sz w:val="21"/>
          <w:szCs w:val="21"/>
        </w:rPr>
        <w:t>周</w:t>
      </w:r>
      <w:r>
        <w:rPr>
          <w:rFonts w:hint="eastAsia" w:ascii="宋体" w:hAnsi="宋体"/>
          <w:sz w:val="21"/>
          <w:szCs w:val="21"/>
        </w:rPr>
        <w:t>”</w:t>
      </w:r>
      <w:r>
        <w:rPr>
          <w:rFonts w:ascii="宋体" w:hAnsi="宋体"/>
          <w:sz w:val="21"/>
          <w:szCs w:val="21"/>
        </w:rPr>
        <w:t>指7个公历日。</w:t>
      </w:r>
    </w:p>
    <w:p w14:paraId="3206175D">
      <w:pPr>
        <w:spacing w:after="0" w:line="360" w:lineRule="auto"/>
        <w:jc w:val="both"/>
        <w:rPr>
          <w:rFonts w:ascii="宋体" w:hAnsi="宋体"/>
          <w:sz w:val="21"/>
          <w:szCs w:val="21"/>
        </w:rPr>
      </w:pPr>
      <w:r>
        <w:rPr>
          <w:rFonts w:hint="eastAsia" w:ascii="宋体" w:hAnsi="宋体"/>
          <w:sz w:val="21"/>
          <w:szCs w:val="21"/>
        </w:rPr>
        <w:t>1.16 “</w:t>
      </w:r>
      <w:r>
        <w:rPr>
          <w:rFonts w:ascii="宋体" w:hAnsi="宋体"/>
          <w:sz w:val="21"/>
          <w:szCs w:val="21"/>
        </w:rPr>
        <w:t>月</w:t>
      </w:r>
      <w:r>
        <w:rPr>
          <w:rFonts w:hint="eastAsia" w:ascii="宋体" w:hAnsi="宋体"/>
          <w:sz w:val="21"/>
          <w:szCs w:val="21"/>
        </w:rPr>
        <w:t>”</w:t>
      </w:r>
      <w:r>
        <w:rPr>
          <w:rFonts w:ascii="宋体" w:hAnsi="宋体"/>
          <w:sz w:val="21"/>
          <w:szCs w:val="21"/>
        </w:rPr>
        <w:t>是指日历月数。</w:t>
      </w:r>
    </w:p>
    <w:p w14:paraId="2EBB18DD">
      <w:pPr>
        <w:spacing w:after="0" w:line="360" w:lineRule="auto"/>
        <w:jc w:val="both"/>
        <w:rPr>
          <w:rFonts w:ascii="宋体" w:hAnsi="宋体"/>
          <w:sz w:val="21"/>
          <w:szCs w:val="21"/>
        </w:rPr>
      </w:pPr>
      <w:r>
        <w:rPr>
          <w:rFonts w:hint="eastAsia" w:ascii="宋体" w:hAnsi="宋体"/>
          <w:sz w:val="21"/>
          <w:szCs w:val="21"/>
        </w:rPr>
        <w:t>1.17 “工作日”指国家所规定的节假日之外的所有工作日，未指明为工作日的日期指自然顺延的自然日。</w:t>
      </w:r>
    </w:p>
    <w:p w14:paraId="5AB5941A">
      <w:pPr>
        <w:spacing w:after="0" w:line="360" w:lineRule="auto"/>
        <w:jc w:val="both"/>
        <w:rPr>
          <w:rFonts w:ascii="宋体" w:hAnsi="宋体"/>
          <w:sz w:val="21"/>
          <w:szCs w:val="21"/>
        </w:rPr>
      </w:pPr>
      <w:r>
        <w:rPr>
          <w:rFonts w:hint="eastAsia" w:ascii="宋体" w:hAnsi="宋体"/>
          <w:sz w:val="21"/>
          <w:szCs w:val="21"/>
        </w:rPr>
        <w:t>1.18 “阶段”是指项目开发实施的工期划分。</w:t>
      </w:r>
    </w:p>
    <w:p w14:paraId="02FF7DAB">
      <w:pPr>
        <w:spacing w:after="0" w:line="360" w:lineRule="auto"/>
        <w:jc w:val="both"/>
        <w:rPr>
          <w:rFonts w:ascii="宋体" w:hAnsi="宋体"/>
          <w:sz w:val="21"/>
          <w:szCs w:val="21"/>
        </w:rPr>
      </w:pPr>
      <w:r>
        <w:rPr>
          <w:rFonts w:ascii="宋体" w:hAnsi="宋体"/>
          <w:sz w:val="21"/>
          <w:szCs w:val="21"/>
        </w:rPr>
        <w:t xml:space="preserve">1.19 </w:t>
      </w:r>
      <w:r>
        <w:rPr>
          <w:rFonts w:hint="eastAsia" w:ascii="宋体" w:hAnsi="宋体"/>
          <w:sz w:val="21"/>
          <w:szCs w:val="21"/>
        </w:rPr>
        <w:t>“交付”指乙方在双方规定的日期内交付约定的成果或交付件的行为。但乙方完成交付行为，并不意味着乙方已经完成了本合同项下所规定的所有义务。</w:t>
      </w:r>
    </w:p>
    <w:p w14:paraId="1E84C2E5">
      <w:pPr>
        <w:spacing w:after="0" w:line="360" w:lineRule="auto"/>
        <w:jc w:val="both"/>
        <w:rPr>
          <w:rFonts w:ascii="宋体" w:hAnsi="宋体"/>
          <w:sz w:val="21"/>
          <w:szCs w:val="21"/>
        </w:rPr>
      </w:pPr>
      <w:r>
        <w:rPr>
          <w:rFonts w:hint="eastAsia" w:ascii="宋体" w:hAnsi="宋体"/>
          <w:sz w:val="21"/>
          <w:szCs w:val="21"/>
        </w:rPr>
        <w:t>1.20 “商业秘密”指甲、乙方各自所拥有的，不为公众所知的管理信息、方式方法、顾客名单、商业数据、产品信息、销售渠道、技术诀窍、源代码、计算机文档等，或由甲、乙方在履行本合同过程中明确指明为商业秘密的、法律所认可的任何信息。</w:t>
      </w:r>
    </w:p>
    <w:p w14:paraId="66358064">
      <w:pPr>
        <w:autoSpaceDE w:val="0"/>
        <w:autoSpaceDN w:val="0"/>
        <w:adjustRightInd w:val="0"/>
        <w:spacing w:before="120" w:beforeLines="50" w:after="120" w:afterLines="50"/>
        <w:rPr>
          <w:sz w:val="21"/>
          <w:szCs w:val="21"/>
        </w:rPr>
      </w:pPr>
    </w:p>
    <w:p w14:paraId="2D8B6BD3">
      <w:pPr>
        <w:keepNext/>
        <w:keepLines/>
        <w:spacing w:after="0" w:line="360" w:lineRule="auto"/>
        <w:jc w:val="both"/>
        <w:outlineLvl w:val="1"/>
        <w:rPr>
          <w:b/>
          <w:bCs/>
          <w:kern w:val="44"/>
          <w:sz w:val="21"/>
          <w:szCs w:val="21"/>
        </w:rPr>
      </w:pPr>
      <w:bookmarkStart w:id="133" w:name="_Toc20523"/>
      <w:r>
        <w:rPr>
          <w:rFonts w:hint="eastAsia"/>
          <w:b/>
          <w:bCs/>
          <w:kern w:val="44"/>
          <w:sz w:val="21"/>
          <w:szCs w:val="21"/>
        </w:rPr>
        <w:t>2 合同范围及目的</w:t>
      </w:r>
      <w:bookmarkEnd w:id="133"/>
    </w:p>
    <w:p w14:paraId="58B43BEB">
      <w:pPr>
        <w:rPr>
          <w:rFonts w:ascii="宋体" w:hAnsi="宋体"/>
          <w:sz w:val="21"/>
          <w:szCs w:val="21"/>
        </w:rPr>
      </w:pPr>
      <w:r>
        <w:rPr>
          <w:rFonts w:ascii="宋体" w:hAnsi="宋体"/>
          <w:sz w:val="21"/>
          <w:szCs w:val="21"/>
        </w:rPr>
        <w:t>2.1</w:t>
      </w:r>
      <w:r>
        <w:rPr>
          <w:rFonts w:hint="eastAsia" w:ascii="宋体" w:hAnsi="宋体"/>
          <w:sz w:val="21"/>
          <w:szCs w:val="21"/>
        </w:rPr>
        <w:t xml:space="preserve"> 根据</w:t>
      </w:r>
      <w:r>
        <w:rPr>
          <w:rFonts w:hint="eastAsia" w:ascii="宋体" w:hAnsi="宋体"/>
          <w:sz w:val="21"/>
          <w:szCs w:val="21"/>
          <w:u w:val="single"/>
        </w:rPr>
        <w:t xml:space="preserve"> 招标文件 </w:t>
      </w:r>
      <w:r>
        <w:rPr>
          <w:rFonts w:hint="eastAsia" w:ascii="宋体" w:hAnsi="宋体"/>
          <w:sz w:val="21"/>
          <w:szCs w:val="21"/>
        </w:rPr>
        <w:t>要求和甲方的实际情况，本项目的主要内容包括：</w:t>
      </w:r>
      <w:r>
        <w:rPr>
          <w:rFonts w:hint="eastAsia" w:ascii="宋体" w:hAnsi="宋体"/>
          <w:sz w:val="21"/>
          <w:szCs w:val="21"/>
          <w:u w:val="single"/>
        </w:rPr>
        <w:t>技术工具升级、基于二维码的创新应用、制丝车间一条产线智能优化升级 、卷包车间一条中支产线智能优化升级、数字能源等，详见附件“合同价格明细表”。</w:t>
      </w:r>
    </w:p>
    <w:p w14:paraId="156B7E0A">
      <w:pPr>
        <w:tabs>
          <w:tab w:val="center" w:pos="4430"/>
        </w:tabs>
        <w:contextualSpacing/>
        <w:rPr>
          <w:rFonts w:ascii="宋体" w:hAnsi="宋体"/>
          <w:sz w:val="21"/>
          <w:szCs w:val="21"/>
          <w:u w:val="single"/>
        </w:rPr>
      </w:pPr>
      <w:r>
        <w:rPr>
          <w:rFonts w:hint="eastAsia" w:ascii="宋体" w:hAnsi="宋体"/>
          <w:sz w:val="21"/>
          <w:szCs w:val="21"/>
        </w:rPr>
        <w:t>2.2</w:t>
      </w:r>
      <w:r>
        <w:rPr>
          <w:rFonts w:ascii="宋体" w:hAnsi="宋体"/>
          <w:sz w:val="21"/>
          <w:szCs w:val="21"/>
        </w:rPr>
        <w:t xml:space="preserve"> </w:t>
      </w:r>
      <w:r>
        <w:rPr>
          <w:rFonts w:hint="eastAsia" w:ascii="宋体" w:hAnsi="宋体"/>
          <w:sz w:val="21"/>
          <w:szCs w:val="21"/>
        </w:rPr>
        <w:t>本项目的建设目标是：乙方应按合同附件“完标方案”规定的供货范围，完成包括软硬件采购、安装、调试。完成</w:t>
      </w:r>
      <w:r>
        <w:rPr>
          <w:rFonts w:hint="eastAsia" w:ascii="宋体" w:hAnsi="宋体"/>
          <w:sz w:val="21"/>
          <w:szCs w:val="21"/>
          <w:u w:val="single"/>
        </w:rPr>
        <w:t>项目范围内的</w:t>
      </w:r>
      <w:r>
        <w:rPr>
          <w:rFonts w:hint="eastAsia" w:ascii="宋体" w:hAnsi="宋体"/>
          <w:sz w:val="21"/>
          <w:szCs w:val="21"/>
        </w:rPr>
        <w:t>系统设计、开发测试、部署实施和运维服务工作。最终的开发需求内容应以满足实际需求调研后经甲乙双方认可的《需求说明书》为准；乙方应当按照本合同及经甲乙双方认可的《需求说明书》进行项目建设。</w:t>
      </w:r>
    </w:p>
    <w:p w14:paraId="57CF0D0A">
      <w:pPr>
        <w:rPr>
          <w:rFonts w:ascii="宋体" w:hAnsi="宋体"/>
          <w:sz w:val="21"/>
          <w:szCs w:val="21"/>
        </w:rPr>
      </w:pPr>
      <w:r>
        <w:rPr>
          <w:rFonts w:hint="eastAsia" w:ascii="宋体" w:hAnsi="宋体"/>
          <w:sz w:val="21"/>
          <w:szCs w:val="21"/>
        </w:rPr>
        <w:t>2.3</w:t>
      </w:r>
      <w:r>
        <w:rPr>
          <w:rFonts w:ascii="宋体" w:hAnsi="宋体"/>
          <w:sz w:val="21"/>
          <w:szCs w:val="21"/>
        </w:rPr>
        <w:t xml:space="preserve"> </w:t>
      </w:r>
      <w:r>
        <w:rPr>
          <w:rFonts w:hint="eastAsia" w:ascii="宋体" w:hAnsi="宋体"/>
          <w:sz w:val="21"/>
          <w:szCs w:val="21"/>
        </w:rPr>
        <w:t>本项目的实施建设范围： 乙方完成项目建设内容的方案设计、软件采购及开发、设备及材料供货、包装、运输、保险、装卸、拆除及搬运（包括旧设备）、安装、调试、集成、交验、培训、技术资料和售后服务等 。</w:t>
      </w:r>
    </w:p>
    <w:p w14:paraId="3D341672">
      <w:pPr>
        <w:rPr>
          <w:rFonts w:ascii="宋体" w:hAnsi="宋体"/>
          <w:sz w:val="21"/>
          <w:szCs w:val="21"/>
        </w:rPr>
      </w:pPr>
      <w:r>
        <w:rPr>
          <w:rFonts w:hint="eastAsia" w:ascii="宋体" w:hAnsi="宋体"/>
          <w:sz w:val="21"/>
          <w:szCs w:val="21"/>
        </w:rPr>
        <w:t>2.4</w:t>
      </w:r>
      <w:r>
        <w:rPr>
          <w:rFonts w:ascii="宋体" w:hAnsi="宋体"/>
          <w:sz w:val="21"/>
          <w:szCs w:val="21"/>
        </w:rPr>
        <w:t xml:space="preserve"> </w:t>
      </w:r>
      <w:r>
        <w:rPr>
          <w:rFonts w:hint="eastAsia" w:ascii="宋体" w:hAnsi="宋体"/>
          <w:sz w:val="21"/>
          <w:szCs w:val="21"/>
        </w:rPr>
        <w:t>项目</w:t>
      </w:r>
      <w:r>
        <w:rPr>
          <w:rFonts w:ascii="宋体" w:hAnsi="宋体"/>
          <w:sz w:val="21"/>
          <w:szCs w:val="21"/>
        </w:rPr>
        <w:t>实施地点</w:t>
      </w:r>
      <w:r>
        <w:rPr>
          <w:rFonts w:hint="eastAsia" w:ascii="宋体" w:hAnsi="宋体"/>
          <w:sz w:val="21"/>
          <w:szCs w:val="21"/>
        </w:rPr>
        <w:t xml:space="preserve">： </w:t>
      </w:r>
      <w:r>
        <w:rPr>
          <w:rFonts w:hint="eastAsia" w:ascii="宋体" w:hAnsi="宋体"/>
          <w:sz w:val="21"/>
          <w:szCs w:val="21"/>
          <w:u w:val="single"/>
        </w:rPr>
        <w:t>曲靖卷烟厂指定地点</w:t>
      </w:r>
      <w:r>
        <w:rPr>
          <w:rFonts w:hint="eastAsia" w:ascii="宋体" w:hAnsi="宋体"/>
          <w:sz w:val="21"/>
          <w:szCs w:val="21"/>
        </w:rPr>
        <w:t>。</w:t>
      </w:r>
    </w:p>
    <w:p w14:paraId="124DD6C7">
      <w:pPr>
        <w:pStyle w:val="2"/>
        <w:ind w:left="400"/>
        <w:rPr>
          <w:sz w:val="21"/>
          <w:szCs w:val="21"/>
        </w:rPr>
      </w:pPr>
    </w:p>
    <w:p w14:paraId="4F354F15">
      <w:pPr>
        <w:keepNext/>
        <w:keepLines/>
        <w:spacing w:after="0" w:line="360" w:lineRule="auto"/>
        <w:jc w:val="both"/>
        <w:outlineLvl w:val="1"/>
        <w:rPr>
          <w:b/>
          <w:bCs/>
          <w:kern w:val="44"/>
          <w:sz w:val="21"/>
          <w:szCs w:val="21"/>
        </w:rPr>
      </w:pPr>
      <w:bookmarkStart w:id="134" w:name="_Toc26917"/>
      <w:r>
        <w:rPr>
          <w:b/>
          <w:bCs/>
          <w:kern w:val="44"/>
          <w:sz w:val="21"/>
          <w:szCs w:val="21"/>
        </w:rPr>
        <w:t>3</w:t>
      </w:r>
      <w:r>
        <w:rPr>
          <w:rFonts w:hint="eastAsia"/>
          <w:b/>
          <w:bCs/>
          <w:kern w:val="44"/>
          <w:sz w:val="21"/>
          <w:szCs w:val="21"/>
        </w:rPr>
        <w:t xml:space="preserve"> 合同价格与费用</w:t>
      </w:r>
      <w:bookmarkEnd w:id="134"/>
    </w:p>
    <w:p w14:paraId="4B27BAB6">
      <w:pPr>
        <w:tabs>
          <w:tab w:val="center" w:pos="4430"/>
        </w:tabs>
        <w:spacing w:after="0" w:line="360" w:lineRule="auto"/>
        <w:contextualSpacing/>
        <w:jc w:val="both"/>
        <w:rPr>
          <w:rFonts w:ascii="宋体" w:hAnsi="宋体"/>
          <w:sz w:val="21"/>
          <w:szCs w:val="21"/>
        </w:rPr>
      </w:pPr>
      <w:r>
        <w:rPr>
          <w:rFonts w:ascii="宋体" w:hAnsi="宋体"/>
          <w:sz w:val="21"/>
          <w:szCs w:val="21"/>
        </w:rPr>
        <w:t>3</w:t>
      </w:r>
      <w:r>
        <w:rPr>
          <w:rFonts w:hint="eastAsia" w:ascii="宋体" w:hAnsi="宋体"/>
          <w:sz w:val="21"/>
          <w:szCs w:val="21"/>
        </w:rPr>
        <w:t>.1</w:t>
      </w:r>
      <w:r>
        <w:rPr>
          <w:rFonts w:ascii="宋体" w:hAnsi="宋体"/>
          <w:sz w:val="21"/>
          <w:szCs w:val="21"/>
        </w:rPr>
        <w:t xml:space="preserve"> </w:t>
      </w:r>
      <w:r>
        <w:rPr>
          <w:rFonts w:hint="eastAsia" w:ascii="宋体" w:hAnsi="宋体"/>
          <w:sz w:val="21"/>
          <w:szCs w:val="21"/>
        </w:rPr>
        <w:t>本合同含税总价为¥</w:t>
      </w:r>
      <w:r>
        <w:rPr>
          <w:rFonts w:hint="eastAsia" w:ascii="宋体" w:hAnsi="宋体"/>
          <w:sz w:val="21"/>
          <w:szCs w:val="21"/>
          <w:u w:val="single"/>
        </w:rPr>
        <w:t xml:space="preserve">          </w:t>
      </w:r>
      <w:r>
        <w:rPr>
          <w:rFonts w:hint="eastAsia" w:ascii="宋体" w:hAnsi="宋体"/>
          <w:sz w:val="21"/>
          <w:szCs w:val="21"/>
        </w:rPr>
        <w:t>元（大写：人民币</w:t>
      </w:r>
      <w:r>
        <w:rPr>
          <w:rFonts w:hint="eastAsia" w:ascii="宋体" w:hAnsi="宋体"/>
          <w:sz w:val="21"/>
          <w:szCs w:val="21"/>
          <w:u w:val="single"/>
        </w:rPr>
        <w:t xml:space="preserve">           </w:t>
      </w:r>
      <w:r>
        <w:rPr>
          <w:rFonts w:hint="eastAsia" w:ascii="宋体" w:hAnsi="宋体"/>
          <w:sz w:val="21"/>
          <w:szCs w:val="21"/>
        </w:rPr>
        <w:t>），不含增值税总价为¥</w:t>
      </w:r>
      <w:r>
        <w:rPr>
          <w:rFonts w:hint="eastAsia" w:ascii="宋体" w:hAnsi="宋体"/>
          <w:sz w:val="21"/>
          <w:szCs w:val="21"/>
          <w:u w:val="single"/>
        </w:rPr>
        <w:t xml:space="preserve">       </w:t>
      </w:r>
      <w:r>
        <w:rPr>
          <w:rFonts w:hint="eastAsia" w:ascii="宋体" w:hAnsi="宋体"/>
          <w:sz w:val="21"/>
          <w:szCs w:val="21"/>
        </w:rPr>
        <w:t>元（大写：人民币</w:t>
      </w:r>
      <w:r>
        <w:rPr>
          <w:rFonts w:hint="eastAsia" w:ascii="宋体" w:hAnsi="宋体"/>
          <w:sz w:val="21"/>
          <w:szCs w:val="21"/>
          <w:u w:val="single"/>
        </w:rPr>
        <w:t xml:space="preserve">          </w:t>
      </w:r>
      <w:r>
        <w:rPr>
          <w:rFonts w:hint="eastAsia" w:ascii="宋体" w:hAnsi="宋体"/>
          <w:sz w:val="21"/>
          <w:szCs w:val="21"/>
        </w:rPr>
        <w:t>）。以上合同价款为含税包干价。合同价款组成如下:</w:t>
      </w:r>
    </w:p>
    <w:p w14:paraId="4E32A90A">
      <w:pPr>
        <w:tabs>
          <w:tab w:val="center" w:pos="4430"/>
        </w:tabs>
        <w:spacing w:after="0" w:line="360" w:lineRule="auto"/>
        <w:contextualSpacing/>
        <w:jc w:val="both"/>
        <w:rPr>
          <w:rFonts w:ascii="宋体" w:hAnsi="宋体"/>
          <w:sz w:val="21"/>
          <w:szCs w:val="21"/>
        </w:rPr>
      </w:pPr>
      <w:r>
        <w:rPr>
          <w:rFonts w:hint="eastAsia" w:ascii="宋体" w:hAnsi="宋体"/>
          <w:sz w:val="21"/>
          <w:szCs w:val="21"/>
          <w:u w:val="single"/>
        </w:rPr>
        <w:t>软硬件产品采购</w:t>
      </w:r>
      <w:r>
        <w:rPr>
          <w:rFonts w:hint="eastAsia" w:ascii="宋体" w:hAnsi="宋体"/>
          <w:sz w:val="21"/>
          <w:szCs w:val="21"/>
        </w:rPr>
        <w:t>部分含税金额为¥</w:t>
      </w:r>
      <w:r>
        <w:rPr>
          <w:rFonts w:hint="eastAsia" w:ascii="宋体" w:hAnsi="宋体"/>
          <w:sz w:val="21"/>
          <w:szCs w:val="21"/>
          <w:u w:val="single"/>
        </w:rPr>
        <w:t xml:space="preserve">          </w:t>
      </w:r>
      <w:r>
        <w:rPr>
          <w:rFonts w:hint="eastAsia" w:ascii="宋体" w:hAnsi="宋体"/>
          <w:sz w:val="21"/>
          <w:szCs w:val="21"/>
        </w:rPr>
        <w:t>元（大写：人民币</w:t>
      </w:r>
      <w:r>
        <w:rPr>
          <w:rFonts w:hint="eastAsia" w:ascii="宋体" w:hAnsi="宋体"/>
          <w:sz w:val="21"/>
          <w:szCs w:val="21"/>
          <w:u w:val="single"/>
        </w:rPr>
        <w:t xml:space="preserve">          </w:t>
      </w:r>
      <w:r>
        <w:rPr>
          <w:rFonts w:hint="eastAsia" w:ascii="宋体" w:hAnsi="宋体"/>
          <w:sz w:val="21"/>
          <w:szCs w:val="21"/>
        </w:rPr>
        <w:t>），不含增值税金额为¥</w:t>
      </w:r>
      <w:r>
        <w:rPr>
          <w:rFonts w:hint="eastAsia" w:ascii="宋体" w:hAnsi="宋体"/>
          <w:sz w:val="21"/>
          <w:szCs w:val="21"/>
          <w:u w:val="single"/>
        </w:rPr>
        <w:t xml:space="preserve">          </w:t>
      </w:r>
      <w:r>
        <w:rPr>
          <w:rFonts w:hint="eastAsia" w:ascii="宋体" w:hAnsi="宋体"/>
          <w:sz w:val="21"/>
          <w:szCs w:val="21"/>
        </w:rPr>
        <w:t>元（大写：人民币</w:t>
      </w:r>
      <w:r>
        <w:rPr>
          <w:rFonts w:hint="eastAsia" w:ascii="宋体" w:hAnsi="宋体"/>
          <w:sz w:val="21"/>
          <w:szCs w:val="21"/>
          <w:u w:val="single"/>
        </w:rPr>
        <w:t xml:space="preserve">          </w:t>
      </w:r>
      <w:r>
        <w:rPr>
          <w:rFonts w:hint="eastAsia" w:ascii="宋体" w:hAnsi="宋体"/>
          <w:sz w:val="21"/>
          <w:szCs w:val="21"/>
        </w:rPr>
        <w:t>），开具</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%的增值税专用发票；</w:t>
      </w:r>
    </w:p>
    <w:p w14:paraId="088BC512">
      <w:pPr>
        <w:tabs>
          <w:tab w:val="center" w:pos="4430"/>
        </w:tabs>
        <w:spacing w:after="0" w:line="360" w:lineRule="auto"/>
        <w:contextualSpacing/>
        <w:jc w:val="both"/>
        <w:rPr>
          <w:rFonts w:ascii="宋体" w:hAnsi="宋体"/>
          <w:sz w:val="21"/>
          <w:szCs w:val="21"/>
        </w:rPr>
      </w:pPr>
      <w:r>
        <w:rPr>
          <w:rFonts w:hint="eastAsia" w:ascii="宋体" w:hAnsi="宋体"/>
          <w:sz w:val="21"/>
          <w:szCs w:val="21"/>
          <w:u w:val="single"/>
        </w:rPr>
        <w:t>系统技术开发及相关服务、安装调试服务</w:t>
      </w:r>
      <w:r>
        <w:rPr>
          <w:rFonts w:hint="eastAsia" w:ascii="宋体" w:hAnsi="宋体"/>
          <w:sz w:val="21"/>
          <w:szCs w:val="21"/>
        </w:rPr>
        <w:t>部分含税金额为¥</w:t>
      </w:r>
      <w:r>
        <w:rPr>
          <w:rFonts w:hint="eastAsia" w:ascii="宋体" w:hAnsi="宋体"/>
          <w:sz w:val="21"/>
          <w:szCs w:val="21"/>
          <w:u w:val="single"/>
        </w:rPr>
        <w:t xml:space="preserve">          </w:t>
      </w:r>
      <w:r>
        <w:rPr>
          <w:rFonts w:hint="eastAsia" w:ascii="宋体" w:hAnsi="宋体"/>
          <w:sz w:val="21"/>
          <w:szCs w:val="21"/>
        </w:rPr>
        <w:t>元（大写：人民币</w:t>
      </w:r>
      <w:r>
        <w:rPr>
          <w:rFonts w:hint="eastAsia" w:ascii="宋体" w:hAnsi="宋体"/>
          <w:sz w:val="21"/>
          <w:szCs w:val="21"/>
          <w:u w:val="single"/>
        </w:rPr>
        <w:t xml:space="preserve">          </w:t>
      </w:r>
      <w:r>
        <w:rPr>
          <w:rFonts w:hint="eastAsia" w:ascii="宋体" w:hAnsi="宋体"/>
          <w:sz w:val="21"/>
          <w:szCs w:val="21"/>
        </w:rPr>
        <w:t>），不含增值税金额为￥</w:t>
      </w:r>
      <w:r>
        <w:rPr>
          <w:rFonts w:hint="eastAsia" w:ascii="宋体" w:hAnsi="宋体"/>
          <w:sz w:val="21"/>
          <w:szCs w:val="21"/>
          <w:u w:val="single"/>
        </w:rPr>
        <w:t xml:space="preserve">          </w:t>
      </w:r>
      <w:r>
        <w:rPr>
          <w:rFonts w:hint="eastAsia" w:ascii="宋体" w:hAnsi="宋体"/>
          <w:sz w:val="21"/>
          <w:szCs w:val="21"/>
        </w:rPr>
        <w:t>元（大写：人民币</w:t>
      </w:r>
      <w:r>
        <w:rPr>
          <w:rFonts w:hint="eastAsia" w:ascii="宋体" w:hAnsi="宋体"/>
          <w:sz w:val="21"/>
          <w:szCs w:val="21"/>
          <w:u w:val="single"/>
        </w:rPr>
        <w:t xml:space="preserve">          </w:t>
      </w:r>
      <w:r>
        <w:rPr>
          <w:rFonts w:hint="eastAsia" w:ascii="宋体" w:hAnsi="宋体"/>
          <w:sz w:val="21"/>
          <w:szCs w:val="21"/>
        </w:rPr>
        <w:t>），开具</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%的增值税专用发票。</w:t>
      </w:r>
    </w:p>
    <w:p w14:paraId="7513EE3F">
      <w:pPr>
        <w:tabs>
          <w:tab w:val="center" w:pos="4430"/>
        </w:tabs>
        <w:spacing w:after="0" w:line="360" w:lineRule="auto"/>
        <w:ind w:firstLine="420" w:firstLineChars="200"/>
        <w:contextualSpacing/>
        <w:jc w:val="both"/>
        <w:rPr>
          <w:rFonts w:ascii="宋体" w:hAnsi="宋体"/>
          <w:sz w:val="21"/>
          <w:szCs w:val="21"/>
        </w:rPr>
      </w:pPr>
      <w:r>
        <w:rPr>
          <w:rFonts w:hint="eastAsia" w:ascii="宋体" w:hAnsi="宋体"/>
          <w:sz w:val="21"/>
          <w:szCs w:val="21"/>
        </w:rPr>
        <w:t>该合同价格包含满足设备正常运行的仪器、仪表、材料、备品备件、设备、软件的检验试验、包装、运输、装卸（包括旧设备）、保险、安装、调试、培训、技术服务等所有费用，以及系统研发、调试、安装、软硬件采购、人员差旅、技术培训等乙方为履行本合同所提供全部服务的价格。</w:t>
      </w:r>
    </w:p>
    <w:p w14:paraId="18A7D542">
      <w:pPr>
        <w:tabs>
          <w:tab w:val="center" w:pos="4430"/>
        </w:tabs>
        <w:spacing w:after="0" w:line="360" w:lineRule="auto"/>
        <w:contextualSpacing/>
        <w:jc w:val="both"/>
        <w:rPr>
          <w:rFonts w:ascii="宋体" w:hAnsi="宋体"/>
          <w:sz w:val="21"/>
          <w:szCs w:val="21"/>
        </w:rPr>
      </w:pPr>
      <w:r>
        <w:rPr>
          <w:rFonts w:ascii="宋体" w:hAnsi="宋体"/>
          <w:sz w:val="21"/>
          <w:szCs w:val="21"/>
        </w:rPr>
        <w:t>3.</w:t>
      </w:r>
      <w:r>
        <w:rPr>
          <w:rFonts w:hint="eastAsia" w:ascii="宋体" w:hAnsi="宋体"/>
          <w:sz w:val="21"/>
          <w:szCs w:val="21"/>
        </w:rPr>
        <w:t>2 除合同另有规定外，合同双方为履行合同而派遣到对方的工作人员的费用由派遣方承担。</w:t>
      </w:r>
    </w:p>
    <w:p w14:paraId="79AD0DE1">
      <w:pPr>
        <w:tabs>
          <w:tab w:val="center" w:pos="4430"/>
        </w:tabs>
        <w:spacing w:after="0" w:line="360" w:lineRule="auto"/>
        <w:contextualSpacing/>
        <w:jc w:val="both"/>
        <w:rPr>
          <w:rFonts w:ascii="宋体" w:hAnsi="宋体"/>
          <w:sz w:val="21"/>
          <w:szCs w:val="21"/>
        </w:rPr>
      </w:pPr>
      <w:r>
        <w:rPr>
          <w:rFonts w:ascii="宋体" w:hAnsi="宋体"/>
          <w:sz w:val="21"/>
          <w:szCs w:val="21"/>
        </w:rPr>
        <w:t>3.3</w:t>
      </w:r>
      <w:r>
        <w:rPr>
          <w:rFonts w:hint="eastAsia" w:ascii="宋体" w:hAnsi="宋体"/>
          <w:sz w:val="21"/>
          <w:szCs w:val="21"/>
        </w:rPr>
        <w:t>本合同总价为含税包干价。项目完工验收后，由乙方编制工程结算书，甲方委托中介机构审核工程结算后，按审定金额与乙方结算。审定金额与报审金额相比，如审减率超过</w:t>
      </w:r>
      <w:r>
        <w:rPr>
          <w:rFonts w:ascii="宋体" w:hAnsi="宋体"/>
          <w:sz w:val="21"/>
          <w:szCs w:val="21"/>
        </w:rPr>
        <w:t>10</w:t>
      </w:r>
      <w:r>
        <w:rPr>
          <w:rFonts w:hint="eastAsia" w:ascii="宋体" w:hAnsi="宋体"/>
          <w:sz w:val="21"/>
          <w:szCs w:val="21"/>
        </w:rPr>
        <w:t>％，超过部分审计费用由乙方承担，在工程结算审定金额中扣减。</w:t>
      </w:r>
    </w:p>
    <w:p w14:paraId="7EFA66D2">
      <w:pPr>
        <w:tabs>
          <w:tab w:val="center" w:pos="4430"/>
        </w:tabs>
        <w:spacing w:after="0" w:line="360" w:lineRule="auto"/>
        <w:contextualSpacing/>
        <w:jc w:val="both"/>
        <w:rPr>
          <w:rFonts w:ascii="宋体" w:hAnsi="宋体"/>
          <w:sz w:val="21"/>
          <w:szCs w:val="21"/>
        </w:rPr>
      </w:pPr>
      <w:r>
        <w:rPr>
          <w:rFonts w:ascii="宋体" w:hAnsi="宋体"/>
          <w:sz w:val="21"/>
          <w:szCs w:val="21"/>
        </w:rPr>
        <w:t>3.4</w:t>
      </w:r>
      <w:r>
        <w:rPr>
          <w:rFonts w:hint="eastAsia" w:ascii="宋体" w:hAnsi="宋体"/>
          <w:sz w:val="21"/>
          <w:szCs w:val="21"/>
        </w:rPr>
        <w:t>合同实施过程中如因乙方系统方案、设备功能不能保证满足招标文件第五章《技术标准和要求》中所有功能要求，乙方应优化方案，由此增加的费用甲方不再另行支付，由乙方自行承担；如乙方在合同实施过程在保证达到第五章《技术标准和要求》中所有功能要求的前提下，因优化方案而减少的费用须在合同价中扣除。</w:t>
      </w:r>
    </w:p>
    <w:p w14:paraId="674790AE">
      <w:pPr>
        <w:tabs>
          <w:tab w:val="center" w:pos="4430"/>
        </w:tabs>
        <w:spacing w:after="0" w:line="360" w:lineRule="auto"/>
        <w:contextualSpacing/>
        <w:jc w:val="both"/>
        <w:rPr>
          <w:rFonts w:ascii="宋体" w:hAnsi="宋体"/>
          <w:sz w:val="21"/>
          <w:szCs w:val="21"/>
        </w:rPr>
      </w:pPr>
      <w:r>
        <w:rPr>
          <w:rFonts w:ascii="宋体" w:hAnsi="宋体"/>
          <w:sz w:val="21"/>
          <w:szCs w:val="21"/>
        </w:rPr>
        <w:t>3.5</w:t>
      </w:r>
      <w:r>
        <w:rPr>
          <w:rFonts w:hint="eastAsia" w:ascii="宋体" w:hAnsi="宋体"/>
          <w:sz w:val="21"/>
          <w:szCs w:val="21"/>
        </w:rPr>
        <w:t>在甲方招标文件或者本合同中已列出的项目，但乙方未报价格或者所报数量低于甲方要求的，则乙方须按照招标文件或者本合同执行，对于乙方未报的价格或数量，作为乙方给予甲方的优惠。在本项目范围内，如在实施过程中如有减少部分（包括种类及数量）在结算时扣除，超过部分（包括种类及数量）视为已含在合同价款中，结算时不予增加。</w:t>
      </w:r>
    </w:p>
    <w:p w14:paraId="3F864FEF">
      <w:pPr>
        <w:tabs>
          <w:tab w:val="center" w:pos="4430"/>
        </w:tabs>
        <w:spacing w:after="0" w:line="360" w:lineRule="auto"/>
        <w:contextualSpacing/>
        <w:jc w:val="both"/>
        <w:rPr>
          <w:rFonts w:ascii="宋体" w:hAnsi="宋体"/>
          <w:sz w:val="21"/>
          <w:szCs w:val="21"/>
        </w:rPr>
      </w:pPr>
      <w:r>
        <w:rPr>
          <w:rFonts w:ascii="宋体" w:hAnsi="宋体"/>
          <w:sz w:val="21"/>
          <w:szCs w:val="21"/>
        </w:rPr>
        <w:t>3.6</w:t>
      </w:r>
      <w:r>
        <w:rPr>
          <w:rFonts w:hint="eastAsia" w:ascii="宋体" w:hAnsi="宋体"/>
          <w:sz w:val="21"/>
          <w:szCs w:val="21"/>
        </w:rPr>
        <w:t>乙方投标文件中所报的材料设备等在供货期间如因停产或型号升级等情况需更换材料设备品牌及型号，须经过甲方确认同意，所产生的费用由乙方承担，包括但不限于以下情况：</w:t>
      </w:r>
    </w:p>
    <w:p w14:paraId="1EB54CCF">
      <w:pPr>
        <w:tabs>
          <w:tab w:val="center" w:pos="4430"/>
        </w:tabs>
        <w:spacing w:after="0" w:line="360" w:lineRule="auto"/>
        <w:ind w:firstLine="420" w:firstLineChars="200"/>
        <w:contextualSpacing/>
        <w:jc w:val="both"/>
        <w:rPr>
          <w:rFonts w:ascii="宋体" w:hAnsi="宋体"/>
          <w:sz w:val="21"/>
          <w:szCs w:val="21"/>
        </w:rPr>
      </w:pPr>
      <w:r>
        <w:rPr>
          <w:rFonts w:hint="eastAsia" w:ascii="宋体" w:hAnsi="宋体"/>
          <w:sz w:val="21"/>
          <w:szCs w:val="21"/>
        </w:rPr>
        <w:t>①在原型号设备和产品升级换代时，替换品的选用必须由乙方书面申请并经过甲方书面确认同意；如替换设备和产品的价格高于投标时该设备和产品的价格，则替换设备和产品的价格不予增加；如替换设备和产品的价格低于投标时该设备和产品的价格，则从合同价中扣除替换设备和产品的价格与原投标时该设备和产品的价格的价差。</w:t>
      </w:r>
    </w:p>
    <w:p w14:paraId="2C505188">
      <w:pPr>
        <w:tabs>
          <w:tab w:val="center" w:pos="4430"/>
        </w:tabs>
        <w:spacing w:after="0" w:line="360" w:lineRule="auto"/>
        <w:ind w:firstLine="420" w:firstLineChars="200"/>
        <w:contextualSpacing/>
        <w:jc w:val="both"/>
        <w:rPr>
          <w:rFonts w:ascii="宋体" w:hAnsi="宋体"/>
          <w:sz w:val="21"/>
          <w:szCs w:val="21"/>
        </w:rPr>
      </w:pPr>
      <w:r>
        <w:rPr>
          <w:rFonts w:hint="eastAsia" w:ascii="宋体" w:hAnsi="宋体"/>
          <w:sz w:val="21"/>
          <w:szCs w:val="21"/>
        </w:rPr>
        <w:t>②原型号停产时，用于替换的设备和产品必须由乙方书面申请并经过甲方书面确认同意；如替换设备和产品的价格高于投标时该设备和产品的价格，则替换设备和产品的价格不予增加；如替换设备和产品的价格低于投标时该设备和产品的价格，则从合同价中扣除替换设备和产品的价格与原投标时该设备和产品的价格的价差。</w:t>
      </w:r>
    </w:p>
    <w:p w14:paraId="205487F4">
      <w:pPr>
        <w:tabs>
          <w:tab w:val="center" w:pos="4430"/>
        </w:tabs>
        <w:spacing w:after="0" w:line="360" w:lineRule="auto"/>
        <w:ind w:firstLine="420" w:firstLineChars="200"/>
        <w:contextualSpacing/>
        <w:jc w:val="both"/>
        <w:rPr>
          <w:rFonts w:ascii="宋体" w:hAnsi="宋体"/>
          <w:sz w:val="21"/>
          <w:szCs w:val="21"/>
        </w:rPr>
      </w:pPr>
      <w:r>
        <w:rPr>
          <w:rFonts w:hint="eastAsia" w:ascii="宋体" w:hAnsi="宋体"/>
          <w:sz w:val="21"/>
          <w:szCs w:val="21"/>
        </w:rPr>
        <w:t>③如果不满足以上两种情况，投标时提供的型号设备和产品可以继续向甲方供货，出现最新型号设备和产品时，甲方又希望选择最新型号设备和产品时，双方依据市场价格协商确定设备和产品的价格，同时须扣除原投标时提供的设备或产品的价格及相关费用。</w:t>
      </w:r>
    </w:p>
    <w:p w14:paraId="65F0624C">
      <w:pPr>
        <w:tabs>
          <w:tab w:val="center" w:pos="4430"/>
        </w:tabs>
        <w:spacing w:after="0" w:line="360" w:lineRule="auto"/>
        <w:ind w:firstLine="420" w:firstLineChars="200"/>
        <w:contextualSpacing/>
        <w:jc w:val="both"/>
        <w:rPr>
          <w:rFonts w:ascii="宋体" w:hAnsi="宋体"/>
          <w:sz w:val="21"/>
          <w:szCs w:val="21"/>
        </w:rPr>
      </w:pPr>
      <w:r>
        <w:rPr>
          <w:rFonts w:hint="eastAsia" w:ascii="宋体" w:hAnsi="宋体"/>
          <w:sz w:val="21"/>
          <w:szCs w:val="21"/>
        </w:rPr>
        <w:t>在项目实施过程中，若发生乙方所报设备及材料的品牌不存在的虚假情形，视为违约，须同时承担以下违约责任：①乙方需承担变更设备或材料价款</w:t>
      </w:r>
      <w:r>
        <w:rPr>
          <w:rFonts w:ascii="宋体" w:hAnsi="宋体"/>
          <w:sz w:val="21"/>
          <w:szCs w:val="21"/>
        </w:rPr>
        <w:t>2%</w:t>
      </w:r>
      <w:r>
        <w:rPr>
          <w:rFonts w:hint="eastAsia" w:ascii="宋体" w:hAnsi="宋体"/>
          <w:sz w:val="21"/>
          <w:szCs w:val="21"/>
        </w:rPr>
        <w:t>的违约金；②所变更的设备及材料的品牌、生产厂家经甲方审核同意后方可实施，产生的价格差异按照前述执行，其余产生的额外费用由乙方自行承担。</w:t>
      </w:r>
    </w:p>
    <w:p w14:paraId="51F7E276">
      <w:pPr>
        <w:pStyle w:val="2"/>
        <w:spacing w:after="0" w:line="360" w:lineRule="auto"/>
        <w:ind w:left="400" w:firstLine="400"/>
        <w:jc w:val="both"/>
      </w:pPr>
    </w:p>
    <w:p w14:paraId="2DB7B571">
      <w:pPr>
        <w:keepNext/>
        <w:keepLines/>
        <w:spacing w:after="0" w:line="360" w:lineRule="auto"/>
        <w:jc w:val="both"/>
        <w:outlineLvl w:val="1"/>
        <w:rPr>
          <w:b/>
          <w:bCs/>
          <w:kern w:val="44"/>
          <w:sz w:val="21"/>
          <w:szCs w:val="21"/>
        </w:rPr>
      </w:pPr>
      <w:bookmarkStart w:id="135" w:name="_Toc24216"/>
      <w:bookmarkStart w:id="136" w:name="_Toc90007495"/>
      <w:r>
        <w:rPr>
          <w:b/>
          <w:bCs/>
          <w:kern w:val="44"/>
          <w:sz w:val="21"/>
          <w:szCs w:val="21"/>
        </w:rPr>
        <w:t>4</w:t>
      </w:r>
      <w:r>
        <w:rPr>
          <w:rFonts w:hint="eastAsia"/>
          <w:b/>
          <w:bCs/>
          <w:kern w:val="44"/>
          <w:sz w:val="21"/>
          <w:szCs w:val="21"/>
        </w:rPr>
        <w:t xml:space="preserve"> 支付条款</w:t>
      </w:r>
      <w:bookmarkEnd w:id="135"/>
      <w:bookmarkEnd w:id="136"/>
    </w:p>
    <w:p w14:paraId="6F6BD8CF">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 xml:space="preserve">4.1 项目软硬件按甲方要求分批次到货后，经甲方到货验收合格后，乙方按甲方要求提交付款材料，经甲方审核确认后，乙方向甲方开具到货批次软硬件含税总价的50%的增值税专用发票。甲方在收到乙方收款凭证和付款材料之日起的30个工作日内付款至该批次软硬件含税总价的50%。 </w:t>
      </w:r>
    </w:p>
    <w:p w14:paraId="17696760">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4.2项目实施完毕后，甲、乙双方按合同要求进行项目初步验收。验收合格的，甲方出具初步验收报告，乙方按甲方要求提交付款材料，经甲方审核确认后，乙方向甲方开具至合同软硬件含税总价的70%的增值税专用发票及系统技术开发相关服务、安装调试服务等部分含税总价的70%的增值税专用发票。甲方在收到乙方收款凭证和付款材料之日起的30个工作日内付款至合同含税总价的70%。</w:t>
      </w:r>
    </w:p>
    <w:p w14:paraId="41AF9030">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4.3试运行阶段三个月满，且</w:t>
      </w:r>
      <w:r>
        <w:rPr>
          <w:rFonts w:hint="eastAsia" w:ascii="宋体" w:hAnsi="宋体"/>
          <w:sz w:val="21"/>
          <w:szCs w:val="21"/>
        </w:rPr>
        <w:t>乙方向甲方提供</w:t>
      </w:r>
      <w:r>
        <w:rPr>
          <w:rFonts w:hint="eastAsia" w:ascii="宋体" w:hAnsi="宋体" w:cs="宋体"/>
          <w:sz w:val="21"/>
          <w:szCs w:val="21"/>
        </w:rPr>
        <w:t>工厂智能制造能力成熟度评估四级符合性证书，甲、乙双方按照合同要求进行单项验收。验收合格的，甲方出具单项验收报告，乙方根据甲方要求提供全套结算资料，经甲方审核后形成结算金额。乙方按甲方要求提交付款材料并向甲方开具至项目结算金额的85%的增值税专用发票。甲方在收到乙方收款凭证和付款材料之日起的30个工作日内付款至结算金额的85%。</w:t>
      </w:r>
    </w:p>
    <w:p w14:paraId="073B51C4">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 xml:space="preserve">4.4 甲、乙双方按照要求进行整体工程竣工验收。验收合格的，乙方按甲方要求提交付款材料，经甲方审核确认后，乙方向甲方开具至项目定案金额的100%的增值税专用发票（含定案金额的3%的质保金的增值税发票）。甲方在收到乙方收款凭证和付款材料之日起的30个工作日内按项目定案金额支付余款（不含质保金）。 </w:t>
      </w:r>
    </w:p>
    <w:p w14:paraId="09BC74E5">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4.5在本合同履行过程中，承包人自愿遵守烟草行业及红云红河集团相关管理规定，本项目实行全过程跟踪审计。</w:t>
      </w:r>
    </w:p>
    <w:p w14:paraId="1DDD1A82">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4.6甲方委托中介机构审核结算，审定金额与报审金额相比，如审减率超过10％，超过部分审计费用（超出部分的金额×</w:t>
      </w:r>
      <w:r>
        <w:rPr>
          <w:rFonts w:ascii="宋体" w:hAnsi="宋体" w:cs="宋体"/>
          <w:sz w:val="21"/>
          <w:szCs w:val="21"/>
        </w:rPr>
        <w:t>5</w:t>
      </w:r>
      <w:r>
        <w:rPr>
          <w:rFonts w:hint="eastAsia" w:ascii="宋体" w:hAnsi="宋体" w:cs="宋体"/>
          <w:sz w:val="21"/>
          <w:szCs w:val="21"/>
        </w:rPr>
        <w:t>%）由承包方承担，在结算审定金额中扣减。</w:t>
      </w:r>
    </w:p>
    <w:p w14:paraId="464EB23C">
      <w:pPr>
        <w:pStyle w:val="2"/>
        <w:adjustRightInd w:val="0"/>
        <w:snapToGrid w:val="0"/>
        <w:spacing w:after="0" w:line="360" w:lineRule="auto"/>
        <w:ind w:left="0" w:leftChars="0" w:firstLine="0" w:firstLineChars="0"/>
        <w:jc w:val="both"/>
        <w:rPr>
          <w:rFonts w:ascii="宋体" w:hAnsi="宋体" w:cs="宋体"/>
          <w:sz w:val="21"/>
          <w:szCs w:val="21"/>
        </w:rPr>
      </w:pPr>
      <w:r>
        <w:rPr>
          <w:rFonts w:hint="eastAsia" w:ascii="宋体" w:hAnsi="宋体" w:cs="宋体"/>
          <w:sz w:val="21"/>
          <w:szCs w:val="21"/>
        </w:rPr>
        <w:t>4.7 质量保证金：项目定案金额的3％作为质量保证金，自项目竣工验收合格之日起   年期满后项目运行正常无质量问题的情形下无息支付,甲方应在收到乙方提交的付款申请之日起30个工作日内支付。</w:t>
      </w:r>
    </w:p>
    <w:p w14:paraId="3ED4682B">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.8 双方确认的支付方式为：银行转账。</w:t>
      </w:r>
    </w:p>
    <w:p w14:paraId="75AD13AF">
      <w:pPr>
        <w:spacing w:after="0" w:line="360" w:lineRule="auto"/>
        <w:ind w:firstLine="420" w:firstLineChars="200"/>
        <w:jc w:val="both"/>
        <w:rPr>
          <w:rFonts w:ascii="宋体" w:hAnsi="宋体"/>
          <w:sz w:val="21"/>
          <w:szCs w:val="21"/>
        </w:rPr>
      </w:pPr>
      <w:r>
        <w:rPr>
          <w:rFonts w:hint="eastAsia" w:ascii="宋体" w:hAnsi="宋体"/>
          <w:sz w:val="21"/>
          <w:szCs w:val="21"/>
        </w:rPr>
        <w:t>收款方账户信息为：</w:t>
      </w:r>
    </w:p>
    <w:p w14:paraId="0BD90728">
      <w:pPr>
        <w:spacing w:after="0" w:line="360" w:lineRule="auto"/>
        <w:ind w:firstLine="420" w:firstLineChars="200"/>
        <w:jc w:val="both"/>
        <w:rPr>
          <w:rFonts w:ascii="宋体" w:hAnsi="宋体"/>
          <w:sz w:val="21"/>
          <w:szCs w:val="21"/>
        </w:rPr>
      </w:pPr>
      <w:r>
        <w:rPr>
          <w:rFonts w:hint="eastAsia" w:ascii="宋体" w:hAnsi="宋体"/>
          <w:sz w:val="21"/>
          <w:szCs w:val="21"/>
        </w:rPr>
        <w:t>户名：</w:t>
      </w:r>
      <w:r>
        <w:rPr>
          <w:rFonts w:hint="eastAsia" w:ascii="宋体" w:hAnsi="宋体"/>
          <w:sz w:val="21"/>
          <w:szCs w:val="21"/>
          <w:u w:val="single"/>
        </w:rPr>
        <w:t xml:space="preserve">           </w:t>
      </w:r>
      <w:r>
        <w:rPr>
          <w:rFonts w:hint="eastAsia" w:ascii="宋体" w:hAnsi="宋体"/>
          <w:sz w:val="21"/>
          <w:szCs w:val="21"/>
        </w:rPr>
        <w:t xml:space="preserve"> ；</w:t>
      </w:r>
    </w:p>
    <w:p w14:paraId="1FF43045">
      <w:pPr>
        <w:spacing w:after="0" w:line="360" w:lineRule="auto"/>
        <w:ind w:firstLine="420" w:firstLineChars="200"/>
        <w:jc w:val="both"/>
        <w:rPr>
          <w:rFonts w:ascii="宋体" w:hAnsi="宋体"/>
          <w:sz w:val="21"/>
          <w:szCs w:val="21"/>
        </w:rPr>
      </w:pPr>
      <w:r>
        <w:rPr>
          <w:rFonts w:hint="eastAsia" w:ascii="宋体" w:hAnsi="宋体"/>
          <w:sz w:val="21"/>
          <w:szCs w:val="21"/>
        </w:rPr>
        <w:t>开户行：</w:t>
      </w:r>
      <w:r>
        <w:rPr>
          <w:rFonts w:hint="eastAsia" w:ascii="宋体" w:hAnsi="宋体"/>
          <w:sz w:val="21"/>
          <w:szCs w:val="21"/>
          <w:u w:val="single"/>
        </w:rPr>
        <w:t xml:space="preserve">         </w:t>
      </w:r>
      <w:r>
        <w:rPr>
          <w:rFonts w:hint="eastAsia" w:ascii="宋体" w:hAnsi="宋体"/>
          <w:sz w:val="21"/>
          <w:szCs w:val="21"/>
        </w:rPr>
        <w:t xml:space="preserve"> ；</w:t>
      </w:r>
    </w:p>
    <w:p w14:paraId="75EC9D61">
      <w:pPr>
        <w:spacing w:after="0" w:line="360" w:lineRule="auto"/>
        <w:ind w:firstLine="420" w:firstLineChars="200"/>
        <w:jc w:val="both"/>
        <w:rPr>
          <w:rFonts w:ascii="宋体" w:hAnsi="宋体"/>
          <w:sz w:val="21"/>
          <w:szCs w:val="21"/>
        </w:rPr>
      </w:pPr>
      <w:r>
        <w:rPr>
          <w:rFonts w:hint="eastAsia" w:ascii="宋体" w:hAnsi="宋体"/>
          <w:sz w:val="21"/>
          <w:szCs w:val="21"/>
        </w:rPr>
        <w:t>账号：</w:t>
      </w:r>
      <w:r>
        <w:rPr>
          <w:rFonts w:hint="eastAsia" w:ascii="宋体" w:hAnsi="宋体"/>
          <w:sz w:val="21"/>
          <w:szCs w:val="21"/>
          <w:u w:val="single"/>
        </w:rPr>
        <w:t xml:space="preserve">           </w:t>
      </w:r>
      <w:r>
        <w:rPr>
          <w:rFonts w:hint="eastAsia" w:ascii="宋体" w:hAnsi="宋体"/>
          <w:sz w:val="21"/>
          <w:szCs w:val="21"/>
        </w:rPr>
        <w:t xml:space="preserve"> 。</w:t>
      </w:r>
    </w:p>
    <w:p w14:paraId="115E9C09">
      <w:pPr>
        <w:spacing w:after="0" w:line="360" w:lineRule="auto"/>
        <w:jc w:val="both"/>
        <w:rPr>
          <w:rFonts w:ascii="宋体" w:hAnsi="宋体"/>
          <w:sz w:val="21"/>
          <w:szCs w:val="21"/>
        </w:rPr>
      </w:pPr>
      <w:r>
        <w:rPr>
          <w:rFonts w:hint="eastAsia" w:ascii="宋体" w:hAnsi="宋体"/>
          <w:sz w:val="21"/>
          <w:szCs w:val="21"/>
        </w:rPr>
        <w:t>收款方信息变更的，应以书面形式通知付款方，未及时通知给双方造成的全部损失由收款方承担。</w:t>
      </w:r>
    </w:p>
    <w:p w14:paraId="7594BA3E">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.9</w:t>
      </w:r>
      <w:r>
        <w:rPr>
          <w:rFonts w:ascii="宋体" w:hAnsi="宋体"/>
          <w:sz w:val="21"/>
          <w:szCs w:val="21"/>
        </w:rPr>
        <w:t xml:space="preserve"> </w:t>
      </w:r>
      <w:r>
        <w:rPr>
          <w:rFonts w:hint="eastAsia" w:ascii="宋体" w:hAnsi="宋体"/>
          <w:sz w:val="21"/>
          <w:szCs w:val="21"/>
        </w:rPr>
        <w:t>本合同计价及支付货币除非另有约定，均指人民币。</w:t>
      </w:r>
    </w:p>
    <w:p w14:paraId="65B9C678">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.10</w:t>
      </w:r>
      <w:r>
        <w:rPr>
          <w:rFonts w:ascii="宋体" w:hAnsi="宋体"/>
          <w:sz w:val="21"/>
          <w:szCs w:val="21"/>
        </w:rPr>
        <w:t xml:space="preserve"> </w:t>
      </w:r>
      <w:r>
        <w:rPr>
          <w:rFonts w:hint="eastAsia" w:ascii="宋体" w:hAnsi="宋体"/>
          <w:sz w:val="21"/>
          <w:szCs w:val="21"/>
        </w:rPr>
        <w:t>收款方向付款方开具的收款凭证为：</w:t>
      </w:r>
      <w:r>
        <w:rPr>
          <w:rFonts w:hint="eastAsia" w:ascii="宋体" w:hAnsi="宋体"/>
          <w:sz w:val="21"/>
          <w:szCs w:val="21"/>
          <w:u w:val="single"/>
        </w:rPr>
        <w:t xml:space="preserve">      </w:t>
      </w:r>
    </w:p>
    <w:p w14:paraId="22FFE3CE">
      <w:pPr>
        <w:spacing w:after="0" w:line="360" w:lineRule="auto"/>
        <w:jc w:val="both"/>
        <w:rPr>
          <w:rFonts w:ascii="宋体" w:hAnsi="宋体"/>
          <w:sz w:val="21"/>
          <w:szCs w:val="21"/>
        </w:rPr>
      </w:pPr>
      <w:r>
        <w:rPr>
          <w:rFonts w:hint="eastAsia" w:ascii="宋体" w:hAnsi="宋体"/>
          <w:sz w:val="21"/>
          <w:szCs w:val="21"/>
        </w:rPr>
        <w:t>（1）增值税专用发票，税率</w:t>
      </w:r>
      <w:r>
        <w:rPr>
          <w:rFonts w:hint="eastAsia" w:ascii="宋体" w:hAnsi="宋体"/>
          <w:sz w:val="21"/>
          <w:szCs w:val="21"/>
          <w:u w:val="single"/>
        </w:rPr>
        <w:t xml:space="preserve">   </w:t>
      </w:r>
      <w:r>
        <w:rPr>
          <w:rFonts w:hint="eastAsia" w:ascii="宋体" w:hAnsi="宋体"/>
          <w:sz w:val="21"/>
          <w:szCs w:val="21"/>
        </w:rPr>
        <w:t>%；</w:t>
      </w:r>
    </w:p>
    <w:p w14:paraId="4DD31320">
      <w:pPr>
        <w:spacing w:after="0" w:line="360" w:lineRule="auto"/>
        <w:jc w:val="both"/>
        <w:rPr>
          <w:rFonts w:ascii="宋体" w:hAnsi="宋体"/>
          <w:sz w:val="21"/>
          <w:szCs w:val="21"/>
        </w:rPr>
      </w:pPr>
      <w:r>
        <w:rPr>
          <w:rFonts w:hint="eastAsia" w:ascii="宋体" w:hAnsi="宋体"/>
          <w:sz w:val="21"/>
          <w:szCs w:val="21"/>
        </w:rPr>
        <w:t>（2）增值税普通发票，税率</w:t>
      </w:r>
      <w:r>
        <w:rPr>
          <w:rFonts w:hint="eastAsia" w:ascii="宋体" w:hAnsi="宋体"/>
          <w:sz w:val="21"/>
          <w:szCs w:val="21"/>
          <w:u w:val="single"/>
        </w:rPr>
        <w:t xml:space="preserve">   </w:t>
      </w:r>
      <w:r>
        <w:rPr>
          <w:rFonts w:hint="eastAsia" w:ascii="宋体" w:hAnsi="宋体"/>
          <w:sz w:val="21"/>
          <w:szCs w:val="21"/>
        </w:rPr>
        <w:t>%；</w:t>
      </w:r>
    </w:p>
    <w:p w14:paraId="3591A2CB">
      <w:pPr>
        <w:spacing w:after="0" w:line="360" w:lineRule="auto"/>
        <w:jc w:val="both"/>
        <w:rPr>
          <w:rFonts w:ascii="宋体" w:hAnsi="宋体"/>
          <w:sz w:val="21"/>
          <w:szCs w:val="21"/>
        </w:rPr>
      </w:pPr>
      <w:r>
        <w:rPr>
          <w:rFonts w:hint="eastAsia" w:ascii="宋体" w:hAnsi="宋体"/>
          <w:sz w:val="21"/>
          <w:szCs w:val="21"/>
        </w:rPr>
        <w:t>（3）行政事业单位收款收据；</w:t>
      </w:r>
    </w:p>
    <w:p w14:paraId="2F1F1C5D">
      <w:pPr>
        <w:spacing w:after="0" w:line="360" w:lineRule="auto"/>
        <w:jc w:val="both"/>
        <w:rPr>
          <w:rFonts w:ascii="宋体" w:hAnsi="宋体"/>
          <w:sz w:val="21"/>
          <w:szCs w:val="21"/>
        </w:rPr>
      </w:pPr>
      <w:r>
        <w:rPr>
          <w:rFonts w:hint="eastAsia" w:ascii="宋体" w:hAnsi="宋体"/>
          <w:sz w:val="21"/>
          <w:szCs w:val="21"/>
        </w:rPr>
        <w:t>（4）其他付款方认可的收款凭证</w:t>
      </w:r>
      <w:r>
        <w:rPr>
          <w:rFonts w:hint="eastAsia" w:ascii="宋体" w:hAnsi="宋体"/>
          <w:sz w:val="21"/>
          <w:szCs w:val="21"/>
          <w:u w:val="single"/>
        </w:rPr>
        <w:t>（注明名称）</w:t>
      </w:r>
      <w:r>
        <w:rPr>
          <w:rFonts w:hint="eastAsia" w:ascii="宋体" w:hAnsi="宋体"/>
          <w:sz w:val="21"/>
          <w:szCs w:val="21"/>
        </w:rPr>
        <w:t>。</w:t>
      </w:r>
    </w:p>
    <w:p w14:paraId="578FF4B9">
      <w:pPr>
        <w:spacing w:after="0" w:line="360" w:lineRule="auto"/>
        <w:jc w:val="both"/>
        <w:rPr>
          <w:rFonts w:ascii="宋体" w:hAnsi="宋体"/>
          <w:sz w:val="21"/>
          <w:szCs w:val="21"/>
        </w:rPr>
      </w:pPr>
      <w:r>
        <w:rPr>
          <w:rFonts w:hint="eastAsia" w:ascii="宋体" w:hAnsi="宋体"/>
          <w:sz w:val="21"/>
          <w:szCs w:val="21"/>
        </w:rPr>
        <w:t>在合同执行中如遇国家对本项目所涉增值税税率进行调整的，甲方将以不含增值税价乘以调整后的税率计算新的含税价格，自国家调整增值税税率政策生效之日起，双方按新的含税价格进行结算。</w:t>
      </w:r>
    </w:p>
    <w:p w14:paraId="48AC4E59">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11</w:t>
      </w:r>
      <w:r>
        <w:rPr>
          <w:rFonts w:ascii="宋体" w:hAnsi="宋体"/>
          <w:sz w:val="21"/>
          <w:szCs w:val="21"/>
        </w:rPr>
        <w:t xml:space="preserve"> </w:t>
      </w:r>
      <w:r>
        <w:rPr>
          <w:rFonts w:hint="eastAsia" w:ascii="宋体" w:hAnsi="宋体"/>
          <w:sz w:val="21"/>
          <w:szCs w:val="21"/>
        </w:rPr>
        <w:t>收款方应按下列第</w:t>
      </w:r>
      <w:r>
        <w:rPr>
          <w:rFonts w:hint="eastAsia" w:ascii="宋体" w:hAnsi="宋体"/>
          <w:sz w:val="21"/>
          <w:szCs w:val="21"/>
          <w:u w:val="single"/>
        </w:rPr>
        <w:t xml:space="preserve"> </w:t>
      </w:r>
      <w:r>
        <w:rPr>
          <w:rFonts w:ascii="宋体" w:hAnsi="宋体"/>
          <w:sz w:val="21"/>
          <w:szCs w:val="21"/>
          <w:u w:val="single"/>
        </w:rPr>
        <w:t>4.9.3</w:t>
      </w:r>
      <w:r>
        <w:rPr>
          <w:rFonts w:hint="eastAsia" w:ascii="宋体" w:hAnsi="宋体"/>
          <w:sz w:val="21"/>
          <w:szCs w:val="21"/>
          <w:u w:val="single"/>
        </w:rPr>
        <w:t xml:space="preserve"> </w:t>
      </w:r>
      <w:r>
        <w:rPr>
          <w:rFonts w:hint="eastAsia" w:ascii="宋体" w:hAnsi="宋体"/>
          <w:sz w:val="21"/>
          <w:szCs w:val="21"/>
        </w:rPr>
        <w:t>款约定的方式向付款方出具符合本合同约定收款凭证。收款方未依约提供，付款方有权暂停支付。</w:t>
      </w:r>
    </w:p>
    <w:p w14:paraId="154690D0">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11.1 每次付款前，收款方应出具与付款方支付金额等额的收款凭证；</w:t>
      </w:r>
    </w:p>
    <w:p w14:paraId="4F2E454B">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11</w:t>
      </w:r>
      <w:r>
        <w:rPr>
          <w:rFonts w:ascii="宋体" w:hAnsi="宋体"/>
          <w:sz w:val="21"/>
          <w:szCs w:val="21"/>
        </w:rPr>
        <w:t>.2</w:t>
      </w:r>
      <w:r>
        <w:rPr>
          <w:rFonts w:hint="eastAsia" w:ascii="宋体" w:hAnsi="宋体"/>
          <w:sz w:val="21"/>
          <w:szCs w:val="21"/>
        </w:rPr>
        <w:t xml:space="preserve"> 第一次付款前，收款方应出具与合同含税总价等额的收款凭证；</w:t>
      </w:r>
    </w:p>
    <w:p w14:paraId="3D251DE5">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11</w:t>
      </w:r>
      <w:r>
        <w:rPr>
          <w:rFonts w:ascii="宋体" w:hAnsi="宋体"/>
          <w:sz w:val="21"/>
          <w:szCs w:val="21"/>
        </w:rPr>
        <w:t xml:space="preserve">.3 </w:t>
      </w:r>
      <w:r>
        <w:rPr>
          <w:rFonts w:hint="eastAsia" w:ascii="宋体" w:hAnsi="宋体"/>
          <w:sz w:val="21"/>
          <w:szCs w:val="21"/>
        </w:rPr>
        <w:t>其他：</w:t>
      </w:r>
      <w:r>
        <w:rPr>
          <w:rFonts w:hint="eastAsia" w:ascii="宋体" w:hAnsi="宋体"/>
          <w:sz w:val="21"/>
          <w:szCs w:val="21"/>
          <w:u w:val="single"/>
        </w:rPr>
        <w:t xml:space="preserve"> 按本合同第</w:t>
      </w:r>
      <w:r>
        <w:rPr>
          <w:rFonts w:ascii="宋体" w:hAnsi="宋体"/>
          <w:sz w:val="21"/>
          <w:szCs w:val="21"/>
          <w:u w:val="single"/>
        </w:rPr>
        <w:t>4</w:t>
      </w:r>
      <w:r>
        <w:rPr>
          <w:rFonts w:hint="eastAsia" w:ascii="宋体" w:hAnsi="宋体"/>
          <w:sz w:val="21"/>
          <w:szCs w:val="21"/>
          <w:u w:val="single"/>
        </w:rPr>
        <w:t>.</w:t>
      </w:r>
      <w:r>
        <w:rPr>
          <w:rFonts w:ascii="宋体" w:hAnsi="宋体"/>
          <w:sz w:val="21"/>
          <w:szCs w:val="21"/>
          <w:u w:val="single"/>
        </w:rPr>
        <w:t>1-4.5</w:t>
      </w:r>
      <w:r>
        <w:rPr>
          <w:rFonts w:hint="eastAsia" w:ascii="宋体" w:hAnsi="宋体"/>
          <w:sz w:val="21"/>
          <w:szCs w:val="21"/>
          <w:u w:val="single"/>
        </w:rPr>
        <w:t>款</w:t>
      </w:r>
      <w:r>
        <w:rPr>
          <w:rFonts w:ascii="宋体" w:hAnsi="宋体"/>
          <w:sz w:val="21"/>
          <w:szCs w:val="21"/>
          <w:u w:val="single"/>
        </w:rPr>
        <w:t>约定执行</w:t>
      </w:r>
      <w:r>
        <w:rPr>
          <w:rFonts w:hint="eastAsia" w:ascii="宋体" w:hAnsi="宋体"/>
          <w:sz w:val="21"/>
          <w:szCs w:val="21"/>
          <w:u w:val="single"/>
        </w:rPr>
        <w:t xml:space="preserve"> </w:t>
      </w:r>
      <w:r>
        <w:rPr>
          <w:rFonts w:hint="eastAsia" w:ascii="宋体" w:hAnsi="宋体"/>
          <w:sz w:val="21"/>
          <w:szCs w:val="21"/>
        </w:rPr>
        <w:t>。</w:t>
      </w:r>
    </w:p>
    <w:p w14:paraId="53F8B740">
      <w:pPr>
        <w:spacing w:after="0" w:line="360" w:lineRule="auto"/>
        <w:jc w:val="both"/>
        <w:rPr>
          <w:rFonts w:ascii="宋体" w:hAnsi="宋体"/>
          <w:sz w:val="21"/>
          <w:szCs w:val="21"/>
        </w:rPr>
      </w:pPr>
      <w:r>
        <w:rPr>
          <w:rFonts w:ascii="宋体" w:hAnsi="宋体"/>
          <w:sz w:val="21"/>
          <w:szCs w:val="21"/>
        </w:rPr>
        <w:t>4</w:t>
      </w:r>
      <w:r>
        <w:rPr>
          <w:rFonts w:hint="eastAsia" w:ascii="宋体" w:hAnsi="宋体"/>
          <w:sz w:val="21"/>
          <w:szCs w:val="21"/>
        </w:rPr>
        <w:t>.12收款方委托其雇员办理收款事宜的，应出具加盖收款方公章的授权委托书，委托书应注明授权办理本合同费用收取事项以及具体授权期限，未出具符合前述要求的有效授权委托书的，付款方可不予办理，导致逾期付款的，不视为付款方违约。</w:t>
      </w:r>
    </w:p>
    <w:p w14:paraId="60CF9874">
      <w:pPr>
        <w:pStyle w:val="2"/>
        <w:spacing w:after="0" w:line="360" w:lineRule="auto"/>
        <w:ind w:left="400"/>
        <w:jc w:val="both"/>
        <w:rPr>
          <w:sz w:val="21"/>
          <w:szCs w:val="21"/>
        </w:rPr>
      </w:pPr>
    </w:p>
    <w:p w14:paraId="1718787A">
      <w:pPr>
        <w:keepNext/>
        <w:keepLines/>
        <w:spacing w:after="0" w:line="360" w:lineRule="auto"/>
        <w:jc w:val="both"/>
        <w:outlineLvl w:val="1"/>
        <w:rPr>
          <w:b/>
          <w:bCs/>
          <w:kern w:val="44"/>
          <w:sz w:val="21"/>
          <w:szCs w:val="21"/>
        </w:rPr>
      </w:pPr>
      <w:bookmarkStart w:id="137" w:name="_Toc18318"/>
      <w:r>
        <w:rPr>
          <w:rFonts w:hint="eastAsia"/>
          <w:b/>
          <w:bCs/>
          <w:kern w:val="44"/>
          <w:sz w:val="21"/>
          <w:szCs w:val="21"/>
        </w:rPr>
        <w:t>5</w:t>
      </w:r>
      <w:r>
        <w:rPr>
          <w:b/>
          <w:bCs/>
          <w:kern w:val="44"/>
          <w:sz w:val="21"/>
          <w:szCs w:val="21"/>
        </w:rPr>
        <w:t xml:space="preserve"> </w:t>
      </w:r>
      <w:r>
        <w:rPr>
          <w:rFonts w:hint="eastAsia"/>
          <w:b/>
          <w:bCs/>
          <w:kern w:val="44"/>
          <w:sz w:val="21"/>
          <w:szCs w:val="21"/>
        </w:rPr>
        <w:t>履约担保</w:t>
      </w:r>
      <w:bookmarkEnd w:id="137"/>
    </w:p>
    <w:p w14:paraId="20D2AE19">
      <w:pPr>
        <w:pStyle w:val="2"/>
        <w:adjustRightInd w:val="0"/>
        <w:snapToGrid w:val="0"/>
        <w:spacing w:after="0" w:line="360" w:lineRule="auto"/>
        <w:ind w:left="0" w:leftChars="0" w:firstLine="0" w:firstLineChars="0"/>
        <w:jc w:val="both"/>
        <w:rPr>
          <w:rFonts w:eastAsiaTheme="minorEastAsia"/>
          <w:bCs/>
          <w:sz w:val="21"/>
          <w:szCs w:val="21"/>
        </w:rPr>
      </w:pPr>
      <w:r>
        <w:rPr>
          <w:rFonts w:hint="eastAsia" w:ascii="宋体" w:hAnsi="宋体" w:cs="宋体"/>
          <w:sz w:val="21"/>
          <w:szCs w:val="21"/>
        </w:rPr>
        <w:t>5.1本合同□不适用</w:t>
      </w:r>
      <w:r>
        <w:rPr>
          <w:rFonts w:hint="eastAsia" w:ascii="宋体" w:hAnsi="宋体" w:cs="宋体"/>
          <w:sz w:val="21"/>
          <w:szCs w:val="21"/>
        </w:rPr>
        <w:sym w:font="Wingdings 2" w:char="0052"/>
      </w:r>
      <w:r>
        <w:rPr>
          <w:rFonts w:hint="eastAsia" w:ascii="宋体" w:hAnsi="宋体" w:cs="宋体"/>
          <w:sz w:val="21"/>
          <w:szCs w:val="21"/>
        </w:rPr>
        <w:t>适用履约担保。担保形式为□履约保证金□银行保函□其他：</w:t>
      </w:r>
      <w:r>
        <w:rPr>
          <w:rFonts w:hint="eastAsia" w:ascii="宋体" w:hAnsi="宋体" w:cs="宋体"/>
          <w:sz w:val="21"/>
          <w:szCs w:val="21"/>
          <w:u w:val="single"/>
        </w:rPr>
        <w:t xml:space="preserve">          </w:t>
      </w:r>
      <w:r>
        <w:rPr>
          <w:rFonts w:hint="eastAsia" w:ascii="宋体" w:hAnsi="宋体" w:cs="宋体"/>
          <w:sz w:val="21"/>
          <w:szCs w:val="21"/>
        </w:rPr>
        <w:t>。履约保证金采用银行转账方式支付至甲方指定账户；银行保函性质为独立保函，乙方向甲方提供的保函应明确保函为无条件的、不可撤销的、见索即付的银行保函。保函中的索赔条件应规定甲方仅需向银行提供付款请求书即可付款，不得要求提供任何其他材料等。</w:t>
      </w:r>
      <w:r>
        <w:rPr>
          <w:rFonts w:hint="eastAsia" w:eastAsiaTheme="minorEastAsia"/>
          <w:bCs/>
          <w:sz w:val="21"/>
          <w:szCs w:val="21"/>
        </w:rPr>
        <w:t>乙方向甲方提供担保公司保函、履约保证保险等其他担保形式的，应同等满足甲方对银行保函的要求</w:t>
      </w:r>
      <w:r>
        <w:rPr>
          <w:rFonts w:hint="eastAsia" w:eastAsiaTheme="minorEastAsia"/>
          <w:bCs/>
          <w:i/>
          <w:sz w:val="21"/>
          <w:szCs w:val="21"/>
        </w:rPr>
        <w:t>。</w:t>
      </w:r>
    </w:p>
    <w:p w14:paraId="4D6DBD63">
      <w:pPr>
        <w:spacing w:after="0" w:line="360" w:lineRule="auto"/>
        <w:jc w:val="both"/>
        <w:rPr>
          <w:rFonts w:ascii="宋体" w:hAnsi="宋体" w:cs="宋体"/>
          <w:sz w:val="21"/>
          <w:szCs w:val="21"/>
        </w:rPr>
      </w:pPr>
      <w:r>
        <w:rPr>
          <w:rFonts w:hint="eastAsia" w:ascii="宋体" w:hAnsi="宋体" w:cs="宋体"/>
          <w:sz w:val="21"/>
          <w:szCs w:val="21"/>
        </w:rPr>
        <w:t>5.2履约担保金额：含税合同总金额的</w:t>
      </w:r>
      <w:r>
        <w:rPr>
          <w:rFonts w:hint="eastAsia" w:ascii="宋体" w:hAnsi="宋体" w:cs="宋体"/>
          <w:sz w:val="21"/>
          <w:szCs w:val="21"/>
          <w:u w:val="single"/>
        </w:rPr>
        <w:t xml:space="preserve">  10   </w:t>
      </w:r>
      <w:r>
        <w:rPr>
          <w:rFonts w:hint="eastAsia" w:ascii="宋体" w:hAnsi="宋体" w:cs="宋体"/>
          <w:sz w:val="21"/>
          <w:szCs w:val="21"/>
        </w:rPr>
        <w:t>%，金额为人民币</w:t>
      </w:r>
      <w:r>
        <w:rPr>
          <w:rFonts w:hint="eastAsia" w:ascii="宋体" w:hAnsi="宋体" w:cs="宋体"/>
          <w:sz w:val="21"/>
          <w:szCs w:val="21"/>
          <w:u w:val="single"/>
        </w:rPr>
        <w:t xml:space="preserve">    </w:t>
      </w:r>
      <w:r>
        <w:rPr>
          <w:rFonts w:hint="eastAsia" w:ascii="宋体" w:hAnsi="宋体" w:cs="宋体"/>
          <w:sz w:val="21"/>
          <w:szCs w:val="21"/>
        </w:rPr>
        <w:t>元（大写：</w:t>
      </w:r>
      <w:r>
        <w:rPr>
          <w:rFonts w:hint="eastAsia" w:ascii="宋体" w:hAnsi="宋体" w:cs="宋体"/>
          <w:sz w:val="21"/>
          <w:szCs w:val="21"/>
          <w:u w:val="single"/>
        </w:rPr>
        <w:t xml:space="preserve">     </w:t>
      </w:r>
      <w:r>
        <w:rPr>
          <w:rFonts w:hint="eastAsia" w:ascii="宋体" w:hAnsi="宋体" w:cs="宋体"/>
          <w:sz w:val="21"/>
          <w:szCs w:val="21"/>
        </w:rPr>
        <w:t>元）。</w:t>
      </w:r>
    </w:p>
    <w:p w14:paraId="060763AC">
      <w:pPr>
        <w:spacing w:after="0" w:line="360" w:lineRule="auto"/>
        <w:jc w:val="both"/>
        <w:rPr>
          <w:rFonts w:ascii="宋体" w:hAnsi="宋体" w:cs="宋体"/>
          <w:sz w:val="21"/>
          <w:szCs w:val="21"/>
        </w:rPr>
      </w:pPr>
      <w:r>
        <w:rPr>
          <w:rFonts w:hint="eastAsia" w:ascii="宋体" w:hAnsi="宋体" w:cs="宋体"/>
          <w:sz w:val="21"/>
          <w:szCs w:val="21"/>
        </w:rPr>
        <w:t>5.3履约担保提交时间：乙方应在合同生效之日起</w:t>
      </w:r>
      <w:r>
        <w:rPr>
          <w:rFonts w:hint="eastAsia" w:ascii="宋体" w:hAnsi="宋体" w:cs="宋体"/>
          <w:sz w:val="21"/>
          <w:szCs w:val="21"/>
          <w:u w:val="single"/>
        </w:rPr>
        <w:t xml:space="preserve"> 30  </w:t>
      </w:r>
      <w:r>
        <w:rPr>
          <w:rFonts w:hint="eastAsia" w:ascii="宋体" w:hAnsi="宋体" w:cs="宋体"/>
          <w:sz w:val="21"/>
          <w:szCs w:val="21"/>
        </w:rPr>
        <w:t>日内向甲方按照本合同约定的担保方式提供相应的履约担保。甲方在收到有效的履约担保之前，不向乙方支付任何款项（包括预付款、进度款等）。</w:t>
      </w:r>
    </w:p>
    <w:p w14:paraId="648775C1">
      <w:pPr>
        <w:spacing w:after="0" w:line="360" w:lineRule="auto"/>
        <w:jc w:val="both"/>
        <w:rPr>
          <w:rFonts w:ascii="宋体" w:hAnsi="宋体" w:cs="宋体"/>
          <w:sz w:val="21"/>
          <w:szCs w:val="21"/>
        </w:rPr>
      </w:pPr>
      <w:r>
        <w:rPr>
          <w:rFonts w:hint="eastAsia" w:ascii="宋体" w:hAnsi="宋体" w:cs="宋体"/>
          <w:sz w:val="21"/>
          <w:szCs w:val="21"/>
        </w:rPr>
        <w:t>5.4履约担保期限：履约保证金担保期限自合同生效之起至项目验收合格之日止。银行保函担保期限自保函生效之日起至项目验收合格之日止。保函有效期满，项目尚未验收合格的，乙方应重新提交新的有效保函。</w:t>
      </w:r>
    </w:p>
    <w:p w14:paraId="3BBD56C3">
      <w:pPr>
        <w:spacing w:after="0" w:line="360" w:lineRule="auto"/>
        <w:jc w:val="both"/>
        <w:rPr>
          <w:rFonts w:ascii="宋体" w:hAnsi="宋体" w:cs="宋体"/>
          <w:sz w:val="21"/>
          <w:szCs w:val="21"/>
        </w:rPr>
      </w:pPr>
      <w:r>
        <w:rPr>
          <w:rFonts w:hint="eastAsia" w:ascii="宋体" w:hAnsi="宋体" w:cs="宋体"/>
          <w:sz w:val="21"/>
          <w:szCs w:val="21"/>
        </w:rPr>
        <w:t>5.5履约担保责任承担：发生合同约定的需要追究乙方违约责任的情形时，乙方拒绝支付违约金的，甲方有权从履约保证金中直接扣除相应违约金或请求银行履行保函责任。履约保证金被扣除的，乙方应在接到甲方通知后</w:t>
      </w:r>
      <w:r>
        <w:rPr>
          <w:rFonts w:hint="eastAsia" w:ascii="宋体" w:hAnsi="宋体" w:cs="宋体"/>
          <w:sz w:val="21"/>
          <w:szCs w:val="21"/>
          <w:u w:val="single"/>
        </w:rPr>
        <w:t xml:space="preserve"> 30 </w:t>
      </w:r>
      <w:r>
        <w:rPr>
          <w:rFonts w:hint="eastAsia" w:ascii="宋体" w:hAnsi="宋体" w:cs="宋体"/>
          <w:sz w:val="21"/>
          <w:szCs w:val="21"/>
        </w:rPr>
        <w:t>日内补足履约保证金。</w:t>
      </w:r>
    </w:p>
    <w:p w14:paraId="69B65506">
      <w:pPr>
        <w:spacing w:after="0" w:line="360" w:lineRule="auto"/>
        <w:jc w:val="both"/>
        <w:rPr>
          <w:rFonts w:ascii="宋体" w:hAnsi="宋体" w:cs="宋体"/>
          <w:sz w:val="21"/>
          <w:szCs w:val="21"/>
        </w:rPr>
      </w:pPr>
      <w:r>
        <w:rPr>
          <w:rFonts w:hint="eastAsia" w:ascii="宋体" w:hAnsi="宋体" w:cs="宋体"/>
          <w:sz w:val="21"/>
          <w:szCs w:val="21"/>
        </w:rPr>
        <w:t>5.6履约担保退还：履约担保在乙方按照本合同约定时间、质量标准等要求履行完成全部义务，经甲方验收合格后退还。担保形式为履约保证金的，一次性无息退还；担保形式为银行保函的，退还银行保函。</w:t>
      </w:r>
    </w:p>
    <w:p w14:paraId="12E8AD63">
      <w:pPr>
        <w:spacing w:after="0" w:line="360" w:lineRule="auto"/>
        <w:jc w:val="both"/>
        <w:rPr>
          <w:rFonts w:ascii="宋体" w:hAnsi="宋体" w:cs="宋体"/>
          <w:sz w:val="21"/>
          <w:szCs w:val="21"/>
        </w:rPr>
      </w:pPr>
      <w:r>
        <w:rPr>
          <w:rFonts w:hint="eastAsia" w:ascii="宋体" w:hAnsi="宋体" w:cs="宋体"/>
          <w:sz w:val="21"/>
          <w:szCs w:val="21"/>
        </w:rPr>
        <w:t>5.7乙方未按合同约定期限、金额提交履约担保或补足履约保证金的，每逾期1日，应向甲方支付违约金</w:t>
      </w:r>
      <w:r>
        <w:rPr>
          <w:rFonts w:hint="eastAsia" w:ascii="宋体" w:hAnsi="宋体" w:cs="宋体"/>
          <w:sz w:val="21"/>
          <w:szCs w:val="21"/>
          <w:u w:val="single"/>
        </w:rPr>
        <w:t xml:space="preserve"> 2000  </w:t>
      </w:r>
      <w:r>
        <w:rPr>
          <w:rFonts w:hint="eastAsia" w:ascii="宋体" w:hAnsi="宋体" w:cs="宋体"/>
          <w:sz w:val="21"/>
          <w:szCs w:val="21"/>
        </w:rPr>
        <w:t>元，逾期超过</w:t>
      </w:r>
      <w:r>
        <w:rPr>
          <w:rFonts w:hint="eastAsia" w:ascii="宋体" w:hAnsi="宋体" w:cs="宋体"/>
          <w:sz w:val="21"/>
          <w:szCs w:val="21"/>
          <w:u w:val="single"/>
        </w:rPr>
        <w:t xml:space="preserve"> 30  </w:t>
      </w:r>
      <w:r>
        <w:rPr>
          <w:rFonts w:hint="eastAsia" w:ascii="宋体" w:hAnsi="宋体" w:cs="宋体"/>
          <w:sz w:val="21"/>
          <w:szCs w:val="21"/>
        </w:rPr>
        <w:t>日的，甲方有权书面通知乙方后单方解除本合同，乙方应向甲方支付含税合同总金额</w:t>
      </w:r>
      <w:r>
        <w:rPr>
          <w:rFonts w:hint="eastAsia" w:ascii="宋体" w:hAnsi="宋体" w:cs="宋体"/>
          <w:sz w:val="21"/>
          <w:szCs w:val="21"/>
          <w:u w:val="single"/>
        </w:rPr>
        <w:t xml:space="preserve">    </w:t>
      </w:r>
      <w:r>
        <w:rPr>
          <w:rFonts w:hint="eastAsia" w:ascii="宋体" w:hAnsi="宋体" w:cs="宋体"/>
          <w:sz w:val="21"/>
          <w:szCs w:val="21"/>
        </w:rPr>
        <w:t>%的违约金。</w:t>
      </w:r>
    </w:p>
    <w:p w14:paraId="03505927">
      <w:pPr>
        <w:pStyle w:val="2"/>
        <w:spacing w:after="0" w:line="360" w:lineRule="auto"/>
        <w:ind w:left="400"/>
        <w:jc w:val="both"/>
        <w:rPr>
          <w:sz w:val="21"/>
          <w:szCs w:val="21"/>
        </w:rPr>
      </w:pPr>
    </w:p>
    <w:p w14:paraId="3C78EAC2">
      <w:pPr>
        <w:keepNext/>
        <w:keepLines/>
        <w:spacing w:after="0" w:line="360" w:lineRule="auto"/>
        <w:jc w:val="both"/>
        <w:outlineLvl w:val="1"/>
        <w:rPr>
          <w:b/>
          <w:bCs/>
          <w:kern w:val="44"/>
          <w:sz w:val="21"/>
          <w:szCs w:val="21"/>
        </w:rPr>
      </w:pPr>
      <w:bookmarkStart w:id="138" w:name="_Toc90007499"/>
      <w:bookmarkStart w:id="139" w:name="_Toc20842"/>
      <w:r>
        <w:rPr>
          <w:b/>
          <w:bCs/>
          <w:kern w:val="44"/>
          <w:sz w:val="21"/>
          <w:szCs w:val="21"/>
        </w:rPr>
        <w:t>6</w:t>
      </w:r>
      <w:r>
        <w:rPr>
          <w:rFonts w:hint="eastAsia"/>
          <w:b/>
          <w:bCs/>
          <w:kern w:val="44"/>
          <w:sz w:val="21"/>
          <w:szCs w:val="21"/>
        </w:rPr>
        <w:t xml:space="preserve"> 质量保证</w:t>
      </w:r>
      <w:bookmarkEnd w:id="138"/>
      <w:bookmarkEnd w:id="139"/>
    </w:p>
    <w:p w14:paraId="05D2FA29">
      <w:pPr>
        <w:spacing w:after="0" w:line="360" w:lineRule="auto"/>
        <w:jc w:val="both"/>
        <w:rPr>
          <w:rFonts w:ascii="宋体" w:hAnsi="宋体"/>
          <w:sz w:val="21"/>
          <w:szCs w:val="21"/>
        </w:rPr>
      </w:pPr>
      <w:r>
        <w:rPr>
          <w:rFonts w:hint="eastAsia" w:ascii="宋体" w:hAnsi="宋体"/>
          <w:sz w:val="21"/>
          <w:szCs w:val="21"/>
        </w:rPr>
        <w:t>6.1质量保证内容</w:t>
      </w:r>
    </w:p>
    <w:p w14:paraId="09D3ADAC">
      <w:pPr>
        <w:spacing w:after="0" w:line="360" w:lineRule="auto"/>
        <w:jc w:val="both"/>
        <w:rPr>
          <w:rFonts w:ascii="宋体" w:hAnsi="宋体"/>
          <w:sz w:val="21"/>
          <w:szCs w:val="21"/>
        </w:rPr>
      </w:pPr>
      <w:r>
        <w:rPr>
          <w:rFonts w:hint="eastAsia" w:ascii="宋体" w:hAnsi="宋体"/>
          <w:sz w:val="21"/>
          <w:szCs w:val="21"/>
        </w:rPr>
        <w:t>包含乙方对整体项目实施内容的质量保证、项目所涉软硬件的原厂质保及相应的技术服务支持等内容的质量保证。</w:t>
      </w:r>
    </w:p>
    <w:p w14:paraId="18BA4A7F">
      <w:pPr>
        <w:spacing w:after="0" w:line="360" w:lineRule="auto"/>
        <w:jc w:val="both"/>
        <w:rPr>
          <w:rFonts w:ascii="宋体" w:hAnsi="宋体"/>
          <w:sz w:val="21"/>
          <w:szCs w:val="21"/>
        </w:rPr>
      </w:pPr>
      <w:r>
        <w:rPr>
          <w:rFonts w:hint="eastAsia" w:ascii="宋体" w:hAnsi="宋体"/>
          <w:sz w:val="21"/>
          <w:szCs w:val="21"/>
        </w:rPr>
        <w:t>6.2质量保证期</w:t>
      </w:r>
    </w:p>
    <w:p w14:paraId="3DC8A7A7">
      <w:pPr>
        <w:spacing w:after="0" w:line="360" w:lineRule="auto"/>
        <w:jc w:val="both"/>
        <w:rPr>
          <w:rFonts w:ascii="宋体" w:hAnsi="宋体"/>
          <w:sz w:val="21"/>
          <w:szCs w:val="21"/>
        </w:rPr>
      </w:pPr>
      <w:r>
        <w:rPr>
          <w:rFonts w:hint="eastAsia" w:ascii="宋体" w:hAnsi="宋体"/>
          <w:sz w:val="21"/>
          <w:szCs w:val="21"/>
        </w:rPr>
        <w:t>本项目自竣工验收合格之日起，乙方提供</w:t>
      </w:r>
      <w:r>
        <w:rPr>
          <w:rFonts w:hint="eastAsia" w:ascii="宋体" w:hAnsi="宋体"/>
          <w:sz w:val="21"/>
          <w:szCs w:val="21"/>
          <w:u w:val="single"/>
        </w:rPr>
        <w:t xml:space="preserve">   </w:t>
      </w:r>
      <w:r>
        <w:rPr>
          <w:rFonts w:hint="eastAsia" w:ascii="宋体" w:hAnsi="宋体"/>
          <w:sz w:val="21"/>
          <w:szCs w:val="21"/>
        </w:rPr>
        <w:t>年的质量保证服务。</w:t>
      </w:r>
    </w:p>
    <w:p w14:paraId="55D49060">
      <w:pPr>
        <w:pStyle w:val="17"/>
        <w:spacing w:after="0" w:line="360" w:lineRule="auto"/>
        <w:ind w:firstLine="0"/>
        <w:jc w:val="both"/>
        <w:rPr>
          <w:rFonts w:ascii="宋体" w:hAnsi="宋体"/>
          <w:sz w:val="21"/>
          <w:szCs w:val="21"/>
        </w:rPr>
      </w:pPr>
      <w:r>
        <w:rPr>
          <w:rFonts w:hint="eastAsia" w:ascii="宋体" w:hAnsi="宋体"/>
          <w:sz w:val="21"/>
          <w:szCs w:val="21"/>
        </w:rPr>
        <w:t>6.3 乙方常年为甲方提供有关本系统的技术咨询。</w:t>
      </w:r>
    </w:p>
    <w:p w14:paraId="56B3A37E">
      <w:pPr>
        <w:pStyle w:val="17"/>
        <w:spacing w:after="0" w:line="360" w:lineRule="auto"/>
        <w:ind w:firstLine="0"/>
        <w:jc w:val="both"/>
        <w:rPr>
          <w:rFonts w:ascii="宋体" w:hAnsi="宋体"/>
          <w:sz w:val="21"/>
          <w:szCs w:val="21"/>
        </w:rPr>
      </w:pPr>
      <w:r>
        <w:rPr>
          <w:rFonts w:hint="eastAsia" w:ascii="宋体" w:hAnsi="宋体"/>
          <w:sz w:val="21"/>
          <w:szCs w:val="21"/>
        </w:rPr>
        <w:t>6.4 不可抗力因素导致的灾难性破坏，人为损坏或被盗，不在本系统的免费维护范围内。</w:t>
      </w:r>
    </w:p>
    <w:p w14:paraId="4493F2D6">
      <w:pPr>
        <w:pStyle w:val="17"/>
        <w:spacing w:after="0" w:line="360" w:lineRule="auto"/>
        <w:ind w:firstLine="0"/>
        <w:jc w:val="both"/>
        <w:rPr>
          <w:rFonts w:ascii="宋体" w:hAnsi="宋体"/>
          <w:sz w:val="21"/>
          <w:szCs w:val="21"/>
        </w:rPr>
      </w:pPr>
      <w:r>
        <w:rPr>
          <w:rFonts w:hint="eastAsia" w:ascii="宋体" w:hAnsi="宋体"/>
          <w:sz w:val="21"/>
          <w:szCs w:val="21"/>
        </w:rPr>
        <w:t>6</w:t>
      </w:r>
      <w:r>
        <w:rPr>
          <w:rFonts w:ascii="宋体" w:hAnsi="宋体"/>
          <w:sz w:val="21"/>
          <w:szCs w:val="21"/>
        </w:rPr>
        <w:t xml:space="preserve">.5 </w:t>
      </w:r>
      <w:r>
        <w:rPr>
          <w:rFonts w:hint="eastAsia" w:ascii="宋体" w:hAnsi="宋体"/>
          <w:sz w:val="21"/>
          <w:szCs w:val="21"/>
        </w:rPr>
        <w:t>质量保证期间，具体责任如下：</w:t>
      </w:r>
    </w:p>
    <w:p w14:paraId="7AD7E251">
      <w:pPr>
        <w:spacing w:after="0" w:line="360" w:lineRule="auto"/>
        <w:jc w:val="both"/>
        <w:rPr>
          <w:rFonts w:ascii="宋体" w:hAnsi="宋体"/>
          <w:sz w:val="21"/>
          <w:szCs w:val="21"/>
        </w:rPr>
      </w:pPr>
      <w:r>
        <w:rPr>
          <w:rFonts w:hint="eastAsia" w:ascii="宋体" w:hAnsi="宋体"/>
          <w:sz w:val="21"/>
          <w:szCs w:val="21"/>
        </w:rPr>
        <w:t>（1）乙方负责对系统进行维护；</w:t>
      </w:r>
    </w:p>
    <w:p w14:paraId="471230D1">
      <w:pPr>
        <w:spacing w:after="0" w:line="360" w:lineRule="auto"/>
        <w:jc w:val="both"/>
        <w:rPr>
          <w:rFonts w:ascii="宋体" w:hAnsi="宋体"/>
          <w:sz w:val="21"/>
          <w:szCs w:val="21"/>
        </w:rPr>
      </w:pPr>
      <w:r>
        <w:rPr>
          <w:rFonts w:hint="eastAsia" w:ascii="宋体" w:hAnsi="宋体"/>
          <w:sz w:val="21"/>
          <w:szCs w:val="21"/>
        </w:rPr>
        <w:t>（2）质量保证期内非操作原因出现软硬件故障/瘫痪，乙方确保在接到甲方通知24小时内到达甲方现场，予以排除故障，其间的费用由乙方承担；</w:t>
      </w:r>
    </w:p>
    <w:p w14:paraId="1FE79147">
      <w:pPr>
        <w:spacing w:after="0" w:line="360" w:lineRule="auto"/>
        <w:jc w:val="both"/>
        <w:rPr>
          <w:rFonts w:ascii="宋体" w:hAnsi="宋体"/>
          <w:sz w:val="21"/>
          <w:szCs w:val="21"/>
        </w:rPr>
      </w:pPr>
      <w:r>
        <w:rPr>
          <w:rFonts w:hint="eastAsia" w:ascii="宋体" w:hAnsi="宋体"/>
          <w:sz w:val="21"/>
          <w:szCs w:val="21"/>
        </w:rPr>
        <w:t>（3）质量保证期内因操作原因出现软硬件故障/瘫痪，乙方确保在接到甲方通知24小时内到达甲方现场，其间更换零部件费用由甲方承担；</w:t>
      </w:r>
    </w:p>
    <w:p w14:paraId="11BD11FC">
      <w:pPr>
        <w:pStyle w:val="17"/>
        <w:spacing w:after="0" w:line="360" w:lineRule="auto"/>
        <w:ind w:firstLine="0"/>
        <w:jc w:val="both"/>
        <w:rPr>
          <w:rFonts w:ascii="宋体" w:hAnsi="宋体"/>
          <w:sz w:val="21"/>
          <w:szCs w:val="21"/>
        </w:rPr>
      </w:pPr>
      <w:r>
        <w:rPr>
          <w:rFonts w:hint="eastAsia" w:ascii="宋体" w:hAnsi="宋体"/>
          <w:sz w:val="21"/>
          <w:szCs w:val="21"/>
        </w:rPr>
        <w:t>（4）当系统发生故障时，甲方系统管理员应能够做出适当的处理并通过填写故障原因，将故障现象传达给乙方，特殊情况可事后补故障单；</w:t>
      </w:r>
    </w:p>
    <w:p w14:paraId="1D67A513">
      <w:pPr>
        <w:pStyle w:val="17"/>
        <w:spacing w:after="0" w:line="360" w:lineRule="auto"/>
        <w:ind w:firstLine="0"/>
        <w:jc w:val="both"/>
        <w:rPr>
          <w:rFonts w:ascii="宋体" w:hAnsi="宋体"/>
          <w:sz w:val="21"/>
          <w:szCs w:val="21"/>
        </w:rPr>
      </w:pPr>
      <w:r>
        <w:rPr>
          <w:rFonts w:hint="eastAsia" w:ascii="宋体" w:hAnsi="宋体"/>
          <w:sz w:val="21"/>
          <w:szCs w:val="21"/>
        </w:rPr>
        <w:t>（5）甲方应提供合适的环境以供乙方进行维护工作，除非甚为必要并在不影响生产经营的前提时，允许中断正在运行的通讯线路；</w:t>
      </w:r>
    </w:p>
    <w:p w14:paraId="2C348A0B">
      <w:pPr>
        <w:pStyle w:val="17"/>
        <w:spacing w:after="0" w:line="360" w:lineRule="auto"/>
        <w:ind w:firstLine="0"/>
        <w:jc w:val="both"/>
        <w:rPr>
          <w:rFonts w:ascii="宋体" w:hAnsi="宋体"/>
          <w:sz w:val="21"/>
          <w:szCs w:val="21"/>
        </w:rPr>
      </w:pPr>
      <w:r>
        <w:rPr>
          <w:rFonts w:hint="eastAsia" w:ascii="宋体" w:hAnsi="宋体"/>
          <w:sz w:val="21"/>
          <w:szCs w:val="21"/>
        </w:rPr>
        <w:t>（6）故障修复后双方应共同确认。</w:t>
      </w:r>
    </w:p>
    <w:p w14:paraId="76A08E0D">
      <w:pPr>
        <w:spacing w:after="0" w:line="360" w:lineRule="auto"/>
        <w:jc w:val="both"/>
        <w:rPr>
          <w:rFonts w:ascii="宋体" w:hAnsi="宋体"/>
          <w:sz w:val="21"/>
          <w:szCs w:val="21"/>
        </w:rPr>
      </w:pPr>
      <w:r>
        <w:rPr>
          <w:rFonts w:hint="eastAsia" w:ascii="宋体" w:hAnsi="宋体"/>
          <w:sz w:val="21"/>
          <w:szCs w:val="21"/>
        </w:rPr>
        <w:t>6.</w:t>
      </w:r>
      <w:r>
        <w:rPr>
          <w:rFonts w:ascii="宋体" w:hAnsi="宋体"/>
          <w:sz w:val="21"/>
          <w:szCs w:val="21"/>
        </w:rPr>
        <w:t xml:space="preserve">6 </w:t>
      </w:r>
      <w:r>
        <w:rPr>
          <w:rFonts w:hint="eastAsia" w:ascii="宋体" w:hAnsi="宋体"/>
          <w:sz w:val="21"/>
          <w:szCs w:val="21"/>
        </w:rPr>
        <w:t>乙方质保联系人：</w:t>
      </w:r>
      <w:r>
        <w:rPr>
          <w:rFonts w:hint="eastAsia" w:ascii="宋体" w:hAnsi="宋体" w:cs="宋体"/>
          <w:sz w:val="21"/>
          <w:szCs w:val="21"/>
          <w:u w:val="single"/>
        </w:rPr>
        <w:t xml:space="preserve">    </w:t>
      </w:r>
      <w:r>
        <w:rPr>
          <w:rFonts w:hint="eastAsia" w:ascii="宋体" w:hAnsi="宋体"/>
          <w:sz w:val="21"/>
          <w:szCs w:val="21"/>
        </w:rPr>
        <w:t>，联系电话</w:t>
      </w:r>
      <w:r>
        <w:rPr>
          <w:rFonts w:hint="eastAsia" w:ascii="宋体" w:hAnsi="宋体" w:cs="宋体"/>
          <w:sz w:val="21"/>
          <w:szCs w:val="21"/>
          <w:u w:val="single"/>
        </w:rPr>
        <w:t xml:space="preserve">    </w:t>
      </w:r>
      <w:r>
        <w:rPr>
          <w:rFonts w:hint="eastAsia" w:ascii="宋体" w:hAnsi="宋体"/>
          <w:sz w:val="21"/>
          <w:szCs w:val="21"/>
        </w:rPr>
        <w:t>。</w:t>
      </w:r>
    </w:p>
    <w:p w14:paraId="0876828F">
      <w:pPr>
        <w:spacing w:after="0" w:line="360" w:lineRule="auto"/>
        <w:jc w:val="both"/>
        <w:rPr>
          <w:rFonts w:ascii="宋体" w:hAnsi="宋体"/>
          <w:sz w:val="21"/>
          <w:szCs w:val="21"/>
        </w:rPr>
      </w:pPr>
    </w:p>
    <w:p w14:paraId="48A4DF47">
      <w:pPr>
        <w:keepNext/>
        <w:keepLines/>
        <w:spacing w:after="0" w:line="360" w:lineRule="auto"/>
        <w:jc w:val="both"/>
        <w:outlineLvl w:val="1"/>
        <w:rPr>
          <w:b/>
          <w:bCs/>
          <w:kern w:val="44"/>
          <w:sz w:val="21"/>
          <w:szCs w:val="21"/>
        </w:rPr>
      </w:pPr>
      <w:bookmarkStart w:id="140" w:name="_Toc17290"/>
      <w:r>
        <w:rPr>
          <w:b/>
          <w:bCs/>
          <w:kern w:val="44"/>
          <w:sz w:val="21"/>
          <w:szCs w:val="21"/>
        </w:rPr>
        <w:t>7</w:t>
      </w:r>
      <w:r>
        <w:rPr>
          <w:rFonts w:hint="eastAsia"/>
          <w:b/>
          <w:bCs/>
          <w:kern w:val="44"/>
          <w:sz w:val="21"/>
          <w:szCs w:val="21"/>
        </w:rPr>
        <w:t xml:space="preserve"> 合同工期</w:t>
      </w:r>
      <w:bookmarkEnd w:id="140"/>
    </w:p>
    <w:p w14:paraId="457B68E9">
      <w:pPr>
        <w:spacing w:after="0" w:line="360" w:lineRule="auto"/>
        <w:jc w:val="both"/>
        <w:rPr>
          <w:rFonts w:ascii="宋体" w:hAnsi="宋体"/>
          <w:sz w:val="21"/>
          <w:szCs w:val="21"/>
        </w:rPr>
      </w:pPr>
      <w:r>
        <w:rPr>
          <w:rFonts w:hint="eastAsia" w:ascii="宋体" w:hAnsi="宋体"/>
          <w:sz w:val="21"/>
          <w:szCs w:val="21"/>
        </w:rPr>
        <w:t>项目建设</w:t>
      </w:r>
      <w:r>
        <w:rPr>
          <w:rFonts w:ascii="宋体" w:hAnsi="宋体"/>
          <w:sz w:val="21"/>
          <w:szCs w:val="21"/>
        </w:rPr>
        <w:t>工期为</w:t>
      </w:r>
      <w:r>
        <w:rPr>
          <w:rFonts w:hint="eastAsia" w:ascii="宋体" w:hAnsi="宋体"/>
          <w:sz w:val="21"/>
          <w:szCs w:val="21"/>
        </w:rPr>
        <w:t>累计     日</w:t>
      </w:r>
      <w:r>
        <w:rPr>
          <w:rFonts w:ascii="宋体" w:hAnsi="宋体"/>
          <w:sz w:val="21"/>
          <w:szCs w:val="21"/>
        </w:rPr>
        <w:t>，</w:t>
      </w:r>
      <w:r>
        <w:rPr>
          <w:rFonts w:hint="eastAsia" w:ascii="宋体" w:hAnsi="宋体"/>
          <w:sz w:val="21"/>
          <w:szCs w:val="21"/>
        </w:rPr>
        <w:t>合同签订后，自招标人发出开工通知书之日起计算工期，</w:t>
      </w:r>
      <w:r>
        <w:rPr>
          <w:rFonts w:ascii="宋体" w:hAnsi="宋体"/>
          <w:sz w:val="21"/>
          <w:szCs w:val="21"/>
        </w:rPr>
        <w:t>至</w:t>
      </w:r>
      <w:r>
        <w:rPr>
          <w:rFonts w:hint="eastAsia" w:ascii="宋体" w:hAnsi="宋体"/>
          <w:sz w:val="21"/>
          <w:szCs w:val="21"/>
        </w:rPr>
        <w:t>系统</w:t>
      </w:r>
      <w:r>
        <w:rPr>
          <w:rFonts w:ascii="宋体" w:hAnsi="宋体"/>
          <w:sz w:val="21"/>
          <w:szCs w:val="21"/>
        </w:rPr>
        <w:t>上线</w:t>
      </w:r>
      <w:r>
        <w:rPr>
          <w:rFonts w:hint="eastAsia" w:ascii="宋体" w:hAnsi="宋体"/>
          <w:sz w:val="21"/>
          <w:szCs w:val="21"/>
        </w:rPr>
        <w:t>试运行周期结束为止。</w:t>
      </w:r>
    </w:p>
    <w:p w14:paraId="2A749EFE">
      <w:pPr>
        <w:spacing w:after="0" w:line="360" w:lineRule="auto"/>
        <w:jc w:val="both"/>
        <w:rPr>
          <w:rStyle w:val="73"/>
          <w:rFonts w:ascii="Arial" w:hAnsi="Arial"/>
          <w:b/>
          <w:bCs/>
          <w:kern w:val="44"/>
        </w:rPr>
      </w:pPr>
      <w:r>
        <w:rPr>
          <w:rFonts w:hint="eastAsia" w:ascii="宋体" w:hAnsi="宋体"/>
          <w:sz w:val="21"/>
          <w:szCs w:val="21"/>
        </w:rPr>
        <w:t>其中系统</w:t>
      </w:r>
      <w:r>
        <w:rPr>
          <w:rFonts w:ascii="宋体" w:hAnsi="宋体"/>
          <w:sz w:val="21"/>
          <w:szCs w:val="21"/>
        </w:rPr>
        <w:t>上线试运行</w:t>
      </w:r>
      <w:r>
        <w:rPr>
          <w:rFonts w:hint="eastAsia" w:ascii="宋体" w:hAnsi="宋体"/>
          <w:sz w:val="21"/>
          <w:szCs w:val="21"/>
        </w:rPr>
        <w:t>周期为__3__个</w:t>
      </w:r>
      <w:r>
        <w:rPr>
          <w:rFonts w:ascii="宋体" w:hAnsi="宋体"/>
          <w:sz w:val="21"/>
          <w:szCs w:val="21"/>
        </w:rPr>
        <w:t>月。</w:t>
      </w:r>
    </w:p>
    <w:p w14:paraId="570442C6">
      <w:pPr>
        <w:pStyle w:val="2"/>
        <w:spacing w:after="0" w:line="360" w:lineRule="auto"/>
        <w:ind w:left="0" w:leftChars="0" w:firstLine="0" w:firstLineChars="0"/>
        <w:jc w:val="both"/>
        <w:rPr>
          <w:sz w:val="21"/>
          <w:szCs w:val="21"/>
        </w:rPr>
      </w:pPr>
    </w:p>
    <w:p w14:paraId="5982913A">
      <w:pPr>
        <w:keepNext/>
        <w:keepLines/>
        <w:spacing w:after="0" w:line="360" w:lineRule="auto"/>
        <w:jc w:val="both"/>
        <w:outlineLvl w:val="1"/>
        <w:rPr>
          <w:b/>
          <w:bCs/>
          <w:kern w:val="44"/>
          <w:sz w:val="21"/>
          <w:szCs w:val="21"/>
        </w:rPr>
      </w:pPr>
      <w:bookmarkStart w:id="141" w:name="_Toc90007496"/>
      <w:bookmarkStart w:id="142" w:name="_Toc25662"/>
      <w:r>
        <w:rPr>
          <w:b/>
          <w:bCs/>
          <w:kern w:val="44"/>
          <w:sz w:val="21"/>
          <w:szCs w:val="21"/>
        </w:rPr>
        <w:t>8</w:t>
      </w:r>
      <w:r>
        <w:rPr>
          <w:rFonts w:hint="eastAsia"/>
          <w:b/>
          <w:bCs/>
          <w:kern w:val="44"/>
          <w:sz w:val="21"/>
          <w:szCs w:val="21"/>
        </w:rPr>
        <w:t xml:space="preserve"> 技术要求</w:t>
      </w:r>
      <w:bookmarkEnd w:id="141"/>
      <w:r>
        <w:rPr>
          <w:rFonts w:hint="eastAsia"/>
          <w:b/>
          <w:bCs/>
          <w:kern w:val="44"/>
          <w:sz w:val="21"/>
          <w:szCs w:val="21"/>
        </w:rPr>
        <w:t>和制造要求</w:t>
      </w:r>
      <w:bookmarkEnd w:id="142"/>
    </w:p>
    <w:p w14:paraId="010A3C1C">
      <w:pPr>
        <w:spacing w:after="0" w:line="360" w:lineRule="auto"/>
        <w:jc w:val="both"/>
        <w:rPr>
          <w:rFonts w:ascii="宋体" w:hAnsi="宋体"/>
          <w:sz w:val="21"/>
          <w:szCs w:val="21"/>
        </w:rPr>
      </w:pPr>
      <w:r>
        <w:rPr>
          <w:rFonts w:ascii="宋体" w:hAnsi="宋体"/>
          <w:sz w:val="21"/>
          <w:szCs w:val="21"/>
        </w:rPr>
        <w:t>8</w:t>
      </w:r>
      <w:r>
        <w:rPr>
          <w:rFonts w:hint="eastAsia" w:ascii="宋体" w:hAnsi="宋体"/>
          <w:sz w:val="21"/>
          <w:szCs w:val="21"/>
        </w:rPr>
        <w:t>.1乙方</w:t>
      </w:r>
      <w:r>
        <w:rPr>
          <w:rFonts w:ascii="宋体" w:hAnsi="宋体"/>
          <w:sz w:val="21"/>
          <w:szCs w:val="21"/>
        </w:rPr>
        <w:t>提供的</w:t>
      </w:r>
      <w:r>
        <w:rPr>
          <w:rFonts w:hint="eastAsia" w:ascii="宋体" w:hAnsi="宋体"/>
          <w:sz w:val="21"/>
          <w:szCs w:val="21"/>
        </w:rPr>
        <w:t>软硬件的操作条件、技术要求、供货范围、性能保证及设计、制造、检验采用的标准规范等规定按“完标方案”的相应规定执行。对于软硬件的制造技术要求等其它在“完标方案”中未作具体规定的，按国家标准、若无国家标准则按行业标准，若以上均无则按乙方企业标准及甲方需求执行。</w:t>
      </w:r>
    </w:p>
    <w:p w14:paraId="00B0B014">
      <w:pPr>
        <w:spacing w:after="0" w:line="360" w:lineRule="auto"/>
        <w:jc w:val="both"/>
        <w:rPr>
          <w:rFonts w:ascii="宋体" w:hAnsi="宋体"/>
          <w:sz w:val="21"/>
          <w:szCs w:val="21"/>
        </w:rPr>
      </w:pPr>
      <w:r>
        <w:rPr>
          <w:rFonts w:ascii="宋体" w:hAnsi="宋体"/>
          <w:sz w:val="21"/>
          <w:szCs w:val="21"/>
        </w:rPr>
        <w:t>8</w:t>
      </w:r>
      <w:r>
        <w:rPr>
          <w:rFonts w:hint="eastAsia" w:ascii="宋体" w:hAnsi="宋体"/>
          <w:sz w:val="21"/>
          <w:szCs w:val="21"/>
        </w:rPr>
        <w:t>.2软硬件各部件的型号和选材应是“完标方案”所指定的标准、品牌或制造厂原产产品。</w:t>
      </w:r>
    </w:p>
    <w:p w14:paraId="155FA1B2">
      <w:pPr>
        <w:spacing w:after="0" w:line="360" w:lineRule="auto"/>
        <w:jc w:val="both"/>
        <w:rPr>
          <w:rFonts w:ascii="宋体" w:hAnsi="宋体"/>
          <w:sz w:val="21"/>
          <w:szCs w:val="21"/>
        </w:rPr>
      </w:pPr>
      <w:r>
        <w:rPr>
          <w:rFonts w:ascii="宋体" w:hAnsi="宋体"/>
          <w:sz w:val="21"/>
          <w:szCs w:val="21"/>
        </w:rPr>
        <w:t>8</w:t>
      </w:r>
      <w:r>
        <w:rPr>
          <w:rFonts w:hint="eastAsia" w:ascii="宋体" w:hAnsi="宋体"/>
          <w:sz w:val="21"/>
          <w:szCs w:val="21"/>
        </w:rPr>
        <w:t>.3乙方应确保所提供的软硬件、部件及用材是全新的、配置齐全的、技术先进的、未被淘汰的。</w:t>
      </w:r>
    </w:p>
    <w:p w14:paraId="10CAF202">
      <w:pPr>
        <w:spacing w:after="0" w:line="360" w:lineRule="auto"/>
        <w:jc w:val="both"/>
        <w:rPr>
          <w:rFonts w:ascii="宋体" w:hAnsi="宋体"/>
          <w:sz w:val="21"/>
          <w:szCs w:val="21"/>
        </w:rPr>
      </w:pPr>
      <w:r>
        <w:rPr>
          <w:rFonts w:ascii="宋体" w:hAnsi="宋体"/>
          <w:sz w:val="21"/>
          <w:szCs w:val="21"/>
        </w:rPr>
        <w:t>8</w:t>
      </w:r>
      <w:r>
        <w:rPr>
          <w:rFonts w:hint="eastAsia" w:ascii="宋体" w:hAnsi="宋体"/>
          <w:sz w:val="21"/>
          <w:szCs w:val="21"/>
        </w:rPr>
        <w:t>.4乙方保证其交付甲方的软硬件，不会侵犯第三方的合法权利。甲方使用乙方软硬件免受第三方提出的侵犯其著作权、专利权、商标权或其他知识产权的起诉。如发生第三方指控甲方侵权的，乙方应承担违约责任，赔偿甲方因此遭受的一切损失（包括但不限于甲方因该等侵权指控发生的诉讼费、律师费、任何侵权赔偿款项等）</w:t>
      </w:r>
    </w:p>
    <w:p w14:paraId="54B2F4BB">
      <w:pPr>
        <w:pStyle w:val="2"/>
        <w:spacing w:after="0" w:line="360" w:lineRule="auto"/>
        <w:ind w:left="400"/>
        <w:jc w:val="both"/>
        <w:rPr>
          <w:sz w:val="21"/>
          <w:szCs w:val="21"/>
        </w:rPr>
      </w:pPr>
    </w:p>
    <w:p w14:paraId="70637C64">
      <w:pPr>
        <w:keepNext/>
        <w:keepLines/>
        <w:spacing w:after="0" w:line="360" w:lineRule="auto"/>
        <w:jc w:val="both"/>
        <w:outlineLvl w:val="1"/>
        <w:rPr>
          <w:b/>
          <w:bCs/>
          <w:kern w:val="44"/>
          <w:sz w:val="21"/>
          <w:szCs w:val="21"/>
        </w:rPr>
      </w:pPr>
      <w:bookmarkStart w:id="143" w:name="_Toc90007497"/>
      <w:bookmarkStart w:id="144" w:name="_Toc27220"/>
      <w:r>
        <w:rPr>
          <w:b/>
          <w:bCs/>
          <w:kern w:val="44"/>
          <w:sz w:val="21"/>
          <w:szCs w:val="21"/>
        </w:rPr>
        <w:t>9</w:t>
      </w:r>
      <w:r>
        <w:rPr>
          <w:rFonts w:hint="eastAsia"/>
          <w:b/>
          <w:bCs/>
          <w:kern w:val="44"/>
          <w:sz w:val="21"/>
          <w:szCs w:val="21"/>
        </w:rPr>
        <w:t xml:space="preserve"> 包装与标记</w:t>
      </w:r>
      <w:bookmarkEnd w:id="143"/>
      <w:bookmarkEnd w:id="144"/>
    </w:p>
    <w:p w14:paraId="33A7F161">
      <w:pPr>
        <w:spacing w:after="0" w:line="360" w:lineRule="auto"/>
        <w:jc w:val="both"/>
        <w:rPr>
          <w:rFonts w:ascii="宋体" w:hAnsi="宋体"/>
          <w:sz w:val="21"/>
          <w:szCs w:val="21"/>
        </w:rPr>
      </w:pPr>
      <w:r>
        <w:rPr>
          <w:rFonts w:ascii="宋体" w:hAnsi="宋体"/>
          <w:sz w:val="21"/>
          <w:szCs w:val="21"/>
        </w:rPr>
        <w:t>9</w:t>
      </w:r>
      <w:r>
        <w:rPr>
          <w:rFonts w:hint="eastAsia" w:ascii="宋体" w:hAnsi="宋体"/>
          <w:sz w:val="21"/>
          <w:szCs w:val="21"/>
        </w:rPr>
        <w:t>.1乙方交付的所有软硬件要符合包装储运指示标志的规定及国家主管机关的规定，具有适合长途运输、多次搬运和装卸的坚固包装。包装应保证在运输、装卸过程中完好无损，并有减震、防冲击的措施。</w:t>
      </w:r>
    </w:p>
    <w:p w14:paraId="4CE3E330">
      <w:pPr>
        <w:spacing w:after="0" w:line="360" w:lineRule="auto"/>
        <w:jc w:val="both"/>
        <w:rPr>
          <w:rFonts w:ascii="宋体" w:hAnsi="宋体"/>
          <w:sz w:val="21"/>
          <w:szCs w:val="21"/>
        </w:rPr>
      </w:pPr>
      <w:r>
        <w:rPr>
          <w:rFonts w:ascii="宋体" w:hAnsi="宋体"/>
          <w:sz w:val="21"/>
          <w:szCs w:val="21"/>
        </w:rPr>
        <w:t>9</w:t>
      </w:r>
      <w:r>
        <w:rPr>
          <w:rFonts w:hint="eastAsia" w:ascii="宋体" w:hAnsi="宋体"/>
          <w:sz w:val="21"/>
          <w:szCs w:val="21"/>
        </w:rPr>
        <w:t>.2每件包装箱内，应附有包括分件名称、数量、价格、机组号、图号的详细装箱单及合格证。外购件包装箱内应有产品出厂质量合格证明书等。</w:t>
      </w:r>
    </w:p>
    <w:p w14:paraId="5D8F972E">
      <w:pPr>
        <w:spacing w:after="0" w:line="360" w:lineRule="auto"/>
        <w:jc w:val="both"/>
        <w:rPr>
          <w:rFonts w:ascii="宋体" w:hAnsi="宋体"/>
          <w:sz w:val="21"/>
          <w:szCs w:val="21"/>
        </w:rPr>
      </w:pPr>
      <w:r>
        <w:rPr>
          <w:rFonts w:ascii="宋体" w:hAnsi="宋体"/>
          <w:sz w:val="21"/>
          <w:szCs w:val="21"/>
        </w:rPr>
        <w:t>9</w:t>
      </w:r>
      <w:r>
        <w:rPr>
          <w:rFonts w:hint="eastAsia" w:ascii="宋体" w:hAnsi="宋体"/>
          <w:sz w:val="21"/>
          <w:szCs w:val="21"/>
        </w:rPr>
        <w:t>.3备品备件、专用工具应分别包装并注明上述内容。</w:t>
      </w:r>
    </w:p>
    <w:p w14:paraId="68A7AB61">
      <w:pPr>
        <w:spacing w:after="0" w:line="360" w:lineRule="auto"/>
        <w:jc w:val="both"/>
        <w:rPr>
          <w:rFonts w:ascii="宋体" w:hAnsi="宋体"/>
          <w:sz w:val="21"/>
          <w:szCs w:val="21"/>
        </w:rPr>
      </w:pPr>
      <w:r>
        <w:rPr>
          <w:rFonts w:ascii="宋体" w:hAnsi="宋体"/>
          <w:sz w:val="21"/>
          <w:szCs w:val="21"/>
        </w:rPr>
        <w:t>9</w:t>
      </w:r>
      <w:r>
        <w:rPr>
          <w:rFonts w:hint="eastAsia" w:ascii="宋体" w:hAnsi="宋体"/>
          <w:sz w:val="21"/>
          <w:szCs w:val="21"/>
        </w:rPr>
        <w:t>.4凡由于乙方包装或保管不善致使软硬件遭到损坏或丢失时，不论在何时何地发现，一经证实，乙方均应负责及时修理、更换或赔偿。在运输中如发生软硬件损坏和丢失时，乙方负责与承运部门及保险公司交涉，同时乙方应尽快向甲方补供软硬件以满足甲方需要。</w:t>
      </w:r>
    </w:p>
    <w:p w14:paraId="0366A91E">
      <w:pPr>
        <w:spacing w:after="0" w:line="360" w:lineRule="auto"/>
        <w:jc w:val="both"/>
        <w:rPr>
          <w:rFonts w:ascii="宋体" w:hAnsi="宋体"/>
          <w:sz w:val="21"/>
          <w:szCs w:val="21"/>
        </w:rPr>
      </w:pPr>
      <w:r>
        <w:rPr>
          <w:rFonts w:ascii="宋体" w:hAnsi="宋体"/>
          <w:sz w:val="21"/>
          <w:szCs w:val="21"/>
        </w:rPr>
        <w:t>9</w:t>
      </w:r>
      <w:r>
        <w:rPr>
          <w:rFonts w:hint="eastAsia" w:ascii="宋体" w:hAnsi="宋体"/>
          <w:sz w:val="21"/>
          <w:szCs w:val="21"/>
        </w:rPr>
        <w:t>.5对于特殊物品(易燃、易爆、有毒物品及其它危险品和运输过程中对温度等环境因素和震动有特殊要求的软硬件或物品)必须特别标明其品名、性质、特殊保护措施、保存方法以及处理意外情况的方法。</w:t>
      </w:r>
    </w:p>
    <w:p w14:paraId="1472A790">
      <w:pPr>
        <w:spacing w:after="0" w:line="360" w:lineRule="auto"/>
        <w:jc w:val="both"/>
        <w:rPr>
          <w:rFonts w:ascii="宋体" w:hAnsi="宋体"/>
          <w:sz w:val="21"/>
          <w:szCs w:val="21"/>
        </w:rPr>
      </w:pPr>
      <w:r>
        <w:rPr>
          <w:rFonts w:ascii="宋体" w:hAnsi="宋体"/>
          <w:sz w:val="21"/>
          <w:szCs w:val="21"/>
        </w:rPr>
        <w:t>9</w:t>
      </w:r>
      <w:r>
        <w:rPr>
          <w:rFonts w:hint="eastAsia" w:ascii="宋体" w:hAnsi="宋体"/>
          <w:sz w:val="21"/>
          <w:szCs w:val="21"/>
        </w:rPr>
        <w:t>.6因乙方包装不当所发生的一切费用和损失，由乙方负担。</w:t>
      </w:r>
    </w:p>
    <w:p w14:paraId="0D92F39E">
      <w:pPr>
        <w:pStyle w:val="2"/>
        <w:spacing w:after="0" w:line="360" w:lineRule="auto"/>
        <w:ind w:left="400"/>
        <w:jc w:val="both"/>
        <w:rPr>
          <w:sz w:val="21"/>
          <w:szCs w:val="21"/>
        </w:rPr>
      </w:pPr>
    </w:p>
    <w:p w14:paraId="59989FA1">
      <w:pPr>
        <w:keepNext/>
        <w:keepLines/>
        <w:spacing w:after="0" w:line="360" w:lineRule="auto"/>
        <w:jc w:val="both"/>
        <w:outlineLvl w:val="1"/>
        <w:rPr>
          <w:b/>
          <w:bCs/>
          <w:kern w:val="44"/>
          <w:sz w:val="21"/>
          <w:szCs w:val="21"/>
        </w:rPr>
      </w:pPr>
      <w:bookmarkStart w:id="145" w:name="_Toc90007498"/>
      <w:bookmarkStart w:id="146" w:name="_Toc30509"/>
      <w:r>
        <w:rPr>
          <w:b/>
          <w:bCs/>
          <w:kern w:val="44"/>
          <w:sz w:val="21"/>
          <w:szCs w:val="21"/>
        </w:rPr>
        <w:t>10</w:t>
      </w:r>
      <w:r>
        <w:rPr>
          <w:rFonts w:hint="eastAsia"/>
          <w:b/>
          <w:bCs/>
          <w:kern w:val="44"/>
          <w:sz w:val="21"/>
          <w:szCs w:val="21"/>
        </w:rPr>
        <w:t xml:space="preserve"> 交货和运输</w:t>
      </w:r>
      <w:bookmarkEnd w:id="145"/>
      <w:bookmarkEnd w:id="146"/>
    </w:p>
    <w:p w14:paraId="4F30DC46">
      <w:pPr>
        <w:spacing w:after="0" w:line="360" w:lineRule="auto"/>
        <w:jc w:val="both"/>
        <w:rPr>
          <w:rFonts w:ascii="宋体" w:hAnsi="宋体"/>
          <w:sz w:val="21"/>
          <w:szCs w:val="21"/>
        </w:rPr>
      </w:pPr>
      <w:r>
        <w:rPr>
          <w:rFonts w:ascii="宋体" w:hAnsi="宋体"/>
          <w:sz w:val="21"/>
          <w:szCs w:val="21"/>
        </w:rPr>
        <w:t>10</w:t>
      </w:r>
      <w:r>
        <w:rPr>
          <w:rFonts w:hint="eastAsia" w:ascii="宋体" w:hAnsi="宋体"/>
          <w:sz w:val="21"/>
          <w:szCs w:val="21"/>
        </w:rPr>
        <w:t>.1收货、安装地点：</w:t>
      </w:r>
      <w:r>
        <w:rPr>
          <w:rFonts w:hint="eastAsia" w:ascii="宋体" w:hAnsi="宋体"/>
          <w:sz w:val="21"/>
          <w:szCs w:val="21"/>
          <w:u w:val="single"/>
        </w:rPr>
        <w:t xml:space="preserve"> 曲靖卷烟厂指定地点 </w:t>
      </w:r>
      <w:r>
        <w:rPr>
          <w:rFonts w:hint="eastAsia" w:ascii="宋体" w:hAnsi="宋体"/>
          <w:sz w:val="21"/>
          <w:szCs w:val="21"/>
        </w:rPr>
        <w:t>。</w:t>
      </w:r>
    </w:p>
    <w:p w14:paraId="207F3BC7">
      <w:pPr>
        <w:spacing w:after="0" w:line="360" w:lineRule="auto"/>
        <w:jc w:val="both"/>
        <w:rPr>
          <w:rFonts w:ascii="宋体" w:hAnsi="宋体"/>
          <w:sz w:val="21"/>
          <w:szCs w:val="21"/>
        </w:rPr>
      </w:pPr>
      <w:r>
        <w:rPr>
          <w:rFonts w:ascii="宋体" w:hAnsi="宋体"/>
          <w:sz w:val="21"/>
          <w:szCs w:val="21"/>
        </w:rPr>
        <w:t>10</w:t>
      </w:r>
      <w:r>
        <w:rPr>
          <w:rFonts w:hint="eastAsia" w:ascii="宋体" w:hAnsi="宋体"/>
          <w:sz w:val="21"/>
          <w:szCs w:val="21"/>
        </w:rPr>
        <w:t>.2运输方式：乙方负责运输，所有运输费用已包含在合同含税总价中。</w:t>
      </w:r>
    </w:p>
    <w:p w14:paraId="4C250CAC">
      <w:pPr>
        <w:spacing w:after="0" w:line="360" w:lineRule="auto"/>
        <w:jc w:val="both"/>
        <w:rPr>
          <w:rFonts w:ascii="宋体" w:hAnsi="宋体"/>
          <w:sz w:val="21"/>
          <w:szCs w:val="21"/>
        </w:rPr>
      </w:pPr>
      <w:r>
        <w:rPr>
          <w:rFonts w:ascii="宋体" w:hAnsi="宋体"/>
          <w:sz w:val="21"/>
          <w:szCs w:val="21"/>
        </w:rPr>
        <w:t>10.</w:t>
      </w:r>
      <w:r>
        <w:rPr>
          <w:rFonts w:hint="eastAsia" w:ascii="宋体" w:hAnsi="宋体"/>
          <w:sz w:val="21"/>
          <w:szCs w:val="21"/>
        </w:rPr>
        <w:t>4在软硬件装车发运后24小时内，乙方应以传真或E-mail等方式将该批软硬件的如下内容通知甲方：运单、总装箱清单、总包装件数、每一件的装箱清单（含各项软硬件的名称、编号及规格型号）、软硬件总毛重、软硬件体积、重量或尺寸超标的每件设备的名称、重量、体积和件数。</w:t>
      </w:r>
    </w:p>
    <w:p w14:paraId="4463F1FC">
      <w:pPr>
        <w:spacing w:after="0" w:line="360" w:lineRule="auto"/>
        <w:jc w:val="both"/>
        <w:rPr>
          <w:rFonts w:ascii="宋体" w:hAnsi="宋体"/>
          <w:sz w:val="21"/>
          <w:szCs w:val="21"/>
        </w:rPr>
      </w:pPr>
      <w:r>
        <w:rPr>
          <w:rFonts w:ascii="宋体" w:hAnsi="宋体"/>
          <w:sz w:val="21"/>
          <w:szCs w:val="21"/>
        </w:rPr>
        <w:t>10</w:t>
      </w:r>
      <w:r>
        <w:rPr>
          <w:rFonts w:hint="eastAsia" w:ascii="宋体" w:hAnsi="宋体"/>
          <w:sz w:val="21"/>
          <w:szCs w:val="21"/>
        </w:rPr>
        <w:t>.5乙方按合同规定的时间以特快专递或随软硬件的方式将设备软件资料发给甲方。</w:t>
      </w:r>
    </w:p>
    <w:p w14:paraId="49471FAC">
      <w:pPr>
        <w:pStyle w:val="2"/>
        <w:spacing w:after="0" w:line="360" w:lineRule="auto"/>
        <w:ind w:left="400"/>
        <w:jc w:val="both"/>
        <w:rPr>
          <w:sz w:val="21"/>
          <w:szCs w:val="21"/>
        </w:rPr>
      </w:pPr>
    </w:p>
    <w:p w14:paraId="4896DC21">
      <w:pPr>
        <w:keepNext/>
        <w:keepLines/>
        <w:spacing w:after="0" w:line="360" w:lineRule="auto"/>
        <w:jc w:val="both"/>
        <w:outlineLvl w:val="1"/>
        <w:rPr>
          <w:b/>
          <w:bCs/>
          <w:kern w:val="44"/>
          <w:sz w:val="21"/>
          <w:szCs w:val="21"/>
        </w:rPr>
      </w:pPr>
      <w:bookmarkStart w:id="147" w:name="_Toc11334"/>
      <w:r>
        <w:rPr>
          <w:rFonts w:hint="eastAsia"/>
          <w:b/>
          <w:bCs/>
          <w:kern w:val="44"/>
          <w:sz w:val="21"/>
          <w:szCs w:val="21"/>
        </w:rPr>
        <w:t>11 甲乙双方的权利和义务</w:t>
      </w:r>
      <w:bookmarkEnd w:id="147"/>
    </w:p>
    <w:p w14:paraId="5E87C53D">
      <w:pPr>
        <w:pStyle w:val="61"/>
        <w:spacing w:after="0" w:line="360" w:lineRule="auto"/>
        <w:ind w:firstLine="0" w:firstLineChars="0"/>
        <w:rPr>
          <w:rFonts w:ascii="宋体" w:hAnsi="宋体"/>
          <w:szCs w:val="21"/>
        </w:rPr>
      </w:pPr>
      <w:r>
        <w:rPr>
          <w:rFonts w:ascii="宋体" w:hAnsi="宋体"/>
          <w:szCs w:val="21"/>
        </w:rPr>
        <w:t>11.1乙方的权利和义务</w:t>
      </w:r>
    </w:p>
    <w:p w14:paraId="19A69A8A">
      <w:pPr>
        <w:pStyle w:val="61"/>
        <w:spacing w:after="0" w:line="360" w:lineRule="auto"/>
        <w:ind w:firstLine="0" w:firstLineChars="0"/>
        <w:rPr>
          <w:rFonts w:ascii="宋体" w:hAnsi="宋体"/>
          <w:szCs w:val="21"/>
        </w:rPr>
      </w:pPr>
      <w:r>
        <w:rPr>
          <w:rFonts w:ascii="宋体" w:hAnsi="宋体"/>
          <w:szCs w:val="21"/>
        </w:rPr>
        <w:t>11.1.1乙方应在本合同生效后</w:t>
      </w:r>
      <w:r>
        <w:rPr>
          <w:rFonts w:ascii="宋体" w:hAnsi="宋体"/>
          <w:szCs w:val="21"/>
          <w:u w:val="single"/>
        </w:rPr>
        <w:t xml:space="preserve"> </w:t>
      </w:r>
      <w:r>
        <w:rPr>
          <w:rFonts w:hint="eastAsia" w:ascii="宋体" w:hAnsi="宋体" w:eastAsia="宋体"/>
          <w:szCs w:val="21"/>
          <w:u w:val="single"/>
        </w:rPr>
        <w:t>30</w:t>
      </w:r>
      <w:r>
        <w:rPr>
          <w:rFonts w:ascii="宋体" w:hAnsi="宋体"/>
          <w:szCs w:val="21"/>
          <w:u w:val="single"/>
        </w:rPr>
        <w:t xml:space="preserve"> </w:t>
      </w:r>
      <w:r>
        <w:rPr>
          <w:rFonts w:ascii="宋体" w:hAnsi="宋体"/>
          <w:szCs w:val="21"/>
        </w:rPr>
        <w:t>个工作日内向甲方提交项目实施计划。项目实施计划应包括以下阶段：</w:t>
      </w:r>
    </w:p>
    <w:p w14:paraId="278370C2">
      <w:pPr>
        <w:pStyle w:val="17"/>
        <w:spacing w:after="0" w:line="360" w:lineRule="auto"/>
        <w:ind w:firstLine="0"/>
        <w:jc w:val="both"/>
        <w:rPr>
          <w:rFonts w:ascii="宋体" w:hAnsi="宋体"/>
          <w:sz w:val="21"/>
          <w:szCs w:val="21"/>
        </w:rPr>
      </w:pPr>
      <w:r>
        <w:rPr>
          <w:rFonts w:hint="eastAsia" w:ascii="宋体" w:hAnsi="宋体"/>
          <w:sz w:val="21"/>
          <w:szCs w:val="21"/>
        </w:rPr>
        <w:t xml:space="preserve">（1）需求调研； </w:t>
      </w:r>
    </w:p>
    <w:p w14:paraId="78898708">
      <w:pPr>
        <w:pStyle w:val="17"/>
        <w:spacing w:after="0" w:line="360" w:lineRule="auto"/>
        <w:ind w:firstLine="0"/>
        <w:jc w:val="both"/>
        <w:rPr>
          <w:rFonts w:ascii="宋体" w:hAnsi="宋体"/>
          <w:sz w:val="21"/>
          <w:szCs w:val="21"/>
        </w:rPr>
      </w:pPr>
      <w:r>
        <w:rPr>
          <w:rFonts w:hint="eastAsia" w:ascii="宋体" w:hAnsi="宋体"/>
          <w:sz w:val="21"/>
          <w:szCs w:val="21"/>
        </w:rPr>
        <w:t>（2）系统设计；</w:t>
      </w:r>
    </w:p>
    <w:p w14:paraId="4F0E45D3">
      <w:pPr>
        <w:pStyle w:val="17"/>
        <w:spacing w:after="0" w:line="360" w:lineRule="auto"/>
        <w:ind w:firstLine="0"/>
        <w:jc w:val="both"/>
        <w:rPr>
          <w:rFonts w:ascii="宋体" w:hAnsi="宋体"/>
          <w:sz w:val="21"/>
          <w:szCs w:val="21"/>
        </w:rPr>
      </w:pPr>
      <w:r>
        <w:rPr>
          <w:rFonts w:hint="eastAsia" w:ascii="宋体" w:hAnsi="宋体"/>
          <w:sz w:val="21"/>
          <w:szCs w:val="21"/>
        </w:rPr>
        <w:t xml:space="preserve">（3）功能实现； </w:t>
      </w:r>
    </w:p>
    <w:p w14:paraId="71999CAC">
      <w:pPr>
        <w:pStyle w:val="17"/>
        <w:spacing w:after="0" w:line="360" w:lineRule="auto"/>
        <w:ind w:firstLine="0"/>
        <w:jc w:val="both"/>
        <w:rPr>
          <w:rFonts w:ascii="宋体" w:hAnsi="宋体"/>
          <w:sz w:val="21"/>
          <w:szCs w:val="21"/>
        </w:rPr>
      </w:pPr>
      <w:r>
        <w:rPr>
          <w:rFonts w:hint="eastAsia" w:ascii="宋体" w:hAnsi="宋体"/>
          <w:sz w:val="21"/>
          <w:szCs w:val="21"/>
        </w:rPr>
        <w:t>（4）系统测试；</w:t>
      </w:r>
    </w:p>
    <w:p w14:paraId="2D1C5757">
      <w:pPr>
        <w:pStyle w:val="17"/>
        <w:spacing w:after="0" w:line="360" w:lineRule="auto"/>
        <w:ind w:firstLine="0"/>
        <w:jc w:val="both"/>
        <w:rPr>
          <w:rFonts w:ascii="宋体" w:hAnsi="宋体"/>
          <w:sz w:val="21"/>
          <w:szCs w:val="21"/>
        </w:rPr>
      </w:pPr>
      <w:r>
        <w:rPr>
          <w:rFonts w:hint="eastAsia" w:ascii="宋体" w:hAnsi="宋体"/>
          <w:sz w:val="21"/>
          <w:szCs w:val="21"/>
        </w:rPr>
        <w:t>（5）用户培训；</w:t>
      </w:r>
    </w:p>
    <w:p w14:paraId="334F6AF7">
      <w:pPr>
        <w:pStyle w:val="17"/>
        <w:spacing w:after="0" w:line="360" w:lineRule="auto"/>
        <w:ind w:firstLine="0"/>
        <w:jc w:val="both"/>
        <w:rPr>
          <w:rFonts w:ascii="宋体" w:hAnsi="宋体"/>
          <w:sz w:val="21"/>
          <w:szCs w:val="21"/>
        </w:rPr>
      </w:pPr>
      <w:r>
        <w:rPr>
          <w:rFonts w:hint="eastAsia" w:ascii="宋体" w:hAnsi="宋体"/>
          <w:sz w:val="21"/>
          <w:szCs w:val="21"/>
        </w:rPr>
        <w:t>（6）系统上线试运行；</w:t>
      </w:r>
    </w:p>
    <w:p w14:paraId="08C74EB7">
      <w:pPr>
        <w:pStyle w:val="17"/>
        <w:spacing w:after="0" w:line="360" w:lineRule="auto"/>
        <w:ind w:firstLine="0"/>
        <w:jc w:val="both"/>
        <w:rPr>
          <w:rFonts w:ascii="宋体" w:hAnsi="宋体"/>
          <w:sz w:val="21"/>
          <w:szCs w:val="21"/>
        </w:rPr>
      </w:pPr>
      <w:r>
        <w:rPr>
          <w:rFonts w:hint="eastAsia" w:ascii="宋体" w:hAnsi="宋体"/>
          <w:sz w:val="21"/>
          <w:szCs w:val="21"/>
        </w:rPr>
        <w:t>（7）系统正式上线；</w:t>
      </w:r>
    </w:p>
    <w:p w14:paraId="612372CF">
      <w:pPr>
        <w:pStyle w:val="17"/>
        <w:spacing w:after="0" w:line="360" w:lineRule="auto"/>
        <w:ind w:firstLine="0"/>
        <w:jc w:val="both"/>
        <w:rPr>
          <w:rFonts w:ascii="宋体" w:hAnsi="宋体"/>
          <w:sz w:val="21"/>
          <w:szCs w:val="21"/>
        </w:rPr>
      </w:pPr>
      <w:r>
        <w:rPr>
          <w:rFonts w:hint="eastAsia" w:ascii="宋体" w:hAnsi="宋体"/>
          <w:sz w:val="21"/>
          <w:szCs w:val="21"/>
        </w:rPr>
        <w:t>（8）验收及后期运维。</w:t>
      </w:r>
    </w:p>
    <w:p w14:paraId="27F84F1C">
      <w:pPr>
        <w:pStyle w:val="61"/>
        <w:spacing w:after="0" w:line="360" w:lineRule="auto"/>
        <w:ind w:firstLine="0" w:firstLineChars="0"/>
        <w:rPr>
          <w:rFonts w:ascii="宋体" w:hAnsi="宋体"/>
          <w:szCs w:val="21"/>
        </w:rPr>
      </w:pPr>
      <w:r>
        <w:rPr>
          <w:rFonts w:ascii="宋体" w:hAnsi="宋体"/>
          <w:szCs w:val="21"/>
        </w:rPr>
        <w:t>11.1.2乙方应在保证项目质量的前提下，在甲方的配合下按期完成系统实施阶段的项目筹备、需求调研、安装部署、系统测试、系统培训、系统上线等工作。</w:t>
      </w:r>
    </w:p>
    <w:p w14:paraId="7BFFABD3">
      <w:pPr>
        <w:pStyle w:val="61"/>
        <w:spacing w:after="0" w:line="360" w:lineRule="auto"/>
        <w:ind w:firstLine="0" w:firstLineChars="0"/>
        <w:rPr>
          <w:rFonts w:ascii="宋体" w:hAnsi="宋体"/>
          <w:szCs w:val="21"/>
        </w:rPr>
      </w:pPr>
      <w:r>
        <w:rPr>
          <w:rFonts w:ascii="宋体" w:hAnsi="宋体"/>
          <w:szCs w:val="21"/>
        </w:rPr>
        <w:t>11.1.3双方确定，乙方应在向甲方交付研究开发成果后，根据甲方的请求，为甲方指定的人员提供培训和技术指导，或提供与使用该研究开发成果相关的技术服务，具体包括但不限于以下内容：</w:t>
      </w:r>
    </w:p>
    <w:p w14:paraId="1A6FC8DF">
      <w:pPr>
        <w:pStyle w:val="17"/>
        <w:spacing w:after="0" w:line="360" w:lineRule="auto"/>
        <w:ind w:firstLine="0"/>
        <w:jc w:val="both"/>
        <w:rPr>
          <w:rFonts w:ascii="宋体" w:hAnsi="宋体"/>
          <w:sz w:val="21"/>
          <w:szCs w:val="21"/>
        </w:rPr>
      </w:pPr>
      <w:r>
        <w:rPr>
          <w:rFonts w:hint="eastAsia" w:ascii="宋体" w:hAnsi="宋体"/>
          <w:sz w:val="21"/>
          <w:szCs w:val="21"/>
        </w:rPr>
        <w:t>（1）培训：乙方为甲方提供相关技术培训和最终用户培训</w:t>
      </w:r>
    </w:p>
    <w:p w14:paraId="4D79D95E">
      <w:pPr>
        <w:pStyle w:val="17"/>
        <w:spacing w:after="0" w:line="360" w:lineRule="auto"/>
        <w:ind w:firstLine="0"/>
        <w:jc w:val="both"/>
        <w:rPr>
          <w:rFonts w:ascii="宋体" w:hAnsi="宋体"/>
          <w:sz w:val="21"/>
          <w:szCs w:val="21"/>
        </w:rPr>
      </w:pPr>
      <w:r>
        <w:rPr>
          <w:rFonts w:hint="eastAsia" w:ascii="宋体" w:hAnsi="宋体"/>
          <w:sz w:val="21"/>
          <w:szCs w:val="21"/>
        </w:rPr>
        <w:t>A在项目进行期间，乙方开发和服务人员随时回答甲方系统管理员的相关技术咨询，并在可能的情况下演示或指导甲方系统管理员进行实际操作。</w:t>
      </w:r>
    </w:p>
    <w:p w14:paraId="5694DA7E">
      <w:pPr>
        <w:pStyle w:val="17"/>
        <w:spacing w:after="0" w:line="360" w:lineRule="auto"/>
        <w:ind w:firstLine="0"/>
        <w:jc w:val="both"/>
        <w:rPr>
          <w:rFonts w:ascii="宋体" w:hAnsi="宋体"/>
          <w:sz w:val="21"/>
          <w:szCs w:val="21"/>
        </w:rPr>
      </w:pPr>
      <w:r>
        <w:rPr>
          <w:rFonts w:hint="eastAsia" w:ascii="宋体" w:hAnsi="宋体"/>
          <w:sz w:val="21"/>
          <w:szCs w:val="21"/>
        </w:rPr>
        <w:t>B乙方为甲方合法普通用户提供操作培训（每批人次由甲方指定），该培训不另行收取费用。</w:t>
      </w:r>
    </w:p>
    <w:p w14:paraId="278EEA78">
      <w:pPr>
        <w:pStyle w:val="17"/>
        <w:spacing w:after="0" w:line="360" w:lineRule="auto"/>
        <w:ind w:firstLine="0"/>
        <w:jc w:val="both"/>
        <w:rPr>
          <w:rFonts w:ascii="宋体" w:hAnsi="宋体"/>
          <w:sz w:val="21"/>
          <w:szCs w:val="21"/>
        </w:rPr>
      </w:pPr>
      <w:r>
        <w:rPr>
          <w:rFonts w:hint="eastAsia" w:ascii="宋体" w:hAnsi="宋体"/>
          <w:sz w:val="21"/>
          <w:szCs w:val="21"/>
        </w:rPr>
        <w:t>（2）技术服务和指导内容（技术支持）：</w:t>
      </w:r>
    </w:p>
    <w:p w14:paraId="30C5B724">
      <w:pPr>
        <w:pStyle w:val="17"/>
        <w:spacing w:after="0" w:line="360" w:lineRule="auto"/>
        <w:ind w:firstLine="0"/>
        <w:jc w:val="both"/>
        <w:rPr>
          <w:rFonts w:ascii="宋体" w:hAnsi="宋体"/>
          <w:sz w:val="21"/>
          <w:szCs w:val="21"/>
        </w:rPr>
      </w:pPr>
      <w:r>
        <w:rPr>
          <w:rFonts w:hint="eastAsia" w:ascii="宋体" w:hAnsi="宋体"/>
          <w:sz w:val="21"/>
          <w:szCs w:val="21"/>
        </w:rPr>
        <w:t>A提供技术热线服务：咨询有关软件价格、特点、性能以及技术疑难等问题；</w:t>
      </w:r>
    </w:p>
    <w:p w14:paraId="2C0FA6BD">
      <w:pPr>
        <w:pStyle w:val="17"/>
        <w:tabs>
          <w:tab w:val="left" w:pos="0"/>
        </w:tabs>
        <w:spacing w:after="0" w:line="360" w:lineRule="auto"/>
        <w:ind w:firstLine="0"/>
        <w:jc w:val="both"/>
        <w:rPr>
          <w:rFonts w:ascii="宋体" w:hAnsi="宋体"/>
          <w:sz w:val="21"/>
          <w:szCs w:val="21"/>
        </w:rPr>
      </w:pPr>
      <w:r>
        <w:rPr>
          <w:rFonts w:hint="eastAsia" w:ascii="宋体" w:hAnsi="宋体"/>
          <w:sz w:val="21"/>
          <w:szCs w:val="21"/>
        </w:rPr>
        <w:t>B免费接受电话咨询：通过提供电话热线为系统的建设提供实时的电话服务，务求用最短的时间解决可能出现的问题（热线电话为：</w:t>
      </w:r>
      <w:r>
        <w:rPr>
          <w:rFonts w:hint="eastAsia" w:ascii="宋体" w:hAnsi="宋体"/>
          <w:sz w:val="21"/>
          <w:szCs w:val="21"/>
          <w:u w:val="single"/>
        </w:rPr>
        <w:t xml:space="preserve">         </w:t>
      </w:r>
      <w:r>
        <w:rPr>
          <w:rFonts w:hint="eastAsia" w:ascii="宋体" w:hAnsi="宋体"/>
          <w:sz w:val="21"/>
          <w:szCs w:val="21"/>
        </w:rPr>
        <w:t>）；</w:t>
      </w:r>
    </w:p>
    <w:p w14:paraId="6F7C5F26">
      <w:pPr>
        <w:pStyle w:val="17"/>
        <w:tabs>
          <w:tab w:val="left" w:pos="0"/>
        </w:tabs>
        <w:spacing w:after="0" w:line="360" w:lineRule="auto"/>
        <w:ind w:firstLine="0"/>
        <w:jc w:val="both"/>
        <w:rPr>
          <w:rFonts w:ascii="宋体" w:hAnsi="宋体"/>
          <w:sz w:val="21"/>
          <w:szCs w:val="21"/>
        </w:rPr>
      </w:pPr>
      <w:r>
        <w:rPr>
          <w:rFonts w:hint="eastAsia" w:ascii="宋体" w:hAnsi="宋体"/>
          <w:sz w:val="21"/>
          <w:szCs w:val="21"/>
        </w:rPr>
        <w:t>C通过传真、电子邮件解答问题：通过提供传真和电子邮件系统为系统的建设提供实时的技术支持服务，务求用最短的时间解决可能出现的问题（电子邮件为</w:t>
      </w:r>
      <w:r>
        <w:rPr>
          <w:rFonts w:hint="eastAsia" w:ascii="宋体" w:hAnsi="宋体"/>
          <w:sz w:val="21"/>
          <w:szCs w:val="21"/>
          <w:u w:val="single"/>
        </w:rPr>
        <w:t xml:space="preserve">      </w:t>
      </w:r>
      <w:r>
        <w:rPr>
          <w:rFonts w:hint="eastAsia" w:ascii="宋体" w:hAnsi="宋体"/>
          <w:sz w:val="21"/>
          <w:szCs w:val="21"/>
        </w:rPr>
        <w:t>，传真号码为</w:t>
      </w:r>
      <w:r>
        <w:rPr>
          <w:rFonts w:hint="eastAsia" w:ascii="宋体" w:hAnsi="宋体"/>
          <w:sz w:val="21"/>
          <w:szCs w:val="21"/>
          <w:u w:val="single"/>
        </w:rPr>
        <w:t xml:space="preserve">                </w:t>
      </w:r>
      <w:r>
        <w:rPr>
          <w:rFonts w:hint="eastAsia" w:ascii="宋体" w:hAnsi="宋体"/>
          <w:sz w:val="21"/>
          <w:szCs w:val="21"/>
        </w:rPr>
        <w:t>）；</w:t>
      </w:r>
    </w:p>
    <w:p w14:paraId="115B2161">
      <w:pPr>
        <w:pStyle w:val="17"/>
        <w:tabs>
          <w:tab w:val="left" w:pos="0"/>
        </w:tabs>
        <w:spacing w:after="0" w:line="360" w:lineRule="auto"/>
        <w:ind w:firstLine="0"/>
        <w:jc w:val="both"/>
        <w:rPr>
          <w:rFonts w:ascii="宋体" w:hAnsi="宋体"/>
          <w:sz w:val="21"/>
          <w:szCs w:val="21"/>
        </w:rPr>
      </w:pPr>
      <w:r>
        <w:rPr>
          <w:rFonts w:hint="eastAsia" w:ascii="宋体" w:hAnsi="宋体"/>
          <w:sz w:val="21"/>
          <w:szCs w:val="21"/>
        </w:rPr>
        <w:t xml:space="preserve">D </w:t>
      </w:r>
    </w:p>
    <w:p w14:paraId="701C415B">
      <w:pPr>
        <w:pStyle w:val="17"/>
        <w:tabs>
          <w:tab w:val="left" w:pos="0"/>
        </w:tabs>
        <w:spacing w:after="0" w:line="360" w:lineRule="auto"/>
        <w:ind w:firstLine="0"/>
        <w:jc w:val="both"/>
        <w:rPr>
          <w:rFonts w:ascii="宋体" w:hAnsi="宋体"/>
          <w:sz w:val="21"/>
          <w:szCs w:val="21"/>
        </w:rPr>
      </w:pPr>
      <w:r>
        <w:rPr>
          <w:rFonts w:hint="eastAsia" w:ascii="宋体" w:hAnsi="宋体"/>
          <w:sz w:val="21"/>
          <w:szCs w:val="21"/>
        </w:rPr>
        <w:t>系统合法用户端的安装：合法用户端的设置、调试与安装；</w:t>
      </w:r>
    </w:p>
    <w:p w14:paraId="070425F7">
      <w:pPr>
        <w:pStyle w:val="17"/>
        <w:tabs>
          <w:tab w:val="left" w:pos="0"/>
        </w:tabs>
        <w:spacing w:after="0" w:line="360" w:lineRule="auto"/>
        <w:ind w:firstLine="0"/>
        <w:jc w:val="both"/>
        <w:rPr>
          <w:rFonts w:ascii="宋体" w:hAnsi="宋体"/>
          <w:sz w:val="21"/>
          <w:szCs w:val="21"/>
        </w:rPr>
      </w:pPr>
      <w:r>
        <w:rPr>
          <w:rFonts w:hint="eastAsia" w:ascii="宋体" w:hAnsi="宋体"/>
          <w:sz w:val="21"/>
          <w:szCs w:val="21"/>
        </w:rPr>
        <w:t>E系统管理员培训：提供对甲方系统管理员的培训；</w:t>
      </w:r>
    </w:p>
    <w:p w14:paraId="45312968">
      <w:pPr>
        <w:pStyle w:val="17"/>
        <w:tabs>
          <w:tab w:val="left" w:pos="0"/>
        </w:tabs>
        <w:spacing w:after="0" w:line="360" w:lineRule="auto"/>
        <w:ind w:firstLine="0"/>
        <w:jc w:val="both"/>
        <w:rPr>
          <w:rFonts w:ascii="宋体" w:hAnsi="宋体"/>
          <w:sz w:val="21"/>
          <w:szCs w:val="21"/>
        </w:rPr>
      </w:pPr>
      <w:r>
        <w:rPr>
          <w:rFonts w:hint="eastAsia" w:ascii="宋体" w:hAnsi="宋体"/>
          <w:sz w:val="21"/>
          <w:szCs w:val="21"/>
        </w:rPr>
        <w:t>F提供二次开发接口技术咨询：提供二次开发接口的标准接口文挡、提供相关模块的数据结构及咨询。</w:t>
      </w:r>
    </w:p>
    <w:p w14:paraId="0A0E48DC">
      <w:pPr>
        <w:pStyle w:val="17"/>
        <w:spacing w:after="0" w:line="360" w:lineRule="auto"/>
        <w:ind w:firstLine="0"/>
        <w:jc w:val="both"/>
        <w:rPr>
          <w:rFonts w:ascii="宋体" w:hAnsi="宋体"/>
          <w:sz w:val="21"/>
          <w:szCs w:val="21"/>
        </w:rPr>
      </w:pPr>
      <w:r>
        <w:rPr>
          <w:rFonts w:hint="eastAsia" w:ascii="宋体" w:hAnsi="宋体"/>
          <w:sz w:val="21"/>
          <w:szCs w:val="21"/>
        </w:rPr>
        <w:t>11.1.4乙方关于本项目的保证</w:t>
      </w:r>
    </w:p>
    <w:p w14:paraId="610DDDBC">
      <w:pPr>
        <w:pStyle w:val="17"/>
        <w:spacing w:after="0" w:line="360" w:lineRule="auto"/>
        <w:ind w:firstLine="0"/>
        <w:jc w:val="both"/>
        <w:rPr>
          <w:rFonts w:ascii="宋体" w:hAnsi="宋体"/>
          <w:sz w:val="21"/>
          <w:szCs w:val="21"/>
        </w:rPr>
      </w:pPr>
      <w:r>
        <w:rPr>
          <w:rFonts w:hint="eastAsia" w:ascii="宋体" w:hAnsi="宋体"/>
          <w:sz w:val="21"/>
          <w:szCs w:val="21"/>
        </w:rPr>
        <w:t>（1）乙方保证其是软件著作权、专利和/或专有技术的合法所有者和/或持有者并且有权向甲方授予有关许可。</w:t>
      </w:r>
    </w:p>
    <w:p w14:paraId="6C006FE1">
      <w:pPr>
        <w:pStyle w:val="17"/>
        <w:spacing w:after="0" w:line="360" w:lineRule="auto"/>
        <w:ind w:firstLine="0"/>
        <w:jc w:val="both"/>
        <w:rPr>
          <w:rFonts w:ascii="宋体" w:hAnsi="宋体"/>
          <w:sz w:val="21"/>
          <w:szCs w:val="21"/>
        </w:rPr>
      </w:pPr>
      <w:r>
        <w:rPr>
          <w:rFonts w:hint="eastAsia" w:ascii="宋体" w:hAnsi="宋体"/>
          <w:sz w:val="21"/>
          <w:szCs w:val="21"/>
        </w:rPr>
        <w:t>（2）乙方保证所交付的技术资料是完整的、清楚的和正确的，并且能够满足合同的要求。</w:t>
      </w:r>
    </w:p>
    <w:p w14:paraId="67D0EADF">
      <w:pPr>
        <w:pStyle w:val="17"/>
        <w:spacing w:after="0" w:line="360" w:lineRule="auto"/>
        <w:ind w:firstLine="0"/>
        <w:jc w:val="both"/>
        <w:rPr>
          <w:rFonts w:ascii="宋体" w:hAnsi="宋体"/>
          <w:sz w:val="21"/>
          <w:szCs w:val="21"/>
        </w:rPr>
      </w:pPr>
      <w:r>
        <w:rPr>
          <w:rFonts w:hint="eastAsia" w:ascii="宋体" w:hAnsi="宋体"/>
          <w:sz w:val="21"/>
          <w:szCs w:val="21"/>
        </w:rPr>
        <w:t>（3）乙方保证实施建设方案是符合相应合同的规定并且适合于合同规定的用途和目的。</w:t>
      </w:r>
    </w:p>
    <w:p w14:paraId="54CF48A6">
      <w:pPr>
        <w:pStyle w:val="17"/>
        <w:spacing w:after="0" w:line="360" w:lineRule="auto"/>
        <w:ind w:firstLine="0"/>
        <w:jc w:val="both"/>
        <w:rPr>
          <w:rFonts w:ascii="宋体" w:hAnsi="宋体"/>
          <w:sz w:val="21"/>
          <w:szCs w:val="21"/>
        </w:rPr>
      </w:pPr>
      <w:r>
        <w:rPr>
          <w:rFonts w:hint="eastAsia" w:ascii="宋体" w:hAnsi="宋体"/>
          <w:sz w:val="21"/>
          <w:szCs w:val="21"/>
        </w:rPr>
        <w:t>（4）乙方保证及时派遣合格的技术人员提供专业的、符合合同要求的技术服务和技术培训。</w:t>
      </w:r>
    </w:p>
    <w:p w14:paraId="2F22E7C4">
      <w:pPr>
        <w:pStyle w:val="17"/>
        <w:spacing w:after="0" w:line="360" w:lineRule="auto"/>
        <w:ind w:firstLine="0"/>
        <w:jc w:val="both"/>
        <w:rPr>
          <w:rFonts w:ascii="宋体" w:hAnsi="宋体"/>
          <w:sz w:val="21"/>
          <w:szCs w:val="21"/>
        </w:rPr>
      </w:pPr>
      <w:r>
        <w:rPr>
          <w:rFonts w:hint="eastAsia" w:ascii="宋体" w:hAnsi="宋体"/>
          <w:sz w:val="21"/>
          <w:szCs w:val="21"/>
        </w:rPr>
        <w:t>（5）乙方保证在收到甲方通知后应立即对有缺陷的方案进行修改和替换。</w:t>
      </w:r>
    </w:p>
    <w:p w14:paraId="69220D69">
      <w:pPr>
        <w:pStyle w:val="17"/>
        <w:spacing w:after="0" w:line="360" w:lineRule="auto"/>
        <w:ind w:firstLine="0"/>
        <w:jc w:val="both"/>
        <w:rPr>
          <w:rFonts w:ascii="宋体" w:hAnsi="宋体"/>
          <w:sz w:val="21"/>
          <w:szCs w:val="21"/>
        </w:rPr>
      </w:pPr>
      <w:r>
        <w:rPr>
          <w:rFonts w:hint="eastAsia" w:ascii="宋体" w:hAnsi="宋体"/>
          <w:sz w:val="21"/>
          <w:szCs w:val="21"/>
        </w:rPr>
        <w:t>（6）乙方保证按照合同的约定对甲方相关人员进行培训。</w:t>
      </w:r>
    </w:p>
    <w:p w14:paraId="5A6972B9">
      <w:pPr>
        <w:pStyle w:val="17"/>
        <w:spacing w:after="0" w:line="360" w:lineRule="auto"/>
        <w:ind w:firstLine="0"/>
        <w:jc w:val="both"/>
        <w:rPr>
          <w:rFonts w:ascii="宋体" w:hAnsi="宋体"/>
          <w:sz w:val="21"/>
          <w:szCs w:val="21"/>
        </w:rPr>
      </w:pPr>
      <w:r>
        <w:rPr>
          <w:rFonts w:hint="eastAsia" w:ascii="宋体" w:hAnsi="宋体"/>
          <w:sz w:val="21"/>
          <w:szCs w:val="21"/>
        </w:rPr>
        <w:t>11.1.5合同履行期间，乙方应当遵守国家和所在地有关安全的法律法规、标准和要求，按相关规定履行安全职责，落实安全措施，在甲方场所工作期间应遵守甲方及其工作场所单位安全管理的规章制度，非因甲方原因发生的安全责任事故由乙方自行承担，若造成甲方、乙方自身及其第三方的人身伤害和财产损失，责任及损失全部由乙方承担。</w:t>
      </w:r>
    </w:p>
    <w:p w14:paraId="1A630D88">
      <w:pPr>
        <w:spacing w:after="0" w:line="360" w:lineRule="auto"/>
        <w:jc w:val="both"/>
        <w:rPr>
          <w:rFonts w:ascii="宋体" w:hAnsi="宋体" w:cs="Arial"/>
          <w:sz w:val="21"/>
          <w:szCs w:val="21"/>
        </w:rPr>
      </w:pPr>
      <w:r>
        <w:rPr>
          <w:rFonts w:hint="eastAsia" w:ascii="宋体" w:hAnsi="宋体" w:cs="Arial"/>
          <w:sz w:val="21"/>
          <w:szCs w:val="21"/>
        </w:rPr>
        <w:t>11.1.6甲方已告知乙方曲靖卷烟厂印章使用范围及效力内容，乙方应签署《曲靖卷烟厂印章使用范围及效力告知暨承诺函》并遵守。</w:t>
      </w:r>
    </w:p>
    <w:p w14:paraId="650AEA94">
      <w:pPr>
        <w:pStyle w:val="17"/>
        <w:spacing w:after="0" w:line="360" w:lineRule="auto"/>
        <w:ind w:firstLine="0"/>
        <w:jc w:val="both"/>
        <w:rPr>
          <w:rFonts w:ascii="宋体" w:hAnsi="宋体"/>
          <w:sz w:val="21"/>
          <w:szCs w:val="21"/>
        </w:rPr>
      </w:pPr>
    </w:p>
    <w:p w14:paraId="6ED6173D">
      <w:pPr>
        <w:pStyle w:val="61"/>
        <w:spacing w:after="0" w:line="360" w:lineRule="auto"/>
        <w:ind w:firstLine="0" w:firstLineChars="0"/>
        <w:rPr>
          <w:rFonts w:ascii="宋体" w:hAnsi="宋体"/>
          <w:szCs w:val="21"/>
        </w:rPr>
      </w:pPr>
      <w:r>
        <w:rPr>
          <w:rFonts w:ascii="宋体" w:hAnsi="宋体"/>
          <w:szCs w:val="21"/>
        </w:rPr>
        <w:t>11.2甲方的权利和义务</w:t>
      </w:r>
    </w:p>
    <w:p w14:paraId="26467972">
      <w:pPr>
        <w:pStyle w:val="61"/>
        <w:spacing w:after="0" w:line="360" w:lineRule="auto"/>
        <w:ind w:firstLine="0" w:firstLineChars="0"/>
        <w:rPr>
          <w:rFonts w:ascii="宋体" w:hAnsi="宋体"/>
          <w:szCs w:val="21"/>
        </w:rPr>
      </w:pPr>
      <w:r>
        <w:rPr>
          <w:rFonts w:ascii="宋体" w:hAnsi="宋体"/>
          <w:szCs w:val="21"/>
        </w:rPr>
        <w:t>11.2.1甲方应向乙方提供的技术资料及协作事项如下：</w:t>
      </w:r>
    </w:p>
    <w:p w14:paraId="78ADCEAC">
      <w:pPr>
        <w:pStyle w:val="17"/>
        <w:spacing w:after="0" w:line="360" w:lineRule="auto"/>
        <w:ind w:firstLine="0"/>
        <w:jc w:val="both"/>
        <w:rPr>
          <w:rFonts w:ascii="宋体" w:hAnsi="宋体"/>
          <w:sz w:val="21"/>
          <w:szCs w:val="21"/>
        </w:rPr>
      </w:pPr>
      <w:r>
        <w:rPr>
          <w:rFonts w:hint="eastAsia" w:ascii="宋体" w:hAnsi="宋体"/>
          <w:sz w:val="21"/>
          <w:szCs w:val="21"/>
        </w:rPr>
        <w:t>（1）技术资料清单： 与系统调研、设计、开发、测试、安装和培训有关的相关资料和文件。</w:t>
      </w:r>
    </w:p>
    <w:p w14:paraId="3EDE8888">
      <w:pPr>
        <w:pStyle w:val="17"/>
        <w:spacing w:after="0" w:line="360" w:lineRule="auto"/>
        <w:ind w:firstLine="0"/>
        <w:jc w:val="both"/>
        <w:rPr>
          <w:rFonts w:ascii="宋体" w:hAnsi="宋体"/>
          <w:sz w:val="21"/>
          <w:szCs w:val="21"/>
        </w:rPr>
      </w:pPr>
      <w:r>
        <w:rPr>
          <w:rFonts w:hint="eastAsia" w:ascii="宋体" w:hAnsi="宋体"/>
          <w:sz w:val="21"/>
          <w:szCs w:val="21"/>
        </w:rPr>
        <w:t>（2）提供时间和方式：合同签订生效后，以书面方式提交给乙方。</w:t>
      </w:r>
    </w:p>
    <w:p w14:paraId="7A28A08B">
      <w:pPr>
        <w:spacing w:after="0" w:line="360" w:lineRule="auto"/>
        <w:jc w:val="both"/>
        <w:rPr>
          <w:rFonts w:ascii="宋体" w:hAnsi="宋体" w:cs="Arial"/>
          <w:sz w:val="21"/>
          <w:szCs w:val="21"/>
        </w:rPr>
      </w:pPr>
      <w:r>
        <w:rPr>
          <w:rFonts w:hint="eastAsia" w:ascii="宋体" w:hAnsi="宋体" w:cs="Arial"/>
          <w:sz w:val="21"/>
          <w:szCs w:val="21"/>
        </w:rPr>
        <w:t xml:space="preserve">（3）本合同履行完毕后，上述技术资料按以下方式处理：交还甲方保管。 </w:t>
      </w:r>
    </w:p>
    <w:p w14:paraId="03A3FE38">
      <w:pPr>
        <w:pStyle w:val="17"/>
        <w:spacing w:after="0" w:line="360" w:lineRule="auto"/>
        <w:ind w:firstLine="0"/>
        <w:jc w:val="both"/>
        <w:rPr>
          <w:rFonts w:ascii="宋体" w:hAnsi="宋体"/>
          <w:sz w:val="21"/>
          <w:szCs w:val="21"/>
        </w:rPr>
      </w:pPr>
      <w:r>
        <w:rPr>
          <w:rFonts w:hint="eastAsia" w:ascii="宋体" w:hAnsi="宋体"/>
          <w:sz w:val="21"/>
          <w:szCs w:val="21"/>
        </w:rPr>
        <w:t>11.2.2具体事项</w:t>
      </w:r>
    </w:p>
    <w:p w14:paraId="455C586D">
      <w:pPr>
        <w:pStyle w:val="17"/>
        <w:spacing w:after="0" w:line="360" w:lineRule="auto"/>
        <w:ind w:firstLine="0"/>
        <w:jc w:val="both"/>
        <w:rPr>
          <w:rFonts w:ascii="宋体" w:hAnsi="宋体"/>
          <w:sz w:val="21"/>
          <w:szCs w:val="21"/>
        </w:rPr>
      </w:pPr>
      <w:r>
        <w:rPr>
          <w:rFonts w:hint="eastAsia" w:ascii="宋体" w:hAnsi="宋体"/>
          <w:sz w:val="21"/>
          <w:szCs w:val="21"/>
        </w:rPr>
        <w:t>（1）甲方应于项目启动后尽快安排系统需要的软、硬件设备。</w:t>
      </w:r>
    </w:p>
    <w:p w14:paraId="02B91C47">
      <w:pPr>
        <w:spacing w:after="0" w:line="360" w:lineRule="auto"/>
        <w:jc w:val="both"/>
        <w:rPr>
          <w:rFonts w:ascii="宋体" w:hAnsi="宋体"/>
          <w:sz w:val="21"/>
          <w:szCs w:val="21"/>
        </w:rPr>
      </w:pPr>
      <w:r>
        <w:rPr>
          <w:rFonts w:hint="eastAsia" w:ascii="宋体" w:hAnsi="宋体" w:cs="Arial"/>
          <w:sz w:val="21"/>
          <w:szCs w:val="21"/>
        </w:rPr>
        <w:t>（2）乙方项目组进场后，甲方指派系统管理员全程跟进系统的安装部署过程，学习系统日常的维护、管理操作，承担合法普通客户端的安装、普通用户的培训，以便在系统上线后能够承担起部分系统的维护工作。</w:t>
      </w:r>
    </w:p>
    <w:p w14:paraId="127E78A2">
      <w:pPr>
        <w:pStyle w:val="17"/>
        <w:spacing w:after="0" w:line="360" w:lineRule="auto"/>
        <w:ind w:firstLine="0"/>
        <w:jc w:val="both"/>
        <w:rPr>
          <w:rFonts w:ascii="宋体" w:hAnsi="宋体" w:cs="Arial"/>
          <w:sz w:val="21"/>
          <w:szCs w:val="21"/>
        </w:rPr>
      </w:pPr>
      <w:r>
        <w:rPr>
          <w:rFonts w:hint="eastAsia" w:ascii="宋体" w:hAnsi="宋体" w:cs="Arial"/>
          <w:sz w:val="21"/>
          <w:szCs w:val="21"/>
        </w:rPr>
        <w:t>（3）甲方应严格按双方确认的项目实施计划提供充分的工作配合与支持，确保项目计划顺利开展。</w:t>
      </w:r>
    </w:p>
    <w:p w14:paraId="18E6921C">
      <w:pPr>
        <w:spacing w:after="0" w:line="360" w:lineRule="auto"/>
        <w:jc w:val="both"/>
        <w:rPr>
          <w:rFonts w:ascii="宋体" w:hAnsi="宋体" w:cs="Arial"/>
          <w:sz w:val="21"/>
          <w:szCs w:val="21"/>
        </w:rPr>
      </w:pPr>
      <w:r>
        <w:rPr>
          <w:rFonts w:hint="eastAsia" w:ascii="宋体" w:hAnsi="宋体" w:cs="Arial"/>
          <w:sz w:val="21"/>
          <w:szCs w:val="21"/>
        </w:rPr>
        <w:t>（4）在乙方完成系统原型开发后，</w:t>
      </w:r>
      <w:r>
        <w:rPr>
          <w:rFonts w:hint="eastAsia" w:ascii="宋体" w:hAnsi="宋体" w:cs="Arial"/>
          <w:sz w:val="21"/>
          <w:szCs w:val="21"/>
          <w:u w:val="single"/>
        </w:rPr>
        <w:t>甲方配合乙方</w:t>
      </w:r>
      <w:r>
        <w:rPr>
          <w:rFonts w:hint="eastAsia" w:ascii="宋体" w:hAnsi="宋体" w:cs="Arial"/>
          <w:sz w:val="21"/>
          <w:szCs w:val="21"/>
        </w:rPr>
        <w:t>开始对系统进行用户测试。</w:t>
      </w:r>
    </w:p>
    <w:p w14:paraId="607FE994">
      <w:pPr>
        <w:spacing w:after="0" w:line="360" w:lineRule="auto"/>
        <w:jc w:val="both"/>
        <w:rPr>
          <w:rFonts w:ascii="宋体" w:hAnsi="宋体" w:cs="Arial"/>
          <w:sz w:val="21"/>
          <w:szCs w:val="21"/>
        </w:rPr>
      </w:pPr>
      <w:r>
        <w:rPr>
          <w:rFonts w:hint="eastAsia" w:ascii="宋体" w:hAnsi="宋体" w:cs="Arial"/>
          <w:sz w:val="21"/>
          <w:szCs w:val="21"/>
        </w:rPr>
        <w:t>（5）甲方指定一名项目负责人以协调双方各项工作的顺利进行。</w:t>
      </w:r>
    </w:p>
    <w:p w14:paraId="2630AF74">
      <w:pPr>
        <w:spacing w:after="0" w:line="360" w:lineRule="auto"/>
        <w:jc w:val="both"/>
        <w:rPr>
          <w:rFonts w:ascii="宋体" w:hAnsi="宋体" w:cs="Arial"/>
          <w:sz w:val="21"/>
          <w:szCs w:val="21"/>
        </w:rPr>
      </w:pPr>
      <w:r>
        <w:rPr>
          <w:rFonts w:hint="eastAsia" w:ascii="宋体" w:hAnsi="宋体" w:cs="Arial"/>
          <w:sz w:val="21"/>
          <w:szCs w:val="21"/>
        </w:rPr>
        <w:t>（6）甲方应配合乙方提供与系统调研、设计、开发、测试、安装和培训等相关资料和文件，并对其真实性、合法性、完整性负责。</w:t>
      </w:r>
    </w:p>
    <w:p w14:paraId="34C7C311">
      <w:pPr>
        <w:spacing w:after="0" w:line="360" w:lineRule="auto"/>
        <w:jc w:val="both"/>
        <w:rPr>
          <w:rFonts w:ascii="宋体" w:hAnsi="宋体" w:cs="Arial"/>
          <w:sz w:val="21"/>
          <w:szCs w:val="21"/>
        </w:rPr>
      </w:pPr>
      <w:r>
        <w:rPr>
          <w:rFonts w:hint="eastAsia" w:ascii="宋体" w:hAnsi="宋体" w:cs="Arial"/>
          <w:sz w:val="21"/>
          <w:szCs w:val="21"/>
        </w:rPr>
        <w:t>（7）甲方应尽量提供乙方人员在甲方现场工作的必要条件，提供普通用户培训所需的场地与设备；配合乙方工作开展所需的环境、计划、需求等的协调、确认工作。</w:t>
      </w:r>
    </w:p>
    <w:p w14:paraId="6E93396A">
      <w:pPr>
        <w:spacing w:after="0" w:line="360" w:lineRule="auto"/>
        <w:jc w:val="both"/>
        <w:rPr>
          <w:rFonts w:ascii="宋体" w:hAnsi="宋体" w:cs="Arial"/>
          <w:sz w:val="21"/>
          <w:szCs w:val="21"/>
        </w:rPr>
      </w:pPr>
      <w:r>
        <w:rPr>
          <w:rFonts w:hint="eastAsia" w:ascii="宋体" w:hAnsi="宋体" w:cs="Arial"/>
          <w:sz w:val="21"/>
          <w:szCs w:val="21"/>
        </w:rPr>
        <w:t>（8）配合乙方安排接受培训的人员和用于培训的场所，指派专人协助进行系统运行所需环境的确认。</w:t>
      </w:r>
    </w:p>
    <w:p w14:paraId="210E9A56">
      <w:pPr>
        <w:spacing w:after="0" w:line="360" w:lineRule="auto"/>
        <w:jc w:val="both"/>
        <w:rPr>
          <w:rFonts w:ascii="宋体" w:hAnsi="宋体" w:cs="Arial"/>
          <w:sz w:val="21"/>
          <w:szCs w:val="21"/>
        </w:rPr>
      </w:pPr>
      <w:r>
        <w:rPr>
          <w:rFonts w:hint="eastAsia" w:ascii="宋体" w:hAnsi="宋体" w:cs="Arial"/>
          <w:sz w:val="21"/>
          <w:szCs w:val="21"/>
        </w:rPr>
        <w:t>（9）甲方应配合乙方协调培训安排计划和资源。</w:t>
      </w:r>
    </w:p>
    <w:p w14:paraId="48438E6A">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.3 乙方项目组成员要求</w:t>
      </w:r>
    </w:p>
    <w:p w14:paraId="62BB42AF">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.3.1 在项目实施过程中，乙方项目组成员未经甲方书面许可不得随意变动。</w:t>
      </w:r>
    </w:p>
    <w:p w14:paraId="44FA2D08">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.3.2乙方项目组成员如需变动，需向甲方提出书面申请，经甲方书面同意方可变动。</w:t>
      </w:r>
    </w:p>
    <w:p w14:paraId="4C9E769B">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.3.3在项目实施过程中，如甲方发现某项目组成员不能满足工作要求，甲方有权要求乙方进行人员调整乙方应予以更换。</w:t>
      </w:r>
    </w:p>
    <w:p w14:paraId="7638E4F5">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.4双方确定，在本合同有效期内，甲方指定</w:t>
      </w:r>
      <w:r>
        <w:rPr>
          <w:rFonts w:hint="eastAsia" w:ascii="宋体" w:hAnsi="宋体" w:cs="Arial"/>
          <w:sz w:val="21"/>
          <w:szCs w:val="21"/>
          <w:u w:val="single"/>
        </w:rPr>
        <w:t xml:space="preserve">        </w:t>
      </w:r>
      <w:r>
        <w:rPr>
          <w:rFonts w:hint="eastAsia" w:ascii="宋体" w:hAnsi="宋体" w:cs="Arial"/>
          <w:sz w:val="21"/>
          <w:szCs w:val="21"/>
        </w:rPr>
        <w:t xml:space="preserve">为甲方项目联系人，乙方指定为 </w:t>
      </w:r>
      <w:r>
        <w:rPr>
          <w:rFonts w:hint="eastAsia" w:ascii="宋体" w:hAnsi="宋体" w:cs="Arial"/>
          <w:sz w:val="21"/>
          <w:szCs w:val="21"/>
          <w:u w:val="single"/>
        </w:rPr>
        <w:t xml:space="preserve">      </w:t>
      </w:r>
      <w:r>
        <w:rPr>
          <w:rFonts w:hint="eastAsia" w:ascii="宋体" w:hAnsi="宋体" w:cs="Arial"/>
          <w:sz w:val="21"/>
          <w:szCs w:val="21"/>
        </w:rPr>
        <w:t>乙方项目联系人。</w:t>
      </w:r>
    </w:p>
    <w:p w14:paraId="7FB4843C">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 xml:space="preserve">.4.1项目联系人承担以下责任：负责本合同执行过程的日常管理（包括双方的接口工作、协调工作进度、组织合同验收等）和商务管理（包括合同变更、合同款项支付等）；负责确认并签署项目实施计划和项目需求等项目文件。     </w:t>
      </w:r>
    </w:p>
    <w:p w14:paraId="4B41EE1A">
      <w:pPr>
        <w:spacing w:after="0" w:line="360" w:lineRule="auto"/>
        <w:jc w:val="both"/>
        <w:rPr>
          <w:rFonts w:ascii="宋体" w:hAnsi="宋体" w:cs="Arial"/>
          <w:sz w:val="21"/>
          <w:szCs w:val="21"/>
        </w:rPr>
      </w:pPr>
      <w:r>
        <w:rPr>
          <w:rFonts w:hint="eastAsia" w:ascii="宋体" w:hAnsi="宋体"/>
          <w:sz w:val="21"/>
          <w:szCs w:val="21"/>
        </w:rPr>
        <w:t>11</w:t>
      </w:r>
      <w:r>
        <w:rPr>
          <w:rFonts w:hint="eastAsia" w:ascii="宋体" w:hAnsi="宋体" w:cs="Arial"/>
          <w:sz w:val="21"/>
          <w:szCs w:val="21"/>
        </w:rPr>
        <w:t>.4.2一方变更项目联系人的，应当及时以书面形式通知另一方。未及时通知并影响本合同履行或造成损失的，应承担相应的责任。</w:t>
      </w:r>
    </w:p>
    <w:p w14:paraId="3B584279">
      <w:pPr>
        <w:pStyle w:val="2"/>
        <w:spacing w:after="0" w:line="360" w:lineRule="auto"/>
        <w:ind w:left="400"/>
        <w:jc w:val="both"/>
        <w:rPr>
          <w:sz w:val="21"/>
          <w:szCs w:val="21"/>
        </w:rPr>
      </w:pPr>
    </w:p>
    <w:p w14:paraId="43FAEC6E">
      <w:pPr>
        <w:keepNext/>
        <w:keepLines/>
        <w:spacing w:after="0" w:line="360" w:lineRule="auto"/>
        <w:jc w:val="both"/>
        <w:outlineLvl w:val="1"/>
        <w:rPr>
          <w:b/>
          <w:bCs/>
          <w:kern w:val="44"/>
          <w:sz w:val="21"/>
          <w:szCs w:val="21"/>
        </w:rPr>
      </w:pPr>
      <w:bookmarkStart w:id="148" w:name="_Toc3903"/>
      <w:r>
        <w:rPr>
          <w:b/>
          <w:bCs/>
          <w:kern w:val="44"/>
          <w:sz w:val="21"/>
          <w:szCs w:val="21"/>
        </w:rPr>
        <w:t xml:space="preserve">12 </w:t>
      </w:r>
      <w:r>
        <w:rPr>
          <w:rFonts w:hint="eastAsia"/>
          <w:b/>
          <w:bCs/>
          <w:kern w:val="44"/>
          <w:sz w:val="21"/>
          <w:szCs w:val="21"/>
        </w:rPr>
        <w:t>项目交付（开发服务部分）</w:t>
      </w:r>
      <w:bookmarkEnd w:id="148"/>
    </w:p>
    <w:p w14:paraId="0C4D14F3">
      <w:pPr>
        <w:spacing w:after="0" w:line="360" w:lineRule="auto"/>
        <w:jc w:val="both"/>
        <w:rPr>
          <w:rFonts w:ascii="宋体" w:hAnsi="宋体" w:cs="Arial"/>
          <w:sz w:val="21"/>
          <w:szCs w:val="21"/>
        </w:rPr>
      </w:pPr>
      <w:r>
        <w:rPr>
          <w:rFonts w:hint="eastAsia" w:ascii="宋体" w:hAnsi="宋体" w:cs="Arial"/>
          <w:sz w:val="21"/>
          <w:szCs w:val="21"/>
        </w:rPr>
        <w:t>12.1乙方应当按以下方式向甲方交付项目成果：</w:t>
      </w:r>
    </w:p>
    <w:p w14:paraId="042971B7">
      <w:pPr>
        <w:spacing w:after="0" w:line="360" w:lineRule="auto"/>
        <w:jc w:val="both"/>
        <w:rPr>
          <w:rFonts w:ascii="宋体" w:hAnsi="宋体" w:cs="Arial"/>
          <w:sz w:val="21"/>
          <w:szCs w:val="21"/>
        </w:rPr>
      </w:pPr>
      <w:r>
        <w:rPr>
          <w:rFonts w:hint="eastAsia" w:ascii="宋体" w:hAnsi="宋体" w:cs="Arial"/>
          <w:sz w:val="21"/>
          <w:szCs w:val="21"/>
        </w:rPr>
        <w:t>12.1.1项目成果交付的形式：</w:t>
      </w:r>
    </w:p>
    <w:p w14:paraId="44FC3F3D">
      <w:pPr>
        <w:spacing w:after="0" w:line="360" w:lineRule="auto"/>
        <w:jc w:val="both"/>
        <w:rPr>
          <w:rFonts w:ascii="宋体" w:hAnsi="宋体" w:cs="Arial"/>
          <w:sz w:val="21"/>
          <w:szCs w:val="21"/>
        </w:rPr>
      </w:pPr>
      <w:r>
        <w:rPr>
          <w:rFonts w:hint="eastAsia" w:ascii="宋体" w:hAnsi="宋体" w:cs="Arial"/>
          <w:sz w:val="21"/>
          <w:szCs w:val="21"/>
        </w:rPr>
        <w:t>（1）在甲方的服务器上安装并部署；</w:t>
      </w:r>
    </w:p>
    <w:p w14:paraId="1C12E51F">
      <w:pPr>
        <w:spacing w:after="0" w:line="360" w:lineRule="auto"/>
        <w:jc w:val="both"/>
      </w:pPr>
      <w:r>
        <w:rPr>
          <w:rFonts w:hint="eastAsia" w:ascii="宋体" w:hAnsi="宋体" w:cs="Arial"/>
          <w:sz w:val="21"/>
          <w:szCs w:val="21"/>
        </w:rPr>
        <w:t>（2）以电子文档的方式交付：</w:t>
      </w:r>
      <w:r>
        <w:rPr>
          <w:rFonts w:hint="eastAsia" w:ascii="宋体" w:hAnsi="宋体" w:cs="Arial"/>
          <w:sz w:val="21"/>
          <w:szCs w:val="21"/>
          <w:u w:val="single"/>
        </w:rPr>
        <w:t xml:space="preserve"> 包括但不限于：源代码、数据表、项目过程文档、系统维护及使用手册等。</w:t>
      </w:r>
    </w:p>
    <w:p w14:paraId="1BECA790">
      <w:pPr>
        <w:spacing w:after="0" w:line="360" w:lineRule="auto"/>
        <w:jc w:val="both"/>
        <w:rPr>
          <w:rFonts w:ascii="宋体" w:hAnsi="宋体" w:cs="Arial"/>
          <w:sz w:val="21"/>
          <w:szCs w:val="21"/>
        </w:rPr>
      </w:pPr>
      <w:r>
        <w:rPr>
          <w:rFonts w:hint="eastAsia" w:ascii="宋体" w:hAnsi="宋体" w:cs="Arial"/>
          <w:sz w:val="21"/>
          <w:szCs w:val="21"/>
        </w:rPr>
        <w:t>12.1.2研究开发成果交付的时间及地点：合同单项验收通过后</w:t>
      </w:r>
      <w:r>
        <w:rPr>
          <w:rFonts w:hint="eastAsia" w:ascii="宋体" w:hAnsi="宋体" w:cs="Arial"/>
          <w:sz w:val="21"/>
          <w:szCs w:val="21"/>
          <w:u w:val="single"/>
        </w:rPr>
        <w:t xml:space="preserve">  30 </w:t>
      </w:r>
      <w:r>
        <w:rPr>
          <w:rFonts w:hint="eastAsia" w:ascii="宋体" w:hAnsi="宋体" w:cs="Arial"/>
          <w:sz w:val="21"/>
          <w:szCs w:val="21"/>
        </w:rPr>
        <w:t>个工作日内，于甲方所在地。</w:t>
      </w:r>
    </w:p>
    <w:p w14:paraId="60E4F5DC">
      <w:pPr>
        <w:pStyle w:val="2"/>
        <w:spacing w:after="0" w:line="360" w:lineRule="auto"/>
        <w:ind w:left="400"/>
        <w:jc w:val="both"/>
        <w:rPr>
          <w:sz w:val="21"/>
          <w:szCs w:val="21"/>
        </w:rPr>
      </w:pPr>
    </w:p>
    <w:p w14:paraId="4AB8DBC1">
      <w:pPr>
        <w:keepNext/>
        <w:keepLines/>
        <w:spacing w:after="0" w:line="360" w:lineRule="auto"/>
        <w:jc w:val="both"/>
        <w:outlineLvl w:val="1"/>
        <w:rPr>
          <w:b/>
          <w:bCs/>
          <w:kern w:val="44"/>
          <w:sz w:val="21"/>
          <w:szCs w:val="21"/>
        </w:rPr>
      </w:pPr>
      <w:bookmarkStart w:id="149" w:name="_Toc24566"/>
      <w:r>
        <w:rPr>
          <w:b/>
          <w:bCs/>
          <w:kern w:val="44"/>
          <w:sz w:val="21"/>
          <w:szCs w:val="21"/>
        </w:rPr>
        <w:t>13</w:t>
      </w:r>
      <w:r>
        <w:rPr>
          <w:rFonts w:hint="eastAsia"/>
          <w:b/>
          <w:bCs/>
          <w:kern w:val="44"/>
          <w:sz w:val="21"/>
          <w:szCs w:val="21"/>
        </w:rPr>
        <w:t xml:space="preserve"> 检验及</w:t>
      </w:r>
      <w:r>
        <w:rPr>
          <w:b/>
          <w:bCs/>
          <w:kern w:val="44"/>
          <w:sz w:val="21"/>
          <w:szCs w:val="21"/>
        </w:rPr>
        <w:t>技术服务</w:t>
      </w:r>
      <w:bookmarkEnd w:id="149"/>
    </w:p>
    <w:p w14:paraId="30D344FE">
      <w:pPr>
        <w:spacing w:after="0" w:line="360" w:lineRule="auto"/>
        <w:jc w:val="both"/>
        <w:rPr>
          <w:rFonts w:ascii="宋体" w:hAnsi="宋体"/>
          <w:sz w:val="21"/>
          <w:szCs w:val="21"/>
        </w:rPr>
      </w:pPr>
      <w:r>
        <w:rPr>
          <w:rFonts w:ascii="宋体" w:hAnsi="宋体"/>
          <w:sz w:val="21"/>
          <w:szCs w:val="21"/>
        </w:rPr>
        <w:t>13.1</w:t>
      </w:r>
      <w:r>
        <w:rPr>
          <w:rFonts w:hint="eastAsia" w:ascii="宋体" w:hAnsi="宋体"/>
          <w:sz w:val="21"/>
          <w:szCs w:val="21"/>
        </w:rPr>
        <w:t>乙方提供的备件、材料，符合签订合同时国家现行的有效标准和规范；乙方提供的备件、材料必须进行出厂前检验，质量保证书随同备件、材料同时交付甲方。设备和软件的最终用户必须是:</w:t>
      </w:r>
      <w:r>
        <w:rPr>
          <w:rFonts w:hint="eastAsia" w:ascii="宋体" w:hAnsi="宋体"/>
          <w:sz w:val="21"/>
          <w:szCs w:val="21"/>
          <w:u w:val="single"/>
        </w:rPr>
        <w:t xml:space="preserve"> 红云红河烟草（集团）有限责任公司</w:t>
      </w:r>
      <w:r>
        <w:rPr>
          <w:rFonts w:hint="eastAsia" w:ascii="宋体" w:hAnsi="宋体"/>
          <w:sz w:val="21"/>
          <w:szCs w:val="21"/>
        </w:rPr>
        <w:t>。</w:t>
      </w:r>
    </w:p>
    <w:p w14:paraId="340AA1DC">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.2设备检验依据标准为：完标方案，设计图纸和采购合同及附件，制造厂标准、行业标准及国家标准，检验标准需先按国家标准检验、若无国家标准则按行业标准，若以上均无则按乙方企业标准及甲方要求执行。</w:t>
      </w:r>
    </w:p>
    <w:p w14:paraId="16F049BE">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w:t>
      </w:r>
      <w:r>
        <w:rPr>
          <w:rFonts w:ascii="宋体" w:hAnsi="宋体"/>
          <w:sz w:val="21"/>
          <w:szCs w:val="21"/>
        </w:rPr>
        <w:t>3</w:t>
      </w:r>
      <w:r>
        <w:rPr>
          <w:rFonts w:hint="eastAsia" w:ascii="宋体" w:hAnsi="宋体"/>
          <w:sz w:val="21"/>
          <w:szCs w:val="21"/>
        </w:rPr>
        <w:t>甲方有权参与设备检验，乙方给予配合和支持。</w:t>
      </w:r>
    </w:p>
    <w:p w14:paraId="1B49C92E">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w:t>
      </w:r>
      <w:r>
        <w:rPr>
          <w:rFonts w:ascii="宋体" w:hAnsi="宋体"/>
          <w:sz w:val="21"/>
          <w:szCs w:val="21"/>
        </w:rPr>
        <w:t>4</w:t>
      </w:r>
      <w:r>
        <w:rPr>
          <w:rFonts w:hint="eastAsia" w:ascii="宋体" w:hAnsi="宋体"/>
          <w:sz w:val="21"/>
          <w:szCs w:val="21"/>
        </w:rPr>
        <w:t>甲方在没得到乙方提供的质量保证书时，有权停止相应的备件、材料的使用，由此产生的损失由乙方承担。</w:t>
      </w:r>
    </w:p>
    <w:p w14:paraId="78B7A44D">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w:t>
      </w:r>
      <w:r>
        <w:rPr>
          <w:rFonts w:ascii="宋体" w:hAnsi="宋体"/>
          <w:sz w:val="21"/>
          <w:szCs w:val="21"/>
        </w:rPr>
        <w:t>5</w:t>
      </w:r>
      <w:r>
        <w:rPr>
          <w:rFonts w:hint="eastAsia" w:ascii="宋体" w:hAnsi="宋体"/>
          <w:sz w:val="21"/>
          <w:szCs w:val="21"/>
        </w:rPr>
        <w:t>甲方有权对可能存在质量问题的设备、材料提出检验要求，乙方应积极配合，检验费用由乙方承担。</w:t>
      </w:r>
    </w:p>
    <w:p w14:paraId="38271FD3">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w:t>
      </w:r>
      <w:r>
        <w:rPr>
          <w:rFonts w:ascii="宋体" w:hAnsi="宋体"/>
          <w:sz w:val="21"/>
          <w:szCs w:val="21"/>
        </w:rPr>
        <w:t>6</w:t>
      </w:r>
      <w:r>
        <w:rPr>
          <w:rFonts w:hint="eastAsia" w:ascii="宋体" w:hAnsi="宋体"/>
          <w:sz w:val="21"/>
          <w:szCs w:val="21"/>
        </w:rPr>
        <w:t>甲方参加备件、材料的检验，不解除乙方对提供备件材料质量方面的责任。</w:t>
      </w:r>
    </w:p>
    <w:p w14:paraId="4FFCB340">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.7设备检查。甲方、乙方检验人员按合同规定实施设备检查、试验、试运转。</w:t>
      </w:r>
    </w:p>
    <w:p w14:paraId="2C7570AC">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.8设备的验收。乙方具备验收条件后,书面通知甲方，甲乙双方严格按照完标方案、招标文件的要求进行验收。</w:t>
      </w:r>
    </w:p>
    <w:p w14:paraId="307048D5">
      <w:pPr>
        <w:spacing w:after="0" w:line="360" w:lineRule="auto"/>
        <w:jc w:val="both"/>
        <w:rPr>
          <w:rFonts w:ascii="宋体" w:hAnsi="宋体"/>
          <w:sz w:val="21"/>
          <w:szCs w:val="21"/>
        </w:rPr>
      </w:pPr>
      <w:r>
        <w:rPr>
          <w:rFonts w:ascii="宋体" w:hAnsi="宋体"/>
          <w:sz w:val="21"/>
          <w:szCs w:val="21"/>
        </w:rPr>
        <w:t>13.9 到货</w:t>
      </w:r>
      <w:r>
        <w:rPr>
          <w:rFonts w:hint="eastAsia" w:ascii="宋体" w:hAnsi="宋体"/>
          <w:sz w:val="21"/>
          <w:szCs w:val="21"/>
        </w:rPr>
        <w:t>检验。</w:t>
      </w:r>
    </w:p>
    <w:p w14:paraId="5EA6DEC1">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9.1现场开箱检验工作由甲乙双方及监理单位（若有）负责。设备运抵现场后，甲方乙方双方及监理单位（若有）将对其进行开箱检验。其具体程序在首次开箱检验前由双方代表协商同意后实施。如为整机进口设备，必须提供海关报关单（原件或复印件）、商检证（原件），原产地证明（原件）；进口元件须提供海关报关单和商检证（原件或复印件）。</w:t>
      </w:r>
    </w:p>
    <w:p w14:paraId="42BC87FA">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9.2在开箱检验时，如发现设备有缺陷、损坏、短缺或型号、规格、质量、数量以及包装不符合合同规定时，双方应严格地作好“检验记录”及“问题处理协议书”，并由双方代表签字。如认定属乙方责任，此“问题处理协议书”即作为甲方向乙方要求换货、修理、补供等有效的证明。</w:t>
      </w:r>
    </w:p>
    <w:p w14:paraId="55B950F2">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w:t>
      </w:r>
      <w:r>
        <w:rPr>
          <w:rFonts w:ascii="宋体" w:hAnsi="宋体"/>
          <w:sz w:val="21"/>
          <w:szCs w:val="21"/>
        </w:rPr>
        <w:t>10</w:t>
      </w:r>
      <w:r>
        <w:rPr>
          <w:rFonts w:hint="eastAsia" w:ascii="宋体" w:hAnsi="宋体"/>
          <w:sz w:val="21"/>
          <w:szCs w:val="21"/>
        </w:rPr>
        <w:t>安装、试运转阶段直至质保期结束，如发现设备有任何质量问题时，按合同有关规定处理。</w:t>
      </w:r>
    </w:p>
    <w:p w14:paraId="4163268F">
      <w:pPr>
        <w:spacing w:after="0" w:line="360" w:lineRule="auto"/>
        <w:jc w:val="both"/>
        <w:rPr>
          <w:rFonts w:ascii="宋体" w:hAnsi="宋体"/>
          <w:sz w:val="21"/>
          <w:szCs w:val="21"/>
        </w:rPr>
      </w:pPr>
      <w:r>
        <w:rPr>
          <w:rFonts w:ascii="宋体" w:hAnsi="宋体"/>
          <w:sz w:val="21"/>
          <w:szCs w:val="21"/>
        </w:rPr>
        <w:t>13</w:t>
      </w:r>
      <w:r>
        <w:rPr>
          <w:rFonts w:hint="eastAsia" w:ascii="宋体" w:hAnsi="宋体"/>
          <w:sz w:val="21"/>
          <w:szCs w:val="21"/>
        </w:rPr>
        <w:t>.</w:t>
      </w:r>
      <w:r>
        <w:rPr>
          <w:rFonts w:ascii="宋体" w:hAnsi="宋体"/>
          <w:sz w:val="21"/>
          <w:szCs w:val="21"/>
        </w:rPr>
        <w:t>11</w:t>
      </w:r>
      <w:r>
        <w:rPr>
          <w:rFonts w:hint="eastAsia" w:ascii="宋体" w:hAnsi="宋体"/>
          <w:sz w:val="21"/>
          <w:szCs w:val="21"/>
        </w:rPr>
        <w:t>合同履行期间，乙方应当遵守国家和所在地有关安全的法律法规、标准和要求，按相关规定履行安全职责，落实安全措施，在甲方场所工作期间应遵守甲方及其工作场所单位安全管理的规章制度，非因甲方原因发生的安全责任事故由乙方自行承担，若造成甲方、乙方自身及其第三方的人身伤害和财产损失，责任及损失全部由乙方承担。若双方另行签订《相关方安全协议》的，安全责任按照该协议执行。</w:t>
      </w:r>
    </w:p>
    <w:p w14:paraId="13CB2334">
      <w:pPr>
        <w:spacing w:after="0" w:line="360" w:lineRule="auto"/>
        <w:jc w:val="both"/>
        <w:rPr>
          <w:sz w:val="21"/>
          <w:szCs w:val="21"/>
        </w:rPr>
      </w:pPr>
    </w:p>
    <w:p w14:paraId="731240E7">
      <w:pPr>
        <w:keepNext/>
        <w:keepLines/>
        <w:spacing w:after="0" w:line="360" w:lineRule="auto"/>
        <w:jc w:val="both"/>
        <w:outlineLvl w:val="1"/>
        <w:rPr>
          <w:b/>
          <w:bCs/>
          <w:kern w:val="44"/>
          <w:sz w:val="21"/>
          <w:szCs w:val="21"/>
        </w:rPr>
      </w:pPr>
      <w:bookmarkStart w:id="150" w:name="_Toc16288"/>
      <w:r>
        <w:rPr>
          <w:rFonts w:hint="eastAsia"/>
          <w:b/>
          <w:bCs/>
          <w:kern w:val="44"/>
          <w:sz w:val="21"/>
          <w:szCs w:val="21"/>
        </w:rPr>
        <w:t>14 验收</w:t>
      </w:r>
      <w:bookmarkEnd w:id="150"/>
    </w:p>
    <w:p w14:paraId="1E50D4E8">
      <w:pPr>
        <w:spacing w:after="0" w:line="360" w:lineRule="auto"/>
        <w:jc w:val="both"/>
        <w:rPr>
          <w:rFonts w:ascii="宋体" w:hAnsi="宋体" w:cs="Arial"/>
          <w:sz w:val="21"/>
          <w:szCs w:val="21"/>
        </w:rPr>
      </w:pPr>
      <w:r>
        <w:rPr>
          <w:rFonts w:hint="eastAsia" w:ascii="宋体" w:hAnsi="宋体" w:cs="Arial"/>
          <w:sz w:val="21"/>
          <w:szCs w:val="21"/>
        </w:rPr>
        <w:t>1</w:t>
      </w:r>
      <w:r>
        <w:rPr>
          <w:rFonts w:ascii="宋体" w:hAnsi="宋体" w:cs="Arial"/>
          <w:sz w:val="21"/>
          <w:szCs w:val="21"/>
        </w:rPr>
        <w:t>4</w:t>
      </w:r>
      <w:r>
        <w:rPr>
          <w:rFonts w:hint="eastAsia" w:ascii="宋体" w:hAnsi="宋体" w:cs="Arial"/>
          <w:sz w:val="21"/>
          <w:szCs w:val="21"/>
        </w:rPr>
        <w:t>.</w:t>
      </w:r>
      <w:r>
        <w:rPr>
          <w:rFonts w:ascii="宋体" w:hAnsi="宋体" w:cs="Arial"/>
          <w:sz w:val="21"/>
          <w:szCs w:val="21"/>
        </w:rPr>
        <w:t>1</w:t>
      </w:r>
      <w:r>
        <w:rPr>
          <w:rFonts w:hint="eastAsia" w:ascii="宋体" w:hAnsi="宋体" w:cs="Arial"/>
          <w:sz w:val="21"/>
          <w:szCs w:val="21"/>
        </w:rPr>
        <w:t>双方确定，按以下标准及方法对乙方完成的项目成果进行验收。</w:t>
      </w:r>
    </w:p>
    <w:p w14:paraId="1E048CD8">
      <w:pPr>
        <w:spacing w:after="0" w:line="360" w:lineRule="auto"/>
        <w:jc w:val="both"/>
        <w:rPr>
          <w:rFonts w:ascii="宋体" w:hAnsi="宋体" w:cs="Arial"/>
          <w:sz w:val="21"/>
          <w:szCs w:val="21"/>
        </w:rPr>
      </w:pPr>
      <w:r>
        <w:rPr>
          <w:rFonts w:hint="eastAsia" w:ascii="宋体" w:hAnsi="宋体" w:cs="Arial"/>
          <w:sz w:val="21"/>
          <w:szCs w:val="21"/>
        </w:rPr>
        <w:t>1</w:t>
      </w:r>
      <w:r>
        <w:rPr>
          <w:rFonts w:ascii="宋体" w:hAnsi="宋体" w:cs="Arial"/>
          <w:sz w:val="21"/>
          <w:szCs w:val="21"/>
        </w:rPr>
        <w:t>4</w:t>
      </w:r>
      <w:r>
        <w:rPr>
          <w:rFonts w:hint="eastAsia" w:ascii="宋体" w:hAnsi="宋体" w:cs="Arial"/>
          <w:sz w:val="21"/>
          <w:szCs w:val="21"/>
        </w:rPr>
        <w:t>.</w:t>
      </w:r>
      <w:r>
        <w:rPr>
          <w:rFonts w:ascii="宋体" w:hAnsi="宋体" w:cs="Arial"/>
          <w:sz w:val="21"/>
          <w:szCs w:val="21"/>
        </w:rPr>
        <w:t>1</w:t>
      </w:r>
      <w:r>
        <w:rPr>
          <w:rFonts w:hint="eastAsia" w:ascii="宋体" w:hAnsi="宋体" w:cs="Arial"/>
          <w:sz w:val="21"/>
          <w:szCs w:val="21"/>
        </w:rPr>
        <w:t>.1验收标准：本合同、需求说明书以及在合同履行过程中经甲乙双方共同签署的其他项目文件中的技术要求。</w:t>
      </w:r>
    </w:p>
    <w:p w14:paraId="2F9BF5AA">
      <w:pPr>
        <w:spacing w:after="0" w:line="360" w:lineRule="auto"/>
        <w:jc w:val="both"/>
        <w:rPr>
          <w:rFonts w:ascii="宋体" w:hAnsi="宋体" w:cs="Arial"/>
          <w:sz w:val="21"/>
          <w:szCs w:val="21"/>
        </w:rPr>
      </w:pPr>
      <w:r>
        <w:rPr>
          <w:rFonts w:hint="eastAsia" w:ascii="宋体" w:hAnsi="宋体" w:cs="Arial"/>
          <w:sz w:val="21"/>
          <w:szCs w:val="21"/>
        </w:rPr>
        <w:t>1</w:t>
      </w:r>
      <w:r>
        <w:rPr>
          <w:rFonts w:ascii="宋体" w:hAnsi="宋体" w:cs="Arial"/>
          <w:sz w:val="21"/>
          <w:szCs w:val="21"/>
        </w:rPr>
        <w:t>4</w:t>
      </w:r>
      <w:r>
        <w:rPr>
          <w:rFonts w:hint="eastAsia" w:ascii="宋体" w:hAnsi="宋体" w:cs="Arial"/>
          <w:sz w:val="21"/>
          <w:szCs w:val="21"/>
        </w:rPr>
        <w:t>.</w:t>
      </w:r>
      <w:r>
        <w:rPr>
          <w:rFonts w:ascii="宋体" w:hAnsi="宋体" w:cs="Arial"/>
          <w:sz w:val="21"/>
          <w:szCs w:val="21"/>
        </w:rPr>
        <w:t>1</w:t>
      </w:r>
      <w:r>
        <w:rPr>
          <w:rFonts w:hint="eastAsia" w:ascii="宋体" w:hAnsi="宋体" w:cs="Arial"/>
          <w:sz w:val="21"/>
          <w:szCs w:val="21"/>
        </w:rPr>
        <w:t>.2验收方式：通过召开项目验收会议的方式进行验收。</w:t>
      </w:r>
    </w:p>
    <w:p w14:paraId="0D2C4145">
      <w:pPr>
        <w:spacing w:after="0" w:line="360" w:lineRule="auto"/>
        <w:jc w:val="both"/>
        <w:rPr>
          <w:rFonts w:ascii="宋体" w:hAnsi="宋体" w:cs="Arial"/>
          <w:sz w:val="21"/>
          <w:szCs w:val="21"/>
        </w:rPr>
      </w:pPr>
      <w:r>
        <w:rPr>
          <w:rFonts w:hint="eastAsia" w:ascii="宋体" w:hAnsi="宋体" w:cs="Arial"/>
          <w:sz w:val="21"/>
          <w:szCs w:val="21"/>
        </w:rPr>
        <w:t>1</w:t>
      </w:r>
      <w:r>
        <w:rPr>
          <w:rFonts w:ascii="宋体" w:hAnsi="宋体" w:cs="Arial"/>
          <w:sz w:val="21"/>
          <w:szCs w:val="21"/>
        </w:rPr>
        <w:t>4</w:t>
      </w:r>
      <w:r>
        <w:rPr>
          <w:rFonts w:hint="eastAsia" w:ascii="宋体" w:hAnsi="宋体" w:cs="Arial"/>
          <w:sz w:val="21"/>
          <w:szCs w:val="21"/>
        </w:rPr>
        <w:t>.</w:t>
      </w:r>
      <w:r>
        <w:rPr>
          <w:rFonts w:ascii="宋体" w:hAnsi="宋体" w:cs="Arial"/>
          <w:sz w:val="21"/>
          <w:szCs w:val="21"/>
        </w:rPr>
        <w:t>1</w:t>
      </w:r>
      <w:r>
        <w:rPr>
          <w:rFonts w:hint="eastAsia" w:ascii="宋体" w:hAnsi="宋体" w:cs="Arial"/>
          <w:sz w:val="21"/>
          <w:szCs w:val="21"/>
        </w:rPr>
        <w:t>.2.1项目初验：</w:t>
      </w:r>
      <w:r>
        <w:rPr>
          <w:rFonts w:hint="eastAsia" w:ascii="宋体" w:hAnsi="宋体"/>
          <w:sz w:val="21"/>
          <w:szCs w:val="21"/>
        </w:rPr>
        <w:t>项目基本实施完毕（软、硬、平台等基本部署完毕）后，甲、乙双方按合同要求进行项目初步验收，</w:t>
      </w:r>
      <w:r>
        <w:rPr>
          <w:rFonts w:hint="eastAsia" w:ascii="宋体" w:hAnsi="宋体" w:cs="Arial"/>
          <w:sz w:val="21"/>
          <w:szCs w:val="21"/>
        </w:rPr>
        <w:t>初步验收合格的，出具初验验收报告并进入试运行期。本项目试运行期为</w:t>
      </w:r>
      <w:r>
        <w:rPr>
          <w:rFonts w:hint="eastAsia" w:ascii="宋体" w:hAnsi="宋体" w:cs="Arial"/>
          <w:sz w:val="21"/>
          <w:szCs w:val="21"/>
          <w:u w:val="single"/>
        </w:rPr>
        <w:t>3</w:t>
      </w:r>
      <w:r>
        <w:rPr>
          <w:rFonts w:hint="eastAsia" w:ascii="宋体" w:hAnsi="宋体" w:cs="Arial"/>
          <w:sz w:val="21"/>
          <w:szCs w:val="21"/>
        </w:rPr>
        <w:t>个月。</w:t>
      </w:r>
    </w:p>
    <w:p w14:paraId="1EF4A48E">
      <w:pPr>
        <w:spacing w:after="0" w:line="360" w:lineRule="auto"/>
        <w:jc w:val="both"/>
        <w:rPr>
          <w:rFonts w:ascii="宋体" w:hAnsi="宋体" w:cs="Arial"/>
          <w:sz w:val="21"/>
          <w:szCs w:val="21"/>
        </w:rPr>
      </w:pPr>
      <w:r>
        <w:rPr>
          <w:rFonts w:hint="eastAsia" w:ascii="宋体" w:hAnsi="宋体" w:cs="Arial"/>
          <w:sz w:val="21"/>
          <w:szCs w:val="21"/>
        </w:rPr>
        <w:t>1</w:t>
      </w:r>
      <w:r>
        <w:rPr>
          <w:rFonts w:ascii="宋体" w:hAnsi="宋体" w:cs="Arial"/>
          <w:sz w:val="21"/>
          <w:szCs w:val="21"/>
        </w:rPr>
        <w:t>4</w:t>
      </w:r>
      <w:r>
        <w:rPr>
          <w:rFonts w:hint="eastAsia" w:ascii="宋体" w:hAnsi="宋体" w:cs="Arial"/>
          <w:sz w:val="21"/>
          <w:szCs w:val="21"/>
        </w:rPr>
        <w:t>.</w:t>
      </w:r>
      <w:r>
        <w:rPr>
          <w:rFonts w:ascii="宋体" w:hAnsi="宋体" w:cs="Arial"/>
          <w:sz w:val="21"/>
          <w:szCs w:val="21"/>
        </w:rPr>
        <w:t>1</w:t>
      </w:r>
      <w:r>
        <w:rPr>
          <w:rFonts w:hint="eastAsia" w:ascii="宋体" w:hAnsi="宋体" w:cs="Arial"/>
          <w:sz w:val="21"/>
          <w:szCs w:val="21"/>
        </w:rPr>
        <w:t>.2.2</w:t>
      </w:r>
      <w:r>
        <w:rPr>
          <w:rFonts w:hint="eastAsia" w:ascii="宋体" w:hAnsi="宋体"/>
          <w:sz w:val="21"/>
          <w:szCs w:val="21"/>
        </w:rPr>
        <w:t>合同单项验收</w:t>
      </w:r>
      <w:r>
        <w:rPr>
          <w:rFonts w:hint="eastAsia" w:ascii="宋体" w:hAnsi="宋体" w:cs="Arial"/>
          <w:sz w:val="21"/>
          <w:szCs w:val="21"/>
        </w:rPr>
        <w:t>：试运行期满，</w:t>
      </w:r>
      <w:r>
        <w:rPr>
          <w:rFonts w:hint="eastAsia" w:ascii="宋体" w:hAnsi="宋体" w:cs="宋体"/>
          <w:sz w:val="21"/>
          <w:szCs w:val="21"/>
        </w:rPr>
        <w:t>且</w:t>
      </w:r>
      <w:r>
        <w:rPr>
          <w:rFonts w:hint="eastAsia" w:ascii="宋体" w:hAnsi="宋体"/>
          <w:sz w:val="21"/>
          <w:szCs w:val="21"/>
        </w:rPr>
        <w:t>乙方向甲方提供</w:t>
      </w:r>
      <w:r>
        <w:rPr>
          <w:rFonts w:hint="eastAsia" w:ascii="宋体" w:hAnsi="宋体" w:cs="宋体"/>
          <w:sz w:val="21"/>
          <w:szCs w:val="21"/>
        </w:rPr>
        <w:t>工厂智能制造能力成熟度评估四级符合性证书，</w:t>
      </w:r>
      <w:r>
        <w:rPr>
          <w:rFonts w:hint="eastAsia" w:ascii="宋体" w:hAnsi="宋体" w:cs="Arial"/>
          <w:sz w:val="21"/>
          <w:szCs w:val="21"/>
        </w:rPr>
        <w:t>乙方向甲方提出正式合同单项验收申请，甲方在接到乙方书面验收申请后，应于</w:t>
      </w:r>
      <w:r>
        <w:rPr>
          <w:rFonts w:hint="eastAsia" w:ascii="宋体" w:hAnsi="宋体" w:cs="Arial"/>
          <w:sz w:val="21"/>
          <w:szCs w:val="21"/>
          <w:u w:val="single"/>
        </w:rPr>
        <w:t xml:space="preserve"> 10 </w:t>
      </w:r>
      <w:r>
        <w:rPr>
          <w:rFonts w:hint="eastAsia" w:ascii="宋体" w:hAnsi="宋体" w:cs="Arial"/>
          <w:sz w:val="21"/>
          <w:szCs w:val="21"/>
        </w:rPr>
        <w:t>个工作日内组织对项目进行正式验收；验收合格签署项目正式验收报告；不合格，甲方应出具书面意见，乙方应根据甲方的书面意见进行整改，直至甲方书面认可为止。双方采用</w:t>
      </w:r>
      <w:r>
        <w:rPr>
          <w:rFonts w:hint="eastAsia" w:ascii="宋体" w:hAnsi="宋体" w:cs="Arial"/>
          <w:sz w:val="21"/>
          <w:szCs w:val="21"/>
          <w:u w:val="single"/>
        </w:rPr>
        <w:t>会议汇报方式进行项目</w:t>
      </w:r>
      <w:r>
        <w:rPr>
          <w:rFonts w:hint="eastAsia" w:ascii="宋体" w:hAnsi="宋体"/>
          <w:sz w:val="21"/>
          <w:szCs w:val="21"/>
        </w:rPr>
        <w:t>合同单项验收</w:t>
      </w:r>
      <w:r>
        <w:rPr>
          <w:rFonts w:hint="eastAsia" w:ascii="宋体" w:hAnsi="宋体" w:cs="Arial"/>
          <w:sz w:val="21"/>
          <w:szCs w:val="21"/>
        </w:rPr>
        <w:t>，由甲方组成的验收委员会出具技术项目验收证明。</w:t>
      </w:r>
    </w:p>
    <w:p w14:paraId="7D442284">
      <w:pPr>
        <w:spacing w:after="0" w:line="360" w:lineRule="auto"/>
        <w:jc w:val="both"/>
      </w:pPr>
      <w:r>
        <w:rPr>
          <w:rFonts w:hint="eastAsia" w:ascii="宋体" w:hAnsi="宋体" w:cs="Arial"/>
          <w:sz w:val="21"/>
          <w:szCs w:val="21"/>
        </w:rPr>
        <w:t>1</w:t>
      </w:r>
      <w:r>
        <w:rPr>
          <w:rFonts w:ascii="宋体" w:hAnsi="宋体" w:cs="Arial"/>
          <w:sz w:val="21"/>
          <w:szCs w:val="21"/>
        </w:rPr>
        <w:t>4</w:t>
      </w:r>
      <w:r>
        <w:rPr>
          <w:rFonts w:hint="eastAsia" w:ascii="宋体" w:hAnsi="宋体" w:cs="Arial"/>
          <w:sz w:val="21"/>
          <w:szCs w:val="21"/>
        </w:rPr>
        <w:t>.</w:t>
      </w:r>
      <w:r>
        <w:rPr>
          <w:rFonts w:ascii="宋体" w:hAnsi="宋体" w:cs="Arial"/>
          <w:sz w:val="21"/>
          <w:szCs w:val="21"/>
        </w:rPr>
        <w:t>1</w:t>
      </w:r>
      <w:r>
        <w:rPr>
          <w:rFonts w:hint="eastAsia" w:ascii="宋体" w:hAnsi="宋体" w:cs="Arial"/>
          <w:sz w:val="21"/>
          <w:szCs w:val="21"/>
        </w:rPr>
        <w:t>.2.3整体工程竣工验收：完成单项验收、结算审计、决算审计及项目整体验收报告编制后，甲方参照项目初步设计审批程序，经本单位内部评审后，逐级提报至项目立项审批单位申请项目整体竣工验收。</w:t>
      </w:r>
    </w:p>
    <w:p w14:paraId="60483636">
      <w:pPr>
        <w:spacing w:after="0" w:line="360" w:lineRule="auto"/>
        <w:jc w:val="both"/>
        <w:rPr>
          <w:sz w:val="21"/>
          <w:szCs w:val="21"/>
        </w:rPr>
      </w:pPr>
    </w:p>
    <w:p w14:paraId="4D549659">
      <w:pPr>
        <w:keepNext/>
        <w:keepLines/>
        <w:spacing w:after="0" w:line="360" w:lineRule="auto"/>
        <w:jc w:val="both"/>
        <w:outlineLvl w:val="1"/>
        <w:rPr>
          <w:b/>
          <w:bCs/>
          <w:kern w:val="44"/>
          <w:sz w:val="21"/>
          <w:szCs w:val="21"/>
        </w:rPr>
      </w:pPr>
      <w:bookmarkStart w:id="151" w:name="_Toc12065"/>
      <w:r>
        <w:rPr>
          <w:b/>
          <w:bCs/>
          <w:kern w:val="44"/>
          <w:sz w:val="21"/>
          <w:szCs w:val="21"/>
        </w:rPr>
        <w:t xml:space="preserve">15 </w:t>
      </w:r>
      <w:r>
        <w:rPr>
          <w:rFonts w:hint="eastAsia"/>
          <w:b/>
          <w:bCs/>
          <w:kern w:val="44"/>
          <w:sz w:val="21"/>
          <w:szCs w:val="21"/>
        </w:rPr>
        <w:t>知识产权</w:t>
      </w:r>
      <w:bookmarkEnd w:id="151"/>
    </w:p>
    <w:p w14:paraId="4118C147">
      <w:pPr>
        <w:pStyle w:val="61"/>
        <w:spacing w:after="0" w:line="360" w:lineRule="auto"/>
        <w:ind w:firstLine="0" w:firstLineChars="0"/>
        <w:rPr>
          <w:rFonts w:ascii="宋体" w:hAnsi="宋体"/>
          <w:szCs w:val="21"/>
        </w:rPr>
      </w:pPr>
      <w:r>
        <w:rPr>
          <w:rFonts w:ascii="宋体" w:hAnsi="宋体"/>
          <w:szCs w:val="21"/>
        </w:rPr>
        <w:t>15</w:t>
      </w:r>
      <w:r>
        <w:rPr>
          <w:rFonts w:hint="eastAsia" w:ascii="宋体" w:hAnsi="宋体"/>
          <w:szCs w:val="21"/>
        </w:rPr>
        <w:t>.1乙方不得将本合同项目部分或全部工作转让给第三人承担。但有下列情况之一的，乙方可以经与甲方协商，征得甲方书面同意后，将本合同项目部分或全部工作转让第三人承担，但乙方仍应按照本合同的规定对甲方直接承担本合同规定的责任，且该等转让不得导致增加甲方的任何义务，也不得导致增加甲方需支付的费用（如有任何本合同规定以外的费用，概由乙方承担）：</w:t>
      </w:r>
    </w:p>
    <w:p w14:paraId="6DBB9EAD">
      <w:pPr>
        <w:pStyle w:val="17"/>
        <w:spacing w:after="0" w:line="360" w:lineRule="auto"/>
        <w:ind w:firstLine="0"/>
        <w:jc w:val="both"/>
        <w:rPr>
          <w:rFonts w:ascii="宋体" w:hAnsi="宋体"/>
          <w:sz w:val="21"/>
          <w:szCs w:val="21"/>
        </w:rPr>
      </w:pPr>
      <w:r>
        <w:rPr>
          <w:rFonts w:ascii="宋体" w:hAnsi="宋体"/>
          <w:sz w:val="21"/>
          <w:szCs w:val="21"/>
        </w:rPr>
        <w:t>15</w:t>
      </w:r>
      <w:r>
        <w:rPr>
          <w:rFonts w:hint="eastAsia" w:ascii="宋体" w:hAnsi="宋体"/>
          <w:sz w:val="21"/>
          <w:szCs w:val="21"/>
        </w:rPr>
        <w:t>.1.1系统开发中采用的技术由第三方拥有专利权的；</w:t>
      </w:r>
    </w:p>
    <w:p w14:paraId="51C3438A">
      <w:pPr>
        <w:pStyle w:val="22"/>
        <w:spacing w:after="0" w:line="360" w:lineRule="auto"/>
        <w:jc w:val="both"/>
        <w:rPr>
          <w:rFonts w:ascii="宋体" w:hAnsi="宋体"/>
          <w:sz w:val="21"/>
          <w:szCs w:val="21"/>
        </w:rPr>
      </w:pPr>
      <w:r>
        <w:rPr>
          <w:rFonts w:ascii="宋体" w:hAnsi="宋体"/>
          <w:sz w:val="21"/>
          <w:szCs w:val="21"/>
        </w:rPr>
        <w:t>15</w:t>
      </w:r>
      <w:r>
        <w:rPr>
          <w:rFonts w:hint="eastAsia" w:ascii="宋体" w:hAnsi="宋体"/>
          <w:sz w:val="21"/>
          <w:szCs w:val="21"/>
        </w:rPr>
        <w:t>.1.2系统开发需要与甲方正在使用的由第三方提供的系统做接口的；</w:t>
      </w:r>
    </w:p>
    <w:p w14:paraId="4B02E62A">
      <w:pPr>
        <w:pStyle w:val="61"/>
        <w:spacing w:after="0" w:line="360" w:lineRule="auto"/>
        <w:ind w:firstLine="0" w:firstLineChars="0"/>
        <w:rPr>
          <w:rFonts w:ascii="宋体" w:hAnsi="宋体"/>
          <w:szCs w:val="21"/>
        </w:rPr>
      </w:pPr>
      <w:r>
        <w:rPr>
          <w:rFonts w:ascii="宋体" w:hAnsi="宋体"/>
          <w:szCs w:val="21"/>
        </w:rPr>
        <w:t>15</w:t>
      </w:r>
      <w:r>
        <w:rPr>
          <w:rFonts w:hint="eastAsia" w:ascii="宋体" w:hAnsi="宋体"/>
          <w:szCs w:val="21"/>
        </w:rPr>
        <w:t>.2乙方应当保证其交付给甲方的项目成果不侵犯任何第三人的合法权益，</w:t>
      </w:r>
      <w:r>
        <w:rPr>
          <w:rFonts w:ascii="宋体" w:hAnsi="宋体"/>
          <w:szCs w:val="21"/>
        </w:rPr>
        <w:t>甲方在使用</w:t>
      </w:r>
      <w:r>
        <w:rPr>
          <w:rFonts w:hint="eastAsia" w:ascii="宋体" w:hAnsi="宋体"/>
          <w:szCs w:val="21"/>
        </w:rPr>
        <w:t>所涉技术方案或其任何一部分</w:t>
      </w:r>
      <w:r>
        <w:rPr>
          <w:rFonts w:ascii="宋体" w:hAnsi="宋体"/>
          <w:szCs w:val="21"/>
        </w:rPr>
        <w:t>时，免受第三方提出</w:t>
      </w:r>
      <w:r>
        <w:rPr>
          <w:rFonts w:hint="eastAsia" w:ascii="宋体" w:hAnsi="宋体"/>
          <w:szCs w:val="21"/>
        </w:rPr>
        <w:t>的</w:t>
      </w:r>
      <w:r>
        <w:rPr>
          <w:rFonts w:ascii="宋体" w:hAnsi="宋体"/>
          <w:szCs w:val="21"/>
        </w:rPr>
        <w:t>侵犯其</w:t>
      </w:r>
      <w:r>
        <w:rPr>
          <w:rFonts w:hint="eastAsia" w:ascii="宋体" w:hAnsi="宋体"/>
          <w:szCs w:val="21"/>
        </w:rPr>
        <w:t>著作权、</w:t>
      </w:r>
      <w:r>
        <w:rPr>
          <w:rFonts w:ascii="宋体" w:hAnsi="宋体"/>
          <w:szCs w:val="21"/>
        </w:rPr>
        <w:t>专利权、商标权或工业设计权等的起诉。</w:t>
      </w:r>
      <w:r>
        <w:rPr>
          <w:rFonts w:hint="eastAsia" w:ascii="宋体" w:hAnsi="宋体"/>
          <w:szCs w:val="21"/>
        </w:rPr>
        <w:t>如发生第三人指控甲方实施的技术侵权的，</w:t>
      </w:r>
      <w:r>
        <w:rPr>
          <w:rFonts w:ascii="宋体" w:hAnsi="宋体"/>
          <w:szCs w:val="21"/>
        </w:rPr>
        <w:t>乙方保证在得到甲方通知后</w:t>
      </w:r>
      <w:r>
        <w:rPr>
          <w:rFonts w:hint="eastAsia" w:ascii="宋体" w:hAnsi="宋体"/>
          <w:szCs w:val="21"/>
        </w:rPr>
        <w:t>自行</w:t>
      </w:r>
      <w:r>
        <w:rPr>
          <w:rFonts w:ascii="宋体" w:hAnsi="宋体"/>
          <w:szCs w:val="21"/>
        </w:rPr>
        <w:t>处理与第三方的</w:t>
      </w:r>
      <w:r>
        <w:rPr>
          <w:rFonts w:hint="eastAsia" w:ascii="宋体" w:hAnsi="宋体"/>
          <w:szCs w:val="21"/>
        </w:rPr>
        <w:t>纠纷</w:t>
      </w:r>
      <w:r>
        <w:rPr>
          <w:rFonts w:ascii="宋体" w:hAnsi="宋体"/>
          <w:szCs w:val="21"/>
        </w:rPr>
        <w:t>，</w:t>
      </w:r>
      <w:r>
        <w:rPr>
          <w:rFonts w:hint="eastAsia" w:ascii="宋体" w:hAnsi="宋体"/>
          <w:szCs w:val="21"/>
        </w:rPr>
        <w:t>乙方应当承担全部责任，并赔偿甲方因此遭受的一切损失（包括但不限于甲方被强制支付的任何侵权赔偿款项以及甲方因该等侵权指控发生的诉讼费、律师费、担保费、鉴定费、公告费等费用）。</w:t>
      </w:r>
    </w:p>
    <w:p w14:paraId="4944BBB7">
      <w:pPr>
        <w:pStyle w:val="17"/>
        <w:spacing w:after="0" w:line="360" w:lineRule="auto"/>
        <w:ind w:firstLine="0"/>
        <w:jc w:val="both"/>
        <w:rPr>
          <w:rFonts w:ascii="宋体" w:hAnsi="宋体"/>
          <w:sz w:val="21"/>
          <w:szCs w:val="21"/>
        </w:rPr>
      </w:pPr>
      <w:r>
        <w:rPr>
          <w:rFonts w:ascii="宋体" w:hAnsi="宋体"/>
          <w:sz w:val="21"/>
          <w:szCs w:val="21"/>
        </w:rPr>
        <w:t>15</w:t>
      </w:r>
      <w:r>
        <w:rPr>
          <w:rFonts w:hint="eastAsia" w:ascii="宋体" w:hAnsi="宋体"/>
          <w:sz w:val="21"/>
          <w:szCs w:val="21"/>
        </w:rPr>
        <w:t xml:space="preserve">.3双方对本合同有关的知识产权权利归属特别约定如下：乙方因履行本合同为甲方定制开发产生的全部成果（包括但不限于任何嵌含在甲方指定系统中的或乙方在创作甲方指定系统过程中开发的发明创造专利、发表论文、软件著作权和设计等，源代码、系统技术文档、软件、数据、磁盘、CD-ROM和其他类似物品等）的知识产权（包括在此软件基础上进行的任何改进的所有权利）及其它相关权益均归属甲方；本合同签署前双方已经拥有的知识产权权利，仍归各自所有。 </w:t>
      </w:r>
    </w:p>
    <w:p w14:paraId="6CE228E1">
      <w:pPr>
        <w:spacing w:after="0" w:line="360" w:lineRule="auto"/>
        <w:jc w:val="both"/>
        <w:rPr>
          <w:rFonts w:ascii="宋体" w:hAnsi="宋体"/>
          <w:bCs/>
          <w:sz w:val="21"/>
          <w:szCs w:val="21"/>
        </w:rPr>
      </w:pPr>
      <w:r>
        <w:rPr>
          <w:rFonts w:ascii="宋体" w:hAnsi="宋体"/>
          <w:sz w:val="21"/>
          <w:szCs w:val="21"/>
        </w:rPr>
        <w:t>15</w:t>
      </w:r>
      <w:r>
        <w:rPr>
          <w:rFonts w:hint="eastAsia" w:ascii="宋体" w:hAnsi="宋体"/>
          <w:bCs/>
          <w:sz w:val="21"/>
          <w:szCs w:val="21"/>
        </w:rPr>
        <w:t>.3.1乙方应排他地许可甲方以自行决定的方式、时间、地点和场合行使发表本项目成果的权利。</w:t>
      </w:r>
    </w:p>
    <w:p w14:paraId="3B4731EE">
      <w:pPr>
        <w:spacing w:after="0" w:line="360" w:lineRule="auto"/>
        <w:jc w:val="both"/>
        <w:rPr>
          <w:rFonts w:ascii="宋体" w:hAnsi="宋体"/>
          <w:bCs/>
          <w:sz w:val="21"/>
          <w:szCs w:val="21"/>
        </w:rPr>
      </w:pPr>
      <w:r>
        <w:rPr>
          <w:rFonts w:ascii="宋体" w:hAnsi="宋体"/>
          <w:sz w:val="21"/>
          <w:szCs w:val="21"/>
        </w:rPr>
        <w:t>15</w:t>
      </w:r>
      <w:r>
        <w:rPr>
          <w:rFonts w:hint="eastAsia" w:ascii="宋体" w:hAnsi="宋体"/>
          <w:bCs/>
          <w:sz w:val="21"/>
          <w:szCs w:val="21"/>
        </w:rPr>
        <w:t>.3.2乙方同意并确认，甲方在为任何目的，以任何方式使用本项目成果均无需标明乙方的公司名称或乙方完成本合同项目的研究开发人员姓名。乙方授权甲方采取一切合理的措施（包括但不限于仲裁、诉讼等）制止侵犯乙方署名权的行为。甲方可根据情况自行决定是否采取相应措施。</w:t>
      </w:r>
    </w:p>
    <w:p w14:paraId="35534A68">
      <w:pPr>
        <w:spacing w:after="0" w:line="360" w:lineRule="auto"/>
        <w:jc w:val="both"/>
        <w:rPr>
          <w:rFonts w:ascii="宋体" w:hAnsi="宋体"/>
          <w:bCs/>
          <w:sz w:val="21"/>
          <w:szCs w:val="21"/>
        </w:rPr>
      </w:pPr>
      <w:r>
        <w:rPr>
          <w:rFonts w:ascii="宋体" w:hAnsi="宋体"/>
          <w:sz w:val="21"/>
          <w:szCs w:val="21"/>
        </w:rPr>
        <w:t>15</w:t>
      </w:r>
      <w:r>
        <w:rPr>
          <w:rFonts w:hint="eastAsia" w:ascii="宋体" w:hAnsi="宋体"/>
          <w:bCs/>
          <w:sz w:val="21"/>
          <w:szCs w:val="21"/>
        </w:rPr>
        <w:t>.3.3乙方排他地许可甲方以任何方式、为任何目的行使对本项目成果的修改权。在甲方要求乙方或甲方自行指定的第三方对本项目成果进行修改时，乙方无权干涉上述修改或向甲方或第三方提出任何要求，乙方并应配合相关的修改工作。</w:t>
      </w:r>
    </w:p>
    <w:p w14:paraId="575A548B">
      <w:pPr>
        <w:spacing w:after="0" w:line="360" w:lineRule="auto"/>
        <w:jc w:val="both"/>
        <w:rPr>
          <w:rFonts w:ascii="宋体" w:hAnsi="宋体"/>
          <w:bCs/>
          <w:sz w:val="21"/>
          <w:szCs w:val="21"/>
        </w:rPr>
      </w:pPr>
      <w:r>
        <w:rPr>
          <w:rFonts w:ascii="宋体" w:hAnsi="宋体"/>
          <w:sz w:val="21"/>
          <w:szCs w:val="21"/>
        </w:rPr>
        <w:t>15</w:t>
      </w:r>
      <w:r>
        <w:rPr>
          <w:rFonts w:hint="eastAsia" w:ascii="宋体" w:hAnsi="宋体"/>
          <w:bCs/>
          <w:sz w:val="21"/>
          <w:szCs w:val="21"/>
        </w:rPr>
        <w:t>.3.4乙方排他地许可甲方行使保护本项目成果的完整权。当甲方需要自行或授权任何第三方保护本项目成果的完整时，乙方应给予积极、合理的配合和协助。</w:t>
      </w:r>
    </w:p>
    <w:p w14:paraId="3F6A2D64">
      <w:pPr>
        <w:spacing w:after="0" w:line="360" w:lineRule="auto"/>
        <w:jc w:val="both"/>
        <w:rPr>
          <w:rFonts w:ascii="宋体" w:hAnsi="宋体"/>
          <w:bCs/>
          <w:sz w:val="21"/>
          <w:szCs w:val="21"/>
        </w:rPr>
      </w:pPr>
      <w:r>
        <w:rPr>
          <w:rFonts w:ascii="宋体" w:hAnsi="宋体"/>
          <w:sz w:val="21"/>
          <w:szCs w:val="21"/>
        </w:rPr>
        <w:t>15</w:t>
      </w:r>
      <w:r>
        <w:rPr>
          <w:rFonts w:hint="eastAsia" w:ascii="宋体" w:hAnsi="宋体"/>
          <w:bCs/>
          <w:sz w:val="21"/>
          <w:szCs w:val="21"/>
        </w:rPr>
        <w:t>.3.5乙方承诺，甲方有权自行决定对本项目成果的使用、开发、授权、许可、保护和再制作再开发等权利，不受乙方或任何第三方的任何干涉或限制。</w:t>
      </w:r>
    </w:p>
    <w:p w14:paraId="675C2773">
      <w:pPr>
        <w:spacing w:after="0" w:line="360" w:lineRule="auto"/>
        <w:jc w:val="both"/>
        <w:rPr>
          <w:rFonts w:ascii="宋体" w:hAnsi="宋体"/>
          <w:sz w:val="21"/>
          <w:szCs w:val="21"/>
        </w:rPr>
      </w:pPr>
      <w:r>
        <w:rPr>
          <w:rFonts w:ascii="宋体" w:hAnsi="宋体"/>
          <w:sz w:val="21"/>
          <w:szCs w:val="21"/>
        </w:rPr>
        <w:t>15</w:t>
      </w:r>
      <w:r>
        <w:rPr>
          <w:rFonts w:hint="eastAsia" w:ascii="宋体" w:hAnsi="宋体"/>
          <w:sz w:val="21"/>
          <w:szCs w:val="21"/>
        </w:rPr>
        <w:t>.4 双方确定，甲方有权对乙方按照本合同约定提供的项目成果进行后续改进。由此产生的具有实质性或创造性技术进步特征的新的技术成果及其权利归属，由甲方享有。</w:t>
      </w:r>
    </w:p>
    <w:p w14:paraId="5562439D">
      <w:pPr>
        <w:spacing w:after="0" w:line="360" w:lineRule="auto"/>
        <w:jc w:val="both"/>
        <w:rPr>
          <w:rFonts w:ascii="宋体" w:hAnsi="宋体"/>
          <w:sz w:val="21"/>
          <w:szCs w:val="21"/>
        </w:rPr>
      </w:pPr>
      <w:r>
        <w:rPr>
          <w:rFonts w:ascii="宋体" w:hAnsi="宋体"/>
          <w:sz w:val="21"/>
          <w:szCs w:val="21"/>
        </w:rPr>
        <w:t>15</w:t>
      </w:r>
      <w:r>
        <w:rPr>
          <w:rFonts w:hint="eastAsia" w:ascii="宋体" w:hAnsi="宋体"/>
          <w:sz w:val="21"/>
          <w:szCs w:val="21"/>
        </w:rPr>
        <w:t>.5非经甲方书面许可，乙方不得将本项目成果转让、许可或告知第三方。</w:t>
      </w:r>
    </w:p>
    <w:p w14:paraId="35C8B9E6">
      <w:pPr>
        <w:tabs>
          <w:tab w:val="left" w:pos="0"/>
        </w:tabs>
        <w:spacing w:after="0" w:line="360" w:lineRule="auto"/>
        <w:jc w:val="both"/>
        <w:rPr>
          <w:rFonts w:ascii="宋体" w:hAnsi="宋体"/>
          <w:sz w:val="21"/>
          <w:szCs w:val="21"/>
        </w:rPr>
      </w:pPr>
      <w:r>
        <w:rPr>
          <w:rFonts w:ascii="宋体" w:hAnsi="宋体"/>
          <w:sz w:val="21"/>
          <w:szCs w:val="21"/>
        </w:rPr>
        <w:t>15</w:t>
      </w:r>
      <w:r>
        <w:rPr>
          <w:rFonts w:hint="eastAsia" w:ascii="宋体" w:hAnsi="宋体"/>
          <w:sz w:val="21"/>
          <w:szCs w:val="21"/>
        </w:rPr>
        <w:t>.6 如果乙方在合同有效期内对项目成果作出了任何改进，乙方应许可甲方免费使用该项改进。为使该项改进能够投入使用，乙方在必要的情况下应给予技术协助。</w:t>
      </w:r>
    </w:p>
    <w:p w14:paraId="70907A8D">
      <w:pPr>
        <w:spacing w:after="0" w:line="360" w:lineRule="auto"/>
        <w:jc w:val="both"/>
        <w:rPr>
          <w:rFonts w:ascii="宋体" w:hAnsi="宋体"/>
          <w:sz w:val="21"/>
          <w:szCs w:val="21"/>
        </w:rPr>
      </w:pPr>
    </w:p>
    <w:p w14:paraId="71BA76CB">
      <w:pPr>
        <w:spacing w:after="0" w:line="360" w:lineRule="auto"/>
        <w:jc w:val="both"/>
        <w:rPr>
          <w:rFonts w:ascii="宋体" w:hAnsi="宋体" w:cs="宋体"/>
          <w:sz w:val="21"/>
          <w:szCs w:val="21"/>
        </w:rPr>
      </w:pPr>
      <w:r>
        <w:rPr>
          <w:rFonts w:hint="eastAsia" w:ascii="宋体" w:hAnsi="宋体"/>
          <w:sz w:val="21"/>
          <w:szCs w:val="21"/>
        </w:rPr>
        <w:t xml:space="preserve"> </w:t>
      </w:r>
    </w:p>
    <w:p w14:paraId="196C4874">
      <w:pPr>
        <w:pStyle w:val="2"/>
        <w:spacing w:after="0" w:line="360" w:lineRule="auto"/>
        <w:ind w:left="0" w:leftChars="0" w:firstLine="0" w:firstLineChars="0"/>
        <w:jc w:val="both"/>
        <w:rPr>
          <w:rFonts w:ascii="宋体" w:hAnsi="宋体" w:cs="宋体"/>
          <w:sz w:val="21"/>
          <w:szCs w:val="21"/>
        </w:rPr>
      </w:pPr>
    </w:p>
    <w:p w14:paraId="6A24439C">
      <w:pPr>
        <w:keepNext/>
        <w:keepLines/>
        <w:spacing w:after="0" w:line="360" w:lineRule="auto"/>
        <w:jc w:val="both"/>
        <w:outlineLvl w:val="1"/>
        <w:rPr>
          <w:b/>
          <w:bCs/>
          <w:kern w:val="44"/>
          <w:sz w:val="21"/>
          <w:szCs w:val="21"/>
        </w:rPr>
      </w:pPr>
      <w:bookmarkStart w:id="152" w:name="_Toc26960"/>
      <w:r>
        <w:rPr>
          <w:b/>
          <w:bCs/>
          <w:kern w:val="44"/>
          <w:sz w:val="21"/>
          <w:szCs w:val="21"/>
        </w:rPr>
        <w:t xml:space="preserve">16 </w:t>
      </w:r>
      <w:r>
        <w:rPr>
          <w:rFonts w:hint="eastAsia"/>
          <w:b/>
          <w:bCs/>
          <w:kern w:val="44"/>
          <w:sz w:val="21"/>
          <w:szCs w:val="21"/>
        </w:rPr>
        <w:t>违约责任</w:t>
      </w:r>
      <w:bookmarkEnd w:id="152"/>
    </w:p>
    <w:p w14:paraId="0C429DBA">
      <w:pPr>
        <w:tabs>
          <w:tab w:val="left" w:pos="0"/>
        </w:tabs>
        <w:spacing w:after="0" w:line="360" w:lineRule="auto"/>
        <w:jc w:val="both"/>
        <w:rPr>
          <w:rFonts w:ascii="宋体" w:hAnsi="宋体"/>
          <w:sz w:val="21"/>
          <w:szCs w:val="21"/>
        </w:rPr>
      </w:pPr>
      <w:r>
        <w:rPr>
          <w:rFonts w:hint="eastAsia" w:ascii="宋体" w:hAnsi="宋体"/>
          <w:sz w:val="21"/>
          <w:szCs w:val="21"/>
        </w:rPr>
        <w:t>16.1若乙方没有按照合同规定的时间完成本项目，在双方协商无果的情况下，甲方有权从合同价中扣除逾期违约金。按照每逾期一天乙方向甲方支付合同含税总价的</w:t>
      </w:r>
      <w:r>
        <w:rPr>
          <w:rFonts w:hint="eastAsia" w:ascii="宋体" w:hAnsi="宋体"/>
          <w:sz w:val="21"/>
          <w:szCs w:val="21"/>
          <w:u w:val="single"/>
        </w:rPr>
        <w:t xml:space="preserve">  0.5  ‰</w:t>
      </w:r>
      <w:r>
        <w:rPr>
          <w:rFonts w:hint="eastAsia" w:ascii="宋体" w:hAnsi="宋体"/>
          <w:sz w:val="21"/>
          <w:szCs w:val="21"/>
        </w:rPr>
        <w:t>的标准要求乙方向甲方支付逾期违约金。逾期超</w:t>
      </w:r>
      <w:r>
        <w:rPr>
          <w:rFonts w:hint="eastAsia" w:ascii="宋体" w:hAnsi="宋体"/>
          <w:sz w:val="21"/>
          <w:szCs w:val="21"/>
          <w:u w:val="single"/>
        </w:rPr>
        <w:t xml:space="preserve"> 30 天</w:t>
      </w:r>
      <w:r>
        <w:rPr>
          <w:rFonts w:hint="eastAsia" w:ascii="宋体" w:hAnsi="宋体"/>
          <w:sz w:val="21"/>
          <w:szCs w:val="21"/>
        </w:rPr>
        <w:t>的，甲方有权单方解除合同，乙方应向甲方支付合同含税总价的</w:t>
      </w:r>
      <w:r>
        <w:rPr>
          <w:rFonts w:hint="eastAsia" w:ascii="宋体" w:hAnsi="宋体"/>
          <w:sz w:val="21"/>
          <w:szCs w:val="21"/>
          <w:u w:val="single"/>
        </w:rPr>
        <w:t xml:space="preserve">  20  %</w:t>
      </w:r>
      <w:r>
        <w:rPr>
          <w:rFonts w:hint="eastAsia" w:ascii="宋体" w:hAnsi="宋体"/>
          <w:sz w:val="21"/>
          <w:szCs w:val="21"/>
        </w:rPr>
        <w:t>的违约金。</w:t>
      </w:r>
    </w:p>
    <w:p w14:paraId="72A9AB2E">
      <w:pPr>
        <w:tabs>
          <w:tab w:val="left" w:pos="0"/>
        </w:tabs>
        <w:spacing w:after="0" w:line="360" w:lineRule="auto"/>
        <w:jc w:val="both"/>
        <w:rPr>
          <w:rFonts w:ascii="宋体" w:hAnsi="宋体"/>
          <w:sz w:val="21"/>
          <w:szCs w:val="21"/>
        </w:rPr>
      </w:pPr>
      <w:r>
        <w:rPr>
          <w:rFonts w:hint="eastAsia" w:ascii="宋体" w:hAnsi="宋体"/>
          <w:sz w:val="21"/>
          <w:szCs w:val="21"/>
        </w:rPr>
        <w:t>16.2乙方提交的项目成果或提供服务未能达到合同验收标准的，乙方应在接到甲方书面整改通知起一个月内自费整改完毕。如果整改后仍达不到要求，不能通过最终验收的，甲方有权解除合同，乙方向甲方支付合同含税总价 20  %的违约金。</w:t>
      </w:r>
    </w:p>
    <w:p w14:paraId="7218EFE8">
      <w:pPr>
        <w:tabs>
          <w:tab w:val="left" w:pos="0"/>
        </w:tabs>
        <w:spacing w:after="0" w:line="360" w:lineRule="auto"/>
        <w:jc w:val="both"/>
        <w:rPr>
          <w:rFonts w:ascii="宋体" w:hAnsi="宋体"/>
          <w:sz w:val="21"/>
          <w:szCs w:val="21"/>
        </w:rPr>
      </w:pPr>
      <w:r>
        <w:rPr>
          <w:rFonts w:hint="eastAsia" w:ascii="宋体" w:hAnsi="宋体"/>
          <w:sz w:val="21"/>
          <w:szCs w:val="21"/>
        </w:rPr>
        <w:t>如乙方提供的设备及其部件的制造厂、材质不符合“完标方案”的规定，乙方应在  20 个工作日内负责更换，如仍达不到要求，甲方有权解除合同，乙方应向甲方支付合同含税总价的 20 %的违约金。</w:t>
      </w:r>
    </w:p>
    <w:p w14:paraId="41B87C36">
      <w:pPr>
        <w:tabs>
          <w:tab w:val="left" w:pos="0"/>
        </w:tabs>
        <w:spacing w:after="0" w:line="360" w:lineRule="auto"/>
        <w:jc w:val="both"/>
        <w:rPr>
          <w:rFonts w:ascii="宋体" w:hAnsi="宋体"/>
          <w:sz w:val="21"/>
          <w:szCs w:val="21"/>
        </w:rPr>
      </w:pPr>
      <w:r>
        <w:rPr>
          <w:rFonts w:hint="eastAsia" w:ascii="宋体" w:hAnsi="宋体"/>
          <w:sz w:val="21"/>
          <w:szCs w:val="21"/>
        </w:rPr>
        <w:t>安装调试完毕，如果设备未达到合同附件“完标方案”保证的要求，乙方应在一个月内自费整改完毕。如果整改后仍达不到要求，甲方有权解除合同，乙方应向甲方支付合同含税总价的  20 %的违约金。</w:t>
      </w:r>
    </w:p>
    <w:p w14:paraId="5D81F0DE">
      <w:pPr>
        <w:tabs>
          <w:tab w:val="left" w:pos="0"/>
        </w:tabs>
        <w:spacing w:after="0" w:line="360" w:lineRule="auto"/>
        <w:jc w:val="both"/>
        <w:rPr>
          <w:rFonts w:ascii="宋体" w:hAnsi="宋体"/>
          <w:sz w:val="21"/>
          <w:szCs w:val="21"/>
        </w:rPr>
      </w:pPr>
      <w:r>
        <w:rPr>
          <w:rFonts w:hint="eastAsia" w:ascii="宋体" w:hAnsi="宋体"/>
          <w:sz w:val="21"/>
          <w:szCs w:val="21"/>
        </w:rPr>
        <w:t>16.3乙方未按照合同的规定维护系统，每发生一次，乙方按</w:t>
      </w:r>
      <w:r>
        <w:rPr>
          <w:rFonts w:hint="eastAsia" w:ascii="宋体" w:hAnsi="宋体"/>
          <w:sz w:val="21"/>
          <w:szCs w:val="21"/>
          <w:u w:val="single"/>
        </w:rPr>
        <w:t xml:space="preserve">  2000  </w:t>
      </w:r>
      <w:r>
        <w:rPr>
          <w:rFonts w:hint="eastAsia" w:ascii="宋体" w:hAnsi="宋体"/>
          <w:sz w:val="21"/>
          <w:szCs w:val="21"/>
        </w:rPr>
        <w:t>元支付违约金给甲方并应立即整改。因乙方怠于履行维护义务导致系统整体瘫痪的，乙方按合同含税总价的</w:t>
      </w:r>
      <w:r>
        <w:rPr>
          <w:rFonts w:hint="eastAsia" w:ascii="宋体" w:hAnsi="宋体"/>
          <w:sz w:val="21"/>
          <w:szCs w:val="21"/>
          <w:u w:val="single"/>
        </w:rPr>
        <w:t xml:space="preserve">  1 %</w:t>
      </w:r>
      <w:r>
        <w:rPr>
          <w:rFonts w:hint="eastAsia" w:ascii="宋体" w:hAnsi="宋体"/>
          <w:sz w:val="21"/>
          <w:szCs w:val="21"/>
        </w:rPr>
        <w:t>支付违约金给甲方并应立即整改。如整体系统瘫痪超过</w:t>
      </w:r>
      <w:r>
        <w:rPr>
          <w:rFonts w:hint="eastAsia" w:ascii="宋体" w:hAnsi="宋体"/>
          <w:sz w:val="21"/>
          <w:szCs w:val="21"/>
          <w:u w:val="single"/>
        </w:rPr>
        <w:t xml:space="preserve">  7 日历</w:t>
      </w:r>
      <w:r>
        <w:rPr>
          <w:rFonts w:hint="eastAsia" w:ascii="宋体" w:hAnsi="宋体"/>
          <w:sz w:val="21"/>
          <w:szCs w:val="21"/>
        </w:rPr>
        <w:t>天时，甲方有权单方解除本合同，乙方应向甲方支付合同含税总价</w:t>
      </w:r>
      <w:r>
        <w:rPr>
          <w:rFonts w:hint="eastAsia" w:ascii="宋体" w:hAnsi="宋体"/>
          <w:sz w:val="21"/>
          <w:szCs w:val="21"/>
          <w:u w:val="single"/>
        </w:rPr>
        <w:t xml:space="preserve"> 20 %</w:t>
      </w:r>
      <w:r>
        <w:rPr>
          <w:rFonts w:hint="eastAsia" w:ascii="宋体" w:hAnsi="宋体"/>
          <w:sz w:val="21"/>
          <w:szCs w:val="21"/>
        </w:rPr>
        <w:t>的违约金。</w:t>
      </w:r>
    </w:p>
    <w:p w14:paraId="5D0258E7">
      <w:pPr>
        <w:tabs>
          <w:tab w:val="left" w:pos="0"/>
        </w:tabs>
        <w:spacing w:after="0" w:line="360" w:lineRule="auto"/>
        <w:jc w:val="both"/>
        <w:rPr>
          <w:rFonts w:ascii="宋体" w:hAnsi="宋体"/>
          <w:sz w:val="21"/>
          <w:szCs w:val="21"/>
        </w:rPr>
      </w:pPr>
      <w:r>
        <w:rPr>
          <w:rFonts w:hint="eastAsia" w:ascii="宋体" w:hAnsi="宋体"/>
          <w:sz w:val="21"/>
          <w:szCs w:val="21"/>
        </w:rPr>
        <w:t>16.4除本合同约定外，甲方或乙方无正当理由擅自中途单方解除合同，应承担违约责任。违约方应向守约方支付合同含税总价</w:t>
      </w:r>
      <w:r>
        <w:rPr>
          <w:rFonts w:hint="eastAsia" w:ascii="宋体" w:hAnsi="宋体"/>
          <w:sz w:val="21"/>
          <w:szCs w:val="21"/>
          <w:u w:val="single"/>
        </w:rPr>
        <w:t xml:space="preserve">  20 %的</w:t>
      </w:r>
      <w:r>
        <w:rPr>
          <w:rFonts w:hint="eastAsia" w:ascii="宋体" w:hAnsi="宋体"/>
          <w:sz w:val="21"/>
          <w:szCs w:val="21"/>
        </w:rPr>
        <w:t>违约金以弥补守约方的直接损失，如违约金不足以弥补损失，则违约方还应补足其不足的部分。</w:t>
      </w:r>
    </w:p>
    <w:p w14:paraId="3E19711B">
      <w:pPr>
        <w:tabs>
          <w:tab w:val="left" w:pos="0"/>
        </w:tabs>
        <w:spacing w:after="0" w:line="360" w:lineRule="auto"/>
        <w:jc w:val="both"/>
        <w:rPr>
          <w:rFonts w:ascii="宋体" w:hAnsi="宋体"/>
          <w:sz w:val="21"/>
          <w:szCs w:val="21"/>
        </w:rPr>
      </w:pPr>
      <w:r>
        <w:rPr>
          <w:rFonts w:hint="eastAsia" w:ascii="宋体" w:hAnsi="宋体"/>
          <w:sz w:val="21"/>
          <w:szCs w:val="21"/>
        </w:rPr>
        <w:t>16.5发生合同约定的需要追究乙方违约责任的情形时，乙方拒绝支付相应违约金的，甲方有权直接扣除相应金额的应付合同价款或履约保证金。</w:t>
      </w:r>
    </w:p>
    <w:p w14:paraId="7114F4D1">
      <w:pPr>
        <w:tabs>
          <w:tab w:val="left" w:pos="0"/>
        </w:tabs>
        <w:spacing w:after="0" w:line="360" w:lineRule="auto"/>
        <w:jc w:val="both"/>
        <w:rPr>
          <w:rFonts w:ascii="宋体" w:hAnsi="宋体"/>
          <w:sz w:val="21"/>
          <w:szCs w:val="21"/>
        </w:rPr>
      </w:pPr>
      <w:r>
        <w:rPr>
          <w:rFonts w:hint="eastAsia" w:ascii="宋体" w:hAnsi="宋体"/>
          <w:sz w:val="21"/>
          <w:szCs w:val="21"/>
        </w:rPr>
        <w:t>16.6乙方在招投标过程中若有弄虚作假、串通投标、向招标人或评标委员会行贿谋取中标或以其他不正当手段谋取中标等行为，在双方签订合同后被查证属实的，甲方有权取消乙方中标资格，单方解除本合同，乙方应向甲方支付合同含税总价</w:t>
      </w:r>
      <w:r>
        <w:rPr>
          <w:rFonts w:hint="eastAsia" w:ascii="宋体" w:hAnsi="宋体"/>
          <w:sz w:val="21"/>
          <w:szCs w:val="21"/>
          <w:u w:val="single"/>
        </w:rPr>
        <w:t xml:space="preserve"> 30 </w:t>
      </w:r>
      <w:r>
        <w:rPr>
          <w:rFonts w:hint="eastAsia" w:ascii="宋体" w:hAnsi="宋体"/>
          <w:sz w:val="21"/>
          <w:szCs w:val="21"/>
        </w:rPr>
        <w:t>%的违约金，违约金不足以弥补甲方损失的，乙方应赔偿甲方因此受到的全部损失。</w:t>
      </w:r>
    </w:p>
    <w:p w14:paraId="4C00F83A">
      <w:pPr>
        <w:tabs>
          <w:tab w:val="left" w:pos="0"/>
        </w:tabs>
        <w:spacing w:after="0" w:line="360" w:lineRule="auto"/>
        <w:jc w:val="both"/>
        <w:rPr>
          <w:rFonts w:ascii="宋体" w:hAnsi="宋体"/>
          <w:sz w:val="21"/>
          <w:szCs w:val="21"/>
        </w:rPr>
      </w:pPr>
      <w:r>
        <w:rPr>
          <w:rFonts w:hint="eastAsia" w:ascii="宋体" w:hAnsi="宋体"/>
          <w:sz w:val="21"/>
          <w:szCs w:val="21"/>
        </w:rPr>
        <w:t>16.7由于乙方违反本合同或廉洁合同的约定，导致合同终止或解除的，乙方应按相应违约情形条款的约定向甲方支付相应金额的违约金，同时甲方有权根据项目的实际情况进行以下选择：</w:t>
      </w:r>
    </w:p>
    <w:p w14:paraId="5C3F9E1D">
      <w:pPr>
        <w:tabs>
          <w:tab w:val="left" w:pos="0"/>
        </w:tabs>
        <w:spacing w:after="0" w:line="360" w:lineRule="auto"/>
        <w:jc w:val="both"/>
        <w:rPr>
          <w:rFonts w:ascii="宋体" w:hAnsi="宋体"/>
          <w:sz w:val="21"/>
          <w:szCs w:val="21"/>
        </w:rPr>
      </w:pPr>
      <w:r>
        <w:rPr>
          <w:rFonts w:hint="eastAsia" w:ascii="宋体" w:hAnsi="宋体"/>
          <w:sz w:val="21"/>
          <w:szCs w:val="21"/>
        </w:rPr>
        <w:t>16.7.1针对合同终止或解除前乙方已完成的工作成果（包括已经形成的过程性资料、阶段性成果），如果甲方需要继续全部或部分使用的，甲方可以根据情况与乙方进行结算后，继续使用乙方已完成的工作成果。</w:t>
      </w:r>
    </w:p>
    <w:p w14:paraId="0FA19E99">
      <w:pPr>
        <w:tabs>
          <w:tab w:val="left" w:pos="0"/>
        </w:tabs>
        <w:spacing w:after="0" w:line="360" w:lineRule="auto"/>
        <w:jc w:val="both"/>
        <w:rPr>
          <w:rFonts w:ascii="宋体" w:hAnsi="宋体"/>
          <w:sz w:val="21"/>
          <w:szCs w:val="21"/>
        </w:rPr>
      </w:pPr>
      <w:r>
        <w:rPr>
          <w:rFonts w:hint="eastAsia" w:ascii="宋体" w:hAnsi="宋体"/>
          <w:sz w:val="21"/>
          <w:szCs w:val="21"/>
        </w:rPr>
        <w:t>16.7.2针对合同终止或解除前乙方已完成的工作成果（包括已经形成的过程性资料、阶段性成果），如果甲方不需要继续使用的，甲方有权要求乙方返回甲方已经支付的款项，甲方返还乙方已提交的工作成果。</w:t>
      </w:r>
    </w:p>
    <w:p w14:paraId="464E01D0">
      <w:pPr>
        <w:tabs>
          <w:tab w:val="left" w:pos="0"/>
        </w:tabs>
        <w:spacing w:after="0" w:line="360" w:lineRule="auto"/>
        <w:jc w:val="both"/>
        <w:rPr>
          <w:rFonts w:ascii="宋体" w:hAnsi="宋体"/>
          <w:sz w:val="21"/>
          <w:szCs w:val="21"/>
        </w:rPr>
      </w:pPr>
      <w:r>
        <w:rPr>
          <w:rFonts w:hint="eastAsia" w:ascii="宋体" w:hAnsi="宋体"/>
          <w:sz w:val="21"/>
          <w:szCs w:val="21"/>
        </w:rPr>
        <w:t>16.8甲方未按合同约定期限付款的，逾期付款期间依照合同生效当日的一年期贷款市场报价利率按日计算逾期付款金额的违约金。</w:t>
      </w:r>
    </w:p>
    <w:p w14:paraId="39A8652D">
      <w:pPr>
        <w:spacing w:after="0" w:line="360" w:lineRule="auto"/>
        <w:jc w:val="both"/>
        <w:rPr>
          <w:rFonts w:ascii="宋体" w:hAnsi="宋体"/>
          <w:sz w:val="21"/>
          <w:szCs w:val="21"/>
        </w:rPr>
      </w:pPr>
    </w:p>
    <w:p w14:paraId="0C3E364F">
      <w:pPr>
        <w:keepNext/>
        <w:keepLines/>
        <w:spacing w:after="0" w:line="360" w:lineRule="auto"/>
        <w:jc w:val="both"/>
        <w:outlineLvl w:val="1"/>
        <w:rPr>
          <w:b/>
          <w:bCs/>
          <w:kern w:val="44"/>
          <w:sz w:val="21"/>
          <w:szCs w:val="21"/>
        </w:rPr>
      </w:pPr>
      <w:bookmarkStart w:id="153" w:name="_Toc17436"/>
      <w:r>
        <w:rPr>
          <w:rFonts w:hint="eastAsia"/>
          <w:b/>
          <w:bCs/>
          <w:kern w:val="44"/>
          <w:sz w:val="21"/>
          <w:szCs w:val="21"/>
        </w:rPr>
        <w:t>1</w:t>
      </w:r>
      <w:r>
        <w:rPr>
          <w:b/>
          <w:bCs/>
          <w:kern w:val="44"/>
          <w:sz w:val="21"/>
          <w:szCs w:val="21"/>
        </w:rPr>
        <w:t xml:space="preserve">7 </w:t>
      </w:r>
      <w:r>
        <w:rPr>
          <w:rFonts w:hint="eastAsia"/>
          <w:b/>
          <w:bCs/>
          <w:kern w:val="44"/>
          <w:sz w:val="21"/>
          <w:szCs w:val="21"/>
        </w:rPr>
        <w:t>合同的变更和解除和终止</w:t>
      </w:r>
      <w:bookmarkEnd w:id="153"/>
    </w:p>
    <w:p w14:paraId="49B628B3">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.1</w:t>
      </w:r>
      <w:r>
        <w:rPr>
          <w:rFonts w:ascii="宋体" w:hAnsi="宋体"/>
          <w:sz w:val="21"/>
          <w:szCs w:val="21"/>
        </w:rPr>
        <w:t xml:space="preserve"> </w:t>
      </w:r>
      <w:r>
        <w:rPr>
          <w:rFonts w:hint="eastAsia" w:ascii="宋体" w:hAnsi="宋体"/>
          <w:sz w:val="21"/>
          <w:szCs w:val="21"/>
        </w:rPr>
        <w:t>本合同一经生效，合同双方均不得擅自对本合同的内容(包括附件)作任何单方的修改。但任何一方均可以对合同内容以书面形式提出变更、修改、取消或补充的建议。该项建议应以书面形式通知对方并经双方签字确认。如果该项修改改变了合同价格和交货进度，应在收到上述修改通知书后的</w:t>
      </w:r>
      <w:r>
        <w:rPr>
          <w:rFonts w:ascii="宋体" w:hAnsi="宋体"/>
          <w:sz w:val="21"/>
          <w:szCs w:val="21"/>
          <w:u w:val="single"/>
        </w:rPr>
        <w:t xml:space="preserve">  </w:t>
      </w:r>
      <w:r>
        <w:rPr>
          <w:rFonts w:hint="eastAsia" w:ascii="宋体" w:hAnsi="宋体"/>
          <w:sz w:val="21"/>
          <w:szCs w:val="21"/>
          <w:u w:val="single"/>
        </w:rPr>
        <w:t>10</w:t>
      </w:r>
      <w:r>
        <w:rPr>
          <w:rFonts w:ascii="宋体" w:hAnsi="宋体"/>
          <w:sz w:val="21"/>
          <w:szCs w:val="21"/>
          <w:u w:val="single"/>
        </w:rPr>
        <w:t xml:space="preserve">  </w:t>
      </w:r>
      <w:r>
        <w:rPr>
          <w:rFonts w:hint="eastAsia" w:ascii="宋体" w:hAnsi="宋体"/>
          <w:sz w:val="21"/>
          <w:szCs w:val="21"/>
        </w:rPr>
        <w:t>个工作日内，提出影响合同价格和/或交货期的详细说明。双方同意后经双方法定代表人或委托代理人(须经法定代表人书面授权委托)签字后方能生效，针对修改内容中涉及到设备单价的项目，其单价必须与投标文件中主要分项报价表的单价一致。</w:t>
      </w:r>
    </w:p>
    <w:p w14:paraId="6C44371D">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.2</w:t>
      </w:r>
      <w:r>
        <w:rPr>
          <w:rFonts w:ascii="宋体" w:hAnsi="宋体"/>
          <w:sz w:val="21"/>
          <w:szCs w:val="21"/>
        </w:rPr>
        <w:t xml:space="preserve"> </w:t>
      </w:r>
      <w:r>
        <w:rPr>
          <w:rFonts w:hint="eastAsia" w:ascii="宋体" w:hAnsi="宋体"/>
          <w:sz w:val="21"/>
          <w:szCs w:val="21"/>
        </w:rPr>
        <w:t>如果乙方有违反或拒绝执行本合同规定的行为时，甲方将书面通知乙方，乙方在接到通知后三天内应做出整改，如果认为在三天内来不及整改时，应提出整改计划。若乙方未按约定整改或提出书面整改计划的，甲方有权单方解除合同，由此而发生的一切费用、损失和索赔将由乙方负担。另乙方需按本合同的约定承担违约责任。</w:t>
      </w:r>
    </w:p>
    <w:p w14:paraId="10033672">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.3</w:t>
      </w:r>
      <w:r>
        <w:rPr>
          <w:rFonts w:ascii="宋体" w:hAnsi="宋体"/>
          <w:sz w:val="21"/>
          <w:szCs w:val="21"/>
        </w:rPr>
        <w:t xml:space="preserve"> </w:t>
      </w:r>
      <w:r>
        <w:rPr>
          <w:rFonts w:hint="eastAsia" w:ascii="宋体" w:hAnsi="宋体"/>
          <w:sz w:val="21"/>
          <w:szCs w:val="21"/>
        </w:rPr>
        <w:t>在合同履行过程中，若因国家计划调整而引起本合同无法正常履行时，乙方或甲方可以向对方提出解除合同或修改合同有关条款的建议，与之有关的事宜双方另行协商办理。</w:t>
      </w:r>
    </w:p>
    <w:p w14:paraId="664C5DE5">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.4</w:t>
      </w:r>
      <w:r>
        <w:rPr>
          <w:rFonts w:ascii="宋体" w:hAnsi="宋体"/>
          <w:sz w:val="21"/>
          <w:szCs w:val="21"/>
        </w:rPr>
        <w:t xml:space="preserve"> </w:t>
      </w:r>
      <w:r>
        <w:rPr>
          <w:rFonts w:hint="eastAsia" w:ascii="宋体" w:hAnsi="宋体"/>
          <w:sz w:val="21"/>
          <w:szCs w:val="21"/>
        </w:rPr>
        <w:t>如果乙方破产、主体变更（被兼并、合并、解体、注销）或无偿还能力，或进入破产重整程序，甲方有权立即书面通知乙方或破产管理人或合同归属人终止合同，或向该破产管理人、清算人或该合同归属人提供选择，视其给出合理忠实履行合同的保证情况，继续履行全部或部分合同。</w:t>
      </w:r>
    </w:p>
    <w:p w14:paraId="1ABB1A06">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.5</w:t>
      </w:r>
      <w:r>
        <w:rPr>
          <w:rFonts w:ascii="宋体" w:hAnsi="宋体"/>
          <w:sz w:val="21"/>
          <w:szCs w:val="21"/>
        </w:rPr>
        <w:t xml:space="preserve"> </w:t>
      </w:r>
      <w:r>
        <w:rPr>
          <w:rFonts w:hint="eastAsia" w:ascii="宋体" w:hAnsi="宋体"/>
          <w:sz w:val="21"/>
          <w:szCs w:val="21"/>
        </w:rPr>
        <w:t>若1</w:t>
      </w:r>
      <w:r>
        <w:rPr>
          <w:rFonts w:ascii="宋体" w:hAnsi="宋体"/>
          <w:sz w:val="21"/>
          <w:szCs w:val="21"/>
        </w:rPr>
        <w:t>7</w:t>
      </w:r>
      <w:r>
        <w:rPr>
          <w:rFonts w:hint="eastAsia" w:ascii="宋体" w:hAnsi="宋体"/>
          <w:sz w:val="21"/>
          <w:szCs w:val="21"/>
        </w:rPr>
        <w:t>.4款考虑的情况确实发生，甲方有权从乙方手中将与设备有关的工作接管并收归己有，并在合理期限内从乙方的现场房屋中迁出所有与合同设备有关的设计、图纸、说明和材料，乙方应给甲方提供全权处理并提供一切合理的方便，使其能搬走上述这类设计、图纸、说明和材料，甲方对这种终止合同直接或间接引起的对乙方的任何索赔不承担责任，此外，双方应对乙方已经实际履行的合同部分评价达成协议，并处理合同提前结束的一切后果。</w:t>
      </w:r>
    </w:p>
    <w:p w14:paraId="16E20703">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.6</w:t>
      </w:r>
      <w:r>
        <w:rPr>
          <w:rFonts w:ascii="宋体" w:hAnsi="宋体"/>
          <w:sz w:val="21"/>
          <w:szCs w:val="21"/>
        </w:rPr>
        <w:t xml:space="preserve"> </w:t>
      </w:r>
      <w:r>
        <w:rPr>
          <w:rFonts w:hint="eastAsia" w:ascii="宋体" w:hAnsi="宋体"/>
          <w:sz w:val="21"/>
          <w:szCs w:val="21"/>
        </w:rPr>
        <w:t>经双方协商一致并签订书面协议后，即可终止或解除本合同。</w:t>
      </w:r>
    </w:p>
    <w:p w14:paraId="7833C5B8">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.7</w:t>
      </w:r>
      <w:r>
        <w:rPr>
          <w:rFonts w:ascii="宋体" w:hAnsi="宋体"/>
          <w:sz w:val="21"/>
          <w:szCs w:val="21"/>
        </w:rPr>
        <w:t xml:space="preserve"> </w:t>
      </w:r>
      <w:r>
        <w:rPr>
          <w:rFonts w:hint="eastAsia" w:ascii="宋体" w:hAnsi="宋体"/>
          <w:sz w:val="21"/>
          <w:szCs w:val="21"/>
        </w:rPr>
        <w:t>发生如下情形时，本合同终止：</w:t>
      </w:r>
    </w:p>
    <w:p w14:paraId="7535168E">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.7.1</w:t>
      </w:r>
      <w:r>
        <w:rPr>
          <w:rFonts w:ascii="宋体" w:hAnsi="宋体"/>
          <w:sz w:val="21"/>
          <w:szCs w:val="21"/>
        </w:rPr>
        <w:t xml:space="preserve"> </w:t>
      </w:r>
      <w:r>
        <w:rPr>
          <w:rFonts w:hint="eastAsia" w:ascii="宋体" w:hAnsi="宋体"/>
          <w:sz w:val="21"/>
          <w:szCs w:val="21"/>
        </w:rPr>
        <w:t>本合同约定有效期届满；</w:t>
      </w:r>
    </w:p>
    <w:p w14:paraId="10AF4963">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.7.2</w:t>
      </w:r>
      <w:r>
        <w:rPr>
          <w:rFonts w:ascii="宋体" w:hAnsi="宋体"/>
          <w:sz w:val="21"/>
          <w:szCs w:val="21"/>
        </w:rPr>
        <w:t xml:space="preserve"> </w:t>
      </w:r>
      <w:r>
        <w:rPr>
          <w:rFonts w:hint="eastAsia" w:ascii="宋体" w:hAnsi="宋体"/>
          <w:sz w:val="21"/>
          <w:szCs w:val="21"/>
        </w:rPr>
        <w:t>本合同一方或双方合并、分立、破产、清算等组织形式变更且未确定本合同权利义务承继主体，难以继续履行本合同；</w:t>
      </w:r>
    </w:p>
    <w:p w14:paraId="2F9F21EC">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.7.3因不可抗力导致本合同无法继续履行的，双方视不可抗力影响程度和范围可协商中止或终止本合同，本合同另有约定的除外；</w:t>
      </w:r>
    </w:p>
    <w:p w14:paraId="06E5351A">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7</w:t>
      </w:r>
      <w:r>
        <w:rPr>
          <w:rFonts w:hint="eastAsia" w:ascii="宋体" w:hAnsi="宋体"/>
          <w:sz w:val="21"/>
          <w:szCs w:val="21"/>
        </w:rPr>
        <w:t>.7.4</w:t>
      </w:r>
      <w:r>
        <w:rPr>
          <w:rFonts w:ascii="宋体" w:hAnsi="宋体"/>
          <w:sz w:val="21"/>
          <w:szCs w:val="21"/>
        </w:rPr>
        <w:t xml:space="preserve"> </w:t>
      </w:r>
      <w:r>
        <w:rPr>
          <w:rFonts w:hint="eastAsia" w:ascii="宋体" w:hAnsi="宋体"/>
          <w:sz w:val="21"/>
          <w:szCs w:val="21"/>
        </w:rPr>
        <w:t>本合同约定的其他终止情形。</w:t>
      </w:r>
    </w:p>
    <w:p w14:paraId="2232DC2C">
      <w:pPr>
        <w:pStyle w:val="2"/>
        <w:spacing w:after="0" w:line="360" w:lineRule="auto"/>
        <w:ind w:left="400"/>
        <w:jc w:val="both"/>
        <w:rPr>
          <w:sz w:val="21"/>
          <w:szCs w:val="21"/>
        </w:rPr>
      </w:pPr>
    </w:p>
    <w:p w14:paraId="14354088">
      <w:pPr>
        <w:pStyle w:val="2"/>
        <w:spacing w:after="0" w:line="360" w:lineRule="auto"/>
        <w:ind w:left="400"/>
        <w:jc w:val="both"/>
        <w:rPr>
          <w:sz w:val="21"/>
          <w:szCs w:val="21"/>
        </w:rPr>
      </w:pPr>
      <w:bookmarkStart w:id="154" w:name="_Toc90007503"/>
    </w:p>
    <w:bookmarkEnd w:id="154"/>
    <w:p w14:paraId="59F94BE4">
      <w:pPr>
        <w:keepNext/>
        <w:keepLines/>
        <w:spacing w:after="0" w:line="360" w:lineRule="auto"/>
        <w:jc w:val="both"/>
        <w:outlineLvl w:val="1"/>
        <w:rPr>
          <w:b/>
          <w:bCs/>
          <w:kern w:val="44"/>
          <w:sz w:val="21"/>
          <w:szCs w:val="21"/>
        </w:rPr>
      </w:pPr>
      <w:bookmarkStart w:id="155" w:name="_Toc27996"/>
      <w:bookmarkStart w:id="156" w:name="_Toc90007504"/>
      <w:r>
        <w:rPr>
          <w:rFonts w:hint="eastAsia"/>
          <w:b/>
          <w:bCs/>
          <w:kern w:val="44"/>
          <w:sz w:val="21"/>
          <w:szCs w:val="21"/>
        </w:rPr>
        <w:t>1</w:t>
      </w:r>
      <w:r>
        <w:rPr>
          <w:b/>
          <w:bCs/>
          <w:kern w:val="44"/>
          <w:sz w:val="21"/>
          <w:szCs w:val="21"/>
        </w:rPr>
        <w:t>8</w:t>
      </w:r>
      <w:r>
        <w:rPr>
          <w:rFonts w:hint="eastAsia"/>
          <w:b/>
          <w:bCs/>
          <w:kern w:val="44"/>
          <w:sz w:val="21"/>
          <w:szCs w:val="21"/>
        </w:rPr>
        <w:t xml:space="preserve"> </w:t>
      </w:r>
      <w:r>
        <w:rPr>
          <w:b/>
          <w:bCs/>
          <w:kern w:val="44"/>
          <w:sz w:val="21"/>
          <w:szCs w:val="21"/>
        </w:rPr>
        <w:t>保密</w:t>
      </w:r>
      <w:r>
        <w:rPr>
          <w:rFonts w:hint="eastAsia"/>
          <w:b/>
          <w:bCs/>
          <w:kern w:val="44"/>
          <w:sz w:val="21"/>
          <w:szCs w:val="21"/>
        </w:rPr>
        <w:t>义务</w:t>
      </w:r>
      <w:bookmarkEnd w:id="155"/>
    </w:p>
    <w:p w14:paraId="4BE1434B">
      <w:pPr>
        <w:spacing w:after="0" w:line="360" w:lineRule="auto"/>
        <w:jc w:val="both"/>
        <w:rPr>
          <w:rFonts w:ascii="宋体" w:hAnsi="宋体"/>
          <w:sz w:val="21"/>
          <w:szCs w:val="21"/>
        </w:rPr>
      </w:pPr>
      <w:r>
        <w:rPr>
          <w:rFonts w:hint="eastAsia" w:ascii="宋体" w:hAnsi="宋体"/>
          <w:sz w:val="21"/>
          <w:szCs w:val="21"/>
        </w:rPr>
        <w:t>18.1 任一方对基于本合同而知悉的对方秘密信息均负有保密义务。除相对方书面同意或法律强制性规定外，双方均不得以任何形式向第三方泄露、披露或公开该信息。本合同项下所称秘密信息是指披露方以任何形式向接受方披露的或接受方因本合同而得知的与业务相关的任何信息。上述“秘密信息”应包括但不限于本合同所有条款、知识产权、技术诀窍、调研结果、商业秘密、数据库；财务信息（包括成本、利润和销售）；市场策略；客户名单；提案与合同；披露方内部管理程序等。秘密信息不包括：1.在披露时或披露前已为公众所知晓的信息或资料；2.能证明从披露方获得相关信息时接受方已经熟知的资料或信息；3.由第三方合法提供给接受方的资料或信息。</w:t>
      </w:r>
    </w:p>
    <w:p w14:paraId="1BDF6971">
      <w:pPr>
        <w:spacing w:after="0" w:line="360" w:lineRule="auto"/>
        <w:jc w:val="both"/>
        <w:rPr>
          <w:rFonts w:ascii="宋体" w:hAnsi="宋体"/>
          <w:sz w:val="21"/>
          <w:szCs w:val="21"/>
        </w:rPr>
      </w:pPr>
      <w:r>
        <w:rPr>
          <w:rFonts w:hint="eastAsia" w:ascii="宋体" w:hAnsi="宋体"/>
          <w:sz w:val="21"/>
          <w:szCs w:val="21"/>
        </w:rPr>
        <w:t>18.2 本合同履行期间甲乙双方均应按照本合同约定严格履行保密义务，保密义务到秘密信息合法公开为止，保密义务的期限不受本合同履行期限的限制。</w:t>
      </w:r>
    </w:p>
    <w:p w14:paraId="64DCDBAE">
      <w:pPr>
        <w:spacing w:after="0" w:line="360" w:lineRule="auto"/>
        <w:jc w:val="both"/>
        <w:rPr>
          <w:rFonts w:ascii="宋体" w:hAnsi="宋体"/>
          <w:sz w:val="21"/>
          <w:szCs w:val="21"/>
        </w:rPr>
      </w:pPr>
      <w:r>
        <w:rPr>
          <w:rFonts w:hint="eastAsia" w:ascii="宋体" w:hAnsi="宋体"/>
          <w:sz w:val="21"/>
          <w:szCs w:val="21"/>
        </w:rPr>
        <w:t>18.3 如一方违反上述保密义务，致使另一方秘密信息泄露的，则泄密方应承担本合同金额</w:t>
      </w:r>
      <w:r>
        <w:rPr>
          <w:rFonts w:hint="eastAsia" w:ascii="宋体" w:hAnsi="宋体"/>
          <w:sz w:val="21"/>
          <w:szCs w:val="21"/>
          <w:u w:val="single"/>
        </w:rPr>
        <w:t xml:space="preserve">  20  %</w:t>
      </w:r>
      <w:r>
        <w:rPr>
          <w:rFonts w:hint="eastAsia" w:ascii="宋体" w:hAnsi="宋体"/>
          <w:sz w:val="21"/>
          <w:szCs w:val="21"/>
        </w:rPr>
        <w:t>的违约责任；一方泄密造成严重后果的，另一方有权单方解除本合同，并书面通知泄密方。因泄密给相对方造成的一切损失，由泄密方负责赔偿。</w:t>
      </w:r>
    </w:p>
    <w:p w14:paraId="07E494EE">
      <w:pPr>
        <w:pStyle w:val="2"/>
        <w:spacing w:after="0" w:line="360" w:lineRule="auto"/>
        <w:ind w:left="400"/>
        <w:jc w:val="both"/>
        <w:rPr>
          <w:sz w:val="21"/>
          <w:szCs w:val="21"/>
        </w:rPr>
      </w:pPr>
    </w:p>
    <w:p w14:paraId="67322575">
      <w:pPr>
        <w:keepNext/>
        <w:keepLines/>
        <w:spacing w:after="0" w:line="360" w:lineRule="auto"/>
        <w:jc w:val="both"/>
        <w:outlineLvl w:val="1"/>
        <w:rPr>
          <w:b/>
          <w:bCs/>
          <w:kern w:val="44"/>
          <w:sz w:val="21"/>
          <w:szCs w:val="21"/>
        </w:rPr>
      </w:pPr>
      <w:bookmarkStart w:id="157" w:name="_Toc931"/>
      <w:r>
        <w:rPr>
          <w:rFonts w:hint="eastAsia"/>
          <w:b/>
          <w:bCs/>
          <w:kern w:val="44"/>
          <w:sz w:val="21"/>
          <w:szCs w:val="21"/>
        </w:rPr>
        <w:t>1</w:t>
      </w:r>
      <w:r>
        <w:rPr>
          <w:b/>
          <w:bCs/>
          <w:kern w:val="44"/>
          <w:sz w:val="21"/>
          <w:szCs w:val="21"/>
        </w:rPr>
        <w:t>9</w:t>
      </w:r>
      <w:r>
        <w:rPr>
          <w:rFonts w:hint="eastAsia"/>
          <w:b/>
          <w:bCs/>
          <w:kern w:val="44"/>
          <w:sz w:val="21"/>
          <w:szCs w:val="21"/>
        </w:rPr>
        <w:t xml:space="preserve"> 不可抗力</w:t>
      </w:r>
      <w:bookmarkEnd w:id="156"/>
      <w:bookmarkEnd w:id="157"/>
    </w:p>
    <w:p w14:paraId="09D3DFC9">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9</w:t>
      </w:r>
      <w:r>
        <w:rPr>
          <w:rFonts w:hint="eastAsia" w:ascii="宋体" w:hAnsi="宋体"/>
          <w:sz w:val="21"/>
          <w:szCs w:val="21"/>
        </w:rPr>
        <w:t>.1</w:t>
      </w:r>
      <w:r>
        <w:rPr>
          <w:rFonts w:ascii="宋体" w:hAnsi="宋体"/>
          <w:sz w:val="21"/>
          <w:szCs w:val="21"/>
        </w:rPr>
        <w:t xml:space="preserve"> 不可抗力是指双方不</w:t>
      </w:r>
      <w:r>
        <w:rPr>
          <w:rFonts w:hint="eastAsia" w:ascii="宋体" w:hAnsi="宋体"/>
          <w:sz w:val="21"/>
          <w:szCs w:val="21"/>
        </w:rPr>
        <w:t>能</w:t>
      </w:r>
      <w:r>
        <w:rPr>
          <w:rFonts w:ascii="宋体" w:hAnsi="宋体"/>
          <w:sz w:val="21"/>
          <w:szCs w:val="21"/>
        </w:rPr>
        <w:t>预见、不</w:t>
      </w:r>
      <w:r>
        <w:rPr>
          <w:rFonts w:hint="eastAsia" w:ascii="宋体" w:hAnsi="宋体"/>
          <w:sz w:val="21"/>
          <w:szCs w:val="21"/>
        </w:rPr>
        <w:t>能</w:t>
      </w:r>
      <w:r>
        <w:rPr>
          <w:rFonts w:ascii="宋体" w:hAnsi="宋体"/>
          <w:sz w:val="21"/>
          <w:szCs w:val="21"/>
        </w:rPr>
        <w:t>避免且不</w:t>
      </w:r>
      <w:r>
        <w:rPr>
          <w:rFonts w:hint="eastAsia" w:ascii="宋体" w:hAnsi="宋体"/>
          <w:sz w:val="21"/>
          <w:szCs w:val="21"/>
        </w:rPr>
        <w:t>能</w:t>
      </w:r>
      <w:r>
        <w:rPr>
          <w:rFonts w:ascii="宋体" w:hAnsi="宋体"/>
          <w:sz w:val="21"/>
          <w:szCs w:val="21"/>
        </w:rPr>
        <w:t>克服的妨碍任何一方全部或部分履行本合同的一切事件。此种事件只包括地震、塌方、陷落、洪水、台风等自然灾害以及火灾、爆炸、事故、破坏活动、战争、政府法律或政策变化等任何其它类似的偶发事件。</w:t>
      </w:r>
    </w:p>
    <w:p w14:paraId="203CD32D">
      <w:pPr>
        <w:spacing w:after="0" w:line="360" w:lineRule="auto"/>
        <w:jc w:val="both"/>
        <w:rPr>
          <w:rFonts w:ascii="宋体" w:hAnsi="宋体"/>
          <w:sz w:val="21"/>
          <w:szCs w:val="21"/>
        </w:rPr>
      </w:pPr>
      <w:r>
        <w:rPr>
          <w:rFonts w:hint="eastAsia" w:ascii="宋体" w:hAnsi="宋体"/>
          <w:sz w:val="21"/>
          <w:szCs w:val="21"/>
        </w:rPr>
        <w:t>19.2甲方系烟草工业企业，受《中华人民共和国烟草专卖法》等国家、地方政府或者行业法律法规、政策、规定变化影响及上级主管部门、烟草行业主管部门政策、文件调整及深化改革导致的管理、业务变革、集中采购等情况影响较大，故双方同意，上述法律法规、政策、文件调整及深化改革导致的管理、业务变革、集中采购等情况视为不可抗力。</w:t>
      </w:r>
    </w:p>
    <w:p w14:paraId="587E1ED1">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9</w:t>
      </w:r>
      <w:r>
        <w:rPr>
          <w:rFonts w:hint="eastAsia" w:ascii="宋体" w:hAnsi="宋体"/>
          <w:sz w:val="21"/>
          <w:szCs w:val="21"/>
        </w:rPr>
        <w:t>.3</w:t>
      </w:r>
      <w:r>
        <w:rPr>
          <w:rFonts w:ascii="宋体" w:hAnsi="宋体"/>
          <w:sz w:val="21"/>
          <w:szCs w:val="21"/>
        </w:rPr>
        <w:t xml:space="preserve"> 任何一方由于不可抗力原因不能履行合同时，应在不可抗力事件发生后三日内向对方书面通报，并采取力所能及的补救措施以尽量减少给双方带来的损失；在取得有关机构的不可抗力证明后，根据不可抗力对本合同的影响情况，</w:t>
      </w:r>
      <w:r>
        <w:rPr>
          <w:rFonts w:hint="eastAsia" w:ascii="宋体" w:hAnsi="宋体"/>
          <w:sz w:val="21"/>
          <w:szCs w:val="21"/>
        </w:rPr>
        <w:t>经双方协商决定</w:t>
      </w:r>
      <w:r>
        <w:rPr>
          <w:rFonts w:ascii="宋体" w:hAnsi="宋体"/>
          <w:sz w:val="21"/>
          <w:szCs w:val="21"/>
        </w:rPr>
        <w:t>延期履行、部分履行或者不履行合同，并根据情况可部分或全部免予承担违约责任。</w:t>
      </w:r>
    </w:p>
    <w:p w14:paraId="79711DFA">
      <w:pPr>
        <w:spacing w:after="0" w:line="360" w:lineRule="auto"/>
        <w:jc w:val="both"/>
        <w:rPr>
          <w:rFonts w:ascii="宋体" w:hAnsi="宋体"/>
          <w:sz w:val="21"/>
          <w:szCs w:val="21"/>
        </w:rPr>
      </w:pPr>
      <w:r>
        <w:rPr>
          <w:rFonts w:hint="eastAsia" w:ascii="宋体" w:hAnsi="宋体"/>
          <w:sz w:val="21"/>
          <w:szCs w:val="21"/>
        </w:rPr>
        <w:t>1</w:t>
      </w:r>
      <w:r>
        <w:rPr>
          <w:rFonts w:ascii="宋体" w:hAnsi="宋体"/>
          <w:sz w:val="21"/>
          <w:szCs w:val="21"/>
        </w:rPr>
        <w:t>9</w:t>
      </w:r>
      <w:r>
        <w:rPr>
          <w:rFonts w:hint="eastAsia" w:ascii="宋体" w:hAnsi="宋体"/>
          <w:sz w:val="21"/>
          <w:szCs w:val="21"/>
        </w:rPr>
        <w:t>.4</w:t>
      </w:r>
      <w:r>
        <w:rPr>
          <w:rFonts w:ascii="宋体" w:hAnsi="宋体"/>
          <w:sz w:val="21"/>
          <w:szCs w:val="21"/>
        </w:rPr>
        <w:t xml:space="preserve"> 如果不可抗力发生或影响的时间连续超过30日以上且妨碍任何一方履行本合同时，任何一方均有权解除本合同。</w:t>
      </w:r>
    </w:p>
    <w:p w14:paraId="0397E8CD">
      <w:pPr>
        <w:pStyle w:val="2"/>
        <w:spacing w:after="0" w:line="360" w:lineRule="auto"/>
        <w:ind w:left="400"/>
        <w:jc w:val="both"/>
        <w:rPr>
          <w:rFonts w:ascii="宋体" w:hAnsi="宋体"/>
          <w:sz w:val="21"/>
          <w:szCs w:val="21"/>
        </w:rPr>
      </w:pPr>
    </w:p>
    <w:p w14:paraId="75CAA004">
      <w:pPr>
        <w:pStyle w:val="2"/>
        <w:spacing w:after="0" w:line="360" w:lineRule="auto"/>
        <w:ind w:left="400"/>
        <w:jc w:val="both"/>
        <w:rPr>
          <w:sz w:val="21"/>
          <w:szCs w:val="21"/>
        </w:rPr>
      </w:pPr>
    </w:p>
    <w:p w14:paraId="7969A559">
      <w:pPr>
        <w:keepNext/>
        <w:keepLines/>
        <w:spacing w:after="0" w:line="360" w:lineRule="auto"/>
        <w:jc w:val="both"/>
        <w:outlineLvl w:val="1"/>
        <w:rPr>
          <w:b/>
          <w:bCs/>
          <w:kern w:val="44"/>
          <w:sz w:val="21"/>
          <w:szCs w:val="21"/>
        </w:rPr>
      </w:pPr>
      <w:bookmarkStart w:id="158" w:name="_Toc3560"/>
      <w:bookmarkStart w:id="159" w:name="_Toc90007505"/>
      <w:r>
        <w:rPr>
          <w:b/>
          <w:bCs/>
          <w:kern w:val="44"/>
          <w:sz w:val="21"/>
          <w:szCs w:val="21"/>
        </w:rPr>
        <w:t>20</w:t>
      </w:r>
      <w:r>
        <w:rPr>
          <w:rFonts w:hint="eastAsia"/>
          <w:b/>
          <w:bCs/>
          <w:kern w:val="44"/>
          <w:sz w:val="21"/>
          <w:szCs w:val="21"/>
        </w:rPr>
        <w:t xml:space="preserve"> 争议解决</w:t>
      </w:r>
      <w:bookmarkEnd w:id="158"/>
      <w:bookmarkEnd w:id="159"/>
    </w:p>
    <w:p w14:paraId="64F936C0">
      <w:pPr>
        <w:spacing w:after="0" w:line="360" w:lineRule="auto"/>
        <w:jc w:val="both"/>
        <w:rPr>
          <w:rFonts w:ascii="宋体" w:hAnsi="宋体"/>
          <w:sz w:val="21"/>
          <w:szCs w:val="21"/>
        </w:rPr>
      </w:pPr>
      <w:bookmarkStart w:id="160" w:name="_Toc90007506"/>
      <w:r>
        <w:rPr>
          <w:rFonts w:ascii="宋体" w:hAnsi="宋体"/>
          <w:sz w:val="21"/>
          <w:szCs w:val="21"/>
        </w:rPr>
        <w:t>20</w:t>
      </w:r>
      <w:r>
        <w:rPr>
          <w:rFonts w:hint="eastAsia" w:ascii="宋体" w:hAnsi="宋体"/>
          <w:sz w:val="21"/>
          <w:szCs w:val="21"/>
        </w:rPr>
        <w:t>.1</w:t>
      </w:r>
      <w:r>
        <w:rPr>
          <w:rFonts w:ascii="宋体" w:hAnsi="宋体"/>
          <w:sz w:val="21"/>
          <w:szCs w:val="21"/>
        </w:rPr>
        <w:t xml:space="preserve"> </w:t>
      </w:r>
      <w:r>
        <w:rPr>
          <w:rFonts w:hint="eastAsia" w:ascii="宋体" w:hAnsi="宋体"/>
          <w:sz w:val="21"/>
          <w:szCs w:val="21"/>
        </w:rPr>
        <w:t>甲、乙双方因履行本合同发生争议的，应协商解决，协商不成的，依法向合同签订地法院提起诉讼。本合同签订地为：</w:t>
      </w:r>
      <w:r>
        <w:rPr>
          <w:rFonts w:hint="eastAsia" w:ascii="宋体" w:hAnsi="宋体"/>
          <w:sz w:val="21"/>
          <w:szCs w:val="21"/>
          <w:u w:val="single"/>
        </w:rPr>
        <w:t xml:space="preserve"> 曲靖市麒麟区麒麟北路</w:t>
      </w:r>
      <w:r>
        <w:rPr>
          <w:rFonts w:ascii="宋体" w:hAnsi="宋体"/>
          <w:sz w:val="21"/>
          <w:szCs w:val="21"/>
          <w:u w:val="single"/>
        </w:rPr>
        <w:t>499</w:t>
      </w:r>
      <w:r>
        <w:rPr>
          <w:rFonts w:hint="eastAsia" w:ascii="宋体" w:hAnsi="宋体"/>
          <w:sz w:val="21"/>
          <w:szCs w:val="21"/>
          <w:u w:val="single"/>
        </w:rPr>
        <w:t xml:space="preserve">号 </w:t>
      </w:r>
      <w:r>
        <w:rPr>
          <w:rFonts w:hint="eastAsia" w:ascii="宋体" w:hAnsi="宋体"/>
          <w:sz w:val="21"/>
          <w:szCs w:val="21"/>
        </w:rPr>
        <w:t xml:space="preserve"> 。</w:t>
      </w:r>
    </w:p>
    <w:p w14:paraId="47B6417C">
      <w:pPr>
        <w:spacing w:after="0" w:line="360" w:lineRule="auto"/>
        <w:jc w:val="both"/>
        <w:rPr>
          <w:rFonts w:ascii="宋体" w:hAnsi="宋体"/>
          <w:sz w:val="21"/>
          <w:szCs w:val="21"/>
        </w:rPr>
      </w:pPr>
      <w:r>
        <w:rPr>
          <w:rFonts w:ascii="宋体" w:hAnsi="宋体"/>
          <w:sz w:val="21"/>
          <w:szCs w:val="21"/>
        </w:rPr>
        <w:t>20</w:t>
      </w:r>
      <w:r>
        <w:rPr>
          <w:rFonts w:hint="eastAsia" w:ascii="宋体" w:hAnsi="宋体"/>
          <w:sz w:val="21"/>
          <w:szCs w:val="21"/>
        </w:rPr>
        <w:t>.2</w:t>
      </w:r>
      <w:r>
        <w:rPr>
          <w:rFonts w:ascii="宋体" w:hAnsi="宋体"/>
          <w:sz w:val="21"/>
          <w:szCs w:val="21"/>
        </w:rPr>
        <w:t xml:space="preserve"> </w:t>
      </w:r>
      <w:r>
        <w:rPr>
          <w:rFonts w:hint="eastAsia" w:ascii="宋体" w:hAnsi="宋体"/>
          <w:sz w:val="21"/>
          <w:szCs w:val="21"/>
        </w:rPr>
        <w:t>违约一方需承担守约方支出的合理费用，包括但不限于诉讼费、律师费、公证费、鉴定费、担保费等。</w:t>
      </w:r>
    </w:p>
    <w:p w14:paraId="35FB14CE">
      <w:pPr>
        <w:pStyle w:val="2"/>
        <w:spacing w:after="0" w:line="360" w:lineRule="auto"/>
        <w:ind w:left="400"/>
        <w:jc w:val="both"/>
        <w:rPr>
          <w:sz w:val="21"/>
          <w:szCs w:val="21"/>
        </w:rPr>
      </w:pPr>
    </w:p>
    <w:p w14:paraId="7C59E5BE">
      <w:pPr>
        <w:keepNext/>
        <w:keepLines/>
        <w:spacing w:after="0" w:line="360" w:lineRule="auto"/>
        <w:jc w:val="both"/>
        <w:outlineLvl w:val="1"/>
        <w:rPr>
          <w:b/>
          <w:bCs/>
          <w:kern w:val="44"/>
          <w:sz w:val="21"/>
          <w:szCs w:val="21"/>
        </w:rPr>
      </w:pPr>
      <w:bookmarkStart w:id="161" w:name="_Toc15930"/>
      <w:r>
        <w:rPr>
          <w:b/>
          <w:bCs/>
          <w:kern w:val="44"/>
          <w:sz w:val="21"/>
          <w:szCs w:val="21"/>
        </w:rPr>
        <w:t xml:space="preserve">21 </w:t>
      </w:r>
      <w:r>
        <w:rPr>
          <w:rFonts w:hint="eastAsia"/>
          <w:b/>
          <w:bCs/>
          <w:kern w:val="44"/>
          <w:sz w:val="21"/>
          <w:szCs w:val="21"/>
        </w:rPr>
        <w:t>特别约定</w:t>
      </w:r>
      <w:bookmarkEnd w:id="161"/>
    </w:p>
    <w:p w14:paraId="1FCFB218">
      <w:pPr>
        <w:spacing w:after="0" w:line="360" w:lineRule="auto"/>
        <w:jc w:val="both"/>
        <w:rPr>
          <w:rFonts w:ascii="宋体" w:hAnsi="宋体"/>
          <w:sz w:val="21"/>
          <w:szCs w:val="21"/>
        </w:rPr>
      </w:pPr>
      <w:r>
        <w:rPr>
          <w:rFonts w:ascii="宋体" w:hAnsi="宋体"/>
          <w:sz w:val="21"/>
          <w:szCs w:val="21"/>
        </w:rPr>
        <w:t>21</w:t>
      </w:r>
      <w:r>
        <w:rPr>
          <w:rFonts w:hint="eastAsia" w:ascii="宋体" w:hAnsi="宋体"/>
          <w:sz w:val="21"/>
          <w:szCs w:val="21"/>
        </w:rPr>
        <w:t>.1</w:t>
      </w:r>
      <w:r>
        <w:rPr>
          <w:rFonts w:ascii="宋体" w:hAnsi="宋体"/>
          <w:sz w:val="21"/>
          <w:szCs w:val="21"/>
        </w:rPr>
        <w:t xml:space="preserve"> </w:t>
      </w:r>
      <w:r>
        <w:rPr>
          <w:rFonts w:hint="eastAsia" w:ascii="宋体" w:hAnsi="宋体"/>
          <w:sz w:val="21"/>
          <w:szCs w:val="21"/>
        </w:rPr>
        <w:t>乙方同意并确认依据烟草行业、云南中烟及红云红河集团对存在行贿行为供应商实施禁入措施的有关管理规定及制度，若乙方或其法定代表人、主要负责人、行贿人出现下列情形之一的，甲方有权根据项目实际情况，采取降低考核评价分数、降低供货份额、缩短服务期限、终止或者解除合同等处理措施。</w:t>
      </w:r>
    </w:p>
    <w:p w14:paraId="7DF01729">
      <w:pPr>
        <w:spacing w:after="0" w:line="360" w:lineRule="auto"/>
        <w:jc w:val="both"/>
        <w:rPr>
          <w:rFonts w:ascii="宋体" w:hAnsi="宋体"/>
          <w:sz w:val="21"/>
          <w:szCs w:val="21"/>
        </w:rPr>
      </w:pPr>
      <w:r>
        <w:rPr>
          <w:rFonts w:hint="eastAsia" w:ascii="宋体" w:hAnsi="宋体"/>
          <w:sz w:val="21"/>
          <w:szCs w:val="21"/>
        </w:rPr>
        <w:t>（1）被列入中国烟草总公司或云南中烟“存在行贿行为供应商名单”；</w:t>
      </w:r>
    </w:p>
    <w:p w14:paraId="7EB574EE">
      <w:pPr>
        <w:spacing w:after="0" w:line="360" w:lineRule="auto"/>
        <w:jc w:val="both"/>
        <w:rPr>
          <w:rFonts w:ascii="宋体" w:hAnsi="宋体"/>
          <w:sz w:val="21"/>
          <w:szCs w:val="21"/>
        </w:rPr>
      </w:pPr>
      <w:r>
        <w:rPr>
          <w:rFonts w:hint="eastAsia" w:ascii="宋体" w:hAnsi="宋体"/>
          <w:sz w:val="21"/>
          <w:szCs w:val="21"/>
        </w:rPr>
        <w:t>（2）被列入由中国烟草总公司转发的行业其他工商企业“存在行贿行为供应商名单”。</w:t>
      </w:r>
    </w:p>
    <w:p w14:paraId="1253C42D">
      <w:pPr>
        <w:spacing w:after="0" w:line="360" w:lineRule="auto"/>
        <w:jc w:val="both"/>
        <w:rPr>
          <w:rFonts w:ascii="宋体" w:hAnsi="宋体"/>
          <w:sz w:val="21"/>
          <w:szCs w:val="21"/>
        </w:rPr>
      </w:pPr>
      <w:r>
        <w:rPr>
          <w:rFonts w:hint="eastAsia" w:ascii="宋体" w:hAnsi="宋体"/>
          <w:sz w:val="21"/>
          <w:szCs w:val="21"/>
        </w:rPr>
        <w:t>21.2关于核心技术资料的约定</w:t>
      </w:r>
    </w:p>
    <w:p w14:paraId="3299B39D">
      <w:pPr>
        <w:spacing w:after="0" w:line="360" w:lineRule="auto"/>
        <w:jc w:val="both"/>
        <w:rPr>
          <w:rFonts w:ascii="宋体" w:hAnsi="宋体"/>
          <w:sz w:val="21"/>
          <w:szCs w:val="21"/>
        </w:rPr>
      </w:pPr>
      <w:r>
        <w:rPr>
          <w:rFonts w:hint="eastAsia" w:ascii="宋体" w:hAnsi="宋体"/>
          <w:sz w:val="21"/>
          <w:szCs w:val="21"/>
        </w:rPr>
        <w:t>21.2.1本合同□不存在由乙方掌握的核心技术资料；</w:t>
      </w:r>
    </w:p>
    <w:p w14:paraId="4D8C4987">
      <w:pPr>
        <w:spacing w:after="0" w:line="360" w:lineRule="auto"/>
        <w:jc w:val="both"/>
        <w:rPr>
          <w:rFonts w:ascii="宋体" w:hAnsi="宋体"/>
          <w:sz w:val="21"/>
          <w:szCs w:val="21"/>
        </w:rPr>
      </w:pPr>
      <w:r>
        <w:rPr>
          <w:rFonts w:hint="eastAsia" w:ascii="宋体" w:hAnsi="宋体"/>
          <w:sz w:val="21"/>
          <w:szCs w:val="21"/>
        </w:rPr>
        <w:t>本合同□存在由乙方掌握的核心技术资料，具体内容为：   （如：香精香料配方、软件源代码等）   。</w:t>
      </w:r>
    </w:p>
    <w:p w14:paraId="19EDA26D">
      <w:pPr>
        <w:spacing w:after="0" w:line="360" w:lineRule="auto"/>
        <w:jc w:val="both"/>
        <w:rPr>
          <w:rFonts w:ascii="宋体" w:hAnsi="宋体"/>
          <w:sz w:val="21"/>
          <w:szCs w:val="21"/>
        </w:rPr>
      </w:pPr>
      <w:r>
        <w:rPr>
          <w:rFonts w:hint="eastAsia" w:ascii="宋体" w:hAnsi="宋体"/>
          <w:sz w:val="21"/>
          <w:szCs w:val="21"/>
        </w:rPr>
        <w:t>21.2.2本合同存在的由乙方掌握的核心技术资料：</w:t>
      </w:r>
    </w:p>
    <w:p w14:paraId="4C7CF608">
      <w:pPr>
        <w:spacing w:after="0" w:line="360" w:lineRule="auto"/>
        <w:jc w:val="both"/>
        <w:rPr>
          <w:rFonts w:ascii="宋体" w:hAnsi="宋体"/>
          <w:sz w:val="21"/>
          <w:szCs w:val="21"/>
        </w:rPr>
      </w:pPr>
      <w:r>
        <w:rPr>
          <w:rFonts w:hint="eastAsia" w:ascii="宋体" w:hAnsi="宋体"/>
          <w:sz w:val="21"/>
          <w:szCs w:val="21"/>
        </w:rPr>
        <w:t>□不需要进行铅封。乙方掌握的核心技术资料对本项目的执行无重大实质性影响（即乙方掌握的核心技术资料具有可替代性），若在履约期间发现乙方向烟草干部职工行贿，甲方选择单方解除本合同的，更换其他供应商后本项目仍可顺利推进。</w:t>
      </w:r>
    </w:p>
    <w:p w14:paraId="70F760DA">
      <w:pPr>
        <w:spacing w:after="0" w:line="360" w:lineRule="auto"/>
        <w:jc w:val="both"/>
        <w:rPr>
          <w:rFonts w:ascii="宋体" w:hAnsi="宋体"/>
          <w:sz w:val="21"/>
          <w:szCs w:val="21"/>
        </w:rPr>
      </w:pPr>
      <w:r>
        <w:rPr>
          <w:rFonts w:hint="eastAsia" w:ascii="宋体" w:hAnsi="宋体"/>
          <w:sz w:val="21"/>
          <w:szCs w:val="21"/>
        </w:rPr>
        <w:t>□需要进行铅封。乙方掌握的核心技术资料对本项目的执行具有重大实质性影响（即乙方掌握的核心技术资料暂时不可替代的），乙方同意并确认，乙方与甲方共同在甲方委托的律师见证下，将采购项目涉及真实的核心技术资料铅封交给甲方委托的第三方保存；如果在履约期间发现乙方或其法定代表人、主要负责人、行贿人向烟草干部职工行贿，甲方有权单方解除本合同，并将铅封的核心技术资料公开，交给其他供应商使用。在履约期间甲方委托的第三方发生变更的，甲方应组织乙方、原受托第三方、新受托第三方共同鉴证下，将核心技术资料的完好铅封交由新受托的第三方保存。</w:t>
      </w:r>
    </w:p>
    <w:p w14:paraId="5D4B8421">
      <w:pPr>
        <w:spacing w:after="0" w:line="360" w:lineRule="auto"/>
        <w:ind w:firstLine="420" w:firstLineChars="200"/>
        <w:jc w:val="both"/>
        <w:rPr>
          <w:rFonts w:ascii="宋体" w:hAnsi="宋体"/>
          <w:sz w:val="21"/>
          <w:szCs w:val="21"/>
        </w:rPr>
      </w:pPr>
      <w:r>
        <w:rPr>
          <w:rFonts w:hint="eastAsia" w:ascii="宋体" w:hAnsi="宋体"/>
          <w:sz w:val="21"/>
          <w:szCs w:val="21"/>
        </w:rPr>
        <w:t>乙方承诺交付铅封的核心技术资料完全真实，在发生上述情形的情况下，若甲方将铅封的核心技术资料公开，交给其他供应商使用时，发现该核心技术资料部分或完全不真实，导致无法顺利使用的，甲方有权要求乙方补充提供技术资料。</w:t>
      </w:r>
    </w:p>
    <w:p w14:paraId="3518C66C">
      <w:pPr>
        <w:spacing w:after="0" w:line="360" w:lineRule="auto"/>
        <w:jc w:val="both"/>
        <w:rPr>
          <w:rFonts w:ascii="宋体" w:hAnsi="宋体"/>
          <w:sz w:val="21"/>
          <w:szCs w:val="21"/>
        </w:rPr>
      </w:pPr>
      <w:r>
        <w:rPr>
          <w:rFonts w:hint="eastAsia" w:ascii="宋体" w:hAnsi="宋体"/>
          <w:sz w:val="21"/>
          <w:szCs w:val="21"/>
        </w:rPr>
        <w:t>21.3乙方在相关案件查办时，有配合提供证据、作证的义务，如果发生拒不配合监委调查工作的情形，甲方有权采取警示约谈、降低考核评价分数、降低供货份额、缩短服务期限、终止或解除合同等多种处理措施。</w:t>
      </w:r>
    </w:p>
    <w:p w14:paraId="1280EE4F">
      <w:pPr>
        <w:pStyle w:val="2"/>
        <w:spacing w:after="0" w:line="360" w:lineRule="auto"/>
        <w:ind w:left="400"/>
        <w:jc w:val="both"/>
        <w:rPr>
          <w:sz w:val="21"/>
          <w:szCs w:val="21"/>
        </w:rPr>
      </w:pPr>
    </w:p>
    <w:p w14:paraId="774314B4">
      <w:pPr>
        <w:keepNext/>
        <w:keepLines/>
        <w:spacing w:after="0" w:line="360" w:lineRule="auto"/>
        <w:jc w:val="both"/>
        <w:outlineLvl w:val="1"/>
        <w:rPr>
          <w:b/>
          <w:bCs/>
          <w:kern w:val="44"/>
          <w:sz w:val="21"/>
          <w:szCs w:val="21"/>
        </w:rPr>
      </w:pPr>
      <w:bookmarkStart w:id="162" w:name="_Toc23702"/>
      <w:r>
        <w:rPr>
          <w:b/>
          <w:bCs/>
          <w:kern w:val="44"/>
          <w:sz w:val="21"/>
          <w:szCs w:val="21"/>
        </w:rPr>
        <w:t>22</w:t>
      </w:r>
      <w:r>
        <w:rPr>
          <w:rFonts w:hint="eastAsia"/>
          <w:b/>
          <w:bCs/>
          <w:kern w:val="44"/>
          <w:sz w:val="21"/>
          <w:szCs w:val="21"/>
        </w:rPr>
        <w:t xml:space="preserve"> 附则</w:t>
      </w:r>
      <w:bookmarkEnd w:id="162"/>
    </w:p>
    <w:bookmarkEnd w:id="160"/>
    <w:p w14:paraId="637E2C95">
      <w:pPr>
        <w:spacing w:after="0" w:line="360" w:lineRule="auto"/>
        <w:jc w:val="both"/>
        <w:rPr>
          <w:rFonts w:ascii="宋体" w:hAnsi="宋体"/>
          <w:sz w:val="21"/>
          <w:szCs w:val="21"/>
        </w:rPr>
      </w:pPr>
      <w:r>
        <w:rPr>
          <w:rFonts w:hint="eastAsia" w:ascii="宋体" w:hAnsi="宋体"/>
          <w:sz w:val="21"/>
          <w:szCs w:val="21"/>
        </w:rPr>
        <w:t>22.1 本合同未尽事宜，经双方协商一致，应签订补充协议。补充协议与本合同具有同等法律效力。</w:t>
      </w:r>
    </w:p>
    <w:p w14:paraId="7A813F3F">
      <w:pPr>
        <w:spacing w:after="0" w:line="360" w:lineRule="auto"/>
        <w:jc w:val="both"/>
        <w:rPr>
          <w:rFonts w:ascii="宋体" w:hAnsi="宋体"/>
          <w:sz w:val="21"/>
          <w:szCs w:val="21"/>
        </w:rPr>
      </w:pPr>
      <w:r>
        <w:rPr>
          <w:rFonts w:hint="eastAsia" w:ascii="宋体" w:hAnsi="宋体"/>
          <w:sz w:val="21"/>
          <w:szCs w:val="21"/>
        </w:rPr>
        <w:t>22.2以下文件作为本合同附件，是本合同不可分割的部分：</w:t>
      </w:r>
    </w:p>
    <w:p w14:paraId="4B643C09">
      <w:pPr>
        <w:spacing w:after="0" w:line="360" w:lineRule="auto"/>
        <w:jc w:val="both"/>
        <w:rPr>
          <w:rFonts w:ascii="宋体" w:hAnsi="宋体"/>
          <w:sz w:val="21"/>
          <w:szCs w:val="21"/>
        </w:rPr>
      </w:pPr>
      <w:r>
        <w:rPr>
          <w:rFonts w:hint="eastAsia" w:ascii="宋体" w:hAnsi="宋体"/>
          <w:sz w:val="21"/>
          <w:szCs w:val="21"/>
        </w:rPr>
        <w:t>22.2.1甲乙双方的采购文件（包含但不限于甲方招标文件、乙方投标文件等）</w:t>
      </w:r>
    </w:p>
    <w:p w14:paraId="5F6011B0">
      <w:pPr>
        <w:spacing w:after="0" w:line="360" w:lineRule="auto"/>
        <w:jc w:val="both"/>
        <w:rPr>
          <w:rFonts w:ascii="宋体" w:hAnsi="宋体"/>
          <w:sz w:val="21"/>
          <w:szCs w:val="21"/>
        </w:rPr>
      </w:pPr>
      <w:r>
        <w:rPr>
          <w:rFonts w:hint="eastAsia" w:ascii="宋体" w:hAnsi="宋体"/>
          <w:sz w:val="21"/>
          <w:szCs w:val="21"/>
        </w:rPr>
        <w:t>22.2.2 合同价格明细表</w:t>
      </w:r>
    </w:p>
    <w:p w14:paraId="039386C6">
      <w:pPr>
        <w:spacing w:after="0" w:line="360" w:lineRule="auto"/>
        <w:jc w:val="both"/>
        <w:rPr>
          <w:rFonts w:ascii="宋体" w:hAnsi="宋体"/>
          <w:sz w:val="21"/>
          <w:szCs w:val="21"/>
        </w:rPr>
      </w:pPr>
      <w:r>
        <w:rPr>
          <w:rFonts w:hint="eastAsia" w:ascii="宋体" w:hAnsi="宋体"/>
          <w:sz w:val="21"/>
          <w:szCs w:val="21"/>
        </w:rPr>
        <w:t>22.2.3 廉洁合同</w:t>
      </w:r>
    </w:p>
    <w:p w14:paraId="4DA61ABE">
      <w:pPr>
        <w:spacing w:after="0" w:line="360" w:lineRule="auto"/>
        <w:jc w:val="both"/>
        <w:rPr>
          <w:rFonts w:ascii="宋体" w:hAnsi="宋体"/>
          <w:sz w:val="21"/>
          <w:szCs w:val="21"/>
        </w:rPr>
      </w:pPr>
      <w:r>
        <w:rPr>
          <w:rFonts w:hint="eastAsia" w:ascii="宋体" w:hAnsi="宋体"/>
          <w:sz w:val="21"/>
          <w:szCs w:val="21"/>
        </w:rPr>
        <w:t>22.2.4 相关方安全协议</w:t>
      </w:r>
    </w:p>
    <w:p w14:paraId="785CC96E">
      <w:pPr>
        <w:spacing w:after="0" w:line="360" w:lineRule="auto"/>
        <w:jc w:val="both"/>
        <w:rPr>
          <w:rFonts w:ascii="宋体" w:hAnsi="宋体"/>
          <w:sz w:val="21"/>
          <w:szCs w:val="21"/>
        </w:rPr>
      </w:pPr>
      <w:r>
        <w:rPr>
          <w:rFonts w:hint="eastAsia" w:ascii="宋体" w:hAnsi="宋体"/>
          <w:sz w:val="21"/>
          <w:szCs w:val="21"/>
        </w:rPr>
        <w:t>22</w:t>
      </w:r>
      <w:r>
        <w:rPr>
          <w:rFonts w:ascii="宋体" w:hAnsi="宋体"/>
          <w:sz w:val="21"/>
          <w:szCs w:val="21"/>
        </w:rPr>
        <w:t xml:space="preserve">.2.5 </w:t>
      </w:r>
      <w:r>
        <w:rPr>
          <w:rFonts w:hint="eastAsia" w:ascii="宋体" w:hAnsi="宋体"/>
          <w:sz w:val="21"/>
          <w:szCs w:val="21"/>
        </w:rPr>
        <w:t>项目完标方案</w:t>
      </w:r>
      <w:r>
        <w:rPr>
          <w:rFonts w:hint="eastAsia" w:ascii="宋体" w:hAnsi="宋体"/>
          <w:sz w:val="21"/>
          <w:szCs w:val="21"/>
          <w:u w:val="single"/>
        </w:rPr>
        <w:t xml:space="preserve"> </w:t>
      </w:r>
    </w:p>
    <w:p w14:paraId="1AA87C12">
      <w:pPr>
        <w:spacing w:after="0" w:line="360" w:lineRule="auto"/>
        <w:jc w:val="both"/>
        <w:rPr>
          <w:rFonts w:ascii="宋体" w:hAnsi="宋体"/>
          <w:sz w:val="21"/>
          <w:szCs w:val="21"/>
        </w:rPr>
      </w:pPr>
      <w:r>
        <w:rPr>
          <w:rFonts w:hint="eastAsia" w:ascii="宋体" w:hAnsi="宋体"/>
          <w:sz w:val="21"/>
          <w:szCs w:val="21"/>
        </w:rPr>
        <w:t>本合同与合同附件就同一事项约定不一致的，适用足以保证符合甲方要求的最严格的标准。</w:t>
      </w:r>
    </w:p>
    <w:p w14:paraId="4CAC82CC">
      <w:pPr>
        <w:spacing w:after="0" w:line="360" w:lineRule="auto"/>
        <w:jc w:val="both"/>
        <w:rPr>
          <w:rFonts w:ascii="宋体" w:hAnsi="宋体"/>
          <w:sz w:val="21"/>
          <w:szCs w:val="21"/>
        </w:rPr>
      </w:pPr>
      <w:r>
        <w:rPr>
          <w:rFonts w:hint="eastAsia" w:ascii="宋体" w:hAnsi="宋体"/>
          <w:sz w:val="21"/>
          <w:szCs w:val="21"/>
        </w:rPr>
        <w:t>22.3 通知与送达</w:t>
      </w:r>
    </w:p>
    <w:p w14:paraId="1122B829">
      <w:pPr>
        <w:spacing w:after="0" w:line="360" w:lineRule="auto"/>
        <w:jc w:val="both"/>
        <w:rPr>
          <w:rFonts w:ascii="宋体" w:hAnsi="宋体"/>
          <w:sz w:val="21"/>
          <w:szCs w:val="21"/>
        </w:rPr>
      </w:pPr>
      <w:r>
        <w:rPr>
          <w:rFonts w:hint="eastAsia" w:ascii="宋体" w:hAnsi="宋体"/>
          <w:sz w:val="21"/>
          <w:szCs w:val="21"/>
        </w:rPr>
        <w:t>22.3.1本合同项下发出或送达的所有通知均应以书面形式作出，并以预缴邮资的特快专递、传真、电子邮件或专人送递的方式发至相对方。</w:t>
      </w:r>
    </w:p>
    <w:p w14:paraId="7BFFAD85">
      <w:pPr>
        <w:spacing w:after="0" w:line="360" w:lineRule="auto"/>
        <w:jc w:val="both"/>
        <w:rPr>
          <w:rFonts w:ascii="宋体" w:hAnsi="宋体"/>
          <w:sz w:val="21"/>
          <w:szCs w:val="21"/>
        </w:rPr>
      </w:pPr>
      <w:r>
        <w:rPr>
          <w:rFonts w:hint="eastAsia" w:ascii="宋体" w:hAnsi="宋体"/>
          <w:sz w:val="21"/>
          <w:szCs w:val="21"/>
        </w:rPr>
        <w:t>22.3.2本合同项下双方发出的每一项通知，应在下述时间视作已送达相对方：如以预缴邮资的特快专递寄发，则寄送一方交寄后第三天即视为送达；如由专人送交，则在交付给相对方签收后视为送达；如以传真发出，为传真机记录发送完毕时；如以电子邮件发出，为发件人设备记录发送完毕时。</w:t>
      </w:r>
    </w:p>
    <w:p w14:paraId="1AB0C31A">
      <w:pPr>
        <w:spacing w:after="0" w:line="360" w:lineRule="auto"/>
        <w:jc w:val="both"/>
        <w:rPr>
          <w:rFonts w:ascii="宋体" w:hAnsi="宋体"/>
          <w:sz w:val="21"/>
          <w:szCs w:val="21"/>
        </w:rPr>
      </w:pPr>
      <w:r>
        <w:rPr>
          <w:rFonts w:hint="eastAsia" w:ascii="宋体" w:hAnsi="宋体"/>
          <w:sz w:val="21"/>
          <w:szCs w:val="21"/>
        </w:rPr>
        <w:t>22.4甲、乙双方的联系方式、联系人等基本信息以本合同记录的为准。任何一方变更联系方式、联系人时应立即书面通知另一方，未通知的，任何一方按记录信息发送相关资料的，均视为另一方能够有效接收。</w:t>
      </w:r>
    </w:p>
    <w:p w14:paraId="0A39729F">
      <w:pPr>
        <w:spacing w:after="0" w:line="360" w:lineRule="auto"/>
        <w:ind w:firstLine="420" w:firstLineChars="200"/>
        <w:jc w:val="both"/>
        <w:rPr>
          <w:rFonts w:ascii="宋体" w:hAnsi="宋体"/>
          <w:sz w:val="21"/>
          <w:szCs w:val="21"/>
        </w:rPr>
      </w:pPr>
      <w:r>
        <w:rPr>
          <w:rFonts w:hint="eastAsia" w:ascii="宋体" w:hAnsi="宋体"/>
          <w:sz w:val="21"/>
          <w:szCs w:val="21"/>
        </w:rPr>
        <w:t xml:space="preserve">甲方有效联系地址:                                             </w:t>
      </w:r>
    </w:p>
    <w:p w14:paraId="58EEFDC0">
      <w:pPr>
        <w:spacing w:after="0" w:line="360" w:lineRule="auto"/>
        <w:ind w:firstLine="420" w:firstLineChars="200"/>
        <w:jc w:val="both"/>
        <w:rPr>
          <w:rFonts w:ascii="宋体" w:hAnsi="宋体"/>
          <w:sz w:val="21"/>
          <w:szCs w:val="21"/>
        </w:rPr>
      </w:pPr>
      <w:r>
        <w:rPr>
          <w:rFonts w:hint="eastAsia" w:ascii="宋体" w:hAnsi="宋体"/>
          <w:sz w:val="21"/>
          <w:szCs w:val="21"/>
        </w:rPr>
        <w:t>联系人：</w:t>
      </w:r>
    </w:p>
    <w:p w14:paraId="63898D3C">
      <w:pPr>
        <w:spacing w:after="0" w:line="360" w:lineRule="auto"/>
        <w:ind w:firstLine="420" w:firstLineChars="200"/>
        <w:jc w:val="both"/>
        <w:rPr>
          <w:rFonts w:ascii="宋体" w:hAnsi="宋体"/>
          <w:sz w:val="21"/>
          <w:szCs w:val="21"/>
        </w:rPr>
      </w:pPr>
      <w:r>
        <w:rPr>
          <w:rFonts w:hint="eastAsia" w:ascii="宋体" w:hAnsi="宋体"/>
          <w:sz w:val="21"/>
          <w:szCs w:val="21"/>
        </w:rPr>
        <w:t>电话：</w:t>
      </w:r>
    </w:p>
    <w:p w14:paraId="2EFC1283">
      <w:pPr>
        <w:spacing w:after="0" w:line="360" w:lineRule="auto"/>
        <w:ind w:firstLine="420" w:firstLineChars="200"/>
        <w:jc w:val="both"/>
        <w:rPr>
          <w:rFonts w:ascii="宋体" w:hAnsi="宋体"/>
          <w:sz w:val="21"/>
          <w:szCs w:val="21"/>
        </w:rPr>
      </w:pPr>
      <w:r>
        <w:rPr>
          <w:rFonts w:hint="eastAsia" w:ascii="宋体" w:hAnsi="宋体"/>
          <w:sz w:val="21"/>
          <w:szCs w:val="21"/>
        </w:rPr>
        <w:t>传真：</w:t>
      </w:r>
    </w:p>
    <w:p w14:paraId="175EEBA8">
      <w:pPr>
        <w:spacing w:after="0" w:line="360" w:lineRule="auto"/>
        <w:ind w:firstLine="420" w:firstLineChars="200"/>
        <w:jc w:val="both"/>
        <w:rPr>
          <w:rFonts w:ascii="宋体" w:hAnsi="宋体"/>
          <w:sz w:val="21"/>
          <w:szCs w:val="21"/>
        </w:rPr>
      </w:pPr>
      <w:r>
        <w:rPr>
          <w:rFonts w:hint="eastAsia" w:ascii="宋体" w:hAnsi="宋体"/>
          <w:sz w:val="21"/>
          <w:szCs w:val="21"/>
        </w:rPr>
        <w:t>电子邮箱：</w:t>
      </w:r>
    </w:p>
    <w:p w14:paraId="2F834B1F">
      <w:pPr>
        <w:spacing w:after="0" w:line="360" w:lineRule="auto"/>
        <w:ind w:firstLine="420" w:firstLineChars="200"/>
        <w:jc w:val="both"/>
        <w:rPr>
          <w:rFonts w:ascii="宋体" w:hAnsi="宋体"/>
          <w:sz w:val="21"/>
          <w:szCs w:val="21"/>
        </w:rPr>
      </w:pPr>
      <w:r>
        <w:rPr>
          <w:rFonts w:hint="eastAsia" w:ascii="宋体" w:hAnsi="宋体"/>
          <w:sz w:val="21"/>
          <w:szCs w:val="21"/>
        </w:rPr>
        <w:t xml:space="preserve">乙方有效联系地址:                                             </w:t>
      </w:r>
    </w:p>
    <w:p w14:paraId="5AE5BBDA">
      <w:pPr>
        <w:spacing w:after="0" w:line="360" w:lineRule="auto"/>
        <w:jc w:val="both"/>
        <w:rPr>
          <w:rFonts w:ascii="宋体" w:hAnsi="宋体"/>
          <w:sz w:val="21"/>
          <w:szCs w:val="21"/>
        </w:rPr>
      </w:pPr>
      <w:r>
        <w:rPr>
          <w:rFonts w:hint="eastAsia" w:ascii="宋体" w:hAnsi="宋体"/>
          <w:sz w:val="21"/>
          <w:szCs w:val="21"/>
        </w:rPr>
        <w:t xml:space="preserve">    联系人：</w:t>
      </w:r>
    </w:p>
    <w:p w14:paraId="3A6480FF">
      <w:pPr>
        <w:spacing w:after="0" w:line="360" w:lineRule="auto"/>
        <w:ind w:firstLine="420" w:firstLineChars="200"/>
        <w:jc w:val="both"/>
        <w:rPr>
          <w:rFonts w:ascii="宋体" w:hAnsi="宋体"/>
          <w:sz w:val="21"/>
          <w:szCs w:val="21"/>
        </w:rPr>
      </w:pPr>
      <w:r>
        <w:rPr>
          <w:rFonts w:hint="eastAsia" w:ascii="宋体" w:hAnsi="宋体"/>
          <w:sz w:val="21"/>
          <w:szCs w:val="21"/>
        </w:rPr>
        <w:t>电话：</w:t>
      </w:r>
    </w:p>
    <w:p w14:paraId="3CB59892">
      <w:pPr>
        <w:spacing w:after="0" w:line="360" w:lineRule="auto"/>
        <w:ind w:firstLine="420" w:firstLineChars="200"/>
        <w:jc w:val="both"/>
        <w:rPr>
          <w:rFonts w:ascii="宋体" w:hAnsi="宋体"/>
          <w:sz w:val="21"/>
          <w:szCs w:val="21"/>
        </w:rPr>
      </w:pPr>
      <w:r>
        <w:rPr>
          <w:rFonts w:hint="eastAsia" w:ascii="宋体" w:hAnsi="宋体"/>
          <w:sz w:val="21"/>
          <w:szCs w:val="21"/>
        </w:rPr>
        <w:t>传真：</w:t>
      </w:r>
    </w:p>
    <w:p w14:paraId="1DAADC07">
      <w:pPr>
        <w:spacing w:after="0" w:line="360" w:lineRule="auto"/>
        <w:ind w:firstLine="420" w:firstLineChars="200"/>
        <w:jc w:val="both"/>
        <w:rPr>
          <w:rFonts w:ascii="宋体" w:hAnsi="宋体"/>
          <w:sz w:val="21"/>
          <w:szCs w:val="21"/>
        </w:rPr>
      </w:pPr>
      <w:r>
        <w:rPr>
          <w:rFonts w:hint="eastAsia" w:ascii="宋体" w:hAnsi="宋体"/>
          <w:sz w:val="21"/>
          <w:szCs w:val="21"/>
        </w:rPr>
        <w:t>电子邮箱：</w:t>
      </w:r>
    </w:p>
    <w:p w14:paraId="3EC7BADB">
      <w:pPr>
        <w:spacing w:after="0" w:line="360" w:lineRule="auto"/>
        <w:jc w:val="both"/>
        <w:rPr>
          <w:rFonts w:ascii="宋体" w:hAnsi="宋体"/>
          <w:sz w:val="21"/>
          <w:szCs w:val="21"/>
        </w:rPr>
      </w:pPr>
      <w:r>
        <w:rPr>
          <w:rFonts w:hint="eastAsia" w:ascii="宋体" w:hAnsi="宋体"/>
          <w:sz w:val="21"/>
          <w:szCs w:val="21"/>
        </w:rPr>
        <w:t>22.5本合同一式</w:t>
      </w:r>
      <w:r>
        <w:rPr>
          <w:rFonts w:hint="eastAsia" w:ascii="宋体" w:hAnsi="宋体"/>
          <w:sz w:val="21"/>
          <w:szCs w:val="21"/>
          <w:u w:val="single"/>
        </w:rPr>
        <w:t xml:space="preserve">   </w:t>
      </w:r>
      <w:r>
        <w:rPr>
          <w:rFonts w:hint="eastAsia" w:ascii="宋体" w:hAnsi="宋体"/>
          <w:sz w:val="21"/>
          <w:szCs w:val="21"/>
        </w:rPr>
        <w:t>份，甲方持</w:t>
      </w:r>
      <w:r>
        <w:rPr>
          <w:rFonts w:hint="eastAsia" w:ascii="宋体" w:hAnsi="宋体"/>
          <w:sz w:val="21"/>
          <w:szCs w:val="21"/>
          <w:u w:val="single"/>
        </w:rPr>
        <w:t xml:space="preserve">   </w:t>
      </w:r>
      <w:r>
        <w:rPr>
          <w:rFonts w:hint="eastAsia" w:ascii="宋体" w:hAnsi="宋体"/>
          <w:sz w:val="21"/>
          <w:szCs w:val="21"/>
        </w:rPr>
        <w:t>份，乙方持</w:t>
      </w:r>
      <w:r>
        <w:rPr>
          <w:rFonts w:hint="eastAsia" w:ascii="宋体" w:hAnsi="宋体"/>
          <w:sz w:val="21"/>
          <w:szCs w:val="21"/>
          <w:u w:val="single"/>
        </w:rPr>
        <w:t xml:space="preserve">   </w:t>
      </w:r>
      <w:r>
        <w:rPr>
          <w:rFonts w:hint="eastAsia" w:ascii="宋体" w:hAnsi="宋体"/>
          <w:sz w:val="21"/>
          <w:szCs w:val="21"/>
        </w:rPr>
        <w:t>份，均具有同等效力。</w:t>
      </w:r>
    </w:p>
    <w:p w14:paraId="0F5833E3">
      <w:pPr>
        <w:spacing w:after="0" w:line="360" w:lineRule="auto"/>
        <w:jc w:val="both"/>
        <w:rPr>
          <w:rFonts w:ascii="宋体" w:hAnsi="宋体"/>
          <w:sz w:val="21"/>
          <w:szCs w:val="21"/>
        </w:rPr>
      </w:pPr>
      <w:r>
        <w:rPr>
          <w:rFonts w:hint="eastAsia" w:ascii="宋体" w:hAnsi="宋体"/>
          <w:sz w:val="21"/>
          <w:szCs w:val="21"/>
        </w:rPr>
        <w:t>22.6本合同自双方法定代表人或委托代理人签字并加盖公章之日起生效，至合同双方权利义务履行完毕之日终止。</w:t>
      </w:r>
    </w:p>
    <w:p w14:paraId="70AEDCDE">
      <w:pPr>
        <w:spacing w:after="0" w:line="240" w:lineRule="auto"/>
        <w:rPr>
          <w:rFonts w:ascii="宋体" w:hAnsi="宋体" w:cs="宋体"/>
          <w:b/>
          <w:bCs/>
          <w:sz w:val="21"/>
          <w:szCs w:val="21"/>
        </w:rPr>
      </w:pPr>
      <w:r>
        <w:rPr>
          <w:rFonts w:hint="eastAsia" w:ascii="宋体" w:hAnsi="宋体" w:cs="宋体"/>
          <w:b/>
          <w:bCs/>
          <w:sz w:val="21"/>
          <w:szCs w:val="21"/>
        </w:rPr>
        <w:br w:type="page"/>
      </w:r>
    </w:p>
    <w:p w14:paraId="45CB3427">
      <w:pPr>
        <w:spacing w:line="540" w:lineRule="exact"/>
        <w:ind w:firstLine="560"/>
        <w:jc w:val="center"/>
        <w:rPr>
          <w:rFonts w:ascii="宋体" w:hAnsi="宋体" w:cs="宋体"/>
          <w:sz w:val="21"/>
          <w:szCs w:val="21"/>
        </w:rPr>
      </w:pPr>
      <w:r>
        <w:rPr>
          <w:rFonts w:hint="eastAsia" w:ascii="宋体" w:hAnsi="宋体" w:cs="宋体"/>
          <w:b/>
          <w:bCs/>
          <w:sz w:val="21"/>
          <w:szCs w:val="21"/>
        </w:rPr>
        <w:t>（以下无正文）</w:t>
      </w:r>
    </w:p>
    <w:p w14:paraId="1F9C87D9">
      <w:pPr>
        <w:spacing w:line="540" w:lineRule="exact"/>
        <w:rPr>
          <w:rFonts w:ascii="宋体" w:hAnsi="宋体" w:cs="宋体"/>
          <w:sz w:val="21"/>
          <w:szCs w:val="21"/>
        </w:rPr>
      </w:pPr>
    </w:p>
    <w:tbl>
      <w:tblPr>
        <w:tblStyle w:val="62"/>
        <w:tblW w:w="10207" w:type="dxa"/>
        <w:jc w:val="center"/>
        <w:tblLayout w:type="fixed"/>
        <w:tblCellMar>
          <w:top w:w="0" w:type="dxa"/>
          <w:left w:w="108" w:type="dxa"/>
          <w:bottom w:w="0" w:type="dxa"/>
          <w:right w:w="108" w:type="dxa"/>
        </w:tblCellMar>
      </w:tblPr>
      <w:tblGrid>
        <w:gridCol w:w="5247"/>
        <w:gridCol w:w="4960"/>
      </w:tblGrid>
      <w:tr w14:paraId="2358E78A">
        <w:tblPrEx>
          <w:tblCellMar>
            <w:top w:w="0" w:type="dxa"/>
            <w:left w:w="108" w:type="dxa"/>
            <w:bottom w:w="0" w:type="dxa"/>
            <w:right w:w="108" w:type="dxa"/>
          </w:tblCellMar>
        </w:tblPrEx>
        <w:trPr>
          <w:cantSplit/>
          <w:trHeight w:val="422" w:hRule="atLeast"/>
          <w:jc w:val="center"/>
        </w:trPr>
        <w:tc>
          <w:tcPr>
            <w:tcW w:w="5247" w:type="dxa"/>
          </w:tcPr>
          <w:p w14:paraId="531454D7">
            <w:pPr>
              <w:spacing w:after="0" w:line="360" w:lineRule="auto"/>
              <w:rPr>
                <w:rFonts w:ascii="宋体" w:hAnsi="宋体"/>
                <w:sz w:val="21"/>
                <w:szCs w:val="21"/>
              </w:rPr>
            </w:pPr>
            <w:r>
              <w:rPr>
                <w:rFonts w:hint="eastAsia" w:ascii="宋体" w:hAnsi="宋体"/>
                <w:sz w:val="21"/>
                <w:szCs w:val="21"/>
              </w:rPr>
              <w:t>甲方（签章）</w:t>
            </w:r>
          </w:p>
          <w:p w14:paraId="4E07A11C">
            <w:pPr>
              <w:spacing w:after="0" w:line="360" w:lineRule="auto"/>
              <w:rPr>
                <w:rFonts w:ascii="宋体" w:hAnsi="宋体"/>
                <w:sz w:val="21"/>
                <w:szCs w:val="21"/>
              </w:rPr>
            </w:pPr>
            <w:r>
              <w:rPr>
                <w:rFonts w:hint="eastAsia" w:ascii="宋体" w:hAnsi="宋体"/>
                <w:sz w:val="21"/>
                <w:szCs w:val="21"/>
              </w:rPr>
              <w:t>单位名称：红云红河烟草（集团）有限责任公司</w:t>
            </w:r>
          </w:p>
        </w:tc>
        <w:tc>
          <w:tcPr>
            <w:tcW w:w="4960" w:type="dxa"/>
          </w:tcPr>
          <w:p w14:paraId="15BC8352">
            <w:pPr>
              <w:spacing w:after="0" w:line="360" w:lineRule="auto"/>
              <w:rPr>
                <w:rFonts w:ascii="宋体" w:hAnsi="宋体"/>
                <w:sz w:val="21"/>
                <w:szCs w:val="21"/>
              </w:rPr>
            </w:pPr>
            <w:r>
              <w:rPr>
                <w:rFonts w:hint="eastAsia" w:ascii="宋体" w:hAnsi="宋体"/>
                <w:sz w:val="21"/>
                <w:szCs w:val="21"/>
              </w:rPr>
              <w:t>乙方（签章）</w:t>
            </w:r>
          </w:p>
          <w:p w14:paraId="7C069396">
            <w:pPr>
              <w:spacing w:after="0" w:line="360" w:lineRule="auto"/>
              <w:rPr>
                <w:rFonts w:ascii="宋体" w:hAnsi="宋体"/>
                <w:sz w:val="21"/>
                <w:szCs w:val="21"/>
              </w:rPr>
            </w:pPr>
            <w:r>
              <w:rPr>
                <w:rFonts w:hint="eastAsia" w:ascii="宋体" w:hAnsi="宋体"/>
                <w:sz w:val="21"/>
                <w:szCs w:val="21"/>
              </w:rPr>
              <w:t xml:space="preserve">单位名称： </w:t>
            </w:r>
          </w:p>
        </w:tc>
      </w:tr>
      <w:tr w14:paraId="44798DC8">
        <w:tblPrEx>
          <w:tblCellMar>
            <w:top w:w="0" w:type="dxa"/>
            <w:left w:w="108" w:type="dxa"/>
            <w:bottom w:w="0" w:type="dxa"/>
            <w:right w:w="108" w:type="dxa"/>
          </w:tblCellMar>
        </w:tblPrEx>
        <w:trPr>
          <w:cantSplit/>
          <w:jc w:val="center"/>
        </w:trPr>
        <w:tc>
          <w:tcPr>
            <w:tcW w:w="5247" w:type="dxa"/>
          </w:tcPr>
          <w:p w14:paraId="24B77153">
            <w:pPr>
              <w:spacing w:after="0" w:line="360" w:lineRule="auto"/>
              <w:rPr>
                <w:rFonts w:ascii="宋体" w:hAnsi="宋体"/>
                <w:sz w:val="21"/>
                <w:szCs w:val="21"/>
              </w:rPr>
            </w:pPr>
            <w:r>
              <w:rPr>
                <w:rFonts w:hint="eastAsia" w:ascii="宋体" w:hAnsi="宋体"/>
                <w:sz w:val="21"/>
                <w:szCs w:val="21"/>
              </w:rPr>
              <w:t>法定代表人或委托代理人（签字）：</w:t>
            </w:r>
            <w:r>
              <w:rPr>
                <w:rFonts w:ascii="宋体" w:hAnsi="宋体"/>
                <w:sz w:val="21"/>
                <w:szCs w:val="21"/>
              </w:rPr>
              <w:t xml:space="preserve"> </w:t>
            </w:r>
          </w:p>
        </w:tc>
        <w:tc>
          <w:tcPr>
            <w:tcW w:w="4960" w:type="dxa"/>
          </w:tcPr>
          <w:p w14:paraId="2C834EFA">
            <w:pPr>
              <w:spacing w:after="0" w:line="360" w:lineRule="auto"/>
              <w:rPr>
                <w:rFonts w:ascii="宋体" w:hAnsi="宋体"/>
                <w:sz w:val="21"/>
                <w:szCs w:val="21"/>
              </w:rPr>
            </w:pPr>
            <w:r>
              <w:rPr>
                <w:rFonts w:hint="eastAsia" w:ascii="宋体" w:hAnsi="宋体"/>
                <w:sz w:val="21"/>
                <w:szCs w:val="21"/>
              </w:rPr>
              <w:t>法定代表人或委托代理人（签字）：</w:t>
            </w:r>
            <w:r>
              <w:rPr>
                <w:rFonts w:ascii="宋体" w:hAnsi="宋体"/>
                <w:sz w:val="21"/>
                <w:szCs w:val="21"/>
              </w:rPr>
              <w:t xml:space="preserve"> </w:t>
            </w:r>
          </w:p>
        </w:tc>
      </w:tr>
      <w:tr w14:paraId="39148195">
        <w:tblPrEx>
          <w:tblCellMar>
            <w:top w:w="0" w:type="dxa"/>
            <w:left w:w="108" w:type="dxa"/>
            <w:bottom w:w="0" w:type="dxa"/>
            <w:right w:w="108" w:type="dxa"/>
          </w:tblCellMar>
        </w:tblPrEx>
        <w:trPr>
          <w:cantSplit/>
          <w:jc w:val="center"/>
        </w:trPr>
        <w:tc>
          <w:tcPr>
            <w:tcW w:w="5247" w:type="dxa"/>
          </w:tcPr>
          <w:p w14:paraId="06411E02">
            <w:pPr>
              <w:spacing w:after="0" w:line="360" w:lineRule="auto"/>
              <w:rPr>
                <w:rFonts w:ascii="宋体" w:hAnsi="宋体"/>
                <w:sz w:val="21"/>
                <w:szCs w:val="21"/>
              </w:rPr>
            </w:pPr>
          </w:p>
        </w:tc>
        <w:tc>
          <w:tcPr>
            <w:tcW w:w="4960" w:type="dxa"/>
          </w:tcPr>
          <w:p w14:paraId="0B28D8DE">
            <w:pPr>
              <w:spacing w:after="0" w:line="360" w:lineRule="auto"/>
              <w:rPr>
                <w:rFonts w:ascii="宋体" w:hAnsi="宋体"/>
                <w:sz w:val="21"/>
                <w:szCs w:val="21"/>
              </w:rPr>
            </w:pPr>
          </w:p>
        </w:tc>
      </w:tr>
      <w:tr w14:paraId="4A7DA0C6">
        <w:tblPrEx>
          <w:tblCellMar>
            <w:top w:w="0" w:type="dxa"/>
            <w:left w:w="108" w:type="dxa"/>
            <w:bottom w:w="0" w:type="dxa"/>
            <w:right w:w="108" w:type="dxa"/>
          </w:tblCellMar>
        </w:tblPrEx>
        <w:trPr>
          <w:cantSplit/>
          <w:jc w:val="center"/>
        </w:trPr>
        <w:tc>
          <w:tcPr>
            <w:tcW w:w="5247" w:type="dxa"/>
          </w:tcPr>
          <w:p w14:paraId="62BC0F2A">
            <w:pPr>
              <w:spacing w:after="0" w:line="360" w:lineRule="auto"/>
              <w:rPr>
                <w:rFonts w:ascii="宋体" w:hAnsi="宋体"/>
                <w:sz w:val="21"/>
                <w:szCs w:val="21"/>
              </w:rPr>
            </w:pPr>
            <w:r>
              <w:rPr>
                <w:rFonts w:hint="eastAsia" w:ascii="宋体" w:hAnsi="宋体"/>
                <w:sz w:val="21"/>
                <w:szCs w:val="21"/>
              </w:rPr>
              <w:t>经办人（签字）：</w:t>
            </w:r>
          </w:p>
          <w:p w14:paraId="639E9686">
            <w:pPr>
              <w:spacing w:after="0" w:line="360" w:lineRule="auto"/>
              <w:rPr>
                <w:rFonts w:ascii="宋体" w:hAnsi="宋体"/>
                <w:sz w:val="21"/>
                <w:szCs w:val="21"/>
              </w:rPr>
            </w:pPr>
          </w:p>
          <w:p w14:paraId="56016B78">
            <w:pPr>
              <w:spacing w:after="0" w:line="360" w:lineRule="auto"/>
              <w:rPr>
                <w:rFonts w:ascii="宋体" w:hAnsi="宋体"/>
                <w:sz w:val="21"/>
                <w:szCs w:val="21"/>
              </w:rPr>
            </w:pPr>
            <w:r>
              <w:rPr>
                <w:rFonts w:hint="eastAsia" w:ascii="宋体" w:hAnsi="宋体"/>
                <w:sz w:val="21"/>
                <w:szCs w:val="21"/>
              </w:rPr>
              <w:t>统一社会信用代码：</w:t>
            </w:r>
            <w:r>
              <w:rPr>
                <w:rFonts w:ascii="宋体" w:hAnsi="宋体"/>
                <w:sz w:val="21"/>
                <w:szCs w:val="21"/>
              </w:rPr>
              <w:t xml:space="preserve"> </w:t>
            </w:r>
          </w:p>
          <w:p w14:paraId="0F84BDCD">
            <w:pPr>
              <w:spacing w:after="0" w:line="360" w:lineRule="auto"/>
              <w:rPr>
                <w:rFonts w:ascii="宋体" w:hAnsi="宋体"/>
                <w:sz w:val="21"/>
                <w:szCs w:val="21"/>
              </w:rPr>
            </w:pPr>
            <w:r>
              <w:rPr>
                <w:rFonts w:hint="eastAsia" w:ascii="宋体" w:hAnsi="宋体"/>
                <w:sz w:val="21"/>
                <w:szCs w:val="21"/>
              </w:rPr>
              <w:t>地址：</w:t>
            </w:r>
          </w:p>
          <w:p w14:paraId="727227D4">
            <w:pPr>
              <w:spacing w:after="0" w:line="360" w:lineRule="auto"/>
              <w:rPr>
                <w:rFonts w:ascii="宋体" w:hAnsi="宋体"/>
                <w:sz w:val="21"/>
                <w:szCs w:val="21"/>
              </w:rPr>
            </w:pPr>
          </w:p>
          <w:p w14:paraId="206EDF5D">
            <w:pPr>
              <w:spacing w:after="0" w:line="360" w:lineRule="auto"/>
              <w:rPr>
                <w:rFonts w:ascii="宋体" w:hAnsi="宋体"/>
                <w:sz w:val="21"/>
                <w:szCs w:val="21"/>
              </w:rPr>
            </w:pPr>
            <w:r>
              <w:rPr>
                <w:rFonts w:hint="eastAsia" w:ascii="宋体" w:hAnsi="宋体"/>
                <w:sz w:val="21"/>
                <w:szCs w:val="21"/>
              </w:rPr>
              <w:t xml:space="preserve">邮编： </w:t>
            </w:r>
            <w:r>
              <w:rPr>
                <w:rFonts w:ascii="宋体" w:hAnsi="宋体"/>
                <w:sz w:val="21"/>
                <w:szCs w:val="21"/>
              </w:rPr>
              <w:t xml:space="preserve"> </w:t>
            </w:r>
          </w:p>
        </w:tc>
        <w:tc>
          <w:tcPr>
            <w:tcW w:w="4960" w:type="dxa"/>
          </w:tcPr>
          <w:p w14:paraId="587BA343">
            <w:pPr>
              <w:spacing w:after="0" w:line="360" w:lineRule="auto"/>
              <w:rPr>
                <w:rFonts w:ascii="宋体" w:hAnsi="宋体"/>
                <w:sz w:val="21"/>
                <w:szCs w:val="21"/>
              </w:rPr>
            </w:pPr>
            <w:r>
              <w:rPr>
                <w:rFonts w:hint="eastAsia" w:ascii="宋体" w:hAnsi="宋体"/>
                <w:sz w:val="21"/>
                <w:szCs w:val="21"/>
              </w:rPr>
              <w:t>经办人（签字）：</w:t>
            </w:r>
          </w:p>
          <w:p w14:paraId="1A332F30">
            <w:pPr>
              <w:spacing w:after="0" w:line="360" w:lineRule="auto"/>
              <w:rPr>
                <w:rFonts w:ascii="宋体" w:hAnsi="宋体"/>
                <w:sz w:val="21"/>
                <w:szCs w:val="21"/>
              </w:rPr>
            </w:pPr>
          </w:p>
          <w:p w14:paraId="38A602DB">
            <w:pPr>
              <w:spacing w:after="0" w:line="360" w:lineRule="auto"/>
              <w:rPr>
                <w:rFonts w:ascii="宋体" w:hAnsi="宋体"/>
                <w:sz w:val="21"/>
                <w:szCs w:val="21"/>
              </w:rPr>
            </w:pPr>
            <w:r>
              <w:rPr>
                <w:rFonts w:hint="eastAsia" w:ascii="宋体" w:hAnsi="宋体"/>
                <w:sz w:val="21"/>
                <w:szCs w:val="21"/>
              </w:rPr>
              <w:t>统一社会信用代码：</w:t>
            </w:r>
            <w:r>
              <w:rPr>
                <w:rFonts w:ascii="宋体" w:hAnsi="宋体"/>
                <w:sz w:val="21"/>
                <w:szCs w:val="21"/>
              </w:rPr>
              <w:t xml:space="preserve"> </w:t>
            </w:r>
          </w:p>
          <w:p w14:paraId="53C84ACC">
            <w:pPr>
              <w:spacing w:after="0" w:line="360" w:lineRule="auto"/>
              <w:rPr>
                <w:rFonts w:ascii="宋体" w:hAnsi="宋体"/>
                <w:sz w:val="21"/>
                <w:szCs w:val="21"/>
              </w:rPr>
            </w:pPr>
            <w:r>
              <w:rPr>
                <w:rFonts w:hint="eastAsia" w:ascii="宋体" w:hAnsi="宋体"/>
                <w:sz w:val="21"/>
                <w:szCs w:val="21"/>
              </w:rPr>
              <w:t xml:space="preserve">地址： </w:t>
            </w:r>
          </w:p>
          <w:p w14:paraId="45EA59A3">
            <w:pPr>
              <w:spacing w:after="0" w:line="360" w:lineRule="auto"/>
              <w:rPr>
                <w:rFonts w:ascii="宋体" w:hAnsi="宋体"/>
                <w:sz w:val="21"/>
                <w:szCs w:val="21"/>
              </w:rPr>
            </w:pPr>
            <w:r>
              <w:rPr>
                <w:rFonts w:hint="eastAsia" w:ascii="宋体" w:hAnsi="宋体"/>
                <w:sz w:val="21"/>
                <w:szCs w:val="21"/>
              </w:rPr>
              <w:t>邮编：</w:t>
            </w:r>
          </w:p>
        </w:tc>
      </w:tr>
      <w:tr w14:paraId="03DDF4A7">
        <w:tblPrEx>
          <w:tblCellMar>
            <w:top w:w="0" w:type="dxa"/>
            <w:left w:w="108" w:type="dxa"/>
            <w:bottom w:w="0" w:type="dxa"/>
            <w:right w:w="108" w:type="dxa"/>
          </w:tblCellMar>
        </w:tblPrEx>
        <w:trPr>
          <w:cantSplit/>
          <w:jc w:val="center"/>
        </w:trPr>
        <w:tc>
          <w:tcPr>
            <w:tcW w:w="5247" w:type="dxa"/>
          </w:tcPr>
          <w:p w14:paraId="508DAE9C">
            <w:pPr>
              <w:spacing w:after="0" w:line="360" w:lineRule="auto"/>
              <w:rPr>
                <w:rFonts w:ascii="宋体" w:hAnsi="宋体"/>
                <w:sz w:val="21"/>
                <w:szCs w:val="21"/>
              </w:rPr>
            </w:pPr>
            <w:r>
              <w:rPr>
                <w:rFonts w:hint="eastAsia" w:ascii="宋体" w:hAnsi="宋体"/>
                <w:sz w:val="21"/>
                <w:szCs w:val="21"/>
              </w:rPr>
              <w:t>联系电话：</w:t>
            </w:r>
          </w:p>
        </w:tc>
        <w:tc>
          <w:tcPr>
            <w:tcW w:w="4960" w:type="dxa"/>
          </w:tcPr>
          <w:p w14:paraId="667078FA">
            <w:pPr>
              <w:spacing w:after="0" w:line="360" w:lineRule="auto"/>
              <w:rPr>
                <w:rFonts w:ascii="宋体" w:hAnsi="宋体"/>
                <w:sz w:val="21"/>
                <w:szCs w:val="21"/>
              </w:rPr>
            </w:pPr>
            <w:r>
              <w:rPr>
                <w:rFonts w:hint="eastAsia" w:ascii="宋体" w:hAnsi="宋体"/>
                <w:sz w:val="21"/>
                <w:szCs w:val="21"/>
              </w:rPr>
              <w:t>联系电话：</w:t>
            </w:r>
          </w:p>
        </w:tc>
      </w:tr>
      <w:tr w14:paraId="7E7F011A">
        <w:tblPrEx>
          <w:tblCellMar>
            <w:top w:w="0" w:type="dxa"/>
            <w:left w:w="108" w:type="dxa"/>
            <w:bottom w:w="0" w:type="dxa"/>
            <w:right w:w="108" w:type="dxa"/>
          </w:tblCellMar>
        </w:tblPrEx>
        <w:trPr>
          <w:cantSplit/>
          <w:jc w:val="center"/>
        </w:trPr>
        <w:tc>
          <w:tcPr>
            <w:tcW w:w="5247" w:type="dxa"/>
          </w:tcPr>
          <w:p w14:paraId="74FF585F">
            <w:pPr>
              <w:spacing w:after="0" w:line="360" w:lineRule="auto"/>
              <w:rPr>
                <w:rFonts w:ascii="宋体" w:hAnsi="宋体"/>
                <w:sz w:val="21"/>
                <w:szCs w:val="21"/>
              </w:rPr>
            </w:pPr>
            <w:r>
              <w:rPr>
                <w:rFonts w:hint="eastAsia" w:ascii="宋体" w:hAnsi="宋体"/>
                <w:sz w:val="21"/>
                <w:szCs w:val="21"/>
              </w:rPr>
              <w:t>传</w:t>
            </w:r>
            <w:r>
              <w:rPr>
                <w:rFonts w:ascii="宋体" w:hAnsi="宋体"/>
                <w:sz w:val="21"/>
                <w:szCs w:val="21"/>
              </w:rPr>
              <w:t xml:space="preserve">    真：</w:t>
            </w:r>
          </w:p>
          <w:p w14:paraId="02EE2D13">
            <w:pPr>
              <w:spacing w:after="0" w:line="360" w:lineRule="auto"/>
              <w:rPr>
                <w:rFonts w:ascii="宋体" w:hAnsi="宋体"/>
                <w:sz w:val="21"/>
                <w:szCs w:val="21"/>
              </w:rPr>
            </w:pPr>
            <w:r>
              <w:rPr>
                <w:rFonts w:hint="eastAsia" w:ascii="宋体" w:hAnsi="宋体"/>
                <w:sz w:val="21"/>
                <w:szCs w:val="21"/>
              </w:rPr>
              <w:t xml:space="preserve">开户银行： </w:t>
            </w:r>
          </w:p>
          <w:p w14:paraId="0643EF6C">
            <w:pPr>
              <w:spacing w:after="0" w:line="360" w:lineRule="auto"/>
              <w:rPr>
                <w:rFonts w:ascii="宋体" w:hAnsi="宋体"/>
                <w:sz w:val="21"/>
                <w:szCs w:val="21"/>
              </w:rPr>
            </w:pPr>
            <w:r>
              <w:rPr>
                <w:rFonts w:hint="eastAsia" w:ascii="宋体" w:hAnsi="宋体"/>
                <w:sz w:val="21"/>
                <w:szCs w:val="21"/>
              </w:rPr>
              <w:t>账号：</w:t>
            </w:r>
          </w:p>
          <w:p w14:paraId="7744BA94">
            <w:pPr>
              <w:spacing w:after="0" w:line="360" w:lineRule="auto"/>
              <w:rPr>
                <w:rFonts w:ascii="宋体" w:hAnsi="宋体"/>
                <w:sz w:val="21"/>
                <w:szCs w:val="21"/>
              </w:rPr>
            </w:pPr>
            <w:r>
              <w:rPr>
                <w:rFonts w:hint="eastAsia" w:ascii="宋体" w:hAnsi="宋体"/>
                <w:sz w:val="21"/>
                <w:szCs w:val="21"/>
              </w:rPr>
              <w:t>签订时间：     年</w:t>
            </w:r>
            <w:r>
              <w:rPr>
                <w:rFonts w:ascii="宋体" w:hAnsi="宋体"/>
                <w:sz w:val="21"/>
                <w:szCs w:val="21"/>
              </w:rPr>
              <w:t xml:space="preserve">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月</w:t>
            </w:r>
            <w:r>
              <w:rPr>
                <w:rFonts w:ascii="宋体" w:hAnsi="宋体"/>
                <w:sz w:val="21"/>
                <w:szCs w:val="21"/>
              </w:rPr>
              <w:t xml:space="preserve">  </w:t>
            </w:r>
            <w:r>
              <w:rPr>
                <w:rFonts w:hint="eastAsia" w:ascii="宋体" w:hAnsi="宋体"/>
                <w:sz w:val="21"/>
                <w:szCs w:val="21"/>
              </w:rPr>
              <w:t xml:space="preserve">  日</w:t>
            </w:r>
          </w:p>
        </w:tc>
        <w:tc>
          <w:tcPr>
            <w:tcW w:w="4960" w:type="dxa"/>
          </w:tcPr>
          <w:p w14:paraId="22B6C761">
            <w:pPr>
              <w:spacing w:after="0" w:line="360" w:lineRule="auto"/>
              <w:rPr>
                <w:rFonts w:ascii="宋体" w:hAnsi="宋体"/>
                <w:sz w:val="21"/>
                <w:szCs w:val="21"/>
              </w:rPr>
            </w:pPr>
            <w:r>
              <w:rPr>
                <w:rFonts w:hint="eastAsia" w:ascii="宋体" w:hAnsi="宋体"/>
                <w:sz w:val="21"/>
                <w:szCs w:val="21"/>
              </w:rPr>
              <w:t>传</w:t>
            </w:r>
            <w:r>
              <w:rPr>
                <w:rFonts w:ascii="宋体" w:hAnsi="宋体"/>
                <w:sz w:val="21"/>
                <w:szCs w:val="21"/>
              </w:rPr>
              <w:t xml:space="preserve">    </w:t>
            </w:r>
            <w:r>
              <w:rPr>
                <w:rFonts w:hint="eastAsia" w:ascii="宋体" w:hAnsi="宋体"/>
                <w:sz w:val="21"/>
                <w:szCs w:val="21"/>
              </w:rPr>
              <w:t>真：</w:t>
            </w:r>
          </w:p>
          <w:p w14:paraId="590B9619">
            <w:pPr>
              <w:spacing w:after="0" w:line="360" w:lineRule="auto"/>
              <w:rPr>
                <w:rFonts w:ascii="宋体" w:hAnsi="宋体"/>
                <w:sz w:val="21"/>
                <w:szCs w:val="21"/>
              </w:rPr>
            </w:pPr>
            <w:r>
              <w:rPr>
                <w:rFonts w:hint="eastAsia" w:ascii="宋体" w:hAnsi="宋体"/>
                <w:sz w:val="21"/>
                <w:szCs w:val="21"/>
              </w:rPr>
              <w:t xml:space="preserve">开户银行： </w:t>
            </w:r>
          </w:p>
          <w:p w14:paraId="2C8A3053">
            <w:pPr>
              <w:spacing w:after="0" w:line="360" w:lineRule="auto"/>
              <w:rPr>
                <w:rFonts w:ascii="宋体" w:hAnsi="宋体"/>
                <w:sz w:val="21"/>
                <w:szCs w:val="21"/>
              </w:rPr>
            </w:pPr>
            <w:r>
              <w:rPr>
                <w:rFonts w:hint="eastAsia" w:ascii="宋体" w:hAnsi="宋体"/>
                <w:sz w:val="21"/>
                <w:szCs w:val="21"/>
              </w:rPr>
              <w:t>账号：</w:t>
            </w:r>
          </w:p>
          <w:p w14:paraId="4C6CA190">
            <w:pPr>
              <w:spacing w:after="0" w:line="360" w:lineRule="auto"/>
              <w:rPr>
                <w:rFonts w:ascii="宋体" w:hAnsi="宋体"/>
                <w:sz w:val="21"/>
                <w:szCs w:val="21"/>
              </w:rPr>
            </w:pPr>
            <w:r>
              <w:rPr>
                <w:rFonts w:hint="eastAsia" w:ascii="宋体" w:hAnsi="宋体"/>
                <w:sz w:val="21"/>
                <w:szCs w:val="21"/>
              </w:rPr>
              <w:t>签订时间：</w:t>
            </w:r>
            <w:r>
              <w:rPr>
                <w:rFonts w:ascii="宋体" w:hAnsi="宋体"/>
                <w:sz w:val="21"/>
                <w:szCs w:val="21"/>
              </w:rPr>
              <w:t xml:space="preserve">     </w:t>
            </w:r>
            <w:r>
              <w:rPr>
                <w:rFonts w:hint="eastAsia" w:ascii="宋体" w:hAnsi="宋体"/>
                <w:sz w:val="21"/>
                <w:szCs w:val="21"/>
              </w:rPr>
              <w:t>年</w:t>
            </w:r>
            <w:r>
              <w:rPr>
                <w:rFonts w:ascii="宋体" w:hAnsi="宋体"/>
                <w:sz w:val="21"/>
                <w:szCs w:val="21"/>
              </w:rPr>
              <w:t xml:space="preserve">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月</w:t>
            </w:r>
            <w:r>
              <w:rPr>
                <w:rFonts w:ascii="宋体" w:hAnsi="宋体"/>
                <w:sz w:val="21"/>
                <w:szCs w:val="21"/>
              </w:rPr>
              <w:t xml:space="preserve"> </w:t>
            </w:r>
            <w:r>
              <w:rPr>
                <w:rFonts w:hint="eastAsia" w:ascii="宋体" w:hAnsi="宋体"/>
                <w:sz w:val="21"/>
                <w:szCs w:val="21"/>
              </w:rPr>
              <w:t xml:space="preserve"> </w:t>
            </w:r>
            <w:r>
              <w:rPr>
                <w:rFonts w:ascii="宋体" w:hAnsi="宋体"/>
                <w:sz w:val="21"/>
                <w:szCs w:val="21"/>
              </w:rPr>
              <w:t xml:space="preserve"> </w:t>
            </w:r>
            <w:r>
              <w:rPr>
                <w:rFonts w:hint="eastAsia" w:ascii="宋体" w:hAnsi="宋体"/>
                <w:sz w:val="21"/>
                <w:szCs w:val="21"/>
              </w:rPr>
              <w:t xml:space="preserve"> 日</w:t>
            </w:r>
          </w:p>
        </w:tc>
      </w:tr>
    </w:tbl>
    <w:p w14:paraId="695A42F2">
      <w:pPr>
        <w:pStyle w:val="2"/>
        <w:ind w:left="400" w:firstLine="560"/>
        <w:rPr>
          <w:rFonts w:ascii="宋体" w:hAnsi="宋体"/>
          <w:sz w:val="28"/>
          <w:szCs w:val="28"/>
        </w:rPr>
      </w:pPr>
    </w:p>
    <w:p w14:paraId="46C72B89">
      <w:pPr>
        <w:pStyle w:val="2"/>
        <w:ind w:left="400" w:firstLine="560"/>
        <w:rPr>
          <w:rFonts w:ascii="宋体" w:hAnsi="宋体"/>
          <w:sz w:val="28"/>
          <w:szCs w:val="28"/>
        </w:rPr>
      </w:pPr>
    </w:p>
    <w:p w14:paraId="61DDF6A4">
      <w:pPr>
        <w:pStyle w:val="2"/>
        <w:ind w:left="400" w:firstLine="560"/>
        <w:rPr>
          <w:rFonts w:ascii="宋体" w:hAnsi="宋体"/>
          <w:sz w:val="28"/>
          <w:szCs w:val="28"/>
        </w:rPr>
      </w:pPr>
    </w:p>
    <w:p w14:paraId="1B4BE38C">
      <w:pPr>
        <w:pStyle w:val="2"/>
        <w:ind w:left="400" w:firstLine="560"/>
        <w:rPr>
          <w:rFonts w:ascii="宋体" w:hAnsi="宋体"/>
          <w:sz w:val="28"/>
          <w:szCs w:val="28"/>
        </w:rPr>
      </w:pPr>
    </w:p>
    <w:p w14:paraId="49652FE6">
      <w:pPr>
        <w:pStyle w:val="2"/>
        <w:ind w:left="400" w:firstLine="560"/>
        <w:rPr>
          <w:rFonts w:ascii="宋体" w:hAnsi="宋体"/>
          <w:sz w:val="28"/>
          <w:szCs w:val="28"/>
        </w:rPr>
      </w:pPr>
    </w:p>
    <w:p w14:paraId="49EB73AE">
      <w:pPr>
        <w:pStyle w:val="2"/>
        <w:ind w:left="400" w:firstLine="400"/>
      </w:pPr>
    </w:p>
    <w:p w14:paraId="68C1ADFB">
      <w:pPr>
        <w:spacing w:line="240" w:lineRule="auto"/>
        <w:rPr>
          <w:rFonts w:ascii="宋体" w:hAnsi="宋体"/>
          <w:sz w:val="21"/>
          <w:szCs w:val="21"/>
        </w:rPr>
      </w:pPr>
      <w:r>
        <w:rPr>
          <w:rFonts w:hint="eastAsia" w:ascii="宋体" w:hAnsi="宋体"/>
          <w:sz w:val="21"/>
          <w:szCs w:val="21"/>
        </w:rPr>
        <w:br w:type="page"/>
      </w:r>
    </w:p>
    <w:p w14:paraId="693C52DE">
      <w:pPr>
        <w:snapToGrid w:val="0"/>
        <w:spacing w:line="360" w:lineRule="auto"/>
        <w:rPr>
          <w:rFonts w:ascii="宋体" w:hAnsi="宋体"/>
          <w:sz w:val="21"/>
          <w:szCs w:val="21"/>
        </w:rPr>
      </w:pPr>
      <w:r>
        <w:rPr>
          <w:rFonts w:hint="eastAsia" w:ascii="宋体" w:hAnsi="宋体"/>
          <w:sz w:val="21"/>
          <w:szCs w:val="21"/>
        </w:rPr>
        <w:t>合同附件1</w:t>
      </w:r>
      <w:r>
        <w:rPr>
          <w:rFonts w:ascii="宋体" w:hAnsi="宋体"/>
          <w:sz w:val="21"/>
          <w:szCs w:val="21"/>
        </w:rPr>
        <w:t>：</w:t>
      </w:r>
    </w:p>
    <w:p w14:paraId="4A4402F0">
      <w:pPr>
        <w:pStyle w:val="6"/>
        <w:snapToGrid w:val="0"/>
        <w:spacing w:before="0" w:after="0" w:line="240" w:lineRule="auto"/>
        <w:contextualSpacing/>
        <w:jc w:val="center"/>
        <w:rPr>
          <w:rFonts w:ascii="宋体" w:hAnsi="宋体" w:cs="宋体"/>
          <w:sz w:val="28"/>
          <w:szCs w:val="28"/>
        </w:rPr>
      </w:pPr>
      <w:r>
        <w:rPr>
          <w:rFonts w:hint="eastAsia" w:ascii="宋体" w:hAnsi="宋体" w:cs="宋体"/>
          <w:sz w:val="28"/>
          <w:szCs w:val="28"/>
        </w:rPr>
        <w:t>合同价格明细表</w:t>
      </w:r>
    </w:p>
    <w:p w14:paraId="2E31876E">
      <w:pPr>
        <w:rPr>
          <w:rFonts w:ascii="宋体" w:hAnsi="宋体" w:cs="宋体"/>
          <w:b/>
          <w:bCs/>
          <w:sz w:val="28"/>
          <w:szCs w:val="28"/>
        </w:rPr>
      </w:pPr>
      <w:r>
        <w:rPr>
          <w:rFonts w:ascii="宋体" w:hAnsi="宋体" w:cs="宋体"/>
          <w:sz w:val="28"/>
          <w:szCs w:val="28"/>
        </w:rPr>
        <w:br w:type="page"/>
      </w:r>
    </w:p>
    <w:p w14:paraId="3D25636C">
      <w:pPr>
        <w:snapToGrid w:val="0"/>
        <w:spacing w:line="360" w:lineRule="auto"/>
        <w:rPr>
          <w:rFonts w:ascii="宋体" w:hAnsi="宋体"/>
          <w:sz w:val="21"/>
          <w:szCs w:val="21"/>
        </w:rPr>
      </w:pPr>
      <w:r>
        <w:rPr>
          <w:rFonts w:hint="eastAsia" w:ascii="宋体" w:hAnsi="宋体"/>
          <w:sz w:val="21"/>
          <w:szCs w:val="21"/>
        </w:rPr>
        <w:t>合同附件2</w:t>
      </w:r>
      <w:r>
        <w:rPr>
          <w:rFonts w:ascii="宋体" w:hAnsi="宋体"/>
          <w:sz w:val="21"/>
          <w:szCs w:val="21"/>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Start w:id="163" w:name="_Toc98874043"/>
      <w:bookmarkStart w:id="164" w:name="_Toc87443711"/>
    </w:p>
    <w:bookmarkEnd w:id="163"/>
    <w:bookmarkEnd w:id="164"/>
    <w:p w14:paraId="5E64059E">
      <w:pPr>
        <w:pStyle w:val="6"/>
        <w:spacing w:before="0" w:after="0" w:line="240" w:lineRule="auto"/>
        <w:jc w:val="center"/>
        <w:rPr>
          <w:rFonts w:ascii="宋体" w:hAnsi="宋体"/>
          <w:bCs w:val="0"/>
          <w:sz w:val="28"/>
          <w:szCs w:val="28"/>
        </w:rPr>
      </w:pPr>
      <w:r>
        <w:rPr>
          <w:rFonts w:hint="eastAsia" w:ascii="宋体" w:hAnsi="宋体" w:cs="Courier New"/>
          <w:sz w:val="28"/>
        </w:rPr>
        <w:t>廉</w:t>
      </w:r>
      <w:r>
        <w:rPr>
          <w:rFonts w:ascii="宋体" w:hAnsi="宋体" w:cs="Courier New"/>
          <w:sz w:val="28"/>
        </w:rPr>
        <w:t xml:space="preserve"> </w:t>
      </w:r>
      <w:r>
        <w:rPr>
          <w:rFonts w:hint="eastAsia" w:ascii="宋体" w:hAnsi="宋体" w:cs="Courier New"/>
          <w:sz w:val="28"/>
        </w:rPr>
        <w:t>洁</w:t>
      </w:r>
      <w:r>
        <w:rPr>
          <w:rFonts w:ascii="宋体" w:hAnsi="宋体" w:cs="Courier New"/>
          <w:sz w:val="28"/>
        </w:rPr>
        <w:t xml:space="preserve"> </w:t>
      </w:r>
      <w:r>
        <w:rPr>
          <w:rFonts w:hint="eastAsia" w:ascii="宋体" w:hAnsi="宋体" w:cs="Courier New"/>
          <w:sz w:val="28"/>
        </w:rPr>
        <w:t>合</w:t>
      </w:r>
      <w:r>
        <w:rPr>
          <w:rFonts w:ascii="宋体" w:hAnsi="宋体" w:cs="Courier New"/>
          <w:sz w:val="28"/>
        </w:rPr>
        <w:t xml:space="preserve"> </w:t>
      </w:r>
      <w:r>
        <w:rPr>
          <w:rFonts w:hint="eastAsia" w:ascii="宋体" w:hAnsi="宋体" w:cs="Courier New"/>
          <w:sz w:val="28"/>
        </w:rPr>
        <w:t>同</w:t>
      </w:r>
    </w:p>
    <w:p w14:paraId="3E386101">
      <w:pPr>
        <w:spacing w:line="440" w:lineRule="exact"/>
        <w:jc w:val="both"/>
        <w:rPr>
          <w:rFonts w:ascii="宋体" w:hAnsi="宋体" w:cs="宋体"/>
          <w:sz w:val="21"/>
          <w:szCs w:val="21"/>
        </w:rPr>
      </w:pPr>
      <w:bookmarkStart w:id="165" w:name="_Toc132185040"/>
      <w:bookmarkStart w:id="166" w:name="_Toc110926406"/>
      <w:bookmarkStart w:id="167" w:name="_Toc110926555"/>
      <w:bookmarkStart w:id="168" w:name="_Toc120721903"/>
      <w:bookmarkStart w:id="169" w:name="_Toc110926325"/>
      <w:r>
        <w:rPr>
          <w:rFonts w:hint="eastAsia" w:ascii="宋体" w:hAnsi="宋体" w:cs="宋体"/>
          <w:sz w:val="21"/>
          <w:szCs w:val="21"/>
        </w:rPr>
        <w:t>主合同名称：</w:t>
      </w:r>
      <w:r>
        <w:rPr>
          <w:rFonts w:hint="eastAsia" w:ascii="宋体" w:hAnsi="宋体" w:cs="宋体"/>
          <w:sz w:val="21"/>
          <w:szCs w:val="21"/>
          <w:u w:val="single"/>
        </w:rPr>
        <w:t xml:space="preserve">                      </w:t>
      </w:r>
      <w:r>
        <w:rPr>
          <w:rFonts w:hint="eastAsia" w:ascii="宋体" w:hAnsi="宋体" w:cs="宋体"/>
          <w:sz w:val="21"/>
          <w:szCs w:val="21"/>
        </w:rPr>
        <w:t xml:space="preserve">（以下简称“主合同”） </w:t>
      </w:r>
    </w:p>
    <w:p w14:paraId="13EE3EB4">
      <w:pPr>
        <w:spacing w:line="440" w:lineRule="exact"/>
        <w:jc w:val="both"/>
        <w:rPr>
          <w:rFonts w:ascii="宋体" w:hAnsi="宋体" w:cs="宋体"/>
          <w:sz w:val="21"/>
          <w:szCs w:val="21"/>
        </w:rPr>
      </w:pPr>
      <w:r>
        <w:rPr>
          <w:rFonts w:hint="eastAsia" w:ascii="宋体" w:hAnsi="宋体" w:cs="宋体"/>
          <w:sz w:val="21"/>
          <w:szCs w:val="21"/>
        </w:rPr>
        <w:t>甲 方（单位名称）：</w:t>
      </w:r>
      <w:r>
        <w:rPr>
          <w:rFonts w:hint="eastAsia" w:ascii="宋体" w:hAnsi="宋体" w:cs="宋体"/>
          <w:sz w:val="21"/>
          <w:szCs w:val="21"/>
          <w:u w:val="single"/>
        </w:rPr>
        <w:t xml:space="preserve"> 红云红河烟草（集团）有限责任公司 </w:t>
      </w:r>
      <w:r>
        <w:rPr>
          <w:rFonts w:ascii="宋体" w:hAnsi="宋体" w:cs="宋体"/>
          <w:sz w:val="21"/>
          <w:szCs w:val="21"/>
        </w:rPr>
        <w:t xml:space="preserve"> </w:t>
      </w:r>
    </w:p>
    <w:p w14:paraId="35E842FA">
      <w:pPr>
        <w:spacing w:line="440" w:lineRule="exact"/>
        <w:jc w:val="both"/>
        <w:rPr>
          <w:rFonts w:ascii="宋体" w:hAnsi="宋体" w:cs="宋体"/>
          <w:sz w:val="21"/>
          <w:szCs w:val="21"/>
          <w:u w:val="single"/>
        </w:rPr>
      </w:pPr>
      <w:r>
        <w:rPr>
          <w:rFonts w:hint="eastAsia" w:ascii="宋体" w:hAnsi="宋体" w:cs="宋体"/>
          <w:sz w:val="21"/>
          <w:szCs w:val="21"/>
        </w:rPr>
        <w:t>乙 方（单位名称）：</w:t>
      </w:r>
      <w:r>
        <w:rPr>
          <w:rFonts w:hint="eastAsia" w:ascii="宋体" w:hAnsi="宋体" w:cs="宋体"/>
          <w:sz w:val="21"/>
          <w:szCs w:val="21"/>
          <w:u w:val="single"/>
        </w:rPr>
        <w:t xml:space="preserve">                             </w:t>
      </w:r>
    </w:p>
    <w:p w14:paraId="2A5E4484">
      <w:pPr>
        <w:spacing w:line="440" w:lineRule="exact"/>
        <w:jc w:val="both"/>
        <w:rPr>
          <w:rFonts w:ascii="宋体" w:hAnsi="宋体" w:cs="宋体"/>
          <w:sz w:val="21"/>
          <w:szCs w:val="21"/>
        </w:rPr>
      </w:pPr>
      <w:r>
        <w:rPr>
          <w:rFonts w:hint="eastAsia" w:ascii="宋体" w:hAnsi="宋体" w:cs="宋体"/>
          <w:sz w:val="21"/>
          <w:szCs w:val="21"/>
        </w:rPr>
        <w:t>主合同编号：</w:t>
      </w:r>
      <w:r>
        <w:rPr>
          <w:rFonts w:hint="eastAsia" w:ascii="宋体" w:hAnsi="宋体" w:cs="宋体"/>
          <w:sz w:val="21"/>
          <w:szCs w:val="21"/>
          <w:u w:val="single"/>
        </w:rPr>
        <w:t xml:space="preserve">                                         </w:t>
      </w:r>
      <w:r>
        <w:rPr>
          <w:rFonts w:hint="eastAsia" w:ascii="宋体" w:hAnsi="宋体" w:cs="宋体"/>
          <w:sz w:val="21"/>
          <w:szCs w:val="21"/>
        </w:rPr>
        <w:t xml:space="preserve">             </w:t>
      </w:r>
    </w:p>
    <w:p w14:paraId="7D7751AB">
      <w:pPr>
        <w:spacing w:line="440" w:lineRule="exact"/>
        <w:jc w:val="both"/>
        <w:rPr>
          <w:rFonts w:ascii="宋体" w:hAnsi="宋体" w:cs="宋体"/>
          <w:sz w:val="21"/>
          <w:szCs w:val="21"/>
        </w:rPr>
      </w:pPr>
      <w:r>
        <w:rPr>
          <w:rFonts w:hint="eastAsia" w:ascii="宋体" w:hAnsi="宋体" w:cs="宋体"/>
          <w:sz w:val="21"/>
          <w:szCs w:val="21"/>
        </w:rPr>
        <w:t>主合同金额：</w:t>
      </w:r>
      <w:r>
        <w:rPr>
          <w:rFonts w:hint="eastAsia" w:ascii="宋体" w:hAnsi="宋体" w:cs="宋体"/>
          <w:sz w:val="21"/>
          <w:szCs w:val="21"/>
          <w:u w:val="single"/>
        </w:rPr>
        <w:t xml:space="preserve"> </w:t>
      </w:r>
      <w:r>
        <w:rPr>
          <w:rFonts w:hint="eastAsia" w:ascii="宋体" w:hAnsi="宋体" w:cs="Calibri"/>
          <w:sz w:val="21"/>
          <w:szCs w:val="21"/>
          <w:u w:val="single"/>
        </w:rPr>
        <w:t xml:space="preserve">                          </w:t>
      </w:r>
      <w:r>
        <w:rPr>
          <w:rFonts w:hint="eastAsia" w:ascii="宋体" w:hAnsi="宋体" w:cs="宋体"/>
          <w:sz w:val="21"/>
          <w:szCs w:val="21"/>
          <w:u w:val="single"/>
        </w:rPr>
        <w:t xml:space="preserve">                          </w:t>
      </w:r>
      <w:r>
        <w:rPr>
          <w:rFonts w:ascii="宋体" w:hAnsi="宋体" w:cs="宋体"/>
          <w:sz w:val="21"/>
          <w:szCs w:val="21"/>
        </w:rPr>
        <w:t xml:space="preserve"> </w:t>
      </w:r>
    </w:p>
    <w:p w14:paraId="65850587">
      <w:pPr>
        <w:spacing w:line="440" w:lineRule="exact"/>
        <w:ind w:firstLine="420" w:firstLineChars="200"/>
        <w:jc w:val="both"/>
        <w:rPr>
          <w:rFonts w:ascii="宋体" w:hAnsi="宋体"/>
          <w:sz w:val="21"/>
          <w:szCs w:val="21"/>
        </w:rPr>
      </w:pPr>
      <w:r>
        <w:rPr>
          <w:rFonts w:hint="eastAsia" w:ascii="宋体" w:hAnsi="宋体"/>
          <w:sz w:val="21"/>
          <w:szCs w:val="21"/>
        </w:rPr>
        <w:t>根据廉政建设有关要求，为促进甲乙双方廉洁高效合作，增强甲乙双方人员廉洁从业意识，明确甲乙双方廉政责任和义务，防止合同履行过程中发生违法违纪行为，特在签订主合同的同时签订本廉洁合同。</w:t>
      </w:r>
    </w:p>
    <w:p w14:paraId="3B32085A">
      <w:pPr>
        <w:spacing w:line="440" w:lineRule="exact"/>
        <w:ind w:firstLine="422" w:firstLineChars="200"/>
        <w:jc w:val="both"/>
        <w:rPr>
          <w:rFonts w:ascii="宋体" w:hAnsi="宋体"/>
          <w:b/>
          <w:sz w:val="21"/>
          <w:szCs w:val="21"/>
        </w:rPr>
      </w:pPr>
      <w:r>
        <w:rPr>
          <w:rFonts w:hint="eastAsia" w:ascii="宋体" w:hAnsi="宋体"/>
          <w:b/>
          <w:sz w:val="21"/>
          <w:szCs w:val="21"/>
        </w:rPr>
        <w:t>一、甲方责任</w:t>
      </w:r>
    </w:p>
    <w:p w14:paraId="0977254A">
      <w:pPr>
        <w:spacing w:line="440" w:lineRule="exact"/>
        <w:ind w:firstLine="420" w:firstLineChars="200"/>
        <w:jc w:val="both"/>
        <w:rPr>
          <w:rFonts w:ascii="宋体" w:hAnsi="宋体"/>
          <w:sz w:val="21"/>
          <w:szCs w:val="21"/>
        </w:rPr>
      </w:pPr>
      <w:r>
        <w:rPr>
          <w:rFonts w:hint="eastAsia" w:ascii="宋体" w:hAnsi="宋体"/>
          <w:sz w:val="21"/>
          <w:szCs w:val="21"/>
        </w:rPr>
        <w:t xml:space="preserve">（一）甲方及其工作人员在履行合同过程中，不得接受乙方赠送的礼品、礼金、有价证券、信用卡及其他支付凭证；不得接受乙方任何好处费及回扣；不得向乙方报销任何应由甲方支付的费用；不得借用、租用乙方的交通、通讯工具及其他物品；不得接受乙方邀请的各种庆典、旅游和娱乐活动；甲方及其工作人员不得要求或者接受乙方为其住房装修、婚丧嫁娶活动、配偶子女及其亲属的工作安排以及出国出境等提供方便。 </w:t>
      </w:r>
    </w:p>
    <w:p w14:paraId="3ADE2B06">
      <w:pPr>
        <w:spacing w:line="440" w:lineRule="exact"/>
        <w:ind w:firstLine="420" w:firstLineChars="200"/>
        <w:jc w:val="both"/>
        <w:rPr>
          <w:rFonts w:ascii="宋体" w:hAnsi="宋体"/>
          <w:sz w:val="21"/>
          <w:szCs w:val="21"/>
        </w:rPr>
      </w:pPr>
      <w:r>
        <w:rPr>
          <w:rFonts w:hint="eastAsia" w:ascii="宋体" w:hAnsi="宋体"/>
          <w:sz w:val="21"/>
          <w:szCs w:val="21"/>
        </w:rPr>
        <w:t xml:space="preserve">（二）甲方工作人员及其配偶、子女、亲属不得向乙方推荐分包单位；甲方工作人员的配偶、子女、亲属不得承包或从事与该项目有关的业务活动。 </w:t>
      </w:r>
    </w:p>
    <w:p w14:paraId="78256649">
      <w:pPr>
        <w:spacing w:line="440" w:lineRule="exact"/>
        <w:ind w:firstLine="420" w:firstLineChars="200"/>
        <w:jc w:val="both"/>
        <w:rPr>
          <w:rFonts w:ascii="宋体" w:hAnsi="宋体"/>
          <w:sz w:val="21"/>
          <w:szCs w:val="21"/>
        </w:rPr>
      </w:pPr>
      <w:r>
        <w:rPr>
          <w:rFonts w:hint="eastAsia" w:ascii="宋体" w:hAnsi="宋体"/>
          <w:sz w:val="21"/>
          <w:szCs w:val="21"/>
        </w:rPr>
        <w:t>（三）甲方工作人员向乙方索贿或因索贿不成而给乙方造成经济损失的，将依法依纪依规追究当事人责任。</w:t>
      </w:r>
    </w:p>
    <w:p w14:paraId="4DD1E7F1">
      <w:pPr>
        <w:spacing w:line="440" w:lineRule="exact"/>
        <w:ind w:firstLine="420" w:firstLineChars="200"/>
        <w:jc w:val="both"/>
        <w:rPr>
          <w:rFonts w:ascii="宋体" w:hAnsi="宋体"/>
          <w:sz w:val="21"/>
          <w:szCs w:val="21"/>
        </w:rPr>
      </w:pPr>
      <w:r>
        <w:rPr>
          <w:rFonts w:ascii="宋体" w:hAnsi="宋体"/>
          <w:sz w:val="21"/>
          <w:szCs w:val="21"/>
        </w:rPr>
        <w:t>（</w:t>
      </w:r>
      <w:r>
        <w:rPr>
          <w:rFonts w:hint="eastAsia" w:ascii="宋体" w:hAnsi="宋体"/>
          <w:sz w:val="21"/>
          <w:szCs w:val="21"/>
        </w:rPr>
        <w:t>四）甲方工作人员违反上级和</w:t>
      </w:r>
      <w:r>
        <w:rPr>
          <w:rFonts w:ascii="宋体" w:hAnsi="宋体"/>
          <w:sz w:val="21"/>
          <w:szCs w:val="21"/>
        </w:rPr>
        <w:t>集团</w:t>
      </w:r>
      <w:r>
        <w:rPr>
          <w:rFonts w:hint="eastAsia" w:ascii="宋体" w:hAnsi="宋体"/>
          <w:sz w:val="21"/>
          <w:szCs w:val="21"/>
        </w:rPr>
        <w:t>有关规定，</w:t>
      </w:r>
      <w:r>
        <w:rPr>
          <w:rFonts w:ascii="宋体" w:hAnsi="宋体"/>
          <w:sz w:val="21"/>
          <w:szCs w:val="21"/>
        </w:rPr>
        <w:t>有其他可能影响公正行使权力行为</w:t>
      </w:r>
      <w:r>
        <w:rPr>
          <w:rFonts w:hint="eastAsia" w:ascii="宋体" w:hAnsi="宋体"/>
          <w:sz w:val="21"/>
          <w:szCs w:val="21"/>
        </w:rPr>
        <w:t>的，将依法依纪依规追究当事人责任。</w:t>
      </w:r>
    </w:p>
    <w:p w14:paraId="08BBF846">
      <w:pPr>
        <w:spacing w:line="440" w:lineRule="exact"/>
        <w:ind w:firstLine="422" w:firstLineChars="200"/>
        <w:jc w:val="both"/>
        <w:rPr>
          <w:rFonts w:ascii="宋体" w:hAnsi="宋体"/>
          <w:b/>
          <w:sz w:val="21"/>
          <w:szCs w:val="21"/>
        </w:rPr>
      </w:pPr>
      <w:r>
        <w:rPr>
          <w:rFonts w:hint="eastAsia" w:ascii="宋体" w:hAnsi="宋体"/>
          <w:b/>
          <w:sz w:val="21"/>
          <w:szCs w:val="21"/>
        </w:rPr>
        <w:t>二、乙方责任</w:t>
      </w:r>
    </w:p>
    <w:p w14:paraId="2E30423D">
      <w:pPr>
        <w:spacing w:line="440" w:lineRule="exact"/>
        <w:ind w:firstLine="420" w:firstLineChars="200"/>
        <w:jc w:val="both"/>
        <w:rPr>
          <w:rFonts w:ascii="宋体" w:hAnsi="宋体"/>
          <w:sz w:val="21"/>
          <w:szCs w:val="21"/>
        </w:rPr>
      </w:pPr>
      <w:r>
        <w:rPr>
          <w:rFonts w:hint="eastAsia" w:ascii="宋体" w:hAnsi="宋体"/>
          <w:sz w:val="21"/>
          <w:szCs w:val="21"/>
        </w:rPr>
        <w:t>（一）严格遵守相关法律法规，认真执行本合同要求，依法依规开展各项业务。</w:t>
      </w:r>
    </w:p>
    <w:p w14:paraId="0C69E977">
      <w:pPr>
        <w:spacing w:line="440" w:lineRule="exact"/>
        <w:ind w:firstLine="420" w:firstLineChars="200"/>
        <w:jc w:val="both"/>
        <w:rPr>
          <w:rFonts w:ascii="宋体" w:hAnsi="宋体"/>
          <w:sz w:val="21"/>
          <w:szCs w:val="21"/>
        </w:rPr>
      </w:pPr>
      <w:r>
        <w:rPr>
          <w:rFonts w:hint="eastAsia" w:ascii="宋体" w:hAnsi="宋体"/>
          <w:sz w:val="21"/>
          <w:szCs w:val="21"/>
        </w:rPr>
        <w:t>（二）乙方不得以任何理由邀请可能对甲方工作人员履行工作职责有影响的宴请及娱乐活动或向甲方及其工作人员赠送礼品、礼金、有价证券、信用卡及其他支付凭证或物品等。</w:t>
      </w:r>
    </w:p>
    <w:p w14:paraId="562E42C3">
      <w:pPr>
        <w:spacing w:line="440" w:lineRule="exact"/>
        <w:ind w:firstLine="420" w:firstLineChars="200"/>
        <w:jc w:val="both"/>
        <w:rPr>
          <w:rFonts w:ascii="宋体" w:hAnsi="宋体"/>
          <w:sz w:val="21"/>
          <w:szCs w:val="21"/>
        </w:rPr>
      </w:pPr>
      <w:r>
        <w:rPr>
          <w:rFonts w:hint="eastAsia" w:ascii="宋体" w:hAnsi="宋体"/>
          <w:sz w:val="21"/>
          <w:szCs w:val="21"/>
        </w:rPr>
        <w:t>（三）乙方不得为甲方工作人员在交通、通讯工具及生活等方面提供方便；不得为甲方工作人员的配偶、子女、亲属及有利害关系人员安排工作或劳务。</w:t>
      </w:r>
    </w:p>
    <w:p w14:paraId="47C40616">
      <w:pPr>
        <w:spacing w:line="440" w:lineRule="exact"/>
        <w:ind w:firstLine="420" w:firstLineChars="200"/>
        <w:jc w:val="both"/>
        <w:rPr>
          <w:rFonts w:ascii="宋体" w:hAnsi="宋体"/>
          <w:sz w:val="21"/>
          <w:szCs w:val="21"/>
        </w:rPr>
      </w:pPr>
      <w:r>
        <w:rPr>
          <w:rFonts w:hint="eastAsia" w:ascii="宋体" w:hAnsi="宋体"/>
          <w:sz w:val="21"/>
          <w:szCs w:val="21"/>
        </w:rPr>
        <w:t>（四）乙方不得有可能影响甲方工作人员公正行使权力的其他行为。</w:t>
      </w:r>
    </w:p>
    <w:p w14:paraId="462A4C43">
      <w:pPr>
        <w:spacing w:line="440" w:lineRule="exact"/>
        <w:ind w:firstLine="420" w:firstLineChars="200"/>
        <w:jc w:val="both"/>
        <w:rPr>
          <w:rFonts w:ascii="宋体" w:hAnsi="宋体"/>
          <w:sz w:val="21"/>
          <w:szCs w:val="21"/>
        </w:rPr>
      </w:pPr>
      <w:r>
        <w:rPr>
          <w:rFonts w:hint="eastAsia" w:ascii="宋体" w:hAnsi="宋体"/>
          <w:sz w:val="21"/>
          <w:szCs w:val="21"/>
        </w:rPr>
        <w:t>（五）乙方同意并接受甲方依照烟草行业、云南中烟及红云红河集团对存在行贿行为供应商实施禁入措施的有关管理规定及制度对乙方进行管理。若前述烟草行业、云南中烟及红云红河集团的有关管理规定及制度有不一致之处，按照最严格的规定执行。</w:t>
      </w:r>
    </w:p>
    <w:p w14:paraId="5FBC911C">
      <w:pPr>
        <w:spacing w:line="440" w:lineRule="exact"/>
        <w:ind w:firstLine="422" w:firstLineChars="200"/>
        <w:jc w:val="both"/>
        <w:rPr>
          <w:rFonts w:ascii="宋体" w:hAnsi="宋体"/>
          <w:b/>
          <w:sz w:val="21"/>
          <w:szCs w:val="21"/>
        </w:rPr>
      </w:pPr>
      <w:r>
        <w:rPr>
          <w:rFonts w:hint="eastAsia" w:ascii="宋体" w:hAnsi="宋体"/>
          <w:b/>
          <w:sz w:val="21"/>
          <w:szCs w:val="21"/>
        </w:rPr>
        <w:t>三、甲、乙双方责任</w:t>
      </w:r>
    </w:p>
    <w:p w14:paraId="6017D927">
      <w:pPr>
        <w:spacing w:line="440" w:lineRule="exact"/>
        <w:ind w:firstLine="420" w:firstLineChars="200"/>
        <w:jc w:val="both"/>
        <w:rPr>
          <w:rFonts w:ascii="宋体" w:hAnsi="宋体"/>
          <w:sz w:val="21"/>
          <w:szCs w:val="21"/>
        </w:rPr>
      </w:pPr>
      <w:r>
        <w:rPr>
          <w:rFonts w:hint="eastAsia" w:ascii="宋体" w:hAnsi="宋体"/>
          <w:sz w:val="21"/>
          <w:szCs w:val="21"/>
        </w:rPr>
        <w:t>甲、乙双方法定代表人和分管领导、经办部门和经办人员要严格履行廉洁合同，严格把关，相互监督，自查自纠。发现对方在业务活动中有违反廉洁规定的行为，有及时提醒对方纠正的权利和义务，并要求对方配合调查的权利、积极配合对方调查义务。</w:t>
      </w:r>
    </w:p>
    <w:p w14:paraId="0DF2A249">
      <w:pPr>
        <w:spacing w:line="440" w:lineRule="exact"/>
        <w:ind w:firstLine="422" w:firstLineChars="200"/>
        <w:jc w:val="both"/>
        <w:rPr>
          <w:rFonts w:ascii="宋体" w:hAnsi="宋体"/>
          <w:b/>
          <w:sz w:val="21"/>
          <w:szCs w:val="21"/>
        </w:rPr>
      </w:pPr>
      <w:r>
        <w:rPr>
          <w:rFonts w:hint="eastAsia" w:ascii="宋体" w:hAnsi="宋体"/>
          <w:b/>
          <w:sz w:val="21"/>
          <w:szCs w:val="21"/>
        </w:rPr>
        <w:t>四、违约责任</w:t>
      </w:r>
    </w:p>
    <w:p w14:paraId="30487A53">
      <w:pPr>
        <w:spacing w:line="440" w:lineRule="exact"/>
        <w:ind w:firstLine="420" w:firstLineChars="200"/>
        <w:jc w:val="both"/>
        <w:rPr>
          <w:rFonts w:ascii="宋体" w:hAnsi="宋体"/>
          <w:sz w:val="21"/>
          <w:szCs w:val="21"/>
        </w:rPr>
      </w:pPr>
      <w:r>
        <w:rPr>
          <w:rFonts w:hint="eastAsia" w:ascii="宋体" w:hAnsi="宋体"/>
          <w:sz w:val="21"/>
          <w:szCs w:val="21"/>
        </w:rPr>
        <w:t xml:space="preserve">（一）甲方工作人员有违反本合同行为的，按照干部管理权限，依据上级和集团相关规定，由甲方所在单位党组织给予党纪、政纪处分或组织处理；涉嫌犯罪的，移交司法机关处理。 </w:t>
      </w:r>
    </w:p>
    <w:p w14:paraId="678997A5">
      <w:pPr>
        <w:spacing w:line="440" w:lineRule="exact"/>
        <w:ind w:firstLine="420" w:firstLineChars="200"/>
        <w:jc w:val="both"/>
        <w:rPr>
          <w:rFonts w:ascii="宋体" w:hAnsi="宋体"/>
          <w:sz w:val="21"/>
          <w:szCs w:val="21"/>
        </w:rPr>
      </w:pPr>
      <w:r>
        <w:rPr>
          <w:rFonts w:hint="eastAsia" w:ascii="宋体" w:hAnsi="宋体"/>
          <w:sz w:val="21"/>
          <w:szCs w:val="21"/>
        </w:rPr>
        <w:t>（二）依照烟草行业、云南中烟及红云红河集团对存在行贿行为供应商实施禁入措施的有关管理规定及制度，乙方及其法定代表人、主要负责人和行贿人出现下列情形之一的，集团将按照《集团对存在行贿行为供应商实施禁入措施的管理细则》对乙方实施严格禁入措施,具体禁入措施依照该管理办法执行。同时，甲方有权根据项目实际情况，采取降低考核评价分数、降低供货份额、缩短服务期限、终止或者解除合同等处理措施，乙方完全接受并同意按照甲方据此作出的处理决定执行。</w:t>
      </w:r>
    </w:p>
    <w:p w14:paraId="248B7873">
      <w:pPr>
        <w:spacing w:line="440" w:lineRule="exact"/>
        <w:ind w:firstLine="420" w:firstLineChars="200"/>
        <w:jc w:val="both"/>
        <w:rPr>
          <w:rFonts w:ascii="宋体" w:hAnsi="宋体"/>
          <w:sz w:val="21"/>
          <w:szCs w:val="21"/>
        </w:rPr>
      </w:pPr>
      <w:r>
        <w:rPr>
          <w:rFonts w:hint="eastAsia" w:ascii="宋体" w:hAnsi="宋体"/>
          <w:sz w:val="21"/>
          <w:szCs w:val="21"/>
        </w:rPr>
        <w:t>1.被列入中国烟草总公司、云南中烟发布的“存在行贿行为供应商名单”；</w:t>
      </w:r>
    </w:p>
    <w:p w14:paraId="15988FA6">
      <w:pPr>
        <w:spacing w:line="440" w:lineRule="exact"/>
        <w:ind w:firstLine="420" w:firstLineChars="200"/>
        <w:jc w:val="both"/>
        <w:rPr>
          <w:rFonts w:ascii="宋体" w:hAnsi="宋体"/>
          <w:sz w:val="21"/>
          <w:szCs w:val="21"/>
        </w:rPr>
      </w:pPr>
      <w:r>
        <w:rPr>
          <w:rFonts w:hint="eastAsia" w:ascii="宋体" w:hAnsi="宋体"/>
          <w:sz w:val="21"/>
          <w:szCs w:val="21"/>
        </w:rPr>
        <w:t>2.被列入由中国烟草总公司转发的行业其他工商企业“存在行贿行为供应商名单”。</w:t>
      </w:r>
    </w:p>
    <w:p w14:paraId="18CB8BCE">
      <w:pPr>
        <w:spacing w:line="440" w:lineRule="exact"/>
        <w:ind w:firstLine="420" w:firstLineChars="200"/>
        <w:jc w:val="both"/>
        <w:rPr>
          <w:rFonts w:ascii="宋体" w:hAnsi="宋体"/>
          <w:sz w:val="21"/>
          <w:szCs w:val="21"/>
        </w:rPr>
      </w:pPr>
      <w:r>
        <w:rPr>
          <w:rFonts w:hint="eastAsia" w:ascii="宋体" w:hAnsi="宋体"/>
          <w:sz w:val="21"/>
          <w:szCs w:val="21"/>
        </w:rPr>
        <w:t>（三）若乙方实施的违反本合同的行为，经查证属实但不属于《集团对存在行贿行为供应商实施禁入措施的管理细则》所定义之行贿行为，或未被列入烟草行业任一单位“存在行贿行为供应商名单”的，甲方有权根据项目实际情况，采取警示约谈、降低考核评价分数、降低供货份额、缩短服务期限、终止或者解除合同等处理措施。同时，给甲方造成损失的，乙方应赔偿甲方由此遭受的全部损失，乙方完全接受并同意按照甲方据此作出的处理决定执行。</w:t>
      </w:r>
    </w:p>
    <w:p w14:paraId="53BF0FAA">
      <w:pPr>
        <w:spacing w:line="440" w:lineRule="exact"/>
        <w:ind w:firstLine="420" w:firstLineChars="200"/>
        <w:jc w:val="both"/>
        <w:rPr>
          <w:rFonts w:ascii="宋体" w:hAnsi="宋体"/>
          <w:sz w:val="21"/>
          <w:szCs w:val="21"/>
        </w:rPr>
      </w:pPr>
      <w:r>
        <w:rPr>
          <w:rFonts w:hint="eastAsia" w:ascii="宋体" w:hAnsi="宋体"/>
          <w:sz w:val="21"/>
          <w:szCs w:val="21"/>
        </w:rPr>
        <w:t>（四）乙方在相关案件查办时，有配合提供证据、作证的义务，如果发生拒不配合监委调查工作的情形，甲方有权采取警示约谈、降低考核评价分数、降低供货份额、缩短服务期限、终止或解除合同等多种处理措施，乙方完全接受并同意按照甲方据此作出的处理决定执行。</w:t>
      </w:r>
    </w:p>
    <w:p w14:paraId="63C8BE94">
      <w:pPr>
        <w:spacing w:line="440" w:lineRule="exact"/>
        <w:ind w:firstLine="420" w:firstLineChars="200"/>
        <w:jc w:val="both"/>
        <w:rPr>
          <w:rFonts w:ascii="宋体" w:hAnsi="宋体"/>
          <w:sz w:val="21"/>
          <w:szCs w:val="21"/>
        </w:rPr>
      </w:pPr>
      <w:r>
        <w:rPr>
          <w:rFonts w:hint="eastAsia" w:ascii="宋体" w:hAnsi="宋体"/>
          <w:sz w:val="21"/>
          <w:szCs w:val="21"/>
        </w:rPr>
        <w:t>五、本合同作为主合同的附件，自甲乙双方法定代表人或委托代理人签字并加盖公章之日起生效。</w:t>
      </w:r>
    </w:p>
    <w:p w14:paraId="27441B18">
      <w:pPr>
        <w:spacing w:line="440" w:lineRule="exact"/>
        <w:ind w:firstLine="420" w:firstLineChars="200"/>
        <w:jc w:val="both"/>
        <w:rPr>
          <w:rFonts w:ascii="宋体" w:hAnsi="宋体"/>
          <w:sz w:val="21"/>
          <w:szCs w:val="21"/>
        </w:rPr>
      </w:pPr>
      <w:r>
        <w:rPr>
          <w:rFonts w:hint="eastAsia" w:ascii="宋体" w:hAnsi="宋体"/>
          <w:sz w:val="21"/>
          <w:szCs w:val="21"/>
        </w:rPr>
        <w:t>六、本合同签订的份数与主合同签订的份数相同。</w:t>
      </w:r>
      <w:r>
        <w:rPr>
          <w:rFonts w:ascii="宋体" w:hAnsi="宋体"/>
          <w:sz w:val="21"/>
          <w:szCs w:val="21"/>
        </w:rPr>
        <w:t xml:space="preserve"> </w:t>
      </w:r>
    </w:p>
    <w:p w14:paraId="7AD02DB3">
      <w:pPr>
        <w:spacing w:line="440" w:lineRule="exact"/>
        <w:ind w:firstLine="420" w:firstLineChars="200"/>
        <w:jc w:val="both"/>
        <w:rPr>
          <w:rFonts w:ascii="宋体" w:hAnsi="宋体"/>
          <w:sz w:val="21"/>
          <w:szCs w:val="21"/>
        </w:rPr>
      </w:pPr>
    </w:p>
    <w:p w14:paraId="1F761EE5">
      <w:pPr>
        <w:spacing w:line="440" w:lineRule="exact"/>
        <w:ind w:firstLine="420" w:firstLineChars="200"/>
        <w:jc w:val="both"/>
        <w:rPr>
          <w:rFonts w:ascii="宋体" w:hAnsi="宋体"/>
          <w:sz w:val="21"/>
          <w:szCs w:val="21"/>
        </w:rPr>
      </w:pPr>
    </w:p>
    <w:tbl>
      <w:tblPr>
        <w:tblStyle w:val="62"/>
        <w:tblW w:w="8522" w:type="dxa"/>
        <w:tblInd w:w="142" w:type="dxa"/>
        <w:tblLayout w:type="fixed"/>
        <w:tblCellMar>
          <w:top w:w="0" w:type="dxa"/>
          <w:left w:w="108" w:type="dxa"/>
          <w:bottom w:w="0" w:type="dxa"/>
          <w:right w:w="108" w:type="dxa"/>
        </w:tblCellMar>
      </w:tblPr>
      <w:tblGrid>
        <w:gridCol w:w="4514"/>
        <w:gridCol w:w="4008"/>
      </w:tblGrid>
      <w:tr w14:paraId="40F966F6">
        <w:tblPrEx>
          <w:tblCellMar>
            <w:top w:w="0" w:type="dxa"/>
            <w:left w:w="108" w:type="dxa"/>
            <w:bottom w:w="0" w:type="dxa"/>
            <w:right w:w="108" w:type="dxa"/>
          </w:tblCellMar>
        </w:tblPrEx>
        <w:trPr>
          <w:trHeight w:val="2653" w:hRule="atLeast"/>
        </w:trPr>
        <w:tc>
          <w:tcPr>
            <w:tcW w:w="4514" w:type="dxa"/>
          </w:tcPr>
          <w:p w14:paraId="118BFC34">
            <w:pPr>
              <w:spacing w:line="440" w:lineRule="exact"/>
              <w:jc w:val="both"/>
              <w:rPr>
                <w:rFonts w:ascii="宋体" w:hAnsi="宋体" w:cs="宋体"/>
                <w:sz w:val="21"/>
                <w:szCs w:val="21"/>
              </w:rPr>
            </w:pPr>
            <w:r>
              <w:rPr>
                <w:rFonts w:hint="eastAsia" w:ascii="宋体" w:hAnsi="宋体" w:cs="宋体"/>
                <w:sz w:val="21"/>
                <w:szCs w:val="21"/>
              </w:rPr>
              <w:t>甲方：红云红河烟草（集团）有限责任公司（印章）</w:t>
            </w:r>
          </w:p>
          <w:p w14:paraId="42571588">
            <w:pPr>
              <w:spacing w:line="440" w:lineRule="exact"/>
              <w:jc w:val="both"/>
              <w:rPr>
                <w:rFonts w:ascii="宋体" w:hAnsi="宋体" w:cs="宋体"/>
                <w:sz w:val="21"/>
                <w:szCs w:val="21"/>
              </w:rPr>
            </w:pPr>
            <w:r>
              <w:rPr>
                <w:rFonts w:hint="eastAsia" w:ascii="宋体" w:hAnsi="宋体" w:cs="宋体"/>
                <w:sz w:val="21"/>
                <w:szCs w:val="21"/>
              </w:rPr>
              <w:t>法定代表人或委托代理人：</w:t>
            </w:r>
          </w:p>
          <w:p w14:paraId="21E1D68E">
            <w:pPr>
              <w:spacing w:line="440" w:lineRule="exact"/>
              <w:jc w:val="both"/>
              <w:rPr>
                <w:rFonts w:ascii="宋体" w:hAnsi="宋体" w:cs="宋体"/>
                <w:sz w:val="21"/>
                <w:szCs w:val="21"/>
              </w:rPr>
            </w:pPr>
            <w:r>
              <w:rPr>
                <w:rFonts w:hint="eastAsia" w:ascii="宋体" w:hAnsi="宋体" w:cs="宋体"/>
                <w:sz w:val="21"/>
                <w:szCs w:val="21"/>
              </w:rPr>
              <w:t xml:space="preserve">时间： </w:t>
            </w:r>
          </w:p>
        </w:tc>
        <w:tc>
          <w:tcPr>
            <w:tcW w:w="4008" w:type="dxa"/>
          </w:tcPr>
          <w:p w14:paraId="6FF0B862">
            <w:pPr>
              <w:spacing w:line="440" w:lineRule="exact"/>
              <w:jc w:val="both"/>
              <w:rPr>
                <w:rFonts w:ascii="宋体" w:hAnsi="宋体" w:cs="宋体"/>
                <w:sz w:val="21"/>
                <w:szCs w:val="21"/>
              </w:rPr>
            </w:pPr>
            <w:r>
              <w:rPr>
                <w:rFonts w:hint="eastAsia" w:ascii="宋体" w:hAnsi="宋体" w:cs="宋体"/>
                <w:sz w:val="21"/>
                <w:szCs w:val="21"/>
              </w:rPr>
              <w:t>乙方：         （印章）</w:t>
            </w:r>
          </w:p>
          <w:p w14:paraId="00DE8DA7">
            <w:pPr>
              <w:spacing w:line="440" w:lineRule="exact"/>
              <w:jc w:val="both"/>
              <w:rPr>
                <w:rFonts w:ascii="宋体" w:hAnsi="宋体" w:cs="宋体"/>
                <w:sz w:val="21"/>
                <w:szCs w:val="21"/>
              </w:rPr>
            </w:pPr>
            <w:r>
              <w:rPr>
                <w:rFonts w:hint="eastAsia" w:ascii="宋体" w:hAnsi="宋体" w:cs="宋体"/>
                <w:sz w:val="21"/>
                <w:szCs w:val="21"/>
              </w:rPr>
              <w:t>法定代表人或委托代理人：</w:t>
            </w:r>
          </w:p>
          <w:p w14:paraId="74ECF17E">
            <w:pPr>
              <w:spacing w:line="440" w:lineRule="exact"/>
              <w:jc w:val="both"/>
              <w:rPr>
                <w:rFonts w:ascii="宋体" w:hAnsi="宋体" w:cs="宋体"/>
                <w:sz w:val="21"/>
                <w:szCs w:val="21"/>
              </w:rPr>
            </w:pPr>
            <w:r>
              <w:rPr>
                <w:rFonts w:hint="eastAsia" w:ascii="宋体" w:hAnsi="宋体" w:cs="宋体"/>
                <w:sz w:val="21"/>
                <w:szCs w:val="21"/>
              </w:rPr>
              <w:t>时间：</w:t>
            </w:r>
          </w:p>
        </w:tc>
      </w:tr>
      <w:bookmarkEnd w:id="165"/>
      <w:bookmarkEnd w:id="166"/>
      <w:bookmarkEnd w:id="167"/>
      <w:bookmarkEnd w:id="168"/>
      <w:bookmarkEnd w:id="169"/>
    </w:tbl>
    <w:p w14:paraId="3AEFB7DF">
      <w:pPr>
        <w:rPr>
          <w:rFonts w:ascii="宋体" w:hAnsi="宋体"/>
          <w:sz w:val="21"/>
          <w:szCs w:val="21"/>
        </w:rPr>
      </w:pPr>
    </w:p>
    <w:p w14:paraId="196DAAF3">
      <w:pPr>
        <w:jc w:val="center"/>
        <w:rPr>
          <w:rFonts w:ascii="仿宋_GB2312" w:hAnsi="仿宋" w:eastAsia="仿宋_GB2312"/>
          <w:color w:val="FF0000"/>
          <w:sz w:val="28"/>
          <w:szCs w:val="28"/>
        </w:rPr>
      </w:pPr>
    </w:p>
    <w:p w14:paraId="1F43E3F4">
      <w:pPr>
        <w:rPr>
          <w:rFonts w:ascii="宋体" w:hAnsi="宋体"/>
          <w:color w:val="FF0000"/>
        </w:rPr>
      </w:pPr>
      <w:r>
        <w:rPr>
          <w:rFonts w:ascii="宋体" w:hAnsi="宋体"/>
          <w:color w:val="FF0000"/>
        </w:rPr>
        <w:br w:type="page"/>
      </w:r>
    </w:p>
    <w:p w14:paraId="0A8CB98C">
      <w:pPr>
        <w:snapToGrid w:val="0"/>
        <w:spacing w:line="360" w:lineRule="auto"/>
        <w:rPr>
          <w:rFonts w:ascii="宋体" w:hAnsi="宋体"/>
          <w:sz w:val="21"/>
          <w:szCs w:val="21"/>
        </w:rPr>
      </w:pPr>
      <w:bookmarkStart w:id="170" w:name="_Toc49333259"/>
      <w:r>
        <w:rPr>
          <w:rFonts w:hint="eastAsia" w:ascii="宋体" w:hAnsi="宋体"/>
          <w:sz w:val="21"/>
          <w:szCs w:val="21"/>
        </w:rPr>
        <w:t>合同附件3</w:t>
      </w:r>
      <w:r>
        <w:rPr>
          <w:rFonts w:ascii="宋体" w:hAnsi="宋体"/>
          <w:sz w:val="21"/>
          <w:szCs w:val="21"/>
        </w:rPr>
        <w:t>：</w:t>
      </w:r>
    </w:p>
    <w:bookmarkEnd w:id="170"/>
    <w:p w14:paraId="53B6E249">
      <w:pPr>
        <w:pStyle w:val="6"/>
        <w:spacing w:before="0" w:after="0" w:line="420" w:lineRule="exact"/>
        <w:jc w:val="center"/>
        <w:rPr>
          <w:rFonts w:ascii="宋体" w:hAnsi="宋体" w:cs="Courier New"/>
          <w:sz w:val="28"/>
        </w:rPr>
      </w:pPr>
      <w:r>
        <w:rPr>
          <w:rFonts w:ascii="宋体" w:hAnsi="宋体" w:cs="Courier New"/>
          <w:sz w:val="28"/>
        </w:rPr>
        <w:t>红云红河集团曲靖卷烟厂相关方安全、环境管理协议</w:t>
      </w:r>
    </w:p>
    <w:p w14:paraId="2A13EDBA">
      <w:pPr>
        <w:spacing w:line="420" w:lineRule="exact"/>
        <w:ind w:firstLine="480" w:firstLineChars="200"/>
        <w:jc w:val="right"/>
        <w:rPr>
          <w:rFonts w:ascii="宋体" w:hAnsi="宋体" w:cs="宋体"/>
          <w:sz w:val="24"/>
        </w:rPr>
      </w:pPr>
      <w:r>
        <w:rPr>
          <w:rFonts w:hint="eastAsia" w:ascii="宋体" w:hAnsi="宋体" w:cs="宋体"/>
          <w:sz w:val="24"/>
        </w:rPr>
        <w:t>编号：</w:t>
      </w:r>
      <w:r>
        <w:rPr>
          <w:rFonts w:ascii="宋体" w:hAnsi="宋体" w:cs="宋体"/>
          <w:sz w:val="24"/>
        </w:rPr>
        <w:t>AQ.216.006</w:t>
      </w:r>
    </w:p>
    <w:p w14:paraId="5993BEED">
      <w:pPr>
        <w:spacing w:line="400" w:lineRule="exact"/>
        <w:ind w:firstLine="420" w:firstLineChars="200"/>
        <w:jc w:val="both"/>
        <w:rPr>
          <w:rFonts w:ascii="宋体" w:hAnsi="宋体" w:cs="宋体"/>
          <w:sz w:val="21"/>
          <w:szCs w:val="21"/>
        </w:rPr>
      </w:pPr>
      <w:r>
        <w:rPr>
          <w:rFonts w:ascii="宋体" w:hAnsi="宋体" w:cs="宋体"/>
          <w:sz w:val="21"/>
          <w:szCs w:val="21"/>
        </w:rPr>
        <w:t>甲方：</w:t>
      </w:r>
      <w:r>
        <w:rPr>
          <w:rFonts w:hint="eastAsia" w:ascii="宋体" w:hAnsi="宋体" w:cs="宋体"/>
          <w:sz w:val="21"/>
          <w:szCs w:val="21"/>
          <w:u w:val="single"/>
        </w:rPr>
        <w:t xml:space="preserve"> 红云红河烟草（集团）有限责任公司                       </w:t>
      </w:r>
    </w:p>
    <w:p w14:paraId="14107972">
      <w:pPr>
        <w:spacing w:line="400" w:lineRule="exact"/>
        <w:ind w:firstLine="420" w:firstLineChars="200"/>
        <w:jc w:val="both"/>
        <w:rPr>
          <w:rFonts w:ascii="宋体" w:hAnsi="宋体" w:cs="宋体"/>
          <w:sz w:val="21"/>
          <w:szCs w:val="21"/>
          <w:u w:val="single"/>
        </w:rPr>
      </w:pPr>
      <w:r>
        <w:rPr>
          <w:rFonts w:ascii="宋体" w:hAnsi="宋体" w:cs="宋体"/>
          <w:sz w:val="21"/>
          <w:szCs w:val="21"/>
        </w:rPr>
        <w:t>乙方：</w:t>
      </w:r>
      <w:r>
        <w:rPr>
          <w:rFonts w:hint="eastAsia" w:ascii="宋体" w:hAnsi="宋体" w:cs="宋体"/>
          <w:sz w:val="21"/>
          <w:szCs w:val="21"/>
          <w:u w:val="single"/>
        </w:rPr>
        <w:t xml:space="preserve">                                             </w:t>
      </w:r>
      <w:r>
        <w:rPr>
          <w:rFonts w:ascii="宋体" w:hAnsi="宋体" w:cs="宋体"/>
          <w:sz w:val="21"/>
          <w:szCs w:val="21"/>
          <w:u w:val="single"/>
        </w:rPr>
        <w:t xml:space="preserve"> </w:t>
      </w:r>
    </w:p>
    <w:p w14:paraId="570FBABE">
      <w:pPr>
        <w:spacing w:line="400" w:lineRule="exact"/>
        <w:ind w:firstLine="420" w:firstLineChars="200"/>
        <w:jc w:val="both"/>
        <w:rPr>
          <w:rFonts w:ascii="宋体" w:hAnsi="宋体" w:cs="宋体"/>
          <w:sz w:val="21"/>
          <w:szCs w:val="21"/>
          <w:u w:val="single"/>
        </w:rPr>
      </w:pPr>
      <w:r>
        <w:rPr>
          <w:rFonts w:ascii="宋体" w:hAnsi="宋体" w:cs="宋体"/>
          <w:sz w:val="21"/>
          <w:szCs w:val="21"/>
        </w:rPr>
        <w:t>项目名称：</w:t>
      </w:r>
      <w:r>
        <w:rPr>
          <w:rFonts w:hint="eastAsia" w:ascii="宋体" w:hAnsi="宋体" w:cs="宋体"/>
          <w:sz w:val="21"/>
          <w:szCs w:val="21"/>
          <w:u w:val="single"/>
        </w:rPr>
        <w:t xml:space="preserve">                                             </w:t>
      </w:r>
    </w:p>
    <w:p w14:paraId="117BEAEF">
      <w:pPr>
        <w:spacing w:line="400" w:lineRule="exact"/>
        <w:ind w:firstLine="420" w:firstLineChars="200"/>
        <w:jc w:val="both"/>
        <w:rPr>
          <w:rFonts w:ascii="宋体" w:hAnsi="宋体" w:cs="宋体"/>
          <w:sz w:val="21"/>
          <w:szCs w:val="21"/>
        </w:rPr>
      </w:pPr>
      <w:r>
        <w:rPr>
          <w:rFonts w:hint="eastAsia" w:ascii="宋体" w:hAnsi="宋体" w:cs="宋体"/>
          <w:sz w:val="21"/>
          <w:szCs w:val="21"/>
        </w:rPr>
        <w:t>合同编号：</w:t>
      </w:r>
      <w:r>
        <w:rPr>
          <w:rFonts w:hint="eastAsia" w:ascii="宋体" w:hAnsi="宋体" w:cs="宋体"/>
          <w:sz w:val="21"/>
          <w:szCs w:val="21"/>
          <w:u w:val="single"/>
        </w:rPr>
        <w:t xml:space="preserve">                                                    </w:t>
      </w:r>
      <w:r>
        <w:rPr>
          <w:rFonts w:ascii="宋体" w:hAnsi="宋体" w:cs="宋体"/>
          <w:sz w:val="21"/>
          <w:szCs w:val="21"/>
          <w:u w:val="single"/>
        </w:rPr>
        <w:t xml:space="preserve"> </w:t>
      </w:r>
    </w:p>
    <w:p w14:paraId="59F0997B">
      <w:pPr>
        <w:spacing w:line="400" w:lineRule="exact"/>
        <w:ind w:firstLine="480"/>
        <w:jc w:val="both"/>
        <w:rPr>
          <w:rFonts w:ascii="宋体" w:hAnsi="宋体" w:cs="宋体"/>
          <w:sz w:val="21"/>
          <w:szCs w:val="21"/>
        </w:rPr>
      </w:pPr>
    </w:p>
    <w:p w14:paraId="7E3CE889">
      <w:pPr>
        <w:spacing w:line="400" w:lineRule="exact"/>
        <w:ind w:firstLine="480"/>
        <w:jc w:val="both"/>
        <w:rPr>
          <w:rFonts w:ascii="宋体" w:hAnsi="宋体" w:cs="Cambria"/>
          <w:sz w:val="21"/>
          <w:szCs w:val="21"/>
        </w:rPr>
      </w:pPr>
      <w:r>
        <w:rPr>
          <w:rFonts w:ascii="宋体" w:hAnsi="宋体" w:cs="宋体"/>
          <w:sz w:val="21"/>
          <w:szCs w:val="21"/>
        </w:rPr>
        <w:t>为贯彻“安全第一、预防为主、综合治理”的安全生产方针及环境保护法规，使乙方的产品、行为、服务符合甲方安全、环境管理的要求，规范乙方在承接</w:t>
      </w:r>
      <w:r>
        <w:rPr>
          <w:rFonts w:hint="eastAsia" w:ascii="宋体" w:hAnsi="宋体" w:cs="宋体"/>
          <w:sz w:val="21"/>
          <w:szCs w:val="21"/>
        </w:rPr>
        <w:t>甲方建筑施工和拆除、房屋修缮和装修装潢、设备设施安装拆除和维修保养、食堂运行、污水处理运行、绿化保洁、外墙清洗、杀虫作业、危险物品供应和运输、废物处置、物流运输、生产性业务外包、保安服务、消防服务等相关方的</w:t>
      </w:r>
      <w:r>
        <w:rPr>
          <w:rFonts w:ascii="宋体" w:hAnsi="宋体" w:cs="宋体"/>
          <w:sz w:val="21"/>
          <w:szCs w:val="21"/>
        </w:rPr>
        <w:t>安全行为，促使乙方加强安全生产、环境管理，建立、健全安全生产责任制度和切实有效的安全、环境污染防范措施，确保安全生产有序进行。根据《中华人民共和国安全生产法》、</w:t>
      </w:r>
      <w:r>
        <w:rPr>
          <w:rFonts w:hint="eastAsia" w:ascii="宋体" w:hAnsi="宋体" w:cs="宋体"/>
          <w:sz w:val="21"/>
          <w:szCs w:val="21"/>
        </w:rPr>
        <w:t>《中华人民共和国消防法》、</w:t>
      </w:r>
      <w:r>
        <w:rPr>
          <w:rFonts w:ascii="宋体" w:hAnsi="宋体" w:cs="宋体"/>
          <w:sz w:val="21"/>
          <w:szCs w:val="21"/>
        </w:rPr>
        <w:t>《中华人民共和国环境保护法》</w:t>
      </w:r>
      <w:r>
        <w:rPr>
          <w:rFonts w:hint="eastAsia" w:ascii="宋体" w:hAnsi="宋体" w:cs="宋体"/>
          <w:sz w:val="21"/>
          <w:szCs w:val="21"/>
        </w:rPr>
        <w:t>、《中华人民共和国民法典》</w:t>
      </w:r>
      <w:r>
        <w:rPr>
          <w:rFonts w:ascii="宋体" w:hAnsi="宋体" w:cs="宋体"/>
          <w:sz w:val="21"/>
          <w:szCs w:val="21"/>
        </w:rPr>
        <w:t>等有关法律法规及行业、集团、工厂安全、环境管理制度和规定，双方在平等自愿的基础上，经过充分协商达成如下协议并共同遵守：</w:t>
      </w:r>
    </w:p>
    <w:p w14:paraId="01B1BC58">
      <w:pPr>
        <w:spacing w:line="400" w:lineRule="exact"/>
        <w:ind w:firstLine="472"/>
        <w:jc w:val="both"/>
        <w:rPr>
          <w:rFonts w:ascii="宋体" w:hAnsi="宋体" w:cs="Cambria"/>
          <w:b/>
          <w:sz w:val="21"/>
          <w:szCs w:val="21"/>
        </w:rPr>
      </w:pPr>
      <w:r>
        <w:rPr>
          <w:rFonts w:ascii="宋体" w:hAnsi="宋体" w:cs="宋体"/>
          <w:b/>
          <w:sz w:val="21"/>
          <w:szCs w:val="21"/>
        </w:rPr>
        <w:t>一、双方应当遵循的基本原则</w:t>
      </w:r>
    </w:p>
    <w:p w14:paraId="1A933717">
      <w:pPr>
        <w:spacing w:line="400" w:lineRule="exact"/>
        <w:ind w:firstLine="480"/>
        <w:jc w:val="both"/>
        <w:rPr>
          <w:rFonts w:ascii="宋体" w:hAnsi="宋体" w:cs="宋体"/>
          <w:sz w:val="21"/>
          <w:szCs w:val="21"/>
        </w:rPr>
      </w:pPr>
      <w:r>
        <w:rPr>
          <w:rFonts w:ascii="宋体" w:hAnsi="宋体" w:cs="宋体"/>
          <w:sz w:val="21"/>
          <w:szCs w:val="21"/>
        </w:rPr>
        <w:t>1、诚信原则。协议双方工作人员及安全生产监督管理人员应当相互配合，自觉按本协议的约定履行各自的权利、义务。乙方不得拒绝、阻扰甲方安全教育、培训及监督检查工作。</w:t>
      </w:r>
    </w:p>
    <w:p w14:paraId="1CB52CE6">
      <w:pPr>
        <w:spacing w:line="400" w:lineRule="exact"/>
        <w:ind w:firstLine="480"/>
        <w:jc w:val="both"/>
        <w:rPr>
          <w:rFonts w:ascii="宋体" w:hAnsi="宋体" w:cs="宋体"/>
          <w:sz w:val="21"/>
          <w:szCs w:val="21"/>
        </w:rPr>
      </w:pPr>
      <w:r>
        <w:rPr>
          <w:rFonts w:ascii="宋体" w:hAnsi="宋体" w:cs="宋体"/>
          <w:sz w:val="21"/>
          <w:szCs w:val="21"/>
        </w:rPr>
        <w:t>2、安全原则。协议双方应牢固树立“安全第一”的指导思想，建立健全各项安全、环境管理规章制度，制定并落实各项安全、环境防护措施。</w:t>
      </w:r>
    </w:p>
    <w:p w14:paraId="6D883F3B">
      <w:pPr>
        <w:spacing w:line="400" w:lineRule="exact"/>
        <w:ind w:firstLine="480"/>
        <w:jc w:val="both"/>
        <w:rPr>
          <w:rFonts w:ascii="宋体" w:hAnsi="宋体" w:cs="宋体"/>
          <w:sz w:val="21"/>
          <w:szCs w:val="21"/>
        </w:rPr>
      </w:pPr>
      <w:r>
        <w:rPr>
          <w:rFonts w:ascii="宋体" w:hAnsi="宋体" w:cs="宋体"/>
          <w:sz w:val="21"/>
          <w:szCs w:val="21"/>
        </w:rPr>
        <w:t>3、保密原则。协议双方必须严格保守技术秘密和业务秘密。</w:t>
      </w:r>
    </w:p>
    <w:p w14:paraId="1EEEA5CF">
      <w:pPr>
        <w:spacing w:line="400" w:lineRule="exact"/>
        <w:ind w:firstLine="482"/>
        <w:jc w:val="both"/>
        <w:rPr>
          <w:rFonts w:ascii="宋体" w:hAnsi="宋体" w:cs="宋体"/>
          <w:b/>
          <w:sz w:val="21"/>
          <w:szCs w:val="21"/>
        </w:rPr>
      </w:pPr>
      <w:r>
        <w:rPr>
          <w:rFonts w:ascii="宋体" w:hAnsi="宋体" w:cs="宋体"/>
          <w:b/>
          <w:sz w:val="21"/>
          <w:szCs w:val="21"/>
        </w:rPr>
        <w:t>二、甲方</w:t>
      </w:r>
      <w:r>
        <w:rPr>
          <w:rFonts w:hint="eastAsia" w:ascii="宋体" w:hAnsi="宋体" w:cs="宋体"/>
          <w:b/>
          <w:sz w:val="21"/>
          <w:szCs w:val="21"/>
        </w:rPr>
        <w:t>安全</w:t>
      </w:r>
      <w:r>
        <w:rPr>
          <w:rFonts w:ascii="宋体" w:hAnsi="宋体" w:cs="宋体"/>
          <w:b/>
          <w:sz w:val="21"/>
          <w:szCs w:val="21"/>
        </w:rPr>
        <w:t>管理职责</w:t>
      </w:r>
    </w:p>
    <w:p w14:paraId="445BB4EA">
      <w:pPr>
        <w:spacing w:line="400" w:lineRule="exact"/>
        <w:ind w:firstLine="480"/>
        <w:jc w:val="both"/>
        <w:rPr>
          <w:rFonts w:ascii="宋体" w:hAnsi="宋体" w:cs="宋体"/>
          <w:sz w:val="21"/>
          <w:szCs w:val="21"/>
        </w:rPr>
      </w:pPr>
      <w:r>
        <w:rPr>
          <w:rFonts w:hint="eastAsia" w:ascii="宋体" w:hAnsi="宋体" w:cs="宋体"/>
          <w:sz w:val="21"/>
          <w:szCs w:val="21"/>
        </w:rPr>
        <w:t>1、认真执行国家有关安全法律、法规，对乙方进行安全生产、环境保护交底，提供甲方安全生产、环境保护相关管理制度文件，告知乙方进入甲方区域应遵守的规定、可能接触的危险源、重要环境因素和应急处置措施，明确安全生产、环境保护管理要求。</w:t>
      </w:r>
    </w:p>
    <w:p w14:paraId="0D385020">
      <w:pPr>
        <w:spacing w:line="400" w:lineRule="exact"/>
        <w:ind w:firstLine="480"/>
        <w:jc w:val="both"/>
        <w:rPr>
          <w:rFonts w:ascii="宋体" w:hAnsi="宋体" w:cs="宋体"/>
          <w:sz w:val="21"/>
          <w:szCs w:val="21"/>
        </w:rPr>
      </w:pPr>
      <w:r>
        <w:rPr>
          <w:rFonts w:ascii="宋体" w:hAnsi="宋体" w:cs="宋体"/>
          <w:sz w:val="21"/>
          <w:szCs w:val="21"/>
        </w:rPr>
        <w:t>2</w:t>
      </w:r>
      <w:r>
        <w:rPr>
          <w:rFonts w:hint="eastAsia" w:ascii="宋体" w:hAnsi="宋体" w:cs="宋体"/>
          <w:sz w:val="21"/>
          <w:szCs w:val="21"/>
        </w:rPr>
        <w:t>、甲方项目归口管理部门、属地管理部门、安全管理部门监督检查乙方各项安全生产、环境保护工作，纠正、制止乙方的违章违规行为，按照甲方的规章制度对乙方的安全生产、环境保护工作进行考核、处理，违章严重的有权叫停作业。</w:t>
      </w:r>
    </w:p>
    <w:p w14:paraId="44668A4E">
      <w:pPr>
        <w:spacing w:line="400" w:lineRule="exact"/>
        <w:ind w:firstLine="480"/>
        <w:jc w:val="both"/>
        <w:rPr>
          <w:rFonts w:ascii="宋体" w:hAnsi="宋体" w:cs="宋体"/>
          <w:sz w:val="21"/>
          <w:szCs w:val="21"/>
        </w:rPr>
      </w:pPr>
      <w:r>
        <w:rPr>
          <w:rFonts w:ascii="宋体" w:hAnsi="宋体" w:cs="宋体"/>
          <w:sz w:val="21"/>
          <w:szCs w:val="21"/>
        </w:rPr>
        <w:t>3</w:t>
      </w:r>
      <w:r>
        <w:rPr>
          <w:rFonts w:hint="eastAsia" w:ascii="宋体" w:hAnsi="宋体" w:cs="宋体"/>
          <w:sz w:val="21"/>
          <w:szCs w:val="21"/>
        </w:rPr>
        <w:t>、为乙方提供安全、规范的作业现场，确保作业现场内的安全设施齐全、有效，并为动火作业提供必要的消防器材，协助乙方解决在安全生产、环境保护生产中碰到的问题，为乙方办理相关作业的审批手续。</w:t>
      </w:r>
    </w:p>
    <w:p w14:paraId="2CD4B265">
      <w:pPr>
        <w:spacing w:line="400" w:lineRule="exact"/>
        <w:ind w:firstLine="480"/>
        <w:jc w:val="both"/>
        <w:rPr>
          <w:rFonts w:ascii="宋体" w:hAnsi="宋体" w:cs="宋体"/>
          <w:sz w:val="21"/>
          <w:szCs w:val="21"/>
        </w:rPr>
      </w:pPr>
      <w:r>
        <w:rPr>
          <w:rFonts w:hint="eastAsia" w:ascii="宋体" w:hAnsi="宋体" w:cs="宋体"/>
          <w:sz w:val="21"/>
          <w:szCs w:val="21"/>
        </w:rPr>
        <w:t>4、对乙方的资质、资格进行核查，要求乙方制订并提供项目安全组织措施、安全技术与管理措施、方案。</w:t>
      </w:r>
    </w:p>
    <w:p w14:paraId="76CCA148">
      <w:pPr>
        <w:spacing w:line="400" w:lineRule="exact"/>
        <w:ind w:firstLine="480"/>
        <w:jc w:val="both"/>
        <w:rPr>
          <w:rFonts w:ascii="宋体" w:hAnsi="宋体" w:cs="宋体"/>
          <w:sz w:val="21"/>
          <w:szCs w:val="21"/>
        </w:rPr>
      </w:pPr>
      <w:r>
        <w:rPr>
          <w:rFonts w:ascii="宋体" w:hAnsi="宋体" w:cs="宋体"/>
          <w:sz w:val="21"/>
          <w:szCs w:val="21"/>
        </w:rPr>
        <w:t>5</w:t>
      </w:r>
      <w:r>
        <w:rPr>
          <w:rFonts w:hint="eastAsia" w:ascii="宋体" w:hAnsi="宋体" w:cs="宋体"/>
          <w:sz w:val="21"/>
          <w:szCs w:val="21"/>
        </w:rPr>
        <w:t>、签订安全协议前，甲方应组织重点相关方进行风险辨识和评价、确定风险控制措施，形成风险控制清单，并作为安全协议的附件。</w:t>
      </w:r>
    </w:p>
    <w:p w14:paraId="23544A22">
      <w:pPr>
        <w:spacing w:line="400" w:lineRule="exact"/>
        <w:ind w:firstLine="480"/>
        <w:jc w:val="both"/>
        <w:rPr>
          <w:rFonts w:ascii="宋体" w:hAnsi="宋体" w:cs="宋体"/>
          <w:sz w:val="21"/>
          <w:szCs w:val="21"/>
        </w:rPr>
      </w:pPr>
      <w:r>
        <w:rPr>
          <w:rFonts w:ascii="宋体" w:hAnsi="宋体" w:cs="宋体"/>
          <w:sz w:val="21"/>
          <w:szCs w:val="21"/>
        </w:rPr>
        <w:t>6</w:t>
      </w:r>
      <w:r>
        <w:rPr>
          <w:rFonts w:hint="eastAsia" w:ascii="宋体" w:hAnsi="宋体" w:cs="宋体"/>
          <w:sz w:val="21"/>
          <w:szCs w:val="21"/>
        </w:rPr>
        <w:t>、不得将生产经营项目、场所、设备发包或者出租给不具备安全生产条件或者相应资质的单位和个人。</w:t>
      </w:r>
    </w:p>
    <w:p w14:paraId="73ACC14E">
      <w:pPr>
        <w:spacing w:line="400" w:lineRule="exact"/>
        <w:ind w:firstLine="480"/>
        <w:jc w:val="both"/>
        <w:rPr>
          <w:rFonts w:ascii="宋体" w:hAnsi="宋体" w:cs="宋体"/>
          <w:sz w:val="21"/>
          <w:szCs w:val="21"/>
        </w:rPr>
      </w:pPr>
      <w:r>
        <w:rPr>
          <w:rFonts w:ascii="宋体" w:hAnsi="宋体" w:cs="宋体"/>
          <w:sz w:val="21"/>
          <w:szCs w:val="21"/>
        </w:rPr>
        <w:t>7</w:t>
      </w:r>
      <w:r>
        <w:rPr>
          <w:rFonts w:hint="eastAsia" w:ascii="宋体" w:hAnsi="宋体" w:cs="宋体"/>
          <w:sz w:val="21"/>
          <w:szCs w:val="21"/>
        </w:rPr>
        <w:t>、在编制、申报项目预算时，应当确定项目安全作业及环境保护措施所需费用。</w:t>
      </w:r>
    </w:p>
    <w:p w14:paraId="4580CE10">
      <w:pPr>
        <w:spacing w:line="400" w:lineRule="exact"/>
        <w:ind w:firstLine="480"/>
        <w:jc w:val="both"/>
        <w:rPr>
          <w:rFonts w:ascii="宋体" w:hAnsi="宋体" w:cs="宋体"/>
          <w:sz w:val="21"/>
          <w:szCs w:val="21"/>
        </w:rPr>
      </w:pPr>
      <w:r>
        <w:rPr>
          <w:rFonts w:ascii="宋体" w:hAnsi="宋体" w:cs="宋体"/>
          <w:sz w:val="21"/>
          <w:szCs w:val="21"/>
        </w:rPr>
        <w:t>8</w:t>
      </w:r>
      <w:r>
        <w:rPr>
          <w:rFonts w:hint="eastAsia" w:ascii="宋体" w:hAnsi="宋体" w:cs="宋体"/>
          <w:sz w:val="21"/>
          <w:szCs w:val="21"/>
        </w:rPr>
        <w:t>、不得明示或者暗示乙方购买、租赁、使用不符合项目安全要求的安全防护用具、机械设备、施工机具及配件、消防设施和器材。</w:t>
      </w:r>
    </w:p>
    <w:p w14:paraId="796E180C">
      <w:pPr>
        <w:spacing w:line="400" w:lineRule="exact"/>
        <w:ind w:firstLine="480"/>
        <w:jc w:val="both"/>
        <w:rPr>
          <w:rFonts w:ascii="宋体" w:hAnsi="宋体" w:cs="宋体"/>
          <w:sz w:val="21"/>
          <w:szCs w:val="21"/>
        </w:rPr>
      </w:pPr>
      <w:r>
        <w:rPr>
          <w:rFonts w:ascii="宋体" w:hAnsi="宋体" w:cs="宋体"/>
          <w:sz w:val="21"/>
          <w:szCs w:val="21"/>
        </w:rPr>
        <w:t>9</w:t>
      </w:r>
      <w:r>
        <w:rPr>
          <w:rFonts w:hint="eastAsia" w:ascii="宋体" w:hAnsi="宋体" w:cs="宋体"/>
          <w:sz w:val="21"/>
          <w:szCs w:val="21"/>
        </w:rPr>
        <w:t>、项目实施过程中发生涉及甲方人身伤害、财产损失、环境污染的事故或社会影响较大的事件，由甲方按照项目主合同、本协议及甲方相关规定进行调查、责任划分，并向乙方提出赔偿要求。</w:t>
      </w:r>
    </w:p>
    <w:p w14:paraId="0F9D7534">
      <w:pPr>
        <w:spacing w:line="400" w:lineRule="exact"/>
        <w:ind w:firstLine="480"/>
        <w:jc w:val="both"/>
        <w:rPr>
          <w:rFonts w:ascii="宋体" w:hAnsi="宋体" w:cs="宋体"/>
          <w:sz w:val="21"/>
          <w:szCs w:val="21"/>
        </w:rPr>
      </w:pPr>
      <w:r>
        <w:rPr>
          <w:rFonts w:ascii="宋体" w:hAnsi="宋体" w:cs="宋体"/>
          <w:sz w:val="21"/>
          <w:szCs w:val="21"/>
        </w:rPr>
        <w:t>10</w:t>
      </w:r>
      <w:r>
        <w:rPr>
          <w:rFonts w:hint="eastAsia" w:ascii="宋体" w:hAnsi="宋体" w:cs="宋体"/>
          <w:sz w:val="21"/>
          <w:szCs w:val="21"/>
        </w:rPr>
        <w:t>、</w:t>
      </w:r>
      <w:r>
        <w:rPr>
          <w:rFonts w:ascii="宋体" w:hAnsi="宋体" w:cs="宋体"/>
          <w:sz w:val="21"/>
          <w:szCs w:val="21"/>
        </w:rPr>
        <w:t>乙方在施工、维修保养及设备安装调试等作业过程中，甲方应当进行安全监督检查，并做书面记录，同时将检查情况向乙方通报。</w:t>
      </w:r>
    </w:p>
    <w:p w14:paraId="26A614A6">
      <w:pPr>
        <w:spacing w:line="400" w:lineRule="exact"/>
        <w:ind w:firstLine="480"/>
        <w:jc w:val="both"/>
        <w:rPr>
          <w:rFonts w:ascii="宋体" w:hAnsi="宋体" w:cs="宋体"/>
          <w:sz w:val="21"/>
          <w:szCs w:val="21"/>
        </w:rPr>
      </w:pPr>
      <w:r>
        <w:rPr>
          <w:rFonts w:ascii="宋体" w:hAnsi="宋体" w:cs="宋体"/>
          <w:sz w:val="21"/>
          <w:szCs w:val="21"/>
        </w:rPr>
        <w:t>11</w:t>
      </w:r>
      <w:r>
        <w:rPr>
          <w:rFonts w:hint="eastAsia" w:ascii="宋体" w:hAnsi="宋体" w:cs="宋体"/>
          <w:sz w:val="21"/>
          <w:szCs w:val="21"/>
        </w:rPr>
        <w:t>、甲方提供原辅材料指定堆放地点，并对原辅材料安全、规范进行监督管理。</w:t>
      </w:r>
    </w:p>
    <w:p w14:paraId="4C72E617">
      <w:pPr>
        <w:spacing w:line="400" w:lineRule="exact"/>
        <w:ind w:firstLine="472"/>
        <w:jc w:val="both"/>
        <w:rPr>
          <w:rFonts w:ascii="宋体" w:hAnsi="宋体" w:cs="宋体"/>
          <w:b/>
          <w:sz w:val="21"/>
          <w:szCs w:val="21"/>
        </w:rPr>
      </w:pPr>
      <w:r>
        <w:rPr>
          <w:rFonts w:ascii="宋体" w:hAnsi="宋体" w:cs="宋体"/>
          <w:b/>
          <w:sz w:val="21"/>
          <w:szCs w:val="21"/>
        </w:rPr>
        <w:t>三、乙方</w:t>
      </w:r>
      <w:r>
        <w:rPr>
          <w:rFonts w:hint="eastAsia" w:ascii="宋体" w:hAnsi="宋体" w:cs="宋体"/>
          <w:b/>
          <w:sz w:val="21"/>
          <w:szCs w:val="21"/>
        </w:rPr>
        <w:t>安全</w:t>
      </w:r>
      <w:r>
        <w:rPr>
          <w:rFonts w:ascii="宋体" w:hAnsi="宋体" w:cs="宋体"/>
          <w:b/>
          <w:sz w:val="21"/>
          <w:szCs w:val="21"/>
        </w:rPr>
        <w:t>管理职责</w:t>
      </w:r>
    </w:p>
    <w:p w14:paraId="6EF1ECA0">
      <w:pPr>
        <w:spacing w:line="400" w:lineRule="exact"/>
        <w:ind w:firstLine="480"/>
        <w:jc w:val="both"/>
        <w:rPr>
          <w:rFonts w:ascii="宋体" w:hAnsi="宋体" w:cs="宋体"/>
          <w:sz w:val="21"/>
          <w:szCs w:val="21"/>
        </w:rPr>
      </w:pPr>
      <w:r>
        <w:rPr>
          <w:rFonts w:hint="eastAsia" w:ascii="宋体" w:hAnsi="宋体" w:cs="宋体"/>
          <w:sz w:val="21"/>
          <w:szCs w:val="21"/>
        </w:rPr>
        <w:t>1、外来施工、作业方是承包工程、劳务（业务）作业项目的安全、环境保护主体责任方，对所承包业务安全、环境保护负主体责任，对施工、作业现场安全管理、环境保护负责。须认真执行国家有关安全法律、法规，并具备有效的、符合要求的营业执照、安全生产许可证及国家认可的项目实施资质、资格。</w:t>
      </w:r>
    </w:p>
    <w:p w14:paraId="520FA205">
      <w:pPr>
        <w:spacing w:line="400" w:lineRule="exact"/>
        <w:ind w:firstLine="420" w:firstLineChars="200"/>
        <w:jc w:val="both"/>
        <w:rPr>
          <w:rFonts w:ascii="宋体" w:hAnsi="宋体" w:cs="宋体"/>
          <w:sz w:val="21"/>
          <w:szCs w:val="21"/>
        </w:rPr>
      </w:pPr>
      <w:r>
        <w:rPr>
          <w:rFonts w:ascii="宋体" w:hAnsi="宋体" w:cs="宋体"/>
          <w:sz w:val="21"/>
          <w:szCs w:val="21"/>
        </w:rPr>
        <w:t>2</w:t>
      </w:r>
      <w:r>
        <w:rPr>
          <w:rFonts w:hint="eastAsia" w:ascii="宋体" w:hAnsi="宋体" w:cs="宋体"/>
          <w:sz w:val="21"/>
          <w:szCs w:val="21"/>
        </w:rPr>
        <w:t>、在项目实施前，应将甲方交底内容和要求，通过培训或告知等方式使其进入甲方区域的员工知晓，加强管理，遵守双方约定，遵守甲方管理规定；应对从业人员进行安全生产、环境保护教育和培训，保证从业人员具备必要的安全生产、环境保护知识和安全操作能力。乙方发生人员变动时，需将变动情况报送至甲方，并对变动人员开展安全培训和环境保护教育。</w:t>
      </w:r>
    </w:p>
    <w:p w14:paraId="3CC7893C">
      <w:pPr>
        <w:spacing w:line="400" w:lineRule="exact"/>
        <w:ind w:firstLine="480"/>
        <w:jc w:val="both"/>
        <w:rPr>
          <w:rFonts w:ascii="宋体" w:hAnsi="宋体" w:cs="宋体"/>
          <w:sz w:val="21"/>
          <w:szCs w:val="21"/>
        </w:rPr>
      </w:pPr>
      <w:r>
        <w:rPr>
          <w:rFonts w:hint="eastAsia" w:ascii="宋体" w:hAnsi="宋体" w:cs="宋体"/>
          <w:sz w:val="21"/>
          <w:szCs w:val="21"/>
        </w:rPr>
        <w:t>3、乙方设置安全管理机构或安全管理人员，负责对作业现场进行监督检查。发现安全环境事故隐患，应当及时向项目负责人和甲方安全管理部门报告；对违章指挥、违章操作的，应当立即制止。</w:t>
      </w:r>
    </w:p>
    <w:p w14:paraId="4DE8A075">
      <w:pPr>
        <w:spacing w:line="400" w:lineRule="exact"/>
        <w:ind w:firstLine="480"/>
        <w:jc w:val="both"/>
        <w:rPr>
          <w:rFonts w:ascii="宋体" w:hAnsi="宋体" w:cs="宋体"/>
          <w:sz w:val="21"/>
          <w:szCs w:val="21"/>
        </w:rPr>
      </w:pPr>
      <w:r>
        <w:rPr>
          <w:rFonts w:ascii="宋体" w:hAnsi="宋体" w:cs="宋体"/>
          <w:sz w:val="21"/>
          <w:szCs w:val="21"/>
        </w:rPr>
        <w:t>4</w:t>
      </w:r>
      <w:r>
        <w:rPr>
          <w:rFonts w:hint="eastAsia" w:ascii="宋体" w:hAnsi="宋体" w:cs="宋体"/>
          <w:sz w:val="21"/>
          <w:szCs w:val="21"/>
        </w:rPr>
        <w:t>、应合法用工，所有参与项目实施人员要求身体健康，无不适应项目实施的疾病；生产性业务外包方须开展职业健康监护体检，应当为高风险作业人员办理意外伤害保险，意外伤害保险费由乙方支付。</w:t>
      </w:r>
    </w:p>
    <w:p w14:paraId="7060844A">
      <w:pPr>
        <w:spacing w:line="400" w:lineRule="exact"/>
        <w:ind w:firstLine="480"/>
        <w:jc w:val="both"/>
        <w:rPr>
          <w:rFonts w:ascii="宋体" w:hAnsi="宋体" w:cs="宋体"/>
          <w:sz w:val="21"/>
          <w:szCs w:val="21"/>
        </w:rPr>
      </w:pPr>
      <w:r>
        <w:rPr>
          <w:rFonts w:ascii="宋体" w:hAnsi="宋体" w:cs="宋体"/>
          <w:sz w:val="21"/>
          <w:szCs w:val="21"/>
        </w:rPr>
        <w:t>5</w:t>
      </w:r>
      <w:r>
        <w:rPr>
          <w:rFonts w:hint="eastAsia" w:ascii="宋体" w:hAnsi="宋体" w:cs="宋体"/>
          <w:sz w:val="21"/>
          <w:szCs w:val="21"/>
        </w:rPr>
        <w:t>、应为从业人员提供符合国家标准或行业标准的劳动防护用品，并教育、监督从业人员按照使用规范使用，书面告知危险岗位的操作规程和违章操作的危害。</w:t>
      </w:r>
    </w:p>
    <w:p w14:paraId="41BFF847">
      <w:pPr>
        <w:spacing w:line="400" w:lineRule="exact"/>
        <w:ind w:firstLine="480"/>
        <w:jc w:val="both"/>
        <w:rPr>
          <w:rFonts w:ascii="宋体" w:hAnsi="宋体" w:cs="宋体"/>
          <w:sz w:val="21"/>
          <w:szCs w:val="21"/>
        </w:rPr>
      </w:pPr>
      <w:r>
        <w:rPr>
          <w:rFonts w:ascii="宋体" w:hAnsi="宋体" w:cs="宋体"/>
          <w:sz w:val="21"/>
          <w:szCs w:val="21"/>
        </w:rPr>
        <w:t>6</w:t>
      </w:r>
      <w:r>
        <w:rPr>
          <w:rFonts w:hint="eastAsia" w:ascii="宋体" w:hAnsi="宋体" w:cs="宋体"/>
          <w:sz w:val="21"/>
          <w:szCs w:val="21"/>
        </w:rPr>
        <w:t>、在项目开工前，应按甲方规定办理相关审批手续，严格执行甲方动火、用电、高处作业、有限空间作业、吊装作业、熏蒸杀虫、建筑物和能量介质拆除等高风险作业的管理要求。</w:t>
      </w:r>
    </w:p>
    <w:p w14:paraId="7CA49D1F">
      <w:pPr>
        <w:spacing w:line="400" w:lineRule="exact"/>
        <w:ind w:firstLine="480"/>
        <w:jc w:val="both"/>
        <w:rPr>
          <w:rFonts w:ascii="宋体" w:hAnsi="宋体" w:cs="宋体"/>
          <w:sz w:val="21"/>
          <w:szCs w:val="21"/>
        </w:rPr>
      </w:pPr>
      <w:r>
        <w:rPr>
          <w:rFonts w:ascii="宋体" w:hAnsi="宋体" w:cs="宋体"/>
          <w:sz w:val="21"/>
          <w:szCs w:val="21"/>
        </w:rPr>
        <w:t>7</w:t>
      </w:r>
      <w:r>
        <w:rPr>
          <w:rFonts w:hint="eastAsia" w:ascii="宋体" w:hAnsi="宋体" w:cs="宋体"/>
          <w:sz w:val="21"/>
          <w:szCs w:val="21"/>
        </w:rPr>
        <w:t>、在实施基建技改施工、设备安装维修保养、废弃物与污水处理、危险物品运输、废物处置、烟草杀虫、消防重点区域内动火等项目，须制订并执行项目安全组织、安全技术与管理措施、方案。</w:t>
      </w:r>
    </w:p>
    <w:p w14:paraId="522CAC97">
      <w:pPr>
        <w:spacing w:line="400" w:lineRule="exact"/>
        <w:ind w:firstLine="480"/>
        <w:jc w:val="both"/>
        <w:rPr>
          <w:rFonts w:ascii="宋体" w:hAnsi="宋体" w:cs="宋体"/>
          <w:sz w:val="21"/>
          <w:szCs w:val="21"/>
        </w:rPr>
      </w:pPr>
      <w:r>
        <w:rPr>
          <w:rFonts w:ascii="宋体" w:hAnsi="宋体" w:cs="宋体"/>
          <w:sz w:val="21"/>
          <w:szCs w:val="21"/>
        </w:rPr>
        <w:t>8</w:t>
      </w:r>
      <w:r>
        <w:rPr>
          <w:rFonts w:hint="eastAsia" w:ascii="宋体" w:hAnsi="宋体" w:cs="宋体"/>
          <w:sz w:val="21"/>
          <w:szCs w:val="21"/>
        </w:rPr>
        <w:t>、属重点相关方的项目，与甲方共同进行项目风险辨识和评价、确定风险控制措施，形成《相关方风险控制清单》，并严格执行风险控制措施。</w:t>
      </w:r>
    </w:p>
    <w:p w14:paraId="16E6004A">
      <w:pPr>
        <w:spacing w:line="400" w:lineRule="exact"/>
        <w:ind w:firstLine="480"/>
        <w:jc w:val="both"/>
        <w:rPr>
          <w:rFonts w:ascii="宋体" w:hAnsi="宋体" w:cs="宋体"/>
          <w:sz w:val="21"/>
          <w:szCs w:val="21"/>
        </w:rPr>
      </w:pPr>
      <w:r>
        <w:rPr>
          <w:rFonts w:ascii="宋体" w:hAnsi="宋体" w:cs="宋体"/>
          <w:sz w:val="21"/>
          <w:szCs w:val="21"/>
        </w:rPr>
        <w:t>9</w:t>
      </w:r>
      <w:r>
        <w:rPr>
          <w:rFonts w:hint="eastAsia" w:ascii="宋体" w:hAnsi="宋体" w:cs="宋体"/>
          <w:sz w:val="21"/>
          <w:szCs w:val="21"/>
        </w:rPr>
        <w:t>、乙方对列入建设工程概算的安全作业环境及安全施工措施所需费用，应当用于施工安全防护用具及设施的采购和更新、安全施工措施的落实、安全生产条件的改善，不得挪作他用。</w:t>
      </w:r>
    </w:p>
    <w:p w14:paraId="10A5CBC9">
      <w:pPr>
        <w:spacing w:line="400" w:lineRule="exact"/>
        <w:ind w:firstLine="480"/>
        <w:jc w:val="both"/>
        <w:rPr>
          <w:rFonts w:ascii="宋体" w:hAnsi="宋体" w:cs="宋体"/>
          <w:sz w:val="21"/>
          <w:szCs w:val="21"/>
        </w:rPr>
      </w:pPr>
      <w:r>
        <w:rPr>
          <w:rFonts w:ascii="宋体" w:hAnsi="宋体" w:cs="宋体"/>
          <w:sz w:val="21"/>
          <w:szCs w:val="21"/>
        </w:rPr>
        <w:t>10</w:t>
      </w:r>
      <w:r>
        <w:rPr>
          <w:rFonts w:hint="eastAsia" w:ascii="宋体" w:hAnsi="宋体" w:cs="宋体"/>
          <w:sz w:val="21"/>
          <w:szCs w:val="21"/>
        </w:rPr>
        <w:t>、乙方实施项目所用物资、设备的安全、环保性能，必须符合国家的有关规定，作业现场需配备满足安全防护、隔离需求的设施、器材、警示牌等，并负责作业现场的环境、安全管理。</w:t>
      </w:r>
    </w:p>
    <w:p w14:paraId="43879AA3">
      <w:pPr>
        <w:spacing w:line="400" w:lineRule="exact"/>
        <w:ind w:firstLine="480"/>
        <w:jc w:val="both"/>
        <w:rPr>
          <w:rFonts w:ascii="宋体" w:hAnsi="宋体" w:cs="宋体"/>
          <w:sz w:val="21"/>
          <w:szCs w:val="21"/>
        </w:rPr>
      </w:pPr>
      <w:r>
        <w:rPr>
          <w:rFonts w:ascii="宋体" w:hAnsi="宋体" w:cs="宋体"/>
          <w:sz w:val="21"/>
          <w:szCs w:val="21"/>
        </w:rPr>
        <w:t>11</w:t>
      </w:r>
      <w:r>
        <w:rPr>
          <w:rFonts w:hint="eastAsia" w:ascii="宋体" w:hAnsi="宋体" w:cs="宋体"/>
          <w:sz w:val="21"/>
          <w:szCs w:val="21"/>
        </w:rPr>
        <w:t>、特殊工种持证率100%，特种作业人员必须持证有效，特种作业人员操作证由甲方安全职能部门审查留存复印件备案，非特殊工种人员严禁从事特殊工种作业。</w:t>
      </w:r>
    </w:p>
    <w:p w14:paraId="44443708">
      <w:pPr>
        <w:spacing w:line="400" w:lineRule="exact"/>
        <w:ind w:firstLine="480"/>
        <w:jc w:val="both"/>
        <w:rPr>
          <w:rFonts w:ascii="宋体" w:hAnsi="宋体" w:cs="宋体"/>
          <w:sz w:val="21"/>
          <w:szCs w:val="21"/>
        </w:rPr>
      </w:pPr>
      <w:r>
        <w:rPr>
          <w:rFonts w:ascii="宋体" w:hAnsi="宋体" w:cs="宋体"/>
          <w:sz w:val="21"/>
          <w:szCs w:val="21"/>
        </w:rPr>
        <w:t>12</w:t>
      </w:r>
      <w:r>
        <w:rPr>
          <w:rFonts w:hint="eastAsia" w:ascii="宋体" w:hAnsi="宋体" w:cs="宋体"/>
          <w:sz w:val="21"/>
          <w:szCs w:val="21"/>
        </w:rPr>
        <w:t>、在甲方进行各项工作期间，必须统一组织，严格内部管理，严格遵守甲方安全生产、环境保护管理方面的规定和制度，服从甲方的监督、检查。</w:t>
      </w:r>
    </w:p>
    <w:p w14:paraId="08000341">
      <w:pPr>
        <w:spacing w:line="400" w:lineRule="exact"/>
        <w:ind w:firstLine="480"/>
        <w:jc w:val="both"/>
        <w:rPr>
          <w:rFonts w:ascii="宋体" w:hAnsi="宋体" w:cs="宋体"/>
          <w:sz w:val="21"/>
          <w:szCs w:val="21"/>
        </w:rPr>
      </w:pPr>
      <w:r>
        <w:rPr>
          <w:rFonts w:ascii="宋体" w:hAnsi="宋体" w:cs="宋体"/>
          <w:sz w:val="21"/>
          <w:szCs w:val="21"/>
        </w:rPr>
        <w:t>13</w:t>
      </w:r>
      <w:r>
        <w:rPr>
          <w:rFonts w:hint="eastAsia" w:ascii="宋体" w:hAnsi="宋体" w:cs="宋体"/>
          <w:sz w:val="21"/>
          <w:szCs w:val="21"/>
        </w:rPr>
        <w:t>、须采取有效措施，防范粉尘、废气、废水、噪声、废弃物对环境的污染。对危险化学品使用及危险化学废物处置，须制定并执行有效的管理措施、方案；对其它废弃物须分类收集，及时清除。</w:t>
      </w:r>
    </w:p>
    <w:p w14:paraId="038983D2">
      <w:pPr>
        <w:spacing w:line="400" w:lineRule="exact"/>
        <w:ind w:firstLine="480"/>
        <w:jc w:val="both"/>
        <w:rPr>
          <w:rFonts w:ascii="宋体" w:hAnsi="宋体" w:cs="宋体"/>
          <w:sz w:val="21"/>
          <w:szCs w:val="21"/>
        </w:rPr>
      </w:pPr>
      <w:r>
        <w:rPr>
          <w:rFonts w:ascii="宋体" w:hAnsi="宋体" w:cs="宋体"/>
          <w:sz w:val="21"/>
          <w:szCs w:val="21"/>
        </w:rPr>
        <w:t>14</w:t>
      </w:r>
      <w:r>
        <w:rPr>
          <w:rFonts w:hint="eastAsia" w:ascii="宋体" w:hAnsi="宋体" w:cs="宋体"/>
          <w:sz w:val="21"/>
          <w:szCs w:val="21"/>
        </w:rPr>
        <w:t>、必须教育所属职工熟知火灾事故、人身伤害事故、环境污染事故和其它紧急事件的处理步骤，出现突发事故，及时处置，并向甲方安全职能部门报告。</w:t>
      </w:r>
    </w:p>
    <w:p w14:paraId="4D92D366">
      <w:pPr>
        <w:spacing w:line="400" w:lineRule="exact"/>
        <w:ind w:firstLine="480"/>
        <w:jc w:val="both"/>
        <w:rPr>
          <w:rFonts w:ascii="宋体" w:hAnsi="宋体" w:cs="宋体"/>
          <w:sz w:val="21"/>
          <w:szCs w:val="21"/>
        </w:rPr>
      </w:pPr>
      <w:r>
        <w:rPr>
          <w:rFonts w:ascii="宋体" w:hAnsi="宋体" w:cs="宋体"/>
          <w:sz w:val="21"/>
          <w:szCs w:val="21"/>
        </w:rPr>
        <w:t>15</w:t>
      </w:r>
      <w:r>
        <w:rPr>
          <w:rFonts w:hint="eastAsia" w:ascii="宋体" w:hAnsi="宋体" w:cs="宋体"/>
          <w:sz w:val="21"/>
          <w:szCs w:val="21"/>
        </w:rPr>
        <w:t>、原辅材料堆放符合甲方安全管理要求，设置标识，项目结束后，及时清理剩余原辅材料，废弃物合规处置。</w:t>
      </w:r>
    </w:p>
    <w:p w14:paraId="14C4CE2B">
      <w:pPr>
        <w:spacing w:line="400" w:lineRule="exact"/>
        <w:ind w:firstLine="480"/>
        <w:jc w:val="both"/>
        <w:rPr>
          <w:rFonts w:ascii="宋体" w:hAnsi="宋体" w:cs="宋体"/>
          <w:sz w:val="21"/>
          <w:szCs w:val="21"/>
        </w:rPr>
      </w:pPr>
      <w:r>
        <w:rPr>
          <w:rFonts w:ascii="宋体" w:hAnsi="宋体" w:cs="宋体"/>
          <w:sz w:val="21"/>
          <w:szCs w:val="21"/>
        </w:rPr>
        <w:t>16</w:t>
      </w:r>
      <w:r>
        <w:rPr>
          <w:rFonts w:hint="eastAsia" w:ascii="宋体" w:hAnsi="宋体" w:cs="宋体"/>
          <w:sz w:val="21"/>
          <w:szCs w:val="21"/>
        </w:rPr>
        <w:t>、</w:t>
      </w:r>
      <w:r>
        <w:rPr>
          <w:rFonts w:ascii="宋体" w:hAnsi="宋体" w:cs="宋体"/>
          <w:sz w:val="21"/>
          <w:szCs w:val="21"/>
        </w:rPr>
        <w:t>危大工程</w:t>
      </w:r>
      <w:r>
        <w:rPr>
          <w:rFonts w:hint="eastAsia" w:ascii="宋体" w:hAnsi="宋体" w:cs="宋体"/>
          <w:sz w:val="21"/>
          <w:szCs w:val="21"/>
        </w:rPr>
        <w:t>分部分项工程须编制专项施工方案，并附具安全验算结果，经施工单位技术负责人、总监理工程师签字后实施，由专职安全生产管理人员进行现场监督。</w:t>
      </w:r>
    </w:p>
    <w:p w14:paraId="5D26007D">
      <w:pPr>
        <w:spacing w:line="400" w:lineRule="exact"/>
        <w:ind w:firstLine="480"/>
        <w:jc w:val="both"/>
        <w:rPr>
          <w:rFonts w:ascii="宋体" w:hAnsi="宋体" w:cs="宋体"/>
          <w:sz w:val="21"/>
          <w:szCs w:val="21"/>
        </w:rPr>
      </w:pPr>
      <w:r>
        <w:rPr>
          <w:rFonts w:ascii="宋体" w:hAnsi="宋体" w:cs="宋体"/>
          <w:sz w:val="21"/>
          <w:szCs w:val="21"/>
        </w:rPr>
        <w:t>17</w:t>
      </w:r>
      <w:r>
        <w:rPr>
          <w:rFonts w:hint="eastAsia" w:ascii="宋体" w:hAnsi="宋体" w:cs="宋体"/>
          <w:sz w:val="21"/>
          <w:szCs w:val="21"/>
        </w:rPr>
        <w:t>、乙方须及时执行甲方对乙方违规行为的处理决定，未及时执行的，甲方可从项目履约保证金或项目款中扣除相应金额。</w:t>
      </w:r>
    </w:p>
    <w:p w14:paraId="15EDB672">
      <w:pPr>
        <w:spacing w:line="400" w:lineRule="exact"/>
        <w:ind w:firstLine="480"/>
        <w:jc w:val="both"/>
        <w:rPr>
          <w:rFonts w:ascii="宋体" w:hAnsi="宋体" w:cs="宋体"/>
          <w:sz w:val="21"/>
          <w:szCs w:val="21"/>
        </w:rPr>
      </w:pPr>
      <w:r>
        <w:rPr>
          <w:rFonts w:ascii="宋体" w:hAnsi="宋体" w:cs="宋体"/>
          <w:sz w:val="21"/>
          <w:szCs w:val="21"/>
        </w:rPr>
        <w:t>18</w:t>
      </w:r>
      <w:r>
        <w:rPr>
          <w:rFonts w:hint="eastAsia" w:ascii="宋体" w:hAnsi="宋体" w:cs="宋体"/>
          <w:sz w:val="21"/>
          <w:szCs w:val="21"/>
        </w:rPr>
        <w:t>、乙方各类人员伤害事故、环境污染等事故，由乙方负责调查、处理和统计上报，并报甲方安全管理科与环境能源科备案。必要时，甲方直接参与事故的调查与处理，并审查调查报告。</w:t>
      </w:r>
    </w:p>
    <w:p w14:paraId="5B7CF0A1">
      <w:pPr>
        <w:spacing w:line="400" w:lineRule="exact"/>
        <w:ind w:firstLine="480"/>
        <w:jc w:val="both"/>
        <w:rPr>
          <w:rFonts w:ascii="宋体" w:hAnsi="宋体" w:cs="宋体"/>
          <w:sz w:val="21"/>
          <w:szCs w:val="21"/>
        </w:rPr>
      </w:pPr>
      <w:r>
        <w:rPr>
          <w:rFonts w:ascii="宋体" w:hAnsi="宋体" w:cs="宋体"/>
          <w:sz w:val="21"/>
          <w:szCs w:val="21"/>
        </w:rPr>
        <w:t>19</w:t>
      </w:r>
      <w:r>
        <w:rPr>
          <w:rFonts w:hint="eastAsia" w:ascii="宋体" w:hAnsi="宋体" w:cs="宋体"/>
          <w:sz w:val="21"/>
          <w:szCs w:val="21"/>
        </w:rPr>
        <w:t>、甲方相关部门人员在履行职责时，如果向乙方索要财物、故意刁难乙方、乱扣款处理乙方等，乙方可向甲方纪检监察科举报，一经查实，甲方严肃处理有关责任人。</w:t>
      </w:r>
    </w:p>
    <w:p w14:paraId="632839B0">
      <w:pPr>
        <w:spacing w:line="400" w:lineRule="exact"/>
        <w:ind w:firstLine="480"/>
        <w:jc w:val="both"/>
        <w:rPr>
          <w:rFonts w:ascii="宋体" w:hAnsi="宋体" w:cs="宋体"/>
          <w:b/>
          <w:sz w:val="21"/>
          <w:szCs w:val="21"/>
        </w:rPr>
      </w:pPr>
      <w:r>
        <w:rPr>
          <w:rFonts w:hint="eastAsia" w:ascii="宋体" w:hAnsi="宋体" w:cs="宋体"/>
          <w:b/>
          <w:sz w:val="21"/>
          <w:szCs w:val="21"/>
        </w:rPr>
        <w:t>四、违约责任</w:t>
      </w:r>
    </w:p>
    <w:p w14:paraId="1939EFAE">
      <w:pPr>
        <w:spacing w:line="400" w:lineRule="exact"/>
        <w:ind w:firstLine="480"/>
        <w:jc w:val="both"/>
        <w:rPr>
          <w:rFonts w:ascii="宋体" w:hAnsi="宋体" w:cs="宋体"/>
          <w:sz w:val="21"/>
          <w:szCs w:val="21"/>
        </w:rPr>
      </w:pPr>
      <w:r>
        <w:rPr>
          <w:rFonts w:hint="eastAsia" w:ascii="宋体" w:hAnsi="宋体" w:cs="宋体"/>
          <w:sz w:val="21"/>
          <w:szCs w:val="21"/>
        </w:rPr>
        <w:t>1、甲方工作人员有违章指挥、强令冒险作业的行为，乙方有权制止违章行为，并拒绝执行，可对甲方进行举报。</w:t>
      </w:r>
      <w:r>
        <w:rPr>
          <w:rFonts w:ascii="宋体" w:hAnsi="宋体" w:cs="宋体"/>
          <w:sz w:val="21"/>
          <w:szCs w:val="21"/>
        </w:rPr>
        <w:t xml:space="preserve"> </w:t>
      </w:r>
    </w:p>
    <w:p w14:paraId="5EAC9869">
      <w:pPr>
        <w:spacing w:line="400" w:lineRule="exact"/>
        <w:ind w:firstLine="480"/>
        <w:jc w:val="both"/>
        <w:rPr>
          <w:rFonts w:ascii="宋体" w:hAnsi="宋体" w:cs="宋体"/>
          <w:sz w:val="21"/>
          <w:szCs w:val="21"/>
        </w:rPr>
      </w:pPr>
      <w:r>
        <w:rPr>
          <w:rFonts w:hint="eastAsia" w:ascii="宋体" w:hAnsi="宋体" w:cs="宋体"/>
          <w:sz w:val="21"/>
          <w:szCs w:val="21"/>
        </w:rPr>
        <w:t>2、乙方在项目实施过程中，应按有关规定及本协议的要求，采取严格的安全防护措施，承担由于自身措施不利造成的安全事故责任和由此产生的费用。</w:t>
      </w:r>
    </w:p>
    <w:p w14:paraId="1E5FE8CF">
      <w:pPr>
        <w:spacing w:line="400" w:lineRule="exact"/>
        <w:ind w:firstLine="480"/>
        <w:jc w:val="both"/>
        <w:rPr>
          <w:rFonts w:ascii="宋体" w:hAnsi="宋体" w:cs="宋体"/>
          <w:sz w:val="21"/>
          <w:szCs w:val="21"/>
        </w:rPr>
      </w:pPr>
      <w:r>
        <w:rPr>
          <w:rFonts w:ascii="宋体" w:hAnsi="宋体" w:cs="宋体"/>
          <w:sz w:val="21"/>
          <w:szCs w:val="21"/>
        </w:rPr>
        <w:t>3</w:t>
      </w:r>
      <w:r>
        <w:rPr>
          <w:rFonts w:hint="eastAsia" w:ascii="宋体" w:hAnsi="宋体" w:cs="宋体"/>
          <w:sz w:val="21"/>
          <w:szCs w:val="21"/>
        </w:rPr>
        <w:t>、乙方在项目实施过程中对可能造成严重污染或已经造成重大环境污染及受到周围居民投诉的行为整改不符或拒绝整改，将承担由此带来的相关责任和损失。</w:t>
      </w:r>
    </w:p>
    <w:p w14:paraId="60731FEB">
      <w:pPr>
        <w:spacing w:line="400" w:lineRule="exact"/>
        <w:ind w:firstLine="480"/>
        <w:jc w:val="both"/>
        <w:rPr>
          <w:rFonts w:ascii="宋体" w:hAnsi="宋体" w:cs="宋体"/>
          <w:sz w:val="21"/>
          <w:szCs w:val="21"/>
        </w:rPr>
      </w:pPr>
      <w:r>
        <w:rPr>
          <w:rFonts w:ascii="宋体" w:hAnsi="宋体" w:cs="宋体"/>
          <w:sz w:val="21"/>
          <w:szCs w:val="21"/>
        </w:rPr>
        <w:t>4</w:t>
      </w:r>
      <w:r>
        <w:rPr>
          <w:rFonts w:hint="eastAsia" w:ascii="宋体" w:hAnsi="宋体" w:cs="宋体"/>
          <w:sz w:val="21"/>
          <w:szCs w:val="21"/>
        </w:rPr>
        <w:t>、因乙方违章导致甲方的安全罚款，一律由乙方承担，在此基础上，甲方还将追究乙方一定数额的经济赔偿，情节严重的要予以停工整顿处理，经安全职能部门验收合格后方可继续实施项目，对于安全失控，有章不循、不听劝阻、不服从管理的，甲方有权予以停工直至清退出现场,并终止合同履行。</w:t>
      </w:r>
    </w:p>
    <w:p w14:paraId="3B9C6897">
      <w:pPr>
        <w:spacing w:line="400" w:lineRule="exact"/>
        <w:ind w:firstLine="472"/>
        <w:jc w:val="both"/>
        <w:rPr>
          <w:rFonts w:ascii="宋体" w:hAnsi="宋体" w:cs="宋体"/>
          <w:b/>
          <w:sz w:val="21"/>
          <w:szCs w:val="21"/>
        </w:rPr>
      </w:pPr>
      <w:r>
        <w:rPr>
          <w:rFonts w:hint="eastAsia" w:ascii="宋体" w:hAnsi="宋体" w:cs="宋体"/>
          <w:b/>
          <w:sz w:val="21"/>
          <w:szCs w:val="21"/>
        </w:rPr>
        <w:t>五</w:t>
      </w:r>
      <w:r>
        <w:rPr>
          <w:rFonts w:ascii="宋体" w:hAnsi="宋体" w:cs="宋体"/>
          <w:b/>
          <w:sz w:val="21"/>
          <w:szCs w:val="21"/>
        </w:rPr>
        <w:t>、</w:t>
      </w:r>
      <w:r>
        <w:rPr>
          <w:rFonts w:hint="eastAsia" w:ascii="宋体" w:hAnsi="宋体" w:cs="宋体"/>
          <w:b/>
          <w:sz w:val="21"/>
          <w:szCs w:val="21"/>
        </w:rPr>
        <w:t>乙方违规处理</w:t>
      </w:r>
    </w:p>
    <w:p w14:paraId="7A654A1C">
      <w:pPr>
        <w:spacing w:line="400" w:lineRule="exact"/>
        <w:ind w:firstLine="426"/>
        <w:jc w:val="both"/>
        <w:rPr>
          <w:rFonts w:ascii="宋体" w:hAnsi="宋体" w:cs="宋体"/>
          <w:sz w:val="21"/>
          <w:szCs w:val="21"/>
        </w:rPr>
      </w:pPr>
      <w:r>
        <w:rPr>
          <w:rFonts w:ascii="宋体" w:hAnsi="宋体" w:cs="Cambria"/>
          <w:sz w:val="21"/>
          <w:szCs w:val="21"/>
        </w:rPr>
        <w:t>1</w:t>
      </w:r>
      <w:r>
        <w:rPr>
          <w:rFonts w:ascii="宋体" w:hAnsi="宋体" w:cs="宋体"/>
          <w:sz w:val="21"/>
          <w:szCs w:val="21"/>
        </w:rPr>
        <w:t>、</w:t>
      </w:r>
      <w:r>
        <w:rPr>
          <w:rFonts w:hint="eastAsia" w:ascii="宋体" w:hAnsi="宋体" w:cs="宋体"/>
          <w:sz w:val="21"/>
          <w:szCs w:val="21"/>
        </w:rPr>
        <w:t>因相关方原因未办理开工进场申请即开工或超过规定时限施工的，扣款1000元；危险作业未办理许可即施工的，扣款2000元。</w:t>
      </w:r>
    </w:p>
    <w:p w14:paraId="1AD90B89">
      <w:pPr>
        <w:spacing w:line="400" w:lineRule="exact"/>
        <w:ind w:firstLine="426"/>
        <w:jc w:val="both"/>
        <w:rPr>
          <w:rFonts w:ascii="宋体" w:hAnsi="宋体" w:cs="宋体"/>
          <w:sz w:val="21"/>
          <w:szCs w:val="21"/>
        </w:rPr>
      </w:pPr>
      <w:r>
        <w:rPr>
          <w:rFonts w:hint="eastAsia" w:ascii="宋体" w:hAnsi="宋体" w:cs="宋体"/>
          <w:sz w:val="21"/>
          <w:szCs w:val="21"/>
        </w:rPr>
        <w:t>2、相关方人员在禁火区内吸烟的，发现一次，扣款200元。</w:t>
      </w:r>
    </w:p>
    <w:p w14:paraId="139C47E3">
      <w:pPr>
        <w:spacing w:line="400" w:lineRule="exact"/>
        <w:ind w:firstLine="426"/>
        <w:jc w:val="both"/>
        <w:rPr>
          <w:rFonts w:ascii="宋体" w:hAnsi="宋体" w:cs="宋体"/>
          <w:sz w:val="21"/>
          <w:szCs w:val="21"/>
        </w:rPr>
      </w:pPr>
      <w:r>
        <w:rPr>
          <w:rFonts w:ascii="宋体" w:hAnsi="宋体" w:cs="宋体"/>
          <w:sz w:val="21"/>
          <w:szCs w:val="21"/>
        </w:rPr>
        <w:t>3</w:t>
      </w:r>
      <w:r>
        <w:rPr>
          <w:rFonts w:hint="eastAsia" w:ascii="宋体" w:hAnsi="宋体" w:cs="宋体"/>
          <w:sz w:val="21"/>
          <w:szCs w:val="21"/>
        </w:rPr>
        <w:t>、相关方违规且不服从安全管理发生冲突的，扣款2000元；情节严重的，扣款5000元。</w:t>
      </w:r>
    </w:p>
    <w:p w14:paraId="6D7E7D05">
      <w:pPr>
        <w:spacing w:line="400" w:lineRule="exact"/>
        <w:ind w:firstLine="426"/>
        <w:jc w:val="both"/>
        <w:rPr>
          <w:rFonts w:ascii="宋体" w:hAnsi="宋体" w:cs="宋体"/>
          <w:sz w:val="21"/>
          <w:szCs w:val="21"/>
        </w:rPr>
      </w:pPr>
      <w:r>
        <w:rPr>
          <w:rFonts w:ascii="宋体" w:hAnsi="宋体" w:cs="宋体"/>
          <w:sz w:val="21"/>
          <w:szCs w:val="21"/>
        </w:rPr>
        <w:t>4</w:t>
      </w:r>
      <w:r>
        <w:rPr>
          <w:rFonts w:hint="eastAsia" w:ascii="宋体" w:hAnsi="宋体" w:cs="宋体"/>
          <w:sz w:val="21"/>
          <w:szCs w:val="21"/>
        </w:rPr>
        <w:t>、一年或一个合同周期内，违反行业各级安全管理规定的，扣款5</w:t>
      </w:r>
      <w:r>
        <w:rPr>
          <w:rFonts w:ascii="宋体" w:hAnsi="宋体" w:cs="宋体"/>
          <w:sz w:val="21"/>
          <w:szCs w:val="21"/>
        </w:rPr>
        <w:t>00</w:t>
      </w:r>
      <w:r>
        <w:rPr>
          <w:rFonts w:hint="eastAsia" w:ascii="宋体" w:hAnsi="宋体" w:cs="宋体"/>
          <w:sz w:val="21"/>
          <w:szCs w:val="21"/>
        </w:rPr>
        <w:t>元，第二次重复发生的扣款1000元，工厂其它安全管理标准文件内有具体规定，按具体规定处理。</w:t>
      </w:r>
    </w:p>
    <w:p w14:paraId="288F1371">
      <w:pPr>
        <w:spacing w:line="400" w:lineRule="exact"/>
        <w:ind w:firstLine="420" w:firstLineChars="200"/>
        <w:jc w:val="both"/>
        <w:rPr>
          <w:rFonts w:ascii="宋体" w:hAnsi="宋体" w:cs="宋体"/>
          <w:sz w:val="21"/>
          <w:szCs w:val="21"/>
        </w:rPr>
      </w:pPr>
      <w:r>
        <w:rPr>
          <w:rFonts w:ascii="宋体" w:hAnsi="宋体" w:cs="Cambria"/>
          <w:sz w:val="21"/>
          <w:szCs w:val="21"/>
        </w:rPr>
        <w:t>5</w:t>
      </w:r>
      <w:r>
        <w:rPr>
          <w:rFonts w:ascii="宋体" w:hAnsi="宋体" w:cs="宋体"/>
          <w:sz w:val="21"/>
          <w:szCs w:val="21"/>
        </w:rPr>
        <w:t>、</w:t>
      </w:r>
      <w:r>
        <w:rPr>
          <w:rFonts w:hint="eastAsia" w:ascii="宋体" w:hAnsi="宋体" w:cs="宋体"/>
          <w:sz w:val="21"/>
          <w:szCs w:val="21"/>
        </w:rPr>
        <w:t>偷窃卷烟产品、原辅材料及其它公物，视情节、数量每次扣款5</w:t>
      </w:r>
      <w:r>
        <w:rPr>
          <w:rFonts w:ascii="宋体" w:hAnsi="宋体" w:cs="宋体"/>
          <w:sz w:val="21"/>
          <w:szCs w:val="21"/>
        </w:rPr>
        <w:t>00—5000元，情节严重的移交公安机关处理。</w:t>
      </w:r>
    </w:p>
    <w:p w14:paraId="13E99BD0">
      <w:pPr>
        <w:spacing w:line="400" w:lineRule="exact"/>
        <w:ind w:firstLine="420" w:firstLineChars="200"/>
        <w:jc w:val="both"/>
        <w:rPr>
          <w:rFonts w:ascii="宋体" w:hAnsi="宋体" w:cs="宋体"/>
          <w:sz w:val="21"/>
          <w:szCs w:val="21"/>
          <w:highlight w:val="red"/>
        </w:rPr>
      </w:pPr>
      <w:r>
        <w:rPr>
          <w:rFonts w:ascii="宋体" w:hAnsi="宋体" w:cs="宋体"/>
          <w:sz w:val="21"/>
          <w:szCs w:val="21"/>
        </w:rPr>
        <w:t>6</w:t>
      </w:r>
      <w:r>
        <w:rPr>
          <w:rFonts w:hint="eastAsia" w:ascii="宋体" w:hAnsi="宋体" w:cs="宋体"/>
          <w:sz w:val="21"/>
          <w:szCs w:val="21"/>
        </w:rPr>
        <w:t>、相关方发生安全事件，视情节扣款2000-5000元；相关方发生安全事故、环境污染事故造成损失的，扣款5000-10000元，后果严重的，按照国家法律法规处理；相关方发生安全事件、事故及环境污染事故未立即上报的，扣款5</w:t>
      </w:r>
      <w:r>
        <w:rPr>
          <w:rFonts w:ascii="宋体" w:hAnsi="宋体" w:cs="宋体"/>
          <w:sz w:val="21"/>
          <w:szCs w:val="21"/>
        </w:rPr>
        <w:t>000</w:t>
      </w:r>
      <w:r>
        <w:rPr>
          <w:rFonts w:hint="eastAsia" w:ascii="宋体" w:hAnsi="宋体" w:cs="宋体"/>
          <w:sz w:val="21"/>
          <w:szCs w:val="21"/>
        </w:rPr>
        <w:t>-10000元，后果严重的，按照国家法律法规处理。</w:t>
      </w:r>
    </w:p>
    <w:p w14:paraId="040B322A">
      <w:pPr>
        <w:spacing w:line="400" w:lineRule="exact"/>
        <w:ind w:firstLine="426"/>
        <w:jc w:val="both"/>
        <w:rPr>
          <w:rFonts w:ascii="宋体" w:hAnsi="宋体" w:cs="Cambria"/>
          <w:sz w:val="21"/>
          <w:szCs w:val="21"/>
        </w:rPr>
      </w:pPr>
      <w:r>
        <w:rPr>
          <w:rFonts w:ascii="宋体" w:hAnsi="宋体" w:cs="Cambria"/>
          <w:sz w:val="21"/>
          <w:szCs w:val="21"/>
        </w:rPr>
        <w:t>7</w:t>
      </w:r>
      <w:r>
        <w:rPr>
          <w:rFonts w:hint="eastAsia" w:ascii="宋体" w:hAnsi="宋体" w:cs="Cambria"/>
          <w:sz w:val="21"/>
          <w:szCs w:val="21"/>
        </w:rPr>
        <w:t>、执行违规扣款时，安全管理部门出具《扣款通知单》，被扣款相关方须在5个工作日内到银行交纳扣款；财务管理科按照银行收款回执开具收款证明；相关方未按要求交纳扣款时，在项目完工或本年度合同周期结束时从履约保证金或项目款扣除。</w:t>
      </w:r>
    </w:p>
    <w:p w14:paraId="3C902031">
      <w:pPr>
        <w:spacing w:line="400" w:lineRule="exact"/>
        <w:ind w:firstLine="426"/>
        <w:jc w:val="both"/>
        <w:rPr>
          <w:rFonts w:ascii="宋体" w:hAnsi="宋体" w:cs="Cambria"/>
          <w:sz w:val="21"/>
          <w:szCs w:val="21"/>
        </w:rPr>
      </w:pPr>
      <w:r>
        <w:rPr>
          <w:rFonts w:ascii="宋体" w:hAnsi="宋体" w:cs="Cambria"/>
          <w:sz w:val="21"/>
          <w:szCs w:val="21"/>
        </w:rPr>
        <w:t>8</w:t>
      </w:r>
      <w:r>
        <w:rPr>
          <w:rFonts w:hint="eastAsia" w:ascii="宋体" w:hAnsi="宋体" w:cs="Cambria"/>
          <w:sz w:val="21"/>
          <w:szCs w:val="21"/>
        </w:rPr>
        <w:t>、相关方违规行为触犯国家或地方法律法规的，除按以上规定扣款外，报请国家相关部门依法处理；违规扣款不能抵消、免除事故须承担的法律、行政责任。</w:t>
      </w:r>
    </w:p>
    <w:p w14:paraId="002FD4B7">
      <w:pPr>
        <w:spacing w:line="400" w:lineRule="exact"/>
        <w:ind w:firstLine="420" w:firstLineChars="200"/>
        <w:jc w:val="both"/>
        <w:rPr>
          <w:rFonts w:ascii="宋体" w:hAnsi="宋体" w:cs="Cambria"/>
          <w:sz w:val="21"/>
          <w:szCs w:val="21"/>
        </w:rPr>
      </w:pPr>
      <w:r>
        <w:rPr>
          <w:rFonts w:hint="eastAsia" w:ascii="宋体" w:hAnsi="宋体" w:cs="Cambria"/>
          <w:sz w:val="21"/>
          <w:szCs w:val="21"/>
        </w:rPr>
        <w:t>9、</w:t>
      </w:r>
      <w:r>
        <w:rPr>
          <w:rFonts w:hint="eastAsia" w:ascii="宋体" w:hAnsi="宋体" w:cs="宋体"/>
          <w:sz w:val="21"/>
          <w:szCs w:val="21"/>
        </w:rPr>
        <w:t>该协议未能约定的相关安全事项依照业务合同约定进行管理和考核。</w:t>
      </w:r>
    </w:p>
    <w:p w14:paraId="46002CF3">
      <w:pPr>
        <w:spacing w:line="400" w:lineRule="exact"/>
        <w:ind w:firstLine="426"/>
        <w:jc w:val="both"/>
        <w:rPr>
          <w:rFonts w:ascii="宋体" w:hAnsi="宋体" w:cs="Cambria"/>
          <w:b/>
          <w:sz w:val="21"/>
          <w:szCs w:val="21"/>
        </w:rPr>
      </w:pPr>
      <w:r>
        <w:rPr>
          <w:rFonts w:hint="eastAsia" w:ascii="宋体" w:hAnsi="宋体" w:cs="宋体"/>
          <w:b/>
          <w:sz w:val="21"/>
          <w:szCs w:val="21"/>
        </w:rPr>
        <w:t>六</w:t>
      </w:r>
      <w:r>
        <w:rPr>
          <w:rFonts w:ascii="宋体" w:hAnsi="宋体" w:cs="宋体"/>
          <w:b/>
          <w:sz w:val="21"/>
          <w:szCs w:val="21"/>
        </w:rPr>
        <w:t>、附则</w:t>
      </w:r>
    </w:p>
    <w:p w14:paraId="0FC93029">
      <w:pPr>
        <w:spacing w:line="400" w:lineRule="exact"/>
        <w:ind w:firstLine="420" w:firstLineChars="200"/>
        <w:jc w:val="both"/>
        <w:rPr>
          <w:rFonts w:ascii="宋体" w:hAnsi="宋体" w:cs="宋体"/>
          <w:sz w:val="21"/>
          <w:szCs w:val="21"/>
        </w:rPr>
      </w:pPr>
      <w:r>
        <w:rPr>
          <w:rFonts w:ascii="宋体" w:hAnsi="宋体" w:cs="宋体"/>
          <w:sz w:val="21"/>
          <w:szCs w:val="21"/>
        </w:rPr>
        <w:t>1、本安全、环境管理协议与主合同具备同等法律效力，是合同双方履行安全职责和判断安全事故责任的重要依据，应由主合同实施部门签订，并加盖合同专用章。主合同在集团办理，合同业务在生产厂实施的，由生产厂合同实施部门按属地原则签订</w:t>
      </w:r>
      <w:r>
        <w:rPr>
          <w:rFonts w:hint="eastAsia" w:ascii="宋体" w:hAnsi="宋体" w:cs="宋体"/>
          <w:sz w:val="21"/>
          <w:szCs w:val="21"/>
        </w:rPr>
        <w:t>《红云红河集团曲靖卷烟厂相关方安全、环境管理协议》</w:t>
      </w:r>
      <w:r>
        <w:rPr>
          <w:rFonts w:ascii="宋体" w:hAnsi="宋体" w:cs="宋体"/>
          <w:sz w:val="21"/>
          <w:szCs w:val="21"/>
        </w:rPr>
        <w:t>。</w:t>
      </w:r>
    </w:p>
    <w:p w14:paraId="34495A81">
      <w:pPr>
        <w:spacing w:line="400" w:lineRule="exact"/>
        <w:ind w:firstLine="420" w:firstLineChars="200"/>
        <w:jc w:val="both"/>
        <w:rPr>
          <w:rFonts w:ascii="宋体" w:hAnsi="宋体" w:cs="宋体"/>
          <w:sz w:val="21"/>
          <w:szCs w:val="21"/>
        </w:rPr>
      </w:pPr>
      <w:r>
        <w:rPr>
          <w:rFonts w:hint="eastAsia" w:ascii="宋体" w:hAnsi="宋体" w:cs="宋体"/>
          <w:sz w:val="21"/>
          <w:szCs w:val="21"/>
        </w:rPr>
        <w:t>2</w:t>
      </w:r>
      <w:r>
        <w:rPr>
          <w:rFonts w:ascii="宋体" w:hAnsi="宋体" w:cs="宋体"/>
          <w:sz w:val="21"/>
          <w:szCs w:val="21"/>
        </w:rPr>
        <w:t>、本协议与双方签订的项目合同时效相同。项目合同到期后，本协议同时终止。</w:t>
      </w:r>
    </w:p>
    <w:p w14:paraId="7D21D6E2">
      <w:pPr>
        <w:spacing w:line="400" w:lineRule="exact"/>
        <w:ind w:firstLine="482"/>
        <w:jc w:val="both"/>
        <w:rPr>
          <w:rFonts w:ascii="宋体" w:hAnsi="宋体" w:cs="Cambria"/>
          <w:sz w:val="21"/>
          <w:szCs w:val="21"/>
        </w:rPr>
      </w:pPr>
      <w:r>
        <w:rPr>
          <w:rFonts w:hint="eastAsia" w:ascii="宋体" w:hAnsi="宋体" w:cs="宋体"/>
          <w:b/>
          <w:sz w:val="21"/>
          <w:szCs w:val="21"/>
        </w:rPr>
        <w:t>七</w:t>
      </w:r>
      <w:r>
        <w:rPr>
          <w:rFonts w:ascii="宋体" w:hAnsi="宋体" w:cs="宋体"/>
          <w:b/>
          <w:sz w:val="21"/>
          <w:szCs w:val="21"/>
        </w:rPr>
        <w:t>、</w:t>
      </w:r>
      <w:r>
        <w:rPr>
          <w:rFonts w:ascii="宋体" w:hAnsi="宋体" w:cs="宋体"/>
          <w:sz w:val="21"/>
          <w:szCs w:val="21"/>
        </w:rPr>
        <w:t>本协议未尽事宜，按照《曲靖卷烟厂相关方安全管理规定》、《曲靖卷烟厂相关方环境管理规定》等规定执行。</w:t>
      </w:r>
    </w:p>
    <w:p w14:paraId="163D9C02">
      <w:pPr>
        <w:spacing w:line="400" w:lineRule="exact"/>
        <w:ind w:firstLine="482"/>
        <w:jc w:val="both"/>
        <w:rPr>
          <w:rFonts w:ascii="宋体" w:hAnsi="宋体" w:cs="Cambria"/>
          <w:sz w:val="21"/>
          <w:szCs w:val="21"/>
        </w:rPr>
      </w:pPr>
      <w:r>
        <w:rPr>
          <w:rFonts w:hint="eastAsia" w:ascii="宋体" w:hAnsi="宋体" w:cs="宋体"/>
          <w:b/>
          <w:sz w:val="21"/>
          <w:szCs w:val="21"/>
        </w:rPr>
        <w:t>八</w:t>
      </w:r>
      <w:r>
        <w:rPr>
          <w:rFonts w:ascii="宋体" w:hAnsi="宋体" w:cs="宋体"/>
          <w:b/>
          <w:sz w:val="21"/>
          <w:szCs w:val="21"/>
        </w:rPr>
        <w:t>、</w:t>
      </w:r>
      <w:r>
        <w:rPr>
          <w:rFonts w:ascii="宋体" w:hAnsi="宋体" w:cs="宋体"/>
          <w:sz w:val="21"/>
          <w:szCs w:val="21"/>
        </w:rPr>
        <w:t>本协议在履行过程中发生争议，由双方协商解决，协商不成可向项目所在地人民法院提起诉讼。</w:t>
      </w:r>
    </w:p>
    <w:p w14:paraId="5496AE99">
      <w:pPr>
        <w:spacing w:line="400" w:lineRule="exact"/>
        <w:ind w:firstLine="482"/>
        <w:jc w:val="both"/>
        <w:rPr>
          <w:rFonts w:ascii="宋体" w:hAnsi="宋体" w:cs="Cambria"/>
          <w:sz w:val="21"/>
          <w:szCs w:val="21"/>
        </w:rPr>
      </w:pPr>
      <w:r>
        <w:rPr>
          <w:rFonts w:hint="eastAsia" w:ascii="宋体" w:hAnsi="宋体" w:cs="宋体"/>
          <w:b/>
          <w:sz w:val="21"/>
          <w:szCs w:val="21"/>
        </w:rPr>
        <w:t>九</w:t>
      </w:r>
      <w:r>
        <w:rPr>
          <w:rFonts w:ascii="宋体" w:hAnsi="宋体" w:cs="宋体"/>
          <w:b/>
          <w:sz w:val="21"/>
          <w:szCs w:val="21"/>
        </w:rPr>
        <w:t>、</w:t>
      </w:r>
      <w:r>
        <w:rPr>
          <w:rFonts w:ascii="宋体" w:hAnsi="宋体" w:cs="宋体"/>
          <w:sz w:val="21"/>
          <w:szCs w:val="21"/>
        </w:rPr>
        <w:t>本协议份数与主合同一致，具同等效力。甲方安全管理部门</w:t>
      </w:r>
      <w:r>
        <w:rPr>
          <w:rFonts w:hint="eastAsia" w:ascii="宋体" w:hAnsi="宋体" w:cs="宋体"/>
          <w:sz w:val="21"/>
          <w:szCs w:val="21"/>
        </w:rPr>
        <w:t>、</w:t>
      </w:r>
      <w:r>
        <w:rPr>
          <w:rFonts w:ascii="宋体" w:hAnsi="宋体" w:cs="宋体"/>
          <w:sz w:val="21"/>
          <w:szCs w:val="21"/>
        </w:rPr>
        <w:t>环境管理部门、项目责任部门各执一份，乙方执一份。</w:t>
      </w:r>
    </w:p>
    <w:p w14:paraId="33B5146D">
      <w:pPr>
        <w:spacing w:line="400" w:lineRule="exact"/>
        <w:jc w:val="both"/>
        <w:rPr>
          <w:rFonts w:ascii="宋体" w:hAnsi="宋体" w:cs="Cambria"/>
          <w:sz w:val="21"/>
          <w:szCs w:val="21"/>
        </w:rPr>
      </w:pPr>
    </w:p>
    <w:tbl>
      <w:tblPr>
        <w:tblStyle w:val="62"/>
        <w:tblW w:w="9071" w:type="dxa"/>
        <w:tblInd w:w="0" w:type="dxa"/>
        <w:tblLayout w:type="fixed"/>
        <w:tblCellMar>
          <w:top w:w="0" w:type="dxa"/>
          <w:left w:w="108" w:type="dxa"/>
          <w:bottom w:w="0" w:type="dxa"/>
          <w:right w:w="108" w:type="dxa"/>
        </w:tblCellMar>
      </w:tblPr>
      <w:tblGrid>
        <w:gridCol w:w="4539"/>
        <w:gridCol w:w="4532"/>
      </w:tblGrid>
      <w:tr w14:paraId="233ABCF6">
        <w:tblPrEx>
          <w:tblCellMar>
            <w:top w:w="0" w:type="dxa"/>
            <w:left w:w="108" w:type="dxa"/>
            <w:bottom w:w="0" w:type="dxa"/>
            <w:right w:w="108" w:type="dxa"/>
          </w:tblCellMar>
        </w:tblPrEx>
        <w:tc>
          <w:tcPr>
            <w:tcW w:w="4539" w:type="dxa"/>
          </w:tcPr>
          <w:p w14:paraId="44DD6234">
            <w:pPr>
              <w:spacing w:line="400" w:lineRule="exact"/>
              <w:ind w:firstLine="210"/>
              <w:rPr>
                <w:rFonts w:ascii="宋体" w:hAnsi="宋体" w:cs="宋体"/>
                <w:sz w:val="21"/>
                <w:szCs w:val="21"/>
              </w:rPr>
            </w:pPr>
            <w:r>
              <w:rPr>
                <w:rFonts w:ascii="宋体" w:hAnsi="宋体" w:cs="宋体"/>
                <w:sz w:val="21"/>
                <w:szCs w:val="21"/>
              </w:rPr>
              <w:t>甲方：</w:t>
            </w:r>
          </w:p>
        </w:tc>
        <w:tc>
          <w:tcPr>
            <w:tcW w:w="4532" w:type="dxa"/>
          </w:tcPr>
          <w:p w14:paraId="7C0D3F1A">
            <w:pPr>
              <w:spacing w:line="400" w:lineRule="exact"/>
              <w:ind w:firstLine="210"/>
              <w:rPr>
                <w:rFonts w:ascii="宋体" w:hAnsi="宋体" w:cs="宋体"/>
                <w:sz w:val="21"/>
                <w:szCs w:val="21"/>
              </w:rPr>
            </w:pPr>
            <w:r>
              <w:rPr>
                <w:rFonts w:ascii="宋体" w:hAnsi="宋体" w:cs="宋体"/>
                <w:sz w:val="21"/>
                <w:szCs w:val="21"/>
              </w:rPr>
              <w:t>乙方：</w:t>
            </w:r>
          </w:p>
        </w:tc>
      </w:tr>
      <w:tr w14:paraId="7B15FADB">
        <w:tblPrEx>
          <w:tblCellMar>
            <w:top w:w="0" w:type="dxa"/>
            <w:left w:w="108" w:type="dxa"/>
            <w:bottom w:w="0" w:type="dxa"/>
            <w:right w:w="108" w:type="dxa"/>
          </w:tblCellMar>
        </w:tblPrEx>
        <w:tc>
          <w:tcPr>
            <w:tcW w:w="4539" w:type="dxa"/>
          </w:tcPr>
          <w:p w14:paraId="1F6FEE3B">
            <w:pPr>
              <w:spacing w:line="400" w:lineRule="exact"/>
              <w:ind w:firstLine="210"/>
              <w:rPr>
                <w:rFonts w:ascii="宋体" w:hAnsi="宋体" w:cs="宋体"/>
                <w:sz w:val="21"/>
                <w:szCs w:val="21"/>
              </w:rPr>
            </w:pPr>
            <w:r>
              <w:rPr>
                <w:rFonts w:ascii="宋体" w:hAnsi="宋体" w:cs="宋体"/>
                <w:sz w:val="21"/>
                <w:szCs w:val="21"/>
              </w:rPr>
              <w:t>红云红河烟草（集团）有限责任公司</w:t>
            </w:r>
          </w:p>
          <w:p w14:paraId="2412FE24">
            <w:pPr>
              <w:spacing w:line="400" w:lineRule="exact"/>
              <w:ind w:firstLine="210"/>
              <w:rPr>
                <w:rFonts w:ascii="宋体" w:hAnsi="宋体" w:cs="宋体"/>
                <w:sz w:val="21"/>
                <w:szCs w:val="21"/>
              </w:rPr>
            </w:pPr>
            <w:r>
              <w:rPr>
                <w:rFonts w:ascii="宋体" w:hAnsi="宋体" w:cs="宋体"/>
                <w:sz w:val="21"/>
                <w:szCs w:val="21"/>
              </w:rPr>
              <w:t>曲靖卷烟厂</w:t>
            </w:r>
          </w:p>
        </w:tc>
        <w:tc>
          <w:tcPr>
            <w:tcW w:w="4532" w:type="dxa"/>
          </w:tcPr>
          <w:p w14:paraId="07AC611B">
            <w:pPr>
              <w:spacing w:line="400" w:lineRule="exact"/>
              <w:ind w:firstLine="210"/>
              <w:rPr>
                <w:rFonts w:ascii="宋体" w:hAnsi="宋体" w:cs="宋体"/>
                <w:sz w:val="21"/>
                <w:szCs w:val="21"/>
              </w:rPr>
            </w:pPr>
          </w:p>
        </w:tc>
      </w:tr>
      <w:tr w14:paraId="6BBF132C">
        <w:tblPrEx>
          <w:tblCellMar>
            <w:top w:w="0" w:type="dxa"/>
            <w:left w:w="108" w:type="dxa"/>
            <w:bottom w:w="0" w:type="dxa"/>
            <w:right w:w="108" w:type="dxa"/>
          </w:tblCellMar>
        </w:tblPrEx>
        <w:tc>
          <w:tcPr>
            <w:tcW w:w="4539" w:type="dxa"/>
          </w:tcPr>
          <w:p w14:paraId="1545B0A7">
            <w:pPr>
              <w:spacing w:line="400" w:lineRule="exact"/>
              <w:ind w:firstLine="210"/>
              <w:rPr>
                <w:rFonts w:ascii="宋体" w:hAnsi="宋体" w:cs="宋体"/>
                <w:sz w:val="21"/>
                <w:szCs w:val="21"/>
              </w:rPr>
            </w:pPr>
            <w:r>
              <w:rPr>
                <w:rFonts w:ascii="宋体" w:hAnsi="宋体" w:cs="宋体"/>
                <w:sz w:val="21"/>
                <w:szCs w:val="21"/>
              </w:rPr>
              <w:t>授权代表(签章、签字)：</w:t>
            </w:r>
          </w:p>
          <w:p w14:paraId="2D96AB58">
            <w:pPr>
              <w:spacing w:line="400" w:lineRule="exact"/>
              <w:ind w:firstLine="210"/>
              <w:rPr>
                <w:rFonts w:ascii="宋体" w:hAnsi="宋体" w:cs="宋体"/>
                <w:sz w:val="21"/>
                <w:szCs w:val="21"/>
              </w:rPr>
            </w:pPr>
          </w:p>
        </w:tc>
        <w:tc>
          <w:tcPr>
            <w:tcW w:w="4532" w:type="dxa"/>
          </w:tcPr>
          <w:p w14:paraId="08381D0C">
            <w:pPr>
              <w:spacing w:line="400" w:lineRule="exact"/>
              <w:ind w:firstLine="210"/>
              <w:rPr>
                <w:rFonts w:ascii="宋体" w:hAnsi="宋体" w:cs="宋体"/>
                <w:sz w:val="21"/>
                <w:szCs w:val="21"/>
              </w:rPr>
            </w:pPr>
            <w:r>
              <w:rPr>
                <w:rFonts w:ascii="宋体" w:hAnsi="宋体" w:cs="宋体"/>
                <w:sz w:val="21"/>
                <w:szCs w:val="21"/>
              </w:rPr>
              <w:t>授权代表(签章、签字)：</w:t>
            </w:r>
          </w:p>
        </w:tc>
      </w:tr>
      <w:tr w14:paraId="4754D3C3">
        <w:tblPrEx>
          <w:tblCellMar>
            <w:top w:w="0" w:type="dxa"/>
            <w:left w:w="108" w:type="dxa"/>
            <w:bottom w:w="0" w:type="dxa"/>
            <w:right w:w="108" w:type="dxa"/>
          </w:tblCellMar>
        </w:tblPrEx>
        <w:tc>
          <w:tcPr>
            <w:tcW w:w="4539" w:type="dxa"/>
          </w:tcPr>
          <w:p w14:paraId="1C4F7992">
            <w:pPr>
              <w:spacing w:line="400" w:lineRule="exact"/>
              <w:ind w:firstLine="210"/>
              <w:rPr>
                <w:rFonts w:ascii="宋体" w:hAnsi="宋体" w:cs="宋体"/>
                <w:sz w:val="21"/>
                <w:szCs w:val="21"/>
              </w:rPr>
            </w:pPr>
            <w:r>
              <w:rPr>
                <w:rFonts w:ascii="宋体" w:hAnsi="宋体" w:cs="宋体"/>
                <w:sz w:val="21"/>
                <w:szCs w:val="21"/>
              </w:rPr>
              <w:t>单位地址：曲靖市麒麟北路大坡寺</w:t>
            </w:r>
          </w:p>
        </w:tc>
        <w:tc>
          <w:tcPr>
            <w:tcW w:w="4532" w:type="dxa"/>
          </w:tcPr>
          <w:p w14:paraId="2FF78FCF">
            <w:pPr>
              <w:spacing w:line="400" w:lineRule="exact"/>
              <w:ind w:firstLine="210"/>
              <w:rPr>
                <w:rFonts w:ascii="宋体" w:hAnsi="宋体" w:cs="宋体"/>
                <w:sz w:val="21"/>
                <w:szCs w:val="21"/>
              </w:rPr>
            </w:pPr>
            <w:r>
              <w:rPr>
                <w:rFonts w:ascii="宋体" w:hAnsi="宋体" w:cs="宋体"/>
                <w:sz w:val="21"/>
                <w:szCs w:val="21"/>
              </w:rPr>
              <w:t>单位地址：</w:t>
            </w:r>
            <w:r>
              <w:rPr>
                <w:rFonts w:hint="eastAsia" w:ascii="宋体" w:hAnsi="宋体" w:cs="宋体"/>
                <w:sz w:val="21"/>
                <w:szCs w:val="21"/>
              </w:rPr>
              <w:t>中国（云南）自由贸易试验区昆明片区官渡区北京路237号</w:t>
            </w:r>
          </w:p>
        </w:tc>
      </w:tr>
      <w:tr w14:paraId="61065A75">
        <w:tblPrEx>
          <w:tblCellMar>
            <w:top w:w="0" w:type="dxa"/>
            <w:left w:w="108" w:type="dxa"/>
            <w:bottom w:w="0" w:type="dxa"/>
            <w:right w:w="108" w:type="dxa"/>
          </w:tblCellMar>
        </w:tblPrEx>
        <w:tc>
          <w:tcPr>
            <w:tcW w:w="4539" w:type="dxa"/>
          </w:tcPr>
          <w:p w14:paraId="1C4CB855">
            <w:pPr>
              <w:spacing w:line="400" w:lineRule="exact"/>
              <w:ind w:firstLine="210"/>
              <w:rPr>
                <w:rFonts w:ascii="宋体" w:hAnsi="宋体" w:cs="宋体"/>
                <w:sz w:val="21"/>
                <w:szCs w:val="21"/>
              </w:rPr>
            </w:pPr>
            <w:r>
              <w:rPr>
                <w:rFonts w:ascii="宋体" w:hAnsi="宋体" w:cs="宋体"/>
                <w:sz w:val="21"/>
                <w:szCs w:val="21"/>
              </w:rPr>
              <w:t>邮政编码：655001</w:t>
            </w:r>
          </w:p>
        </w:tc>
        <w:tc>
          <w:tcPr>
            <w:tcW w:w="4532" w:type="dxa"/>
          </w:tcPr>
          <w:p w14:paraId="46485C36">
            <w:pPr>
              <w:spacing w:line="400" w:lineRule="exact"/>
              <w:ind w:firstLine="210"/>
              <w:rPr>
                <w:rFonts w:ascii="宋体" w:hAnsi="宋体" w:cs="宋体"/>
                <w:sz w:val="21"/>
                <w:szCs w:val="21"/>
              </w:rPr>
            </w:pPr>
            <w:r>
              <w:rPr>
                <w:rFonts w:ascii="宋体" w:hAnsi="宋体" w:cs="宋体"/>
                <w:sz w:val="21"/>
                <w:szCs w:val="21"/>
              </w:rPr>
              <w:t>邮政编码：</w:t>
            </w:r>
            <w:r>
              <w:rPr>
                <w:rFonts w:hint="eastAsia" w:ascii="宋体" w:hAnsi="宋体" w:cs="宋体"/>
                <w:sz w:val="21"/>
                <w:szCs w:val="21"/>
              </w:rPr>
              <w:t>650200</w:t>
            </w:r>
          </w:p>
        </w:tc>
      </w:tr>
      <w:tr w14:paraId="33D2EEC7">
        <w:tblPrEx>
          <w:tblCellMar>
            <w:top w:w="0" w:type="dxa"/>
            <w:left w:w="108" w:type="dxa"/>
            <w:bottom w:w="0" w:type="dxa"/>
            <w:right w:w="108" w:type="dxa"/>
          </w:tblCellMar>
        </w:tblPrEx>
        <w:tc>
          <w:tcPr>
            <w:tcW w:w="4539" w:type="dxa"/>
          </w:tcPr>
          <w:p w14:paraId="4BC92859">
            <w:pPr>
              <w:spacing w:line="400" w:lineRule="exact"/>
              <w:ind w:firstLine="210"/>
              <w:rPr>
                <w:rFonts w:ascii="宋体" w:hAnsi="宋体" w:cs="宋体"/>
                <w:sz w:val="21"/>
                <w:szCs w:val="21"/>
              </w:rPr>
            </w:pPr>
            <w:r>
              <w:rPr>
                <w:rFonts w:ascii="宋体" w:hAnsi="宋体" w:cs="宋体"/>
                <w:sz w:val="21"/>
                <w:szCs w:val="21"/>
              </w:rPr>
              <w:t>电话: 0874-3364582</w:t>
            </w:r>
            <w:r>
              <w:rPr>
                <w:rFonts w:hint="eastAsia" w:ascii="宋体" w:hAnsi="宋体" w:cs="宋体"/>
                <w:sz w:val="21"/>
                <w:szCs w:val="21"/>
              </w:rPr>
              <w:t>，</w:t>
            </w:r>
            <w:r>
              <w:rPr>
                <w:rFonts w:ascii="宋体" w:hAnsi="宋体" w:cs="宋体"/>
                <w:sz w:val="21"/>
                <w:szCs w:val="21"/>
              </w:rPr>
              <w:t>0874-336</w:t>
            </w:r>
            <w:r>
              <w:rPr>
                <w:rFonts w:hint="eastAsia" w:ascii="宋体" w:hAnsi="宋体" w:cs="宋体"/>
                <w:sz w:val="21"/>
                <w:szCs w:val="21"/>
              </w:rPr>
              <w:t>0674</w:t>
            </w:r>
          </w:p>
        </w:tc>
        <w:tc>
          <w:tcPr>
            <w:tcW w:w="4532" w:type="dxa"/>
          </w:tcPr>
          <w:p w14:paraId="7F1DC31B">
            <w:pPr>
              <w:spacing w:line="400" w:lineRule="exact"/>
              <w:ind w:firstLine="210"/>
              <w:rPr>
                <w:rFonts w:ascii="宋体" w:hAnsi="宋体" w:cs="宋体"/>
                <w:sz w:val="21"/>
                <w:szCs w:val="21"/>
              </w:rPr>
            </w:pPr>
            <w:r>
              <w:rPr>
                <w:rFonts w:ascii="宋体" w:hAnsi="宋体" w:cs="宋体"/>
                <w:sz w:val="21"/>
                <w:szCs w:val="21"/>
              </w:rPr>
              <w:t>电话:</w:t>
            </w:r>
            <w:r>
              <w:rPr>
                <w:rFonts w:hint="eastAsia" w:ascii="宋体" w:hAnsi="宋体" w:cs="宋体"/>
                <w:sz w:val="21"/>
                <w:szCs w:val="21"/>
              </w:rPr>
              <w:t>0871-65120088</w:t>
            </w:r>
          </w:p>
        </w:tc>
      </w:tr>
      <w:tr w14:paraId="5FEC327E">
        <w:tblPrEx>
          <w:tblCellMar>
            <w:top w:w="0" w:type="dxa"/>
            <w:left w:w="108" w:type="dxa"/>
            <w:bottom w:w="0" w:type="dxa"/>
            <w:right w:w="108" w:type="dxa"/>
          </w:tblCellMar>
        </w:tblPrEx>
        <w:tc>
          <w:tcPr>
            <w:tcW w:w="4539" w:type="dxa"/>
          </w:tcPr>
          <w:p w14:paraId="3E1F0775">
            <w:pPr>
              <w:spacing w:line="400" w:lineRule="exact"/>
              <w:ind w:firstLine="210"/>
              <w:rPr>
                <w:rFonts w:ascii="宋体" w:hAnsi="宋体" w:cs="宋体"/>
                <w:sz w:val="21"/>
                <w:szCs w:val="21"/>
              </w:rPr>
            </w:pPr>
            <w:r>
              <w:rPr>
                <w:rFonts w:ascii="宋体" w:hAnsi="宋体" w:cs="宋体"/>
                <w:sz w:val="21"/>
                <w:szCs w:val="21"/>
              </w:rPr>
              <w:t>传真: 0874-3364582</w:t>
            </w:r>
            <w:r>
              <w:rPr>
                <w:rFonts w:hint="eastAsia" w:ascii="宋体" w:hAnsi="宋体" w:cs="宋体"/>
                <w:sz w:val="21"/>
                <w:szCs w:val="21"/>
              </w:rPr>
              <w:t>，</w:t>
            </w:r>
            <w:r>
              <w:rPr>
                <w:rFonts w:ascii="宋体" w:hAnsi="宋体" w:cs="宋体"/>
                <w:sz w:val="21"/>
                <w:szCs w:val="21"/>
              </w:rPr>
              <w:t>0874-336</w:t>
            </w:r>
            <w:r>
              <w:rPr>
                <w:rFonts w:hint="eastAsia" w:ascii="宋体" w:hAnsi="宋体" w:cs="宋体"/>
                <w:sz w:val="21"/>
                <w:szCs w:val="21"/>
              </w:rPr>
              <w:t>0674</w:t>
            </w:r>
          </w:p>
        </w:tc>
        <w:tc>
          <w:tcPr>
            <w:tcW w:w="4532" w:type="dxa"/>
          </w:tcPr>
          <w:p w14:paraId="476DF210">
            <w:pPr>
              <w:spacing w:line="400" w:lineRule="exact"/>
              <w:ind w:firstLine="210"/>
              <w:rPr>
                <w:rFonts w:ascii="宋体" w:hAnsi="宋体" w:cs="宋体"/>
                <w:sz w:val="21"/>
                <w:szCs w:val="21"/>
              </w:rPr>
            </w:pPr>
            <w:r>
              <w:rPr>
                <w:rFonts w:ascii="宋体" w:hAnsi="宋体" w:cs="宋体"/>
                <w:sz w:val="21"/>
                <w:szCs w:val="21"/>
              </w:rPr>
              <w:t>传真:</w:t>
            </w:r>
            <w:r>
              <w:rPr>
                <w:rFonts w:hint="eastAsia" w:ascii="宋体" w:hAnsi="宋体" w:cs="宋体"/>
                <w:sz w:val="21"/>
                <w:szCs w:val="21"/>
              </w:rPr>
              <w:t>0871-65120088</w:t>
            </w:r>
          </w:p>
        </w:tc>
      </w:tr>
      <w:tr w14:paraId="64267BC9">
        <w:tblPrEx>
          <w:tblCellMar>
            <w:top w:w="0" w:type="dxa"/>
            <w:left w:w="108" w:type="dxa"/>
            <w:bottom w:w="0" w:type="dxa"/>
            <w:right w:w="108" w:type="dxa"/>
          </w:tblCellMar>
        </w:tblPrEx>
        <w:tc>
          <w:tcPr>
            <w:tcW w:w="4539" w:type="dxa"/>
          </w:tcPr>
          <w:p w14:paraId="0359EE15">
            <w:pPr>
              <w:spacing w:line="400" w:lineRule="exact"/>
              <w:ind w:firstLine="210"/>
              <w:rPr>
                <w:rFonts w:ascii="宋体" w:hAnsi="宋体" w:cs="宋体"/>
                <w:sz w:val="21"/>
                <w:szCs w:val="21"/>
              </w:rPr>
            </w:pPr>
            <w:r>
              <w:rPr>
                <w:rFonts w:ascii="宋体" w:hAnsi="宋体" w:cs="宋体"/>
                <w:sz w:val="21"/>
                <w:szCs w:val="21"/>
              </w:rPr>
              <w:t>签字日期：</w:t>
            </w:r>
            <w:r>
              <w:rPr>
                <w:rFonts w:hint="eastAsia" w:ascii="宋体" w:hAnsi="宋体" w:cs="宋体"/>
                <w:sz w:val="21"/>
                <w:szCs w:val="21"/>
              </w:rPr>
              <w:t xml:space="preserve">        </w:t>
            </w:r>
            <w:r>
              <w:rPr>
                <w:rFonts w:ascii="宋体" w:hAnsi="宋体" w:cs="宋体"/>
                <w:sz w:val="21"/>
                <w:szCs w:val="21"/>
              </w:rPr>
              <w:t>年</w:t>
            </w:r>
            <w:r>
              <w:rPr>
                <w:rFonts w:hint="eastAsia" w:ascii="宋体" w:hAnsi="宋体" w:cs="宋体"/>
                <w:sz w:val="21"/>
                <w:szCs w:val="21"/>
              </w:rPr>
              <w:t xml:space="preserve">     </w:t>
            </w:r>
            <w:r>
              <w:rPr>
                <w:rFonts w:ascii="宋体" w:hAnsi="宋体" w:cs="宋体"/>
                <w:sz w:val="21"/>
                <w:szCs w:val="21"/>
              </w:rPr>
              <w:t>月</w:t>
            </w:r>
            <w:r>
              <w:rPr>
                <w:rFonts w:hint="eastAsia" w:ascii="宋体" w:hAnsi="宋体" w:cs="宋体"/>
                <w:sz w:val="21"/>
                <w:szCs w:val="21"/>
              </w:rPr>
              <w:t xml:space="preserve">    </w:t>
            </w:r>
            <w:r>
              <w:rPr>
                <w:rFonts w:ascii="宋体" w:hAnsi="宋体" w:cs="宋体"/>
                <w:sz w:val="21"/>
                <w:szCs w:val="21"/>
              </w:rPr>
              <w:t>日</w:t>
            </w:r>
          </w:p>
        </w:tc>
        <w:tc>
          <w:tcPr>
            <w:tcW w:w="4532" w:type="dxa"/>
          </w:tcPr>
          <w:p w14:paraId="2C0F5B18">
            <w:pPr>
              <w:spacing w:line="400" w:lineRule="exact"/>
              <w:ind w:firstLine="210"/>
              <w:rPr>
                <w:rFonts w:ascii="宋体" w:hAnsi="宋体" w:cs="宋体"/>
                <w:sz w:val="21"/>
                <w:szCs w:val="21"/>
              </w:rPr>
            </w:pPr>
            <w:r>
              <w:rPr>
                <w:rFonts w:ascii="宋体" w:hAnsi="宋体" w:cs="宋体"/>
                <w:sz w:val="21"/>
                <w:szCs w:val="21"/>
              </w:rPr>
              <w:t>签字日期：</w:t>
            </w:r>
            <w:r>
              <w:rPr>
                <w:rFonts w:hint="eastAsia" w:ascii="宋体" w:hAnsi="宋体" w:cs="宋体"/>
                <w:sz w:val="21"/>
                <w:szCs w:val="21"/>
              </w:rPr>
              <w:t xml:space="preserve">         </w:t>
            </w:r>
            <w:r>
              <w:rPr>
                <w:rFonts w:ascii="宋体" w:hAnsi="宋体" w:cs="宋体"/>
                <w:sz w:val="21"/>
                <w:szCs w:val="21"/>
              </w:rPr>
              <w:t>年</w:t>
            </w:r>
            <w:r>
              <w:rPr>
                <w:rFonts w:hint="eastAsia" w:ascii="宋体" w:hAnsi="宋体" w:cs="宋体"/>
                <w:sz w:val="21"/>
                <w:szCs w:val="21"/>
              </w:rPr>
              <w:t xml:space="preserve">    </w:t>
            </w:r>
            <w:r>
              <w:rPr>
                <w:rFonts w:ascii="宋体" w:hAnsi="宋体" w:cs="宋体"/>
                <w:sz w:val="21"/>
                <w:szCs w:val="21"/>
              </w:rPr>
              <w:t>月</w:t>
            </w:r>
            <w:r>
              <w:rPr>
                <w:rFonts w:hint="eastAsia" w:ascii="宋体" w:hAnsi="宋体" w:cs="宋体"/>
                <w:sz w:val="21"/>
                <w:szCs w:val="21"/>
              </w:rPr>
              <w:t xml:space="preserve">    </w:t>
            </w:r>
            <w:r>
              <w:rPr>
                <w:rFonts w:ascii="宋体" w:hAnsi="宋体" w:cs="宋体"/>
                <w:sz w:val="21"/>
                <w:szCs w:val="21"/>
              </w:rPr>
              <w:t>日</w:t>
            </w:r>
          </w:p>
        </w:tc>
      </w:tr>
    </w:tbl>
    <w:p w14:paraId="3367C695">
      <w:pPr>
        <w:pStyle w:val="4"/>
        <w:spacing w:line="240" w:lineRule="auto"/>
        <w:jc w:val="center"/>
        <w:rPr>
          <w:rFonts w:ascii="宋体" w:hAnsi="宋体"/>
          <w:sz w:val="36"/>
          <w:szCs w:val="36"/>
        </w:rPr>
      </w:pPr>
      <w:bookmarkStart w:id="171" w:name="_Toc71807329"/>
      <w:bookmarkEnd w:id="171"/>
      <w:bookmarkStart w:id="172" w:name="_Toc71807324"/>
      <w:bookmarkEnd w:id="172"/>
      <w:bookmarkStart w:id="173" w:name="_Toc71807333"/>
      <w:bookmarkEnd w:id="173"/>
      <w:bookmarkStart w:id="174" w:name="_Toc71807323"/>
      <w:bookmarkEnd w:id="174"/>
      <w:bookmarkStart w:id="175" w:name="_Toc71807322"/>
      <w:bookmarkEnd w:id="175"/>
      <w:bookmarkStart w:id="176" w:name="_Toc71807330"/>
      <w:bookmarkEnd w:id="176"/>
      <w:bookmarkStart w:id="177" w:name="_Toc71807332"/>
      <w:bookmarkEnd w:id="177"/>
      <w:bookmarkStart w:id="178" w:name="_Toc71807331"/>
      <w:bookmarkEnd w:id="178"/>
      <w:bookmarkStart w:id="179" w:name="_Toc71807328"/>
      <w:bookmarkEnd w:id="179"/>
      <w:bookmarkStart w:id="180" w:name="_Toc71807334"/>
      <w:bookmarkEnd w:id="180"/>
      <w:bookmarkStart w:id="181" w:name="_Toc71807325"/>
      <w:bookmarkEnd w:id="181"/>
      <w:bookmarkStart w:id="182" w:name="_Toc71807326"/>
      <w:bookmarkEnd w:id="182"/>
      <w:bookmarkStart w:id="183" w:name="_Toc71807336"/>
      <w:bookmarkEnd w:id="183"/>
      <w:bookmarkStart w:id="184" w:name="_Toc71807335"/>
      <w:bookmarkEnd w:id="184"/>
      <w:bookmarkStart w:id="185" w:name="_Toc71807337"/>
      <w:bookmarkEnd w:id="185"/>
      <w:bookmarkStart w:id="186" w:name="_Toc71807338"/>
      <w:bookmarkEnd w:id="186"/>
      <w:bookmarkStart w:id="187" w:name="_Toc71807321"/>
      <w:bookmarkEnd w:id="187"/>
      <w:bookmarkStart w:id="188" w:name="_Toc71807327"/>
      <w:bookmarkEnd w:id="188"/>
    </w:p>
    <w:p w14:paraId="4BCAA601">
      <w:pPr>
        <w:pStyle w:val="2"/>
        <w:ind w:left="400" w:firstLine="400"/>
        <w:sectPr>
          <w:headerReference r:id="rId7" w:type="first"/>
          <w:footerReference r:id="rId10" w:type="first"/>
          <w:headerReference r:id="rId5" w:type="default"/>
          <w:footerReference r:id="rId8" w:type="default"/>
          <w:headerReference r:id="rId6" w:type="even"/>
          <w:footerReference r:id="rId9" w:type="even"/>
          <w:pgSz w:w="11905" w:h="16838"/>
          <w:pgMar w:top="1417" w:right="1417" w:bottom="1417" w:left="1417" w:header="850" w:footer="850" w:gutter="0"/>
          <w:cols w:space="720" w:num="1"/>
          <w:titlePg/>
          <w:docGrid w:linePitch="312" w:charSpace="0"/>
        </w:sectPr>
      </w:pPr>
    </w:p>
    <w:p w14:paraId="5F0E5BC7">
      <w:pPr>
        <w:pStyle w:val="2"/>
        <w:ind w:left="400" w:firstLine="400"/>
      </w:pPr>
      <w:r>
        <w:rPr>
          <w:rFonts w:hint="eastAsia"/>
        </w:rPr>
        <w:t>合同附件4：</w:t>
      </w:r>
    </w:p>
    <w:p w14:paraId="5E3A6DF9">
      <w:pPr>
        <w:pStyle w:val="2"/>
        <w:ind w:left="400" w:firstLine="400"/>
        <w:sectPr>
          <w:pgSz w:w="11905" w:h="16838"/>
          <w:pgMar w:top="1417" w:right="1417" w:bottom="1417" w:left="1417" w:header="850" w:footer="850" w:gutter="0"/>
          <w:cols w:space="720" w:num="1"/>
          <w:titlePg/>
          <w:docGrid w:linePitch="312" w:charSpace="0"/>
        </w:sectPr>
      </w:pPr>
      <w:r>
        <w:rPr>
          <w:rFonts w:hint="eastAsia"/>
        </w:rPr>
        <w:t xml:space="preserve">                                 </w:t>
      </w:r>
      <w:r>
        <w:rPr>
          <w:rFonts w:hint="eastAsia"/>
          <w:sz w:val="28"/>
          <w:szCs w:val="28"/>
        </w:rPr>
        <w:t>完标方案</w:t>
      </w:r>
    </w:p>
    <w:p w14:paraId="7396CA98">
      <w:pPr>
        <w:pStyle w:val="4"/>
        <w:spacing w:line="240" w:lineRule="auto"/>
        <w:jc w:val="center"/>
        <w:rPr>
          <w:rFonts w:ascii="宋体" w:hAnsi="宋体"/>
          <w:sz w:val="36"/>
          <w:szCs w:val="36"/>
        </w:rPr>
      </w:pPr>
      <w:bookmarkStart w:id="189" w:name="_Toc23932"/>
      <w:r>
        <w:rPr>
          <w:rFonts w:ascii="宋体" w:hAnsi="宋体"/>
          <w:sz w:val="36"/>
          <w:szCs w:val="36"/>
        </w:rPr>
        <w:t>第五章</w:t>
      </w:r>
      <w:bookmarkStart w:id="190" w:name="_Hlk98853519"/>
      <w:r>
        <w:rPr>
          <w:rFonts w:ascii="宋体" w:hAnsi="宋体"/>
          <w:sz w:val="36"/>
          <w:szCs w:val="36"/>
        </w:rPr>
        <w:t xml:space="preserve"> 技术标准和要求</w:t>
      </w:r>
      <w:bookmarkEnd w:id="189"/>
    </w:p>
    <w:bookmarkEnd w:id="190"/>
    <w:p w14:paraId="7AE71350">
      <w:pPr>
        <w:spacing w:line="276" w:lineRule="auto"/>
        <w:rPr>
          <w:rFonts w:ascii="宋体" w:hAnsi="宋体" w:cs="宋体"/>
          <w:b/>
          <w:bCs/>
          <w:sz w:val="21"/>
          <w:szCs w:val="21"/>
        </w:rPr>
      </w:pPr>
      <w:r>
        <w:rPr>
          <w:rFonts w:hint="eastAsia" w:ascii="宋体" w:hAnsi="宋体" w:cs="宋体"/>
          <w:b/>
          <w:bCs/>
          <w:sz w:val="21"/>
          <w:szCs w:val="21"/>
        </w:rPr>
        <w:t>一、项目概述</w:t>
      </w:r>
    </w:p>
    <w:p w14:paraId="0DDCEC10">
      <w:pPr>
        <w:pStyle w:val="3"/>
        <w:snapToGrid w:val="0"/>
        <w:spacing w:after="0" w:line="360" w:lineRule="auto"/>
        <w:ind w:left="0" w:leftChars="0" w:firstLine="640"/>
        <w:rPr>
          <w:rFonts w:ascii="宋体" w:hAnsi="宋体" w:cs="宋体"/>
          <w:sz w:val="21"/>
          <w:szCs w:val="21"/>
        </w:rPr>
      </w:pPr>
      <w:r>
        <w:rPr>
          <w:rFonts w:hint="eastAsia" w:ascii="宋体" w:hAnsi="宋体" w:cs="宋体"/>
          <w:sz w:val="21"/>
          <w:szCs w:val="21"/>
        </w:rPr>
        <w:t>为实现智能制造目标，企业要对人员、技术、资源、制造等进行管理提升和综合应用，在国家标准智能制造能力成熟度模型中规定了智能制造不同阶段在人员、技术、资源、制造等能力要素需要达到的水平。工厂通过对照行业智能工厂建设要求及智能制造成熟度四级模型标准，梳理了工厂在各环节的优势及弱项。</w:t>
      </w:r>
    </w:p>
    <w:p w14:paraId="6F58C8FF">
      <w:pPr>
        <w:pStyle w:val="3"/>
        <w:snapToGrid w:val="0"/>
        <w:spacing w:after="0" w:line="360" w:lineRule="auto"/>
        <w:ind w:left="0" w:leftChars="0" w:firstLine="640"/>
        <w:rPr>
          <w:rFonts w:ascii="宋体" w:hAnsi="宋体" w:cs="宋体"/>
          <w:sz w:val="21"/>
          <w:szCs w:val="21"/>
        </w:rPr>
      </w:pPr>
      <w:r>
        <w:rPr>
          <w:rFonts w:hint="eastAsia" w:ascii="宋体" w:hAnsi="宋体" w:cs="宋体"/>
          <w:sz w:val="21"/>
          <w:szCs w:val="21"/>
        </w:rPr>
        <w:t>本项目主要从工厂的生产作业、质量管控、设备管理、能源管理环节等弱项进行规划。通过购置一套视觉算法软件、基于二维码的创新应用建设、制丝车间基于视觉的制丝质量管控模块、制丝车间基于数据协同的制丝关键主机设备健康状态监测应用建设、卷包车间卷包设备运行状态在线监测、卷包车间单机质量管控系统建设、动力车间数字能源项目建设</w:t>
      </w:r>
      <w:bookmarkStart w:id="191" w:name="_Hlk175042002"/>
      <w:r>
        <w:rPr>
          <w:rFonts w:hint="eastAsia" w:ascii="宋体" w:hAnsi="宋体" w:cs="宋体"/>
          <w:sz w:val="21"/>
          <w:szCs w:val="21"/>
        </w:rPr>
        <w:t>，补齐工厂短板，建成烟草行业一流的卷烟智能工厂。</w:t>
      </w:r>
      <w:r>
        <w:rPr>
          <w:rFonts w:hint="eastAsia" w:ascii="宋体" w:hAnsi="宋体" w:cs="宋体"/>
          <w:b/>
          <w:sz w:val="21"/>
          <w:szCs w:val="21"/>
        </w:rPr>
        <w:t xml:space="preserve"> </w:t>
      </w:r>
    </w:p>
    <w:bookmarkEnd w:id="191"/>
    <w:p w14:paraId="3C23DEC4">
      <w:pPr>
        <w:spacing w:after="0" w:line="360" w:lineRule="auto"/>
        <w:rPr>
          <w:rFonts w:ascii="宋体" w:hAnsi="宋体" w:cs="宋体"/>
          <w:b/>
          <w:bCs/>
          <w:sz w:val="21"/>
          <w:szCs w:val="21"/>
        </w:rPr>
      </w:pPr>
      <w:r>
        <w:rPr>
          <w:rFonts w:hint="eastAsia" w:ascii="宋体" w:hAnsi="宋体" w:cs="宋体"/>
          <w:b/>
          <w:bCs/>
          <w:sz w:val="21"/>
          <w:szCs w:val="21"/>
        </w:rPr>
        <w:t>二、项目建设内容及范围</w:t>
      </w:r>
    </w:p>
    <w:p w14:paraId="4725D00E">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（一） 项目目标</w:t>
      </w:r>
    </w:p>
    <w:p w14:paraId="10AB9489">
      <w:pPr>
        <w:pStyle w:val="3"/>
        <w:snapToGrid w:val="0"/>
        <w:spacing w:after="0" w:line="360" w:lineRule="auto"/>
        <w:ind w:left="0" w:leftChars="0" w:firstLine="640"/>
        <w:rPr>
          <w:rFonts w:ascii="宋体" w:hAnsi="宋体" w:cs="宋体"/>
          <w:sz w:val="21"/>
          <w:szCs w:val="21"/>
        </w:rPr>
      </w:pPr>
      <w:r>
        <w:rPr>
          <w:rFonts w:hint="eastAsia" w:ascii="宋体" w:hAnsi="宋体" w:cs="宋体"/>
          <w:sz w:val="21"/>
          <w:szCs w:val="21"/>
        </w:rPr>
        <w:t>通过本项目的实施：在能力目标方面，就工厂职能范围内业务，智能制造能力成熟度达到四级标准，建成烟草行业一流的卷烟智能工厂。 在业务目标方面：围绕质量保障、设备运维、能源管理、二维码创新应用、技术工具升级等方面，形成具体成效，关键指标有所提升。</w:t>
      </w:r>
    </w:p>
    <w:p w14:paraId="216E1161">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（二）项目建设内容</w:t>
      </w:r>
    </w:p>
    <w:p w14:paraId="343491E1">
      <w:pPr>
        <w:suppressAutoHyphens/>
        <w:spacing w:after="0" w:line="360" w:lineRule="auto"/>
        <w:ind w:firstLine="640"/>
        <w:rPr>
          <w:rFonts w:ascii="宋体" w:hAnsi="宋体" w:cs="宋体"/>
          <w:sz w:val="21"/>
          <w:szCs w:val="21"/>
        </w:rPr>
      </w:pPr>
      <w:bookmarkStart w:id="192" w:name="_Hlk174431811"/>
      <w:r>
        <w:rPr>
          <w:rFonts w:hint="eastAsia" w:ascii="宋体" w:hAnsi="宋体" w:cs="宋体"/>
          <w:sz w:val="21"/>
          <w:szCs w:val="21"/>
        </w:rPr>
        <w:t>1.技术工具升级：购置一套优质视觉算法软件和配套使用授权。</w:t>
      </w:r>
    </w:p>
    <w:p w14:paraId="5FCD40E6">
      <w:pPr>
        <w:suppressAutoHyphens/>
        <w:spacing w:after="0" w:line="360" w:lineRule="auto"/>
        <w:ind w:firstLine="640"/>
        <w:rPr>
          <w:rFonts w:ascii="宋体" w:hAnsi="宋体" w:cs="宋体"/>
          <w:sz w:val="21"/>
          <w:szCs w:val="21"/>
        </w:rPr>
      </w:pPr>
      <w:r>
        <w:rPr>
          <w:rFonts w:hint="eastAsia" w:ascii="宋体" w:hAnsi="宋体" w:cs="宋体"/>
          <w:sz w:val="21"/>
          <w:szCs w:val="21"/>
        </w:rPr>
        <w:t>2.基于二维码的创新应用：建设基于二维码的涉烟废弃物监管应用，建设烟叶平台二维码完整性校验模块。</w:t>
      </w:r>
    </w:p>
    <w:p w14:paraId="603FA16D">
      <w:pPr>
        <w:suppressAutoHyphens/>
        <w:spacing w:after="0" w:line="360" w:lineRule="auto"/>
        <w:ind w:firstLine="630" w:firstLineChars="300"/>
        <w:rPr>
          <w:rFonts w:ascii="宋体" w:hAnsi="宋体" w:cs="宋体"/>
          <w:sz w:val="21"/>
          <w:szCs w:val="21"/>
        </w:rPr>
      </w:pPr>
      <w:r>
        <w:rPr>
          <w:rFonts w:hint="eastAsia" w:ascii="宋体" w:hAnsi="宋体" w:cs="宋体"/>
          <w:sz w:val="21"/>
          <w:szCs w:val="21"/>
        </w:rPr>
        <w:t>3.制丝车间一条产线智能优化升级：在制丝AB线实施基于视觉检测的制丝质量管控模块。在制丝A线实施基于数据协同的制丝关键主机设备健康状态监测模块。</w:t>
      </w:r>
    </w:p>
    <w:p w14:paraId="0420C5B1">
      <w:pPr>
        <w:suppressAutoHyphens/>
        <w:spacing w:after="0" w:line="360" w:lineRule="auto"/>
        <w:ind w:firstLine="640"/>
        <w:rPr>
          <w:rFonts w:ascii="宋体" w:hAnsi="宋体" w:cs="宋体"/>
          <w:sz w:val="21"/>
          <w:szCs w:val="21"/>
        </w:rPr>
      </w:pPr>
      <w:r>
        <w:rPr>
          <w:rFonts w:hint="eastAsia" w:ascii="宋体" w:hAnsi="宋体" w:cs="宋体"/>
          <w:sz w:val="21"/>
          <w:szCs w:val="21"/>
        </w:rPr>
        <w:t>4.卷包车间一条中支产线智能优化升级：在5台卷包设备上实施卷包设备运行状态在线监测模块；在部分卷包设备上实施单机质量管控系统；进行工厂智能制造能力成熟度诊断与优化。</w:t>
      </w:r>
    </w:p>
    <w:p w14:paraId="784CCAC6">
      <w:pPr>
        <w:suppressAutoHyphens/>
        <w:spacing w:after="0" w:line="360" w:lineRule="auto"/>
        <w:ind w:firstLine="640"/>
        <w:rPr>
          <w:rFonts w:ascii="宋体" w:hAnsi="宋体" w:cs="宋体"/>
          <w:sz w:val="21"/>
          <w:szCs w:val="21"/>
        </w:rPr>
      </w:pPr>
      <w:r>
        <w:rPr>
          <w:rFonts w:hint="eastAsia" w:ascii="宋体" w:hAnsi="宋体" w:cs="宋体"/>
          <w:sz w:val="21"/>
          <w:szCs w:val="21"/>
        </w:rPr>
        <w:t>5.数字能源建设：按三级计量的要求完善部分计量设备，对能源管理系统设备及数采站升级，对动力能源管理系统升级及功能拓展。</w:t>
      </w:r>
    </w:p>
    <w:bookmarkEnd w:id="192"/>
    <w:p w14:paraId="350C05F7">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（三）招标范围</w:t>
      </w:r>
    </w:p>
    <w:p w14:paraId="294DAE46">
      <w:pPr>
        <w:spacing w:after="0" w:line="360" w:lineRule="auto"/>
        <w:ind w:firstLine="424" w:firstLineChars="202"/>
        <w:jc w:val="both"/>
        <w:rPr>
          <w:rFonts w:ascii="宋体" w:hAnsi="宋体" w:cs="宋体"/>
          <w:sz w:val="21"/>
          <w:szCs w:val="21"/>
        </w:rPr>
      </w:pPr>
      <w:r>
        <w:rPr>
          <w:rFonts w:hint="eastAsia" w:ascii="宋体" w:hAnsi="宋体" w:cs="宋体"/>
          <w:sz w:val="21"/>
          <w:szCs w:val="21"/>
        </w:rPr>
        <w:t>完成以上建设内容的方案设计、软件采购及开发、设备及材料供货、包装、运输、保险、装卸、拆除及搬运（包</w:t>
      </w:r>
      <w:r>
        <w:rPr>
          <w:rFonts w:hint="eastAsia" w:ascii="宋体" w:hAnsi="宋体" w:cs="宋体"/>
          <w:bCs/>
          <w:kern w:val="2"/>
          <w:sz w:val="21"/>
          <w:szCs w:val="21"/>
        </w:rPr>
        <w:t>括旧设备</w:t>
      </w:r>
      <w:r>
        <w:rPr>
          <w:rFonts w:hint="eastAsia" w:ascii="宋体" w:hAnsi="宋体" w:cs="宋体"/>
          <w:sz w:val="21"/>
          <w:szCs w:val="21"/>
        </w:rPr>
        <w:t>）、安装、调试、集成、交验、培训、技术资料和售后服务等。</w:t>
      </w:r>
    </w:p>
    <w:p w14:paraId="2423693B">
      <w:pPr>
        <w:spacing w:after="0" w:line="360" w:lineRule="auto"/>
        <w:rPr>
          <w:rFonts w:ascii="宋体" w:hAnsi="宋体" w:cs="宋体"/>
          <w:b/>
          <w:bCs/>
          <w:sz w:val="21"/>
          <w:szCs w:val="21"/>
        </w:rPr>
      </w:pPr>
      <w:r>
        <w:rPr>
          <w:rFonts w:hint="eastAsia" w:ascii="宋体" w:hAnsi="宋体" w:cs="宋体"/>
          <w:b/>
          <w:bCs/>
          <w:sz w:val="21"/>
          <w:szCs w:val="21"/>
        </w:rPr>
        <w:t>三、工期和质量要求</w:t>
      </w:r>
    </w:p>
    <w:p w14:paraId="7D88BFF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工期要求：合同签订后，自招标人发出开工通知书之日起，累计330日历天内完成</w:t>
      </w:r>
      <w:r>
        <w:rPr>
          <w:rFonts w:hint="eastAsia" w:ascii="宋体" w:hAnsi="宋体" w:cs="宋体"/>
          <w:sz w:val="21"/>
          <w:szCs w:val="21"/>
        </w:rPr>
        <w:t>设备设施及材料供货、安装调试，软件设计开发调试、</w:t>
      </w:r>
      <w:r>
        <w:rPr>
          <w:rFonts w:hint="eastAsia" w:ascii="宋体" w:hAnsi="宋体"/>
          <w:sz w:val="21"/>
          <w:szCs w:val="21"/>
        </w:rPr>
        <w:t>系统上线试运行</w:t>
      </w:r>
      <w:r>
        <w:rPr>
          <w:rFonts w:hint="eastAsia" w:ascii="宋体" w:hAnsi="宋体" w:cs="宋体"/>
          <w:sz w:val="21"/>
          <w:szCs w:val="21"/>
        </w:rPr>
        <w:t>等全部工作</w:t>
      </w:r>
      <w:r>
        <w:rPr>
          <w:rFonts w:hint="eastAsia" w:ascii="宋体" w:hAnsi="宋体" w:cs="宋体"/>
          <w:bCs/>
          <w:kern w:val="2"/>
          <w:sz w:val="21"/>
          <w:szCs w:val="21"/>
        </w:rPr>
        <w:t xml:space="preserve">系统上线试运行周期为三个月。 </w:t>
      </w:r>
    </w:p>
    <w:p w14:paraId="023873A5">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质量要求：符合国家相关标准要求，满足本招标文件的技术标准及验收相关要求。</w:t>
      </w:r>
    </w:p>
    <w:p w14:paraId="4AB9346B">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质保期：项目竣工验收合格之日起不低于2年。</w:t>
      </w:r>
    </w:p>
    <w:p w14:paraId="3E1CBE8C">
      <w:pPr>
        <w:spacing w:after="0" w:line="360" w:lineRule="auto"/>
        <w:rPr>
          <w:rFonts w:ascii="宋体" w:hAnsi="宋体" w:cs="宋体"/>
          <w:b/>
          <w:bCs/>
          <w:sz w:val="21"/>
          <w:szCs w:val="21"/>
        </w:rPr>
      </w:pPr>
      <w:r>
        <w:rPr>
          <w:rFonts w:hint="eastAsia" w:ascii="宋体" w:hAnsi="宋体" w:cs="宋体"/>
          <w:b/>
          <w:bCs/>
          <w:sz w:val="21"/>
          <w:szCs w:val="21"/>
        </w:rPr>
        <w:t>四、项目总体要求</w:t>
      </w:r>
    </w:p>
    <w:p w14:paraId="6FC6CAE3">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（一）技术标准和规范</w:t>
      </w:r>
    </w:p>
    <w:p w14:paraId="386251FD">
      <w:pPr>
        <w:spacing w:after="0" w:line="360" w:lineRule="auto"/>
        <w:ind w:firstLine="424" w:firstLineChars="202"/>
        <w:jc w:val="both"/>
        <w:rPr>
          <w:rFonts w:ascii="宋体" w:hAnsi="宋体" w:cs="宋体"/>
          <w:bCs/>
          <w:color w:val="FF0000"/>
          <w:kern w:val="2"/>
          <w:sz w:val="21"/>
          <w:szCs w:val="21"/>
        </w:rPr>
      </w:pPr>
      <w:r>
        <w:rPr>
          <w:rFonts w:hint="eastAsia" w:ascii="宋体" w:hAnsi="宋体" w:cs="宋体"/>
          <w:bCs/>
          <w:kern w:val="2"/>
          <w:sz w:val="21"/>
          <w:szCs w:val="21"/>
        </w:rPr>
        <w:t>系统建设依据国家相关法律、规章和标准、烟草行业标准（YC/T、YC/Z）、相关研究成果等资料和项目实际需求实施，包括但不限于以下所标明的主要标准和规范（以下标准和规范如有废止或更新，以替代或更新后的文件为准）：</w:t>
      </w:r>
      <w:r>
        <w:rPr>
          <w:rFonts w:hint="eastAsia" w:ascii="宋体" w:hAnsi="宋体" w:cs="宋体"/>
          <w:bCs/>
          <w:color w:val="FF0000"/>
          <w:kern w:val="2"/>
          <w:sz w:val="21"/>
          <w:szCs w:val="21"/>
        </w:rPr>
        <w:t xml:space="preserve"> </w:t>
      </w:r>
    </w:p>
    <w:tbl>
      <w:tblPr>
        <w:tblStyle w:val="62"/>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237"/>
      </w:tblGrid>
      <w:tr w14:paraId="533F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22" w:type="dxa"/>
            <w:vAlign w:val="center"/>
          </w:tcPr>
          <w:p w14:paraId="2EF02390">
            <w:pPr>
              <w:autoSpaceDE w:val="0"/>
              <w:autoSpaceDN w:val="0"/>
              <w:spacing w:after="0" w:line="360" w:lineRule="auto"/>
              <w:rPr>
                <w:rFonts w:ascii="宋体" w:hAnsi="宋体" w:cs="宋体"/>
                <w:sz w:val="21"/>
                <w:szCs w:val="21"/>
              </w:rPr>
            </w:pPr>
            <w:r>
              <w:rPr>
                <w:rFonts w:hint="eastAsia" w:ascii="宋体" w:hAnsi="宋体" w:cs="宋体"/>
                <w:sz w:val="21"/>
                <w:szCs w:val="21"/>
              </w:rPr>
              <w:t>GB51348-2019</w:t>
            </w:r>
          </w:p>
        </w:tc>
        <w:tc>
          <w:tcPr>
            <w:tcW w:w="6237" w:type="dxa"/>
            <w:vAlign w:val="center"/>
          </w:tcPr>
          <w:p w14:paraId="4D911E2F">
            <w:pPr>
              <w:autoSpaceDE w:val="0"/>
              <w:autoSpaceDN w:val="0"/>
              <w:spacing w:after="0" w:line="360" w:lineRule="auto"/>
              <w:rPr>
                <w:rFonts w:ascii="宋体" w:hAnsi="宋体" w:cs="宋体"/>
                <w:sz w:val="21"/>
                <w:szCs w:val="21"/>
              </w:rPr>
            </w:pPr>
            <w:r>
              <w:rPr>
                <w:rFonts w:hint="eastAsia" w:ascii="宋体" w:hAnsi="宋体" w:cs="宋体"/>
                <w:sz w:val="21"/>
                <w:szCs w:val="21"/>
              </w:rPr>
              <w:t>《民用建筑电气设计标准》</w:t>
            </w:r>
          </w:p>
        </w:tc>
      </w:tr>
      <w:tr w14:paraId="51B8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0BD0BAA">
            <w:pPr>
              <w:autoSpaceDE w:val="0"/>
              <w:autoSpaceDN w:val="0"/>
              <w:spacing w:after="0" w:line="360" w:lineRule="auto"/>
              <w:rPr>
                <w:rFonts w:ascii="宋体" w:hAnsi="宋体" w:cs="宋体"/>
                <w:sz w:val="21"/>
                <w:szCs w:val="21"/>
              </w:rPr>
            </w:pPr>
            <w:r>
              <w:rPr>
                <w:rFonts w:hint="eastAsia" w:ascii="宋体" w:hAnsi="宋体" w:cs="宋体"/>
                <w:sz w:val="21"/>
                <w:szCs w:val="21"/>
              </w:rPr>
              <w:t>GB50016-2014（2018年版）</w:t>
            </w:r>
          </w:p>
        </w:tc>
        <w:tc>
          <w:tcPr>
            <w:tcW w:w="6237" w:type="dxa"/>
            <w:vAlign w:val="center"/>
          </w:tcPr>
          <w:p w14:paraId="7F754A80">
            <w:pPr>
              <w:autoSpaceDE w:val="0"/>
              <w:autoSpaceDN w:val="0"/>
              <w:spacing w:after="0" w:line="360" w:lineRule="auto"/>
              <w:rPr>
                <w:rFonts w:ascii="宋体" w:hAnsi="宋体" w:cs="宋体"/>
                <w:sz w:val="21"/>
                <w:szCs w:val="21"/>
              </w:rPr>
            </w:pPr>
            <w:r>
              <w:rPr>
                <w:rFonts w:hint="eastAsia" w:ascii="宋体" w:hAnsi="宋体" w:cs="宋体"/>
                <w:sz w:val="21"/>
                <w:szCs w:val="21"/>
              </w:rPr>
              <w:t>《建筑设计防火规范》</w:t>
            </w:r>
          </w:p>
        </w:tc>
      </w:tr>
      <w:tr w14:paraId="6BAA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E5FAFF7">
            <w:pPr>
              <w:autoSpaceDE w:val="0"/>
              <w:autoSpaceDN w:val="0"/>
              <w:spacing w:after="0" w:line="360" w:lineRule="auto"/>
              <w:rPr>
                <w:rFonts w:ascii="宋体" w:hAnsi="宋体" w:cs="宋体"/>
                <w:sz w:val="21"/>
                <w:szCs w:val="21"/>
              </w:rPr>
            </w:pPr>
            <w:r>
              <w:rPr>
                <w:rFonts w:hint="eastAsia" w:ascii="宋体" w:hAnsi="宋体" w:cs="宋体"/>
                <w:sz w:val="21"/>
                <w:szCs w:val="21"/>
              </w:rPr>
              <w:t>GB50348—2004</w:t>
            </w:r>
          </w:p>
        </w:tc>
        <w:tc>
          <w:tcPr>
            <w:tcW w:w="6237" w:type="dxa"/>
            <w:vAlign w:val="center"/>
          </w:tcPr>
          <w:p w14:paraId="57EE4A6E">
            <w:pPr>
              <w:autoSpaceDE w:val="0"/>
              <w:autoSpaceDN w:val="0"/>
              <w:spacing w:after="0" w:line="360" w:lineRule="auto"/>
              <w:rPr>
                <w:rFonts w:ascii="宋体" w:hAnsi="宋体" w:cs="宋体"/>
                <w:sz w:val="21"/>
                <w:szCs w:val="21"/>
              </w:rPr>
            </w:pPr>
            <w:r>
              <w:rPr>
                <w:rFonts w:hint="eastAsia" w:ascii="宋体" w:hAnsi="宋体" w:cs="宋体"/>
                <w:sz w:val="21"/>
                <w:szCs w:val="21"/>
              </w:rPr>
              <w:t>《安全防范工程技术规范》</w:t>
            </w:r>
          </w:p>
        </w:tc>
      </w:tr>
      <w:tr w14:paraId="36BC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E142F28">
            <w:pPr>
              <w:autoSpaceDE w:val="0"/>
              <w:autoSpaceDN w:val="0"/>
              <w:spacing w:after="0" w:line="360" w:lineRule="auto"/>
              <w:rPr>
                <w:rFonts w:ascii="宋体" w:hAnsi="宋体" w:cs="宋体"/>
                <w:sz w:val="21"/>
                <w:szCs w:val="21"/>
              </w:rPr>
            </w:pPr>
            <w:r>
              <w:rPr>
                <w:rFonts w:hint="eastAsia" w:ascii="宋体" w:hAnsi="宋体" w:cs="宋体"/>
                <w:sz w:val="21"/>
                <w:szCs w:val="21"/>
              </w:rPr>
              <w:t>GBJ79－85</w:t>
            </w:r>
          </w:p>
        </w:tc>
        <w:tc>
          <w:tcPr>
            <w:tcW w:w="6237" w:type="dxa"/>
            <w:vAlign w:val="center"/>
          </w:tcPr>
          <w:p w14:paraId="6762073E">
            <w:pPr>
              <w:autoSpaceDE w:val="0"/>
              <w:autoSpaceDN w:val="0"/>
              <w:spacing w:after="0" w:line="360" w:lineRule="auto"/>
              <w:rPr>
                <w:rFonts w:ascii="宋体" w:hAnsi="宋体" w:cs="宋体"/>
                <w:sz w:val="21"/>
                <w:szCs w:val="21"/>
              </w:rPr>
            </w:pPr>
            <w:r>
              <w:rPr>
                <w:rFonts w:hint="eastAsia" w:ascii="宋体" w:hAnsi="宋体" w:cs="宋体"/>
                <w:sz w:val="21"/>
                <w:szCs w:val="21"/>
              </w:rPr>
              <w:t>工业企业通信接地设计规范</w:t>
            </w:r>
          </w:p>
        </w:tc>
      </w:tr>
      <w:tr w14:paraId="155D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1B13CAA">
            <w:pPr>
              <w:autoSpaceDE w:val="0"/>
              <w:autoSpaceDN w:val="0"/>
              <w:spacing w:after="0" w:line="360" w:lineRule="auto"/>
              <w:rPr>
                <w:rFonts w:ascii="宋体" w:hAnsi="宋体" w:cs="宋体"/>
                <w:sz w:val="21"/>
                <w:szCs w:val="21"/>
              </w:rPr>
            </w:pPr>
            <w:r>
              <w:rPr>
                <w:rFonts w:hint="eastAsia" w:ascii="宋体" w:hAnsi="宋体" w:cs="宋体"/>
                <w:sz w:val="21"/>
                <w:szCs w:val="21"/>
              </w:rPr>
              <w:t>GTB856</w:t>
            </w:r>
          </w:p>
        </w:tc>
        <w:tc>
          <w:tcPr>
            <w:tcW w:w="6237" w:type="dxa"/>
            <w:vAlign w:val="center"/>
          </w:tcPr>
          <w:p w14:paraId="077101C7">
            <w:pPr>
              <w:autoSpaceDE w:val="0"/>
              <w:autoSpaceDN w:val="0"/>
              <w:spacing w:after="0" w:line="360" w:lineRule="auto"/>
              <w:rPr>
                <w:rFonts w:ascii="宋体" w:hAnsi="宋体" w:cs="宋体"/>
                <w:sz w:val="21"/>
                <w:szCs w:val="21"/>
              </w:rPr>
            </w:pPr>
            <w:r>
              <w:rPr>
                <w:rFonts w:hint="eastAsia" w:ascii="宋体" w:hAnsi="宋体" w:cs="宋体"/>
                <w:spacing w:val="-6"/>
                <w:sz w:val="21"/>
                <w:szCs w:val="21"/>
              </w:rPr>
              <w:t>软件工程国家标准</w:t>
            </w:r>
          </w:p>
        </w:tc>
      </w:tr>
      <w:tr w14:paraId="319F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22" w:type="dxa"/>
            <w:vAlign w:val="center"/>
          </w:tcPr>
          <w:p w14:paraId="50A8C783">
            <w:pPr>
              <w:autoSpaceDE w:val="0"/>
              <w:autoSpaceDN w:val="0"/>
              <w:spacing w:after="0" w:line="360" w:lineRule="auto"/>
              <w:rPr>
                <w:rFonts w:ascii="宋体" w:hAnsi="宋体" w:cs="宋体"/>
                <w:sz w:val="21"/>
                <w:szCs w:val="21"/>
              </w:rPr>
            </w:pPr>
            <w:r>
              <w:rPr>
                <w:rFonts w:hint="eastAsia" w:ascii="宋体" w:hAnsi="宋体" w:cs="宋体"/>
                <w:sz w:val="21"/>
                <w:szCs w:val="21"/>
              </w:rPr>
              <w:t>ISO/IEC11801-95</w:t>
            </w:r>
          </w:p>
        </w:tc>
        <w:tc>
          <w:tcPr>
            <w:tcW w:w="6237" w:type="dxa"/>
            <w:vAlign w:val="center"/>
          </w:tcPr>
          <w:p w14:paraId="75FACD35">
            <w:pPr>
              <w:autoSpaceDE w:val="0"/>
              <w:autoSpaceDN w:val="0"/>
              <w:spacing w:after="0" w:line="360" w:lineRule="auto"/>
              <w:rPr>
                <w:rFonts w:ascii="宋体" w:hAnsi="宋体" w:cs="宋体"/>
                <w:sz w:val="21"/>
                <w:szCs w:val="21"/>
              </w:rPr>
            </w:pPr>
            <w:r>
              <w:rPr>
                <w:rFonts w:hint="eastAsia" w:ascii="宋体" w:hAnsi="宋体" w:cs="宋体"/>
                <w:sz w:val="21"/>
                <w:szCs w:val="21"/>
              </w:rPr>
              <w:t>信息技术互连国际标准</w:t>
            </w:r>
          </w:p>
        </w:tc>
      </w:tr>
      <w:tr w14:paraId="1F69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tcBorders>
              <w:bottom w:val="single" w:color="auto" w:sz="4" w:space="0"/>
            </w:tcBorders>
            <w:vAlign w:val="center"/>
          </w:tcPr>
          <w:p w14:paraId="4A2E8E8F">
            <w:pPr>
              <w:autoSpaceDE w:val="0"/>
              <w:autoSpaceDN w:val="0"/>
              <w:spacing w:after="0" w:line="360" w:lineRule="auto"/>
              <w:rPr>
                <w:rFonts w:ascii="宋体" w:hAnsi="宋体" w:cs="宋体"/>
                <w:sz w:val="21"/>
                <w:szCs w:val="21"/>
              </w:rPr>
            </w:pPr>
            <w:r>
              <w:rPr>
                <w:rFonts w:hint="eastAsia" w:ascii="宋体" w:hAnsi="宋体" w:cs="宋体"/>
                <w:sz w:val="21"/>
                <w:szCs w:val="21"/>
              </w:rPr>
              <w:t>ISO 9000-3</w:t>
            </w:r>
          </w:p>
        </w:tc>
        <w:tc>
          <w:tcPr>
            <w:tcW w:w="6237" w:type="dxa"/>
            <w:vAlign w:val="center"/>
          </w:tcPr>
          <w:p w14:paraId="771FF0E4">
            <w:pPr>
              <w:autoSpaceDE w:val="0"/>
              <w:autoSpaceDN w:val="0"/>
              <w:spacing w:after="0" w:line="360" w:lineRule="auto"/>
              <w:rPr>
                <w:rFonts w:ascii="宋体" w:hAnsi="宋体" w:cs="宋体"/>
                <w:sz w:val="21"/>
                <w:szCs w:val="21"/>
              </w:rPr>
            </w:pPr>
            <w:r>
              <w:rPr>
                <w:rFonts w:hint="eastAsia" w:ascii="宋体" w:hAnsi="宋体" w:cs="宋体"/>
                <w:sz w:val="21"/>
                <w:szCs w:val="21"/>
              </w:rPr>
              <w:t>1997质量管理和质量保证标准第三部分；</w:t>
            </w:r>
          </w:p>
        </w:tc>
      </w:tr>
      <w:tr w14:paraId="4A51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8714CAC">
            <w:pPr>
              <w:autoSpaceDE w:val="0"/>
              <w:autoSpaceDN w:val="0"/>
              <w:spacing w:after="0" w:line="360" w:lineRule="auto"/>
              <w:rPr>
                <w:rFonts w:ascii="宋体" w:hAnsi="宋体" w:cs="宋体"/>
                <w:sz w:val="21"/>
                <w:szCs w:val="21"/>
              </w:rPr>
            </w:pPr>
            <w:r>
              <w:rPr>
                <w:rFonts w:hint="eastAsia" w:ascii="宋体" w:hAnsi="宋体" w:cs="宋体"/>
                <w:sz w:val="21"/>
                <w:szCs w:val="21"/>
              </w:rPr>
              <w:t>ISO 9001-1994</w:t>
            </w:r>
          </w:p>
        </w:tc>
        <w:tc>
          <w:tcPr>
            <w:tcW w:w="6237" w:type="dxa"/>
            <w:vAlign w:val="center"/>
          </w:tcPr>
          <w:p w14:paraId="1D972420">
            <w:pPr>
              <w:autoSpaceDE w:val="0"/>
              <w:autoSpaceDN w:val="0"/>
              <w:spacing w:after="0" w:line="360" w:lineRule="auto"/>
              <w:rPr>
                <w:rFonts w:ascii="宋体" w:hAnsi="宋体" w:cs="宋体"/>
                <w:sz w:val="21"/>
                <w:szCs w:val="21"/>
              </w:rPr>
            </w:pPr>
            <w:r>
              <w:rPr>
                <w:rFonts w:hint="eastAsia" w:ascii="宋体" w:hAnsi="宋体" w:cs="宋体"/>
                <w:sz w:val="21"/>
                <w:szCs w:val="21"/>
              </w:rPr>
              <w:t>计算机软件开发、供应、安装和维护应用指南</w:t>
            </w:r>
          </w:p>
        </w:tc>
      </w:tr>
      <w:tr w14:paraId="4102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731965C">
            <w:pPr>
              <w:autoSpaceDE w:val="0"/>
              <w:autoSpaceDN w:val="0"/>
              <w:spacing w:after="0" w:line="360" w:lineRule="auto"/>
              <w:rPr>
                <w:rFonts w:ascii="宋体" w:hAnsi="宋体" w:cs="宋体"/>
                <w:sz w:val="21"/>
                <w:szCs w:val="21"/>
              </w:rPr>
            </w:pPr>
            <w:r>
              <w:rPr>
                <w:rFonts w:hint="eastAsia" w:ascii="宋体" w:hAnsi="宋体" w:cs="宋体"/>
                <w:sz w:val="21"/>
                <w:szCs w:val="21"/>
              </w:rPr>
              <w:t>GB/T 14079-93</w:t>
            </w:r>
          </w:p>
        </w:tc>
        <w:tc>
          <w:tcPr>
            <w:tcW w:w="6237" w:type="dxa"/>
            <w:vAlign w:val="center"/>
          </w:tcPr>
          <w:p w14:paraId="04620FBB">
            <w:pPr>
              <w:autoSpaceDE w:val="0"/>
              <w:autoSpaceDN w:val="0"/>
              <w:spacing w:after="0" w:line="360" w:lineRule="auto"/>
              <w:rPr>
                <w:rFonts w:ascii="宋体" w:hAnsi="宋体" w:cs="宋体"/>
                <w:sz w:val="21"/>
                <w:szCs w:val="21"/>
              </w:rPr>
            </w:pPr>
            <w:r>
              <w:rPr>
                <w:rFonts w:hint="eastAsia" w:ascii="宋体" w:hAnsi="宋体" w:cs="宋体"/>
                <w:sz w:val="21"/>
                <w:szCs w:val="21"/>
              </w:rPr>
              <w:t>计算机软件维护指南</w:t>
            </w:r>
          </w:p>
        </w:tc>
      </w:tr>
      <w:tr w14:paraId="32AE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D0F5711">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GB/T 14394-93</w:t>
            </w:r>
          </w:p>
        </w:tc>
        <w:tc>
          <w:tcPr>
            <w:tcW w:w="6237" w:type="dxa"/>
            <w:vAlign w:val="center"/>
          </w:tcPr>
          <w:p w14:paraId="208BEA77">
            <w:pPr>
              <w:autoSpaceDE w:val="0"/>
              <w:autoSpaceDN w:val="0"/>
              <w:spacing w:after="0" w:line="360" w:lineRule="auto"/>
              <w:rPr>
                <w:rFonts w:ascii="宋体" w:hAnsi="宋体" w:cs="宋体"/>
                <w:sz w:val="21"/>
                <w:szCs w:val="21"/>
              </w:rPr>
            </w:pPr>
            <w:r>
              <w:rPr>
                <w:rFonts w:hint="eastAsia" w:ascii="宋体" w:hAnsi="宋体" w:cs="宋体"/>
                <w:sz w:val="21"/>
                <w:szCs w:val="21"/>
              </w:rPr>
              <w:t>计算机软件可靠性和可维护性管理</w:t>
            </w:r>
          </w:p>
        </w:tc>
      </w:tr>
      <w:tr w14:paraId="3E6C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DB2CBEC">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GB/T 15532-95</w:t>
            </w:r>
          </w:p>
        </w:tc>
        <w:tc>
          <w:tcPr>
            <w:tcW w:w="6237" w:type="dxa"/>
            <w:vAlign w:val="center"/>
          </w:tcPr>
          <w:p w14:paraId="7F4613A4">
            <w:pPr>
              <w:autoSpaceDE w:val="0"/>
              <w:autoSpaceDN w:val="0"/>
              <w:spacing w:after="0" w:line="360" w:lineRule="auto"/>
              <w:rPr>
                <w:rFonts w:ascii="宋体" w:hAnsi="宋体" w:cs="宋体"/>
                <w:sz w:val="21"/>
                <w:szCs w:val="21"/>
              </w:rPr>
            </w:pPr>
            <w:r>
              <w:rPr>
                <w:rFonts w:hint="eastAsia" w:ascii="宋体" w:hAnsi="宋体" w:cs="宋体"/>
                <w:sz w:val="21"/>
                <w:szCs w:val="21"/>
              </w:rPr>
              <w:t>软件单元测试</w:t>
            </w:r>
          </w:p>
        </w:tc>
      </w:tr>
      <w:tr w14:paraId="0FE0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4360AD0">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GB/T 11457-1995</w:t>
            </w:r>
          </w:p>
        </w:tc>
        <w:tc>
          <w:tcPr>
            <w:tcW w:w="6237" w:type="dxa"/>
            <w:vAlign w:val="center"/>
          </w:tcPr>
          <w:p w14:paraId="0849BCE9">
            <w:pPr>
              <w:autoSpaceDE w:val="0"/>
              <w:autoSpaceDN w:val="0"/>
              <w:spacing w:after="0" w:line="360" w:lineRule="auto"/>
              <w:rPr>
                <w:rFonts w:ascii="宋体" w:hAnsi="宋体" w:cs="宋体"/>
                <w:sz w:val="21"/>
                <w:szCs w:val="21"/>
              </w:rPr>
            </w:pPr>
            <w:r>
              <w:rPr>
                <w:rFonts w:hint="eastAsia" w:ascii="宋体" w:hAnsi="宋体" w:cs="宋体"/>
                <w:sz w:val="21"/>
                <w:szCs w:val="21"/>
              </w:rPr>
              <w:t>软件工程术语</w:t>
            </w:r>
          </w:p>
        </w:tc>
      </w:tr>
      <w:tr w14:paraId="3D81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209BE5E">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GB/T 16260-1996</w:t>
            </w:r>
          </w:p>
        </w:tc>
        <w:tc>
          <w:tcPr>
            <w:tcW w:w="6237" w:type="dxa"/>
            <w:vAlign w:val="center"/>
          </w:tcPr>
          <w:p w14:paraId="0AD8E2CF">
            <w:pPr>
              <w:autoSpaceDE w:val="0"/>
              <w:autoSpaceDN w:val="0"/>
              <w:spacing w:after="0" w:line="360" w:lineRule="auto"/>
              <w:rPr>
                <w:rFonts w:ascii="宋体" w:hAnsi="宋体" w:cs="宋体"/>
                <w:sz w:val="21"/>
                <w:szCs w:val="21"/>
              </w:rPr>
            </w:pPr>
            <w:r>
              <w:rPr>
                <w:rFonts w:hint="eastAsia" w:ascii="宋体" w:hAnsi="宋体" w:cs="宋体"/>
                <w:sz w:val="21"/>
                <w:szCs w:val="21"/>
              </w:rPr>
              <w:t>信息技术 软件产品质量特性及其使用指南</w:t>
            </w:r>
          </w:p>
        </w:tc>
      </w:tr>
      <w:tr w14:paraId="1BB6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A229582">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GB/T 18725-2008</w:t>
            </w:r>
          </w:p>
        </w:tc>
        <w:tc>
          <w:tcPr>
            <w:tcW w:w="6237" w:type="dxa"/>
            <w:vAlign w:val="center"/>
          </w:tcPr>
          <w:p w14:paraId="5BCE7DA2">
            <w:pPr>
              <w:autoSpaceDE w:val="0"/>
              <w:autoSpaceDN w:val="0"/>
              <w:spacing w:after="0" w:line="360" w:lineRule="auto"/>
              <w:rPr>
                <w:rFonts w:ascii="宋体" w:hAnsi="宋体" w:cs="宋体"/>
                <w:sz w:val="21"/>
                <w:szCs w:val="21"/>
              </w:rPr>
            </w:pPr>
            <w:r>
              <w:rPr>
                <w:rFonts w:hint="eastAsia" w:ascii="宋体" w:hAnsi="宋体" w:cs="宋体"/>
                <w:sz w:val="21"/>
                <w:szCs w:val="21"/>
              </w:rPr>
              <w:t>制造业信息化 技术术语</w:t>
            </w:r>
          </w:p>
        </w:tc>
      </w:tr>
      <w:tr w14:paraId="2578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122" w:type="dxa"/>
            <w:vAlign w:val="center"/>
          </w:tcPr>
          <w:p w14:paraId="4590942E">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GB/T 15695-2008</w:t>
            </w:r>
          </w:p>
        </w:tc>
        <w:tc>
          <w:tcPr>
            <w:tcW w:w="6237" w:type="dxa"/>
            <w:vAlign w:val="center"/>
          </w:tcPr>
          <w:p w14:paraId="56917669">
            <w:pPr>
              <w:autoSpaceDE w:val="0"/>
              <w:autoSpaceDN w:val="0"/>
              <w:spacing w:after="0" w:line="360" w:lineRule="auto"/>
              <w:rPr>
                <w:rFonts w:ascii="宋体" w:hAnsi="宋体" w:cs="宋体"/>
                <w:sz w:val="21"/>
                <w:szCs w:val="21"/>
              </w:rPr>
            </w:pPr>
            <w:r>
              <w:rPr>
                <w:rFonts w:hint="eastAsia" w:ascii="宋体" w:hAnsi="宋体" w:cs="宋体"/>
                <w:sz w:val="21"/>
                <w:szCs w:val="21"/>
              </w:rPr>
              <w:t>信息技术 开放系统互连 表示服务定义</w:t>
            </w:r>
          </w:p>
        </w:tc>
      </w:tr>
      <w:tr w14:paraId="76FE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B1A244C">
            <w:pPr>
              <w:autoSpaceDE w:val="0"/>
              <w:autoSpaceDN w:val="0"/>
              <w:spacing w:after="0" w:line="360" w:lineRule="auto"/>
              <w:rPr>
                <w:rFonts w:ascii="宋体" w:hAnsi="宋体" w:cs="宋体"/>
                <w:sz w:val="21"/>
                <w:szCs w:val="21"/>
                <w:lang w:val="de-DE"/>
              </w:rPr>
            </w:pPr>
            <w:r>
              <w:rPr>
                <w:rFonts w:hint="eastAsia" w:ascii="宋体" w:hAnsi="宋体" w:cs="宋体"/>
                <w:sz w:val="21"/>
                <w:szCs w:val="21"/>
                <w:lang w:val="de-DE"/>
              </w:rPr>
              <w:t>YC/Z 317-2009</w:t>
            </w:r>
          </w:p>
        </w:tc>
        <w:tc>
          <w:tcPr>
            <w:tcW w:w="6237" w:type="dxa"/>
            <w:vAlign w:val="center"/>
          </w:tcPr>
          <w:p w14:paraId="54EF2F81">
            <w:pPr>
              <w:autoSpaceDE w:val="0"/>
              <w:autoSpaceDN w:val="0"/>
              <w:spacing w:after="0" w:line="360" w:lineRule="auto"/>
              <w:rPr>
                <w:rFonts w:ascii="宋体" w:hAnsi="宋体" w:cs="宋体"/>
                <w:sz w:val="21"/>
                <w:szCs w:val="21"/>
              </w:rPr>
            </w:pPr>
            <w:r>
              <w:rPr>
                <w:rFonts w:hint="eastAsia" w:ascii="宋体" w:hAnsi="宋体" w:cs="宋体"/>
                <w:sz w:val="21"/>
                <w:szCs w:val="21"/>
              </w:rPr>
              <w:t>卷烟工艺参数信息化管理规范</w:t>
            </w:r>
          </w:p>
        </w:tc>
      </w:tr>
      <w:tr w14:paraId="36BD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61106B3">
            <w:pPr>
              <w:autoSpaceDE w:val="0"/>
              <w:autoSpaceDN w:val="0"/>
              <w:spacing w:after="0" w:line="360" w:lineRule="auto"/>
              <w:rPr>
                <w:rFonts w:ascii="宋体" w:hAnsi="宋体" w:cs="宋体"/>
                <w:sz w:val="21"/>
                <w:szCs w:val="21"/>
              </w:rPr>
            </w:pPr>
            <w:r>
              <w:rPr>
                <w:rFonts w:hint="eastAsia" w:ascii="宋体" w:hAnsi="宋体" w:cs="宋体"/>
                <w:sz w:val="21"/>
                <w:szCs w:val="21"/>
                <w:lang w:val="de-DE"/>
              </w:rPr>
              <w:t>GB/T 25062-2010</w:t>
            </w:r>
          </w:p>
        </w:tc>
        <w:tc>
          <w:tcPr>
            <w:tcW w:w="6237" w:type="dxa"/>
            <w:vAlign w:val="center"/>
          </w:tcPr>
          <w:p w14:paraId="263ABEFF">
            <w:pPr>
              <w:autoSpaceDE w:val="0"/>
              <w:autoSpaceDN w:val="0"/>
              <w:spacing w:after="0" w:line="360" w:lineRule="auto"/>
              <w:rPr>
                <w:rFonts w:ascii="宋体" w:hAnsi="宋体" w:cs="宋体"/>
                <w:sz w:val="21"/>
                <w:szCs w:val="21"/>
              </w:rPr>
            </w:pPr>
            <w:r>
              <w:rPr>
                <w:rFonts w:hint="eastAsia" w:ascii="宋体" w:hAnsi="宋体" w:cs="宋体"/>
                <w:sz w:val="21"/>
                <w:szCs w:val="21"/>
              </w:rPr>
              <w:t>信息安全技术 鉴别与授权 基于角色的访问控制模型与管理规范</w:t>
            </w:r>
          </w:p>
        </w:tc>
      </w:tr>
      <w:tr w14:paraId="7D77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0F06BDA">
            <w:pPr>
              <w:autoSpaceDE w:val="0"/>
              <w:autoSpaceDN w:val="0"/>
              <w:spacing w:after="0" w:line="360" w:lineRule="auto"/>
              <w:rPr>
                <w:rFonts w:ascii="宋体" w:hAnsi="宋体" w:cs="宋体"/>
                <w:sz w:val="21"/>
                <w:szCs w:val="21"/>
              </w:rPr>
            </w:pPr>
            <w:r>
              <w:rPr>
                <w:rFonts w:hint="eastAsia" w:ascii="宋体" w:hAnsi="宋体" w:cs="宋体"/>
                <w:sz w:val="21"/>
                <w:szCs w:val="21"/>
              </w:rPr>
              <w:t>GB/T 35294-2017</w:t>
            </w:r>
          </w:p>
        </w:tc>
        <w:tc>
          <w:tcPr>
            <w:tcW w:w="6237" w:type="dxa"/>
            <w:vAlign w:val="center"/>
          </w:tcPr>
          <w:p w14:paraId="12666683">
            <w:pPr>
              <w:autoSpaceDE w:val="0"/>
              <w:autoSpaceDN w:val="0"/>
              <w:spacing w:after="0" w:line="360" w:lineRule="auto"/>
              <w:rPr>
                <w:rFonts w:ascii="宋体" w:hAnsi="宋体" w:cs="宋体"/>
                <w:sz w:val="21"/>
                <w:szCs w:val="21"/>
              </w:rPr>
            </w:pPr>
            <w:r>
              <w:rPr>
                <w:rFonts w:hint="eastAsia" w:ascii="宋体" w:hAnsi="宋体" w:cs="宋体"/>
                <w:sz w:val="21"/>
                <w:szCs w:val="21"/>
              </w:rPr>
              <w:t>信息技术 科学数据引用</w:t>
            </w:r>
          </w:p>
        </w:tc>
      </w:tr>
      <w:tr w14:paraId="108D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6DE6355">
            <w:pPr>
              <w:autoSpaceDE w:val="0"/>
              <w:autoSpaceDN w:val="0"/>
              <w:spacing w:after="0" w:line="360" w:lineRule="auto"/>
              <w:rPr>
                <w:rFonts w:ascii="宋体" w:hAnsi="宋体" w:cs="宋体"/>
                <w:sz w:val="21"/>
                <w:szCs w:val="21"/>
              </w:rPr>
            </w:pPr>
            <w:r>
              <w:rPr>
                <w:rFonts w:hint="eastAsia" w:ascii="宋体" w:hAnsi="宋体" w:cs="宋体"/>
                <w:sz w:val="21"/>
                <w:szCs w:val="21"/>
              </w:rPr>
              <w:t>GB/T 35295-2017</w:t>
            </w:r>
          </w:p>
        </w:tc>
        <w:tc>
          <w:tcPr>
            <w:tcW w:w="6237" w:type="dxa"/>
            <w:vAlign w:val="center"/>
          </w:tcPr>
          <w:p w14:paraId="7C958E9D">
            <w:pPr>
              <w:autoSpaceDE w:val="0"/>
              <w:autoSpaceDN w:val="0"/>
              <w:spacing w:after="0" w:line="360" w:lineRule="auto"/>
              <w:rPr>
                <w:rFonts w:ascii="宋体" w:hAnsi="宋体" w:cs="宋体"/>
                <w:sz w:val="21"/>
                <w:szCs w:val="21"/>
              </w:rPr>
            </w:pPr>
            <w:r>
              <w:rPr>
                <w:rFonts w:hint="eastAsia" w:ascii="宋体" w:hAnsi="宋体" w:cs="宋体"/>
                <w:sz w:val="21"/>
                <w:szCs w:val="21"/>
              </w:rPr>
              <w:t>信息技术 大数据 术语</w:t>
            </w:r>
          </w:p>
        </w:tc>
      </w:tr>
      <w:tr w14:paraId="0188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076A12F">
            <w:pPr>
              <w:autoSpaceDE w:val="0"/>
              <w:autoSpaceDN w:val="0"/>
              <w:spacing w:after="0" w:line="360" w:lineRule="auto"/>
              <w:rPr>
                <w:rFonts w:ascii="宋体" w:hAnsi="宋体" w:cs="宋体"/>
                <w:sz w:val="21"/>
                <w:szCs w:val="21"/>
              </w:rPr>
            </w:pPr>
            <w:r>
              <w:rPr>
                <w:rFonts w:hint="eastAsia" w:ascii="宋体" w:hAnsi="宋体" w:cs="宋体"/>
                <w:sz w:val="21"/>
                <w:szCs w:val="21"/>
              </w:rPr>
              <w:t>Q/HY.XX.015-2022/0</w:t>
            </w:r>
          </w:p>
        </w:tc>
        <w:tc>
          <w:tcPr>
            <w:tcW w:w="6237" w:type="dxa"/>
            <w:vAlign w:val="center"/>
          </w:tcPr>
          <w:p w14:paraId="3212425F">
            <w:pPr>
              <w:spacing w:after="0" w:line="360" w:lineRule="auto"/>
              <w:rPr>
                <w:rFonts w:ascii="宋体" w:hAnsi="宋体" w:cs="宋体"/>
                <w:sz w:val="21"/>
                <w:szCs w:val="21"/>
              </w:rPr>
            </w:pPr>
            <w:r>
              <w:rPr>
                <w:rFonts w:hint="eastAsia" w:ascii="宋体" w:hAnsi="宋体" w:cs="宋体"/>
                <w:sz w:val="21"/>
                <w:szCs w:val="21"/>
              </w:rPr>
              <w:t>网络建设规范</w:t>
            </w:r>
          </w:p>
        </w:tc>
      </w:tr>
      <w:tr w14:paraId="2279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122" w:type="dxa"/>
            <w:vAlign w:val="center"/>
          </w:tcPr>
          <w:p w14:paraId="7E570BA1">
            <w:pPr>
              <w:autoSpaceDE w:val="0"/>
              <w:autoSpaceDN w:val="0"/>
              <w:spacing w:after="0" w:line="360" w:lineRule="auto"/>
              <w:rPr>
                <w:rFonts w:ascii="宋体" w:hAnsi="宋体" w:cs="宋体"/>
                <w:sz w:val="21"/>
                <w:szCs w:val="21"/>
              </w:rPr>
            </w:pPr>
            <w:r>
              <w:rPr>
                <w:rFonts w:hint="eastAsia" w:ascii="宋体" w:hAnsi="宋体" w:cs="宋体"/>
                <w:sz w:val="21"/>
                <w:szCs w:val="21"/>
              </w:rPr>
              <w:t>Q/HY.XX.019-2022/0</w:t>
            </w:r>
          </w:p>
        </w:tc>
        <w:tc>
          <w:tcPr>
            <w:tcW w:w="6237" w:type="dxa"/>
            <w:vAlign w:val="center"/>
          </w:tcPr>
          <w:p w14:paraId="6C660FCE">
            <w:pPr>
              <w:spacing w:after="0" w:line="360" w:lineRule="auto"/>
              <w:rPr>
                <w:rFonts w:ascii="宋体" w:hAnsi="宋体" w:cs="宋体"/>
                <w:sz w:val="21"/>
                <w:szCs w:val="21"/>
              </w:rPr>
            </w:pPr>
            <w:r>
              <w:rPr>
                <w:rFonts w:hint="eastAsia" w:ascii="宋体" w:hAnsi="宋体" w:cs="宋体"/>
                <w:sz w:val="21"/>
                <w:szCs w:val="21"/>
              </w:rPr>
              <w:t xml:space="preserve">制造过程数据采集标准 </w:t>
            </w:r>
          </w:p>
        </w:tc>
      </w:tr>
      <w:tr w14:paraId="0D5D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0E5F70F">
            <w:pPr>
              <w:autoSpaceDE w:val="0"/>
              <w:autoSpaceDN w:val="0"/>
              <w:spacing w:after="0" w:line="360" w:lineRule="auto"/>
              <w:rPr>
                <w:rFonts w:ascii="宋体" w:hAnsi="宋体" w:cs="宋体"/>
                <w:sz w:val="21"/>
                <w:szCs w:val="21"/>
              </w:rPr>
            </w:pPr>
            <w:r>
              <w:rPr>
                <w:rFonts w:hint="eastAsia" w:ascii="宋体" w:hAnsi="宋体" w:cs="宋体"/>
                <w:sz w:val="21"/>
                <w:szCs w:val="21"/>
              </w:rPr>
              <w:t>GB50068-2018</w:t>
            </w:r>
          </w:p>
        </w:tc>
        <w:tc>
          <w:tcPr>
            <w:tcW w:w="6237" w:type="dxa"/>
            <w:vAlign w:val="center"/>
          </w:tcPr>
          <w:p w14:paraId="3143B3FF">
            <w:pPr>
              <w:spacing w:after="0" w:line="360" w:lineRule="auto"/>
              <w:rPr>
                <w:rFonts w:ascii="宋体" w:hAnsi="宋体" w:cs="宋体"/>
                <w:sz w:val="21"/>
                <w:szCs w:val="21"/>
              </w:rPr>
            </w:pPr>
            <w:r>
              <w:rPr>
                <w:rFonts w:hint="eastAsia" w:ascii="宋体" w:hAnsi="宋体" w:cs="宋体"/>
                <w:sz w:val="21"/>
                <w:szCs w:val="21"/>
              </w:rPr>
              <w:t>建筑工程结构可靠性设计统一标准</w:t>
            </w:r>
          </w:p>
        </w:tc>
      </w:tr>
      <w:tr w14:paraId="1893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47A961A">
            <w:pPr>
              <w:spacing w:after="0" w:line="360" w:lineRule="auto"/>
              <w:rPr>
                <w:rFonts w:ascii="宋体" w:hAnsi="宋体" w:cs="宋体"/>
                <w:sz w:val="21"/>
                <w:szCs w:val="21"/>
              </w:rPr>
            </w:pPr>
            <w:r>
              <w:rPr>
                <w:rFonts w:hint="eastAsia" w:ascii="宋体" w:hAnsi="宋体" w:cs="宋体"/>
                <w:sz w:val="21"/>
                <w:szCs w:val="21"/>
              </w:rPr>
              <w:t>GB/T50314-2006</w:t>
            </w:r>
          </w:p>
        </w:tc>
        <w:tc>
          <w:tcPr>
            <w:tcW w:w="6237" w:type="dxa"/>
            <w:vAlign w:val="center"/>
          </w:tcPr>
          <w:p w14:paraId="2DDD29A8">
            <w:pPr>
              <w:spacing w:after="0" w:line="360" w:lineRule="auto"/>
              <w:rPr>
                <w:rFonts w:ascii="宋体" w:hAnsi="宋体" w:cs="宋体"/>
                <w:sz w:val="21"/>
                <w:szCs w:val="21"/>
              </w:rPr>
            </w:pPr>
            <w:r>
              <w:rPr>
                <w:rFonts w:hint="eastAsia" w:ascii="宋体" w:hAnsi="宋体" w:cs="宋体"/>
                <w:sz w:val="21"/>
                <w:szCs w:val="21"/>
              </w:rPr>
              <w:t>智能建筑设计标准</w:t>
            </w:r>
          </w:p>
        </w:tc>
      </w:tr>
      <w:tr w14:paraId="729F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92F30D5">
            <w:pPr>
              <w:autoSpaceDE w:val="0"/>
              <w:autoSpaceDN w:val="0"/>
              <w:spacing w:after="0" w:line="360" w:lineRule="auto"/>
              <w:rPr>
                <w:rFonts w:ascii="宋体" w:hAnsi="宋体" w:cs="宋体"/>
                <w:sz w:val="21"/>
                <w:szCs w:val="21"/>
              </w:rPr>
            </w:pPr>
            <w:r>
              <w:rPr>
                <w:rFonts w:hint="eastAsia" w:ascii="宋体" w:hAnsi="宋体" w:cs="宋体"/>
                <w:sz w:val="21"/>
                <w:szCs w:val="21"/>
              </w:rPr>
              <w:t>GB50254-2016</w:t>
            </w:r>
          </w:p>
        </w:tc>
        <w:tc>
          <w:tcPr>
            <w:tcW w:w="6237" w:type="dxa"/>
            <w:vAlign w:val="center"/>
          </w:tcPr>
          <w:p w14:paraId="227160E7">
            <w:pPr>
              <w:spacing w:after="0" w:line="360" w:lineRule="auto"/>
              <w:rPr>
                <w:rFonts w:ascii="宋体" w:hAnsi="宋体" w:cs="宋体"/>
                <w:sz w:val="21"/>
                <w:szCs w:val="21"/>
              </w:rPr>
            </w:pPr>
            <w:r>
              <w:rPr>
                <w:rFonts w:hint="eastAsia" w:ascii="宋体" w:hAnsi="宋体" w:cs="宋体"/>
                <w:sz w:val="21"/>
                <w:szCs w:val="21"/>
              </w:rPr>
              <w:t>电气装置安装工程施工及验收规范</w:t>
            </w:r>
          </w:p>
        </w:tc>
      </w:tr>
      <w:tr w14:paraId="6D13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42A93D7">
            <w:pPr>
              <w:spacing w:after="0" w:line="360" w:lineRule="auto"/>
              <w:rPr>
                <w:rFonts w:ascii="宋体" w:hAnsi="宋体" w:cs="宋体"/>
                <w:sz w:val="21"/>
                <w:szCs w:val="21"/>
              </w:rPr>
            </w:pPr>
            <w:r>
              <w:rPr>
                <w:rFonts w:hint="eastAsia" w:ascii="宋体" w:hAnsi="宋体" w:cs="宋体"/>
                <w:sz w:val="21"/>
                <w:szCs w:val="21"/>
              </w:rPr>
              <w:t>GB/T 22239-2019</w:t>
            </w:r>
          </w:p>
        </w:tc>
        <w:tc>
          <w:tcPr>
            <w:tcW w:w="6237" w:type="dxa"/>
            <w:vAlign w:val="center"/>
          </w:tcPr>
          <w:p w14:paraId="50767FD6">
            <w:pPr>
              <w:spacing w:after="0" w:line="360" w:lineRule="auto"/>
              <w:rPr>
                <w:rFonts w:ascii="宋体" w:hAnsi="宋体" w:cs="宋体"/>
                <w:sz w:val="21"/>
                <w:szCs w:val="21"/>
              </w:rPr>
            </w:pPr>
            <w:r>
              <w:rPr>
                <w:rFonts w:hint="eastAsia" w:ascii="宋体" w:hAnsi="宋体" w:cs="宋体"/>
                <w:sz w:val="21"/>
                <w:szCs w:val="21"/>
              </w:rPr>
              <w:t>《信息安全技术网络安全等级保护基本要求》</w:t>
            </w:r>
          </w:p>
        </w:tc>
      </w:tr>
      <w:tr w14:paraId="24C6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2003AD3">
            <w:pPr>
              <w:spacing w:after="0" w:line="360" w:lineRule="auto"/>
              <w:rPr>
                <w:rFonts w:ascii="宋体" w:hAnsi="宋体" w:cs="宋体"/>
                <w:sz w:val="21"/>
                <w:szCs w:val="21"/>
              </w:rPr>
            </w:pPr>
            <w:r>
              <w:rPr>
                <w:rFonts w:hint="eastAsia" w:ascii="宋体" w:hAnsi="宋体" w:cs="宋体"/>
                <w:sz w:val="21"/>
                <w:szCs w:val="21"/>
              </w:rPr>
              <w:t>GB 17167</w:t>
            </w:r>
          </w:p>
        </w:tc>
        <w:tc>
          <w:tcPr>
            <w:tcW w:w="6237" w:type="dxa"/>
            <w:vAlign w:val="center"/>
          </w:tcPr>
          <w:p w14:paraId="2DDD7B0F">
            <w:pPr>
              <w:spacing w:after="0" w:line="360" w:lineRule="auto"/>
              <w:rPr>
                <w:rFonts w:ascii="宋体" w:hAnsi="宋体" w:cs="宋体"/>
                <w:sz w:val="21"/>
                <w:szCs w:val="21"/>
              </w:rPr>
            </w:pPr>
            <w:r>
              <w:rPr>
                <w:rFonts w:hint="eastAsia" w:ascii="宋体" w:hAnsi="宋体" w:cs="宋体"/>
                <w:sz w:val="21"/>
                <w:szCs w:val="21"/>
              </w:rPr>
              <w:t>《用能单位能源计量器具配备和管理通则》</w:t>
            </w:r>
          </w:p>
        </w:tc>
      </w:tr>
      <w:tr w14:paraId="3E3D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55E1A53">
            <w:pPr>
              <w:spacing w:after="0" w:line="360" w:lineRule="auto"/>
              <w:rPr>
                <w:rFonts w:ascii="宋体" w:hAnsi="宋体" w:cs="宋体"/>
                <w:sz w:val="21"/>
                <w:szCs w:val="21"/>
              </w:rPr>
            </w:pPr>
            <w:r>
              <w:rPr>
                <w:rFonts w:hint="eastAsia" w:ascii="宋体" w:hAnsi="宋体" w:cs="宋体"/>
                <w:sz w:val="21"/>
                <w:szCs w:val="21"/>
                <w:lang w:val="zh-CN"/>
              </w:rPr>
              <w:t>GB</w:t>
            </w:r>
            <w:r>
              <w:rPr>
                <w:rFonts w:hint="eastAsia" w:ascii="宋体" w:hAnsi="宋体" w:cs="宋体"/>
                <w:sz w:val="21"/>
                <w:szCs w:val="21"/>
              </w:rPr>
              <w:t>15587</w:t>
            </w:r>
          </w:p>
        </w:tc>
        <w:tc>
          <w:tcPr>
            <w:tcW w:w="6237" w:type="dxa"/>
            <w:vAlign w:val="center"/>
          </w:tcPr>
          <w:p w14:paraId="3624D64B">
            <w:pPr>
              <w:spacing w:after="0" w:line="360"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工业企业能源管理导则</w:t>
            </w:r>
            <w:r>
              <w:rPr>
                <w:rFonts w:hint="eastAsia" w:ascii="宋体" w:hAnsi="宋体" w:cs="宋体"/>
                <w:sz w:val="21"/>
                <w:szCs w:val="21"/>
                <w:lang w:val="zh-CN"/>
              </w:rPr>
              <w:t>》</w:t>
            </w:r>
          </w:p>
        </w:tc>
      </w:tr>
      <w:tr w14:paraId="07D4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2899CAA">
            <w:pPr>
              <w:spacing w:after="0" w:line="360" w:lineRule="auto"/>
              <w:rPr>
                <w:rFonts w:ascii="宋体" w:hAnsi="宋体" w:cs="宋体"/>
                <w:sz w:val="21"/>
                <w:szCs w:val="21"/>
              </w:rPr>
            </w:pPr>
            <w:r>
              <w:rPr>
                <w:rFonts w:hint="eastAsia" w:ascii="宋体" w:hAnsi="宋体" w:cs="宋体"/>
                <w:sz w:val="21"/>
                <w:szCs w:val="21"/>
              </w:rPr>
              <w:t>GB/T23331/ISO50001</w:t>
            </w:r>
          </w:p>
        </w:tc>
        <w:tc>
          <w:tcPr>
            <w:tcW w:w="6237" w:type="dxa"/>
            <w:vAlign w:val="center"/>
          </w:tcPr>
          <w:p w14:paraId="544C2283">
            <w:pPr>
              <w:spacing w:after="0" w:line="360" w:lineRule="auto"/>
              <w:rPr>
                <w:rFonts w:ascii="宋体" w:hAnsi="宋体" w:cs="宋体"/>
                <w:sz w:val="21"/>
                <w:szCs w:val="21"/>
              </w:rPr>
            </w:pPr>
            <w:r>
              <w:rPr>
                <w:rFonts w:hint="eastAsia" w:ascii="宋体" w:hAnsi="宋体" w:cs="宋体"/>
                <w:sz w:val="21"/>
                <w:szCs w:val="21"/>
                <w:lang w:val="zh-CN"/>
              </w:rPr>
              <w:t>《能源管理体系》</w:t>
            </w:r>
          </w:p>
        </w:tc>
      </w:tr>
    </w:tbl>
    <w:p w14:paraId="0D87F20E">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（二）采用技术标准和规范的原则</w:t>
      </w:r>
    </w:p>
    <w:p w14:paraId="335DC01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投标人采用的本企业标准在该企业内适用，并不得低于国际、国家、行业标准；</w:t>
      </w:r>
    </w:p>
    <w:p w14:paraId="2E9E9390">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以上标准的文本如有差异的，以要求高的标准、条文为准；</w:t>
      </w:r>
    </w:p>
    <w:p w14:paraId="148FBC0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所有标准均应是有效的最新版本。</w:t>
      </w:r>
    </w:p>
    <w:p w14:paraId="692E1629">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（三）总体设计原则</w:t>
      </w:r>
    </w:p>
    <w:p w14:paraId="28152220">
      <w:pPr>
        <w:spacing w:after="0" w:line="360" w:lineRule="auto"/>
        <w:ind w:firstLine="420" w:firstLineChars="200"/>
        <w:rPr>
          <w:rFonts w:ascii="宋体" w:hAnsi="宋体" w:cs="宋体"/>
          <w:sz w:val="21"/>
          <w:szCs w:val="21"/>
        </w:rPr>
      </w:pPr>
      <w:r>
        <w:rPr>
          <w:rFonts w:hint="eastAsia" w:ascii="宋体" w:hAnsi="宋体" w:cs="宋体"/>
          <w:bCs/>
          <w:kern w:val="2"/>
          <w:sz w:val="21"/>
          <w:szCs w:val="21"/>
        </w:rPr>
        <w:t>先进性：</w:t>
      </w:r>
      <w:r>
        <w:rPr>
          <w:rFonts w:hint="eastAsia" w:ascii="宋体" w:hAnsi="宋体" w:cs="宋体"/>
          <w:sz w:val="21"/>
          <w:szCs w:val="21"/>
        </w:rPr>
        <w:t>在保证开放性和实用性原则的基础上，采用先进的技术，适当的网络组合，使其发挥最佳的集成效果，保证在相当长一段时间内系统整体处于先进水准。</w:t>
      </w:r>
    </w:p>
    <w:p w14:paraId="4DCAE96F">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兼容性：能支持常用自控设备和通讯接口、通讯协议。所采用的软硬件平台必须具有开放性，所采用的规范应具有通用性，同时具有兼容原有系统的能力。</w:t>
      </w:r>
    </w:p>
    <w:p w14:paraId="7C6A2FEC">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标准统一性：采用标准化的设计，优先采用标准化产品和设计方法。</w:t>
      </w:r>
    </w:p>
    <w:p w14:paraId="10BD6075">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易用性、易维护性：充分考虑操作使用、管理、维护的可视化、层次化，操作界面友好，操作步骤简练，系统维护简单。</w:t>
      </w:r>
    </w:p>
    <w:p w14:paraId="4C2A1563">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安全性及可靠性：采用有效的措施，保证系统安全、正常、稳定、可靠运行。</w:t>
      </w:r>
    </w:p>
    <w:p w14:paraId="0583493D">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可扩展性：本项目应考虑到未来发展，设计时考虑系统的扩充和升级能力。</w:t>
      </w:r>
    </w:p>
    <w:p w14:paraId="189D6D93">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（四）总体设计要求</w:t>
      </w:r>
    </w:p>
    <w:p w14:paraId="6A814DA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本项目根据工厂生产和发展的需要，按总体筹划、整体协调、分步实施，并留有发展余地的原则进行。整合原有资源，合理利用原有部分设备及公用设施，做到功能分区明确合理、顺畅简捷，按照创新、实用、可靠，并考虑相关应用的可复用性。</w:t>
      </w:r>
    </w:p>
    <w:p w14:paraId="7D8D1B24">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（五）系统总体架构</w:t>
      </w:r>
    </w:p>
    <w:p w14:paraId="2957309C">
      <w:pPr>
        <w:pStyle w:val="3"/>
        <w:snapToGrid w:val="0"/>
        <w:spacing w:after="0" w:line="360" w:lineRule="auto"/>
        <w:ind w:left="0" w:leftChars="0" w:firstLine="640"/>
        <w:rPr>
          <w:rFonts w:ascii="宋体" w:hAnsi="宋体" w:cs="宋体"/>
          <w:bCs/>
          <w:kern w:val="2"/>
          <w:sz w:val="21"/>
          <w:szCs w:val="21"/>
        </w:rPr>
      </w:pPr>
      <w:r>
        <w:rPr>
          <w:rFonts w:hint="eastAsia" w:ascii="宋体" w:hAnsi="宋体" w:cs="宋体"/>
          <w:bCs/>
          <w:kern w:val="2"/>
          <w:sz w:val="21"/>
          <w:szCs w:val="21"/>
        </w:rPr>
        <w:t>通过对照行业智能工厂建设要求及智能制造成熟度四级模型，梳理工厂弱项环节。其中，设计、销售、服务等环节，工厂不涉及相关业务，人员中的组织战略、人员技能，技术中的数据、集成、信息安全，资源中的装备、网络建设等内容随着工厂持续的信息化建设，达到了智能制造成熟度四级模型的要求。生产模块中的生产作业、设备管理、安全相关、能源管理方面对标四级还有差距，本项目主要从生产作业、质量管控、设备管理、能源管理环节的弱项进行规划。</w:t>
      </w:r>
    </w:p>
    <w:p w14:paraId="10F0A651">
      <w:pPr>
        <w:spacing w:after="0" w:line="360" w:lineRule="auto"/>
        <w:ind w:firstLine="422" w:firstLineChars="200"/>
        <w:jc w:val="center"/>
        <w:rPr>
          <w:rFonts w:ascii="宋体" w:hAnsi="宋体" w:cs="宋体"/>
          <w:b/>
          <w:bCs/>
          <w:sz w:val="21"/>
          <w:szCs w:val="21"/>
        </w:rPr>
      </w:pPr>
      <w:r>
        <w:rPr>
          <w:rFonts w:hint="eastAsia" w:ascii="宋体" w:hAnsi="宋体" w:cs="宋体"/>
          <w:b/>
          <w:bCs/>
          <w:sz w:val="21"/>
          <w:szCs w:val="21"/>
        </w:rPr>
        <w:t>图1：系统总体架构图</w:t>
      </w:r>
      <w:r>
        <w:rPr>
          <w:rFonts w:hint="eastAsia" w:ascii="宋体" w:hAnsi="宋体" w:cs="宋体"/>
          <w:sz w:val="21"/>
          <w:szCs w:val="21"/>
        </w:rPr>
        <w:drawing>
          <wp:anchor distT="0" distB="0" distL="114300" distR="114300" simplePos="0" relativeHeight="251661312" behindDoc="0" locked="0" layoutInCell="1" allowOverlap="1">
            <wp:simplePos x="0" y="0"/>
            <wp:positionH relativeFrom="column">
              <wp:posOffset>323850</wp:posOffset>
            </wp:positionH>
            <wp:positionV relativeFrom="paragraph">
              <wp:posOffset>92710</wp:posOffset>
            </wp:positionV>
            <wp:extent cx="5481320" cy="3421380"/>
            <wp:effectExtent l="0" t="0" r="5080" b="7620"/>
            <wp:wrapSquare wrapText="bothSides"/>
            <wp:docPr id="5" name="图片 5" descr="C:\Users\Administrator\AppData\Roaming\Tencent\WXWorkLocal\screen_shot\WXWorkLocal_17312924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WXWorkLocal\screen_shot\WXWorkLocal_1731292412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81320" cy="3421380"/>
                    </a:xfrm>
                    <a:prstGeom prst="rect">
                      <a:avLst/>
                    </a:prstGeom>
                    <a:noFill/>
                    <a:ln>
                      <a:noFill/>
                    </a:ln>
                  </pic:spPr>
                </pic:pic>
              </a:graphicData>
            </a:graphic>
          </wp:anchor>
        </w:drawing>
      </w:r>
    </w:p>
    <w:p w14:paraId="7B293C80">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（六）主要建设内容和技术要求</w:t>
      </w:r>
    </w:p>
    <w:p w14:paraId="7802FAD9">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1.技术工具升级</w:t>
      </w:r>
    </w:p>
    <w:p w14:paraId="255E5CE1">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视觉算法软件：作为基础工具，用于卷包单机质量管理应用中缺陷图片深度学习及预警模块的相关算法支持。机器视觉能为百余种工业相机和图像采集卡提供接口，如GenlCam、GigE Vision 和 USB3 Vision等标准接口，能够提供的函数库丰富且性能优秀，包括 Blob分析、形态学、匹配、测量、识别和深度学习等。</w:t>
      </w:r>
    </w:p>
    <w:p w14:paraId="301DFBEE">
      <w:pPr>
        <w:spacing w:after="0" w:line="360" w:lineRule="auto"/>
        <w:ind w:firstLine="641"/>
        <w:rPr>
          <w:rFonts w:ascii="宋体" w:hAnsi="宋体" w:cs="宋体"/>
          <w:bCs/>
          <w:kern w:val="2"/>
          <w:sz w:val="21"/>
          <w:szCs w:val="21"/>
        </w:rPr>
      </w:pPr>
      <w:r>
        <w:rPr>
          <w:rFonts w:hint="eastAsia" w:ascii="宋体" w:hAnsi="宋体" w:cs="宋体"/>
          <w:bCs/>
          <w:kern w:val="2"/>
          <w:sz w:val="21"/>
          <w:szCs w:val="21"/>
        </w:rPr>
        <w:t>1）、开发训练用版本（1套）: 性能相当于或不低于HALCON、AIDI、VIDI品牌最新版（物体检测特征、分类、语义分割、分类评估、快速标记、全文编辑器、鲁棒性应用、深度学习及其它功能的改进和提速）。</w:t>
      </w:r>
    </w:p>
    <w:p w14:paraId="0956AB49">
      <w:pPr>
        <w:spacing w:after="0" w:line="360" w:lineRule="auto"/>
        <w:ind w:firstLine="641"/>
        <w:rPr>
          <w:rFonts w:ascii="宋体" w:hAnsi="宋体" w:cs="宋体"/>
          <w:b/>
          <w:bCs/>
          <w:sz w:val="21"/>
          <w:szCs w:val="21"/>
        </w:rPr>
      </w:pPr>
      <w:r>
        <w:rPr>
          <w:rFonts w:hint="eastAsia" w:ascii="宋体" w:hAnsi="宋体" w:cs="宋体"/>
          <w:bCs/>
          <w:kern w:val="2"/>
          <w:sz w:val="21"/>
          <w:szCs w:val="21"/>
        </w:rPr>
        <w:t>2）、现场部署运行版本（2套）: 性能相当于或不低于HALCON、AIDI、VIDI品牌最新版（加速因子、算子自动并行化、代码共享、深度学习及并行化编程）。</w:t>
      </w:r>
    </w:p>
    <w:p w14:paraId="5CF5D07B">
      <w:pPr>
        <w:spacing w:after="0" w:line="360" w:lineRule="auto"/>
        <w:ind w:firstLine="422" w:firstLineChars="200"/>
        <w:rPr>
          <w:rFonts w:ascii="宋体" w:hAnsi="宋体" w:cs="宋体"/>
          <w:b/>
          <w:bCs/>
          <w:sz w:val="21"/>
          <w:szCs w:val="21"/>
        </w:rPr>
      </w:pPr>
      <w:bookmarkStart w:id="193" w:name="_Hlk168668104"/>
      <w:r>
        <w:rPr>
          <w:rFonts w:hint="eastAsia" w:ascii="宋体" w:hAnsi="宋体" w:cs="宋体"/>
          <w:b/>
          <w:bCs/>
          <w:sz w:val="21"/>
          <w:szCs w:val="21"/>
        </w:rPr>
        <w:t>2.基于二维码的创新应用</w:t>
      </w:r>
    </w:p>
    <w:p w14:paraId="5D4BEB07">
      <w:pPr>
        <w:spacing w:after="0" w:line="360" w:lineRule="auto"/>
        <w:rPr>
          <w:rFonts w:ascii="宋体" w:hAnsi="宋体" w:cs="宋体"/>
          <w:bCs/>
          <w:kern w:val="2"/>
          <w:sz w:val="21"/>
          <w:szCs w:val="21"/>
        </w:rPr>
      </w:pPr>
      <w:r>
        <w:rPr>
          <w:rFonts w:hint="eastAsia" w:ascii="宋体" w:hAnsi="宋体" w:cs="宋体"/>
          <w:bCs/>
          <w:kern w:val="2"/>
          <w:sz w:val="21"/>
          <w:szCs w:val="21"/>
        </w:rPr>
        <w:t>2.1基于二维码的涉烟废弃物监管应用</w:t>
      </w:r>
    </w:p>
    <w:p w14:paraId="44845E68">
      <w:pPr>
        <w:spacing w:after="0" w:line="360" w:lineRule="auto"/>
        <w:ind w:firstLine="641"/>
        <w:rPr>
          <w:rFonts w:ascii="宋体" w:hAnsi="宋体" w:cs="宋体"/>
          <w:bCs/>
          <w:kern w:val="2"/>
          <w:sz w:val="21"/>
          <w:szCs w:val="21"/>
        </w:rPr>
      </w:pPr>
      <w:r>
        <w:rPr>
          <w:rFonts w:hint="eastAsia" w:ascii="宋体" w:hAnsi="宋体" w:cs="宋体"/>
          <w:bCs/>
          <w:kern w:val="2"/>
          <w:sz w:val="21"/>
          <w:szCs w:val="21"/>
        </w:rPr>
        <w:t>建设基于二维码的涉烟废弃物监管应用，满足卷烟智能工厂建设中关于废弃物料管理和行业专卖内管相关要求。目前工厂废弃烟草专卖品和涉烟废弃物数据采集采用原始称重并由业务人员统计填报数据的方式；出于数据精确度以及降低数据填报出错概率的考虑，拟采购自动数采设备，实现废弃烟草专卖品和涉烟废弃物的自动数采，一方面提高数据的精确性，另一方面探索废弃烟草专卖品和涉烟废弃物依托二维码的管理模式。</w:t>
      </w:r>
    </w:p>
    <w:p w14:paraId="2526A715">
      <w:pPr>
        <w:spacing w:after="0" w:line="360" w:lineRule="auto"/>
        <w:ind w:firstLine="641"/>
        <w:rPr>
          <w:rFonts w:ascii="宋体" w:hAnsi="宋体" w:cs="宋体"/>
          <w:bCs/>
          <w:kern w:val="2"/>
          <w:sz w:val="21"/>
          <w:szCs w:val="21"/>
        </w:rPr>
      </w:pPr>
      <w:r>
        <w:rPr>
          <w:rFonts w:hint="eastAsia" w:ascii="宋体" w:hAnsi="宋体" w:cs="宋体"/>
          <w:bCs/>
          <w:kern w:val="2"/>
          <w:sz w:val="21"/>
          <w:szCs w:val="21"/>
        </w:rPr>
        <w:t>通过自动数采可以实现对废弃物进行识别并根据废弃物种类和重量导出对应二维码，从而实现废弃物与二维码一一对应，废弃物的产生与处置一一对应，确保废弃物依法依规处置，降低废弃物外流风险。</w:t>
      </w:r>
    </w:p>
    <w:p w14:paraId="56E4884D">
      <w:pPr>
        <w:spacing w:after="0" w:line="360" w:lineRule="auto"/>
        <w:ind w:firstLine="641"/>
        <w:rPr>
          <w:rFonts w:ascii="宋体" w:hAnsi="宋体" w:cs="宋体"/>
          <w:bCs/>
          <w:kern w:val="2"/>
          <w:sz w:val="21"/>
          <w:szCs w:val="21"/>
        </w:rPr>
      </w:pPr>
      <w:r>
        <w:rPr>
          <w:rFonts w:hint="eastAsia" w:ascii="宋体" w:hAnsi="宋体" w:cs="宋体"/>
          <w:bCs/>
          <w:kern w:val="2"/>
          <w:sz w:val="21"/>
          <w:szCs w:val="21"/>
        </w:rPr>
        <w:t>1）硬件改造及购置方面：</w:t>
      </w:r>
    </w:p>
    <w:p w14:paraId="184DCA3E">
      <w:pPr>
        <w:spacing w:after="0" w:line="360" w:lineRule="auto"/>
        <w:ind w:firstLine="641"/>
        <w:rPr>
          <w:rFonts w:ascii="宋体" w:hAnsi="宋体" w:cs="宋体"/>
          <w:bCs/>
          <w:kern w:val="2"/>
          <w:sz w:val="21"/>
          <w:szCs w:val="21"/>
        </w:rPr>
      </w:pPr>
      <w:r>
        <w:rPr>
          <w:rFonts w:hint="eastAsia" w:ascii="宋体" w:hAnsi="宋体" w:cs="宋体"/>
          <w:bCs/>
          <w:kern w:val="2"/>
          <w:sz w:val="21"/>
          <w:szCs w:val="21"/>
        </w:rPr>
        <w:t>a.对卷包车间现有6台电子秤（梅特勒-托利多），进行WIFI数采改造；</w:t>
      </w:r>
    </w:p>
    <w:p w14:paraId="7B545EF2">
      <w:pPr>
        <w:spacing w:after="0" w:line="360" w:lineRule="auto"/>
        <w:ind w:firstLine="641"/>
        <w:rPr>
          <w:rFonts w:ascii="宋体" w:hAnsi="宋体" w:cs="宋体"/>
          <w:bCs/>
          <w:kern w:val="2"/>
          <w:sz w:val="21"/>
          <w:szCs w:val="21"/>
        </w:rPr>
      </w:pPr>
      <w:r>
        <w:rPr>
          <w:rFonts w:hint="eastAsia" w:ascii="宋体" w:hAnsi="宋体" w:cs="宋体"/>
          <w:bCs/>
          <w:kern w:val="2"/>
          <w:sz w:val="21"/>
          <w:szCs w:val="21"/>
        </w:rPr>
        <w:t>b.购置无线WIFI电子秤2套，最大秤量: 300kg；</w:t>
      </w:r>
    </w:p>
    <w:p w14:paraId="6ECB737B">
      <w:pPr>
        <w:spacing w:after="0" w:line="360" w:lineRule="auto"/>
        <w:ind w:firstLine="641"/>
        <w:rPr>
          <w:rFonts w:ascii="宋体" w:hAnsi="宋体" w:cs="宋体"/>
          <w:bCs/>
          <w:kern w:val="2"/>
          <w:sz w:val="21"/>
          <w:szCs w:val="21"/>
        </w:rPr>
      </w:pPr>
      <w:r>
        <w:rPr>
          <w:rFonts w:hint="eastAsia" w:ascii="宋体" w:hAnsi="宋体" w:cs="宋体"/>
          <w:bCs/>
          <w:kern w:val="2"/>
          <w:sz w:val="21"/>
          <w:szCs w:val="21"/>
        </w:rPr>
        <w:t>c.购置无线WIFI 电子地上衡1套：最大秤量: 1500kg；</w:t>
      </w:r>
    </w:p>
    <w:p w14:paraId="0E1A2268">
      <w:pPr>
        <w:spacing w:after="0" w:line="360" w:lineRule="auto"/>
        <w:ind w:firstLine="641"/>
        <w:rPr>
          <w:rFonts w:ascii="宋体" w:hAnsi="宋体" w:cs="宋体"/>
          <w:bCs/>
          <w:kern w:val="2"/>
          <w:sz w:val="21"/>
          <w:szCs w:val="21"/>
        </w:rPr>
      </w:pPr>
      <w:r>
        <w:rPr>
          <w:rFonts w:hint="eastAsia" w:ascii="宋体" w:hAnsi="宋体" w:cs="宋体"/>
          <w:bCs/>
          <w:kern w:val="2"/>
          <w:sz w:val="21"/>
          <w:szCs w:val="21"/>
        </w:rPr>
        <w:t>d.电子秤数采及安装调试；</w:t>
      </w:r>
    </w:p>
    <w:p w14:paraId="1BA6B8D7">
      <w:pPr>
        <w:spacing w:after="0" w:line="360" w:lineRule="auto"/>
        <w:ind w:firstLine="641"/>
        <w:rPr>
          <w:rFonts w:ascii="宋体" w:hAnsi="宋体" w:cs="宋体"/>
          <w:bCs/>
          <w:kern w:val="2"/>
          <w:sz w:val="21"/>
          <w:szCs w:val="21"/>
        </w:rPr>
      </w:pPr>
      <w:r>
        <w:rPr>
          <w:rFonts w:hint="eastAsia" w:ascii="宋体" w:hAnsi="宋体" w:cs="宋体"/>
          <w:bCs/>
          <w:kern w:val="2"/>
          <w:sz w:val="21"/>
          <w:szCs w:val="21"/>
        </w:rPr>
        <w:t>e.购置不干胶打码机6套。</w:t>
      </w:r>
    </w:p>
    <w:p w14:paraId="660DC767">
      <w:pPr>
        <w:spacing w:after="0" w:line="360" w:lineRule="auto"/>
        <w:ind w:firstLine="641"/>
        <w:rPr>
          <w:rFonts w:ascii="宋体" w:hAnsi="宋体" w:cs="宋体"/>
          <w:bCs/>
          <w:kern w:val="2"/>
          <w:sz w:val="21"/>
          <w:szCs w:val="21"/>
        </w:rPr>
      </w:pPr>
      <w:r>
        <w:rPr>
          <w:rFonts w:hint="eastAsia" w:ascii="宋体" w:hAnsi="宋体" w:cs="宋体"/>
          <w:bCs/>
          <w:kern w:val="2"/>
          <w:sz w:val="21"/>
          <w:szCs w:val="21"/>
        </w:rPr>
        <w:t>2）针对工厂废弃烟草专卖品和涉烟废弃物产生、移交、工厂处置全过程进行监管，为实现原始数据自动数采，拟在废弃烟草专卖品和涉烟废弃物产生部门的收集点、交接点，通过软硬件升级改造，实现废弃烟草专卖品和涉烟废弃物实时数据采集，在卷包-后勤、成型-后勤，制丝-后勤、成型-制丝四个移交称重关键环节生成包含重量、牌号/品类、产生日期等关键信息的二维码，并将数据传送至废弃烟草专卖品和涉烟废弃物数据系统，作为原始数据凭证，确保数据来源的真实性及可追溯性。</w:t>
      </w:r>
    </w:p>
    <w:p w14:paraId="39A79635">
      <w:pPr>
        <w:spacing w:after="0" w:line="360" w:lineRule="auto"/>
        <w:ind w:firstLine="641"/>
        <w:rPr>
          <w:rFonts w:ascii="宋体" w:hAnsi="宋体" w:cs="宋体"/>
          <w:bCs/>
          <w:kern w:val="2"/>
          <w:sz w:val="21"/>
          <w:szCs w:val="21"/>
        </w:rPr>
      </w:pPr>
      <w:r>
        <w:rPr>
          <w:rFonts w:hint="eastAsia" w:ascii="宋体" w:hAnsi="宋体" w:cs="宋体"/>
          <w:bCs/>
          <w:kern w:val="2"/>
          <w:sz w:val="21"/>
          <w:szCs w:val="21"/>
        </w:rPr>
        <w:t>2.2烟叶平台二维码完整性校验</w:t>
      </w:r>
    </w:p>
    <w:p w14:paraId="6D3A3649">
      <w:pPr>
        <w:spacing w:after="0" w:line="360" w:lineRule="auto"/>
        <w:ind w:firstLine="641"/>
        <w:rPr>
          <w:rFonts w:ascii="宋体" w:hAnsi="宋体" w:cs="宋体"/>
          <w:bCs/>
          <w:kern w:val="2"/>
          <w:sz w:val="21"/>
          <w:szCs w:val="21"/>
        </w:rPr>
      </w:pPr>
      <w:r>
        <w:rPr>
          <w:rFonts w:hint="eastAsia" w:ascii="宋体" w:hAnsi="宋体" w:cs="宋体"/>
          <w:bCs/>
          <w:kern w:val="2"/>
          <w:sz w:val="21"/>
          <w:szCs w:val="21"/>
        </w:rPr>
        <w:t>1）打叶复烤车间“二打”、凉包库高架库入库、出库环节，对“二打”下线、高架库烟包的入库、出库增加校验功能，保障全国统一烟叶生产经营管理平台的准确性。</w:t>
      </w:r>
    </w:p>
    <w:p w14:paraId="6D416FD9">
      <w:pPr>
        <w:spacing w:after="0" w:line="360" w:lineRule="auto"/>
        <w:ind w:firstLine="641"/>
        <w:rPr>
          <w:rFonts w:ascii="宋体" w:hAnsi="宋体" w:cs="宋体"/>
          <w:bCs/>
          <w:kern w:val="2"/>
          <w:sz w:val="21"/>
          <w:szCs w:val="21"/>
        </w:rPr>
      </w:pPr>
      <w:r>
        <w:rPr>
          <w:rFonts w:hint="eastAsia" w:ascii="宋体" w:hAnsi="宋体" w:cs="宋体"/>
          <w:bCs/>
          <w:kern w:val="2"/>
          <w:sz w:val="21"/>
          <w:szCs w:val="21"/>
        </w:rPr>
        <w:t>a.完成物流集控系统与国家局“全国统一烟叶生产经营管理平台”系统的接口，对“二打”下线烟包标签数据进行校验，对异常烟包进行剔除；</w:t>
      </w:r>
    </w:p>
    <w:p w14:paraId="026CD63D">
      <w:pPr>
        <w:spacing w:after="0" w:line="360" w:lineRule="auto"/>
        <w:ind w:firstLine="641"/>
        <w:rPr>
          <w:rFonts w:ascii="宋体" w:hAnsi="宋体" w:cs="宋体"/>
          <w:bCs/>
          <w:kern w:val="2"/>
          <w:sz w:val="21"/>
          <w:szCs w:val="21"/>
        </w:rPr>
      </w:pPr>
      <w:r>
        <w:rPr>
          <w:rFonts w:hint="eastAsia" w:ascii="宋体" w:hAnsi="宋体" w:cs="宋体"/>
          <w:bCs/>
          <w:kern w:val="2"/>
          <w:sz w:val="21"/>
          <w:szCs w:val="21"/>
        </w:rPr>
        <w:t>b.实现系统按入库计划单据执行入库和出库；实现标签数据读取、信息解析；</w:t>
      </w:r>
    </w:p>
    <w:p w14:paraId="2463A61F">
      <w:pPr>
        <w:spacing w:after="0" w:line="360" w:lineRule="auto"/>
        <w:ind w:firstLine="641"/>
        <w:rPr>
          <w:rFonts w:ascii="宋体" w:hAnsi="宋体" w:cs="宋体"/>
          <w:bCs/>
          <w:kern w:val="2"/>
          <w:sz w:val="21"/>
          <w:szCs w:val="21"/>
        </w:rPr>
      </w:pPr>
      <w:r>
        <w:rPr>
          <w:rFonts w:hint="eastAsia" w:ascii="宋体" w:hAnsi="宋体" w:cs="宋体"/>
          <w:bCs/>
          <w:kern w:val="2"/>
          <w:sz w:val="21"/>
          <w:szCs w:val="21"/>
        </w:rPr>
        <w:t>c.实时提供凉包库出库每垛烟箱数据（1包、2包、3包、4包）给“全国统一烟叶生产经营管理平台”。</w:t>
      </w:r>
    </w:p>
    <w:p w14:paraId="1DE8C371">
      <w:pPr>
        <w:spacing w:after="0" w:line="360" w:lineRule="auto"/>
        <w:ind w:firstLine="641"/>
        <w:rPr>
          <w:rFonts w:ascii="宋体" w:hAnsi="宋体" w:cs="宋体"/>
          <w:bCs/>
          <w:kern w:val="2"/>
          <w:sz w:val="21"/>
          <w:szCs w:val="21"/>
        </w:rPr>
      </w:pPr>
      <w:r>
        <w:rPr>
          <w:rFonts w:hint="eastAsia" w:ascii="宋体" w:hAnsi="宋体" w:cs="宋体"/>
          <w:bCs/>
          <w:kern w:val="2"/>
          <w:sz w:val="21"/>
          <w:szCs w:val="21"/>
        </w:rPr>
        <w:t>2）为保障曲靖卷烟厂配方高架库投料出库环节扫码的准确性，在高架库烟包入库时，完成烟包标签的正确性校验。</w:t>
      </w:r>
    </w:p>
    <w:p w14:paraId="059E77CF">
      <w:pPr>
        <w:spacing w:after="0" w:line="360" w:lineRule="auto"/>
        <w:ind w:firstLine="641"/>
        <w:rPr>
          <w:rFonts w:ascii="宋体" w:hAnsi="宋体" w:cs="宋体"/>
          <w:bCs/>
          <w:kern w:val="2"/>
          <w:sz w:val="21"/>
          <w:szCs w:val="21"/>
        </w:rPr>
      </w:pPr>
      <w:r>
        <w:rPr>
          <w:rFonts w:hint="eastAsia" w:ascii="宋体" w:hAnsi="宋体" w:cs="宋体"/>
          <w:bCs/>
          <w:kern w:val="2"/>
          <w:sz w:val="21"/>
          <w:szCs w:val="21"/>
        </w:rPr>
        <w:t>a.实现系统按入库计划单据导入，执行、入库。</w:t>
      </w:r>
    </w:p>
    <w:p w14:paraId="2B66E4B1">
      <w:pPr>
        <w:spacing w:after="0" w:line="360" w:lineRule="auto"/>
        <w:ind w:firstLine="641"/>
        <w:rPr>
          <w:rFonts w:ascii="宋体" w:hAnsi="宋体" w:cs="宋体"/>
          <w:bCs/>
          <w:kern w:val="2"/>
          <w:sz w:val="21"/>
          <w:szCs w:val="21"/>
        </w:rPr>
      </w:pPr>
      <w:r>
        <w:rPr>
          <w:rFonts w:hint="eastAsia" w:ascii="宋体" w:hAnsi="宋体" w:cs="宋体"/>
          <w:bCs/>
          <w:kern w:val="2"/>
          <w:sz w:val="21"/>
          <w:szCs w:val="21"/>
        </w:rPr>
        <w:t>b.实现标签数据读取、解析。</w:t>
      </w:r>
    </w:p>
    <w:p w14:paraId="25601F63">
      <w:pPr>
        <w:spacing w:after="0" w:line="360" w:lineRule="auto"/>
        <w:ind w:firstLine="641"/>
        <w:rPr>
          <w:rFonts w:ascii="宋体" w:hAnsi="宋体" w:cs="宋体"/>
          <w:bCs/>
          <w:kern w:val="2"/>
          <w:sz w:val="21"/>
          <w:szCs w:val="21"/>
        </w:rPr>
      </w:pPr>
      <w:r>
        <w:rPr>
          <w:rFonts w:hint="eastAsia" w:ascii="宋体" w:hAnsi="宋体" w:cs="宋体"/>
          <w:bCs/>
          <w:kern w:val="2"/>
          <w:sz w:val="21"/>
          <w:szCs w:val="21"/>
        </w:rPr>
        <w:t>c.实现标签信息缺失、错误、不匹配等异常情况下，烟包的剔除、补打码、重新入库、查询统计等业务功能。</w:t>
      </w:r>
    </w:p>
    <w:p w14:paraId="73A0DE92">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3. 制丝车间一条产线智能优化升级</w:t>
      </w:r>
    </w:p>
    <w:p w14:paraId="7D877D6C">
      <w:pPr>
        <w:spacing w:after="0" w:line="360" w:lineRule="auto"/>
        <w:ind w:firstLine="641"/>
        <w:rPr>
          <w:rFonts w:ascii="宋体" w:hAnsi="宋体" w:cs="宋体"/>
          <w:bCs/>
          <w:kern w:val="2"/>
          <w:sz w:val="21"/>
          <w:szCs w:val="21"/>
        </w:rPr>
      </w:pPr>
      <w:r>
        <w:rPr>
          <w:rFonts w:hint="eastAsia" w:ascii="宋体" w:hAnsi="宋体" w:cs="宋体"/>
          <w:bCs/>
          <w:kern w:val="2"/>
          <w:sz w:val="21"/>
          <w:szCs w:val="21"/>
        </w:rPr>
        <w:t>3.1基于视觉检测的制丝质量管控应用</w:t>
      </w:r>
    </w:p>
    <w:p w14:paraId="51E39823">
      <w:pPr>
        <w:spacing w:after="0" w:line="360" w:lineRule="auto"/>
        <w:ind w:firstLine="641"/>
        <w:rPr>
          <w:rFonts w:ascii="宋体" w:hAnsi="宋体" w:cs="宋体"/>
          <w:bCs/>
          <w:kern w:val="2"/>
          <w:sz w:val="21"/>
          <w:szCs w:val="21"/>
        </w:rPr>
      </w:pPr>
      <w:r>
        <w:rPr>
          <w:rFonts w:hint="eastAsia" w:ascii="宋体" w:hAnsi="宋体" w:cs="宋体"/>
          <w:bCs/>
          <w:kern w:val="2"/>
          <w:sz w:val="21"/>
          <w:szCs w:val="21"/>
        </w:rPr>
        <w:t>包括烟草异物防控信息集成模块，切丝机前大异物检测装置，霉变烟、虫烟检测系统，烟丝填充值检测系统，烘丝机前贮柜烟丝流量在线监测系统，原有烟丝杂物检测装置改造等。</w:t>
      </w:r>
    </w:p>
    <w:p w14:paraId="235052F4">
      <w:pPr>
        <w:spacing w:after="0" w:line="360" w:lineRule="auto"/>
        <w:ind w:firstLine="641"/>
        <w:rPr>
          <w:rFonts w:ascii="宋体" w:hAnsi="宋体" w:cs="宋体"/>
          <w:bCs/>
          <w:kern w:val="2"/>
          <w:sz w:val="21"/>
          <w:szCs w:val="21"/>
        </w:rPr>
      </w:pPr>
      <w:r>
        <w:rPr>
          <w:rFonts w:hint="eastAsia" w:ascii="宋体" w:hAnsi="宋体" w:cs="宋体"/>
          <w:bCs/>
          <w:kern w:val="2"/>
          <w:sz w:val="21"/>
          <w:szCs w:val="21"/>
        </w:rPr>
        <w:t>通过收集样本构建烟草异物图像数据库，训练深度学习模型并部署于生产线，实现实时监控和异物识别。通过3D轮廓测定装置和电子秤流量计算烟丝填充值及控制烟丝输送流量，提升在线产品质量。通过对终端NG图片、数据统计实现异物关联性及异物追溯分析，提高制丝过程的智能化和质量控制水平。</w:t>
      </w:r>
    </w:p>
    <w:p w14:paraId="5B8B251E">
      <w:pPr>
        <w:spacing w:after="0" w:line="360" w:lineRule="auto"/>
        <w:ind w:firstLine="641"/>
        <w:rPr>
          <w:rFonts w:ascii="宋体" w:hAnsi="宋体" w:cs="宋体"/>
          <w:bCs/>
          <w:kern w:val="2"/>
          <w:sz w:val="21"/>
          <w:szCs w:val="21"/>
        </w:rPr>
      </w:pPr>
      <w:r>
        <w:rPr>
          <w:rFonts w:hint="eastAsia" w:ascii="宋体" w:hAnsi="宋体" w:cs="宋体"/>
          <w:bCs/>
          <w:kern w:val="2"/>
          <w:sz w:val="21"/>
          <w:szCs w:val="21"/>
        </w:rPr>
        <w:t xml:space="preserve"> 1）基于视觉检测的烟草异物防控模块</w:t>
      </w:r>
    </w:p>
    <w:p w14:paraId="041BDEDF">
      <w:pPr>
        <w:spacing w:after="0" w:line="360" w:lineRule="auto"/>
        <w:ind w:firstLine="641"/>
        <w:rPr>
          <w:rFonts w:ascii="宋体" w:hAnsi="宋体" w:cs="宋体"/>
          <w:bCs/>
          <w:kern w:val="2"/>
          <w:sz w:val="21"/>
          <w:szCs w:val="21"/>
        </w:rPr>
      </w:pPr>
      <w:r>
        <w:rPr>
          <w:rFonts w:hint="eastAsia" w:ascii="宋体" w:hAnsi="宋体" w:cs="宋体"/>
          <w:bCs/>
          <w:kern w:val="2"/>
          <w:sz w:val="21"/>
          <w:szCs w:val="21"/>
        </w:rPr>
        <w:t>实现终端设备图片、数据集中采集展示；图片查询；告警；系统管理（设备、用户、报表等）功能。提供独立的视觉模型训练模块，实现模型训练、模型管理、模型调优。通过该模块完成霉虫烟、烟丝异物等基于视觉检测算法的模型训练，训练好的模型可直接用于终端设备的检测。</w:t>
      </w:r>
    </w:p>
    <w:p w14:paraId="3C41C4DD">
      <w:pPr>
        <w:spacing w:after="0" w:line="360" w:lineRule="auto"/>
        <w:ind w:firstLine="641"/>
        <w:rPr>
          <w:rFonts w:ascii="宋体" w:hAnsi="宋体" w:cs="宋体"/>
          <w:bCs/>
          <w:kern w:val="2"/>
          <w:sz w:val="21"/>
          <w:szCs w:val="21"/>
        </w:rPr>
      </w:pPr>
      <w:r>
        <w:rPr>
          <w:rFonts w:hint="eastAsia" w:ascii="宋体" w:hAnsi="宋体" w:cs="宋体"/>
          <w:bCs/>
          <w:kern w:val="2"/>
          <w:sz w:val="21"/>
          <w:szCs w:val="21"/>
        </w:rPr>
        <w:t>2）霉变烟、虫烟检测装置（A线+B线部署）</w:t>
      </w:r>
    </w:p>
    <w:p w14:paraId="422A2070">
      <w:pPr>
        <w:spacing w:after="0" w:line="360" w:lineRule="auto"/>
        <w:ind w:firstLine="641"/>
        <w:rPr>
          <w:rFonts w:ascii="宋体" w:hAnsi="宋体" w:cs="宋体"/>
          <w:bCs/>
          <w:kern w:val="2"/>
          <w:sz w:val="21"/>
          <w:szCs w:val="21"/>
        </w:rPr>
      </w:pPr>
      <w:r>
        <w:rPr>
          <w:rFonts w:hint="eastAsia" w:ascii="宋体" w:hAnsi="宋体" w:cs="宋体"/>
          <w:bCs/>
          <w:kern w:val="2"/>
          <w:sz w:val="21"/>
          <w:szCs w:val="21"/>
        </w:rPr>
        <w:t xml:space="preserve">利用人工智能算法的分类能力来对虫烟霉烟进行检测。切片机位置上部部署相机、面光源拍摄切片上表面。切片检测采用高分辨率相机和专用光源，配合产品线运动状态，在切片完全放平到位后进行检测。采集切片图片后视觉模型对图片进行识别，并使用训练好的虫烟霉烟识别模型进行视觉识别，判断图片上是否存在虫烟和霉烟，如果NG，IO控制器发送信号控制报警灯报警。 </w:t>
      </w:r>
    </w:p>
    <w:p w14:paraId="652B2D78">
      <w:pPr>
        <w:spacing w:after="0" w:line="360" w:lineRule="auto"/>
        <w:ind w:firstLine="641"/>
        <w:rPr>
          <w:rFonts w:ascii="宋体" w:hAnsi="宋体" w:cs="宋体"/>
          <w:bCs/>
          <w:kern w:val="2"/>
          <w:sz w:val="21"/>
          <w:szCs w:val="21"/>
        </w:rPr>
      </w:pPr>
      <w:r>
        <w:rPr>
          <w:rFonts w:hint="eastAsia" w:ascii="宋体" w:hAnsi="宋体" w:cs="宋体"/>
          <w:bCs/>
          <w:kern w:val="2"/>
          <w:sz w:val="21"/>
          <w:szCs w:val="21"/>
        </w:rPr>
        <w:t>3）大异物检测装置（A线+B线）</w:t>
      </w:r>
    </w:p>
    <w:p w14:paraId="447C4B0E">
      <w:pPr>
        <w:spacing w:after="0" w:line="360" w:lineRule="auto"/>
        <w:ind w:firstLine="641"/>
        <w:rPr>
          <w:rFonts w:ascii="宋体" w:hAnsi="宋体" w:cs="宋体"/>
          <w:bCs/>
          <w:kern w:val="2"/>
          <w:sz w:val="21"/>
          <w:szCs w:val="21"/>
        </w:rPr>
      </w:pPr>
      <w:r>
        <w:rPr>
          <w:rFonts w:hint="eastAsia" w:ascii="宋体" w:hAnsi="宋体" w:cs="宋体"/>
          <w:bCs/>
          <w:kern w:val="2"/>
          <w:sz w:val="21"/>
          <w:szCs w:val="21"/>
        </w:rPr>
        <w:t>由于制丝车间生产环境复杂，各种各样的原因会导致异物掉入产线，严重影响产品质量，因此设计产线大异物检测装置，对烟丝里的较大异物进行检测预警，安装位置为金属探测仪前皮带上。</w:t>
      </w:r>
    </w:p>
    <w:p w14:paraId="6F583897">
      <w:pPr>
        <w:spacing w:after="0" w:line="360" w:lineRule="auto"/>
        <w:ind w:firstLine="641"/>
        <w:rPr>
          <w:rFonts w:ascii="宋体" w:hAnsi="宋体" w:cs="宋体"/>
          <w:bCs/>
          <w:kern w:val="2"/>
          <w:sz w:val="21"/>
          <w:szCs w:val="21"/>
        </w:rPr>
      </w:pPr>
      <w:r>
        <w:rPr>
          <w:rFonts w:hint="eastAsia" w:ascii="宋体" w:hAnsi="宋体" w:cs="宋体"/>
          <w:bCs/>
          <w:kern w:val="2"/>
          <w:sz w:val="21"/>
          <w:szCs w:val="21"/>
        </w:rPr>
        <w:t>检测装置主要由视觉控制器、相机、光源、触摸屏、报警灯组成。编码器等距触发相机拍照，由视觉控制器处理图像，算法对烟丝图像进行检测，当检测到大异物时，输出报警信号同时控制产线原有剔除口，进行剔除，不新增剔除装置。</w:t>
      </w:r>
    </w:p>
    <w:p w14:paraId="267FF743">
      <w:pPr>
        <w:spacing w:after="0" w:line="360" w:lineRule="auto"/>
        <w:ind w:firstLine="641"/>
        <w:rPr>
          <w:rFonts w:ascii="宋体" w:hAnsi="宋体" w:cs="宋体"/>
          <w:bCs/>
          <w:kern w:val="2"/>
          <w:sz w:val="21"/>
          <w:szCs w:val="21"/>
        </w:rPr>
      </w:pPr>
      <w:r>
        <w:rPr>
          <w:rFonts w:hint="eastAsia" w:ascii="宋体" w:hAnsi="宋体" w:cs="宋体"/>
          <w:bCs/>
          <w:kern w:val="2"/>
          <w:sz w:val="21"/>
          <w:szCs w:val="21"/>
        </w:rPr>
        <w:t>4）贮柜流量控制装置（A线+B线）</w:t>
      </w:r>
    </w:p>
    <w:p w14:paraId="163D894D">
      <w:pPr>
        <w:spacing w:after="0" w:line="360" w:lineRule="auto"/>
        <w:ind w:firstLine="641"/>
        <w:rPr>
          <w:rFonts w:ascii="宋体" w:hAnsi="宋体" w:cs="宋体"/>
          <w:bCs/>
          <w:kern w:val="2"/>
          <w:sz w:val="21"/>
          <w:szCs w:val="21"/>
        </w:rPr>
      </w:pPr>
      <w:r>
        <w:rPr>
          <w:rFonts w:hint="eastAsia" w:ascii="宋体" w:hAnsi="宋体" w:cs="宋体"/>
          <w:bCs/>
          <w:kern w:val="2"/>
          <w:sz w:val="21"/>
          <w:szCs w:val="21"/>
        </w:rPr>
        <w:t>贮柜是制丝车间的常见设备，贮柜内部的物料经常有堆积不均匀的情况，在物料出柜时，由于底带和耙辊的速度是恒定的，所以随着物料高度的变化，出料流量会发生波动，会存在出料不均匀的现象。</w:t>
      </w:r>
    </w:p>
    <w:p w14:paraId="51C91F25">
      <w:pPr>
        <w:spacing w:after="0" w:line="360" w:lineRule="auto"/>
        <w:ind w:firstLine="641"/>
        <w:rPr>
          <w:rFonts w:ascii="宋体" w:hAnsi="宋体" w:cs="宋体"/>
          <w:bCs/>
          <w:kern w:val="2"/>
          <w:sz w:val="21"/>
          <w:szCs w:val="21"/>
        </w:rPr>
      </w:pPr>
      <w:r>
        <w:rPr>
          <w:rFonts w:hint="eastAsia" w:ascii="宋体" w:hAnsi="宋体" w:cs="宋体"/>
          <w:bCs/>
          <w:kern w:val="2"/>
          <w:sz w:val="21"/>
          <w:szCs w:val="21"/>
        </w:rPr>
        <w:t>使用3D成像技术，实时测量出口的物料的体积，结合重量数据及计量管落料变化率计算底带理论运动速度，并据此调节底带的速度，使得出口物料流量更为均匀。</w:t>
      </w:r>
    </w:p>
    <w:p w14:paraId="2BBCB5EB">
      <w:pPr>
        <w:spacing w:after="0" w:line="360" w:lineRule="auto"/>
        <w:ind w:firstLine="641"/>
        <w:rPr>
          <w:rFonts w:ascii="宋体" w:hAnsi="宋体" w:cs="宋体"/>
          <w:bCs/>
          <w:kern w:val="2"/>
          <w:sz w:val="21"/>
          <w:szCs w:val="21"/>
        </w:rPr>
      </w:pPr>
      <w:r>
        <w:rPr>
          <w:rFonts w:hint="eastAsia" w:ascii="宋体" w:hAnsi="宋体" w:cs="宋体"/>
          <w:bCs/>
          <w:kern w:val="2"/>
          <w:sz w:val="21"/>
          <w:szCs w:val="21"/>
        </w:rPr>
        <w:t>5）烟丝填充值在线检测装置（A线+B线）</w:t>
      </w:r>
    </w:p>
    <w:p w14:paraId="019BCC4B">
      <w:pPr>
        <w:spacing w:after="0" w:line="360" w:lineRule="auto"/>
        <w:ind w:firstLine="641"/>
        <w:rPr>
          <w:rFonts w:ascii="宋体" w:hAnsi="宋体" w:cs="宋体"/>
          <w:bCs/>
          <w:kern w:val="2"/>
          <w:sz w:val="21"/>
          <w:szCs w:val="21"/>
        </w:rPr>
      </w:pPr>
      <w:r>
        <w:rPr>
          <w:rFonts w:hint="eastAsia" w:ascii="宋体" w:hAnsi="宋体" w:cs="宋体"/>
          <w:bCs/>
          <w:kern w:val="2"/>
          <w:sz w:val="21"/>
          <w:szCs w:val="21"/>
        </w:rPr>
        <w:t>使用3D成像技术，通过在运动方向的横截面上安装传感器，完成对烟丝体积的测算，再结合电子称重量数据实时计算出烟丝的填充值，并通过曲线图片形式进行展示。</w:t>
      </w:r>
    </w:p>
    <w:p w14:paraId="50F91D81">
      <w:pPr>
        <w:spacing w:after="0" w:line="360" w:lineRule="auto"/>
        <w:ind w:firstLine="641"/>
        <w:rPr>
          <w:rFonts w:ascii="宋体" w:hAnsi="宋体" w:cs="宋体"/>
          <w:bCs/>
          <w:kern w:val="2"/>
          <w:sz w:val="21"/>
          <w:szCs w:val="21"/>
        </w:rPr>
      </w:pPr>
      <w:r>
        <w:rPr>
          <w:rFonts w:hint="eastAsia" w:ascii="宋体" w:hAnsi="宋体" w:cs="宋体"/>
          <w:bCs/>
          <w:kern w:val="2"/>
          <w:sz w:val="21"/>
          <w:szCs w:val="21"/>
        </w:rPr>
        <w:t xml:space="preserve"> 在线烟丝填充值检测的安装实现在线不同品规，不同牌号，不同批次烟丝的填充值在线数采，并按批次进行归档；对工厂工艺质量科提供填充值数据接口，便于成品卷烟的填充值的提前管控；同时实时测量的填充值参与前端流量控制，能够有效减少烘前小柜，出口振槽单批次启停次数。 </w:t>
      </w:r>
    </w:p>
    <w:p w14:paraId="7FEDC9E8">
      <w:pPr>
        <w:spacing w:after="0" w:line="360" w:lineRule="auto"/>
        <w:ind w:firstLine="641"/>
        <w:rPr>
          <w:rFonts w:ascii="宋体" w:hAnsi="宋体" w:cs="宋体"/>
          <w:bCs/>
          <w:kern w:val="2"/>
          <w:sz w:val="21"/>
          <w:szCs w:val="21"/>
        </w:rPr>
      </w:pPr>
      <w:r>
        <w:rPr>
          <w:rFonts w:hint="eastAsia" w:ascii="宋体" w:hAnsi="宋体" w:cs="宋体"/>
          <w:bCs/>
          <w:kern w:val="2"/>
          <w:sz w:val="21"/>
          <w:szCs w:val="21"/>
        </w:rPr>
        <w:t>6）原有烟丝杂物检测装置改造</w:t>
      </w:r>
    </w:p>
    <w:p w14:paraId="6067D219">
      <w:pPr>
        <w:spacing w:after="0" w:line="360" w:lineRule="auto"/>
        <w:ind w:firstLine="641"/>
        <w:rPr>
          <w:rFonts w:ascii="宋体" w:hAnsi="宋体" w:cs="宋体"/>
          <w:bCs/>
          <w:kern w:val="2"/>
          <w:sz w:val="21"/>
          <w:szCs w:val="21"/>
        </w:rPr>
      </w:pPr>
      <w:r>
        <w:rPr>
          <w:rFonts w:hint="eastAsia" w:ascii="宋体" w:hAnsi="宋体" w:cs="宋体"/>
          <w:bCs/>
          <w:kern w:val="2"/>
          <w:sz w:val="21"/>
          <w:szCs w:val="21"/>
        </w:rPr>
        <w:t>制丝车间现场已部署烟丝杂物检测装置，装置基于康耐视智能相机实现检测功能，无法对检测缺陷进行分类。本次计划对原有烟丝杂物检测装置进行改造，实现缺陷分类功能，同时能够将分类图片及数据上传至视觉检测的烟草异物防控模块。</w:t>
      </w:r>
    </w:p>
    <w:p w14:paraId="09F3FD00">
      <w:pPr>
        <w:spacing w:after="0" w:line="360" w:lineRule="auto"/>
        <w:ind w:firstLine="641"/>
        <w:rPr>
          <w:rFonts w:ascii="宋体" w:hAnsi="宋体" w:cs="宋体"/>
          <w:bCs/>
          <w:kern w:val="2"/>
          <w:sz w:val="21"/>
          <w:szCs w:val="21"/>
        </w:rPr>
      </w:pPr>
      <w:r>
        <w:rPr>
          <w:rFonts w:hint="eastAsia" w:ascii="宋体" w:hAnsi="宋体" w:cs="宋体"/>
          <w:bCs/>
          <w:kern w:val="2"/>
          <w:sz w:val="21"/>
          <w:szCs w:val="21"/>
        </w:rPr>
        <w:t>现场部署一套终端检测软件，开发图片数据对接接口，定时通过接口读取原有设备的检测图片信息（访问本地文件夹方式），基于视觉算法对图片进行二次推理检测，将完成检测分类的数据上传至视觉检测的烟草异物防控模块进行统一展示。</w:t>
      </w:r>
    </w:p>
    <w:p w14:paraId="703D9C66">
      <w:pPr>
        <w:spacing w:after="0" w:line="360" w:lineRule="auto"/>
        <w:ind w:firstLine="640"/>
        <w:rPr>
          <w:rFonts w:ascii="宋体" w:hAnsi="宋体" w:cs="宋体"/>
          <w:sz w:val="21"/>
          <w:szCs w:val="21"/>
        </w:rPr>
      </w:pPr>
      <w:r>
        <w:rPr>
          <w:rFonts w:hint="eastAsia" w:ascii="宋体" w:hAnsi="宋体" w:cs="宋体"/>
          <w:bCs/>
          <w:kern w:val="2"/>
          <w:sz w:val="21"/>
          <w:szCs w:val="21"/>
        </w:rPr>
        <w:t xml:space="preserve"> </w:t>
      </w:r>
    </w:p>
    <w:p w14:paraId="06A5E620">
      <w:pPr>
        <w:spacing w:after="0" w:line="360" w:lineRule="auto"/>
        <w:ind w:firstLine="640"/>
        <w:jc w:val="center"/>
        <w:rPr>
          <w:rFonts w:ascii="宋体" w:hAnsi="宋体" w:cs="宋体"/>
          <w:bCs/>
          <w:kern w:val="2"/>
          <w:sz w:val="21"/>
          <w:szCs w:val="21"/>
        </w:rPr>
      </w:pPr>
      <w:r>
        <w:rPr>
          <w:rFonts w:hint="eastAsia" w:ascii="宋体" w:hAnsi="宋体" w:cs="宋体"/>
          <w:sz w:val="21"/>
          <w:szCs w:val="21"/>
        </w:rPr>
        <w:drawing>
          <wp:inline distT="0" distB="0" distL="0" distR="0">
            <wp:extent cx="2094865" cy="277114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rcRect l="32038" t="21483" r="27842" b="7340"/>
                    <a:stretch>
                      <a:fillRect/>
                    </a:stretch>
                  </pic:blipFill>
                  <pic:spPr>
                    <a:xfrm>
                      <a:off x="0" y="0"/>
                      <a:ext cx="2107582" cy="2787668"/>
                    </a:xfrm>
                    <a:prstGeom prst="rect">
                      <a:avLst/>
                    </a:prstGeom>
                    <a:noFill/>
                    <a:ln>
                      <a:noFill/>
                    </a:ln>
                  </pic:spPr>
                </pic:pic>
              </a:graphicData>
            </a:graphic>
          </wp:inline>
        </w:drawing>
      </w:r>
    </w:p>
    <w:p w14:paraId="257A10D9">
      <w:pPr>
        <w:spacing w:after="0" w:line="360" w:lineRule="auto"/>
        <w:ind w:firstLine="640"/>
        <w:jc w:val="center"/>
        <w:rPr>
          <w:rFonts w:ascii="宋体" w:hAnsi="宋体" w:cs="宋体"/>
          <w:bCs/>
          <w:kern w:val="2"/>
          <w:sz w:val="21"/>
          <w:szCs w:val="21"/>
        </w:rPr>
      </w:pPr>
      <w:r>
        <w:rPr>
          <w:rFonts w:hint="eastAsia" w:ascii="宋体" w:hAnsi="宋体" w:cs="宋体"/>
          <w:bCs/>
          <w:kern w:val="2"/>
          <w:sz w:val="21"/>
          <w:szCs w:val="21"/>
        </w:rPr>
        <w:t>图：原有烟丝杂物检测装置</w:t>
      </w:r>
    </w:p>
    <w:p w14:paraId="56E529A6">
      <w:pPr>
        <w:spacing w:after="0" w:line="360" w:lineRule="auto"/>
        <w:rPr>
          <w:rFonts w:ascii="宋体" w:hAnsi="宋体" w:cs="宋体"/>
          <w:bCs/>
          <w:kern w:val="2"/>
          <w:sz w:val="21"/>
          <w:szCs w:val="21"/>
        </w:rPr>
      </w:pPr>
      <w:r>
        <w:rPr>
          <w:rFonts w:hint="eastAsia" w:ascii="宋体" w:hAnsi="宋体" w:cs="宋体"/>
          <w:bCs/>
          <w:kern w:val="2"/>
          <w:sz w:val="21"/>
          <w:szCs w:val="21"/>
        </w:rPr>
        <w:t>3.2基于数据协同的制丝关键主机设备健康状态监测</w:t>
      </w:r>
    </w:p>
    <w:p w14:paraId="307BB6D3">
      <w:pPr>
        <w:adjustRightInd w:val="0"/>
        <w:snapToGrid w:val="0"/>
        <w:spacing w:after="0" w:line="360" w:lineRule="auto"/>
        <w:ind w:firstLine="640"/>
        <w:rPr>
          <w:rFonts w:ascii="宋体" w:hAnsi="宋体" w:cs="宋体"/>
          <w:bCs/>
          <w:kern w:val="2"/>
          <w:sz w:val="21"/>
          <w:szCs w:val="21"/>
        </w:rPr>
      </w:pPr>
      <w:r>
        <w:rPr>
          <w:rFonts w:hint="eastAsia" w:ascii="宋体" w:hAnsi="宋体" w:cs="宋体"/>
          <w:bCs/>
          <w:kern w:val="2"/>
          <w:sz w:val="21"/>
          <w:szCs w:val="21"/>
        </w:rPr>
        <w:t>制丝关键主机设备健康状态监测系统业务流程如下图所示，包含系统状态感知、故障检测、故障诊断、健康状态评估、故障预测之间的数据传递以及各部分内部关联关系。</w:t>
      </w:r>
    </w:p>
    <w:p w14:paraId="15217740">
      <w:pPr>
        <w:spacing w:after="0" w:line="360" w:lineRule="auto"/>
        <w:ind w:firstLine="640"/>
        <w:rPr>
          <w:rFonts w:ascii="宋体" w:hAnsi="宋体" w:cs="宋体"/>
          <w:sz w:val="21"/>
          <w:szCs w:val="21"/>
        </w:rPr>
      </w:pPr>
      <w:r>
        <w:rPr>
          <w:rFonts w:hint="eastAsia" w:ascii="宋体" w:hAnsi="宋体" w:cs="宋体"/>
          <w:sz w:val="21"/>
          <w:szCs w:val="21"/>
        </w:rPr>
        <w:drawing>
          <wp:inline distT="0" distB="0" distL="0" distR="0">
            <wp:extent cx="4914900" cy="3657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14900" cy="3657600"/>
                    </a:xfrm>
                    <a:prstGeom prst="rect">
                      <a:avLst/>
                    </a:prstGeom>
                    <a:noFill/>
                    <a:ln>
                      <a:noFill/>
                    </a:ln>
                  </pic:spPr>
                </pic:pic>
              </a:graphicData>
            </a:graphic>
          </wp:inline>
        </w:drawing>
      </w:r>
    </w:p>
    <w:p w14:paraId="3FE88760">
      <w:pPr>
        <w:adjustRightInd w:val="0"/>
        <w:snapToGrid w:val="0"/>
        <w:spacing w:after="0" w:line="360" w:lineRule="auto"/>
        <w:ind w:firstLine="560"/>
        <w:rPr>
          <w:rFonts w:ascii="宋体" w:hAnsi="宋体" w:cs="宋体"/>
          <w:sz w:val="21"/>
          <w:szCs w:val="21"/>
        </w:rPr>
      </w:pPr>
      <w:r>
        <w:rPr>
          <w:rFonts w:hint="eastAsia" w:ascii="宋体" w:hAnsi="宋体" w:cs="宋体"/>
          <w:sz w:val="21"/>
          <w:szCs w:val="21"/>
        </w:rPr>
        <w:t xml:space="preserve">                 </w:t>
      </w:r>
      <w:r>
        <w:rPr>
          <w:rFonts w:hint="eastAsia" w:ascii="宋体" w:hAnsi="宋体" w:cs="宋体"/>
          <w:b/>
          <w:bCs/>
          <w:sz w:val="21"/>
          <w:szCs w:val="21"/>
        </w:rPr>
        <w:t xml:space="preserve"> </w:t>
      </w:r>
      <w:r>
        <w:rPr>
          <w:rFonts w:hint="eastAsia" w:ascii="宋体" w:hAnsi="宋体" w:cs="宋体"/>
          <w:bCs/>
          <w:kern w:val="2"/>
          <w:sz w:val="21"/>
          <w:szCs w:val="21"/>
        </w:rPr>
        <w:t xml:space="preserve">   图：系统业务流程图</w:t>
      </w:r>
    </w:p>
    <w:p w14:paraId="569E3F65">
      <w:pPr>
        <w:spacing w:after="0" w:line="360" w:lineRule="auto"/>
        <w:rPr>
          <w:rFonts w:ascii="宋体" w:hAnsi="宋体" w:cs="宋体"/>
          <w:bCs/>
          <w:kern w:val="2"/>
          <w:sz w:val="21"/>
          <w:szCs w:val="21"/>
        </w:rPr>
      </w:pPr>
      <w:r>
        <w:rPr>
          <w:rFonts w:hint="eastAsia" w:ascii="宋体" w:hAnsi="宋体" w:cs="宋体"/>
          <w:bCs/>
          <w:kern w:val="2"/>
          <w:sz w:val="21"/>
          <w:szCs w:val="21"/>
        </w:rPr>
        <w:t>1）设备进行数字化改造</w:t>
      </w:r>
    </w:p>
    <w:p w14:paraId="0FF2F783">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制丝车间回潮、加料、SIROX（增温增湿）、烘丝、加香5套关键主机进行设备健康状态监测，这5台主机虽配置了满足生产需求的手动阀门、气动薄膜阀、角阀、气动球阀等执行元件和流量计、压力传感器、温度传感器等检测元件，但部分关键器件上仍缺失着状态检测和关键数据的获取，从而导致有些故障状态需要到出产中才会发现，存在批间停机检修的情况。为解决如上问题，对在用设备进行数字化改造，将现有设备器件升级为智能器件，增加检测传感器，提高设备自我感知能力，从而为搭建关键主机设备健康状态监测系统提供数据基础。</w:t>
      </w:r>
    </w:p>
    <w:p w14:paraId="770E0CB1">
      <w:pPr>
        <w:spacing w:after="0" w:line="360" w:lineRule="auto"/>
        <w:rPr>
          <w:rFonts w:ascii="宋体" w:hAnsi="宋体" w:cs="宋体"/>
          <w:bCs/>
          <w:kern w:val="2"/>
          <w:sz w:val="21"/>
          <w:szCs w:val="21"/>
        </w:rPr>
      </w:pPr>
      <w:r>
        <w:rPr>
          <w:rFonts w:hint="eastAsia" w:ascii="宋体" w:hAnsi="宋体" w:cs="宋体"/>
          <w:bCs/>
          <w:kern w:val="2"/>
          <w:sz w:val="21"/>
          <w:szCs w:val="21"/>
        </w:rPr>
        <w:t>a.传感器增加。结合设备现状和监测需求，增加或置换相应传感器，包括：振动传感器，环境温湿度传感器，管道湿度检测，手动阀门、开关阀、角阀位置检测器，带位置反馈的薄膜阀定位器，冷凝水排放温度检测，水源压力，压缩空气气源压力，蒸汽压力、流量等。</w:t>
      </w:r>
    </w:p>
    <w:p w14:paraId="7109D3AA">
      <w:pPr>
        <w:spacing w:after="0" w:line="360" w:lineRule="auto"/>
        <w:rPr>
          <w:rFonts w:ascii="宋体" w:hAnsi="宋体" w:cs="宋体"/>
          <w:bCs/>
          <w:kern w:val="2"/>
          <w:sz w:val="21"/>
          <w:szCs w:val="21"/>
        </w:rPr>
      </w:pPr>
      <w:r>
        <w:rPr>
          <w:rFonts w:hint="eastAsia" w:ascii="宋体" w:hAnsi="宋体" w:cs="宋体"/>
          <w:bCs/>
          <w:kern w:val="2"/>
          <w:sz w:val="21"/>
          <w:szCs w:val="21"/>
        </w:rPr>
        <w:t>b.在5套主机的PLC控制系统下各增加1套IO子站模块和PROFIBUS-PA网络集成模块，IO子站模块配置数字量或模拟量输入模块，用于采集手动阀门、开关阀、角阀位置检测信号，PROFIBUS-PA网络集成模块通过PROFIBUS-PA网络集成新增的压力、温度、流量传感器和由4-20mA信号驱动置换为PA协议的薄膜阀定位器。</w:t>
      </w:r>
    </w:p>
    <w:p w14:paraId="210A1A38">
      <w:pPr>
        <w:spacing w:after="0" w:line="360" w:lineRule="auto"/>
        <w:rPr>
          <w:rFonts w:ascii="宋体" w:hAnsi="宋体" w:cs="宋体"/>
          <w:bCs/>
          <w:kern w:val="2"/>
          <w:sz w:val="21"/>
          <w:szCs w:val="21"/>
        </w:rPr>
      </w:pPr>
      <w:r>
        <w:rPr>
          <w:rFonts w:hint="eastAsia" w:ascii="宋体" w:hAnsi="宋体" w:cs="宋体"/>
          <w:bCs/>
          <w:kern w:val="2"/>
          <w:sz w:val="21"/>
          <w:szCs w:val="21"/>
        </w:rPr>
        <w:t>c.传感器应用。信号采集到PLC控制器后，在PLC控制器段通过编程完成各执行器件和检测器件的综合判定，包括网络状态、故障报警状态及设备的智能巡检等功能，同时通过工控环网将新增传感器的数据上传至设备健康状态监测系统进行存储、分析、展示，并调整中控监控程序对一些面向操作人员的信息进行展示。</w:t>
      </w:r>
    </w:p>
    <w:p w14:paraId="1B9C9AC1">
      <w:pPr>
        <w:spacing w:after="0" w:line="360" w:lineRule="auto"/>
        <w:rPr>
          <w:rFonts w:ascii="宋体" w:hAnsi="宋体" w:cs="宋体"/>
          <w:bCs/>
          <w:kern w:val="2"/>
          <w:sz w:val="21"/>
          <w:szCs w:val="21"/>
        </w:rPr>
      </w:pPr>
      <w:r>
        <w:rPr>
          <w:rFonts w:hint="eastAsia" w:ascii="宋体" w:hAnsi="宋体" w:cs="宋体"/>
          <w:bCs/>
          <w:kern w:val="2"/>
          <w:sz w:val="21"/>
          <w:szCs w:val="21"/>
        </w:rPr>
        <w:t>2）制丝关键主机设备状态检测与健康管理系统</w:t>
      </w:r>
    </w:p>
    <w:p w14:paraId="61E9B1BB">
      <w:pPr>
        <w:spacing w:after="0" w:line="360" w:lineRule="auto"/>
        <w:rPr>
          <w:rFonts w:ascii="宋体" w:hAnsi="宋体" w:cs="宋体"/>
          <w:bCs/>
          <w:kern w:val="2"/>
          <w:sz w:val="21"/>
          <w:szCs w:val="21"/>
        </w:rPr>
      </w:pPr>
      <w:r>
        <w:rPr>
          <w:rFonts w:hint="eastAsia" w:ascii="宋体" w:hAnsi="宋体" w:cs="宋体"/>
          <w:bCs/>
          <w:kern w:val="2"/>
          <w:sz w:val="21"/>
          <w:szCs w:val="21"/>
        </w:rPr>
        <w:t>a.智能监测。通过在制丝关键主机设备和子系统部件上安装工业传感设备，构建制丝关键主机设备状态感知系统，对生产设备运行参数和设备各部件状态进行全面感知和实时监测，通过将数据同预定的失效判据等进行来检测系统当前的状态；根据预定的各参数指标的阈值来提供故障报警能力；提供总貌监测、图形监测辅助、设备状态监测、波形监测、谱图监测、告警故障推送、趋势监测、设备状态显示、故障显示、报警显示等功能。</w:t>
      </w:r>
    </w:p>
    <w:p w14:paraId="5D54480C">
      <w:pPr>
        <w:spacing w:after="0" w:line="360" w:lineRule="auto"/>
        <w:rPr>
          <w:rFonts w:ascii="宋体" w:hAnsi="宋体" w:cs="宋体"/>
          <w:bCs/>
          <w:kern w:val="2"/>
          <w:sz w:val="21"/>
          <w:szCs w:val="21"/>
        </w:rPr>
      </w:pPr>
      <w:r>
        <w:rPr>
          <w:rFonts w:hint="eastAsia" w:ascii="宋体" w:hAnsi="宋体" w:cs="宋体"/>
          <w:bCs/>
          <w:kern w:val="2"/>
          <w:sz w:val="21"/>
          <w:szCs w:val="21"/>
        </w:rPr>
        <w:t xml:space="preserve">b.设备故障诊断。应用故障诊断模型和专家知识库，实时检测设备状态，实现故障定位/隔离、故障告警、故障联动处理、专家知识库等功能。 </w:t>
      </w:r>
    </w:p>
    <w:p w14:paraId="055CCA88">
      <w:pPr>
        <w:spacing w:after="0" w:line="360" w:lineRule="auto"/>
        <w:rPr>
          <w:rFonts w:ascii="宋体" w:hAnsi="宋体" w:cs="宋体"/>
          <w:bCs/>
          <w:kern w:val="2"/>
          <w:sz w:val="21"/>
          <w:szCs w:val="21"/>
        </w:rPr>
      </w:pPr>
      <w:r>
        <w:rPr>
          <w:rFonts w:hint="eastAsia" w:ascii="宋体" w:hAnsi="宋体" w:cs="宋体"/>
          <w:bCs/>
          <w:kern w:val="2"/>
          <w:sz w:val="21"/>
          <w:szCs w:val="21"/>
        </w:rPr>
        <w:t>c.综合分析状态监测指标信息、运行状态数据、故障诊断结论以及相关机组评价信息，利用设备健康评估模型对设备健康状态进行评估，包括性能、寿命、工况评估等，准确评估和描述系统的健康状态，对健康评估状态等级较低但尚未出现故障的情况，利用故障征兆趋势变化规律和故障预测模型，预测设备未来一段时间的故障发生概率及故障类型。含设备健康管理、健康得分、性能评估、寿命评估、工况评估、设备健康模型等。</w:t>
      </w:r>
    </w:p>
    <w:p w14:paraId="53D27289">
      <w:pPr>
        <w:spacing w:after="0" w:line="360" w:lineRule="auto"/>
        <w:rPr>
          <w:rFonts w:ascii="宋体" w:hAnsi="宋体" w:cs="宋体"/>
          <w:bCs/>
          <w:kern w:val="2"/>
          <w:sz w:val="21"/>
          <w:szCs w:val="21"/>
        </w:rPr>
      </w:pPr>
      <w:r>
        <w:rPr>
          <w:rFonts w:hint="eastAsia" w:ascii="宋体" w:hAnsi="宋体" w:cs="宋体"/>
          <w:bCs/>
          <w:kern w:val="2"/>
          <w:sz w:val="21"/>
          <w:szCs w:val="21"/>
        </w:rPr>
        <w:t>3）产前工况智能评估</w:t>
      </w:r>
    </w:p>
    <w:p w14:paraId="4B80D546">
      <w:pPr>
        <w:spacing w:after="0" w:line="360" w:lineRule="auto"/>
        <w:rPr>
          <w:rFonts w:ascii="宋体" w:hAnsi="宋体" w:cs="宋体"/>
          <w:bCs/>
          <w:kern w:val="2"/>
          <w:sz w:val="21"/>
          <w:szCs w:val="21"/>
        </w:rPr>
      </w:pPr>
      <w:r>
        <w:rPr>
          <w:rFonts w:hint="eastAsia" w:ascii="宋体" w:hAnsi="宋体" w:cs="宋体"/>
          <w:bCs/>
          <w:kern w:val="2"/>
          <w:sz w:val="21"/>
          <w:szCs w:val="21"/>
        </w:rPr>
        <w:t>a.工艺段产前工况评估：开机前针对各工艺段现场设备的水、电、气、汽源供应等生产条件进行信号采集和诊断，通过对主机设备、生产相关设备的智能评估，防止在生产条件不具备情况下开机生产。操作和维护人员对现场设备的状态、开机条件一目了然，提高生产效率，提升产品质量。</w:t>
      </w:r>
    </w:p>
    <w:p w14:paraId="2882C0AA">
      <w:pPr>
        <w:spacing w:after="0" w:line="360" w:lineRule="auto"/>
        <w:rPr>
          <w:rFonts w:ascii="宋体" w:hAnsi="宋体" w:cs="宋体"/>
          <w:bCs/>
          <w:kern w:val="2"/>
          <w:sz w:val="21"/>
          <w:szCs w:val="21"/>
        </w:rPr>
      </w:pPr>
      <w:r>
        <w:rPr>
          <w:rFonts w:hint="eastAsia" w:ascii="宋体" w:hAnsi="宋体" w:cs="宋体"/>
          <w:bCs/>
          <w:kern w:val="2"/>
          <w:sz w:val="21"/>
          <w:szCs w:val="21"/>
        </w:rPr>
        <w:t>b.开机前阀门自检：在关闭总蒸汽、总水阀的情况下对制丝关键主机设备阀门进行开关检测，防止阀门开关不到位，影响生产的顺利进行。</w:t>
      </w:r>
    </w:p>
    <w:p w14:paraId="3B25F241">
      <w:pPr>
        <w:spacing w:after="0" w:line="360" w:lineRule="auto"/>
        <w:rPr>
          <w:rFonts w:ascii="宋体" w:hAnsi="宋体" w:cs="宋体"/>
          <w:bCs/>
          <w:kern w:val="2"/>
          <w:sz w:val="21"/>
          <w:szCs w:val="21"/>
        </w:rPr>
      </w:pPr>
      <w:r>
        <w:rPr>
          <w:rFonts w:hint="eastAsia" w:ascii="宋体" w:hAnsi="宋体" w:cs="宋体"/>
          <w:bCs/>
          <w:kern w:val="2"/>
          <w:sz w:val="21"/>
          <w:szCs w:val="21"/>
        </w:rPr>
        <w:t>c.开机前主机（回潮、加料、烘丝）控制程序自检：在关闭总蒸汽、总水阀的情况下对制丝关键主机设备阀门进行开关检测，防止阀门开关不到位，影响生产的顺利进行。</w:t>
      </w:r>
    </w:p>
    <w:p w14:paraId="39CB7FCE">
      <w:pPr>
        <w:spacing w:after="0" w:line="360" w:lineRule="auto"/>
        <w:rPr>
          <w:rFonts w:ascii="宋体" w:hAnsi="宋体" w:cs="宋体"/>
          <w:bCs/>
          <w:kern w:val="2"/>
          <w:sz w:val="21"/>
          <w:szCs w:val="21"/>
        </w:rPr>
      </w:pPr>
      <w:r>
        <w:rPr>
          <w:rFonts w:hint="eastAsia" w:ascii="宋体" w:hAnsi="宋体" w:cs="宋体"/>
          <w:bCs/>
          <w:kern w:val="2"/>
          <w:sz w:val="21"/>
          <w:szCs w:val="21"/>
        </w:rPr>
        <w:t>d.模拟试车功能：在正式生产前对回潮、加料、烘丝主机进行模拟带料生产，检验设备运行工况及效果，检查电机、阀门等工作是否正常，主机设备各工作状态能否正常转换。</w:t>
      </w:r>
    </w:p>
    <w:p w14:paraId="4EF2D3A8">
      <w:pPr>
        <w:spacing w:after="0" w:line="360" w:lineRule="auto"/>
        <w:rPr>
          <w:rFonts w:ascii="宋体" w:hAnsi="宋体" w:cs="宋体"/>
          <w:bCs/>
          <w:kern w:val="2"/>
          <w:sz w:val="21"/>
          <w:szCs w:val="21"/>
        </w:rPr>
      </w:pPr>
      <w:r>
        <w:rPr>
          <w:rFonts w:hint="eastAsia" w:ascii="宋体" w:hAnsi="宋体" w:cs="宋体"/>
          <w:bCs/>
          <w:kern w:val="2"/>
          <w:sz w:val="21"/>
          <w:szCs w:val="21"/>
        </w:rPr>
        <w:t>4）电机电流健康状态</w:t>
      </w:r>
    </w:p>
    <w:p w14:paraId="54AEBB5B">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对电机电流进行采集、存储、分析、控制，当电机电流出现异常波动时，能及时发现与电机相关的设备潜在故障和隐患，实现由“事后维修” 到“预知维修” 的转变，降低设备故障和安全隐患，保证产品质量，提高设备管理的智能化应用水平。</w:t>
      </w:r>
    </w:p>
    <w:p w14:paraId="4E567E68">
      <w:pPr>
        <w:spacing w:after="0" w:line="360" w:lineRule="auto"/>
        <w:rPr>
          <w:rFonts w:ascii="宋体" w:hAnsi="宋体" w:cs="宋体"/>
          <w:bCs/>
          <w:kern w:val="2"/>
          <w:sz w:val="21"/>
          <w:szCs w:val="21"/>
        </w:rPr>
      </w:pPr>
      <w:r>
        <w:rPr>
          <w:rFonts w:hint="eastAsia" w:ascii="宋体" w:hAnsi="宋体" w:cs="宋体"/>
          <w:bCs/>
          <w:kern w:val="2"/>
          <w:sz w:val="21"/>
          <w:szCs w:val="21"/>
        </w:rPr>
        <w:t>5）阀门状态智能监测</w:t>
      </w:r>
    </w:p>
    <w:p w14:paraId="673C2848">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将在底层PLC中增加这类器件的总运行时间、总动作次数、动作到位时间（针对部分具备开关到位或开度值反馈的器件）等信号，同时，系统对这类信号值进行采集并统计分析，对器件进行运行状态检测评估，为器件的维修、保养提供相应的指导依据。</w:t>
      </w:r>
    </w:p>
    <w:p w14:paraId="09E23D75">
      <w:pPr>
        <w:spacing w:after="0" w:line="360" w:lineRule="auto"/>
        <w:rPr>
          <w:rFonts w:ascii="宋体" w:hAnsi="宋体" w:cs="宋体"/>
          <w:bCs/>
          <w:kern w:val="2"/>
          <w:sz w:val="21"/>
          <w:szCs w:val="21"/>
        </w:rPr>
      </w:pPr>
      <w:r>
        <w:rPr>
          <w:rFonts w:hint="eastAsia" w:ascii="宋体" w:hAnsi="宋体" w:cs="宋体"/>
          <w:bCs/>
          <w:kern w:val="2"/>
          <w:sz w:val="21"/>
          <w:szCs w:val="21"/>
        </w:rPr>
        <w:t>6）电机温度、振动检测</w:t>
      </w:r>
    </w:p>
    <w:p w14:paraId="475C692D">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电机温度、振动检测：在关键主机设备的电机上增设温度、振动检测器件，采集振动、温度数据到数采平台，对涉及生产和质量重要工艺指标的关键点进行实时监测，结合设备运行工况和状态数据，建立基于大数据的故障预测算法模型，及时给出预见性预警和设备故障预判，及时提醒维修人员进行设备维修和维护，提高设备有效作业率、减少设备故障停机时间。</w:t>
      </w:r>
    </w:p>
    <w:p w14:paraId="3F3BBB9D">
      <w:pPr>
        <w:spacing w:after="0" w:line="360" w:lineRule="auto"/>
        <w:rPr>
          <w:rFonts w:ascii="宋体" w:hAnsi="宋体" w:cs="宋体"/>
          <w:bCs/>
          <w:kern w:val="2"/>
          <w:sz w:val="21"/>
          <w:szCs w:val="21"/>
        </w:rPr>
      </w:pPr>
      <w:r>
        <w:rPr>
          <w:rFonts w:hint="eastAsia" w:ascii="宋体" w:hAnsi="宋体" w:cs="宋体"/>
          <w:bCs/>
          <w:kern w:val="2"/>
          <w:sz w:val="21"/>
          <w:szCs w:val="21"/>
        </w:rPr>
        <w:t>7）故障智能诊断和排除</w:t>
      </w:r>
    </w:p>
    <w:p w14:paraId="71994ED3">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通过收集制丝线关键主机设备所有可能出现的故障信息和解决办法，构建一个基于专家大脑中的解决方法和经验沉淀的智能维修知识库（包括故障名称、编号、工艺段、故障部位、故障类型、PLC触发地址、对应I/O点、电气图纸编号、故障定位帮助照片，帮助参考文档，帮助视频，故障可能原因，故障处理建议等），建立算法模型与大数据分析运算模型，对出现的故障进行归档和不断地自动学习，最终变成一个经验不断积累、知识面不断拓展的在线“维修专家”。维修人员可以根据专家系统按当前工况和算法模型推荐出最合适的故障处理建议高效处理故障，并能够通过人机交互界面直接查看相关图纸，准确获悉故障元器件的信号、厂家、库存量等信息，极大地提升问题处置的能力，免去维修人员反复查阅资料的麻烦。</w:t>
      </w:r>
    </w:p>
    <w:p w14:paraId="2171D7DC">
      <w:pPr>
        <w:spacing w:after="0" w:line="360" w:lineRule="auto"/>
        <w:rPr>
          <w:rFonts w:ascii="宋体" w:hAnsi="宋体" w:cs="宋体"/>
          <w:bCs/>
          <w:kern w:val="2"/>
          <w:sz w:val="21"/>
          <w:szCs w:val="21"/>
        </w:rPr>
      </w:pPr>
      <w:r>
        <w:rPr>
          <w:rFonts w:hint="eastAsia" w:ascii="宋体" w:hAnsi="宋体" w:cs="宋体"/>
          <w:bCs/>
          <w:kern w:val="2"/>
          <w:sz w:val="21"/>
          <w:szCs w:val="21"/>
        </w:rPr>
        <w:t>8）加料前储柜出柜流量智能控制</w:t>
      </w:r>
    </w:p>
    <w:p w14:paraId="2772D948">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在加料前储柜出料端柜头处增设能检测物料厚度的智能器件：激光测距物料高度检测传感器。</w:t>
      </w:r>
    </w:p>
    <w:p w14:paraId="7C066822">
      <w:pPr>
        <w:spacing w:after="0" w:line="360" w:lineRule="auto"/>
        <w:rPr>
          <w:rFonts w:ascii="宋体" w:hAnsi="宋体" w:cs="宋体"/>
          <w:bCs/>
          <w:kern w:val="2"/>
          <w:sz w:val="21"/>
          <w:szCs w:val="21"/>
        </w:rPr>
      </w:pPr>
      <w:r>
        <w:rPr>
          <w:rFonts w:hint="eastAsia" w:ascii="宋体" w:hAnsi="宋体" w:cs="宋体"/>
          <w:bCs/>
          <w:kern w:val="2"/>
          <w:sz w:val="21"/>
          <w:szCs w:val="21"/>
        </w:rPr>
        <w:t>a.实时动态监测主线电子秤的物料设定流量和实际流量的差异，闭环控制对应储柜的底带出料速度，保证物料生产连续性的同时尽量减少出料辅联设备的启停次数，提高设备运行的稳定性。</w:t>
      </w:r>
    </w:p>
    <w:p w14:paraId="1CD5DD69">
      <w:pPr>
        <w:spacing w:after="0" w:line="360" w:lineRule="auto"/>
        <w:rPr>
          <w:rFonts w:ascii="宋体" w:hAnsi="宋体" w:cs="宋体"/>
          <w:bCs/>
          <w:kern w:val="2"/>
          <w:sz w:val="21"/>
          <w:szCs w:val="21"/>
        </w:rPr>
      </w:pPr>
      <w:r>
        <w:rPr>
          <w:rFonts w:hint="eastAsia" w:ascii="宋体" w:hAnsi="宋体" w:cs="宋体"/>
          <w:bCs/>
          <w:kern w:val="2"/>
          <w:sz w:val="21"/>
          <w:szCs w:val="21"/>
        </w:rPr>
        <w:t>b.通过现有超声波传感器测量出的烟层高度，结合储柜流量与柜子拉柜速度、烟叶品牌、烟叶密度、柜宽的关系，算出实际流量与设定流量的差值，采用流量控制算法，实时测量及计算储柜底带的速度控制流量。</w:t>
      </w:r>
    </w:p>
    <w:p w14:paraId="539BBEC3">
      <w:pPr>
        <w:spacing w:after="0" w:line="360" w:lineRule="auto"/>
        <w:rPr>
          <w:rFonts w:ascii="宋体" w:hAnsi="宋体" w:cs="宋体"/>
          <w:bCs/>
          <w:kern w:val="2"/>
          <w:sz w:val="21"/>
          <w:szCs w:val="21"/>
        </w:rPr>
      </w:pPr>
      <w:r>
        <w:rPr>
          <w:rFonts w:hint="eastAsia" w:ascii="宋体" w:hAnsi="宋体" w:cs="宋体"/>
          <w:bCs/>
          <w:kern w:val="2"/>
          <w:sz w:val="21"/>
          <w:szCs w:val="21"/>
        </w:rPr>
        <w:t>c.准确的自动测算出电机速度，在检测器件故障后，能自动转换到手动模式下，人工控制系统，并将故障器件报告到监控机上，提示操作及维修人员进行处理。</w:t>
      </w:r>
    </w:p>
    <w:p w14:paraId="18F232D5">
      <w:pPr>
        <w:spacing w:after="0" w:line="360" w:lineRule="auto"/>
        <w:rPr>
          <w:rFonts w:ascii="宋体" w:hAnsi="宋体" w:cs="宋体"/>
          <w:bCs/>
          <w:kern w:val="2"/>
          <w:sz w:val="21"/>
          <w:szCs w:val="21"/>
        </w:rPr>
      </w:pPr>
      <w:r>
        <w:rPr>
          <w:rFonts w:hint="eastAsia" w:ascii="宋体" w:hAnsi="宋体" w:cs="宋体"/>
          <w:bCs/>
          <w:kern w:val="2"/>
          <w:sz w:val="21"/>
          <w:szCs w:val="21"/>
        </w:rPr>
        <w:t>d.结合高度得出的数值，具有电子称流量的反馈加于纠正系统相关参数。</w:t>
      </w:r>
    </w:p>
    <w:p w14:paraId="1E94CFC0">
      <w:pPr>
        <w:spacing w:after="0" w:line="360" w:lineRule="auto"/>
        <w:rPr>
          <w:rFonts w:ascii="宋体" w:hAnsi="宋体" w:cs="宋体"/>
          <w:bCs/>
          <w:kern w:val="2"/>
          <w:sz w:val="21"/>
          <w:szCs w:val="21"/>
        </w:rPr>
      </w:pPr>
      <w:r>
        <w:rPr>
          <w:rFonts w:hint="eastAsia" w:ascii="宋体" w:hAnsi="宋体" w:cs="宋体"/>
          <w:bCs/>
          <w:kern w:val="2"/>
          <w:sz w:val="21"/>
          <w:szCs w:val="21"/>
        </w:rPr>
        <w:t>e.结合储柜流量与储柜拉柜速度、烟叶品牌、烟叶密度、柜宽等的关系，算出实际流量与设定流量的差值，采用流量控制算法，实时测量及计算储柜底带的速度，进而控制出柜流量。</w:t>
      </w:r>
    </w:p>
    <w:p w14:paraId="4DF2BF55">
      <w:pPr>
        <w:spacing w:after="0" w:line="360" w:lineRule="auto"/>
        <w:rPr>
          <w:rFonts w:ascii="宋体" w:hAnsi="宋体" w:cs="宋体"/>
          <w:bCs/>
          <w:kern w:val="2"/>
          <w:sz w:val="21"/>
          <w:szCs w:val="21"/>
        </w:rPr>
      </w:pPr>
      <w:r>
        <w:rPr>
          <w:rFonts w:hint="eastAsia" w:ascii="宋体" w:hAnsi="宋体" w:cs="宋体"/>
          <w:bCs/>
          <w:kern w:val="2"/>
          <w:sz w:val="21"/>
          <w:szCs w:val="21"/>
        </w:rPr>
        <w:t>f.切丝机系统数据集成。将切丝机控制系统与工艺段主PLC进行数据通讯，将切丝机的数据通过主PLC进入数据采集平台进行存储，一方面完善切丝机的数采功能，另一方面通过对比切丝机的在用配方和计划配方，实现防差错功能，防止由于参数设置不合理而导致出现质量事故。</w:t>
      </w:r>
    </w:p>
    <w:p w14:paraId="74A2FDC3">
      <w:pPr>
        <w:spacing w:after="0" w:line="360" w:lineRule="auto"/>
        <w:rPr>
          <w:rFonts w:ascii="宋体" w:hAnsi="宋体" w:cs="宋体"/>
          <w:bCs/>
          <w:kern w:val="2"/>
          <w:sz w:val="21"/>
          <w:szCs w:val="21"/>
        </w:rPr>
      </w:pPr>
      <w:r>
        <w:rPr>
          <w:rFonts w:hint="eastAsia" w:ascii="宋体" w:hAnsi="宋体" w:cs="宋体"/>
          <w:bCs/>
          <w:kern w:val="2"/>
          <w:sz w:val="21"/>
          <w:szCs w:val="21"/>
        </w:rPr>
        <w:t>4.卷包车间一条中支产线智能优化升级</w:t>
      </w:r>
    </w:p>
    <w:p w14:paraId="2BEE1289">
      <w:pPr>
        <w:spacing w:after="0" w:line="360" w:lineRule="auto"/>
        <w:ind w:firstLine="420" w:firstLineChars="200"/>
        <w:rPr>
          <w:rFonts w:ascii="宋体" w:hAnsi="宋体" w:cs="宋体"/>
          <w:sz w:val="21"/>
          <w:szCs w:val="21"/>
        </w:rPr>
      </w:pPr>
      <w:r>
        <w:rPr>
          <w:rFonts w:hint="eastAsia" w:ascii="宋体" w:hAnsi="宋体" w:cs="宋体"/>
          <w:sz w:val="21"/>
          <w:szCs w:val="21"/>
        </w:rPr>
        <w:t>卷包车间一条中支产线智能优化升级包括单机质量管控系统和设备运行状态在线监测两部分。</w:t>
      </w:r>
    </w:p>
    <w:p w14:paraId="6749CC70">
      <w:pPr>
        <w:spacing w:after="0" w:line="360" w:lineRule="auto"/>
        <w:ind w:firstLine="420" w:firstLineChars="200"/>
        <w:rPr>
          <w:rFonts w:ascii="宋体" w:hAnsi="宋体" w:cs="宋体"/>
          <w:bCs/>
          <w:kern w:val="2"/>
          <w:sz w:val="21"/>
          <w:szCs w:val="21"/>
        </w:rPr>
      </w:pPr>
      <w:r>
        <w:rPr>
          <w:rFonts w:hint="eastAsia" w:ascii="宋体" w:hAnsi="宋体" w:cs="宋体"/>
          <w:sz w:val="21"/>
          <w:szCs w:val="21"/>
        </w:rPr>
        <w:drawing>
          <wp:inline distT="0" distB="0" distL="0" distR="0">
            <wp:extent cx="5274310" cy="280797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2808522"/>
                    </a:xfrm>
                    <a:prstGeom prst="rect">
                      <a:avLst/>
                    </a:prstGeom>
                    <a:noFill/>
                    <a:ln>
                      <a:noFill/>
                    </a:ln>
                  </pic:spPr>
                </pic:pic>
              </a:graphicData>
            </a:graphic>
          </wp:inline>
        </w:drawing>
      </w:r>
    </w:p>
    <w:bookmarkEnd w:id="193"/>
    <w:p w14:paraId="1534C725">
      <w:pPr>
        <w:pStyle w:val="2"/>
        <w:spacing w:after="0" w:line="360" w:lineRule="auto"/>
        <w:ind w:left="0" w:leftChars="0" w:firstLine="0" w:firstLineChars="0"/>
        <w:jc w:val="center"/>
        <w:rPr>
          <w:rFonts w:ascii="宋体" w:hAnsi="宋体" w:cs="宋体"/>
          <w:sz w:val="21"/>
          <w:szCs w:val="21"/>
        </w:rPr>
      </w:pPr>
      <w:r>
        <w:rPr>
          <w:rFonts w:hint="eastAsia" w:ascii="宋体" w:hAnsi="宋体" w:cs="宋体"/>
          <w:sz w:val="21"/>
          <w:szCs w:val="21"/>
        </w:rPr>
        <w:t>图：系统功能图</w:t>
      </w:r>
    </w:p>
    <w:p w14:paraId="24C8A3D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4.1卷包设备运行状态在线监测</w:t>
      </w:r>
    </w:p>
    <w:p w14:paraId="4042614C">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1）</w:t>
      </w:r>
      <w:r>
        <w:rPr>
          <w:rFonts w:hint="eastAsia" w:ascii="宋体" w:hAnsi="宋体" w:cs="宋体"/>
          <w:bCs/>
          <w:kern w:val="2"/>
          <w:sz w:val="21"/>
          <w:szCs w:val="21"/>
        </w:rPr>
        <w:tab/>
      </w:r>
      <w:r>
        <w:rPr>
          <w:rFonts w:hint="eastAsia" w:ascii="宋体" w:hAnsi="宋体" w:cs="宋体"/>
          <w:bCs/>
          <w:kern w:val="2"/>
          <w:sz w:val="21"/>
          <w:szCs w:val="21"/>
        </w:rPr>
        <w:t>卷包设备关键部位振动、温度在线监测</w:t>
      </w:r>
    </w:p>
    <w:p w14:paraId="4D9B738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在卷包车间5台设备上实施，包括机型：ZJ116A、ZJ17，每台设备4个位置（可包含多个点位），分别为：VE大风机、VE小风机、 MAX风机、刀盘等。卷包设备关键部位振动、温度在线监测用于实时监控卷包设备在运行过程中的振动行为和关键部位的温度变化。通过连续、非侵入性的数据采集与分析，及时发现潜在故障、评估设备健康状态、预测维护需求，以提高设备可靠性和降低因意外停机造成的经济损失。</w:t>
      </w:r>
    </w:p>
    <w:p w14:paraId="5FACEB5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通过数据采集、数据处理及分析，识别异常模式：实现报警与诊断，当监测数据超过预设阈值或检测到特定故障特征时，系统触发报警通知，通过短信、邮件、APP推送等方式告知维护人员。高级的在线监测系统还具备故障诊断功能，能基于历史数据、专家规则或机器学习模型进行故障类型和严重程度的识别，提供故障根源分析和维修建议。实现可视化与报告：监测软件平台通常提供实时数据显示、图表绘制、趋势分析等功能，将复杂的振动和温度数据转化为直观易懂的图形界面，如频谱图、波形图、趋势图等。此外，系统可定期生成设备状态报告，便于管理人员进行决策。</w:t>
      </w:r>
    </w:p>
    <w:p w14:paraId="07CD8A3B">
      <w:pPr>
        <w:spacing w:after="0" w:line="360" w:lineRule="auto"/>
        <w:ind w:left="404"/>
        <w:rPr>
          <w:rFonts w:ascii="宋体" w:hAnsi="宋体" w:cs="宋体"/>
          <w:bCs/>
          <w:kern w:val="2"/>
          <w:sz w:val="21"/>
          <w:szCs w:val="21"/>
        </w:rPr>
      </w:pPr>
      <w:r>
        <w:rPr>
          <w:rFonts w:hint="eastAsia" w:ascii="宋体" w:hAnsi="宋体" w:cs="宋体"/>
          <w:bCs/>
          <w:kern w:val="2"/>
          <w:sz w:val="21"/>
          <w:szCs w:val="21"/>
        </w:rPr>
        <w:t>2）</w:t>
      </w:r>
      <w:r>
        <w:rPr>
          <w:rFonts w:hint="eastAsia" w:ascii="宋体" w:hAnsi="宋体" w:cs="宋体"/>
          <w:bCs/>
          <w:kern w:val="2"/>
          <w:sz w:val="21"/>
          <w:szCs w:val="21"/>
        </w:rPr>
        <w:tab/>
      </w:r>
      <w:r>
        <w:rPr>
          <w:rFonts w:hint="eastAsia" w:ascii="宋体" w:hAnsi="宋体" w:cs="宋体"/>
          <w:bCs/>
          <w:kern w:val="2"/>
          <w:sz w:val="21"/>
          <w:szCs w:val="21"/>
        </w:rPr>
        <w:t>质量关键部位压力实时监控</w:t>
      </w:r>
    </w:p>
    <w:p w14:paraId="733CA530">
      <w:pPr>
        <w:spacing w:after="0" w:line="360" w:lineRule="auto"/>
        <w:ind w:left="404"/>
        <w:rPr>
          <w:rFonts w:ascii="宋体" w:hAnsi="宋体" w:cs="宋体"/>
          <w:bCs/>
          <w:kern w:val="2"/>
          <w:sz w:val="21"/>
          <w:szCs w:val="21"/>
        </w:rPr>
      </w:pPr>
      <w:r>
        <w:rPr>
          <w:rFonts w:hint="eastAsia" w:ascii="宋体" w:hAnsi="宋体" w:cs="宋体"/>
          <w:bCs/>
          <w:kern w:val="2"/>
          <w:sz w:val="21"/>
          <w:szCs w:val="21"/>
        </w:rPr>
        <w:t>质量关键部位压力实时监控是对5台卷烟机的关键部位（VE大风机、小风机、蜘蛛手风机、MAX大风机、水松纸切纸鼓轮等）的压力进行持续、实时的测量与监控，包括机型：ZJ116A、ZJ17、ZJ118等，旨在补齐原机数采缺失点，并通过精确、及时的数据获取与分析，确保设备运行在合理范围内，预防因压力异常导致的质量隐患、设备损坏和安全隐患，同时辅助优化工艺流程、提高产品质量保障能力。</w:t>
      </w:r>
    </w:p>
    <w:p w14:paraId="789A25A2">
      <w:pPr>
        <w:pStyle w:val="2"/>
        <w:spacing w:after="0" w:line="360" w:lineRule="auto"/>
        <w:ind w:leftChars="0"/>
        <w:rPr>
          <w:rFonts w:ascii="宋体" w:hAnsi="宋体" w:cs="宋体"/>
          <w:bCs/>
          <w:kern w:val="2"/>
          <w:sz w:val="21"/>
          <w:szCs w:val="21"/>
        </w:rPr>
      </w:pPr>
      <w:r>
        <w:rPr>
          <w:rFonts w:hint="eastAsia" w:ascii="宋体" w:hAnsi="宋体" w:cs="宋体"/>
          <w:bCs/>
          <w:kern w:val="2"/>
          <w:sz w:val="21"/>
          <w:szCs w:val="21"/>
        </w:rPr>
        <w:t xml:space="preserve">  通过压力传感器的布置，数据采集与传输，数据处理与分析，实现报警与控制：当监测到的压力超出预设的安全范围或出现异常波动时，系统触发报警通知，通过声光报警、短信、邮件、APP推送等方式通知相关人员。对于具备自动控制功能的系统，还可根据压力数据实时调整设备运行参数或启动应急措施，如调节泵的转速、开启备用设备、关闭阀门等。以及实现可视化与报告：监控软件平台通常提供实时压力数据显示、图表绘制、历史数据查询、趋势分析等功能，将复杂的压力数据转化为易于理解的图形界面，如压力曲线、压力分布图、报警事件列表等。系统还可以定期生成压力监测报告，为维护策略制定和性能评估提供依据。</w:t>
      </w:r>
    </w:p>
    <w:p w14:paraId="4CA2BA27">
      <w:pPr>
        <w:pStyle w:val="2"/>
        <w:spacing w:after="0" w:line="360" w:lineRule="auto"/>
        <w:ind w:left="400"/>
        <w:rPr>
          <w:rFonts w:ascii="宋体" w:hAnsi="宋体" w:cs="宋体"/>
          <w:bCs/>
          <w:kern w:val="2"/>
          <w:sz w:val="21"/>
          <w:szCs w:val="21"/>
        </w:rPr>
      </w:pPr>
      <w:r>
        <w:rPr>
          <w:rFonts w:hint="eastAsia" w:ascii="宋体" w:hAnsi="宋体" w:cs="宋体"/>
          <w:bCs/>
          <w:kern w:val="2"/>
          <w:sz w:val="21"/>
          <w:szCs w:val="21"/>
        </w:rPr>
        <w:t>3）</w:t>
      </w:r>
      <w:r>
        <w:rPr>
          <w:rFonts w:hint="eastAsia" w:ascii="宋体" w:hAnsi="宋体" w:cs="宋体"/>
          <w:bCs/>
          <w:kern w:val="2"/>
          <w:sz w:val="21"/>
          <w:szCs w:val="21"/>
        </w:rPr>
        <w:tab/>
      </w:r>
      <w:r>
        <w:rPr>
          <w:rFonts w:hint="eastAsia" w:ascii="宋体" w:hAnsi="宋体" w:cs="宋体"/>
          <w:bCs/>
          <w:kern w:val="2"/>
          <w:sz w:val="21"/>
          <w:szCs w:val="21"/>
        </w:rPr>
        <w:t>设备伺服系统状态监控</w:t>
      </w:r>
    </w:p>
    <w:p w14:paraId="19CC3F37">
      <w:pPr>
        <w:pStyle w:val="2"/>
        <w:spacing w:after="0" w:line="360" w:lineRule="auto"/>
        <w:ind w:leftChars="0"/>
        <w:rPr>
          <w:rFonts w:ascii="宋体" w:hAnsi="宋体" w:cs="宋体"/>
          <w:bCs/>
          <w:kern w:val="2"/>
          <w:sz w:val="21"/>
          <w:szCs w:val="21"/>
        </w:rPr>
      </w:pPr>
      <w:r>
        <w:rPr>
          <w:rFonts w:hint="eastAsia" w:ascii="宋体" w:hAnsi="宋体" w:cs="宋体"/>
          <w:bCs/>
          <w:kern w:val="2"/>
          <w:sz w:val="21"/>
          <w:szCs w:val="21"/>
        </w:rPr>
        <w:t>在5台卷烟设备上实施,包括机型：ZJ116A、ZJ118，设备伺服状态监控是实时采集卷烟机伺服控制系统对应伺服轴的参数，包括转速、扭矩、电流、电压、温度等，结合设备运行状态，综合判断伺服电机及其驱动部件的状态，形成伺服电机及驱动部件的运行趋势分析，辅助设备检修、换件计划及零配件申报决策。</w:t>
      </w:r>
    </w:p>
    <w:p w14:paraId="4BA1DAAD">
      <w:pPr>
        <w:pStyle w:val="2"/>
        <w:spacing w:after="0" w:line="360" w:lineRule="auto"/>
        <w:ind w:leftChars="0"/>
        <w:rPr>
          <w:rFonts w:ascii="宋体" w:hAnsi="宋体" w:cs="宋体"/>
          <w:bCs/>
          <w:kern w:val="2"/>
          <w:sz w:val="21"/>
          <w:szCs w:val="21"/>
        </w:rPr>
      </w:pPr>
      <w:r>
        <w:rPr>
          <w:rFonts w:hint="eastAsia" w:ascii="宋体" w:hAnsi="宋体" w:cs="宋体"/>
          <w:bCs/>
          <w:kern w:val="2"/>
          <w:sz w:val="21"/>
          <w:szCs w:val="21"/>
        </w:rPr>
        <w:t>通过对伺服控制器上增加通信接口或直接采集控制器数据，实现对伺服轴转速、扭矩、电压、电流、温度、位置、跟随故障等参数数据的采集，并传输到监控系统，对数据处理与分析，实现预警与控制：当监测到伺服轴的数据超过的预设范围或出现异常波动时，系统触发报警通知，通过APP推送等方式通知相关人员。以及实现可视化与报告：监控软件平台提供实时伺服轴数据显示、图表绘制、历史数据查询、趋势分析等功能，将复杂的伺服数据转化为易于理解的图形界面，定期生成监测报告，为维护策略制定和配件申报提供依据。</w:t>
      </w:r>
    </w:p>
    <w:p w14:paraId="1B4EF372">
      <w:pPr>
        <w:spacing w:after="0" w:line="360" w:lineRule="auto"/>
        <w:ind w:firstLine="424" w:firstLineChars="202"/>
        <w:jc w:val="both"/>
        <w:rPr>
          <w:rFonts w:ascii="宋体" w:hAnsi="宋体" w:cs="宋体"/>
          <w:sz w:val="21"/>
          <w:szCs w:val="21"/>
        </w:rPr>
      </w:pPr>
      <w:r>
        <w:rPr>
          <w:rFonts w:hint="eastAsia" w:ascii="宋体" w:hAnsi="宋体" w:cs="宋体"/>
          <w:sz w:val="21"/>
          <w:szCs w:val="21"/>
        </w:rPr>
        <w:t>4.2卷包车间单机质量管控系统</w:t>
      </w:r>
    </w:p>
    <w:p w14:paraId="3EDE12AA">
      <w:pPr>
        <w:spacing w:after="0" w:line="360" w:lineRule="auto"/>
        <w:ind w:left="404"/>
        <w:rPr>
          <w:rFonts w:ascii="宋体" w:hAnsi="宋体" w:cs="宋体"/>
          <w:bCs/>
          <w:kern w:val="2"/>
          <w:sz w:val="21"/>
          <w:szCs w:val="21"/>
        </w:rPr>
      </w:pPr>
      <w:r>
        <w:rPr>
          <w:rFonts w:hint="eastAsia" w:ascii="宋体" w:hAnsi="宋体" w:cs="宋体"/>
          <w:bCs/>
          <w:kern w:val="2"/>
          <w:sz w:val="21"/>
          <w:szCs w:val="21"/>
        </w:rPr>
        <w:t>1）单机质量监控画像</w:t>
      </w:r>
    </w:p>
    <w:p w14:paraId="687ECAB6">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单机质量监控画像旨在通过数字化技术，全面、精准地呈现卷包设备的生产状态和性能特征。涵盖设备的实时运行数据，如产量、效率和质量等，深入挖掘设备的历史质量指标数据，对其性能趋势进行分析和预测。</w:t>
      </w:r>
    </w:p>
    <w:p w14:paraId="6333A8D8">
      <w:pPr>
        <w:spacing w:after="0" w:line="360" w:lineRule="auto"/>
        <w:ind w:left="404" w:firstLine="420" w:firstLineChars="200"/>
        <w:rPr>
          <w:rFonts w:ascii="宋体" w:hAnsi="宋体" w:cs="宋体"/>
          <w:bCs/>
          <w:kern w:val="2"/>
          <w:sz w:val="21"/>
          <w:szCs w:val="21"/>
        </w:rPr>
      </w:pPr>
      <w:r>
        <w:rPr>
          <w:rFonts w:hint="eastAsia" w:ascii="宋体" w:hAnsi="宋体" w:cs="宋体"/>
          <w:bCs/>
          <w:kern w:val="2"/>
          <w:sz w:val="21"/>
          <w:szCs w:val="21"/>
        </w:rPr>
        <w:t>单机质量监控画像通过直观的图表和数据可视化形式，通过密切关注诸如空头率、漏气检测、通风度调节、吸阻稳定性、软硬点分布、烟支重量均匀性、外观瑕疵、过轻过重、圆周不均、长度偏差等核心参数，并确保这些参数符合严格的质量标准。将这些核心参数与外观品质检验数据紧密结合，依据工厂制定的考核指标体系，精确计算并动态生成每台生产设备的过程质量得分，并在作业区内进行横向排名展示，同时详尽列出影响得分的扣分项目明细，以便于各生产线快速定位和改进问题环节。</w:t>
      </w:r>
    </w:p>
    <w:p w14:paraId="4FE1428E">
      <w:pPr>
        <w:spacing w:after="0" w:line="360" w:lineRule="auto"/>
        <w:ind w:left="404" w:firstLine="420" w:firstLineChars="200"/>
        <w:rPr>
          <w:rFonts w:ascii="宋体" w:hAnsi="宋体" w:cs="宋体"/>
          <w:bCs/>
          <w:kern w:val="2"/>
          <w:sz w:val="21"/>
          <w:szCs w:val="21"/>
        </w:rPr>
      </w:pPr>
      <w:r>
        <w:rPr>
          <w:rFonts w:hint="eastAsia" w:ascii="宋体" w:hAnsi="宋体" w:cs="宋体"/>
          <w:bCs/>
          <w:kern w:val="2"/>
          <w:sz w:val="21"/>
          <w:szCs w:val="21"/>
        </w:rPr>
        <w:t>系统应具备历史数据分析功能，完整记录每次抽检样本的各项数据表现，提供历史数据分析和明细追溯能力，支持多角度、全方位地回溯问题源头，为车间各级管理层提供全面而精细化的质量视图，以便能够深入洞察各个环节的质量表现，把握整体质量脉络，并基于详实数据做出精准决策等功能。</w:t>
      </w:r>
    </w:p>
    <w:p w14:paraId="0FC3247F">
      <w:pPr>
        <w:pStyle w:val="2"/>
        <w:spacing w:after="0" w:line="360" w:lineRule="auto"/>
        <w:ind w:leftChars="0"/>
        <w:rPr>
          <w:rFonts w:ascii="宋体" w:hAnsi="宋体" w:cs="宋体"/>
          <w:sz w:val="21"/>
          <w:szCs w:val="21"/>
        </w:rPr>
      </w:pPr>
      <w:r>
        <w:rPr>
          <w:rFonts w:hint="eastAsia" w:ascii="宋体" w:hAnsi="宋体" w:cs="宋体"/>
          <w:sz w:val="21"/>
          <w:szCs w:val="21"/>
        </w:rPr>
        <w:t>2）质量趋势及设备参数偏离预警</w:t>
      </w:r>
    </w:p>
    <w:p w14:paraId="4C5BC69F">
      <w:pPr>
        <w:pStyle w:val="2"/>
        <w:spacing w:after="0" w:line="360" w:lineRule="auto"/>
        <w:ind w:leftChars="0"/>
        <w:rPr>
          <w:rFonts w:ascii="宋体" w:hAnsi="宋体" w:cs="宋体"/>
          <w:sz w:val="21"/>
          <w:szCs w:val="21"/>
        </w:rPr>
      </w:pPr>
      <w:r>
        <w:rPr>
          <w:rFonts w:hint="eastAsia" w:ascii="宋体" w:hAnsi="宋体" w:cs="宋体"/>
          <w:sz w:val="21"/>
          <w:szCs w:val="21"/>
        </w:rPr>
        <w:t>在12台设备上实施，包括机型：ZJ116A/FX2、ZJ17/GDX2、ZJ118/GDX2、ZJ118/ZB418、手工线等，利用卷接包装机组检测设备（原机检测设备、外挂检测设备）数采数据，实时监测、分析检测设备运行状态、剔除情况、关键参数等信息。主要的外挂设备检测厂家为：</w:t>
      </w:r>
    </w:p>
    <w:tbl>
      <w:tblPr>
        <w:tblStyle w:val="62"/>
        <w:tblpPr w:leftFromText="180" w:rightFromText="180" w:vertAnchor="text" w:horzAnchor="margin" w:tblpXSpec="center" w:tblpY="2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7CCC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148" w:type="dxa"/>
            <w:shd w:val="clear" w:color="auto" w:fill="auto"/>
          </w:tcPr>
          <w:p w14:paraId="77DF9B39">
            <w:pPr>
              <w:pStyle w:val="2"/>
              <w:spacing w:after="0" w:line="360" w:lineRule="auto"/>
              <w:ind w:left="400" w:firstLine="422"/>
              <w:rPr>
                <w:rFonts w:ascii="宋体" w:hAnsi="宋体" w:cs="宋体"/>
                <w:b/>
                <w:sz w:val="21"/>
                <w:szCs w:val="21"/>
              </w:rPr>
            </w:pPr>
            <w:r>
              <w:rPr>
                <w:rFonts w:hint="eastAsia" w:ascii="宋体" w:hAnsi="宋体" w:cs="宋体"/>
                <w:b/>
                <w:sz w:val="21"/>
                <w:szCs w:val="21"/>
              </w:rPr>
              <w:t>检测设备种类</w:t>
            </w:r>
          </w:p>
        </w:tc>
        <w:tc>
          <w:tcPr>
            <w:tcW w:w="4148" w:type="dxa"/>
            <w:shd w:val="clear" w:color="auto" w:fill="auto"/>
          </w:tcPr>
          <w:p w14:paraId="5852D543">
            <w:pPr>
              <w:pStyle w:val="2"/>
              <w:spacing w:after="0" w:line="360" w:lineRule="auto"/>
              <w:ind w:left="400" w:firstLine="422"/>
              <w:rPr>
                <w:rFonts w:ascii="宋体" w:hAnsi="宋体" w:cs="宋体"/>
                <w:b/>
                <w:sz w:val="21"/>
                <w:szCs w:val="21"/>
              </w:rPr>
            </w:pPr>
            <w:r>
              <w:rPr>
                <w:rFonts w:hint="eastAsia" w:ascii="宋体" w:hAnsi="宋体" w:cs="宋体"/>
                <w:b/>
                <w:sz w:val="21"/>
                <w:szCs w:val="21"/>
              </w:rPr>
              <w:t>厂家</w:t>
            </w:r>
          </w:p>
        </w:tc>
      </w:tr>
      <w:tr w14:paraId="039D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8" w:type="dxa"/>
            <w:shd w:val="clear" w:color="auto" w:fill="auto"/>
          </w:tcPr>
          <w:p w14:paraId="468EE477">
            <w:pPr>
              <w:pStyle w:val="2"/>
              <w:spacing w:after="0" w:line="360" w:lineRule="auto"/>
              <w:ind w:left="400"/>
              <w:rPr>
                <w:rFonts w:ascii="宋体" w:hAnsi="宋体" w:cs="宋体"/>
                <w:sz w:val="21"/>
                <w:szCs w:val="21"/>
              </w:rPr>
            </w:pPr>
            <w:r>
              <w:rPr>
                <w:rFonts w:hint="eastAsia" w:ascii="宋体" w:hAnsi="宋体" w:cs="宋体"/>
                <w:sz w:val="21"/>
                <w:szCs w:val="21"/>
              </w:rPr>
              <w:t>小包外观检测</w:t>
            </w:r>
          </w:p>
        </w:tc>
        <w:tc>
          <w:tcPr>
            <w:tcW w:w="4148" w:type="dxa"/>
            <w:shd w:val="clear" w:color="auto" w:fill="auto"/>
          </w:tcPr>
          <w:p w14:paraId="72DF8278">
            <w:pPr>
              <w:pStyle w:val="2"/>
              <w:spacing w:after="0" w:line="360" w:lineRule="auto"/>
              <w:ind w:left="0" w:leftChars="0" w:firstLine="0" w:firstLineChars="0"/>
              <w:rPr>
                <w:rFonts w:ascii="宋体" w:hAnsi="宋体" w:cs="宋体"/>
                <w:sz w:val="21"/>
                <w:szCs w:val="21"/>
              </w:rPr>
            </w:pPr>
            <w:r>
              <w:rPr>
                <w:rFonts w:hint="eastAsia" w:ascii="宋体" w:hAnsi="宋体" w:cs="宋体"/>
                <w:sz w:val="21"/>
                <w:szCs w:val="21"/>
              </w:rPr>
              <w:t>南京家泉、南京大树</w:t>
            </w:r>
          </w:p>
        </w:tc>
      </w:tr>
      <w:tr w14:paraId="1950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8" w:type="dxa"/>
            <w:shd w:val="clear" w:color="auto" w:fill="auto"/>
          </w:tcPr>
          <w:p w14:paraId="3D517108">
            <w:pPr>
              <w:pStyle w:val="2"/>
              <w:spacing w:after="0" w:line="360" w:lineRule="auto"/>
              <w:ind w:left="400"/>
              <w:rPr>
                <w:rFonts w:ascii="宋体" w:hAnsi="宋体" w:cs="宋体"/>
                <w:sz w:val="21"/>
                <w:szCs w:val="21"/>
              </w:rPr>
            </w:pPr>
            <w:r>
              <w:rPr>
                <w:rFonts w:hint="eastAsia" w:ascii="宋体" w:hAnsi="宋体" w:cs="宋体"/>
                <w:sz w:val="21"/>
                <w:szCs w:val="21"/>
              </w:rPr>
              <w:t>烟支外观检测</w:t>
            </w:r>
          </w:p>
        </w:tc>
        <w:tc>
          <w:tcPr>
            <w:tcW w:w="4148" w:type="dxa"/>
            <w:shd w:val="clear" w:color="auto" w:fill="auto"/>
          </w:tcPr>
          <w:p w14:paraId="786A1911">
            <w:pPr>
              <w:pStyle w:val="2"/>
              <w:spacing w:after="0" w:line="360" w:lineRule="auto"/>
              <w:ind w:left="0" w:leftChars="0" w:firstLine="0" w:firstLineChars="0"/>
              <w:rPr>
                <w:rFonts w:ascii="宋体" w:hAnsi="宋体" w:cs="宋体"/>
                <w:sz w:val="21"/>
                <w:szCs w:val="21"/>
              </w:rPr>
            </w:pPr>
            <w:r>
              <w:rPr>
                <w:rFonts w:hint="eastAsia" w:ascii="宋体" w:hAnsi="宋体" w:cs="宋体"/>
                <w:sz w:val="21"/>
                <w:szCs w:val="21"/>
              </w:rPr>
              <w:t>云南远足、南京大树</w:t>
            </w:r>
          </w:p>
        </w:tc>
      </w:tr>
      <w:tr w14:paraId="514E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8" w:type="dxa"/>
            <w:shd w:val="clear" w:color="auto" w:fill="auto"/>
          </w:tcPr>
          <w:p w14:paraId="462C0DE6">
            <w:pPr>
              <w:pStyle w:val="2"/>
              <w:spacing w:after="0" w:line="360" w:lineRule="auto"/>
              <w:ind w:left="400"/>
              <w:rPr>
                <w:rFonts w:ascii="宋体" w:hAnsi="宋体" w:cs="宋体"/>
                <w:sz w:val="21"/>
                <w:szCs w:val="21"/>
              </w:rPr>
            </w:pPr>
            <w:r>
              <w:rPr>
                <w:rFonts w:hint="eastAsia" w:ascii="宋体" w:hAnsi="宋体" w:cs="宋体"/>
                <w:sz w:val="21"/>
                <w:szCs w:val="21"/>
              </w:rPr>
              <w:t>条外观检测</w:t>
            </w:r>
          </w:p>
        </w:tc>
        <w:tc>
          <w:tcPr>
            <w:tcW w:w="4148" w:type="dxa"/>
            <w:shd w:val="clear" w:color="auto" w:fill="auto"/>
          </w:tcPr>
          <w:p w14:paraId="231E0261">
            <w:pPr>
              <w:pStyle w:val="2"/>
              <w:spacing w:after="0" w:line="360" w:lineRule="auto"/>
              <w:ind w:left="0" w:leftChars="0" w:firstLine="0" w:firstLineChars="0"/>
              <w:rPr>
                <w:rFonts w:ascii="宋体" w:hAnsi="宋体" w:cs="宋体"/>
                <w:sz w:val="21"/>
                <w:szCs w:val="21"/>
              </w:rPr>
            </w:pPr>
            <w:r>
              <w:rPr>
                <w:rFonts w:hint="eastAsia" w:ascii="宋体" w:hAnsi="宋体" w:cs="宋体"/>
                <w:sz w:val="21"/>
                <w:szCs w:val="21"/>
              </w:rPr>
              <w:t>南京大树</w:t>
            </w:r>
          </w:p>
        </w:tc>
      </w:tr>
      <w:tr w14:paraId="13E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8" w:type="dxa"/>
            <w:shd w:val="clear" w:color="auto" w:fill="auto"/>
          </w:tcPr>
          <w:p w14:paraId="390404E0">
            <w:pPr>
              <w:pStyle w:val="2"/>
              <w:spacing w:after="0" w:line="360" w:lineRule="auto"/>
              <w:ind w:left="400"/>
              <w:rPr>
                <w:rFonts w:ascii="宋体" w:hAnsi="宋体" w:cs="宋体"/>
                <w:sz w:val="21"/>
                <w:szCs w:val="21"/>
              </w:rPr>
            </w:pPr>
            <w:r>
              <w:rPr>
                <w:rFonts w:hint="eastAsia" w:ascii="宋体" w:hAnsi="宋体" w:cs="宋体"/>
                <w:sz w:val="21"/>
                <w:szCs w:val="21"/>
              </w:rPr>
              <w:t>散包检测</w:t>
            </w:r>
          </w:p>
        </w:tc>
        <w:tc>
          <w:tcPr>
            <w:tcW w:w="4148" w:type="dxa"/>
            <w:shd w:val="clear" w:color="auto" w:fill="auto"/>
          </w:tcPr>
          <w:p w14:paraId="6A3BD1E0">
            <w:pPr>
              <w:pStyle w:val="2"/>
              <w:spacing w:after="0" w:line="360" w:lineRule="auto"/>
              <w:ind w:left="0" w:leftChars="0" w:firstLine="0" w:firstLineChars="0"/>
              <w:rPr>
                <w:rFonts w:ascii="宋体" w:hAnsi="宋体" w:cs="宋体"/>
                <w:sz w:val="21"/>
                <w:szCs w:val="21"/>
              </w:rPr>
            </w:pPr>
            <w:r>
              <w:rPr>
                <w:rFonts w:hint="eastAsia" w:ascii="宋体" w:hAnsi="宋体" w:cs="宋体"/>
                <w:sz w:val="21"/>
                <w:szCs w:val="21"/>
              </w:rPr>
              <w:t>南京家泉、南京倍锐、新智联、文易特</w:t>
            </w:r>
          </w:p>
        </w:tc>
      </w:tr>
      <w:tr w14:paraId="008E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8" w:type="dxa"/>
            <w:shd w:val="clear" w:color="auto" w:fill="auto"/>
          </w:tcPr>
          <w:p w14:paraId="62B5C985">
            <w:pPr>
              <w:pStyle w:val="2"/>
              <w:spacing w:after="0" w:line="360" w:lineRule="auto"/>
              <w:ind w:left="400"/>
              <w:rPr>
                <w:rFonts w:ascii="宋体" w:hAnsi="宋体" w:cs="宋体"/>
                <w:sz w:val="21"/>
                <w:szCs w:val="21"/>
              </w:rPr>
            </w:pPr>
            <w:r>
              <w:rPr>
                <w:rFonts w:hint="eastAsia" w:ascii="宋体" w:hAnsi="宋体" w:cs="宋体"/>
                <w:sz w:val="21"/>
                <w:szCs w:val="21"/>
              </w:rPr>
              <w:t>综合测试台、在线取样设备</w:t>
            </w:r>
          </w:p>
        </w:tc>
        <w:tc>
          <w:tcPr>
            <w:tcW w:w="4148" w:type="dxa"/>
            <w:shd w:val="clear" w:color="auto" w:fill="auto"/>
          </w:tcPr>
          <w:p w14:paraId="7300CB94">
            <w:pPr>
              <w:pStyle w:val="2"/>
              <w:spacing w:after="0" w:line="360" w:lineRule="auto"/>
              <w:ind w:left="0" w:leftChars="0" w:firstLine="0" w:firstLineChars="0"/>
              <w:rPr>
                <w:rFonts w:ascii="宋体" w:hAnsi="宋体" w:cs="宋体"/>
                <w:sz w:val="21"/>
                <w:szCs w:val="21"/>
              </w:rPr>
            </w:pPr>
            <w:r>
              <w:rPr>
                <w:rFonts w:hint="eastAsia" w:ascii="宋体" w:hAnsi="宋体" w:cs="宋体"/>
                <w:sz w:val="21"/>
                <w:szCs w:val="21"/>
              </w:rPr>
              <w:t>海意、瑞拓等</w:t>
            </w:r>
          </w:p>
        </w:tc>
      </w:tr>
    </w:tbl>
    <w:p w14:paraId="05FD79A8">
      <w:pPr>
        <w:pStyle w:val="2"/>
        <w:spacing w:after="0" w:line="360" w:lineRule="auto"/>
        <w:ind w:leftChars="0" w:firstLineChars="0"/>
        <w:rPr>
          <w:rFonts w:ascii="宋体" w:hAnsi="宋体" w:cs="宋体"/>
          <w:sz w:val="21"/>
          <w:szCs w:val="21"/>
        </w:rPr>
      </w:pPr>
      <w:r>
        <w:rPr>
          <w:rFonts w:hint="eastAsia" w:ascii="宋体" w:hAnsi="宋体" w:cs="宋体"/>
          <w:sz w:val="21"/>
          <w:szCs w:val="21"/>
        </w:rPr>
        <w:t>1.质量趋势预警：当检测到质量趋势出现不良变化或设备参数偏离正常范围时及时发出预警；</w:t>
      </w:r>
    </w:p>
    <w:p w14:paraId="6830C8FE">
      <w:pPr>
        <w:pStyle w:val="2"/>
        <w:spacing w:after="0" w:line="360" w:lineRule="auto"/>
        <w:ind w:leftChars="0" w:firstLineChars="0"/>
        <w:rPr>
          <w:rFonts w:ascii="宋体" w:hAnsi="宋体" w:cs="宋体"/>
          <w:sz w:val="21"/>
          <w:szCs w:val="21"/>
        </w:rPr>
      </w:pPr>
      <w:r>
        <w:rPr>
          <w:rFonts w:hint="eastAsia" w:ascii="宋体" w:hAnsi="宋体" w:cs="宋体"/>
          <w:sz w:val="21"/>
          <w:szCs w:val="21"/>
        </w:rPr>
        <w:t>2.设备最佳运行参数寻优：建立设备对应品牌最佳运行参数，系统实时比对最佳值与设定值、实际值的差别，深入分析设备的运行参数，实时分析设备在不同牌号下的最优运行参数的精准范围，为每台设备建立独立的参数库，从而实时指导设备参数设定等功能；</w:t>
      </w:r>
    </w:p>
    <w:p w14:paraId="329BAEFE">
      <w:pPr>
        <w:pStyle w:val="2"/>
        <w:spacing w:after="0" w:line="360" w:lineRule="auto"/>
        <w:ind w:leftChars="0" w:firstLineChars="0"/>
        <w:rPr>
          <w:rFonts w:ascii="宋体" w:hAnsi="宋体" w:cs="宋体"/>
          <w:sz w:val="21"/>
          <w:szCs w:val="21"/>
        </w:rPr>
      </w:pPr>
      <w:r>
        <w:rPr>
          <w:rFonts w:hint="eastAsia" w:ascii="宋体" w:hAnsi="宋体" w:cs="宋体"/>
          <w:sz w:val="21"/>
          <w:szCs w:val="21"/>
        </w:rPr>
        <w:t>3.质量指标趋势（未超标但偏上线或下线）或超标异常时进行预警：支持用户根据实际需求动态设定各类参数的上下限阈值、生效规则以及预警等级，实现对参数异常的精细化监控。实现分角色、权限管理机制，允许不同层级和职能的管理人员依据自身职责范围，进行个性化配置。</w:t>
      </w:r>
    </w:p>
    <w:p w14:paraId="19952463">
      <w:pPr>
        <w:pStyle w:val="2"/>
        <w:spacing w:after="0" w:line="360" w:lineRule="auto"/>
        <w:ind w:leftChars="0" w:firstLineChars="0"/>
        <w:rPr>
          <w:rFonts w:ascii="宋体" w:hAnsi="宋体" w:cs="宋体"/>
          <w:sz w:val="21"/>
          <w:szCs w:val="21"/>
        </w:rPr>
      </w:pPr>
      <w:r>
        <w:rPr>
          <w:rFonts w:hint="eastAsia" w:ascii="宋体" w:hAnsi="宋体" w:cs="宋体"/>
          <w:sz w:val="21"/>
          <w:szCs w:val="21"/>
        </w:rPr>
        <w:t>4.设备运行状态画像：设备运行状态、车速、产量、效率、停机、设备振动、温度、压力、伺服电机等关键信息。通过集成化、数字化生产监控系统，使用人员得以全方位、立体化的实时掌握设备的核心运行数据，确保卷烟生产的全程可控与透明化等功能。</w:t>
      </w:r>
    </w:p>
    <w:p w14:paraId="09A1A2D7">
      <w:pPr>
        <w:pStyle w:val="2"/>
        <w:spacing w:after="0" w:line="360" w:lineRule="auto"/>
        <w:ind w:leftChars="0"/>
        <w:rPr>
          <w:rFonts w:ascii="宋体" w:hAnsi="宋体" w:cs="宋体"/>
          <w:sz w:val="21"/>
          <w:szCs w:val="21"/>
        </w:rPr>
      </w:pPr>
      <w:r>
        <w:rPr>
          <w:rFonts w:hint="eastAsia" w:ascii="宋体" w:hAnsi="宋体" w:cs="宋体"/>
          <w:sz w:val="21"/>
          <w:szCs w:val="21"/>
        </w:rPr>
        <w:t>3）缺陷图片深度学习及预警</w:t>
      </w:r>
    </w:p>
    <w:p w14:paraId="18F0C06A">
      <w:pPr>
        <w:pStyle w:val="2"/>
        <w:spacing w:after="0" w:line="360" w:lineRule="auto"/>
        <w:ind w:leftChars="0"/>
        <w:rPr>
          <w:rFonts w:ascii="宋体" w:hAnsi="宋体" w:cs="宋体"/>
          <w:sz w:val="21"/>
          <w:szCs w:val="21"/>
        </w:rPr>
      </w:pPr>
      <w:r>
        <w:rPr>
          <w:rFonts w:hint="eastAsia" w:ascii="宋体" w:hAnsi="宋体" w:cs="宋体"/>
          <w:sz w:val="21"/>
          <w:szCs w:val="21"/>
        </w:rPr>
        <w:t>在12台设备上实施，包括机型：ZJ116A/FX2、ZJ17/GDX2、ZJ118/GDX2、ZJ118/ZB418、手工线，对卷接包装设备机组质量检测剔除数据进行深度分析，对图像检测设备采集到的缺陷图片进行深度分析和二次预警，结合设备健康状态，预测质量变化趋势，并进行工艺质量优化调整辅助决策。主要包含检测：烟支外观检测、烟库成像检测、小包外观检测、散包检测、条外观检测等。</w:t>
      </w:r>
    </w:p>
    <w:p w14:paraId="67125FB9">
      <w:pPr>
        <w:pStyle w:val="2"/>
        <w:spacing w:after="0" w:line="360" w:lineRule="auto"/>
        <w:ind w:leftChars="0"/>
        <w:rPr>
          <w:rFonts w:ascii="宋体" w:hAnsi="宋体" w:cs="宋体"/>
          <w:sz w:val="21"/>
          <w:szCs w:val="21"/>
        </w:rPr>
      </w:pPr>
      <w:bookmarkStart w:id="194" w:name="_Toc2684"/>
      <w:r>
        <w:rPr>
          <w:rFonts w:hint="eastAsia" w:ascii="宋体" w:hAnsi="宋体" w:cs="宋体"/>
          <w:sz w:val="21"/>
          <w:szCs w:val="21"/>
        </w:rPr>
        <w:t>4）烟支吸阻智能控制</w:t>
      </w:r>
      <w:bookmarkEnd w:id="194"/>
    </w:p>
    <w:p w14:paraId="46EF2568">
      <w:pPr>
        <w:pStyle w:val="2"/>
        <w:spacing w:after="0" w:line="360" w:lineRule="auto"/>
        <w:ind w:leftChars="0"/>
        <w:rPr>
          <w:rFonts w:ascii="宋体" w:hAnsi="宋体" w:cs="宋体"/>
          <w:sz w:val="21"/>
          <w:szCs w:val="21"/>
        </w:rPr>
      </w:pPr>
      <w:r>
        <w:rPr>
          <w:rFonts w:hint="eastAsia" w:ascii="宋体" w:hAnsi="宋体" w:cs="宋体"/>
          <w:sz w:val="21"/>
          <w:szCs w:val="21"/>
        </w:rPr>
        <w:t>在卷包车间6台设备上实施，包括机型：ZJ116A、ZJ17、ZJ118。卷包烟支吸智能控制系统是围绕卷烟吸阻控制，烟支吸阻表示卷烟的抽吸阻力，会影响烟支的感官品质。综合考虑可控因素，如烟支重量、激光脉宽、环境温湿度；不可控因素，如滤棒压降、来料水分等因素。卷包吸阻智能控制系统通过部署在中支烟卷接设备上，对设备原有吸阻检测值实施数据采集，利用在线综合测试平台对成品烟支进行准确吸阻测量，综合分析烟支吸阻与通风率、烟支重量以及其他指标之间的关系，构建烟支吸阻计算模型。可对该设备的卷烟吸阻进行实时监控，及时反馈，通过实时调整激光脉宽等参数，达到降低卷烟吸阻偏差，减少废烟剔除量的目的。提升设备状态感知力及数据实时分析能力，提高烟支吸阻的控制精度和速度，提高烟丝利用率。</w:t>
      </w:r>
    </w:p>
    <w:p w14:paraId="5F7AE185">
      <w:pPr>
        <w:pStyle w:val="2"/>
        <w:spacing w:after="0" w:line="360" w:lineRule="auto"/>
        <w:ind w:leftChars="0"/>
        <w:rPr>
          <w:rFonts w:ascii="宋体" w:hAnsi="宋体" w:cs="宋体"/>
          <w:sz w:val="21"/>
          <w:szCs w:val="21"/>
        </w:rPr>
      </w:pPr>
      <w:bookmarkStart w:id="195" w:name="_Toc20309"/>
      <w:r>
        <w:rPr>
          <w:rFonts w:hint="eastAsia" w:ascii="宋体" w:hAnsi="宋体" w:cs="宋体"/>
          <w:sz w:val="21"/>
          <w:szCs w:val="21"/>
        </w:rPr>
        <w:t>5）搭口胶胶量在线监测与控制</w:t>
      </w:r>
      <w:bookmarkEnd w:id="195"/>
    </w:p>
    <w:p w14:paraId="082A83E3">
      <w:pPr>
        <w:pStyle w:val="2"/>
        <w:spacing w:after="0" w:line="360" w:lineRule="auto"/>
        <w:ind w:leftChars="0"/>
        <w:rPr>
          <w:rFonts w:ascii="宋体" w:hAnsi="宋体" w:cs="宋体"/>
          <w:sz w:val="21"/>
          <w:szCs w:val="21"/>
        </w:rPr>
      </w:pPr>
      <w:r>
        <w:rPr>
          <w:rFonts w:hint="eastAsia" w:ascii="宋体" w:hAnsi="宋体" w:cs="宋体"/>
          <w:sz w:val="21"/>
          <w:szCs w:val="21"/>
        </w:rPr>
        <w:t>在卷包车间10台设备上实施。卷包搭口胶胶量在线监测与控制系统部署在卷接设备上，可以对该设备的搭口胶实时流量值的检测及集中监控，实现搭口胶胶量的调整，替代现有的人工调节和校准，确保烟支上施加的胶量的稳定，通过采集的实时数据为搭口胶供胶系统的维护提供依据，搭口胶实时流量值波动较大、远低于或远超过设定值时，系统给出报警信息，以提醒相关人员检查、清洗供胶系统，避免搭口胶缺失、胶量过小、喷涂不连续、胶管破裂等问题的发生。为卷烟机运行维护、卷烟产品质量等方面提供智能控制和保障。</w:t>
      </w:r>
    </w:p>
    <w:p w14:paraId="62124366">
      <w:pPr>
        <w:spacing w:after="0" w:line="360" w:lineRule="auto"/>
        <w:ind w:firstLine="424" w:firstLineChars="202"/>
        <w:jc w:val="both"/>
        <w:rPr>
          <w:rFonts w:ascii="宋体" w:hAnsi="宋体" w:cs="宋体"/>
          <w:sz w:val="21"/>
          <w:szCs w:val="21"/>
        </w:rPr>
      </w:pPr>
      <w:r>
        <w:rPr>
          <w:rFonts w:hint="eastAsia" w:ascii="宋体" w:hAnsi="宋体" w:cs="宋体"/>
          <w:sz w:val="21"/>
          <w:szCs w:val="21"/>
        </w:rPr>
        <w:t>3.3.3工厂智能制造能力成熟度诊断与优化</w:t>
      </w:r>
    </w:p>
    <w:p w14:paraId="71B09923">
      <w:pPr>
        <w:pStyle w:val="2"/>
        <w:spacing w:after="0" w:line="360" w:lineRule="auto"/>
        <w:ind w:leftChars="0"/>
        <w:rPr>
          <w:rFonts w:ascii="宋体" w:hAnsi="宋体" w:cs="宋体"/>
          <w:sz w:val="21"/>
          <w:szCs w:val="21"/>
        </w:rPr>
      </w:pPr>
      <w:r>
        <w:rPr>
          <w:rFonts w:hint="eastAsia" w:ascii="宋体" w:hAnsi="宋体" w:cs="宋体"/>
          <w:sz w:val="21"/>
          <w:szCs w:val="21"/>
        </w:rPr>
        <w:t>对本项目中涉及到的内容需按智能制造能力成熟度四级标准进行建设，同时对标智能制造能力成熟度四级标准，为工厂开展智能制造水平提供诊断，形成智能制造能力提升深度诊断报告和解决方案，并获得有相关资质的机构出具的国家认可的工厂智能制造成熟度四级符合性证书，智能制造成熟度评价资质机构需经过招标人认可并接受招标人监督。</w:t>
      </w:r>
    </w:p>
    <w:p w14:paraId="1EEFC1F0">
      <w:pPr>
        <w:pStyle w:val="2"/>
        <w:spacing w:after="0" w:line="360" w:lineRule="auto"/>
        <w:ind w:leftChars="0"/>
        <w:rPr>
          <w:rFonts w:ascii="宋体" w:hAnsi="宋体" w:cs="宋体"/>
          <w:color w:val="FF0000"/>
          <w:sz w:val="21"/>
          <w:szCs w:val="21"/>
        </w:rPr>
      </w:pPr>
    </w:p>
    <w:p w14:paraId="6EEFCF27">
      <w:pPr>
        <w:spacing w:after="0" w:line="360" w:lineRule="auto"/>
        <w:rPr>
          <w:rFonts w:ascii="宋体" w:hAnsi="宋体" w:cs="宋体"/>
          <w:bCs/>
          <w:kern w:val="2"/>
          <w:sz w:val="21"/>
          <w:szCs w:val="21"/>
        </w:rPr>
      </w:pPr>
      <w:r>
        <w:rPr>
          <w:rFonts w:hint="eastAsia" w:ascii="宋体" w:hAnsi="宋体" w:cs="宋体"/>
          <w:bCs/>
          <w:kern w:val="2"/>
          <w:sz w:val="21"/>
          <w:szCs w:val="21"/>
        </w:rPr>
        <w:t>5.数字能源</w:t>
      </w:r>
    </w:p>
    <w:p w14:paraId="00EB0980">
      <w:pPr>
        <w:spacing w:after="0" w:line="360" w:lineRule="auto"/>
        <w:ind w:firstLine="640"/>
        <w:rPr>
          <w:rFonts w:ascii="宋体" w:hAnsi="宋体" w:cs="宋体"/>
          <w:bCs/>
          <w:sz w:val="21"/>
          <w:szCs w:val="21"/>
        </w:rPr>
      </w:pPr>
      <w:r>
        <w:rPr>
          <w:rFonts w:hint="eastAsia" w:ascii="宋体" w:hAnsi="宋体" w:cs="宋体"/>
          <w:bCs/>
          <w:sz w:val="21"/>
          <w:szCs w:val="21"/>
        </w:rPr>
        <w:t>根据生产和发展的需要，按总体筹划、整体协调，并留有未来新增接口的原则进行。按照网络安全系统建设的标准，合理利用原有部分仪器仪表及数采设施设备，做到各类能源介质三级计量完善、数采站分布合理、功能应用覆盖不同层级需求。主要实施内容包括相关的新增或更换底层数据采集设备、数采站软硬件增补、能管系统功能应用开发等内容的升级改造。</w:t>
      </w:r>
    </w:p>
    <w:p w14:paraId="53D8309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5.1对原有的三级计量进行增补和完善。新增水表、电表、蒸汽流量计、热式质量流量计、天然气流量计等仪器仪表，并解决现有部分仪表通信问题。</w:t>
      </w:r>
    </w:p>
    <w:p w14:paraId="27CC05F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总体改造要求：1.</w:t>
      </w:r>
      <w:r>
        <w:rPr>
          <w:rFonts w:hint="eastAsia"/>
        </w:rPr>
        <w:t xml:space="preserve"> </w:t>
      </w:r>
      <w:r>
        <w:rPr>
          <w:rFonts w:hint="eastAsia" w:ascii="宋体" w:hAnsi="宋体" w:cs="宋体"/>
          <w:bCs/>
          <w:kern w:val="2"/>
          <w:sz w:val="21"/>
          <w:szCs w:val="21"/>
        </w:rPr>
        <w:t>压力管道焊接从业人员须具备：从业人员须具备特种设备作业焊工证以及焊接职业资格证等级中级（四级）及以上；对焊接部分进行探伤检测。2.室外仪表应注意防水防潮，数采箱应高于地面安装；室外仪表，必要时开挖仪表井或增加仪表箱或增加排水渠、排水管，防止仪表被雨水浸泡；所有仪表均需要设置金属仪表挂牌，并标明计量点名称，位号，管径/口径，位置，数采站名称等信息，做腐蚀蚀刻填漆或激光雕刻填漆；标牌必须增加唯一二维码标示，以便后期扩展应用。</w:t>
      </w:r>
    </w:p>
    <w:p w14:paraId="590CB6A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5.2</w:t>
      </w:r>
      <w:r>
        <w:rPr>
          <w:rFonts w:hint="eastAsia" w:ascii="宋体" w:hAnsi="宋体" w:cs="宋体"/>
          <w:sz w:val="21"/>
          <w:szCs w:val="21"/>
        </w:rPr>
        <w:t xml:space="preserve"> </w:t>
      </w:r>
      <w:r>
        <w:rPr>
          <w:rFonts w:hint="eastAsia" w:ascii="宋体" w:hAnsi="宋体" w:cs="宋体"/>
          <w:bCs/>
          <w:kern w:val="2"/>
          <w:sz w:val="21"/>
          <w:szCs w:val="21"/>
        </w:rPr>
        <w:t>数采站升级</w:t>
      </w:r>
    </w:p>
    <w:p w14:paraId="57C734A6">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对流量仪表数采站、配电数采站及通信网络进行优化升级，改造后取消原来的3个公用数采主站，对动力公用数采站、卷包公用数采站、制丝公用数采站下设的16个数采站进行升级改造。升级后系统须兼容现有的profibus DP、profibus PA、profinet、modbus通信协议以及4-20mA模拟量数采功能，并保持现有光纤环网连接结构。</w:t>
      </w:r>
    </w:p>
    <w:p w14:paraId="103BAF4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在制丝、软包、硬包、动力、公寓楼5个10KV变电站各增加边缘云设备；在制丝10KV变电站、软包10KV变电站、硬包10KV变电站、动力400V站、库区10KV变电站、成型、110KV、纸箱厂10KV变电站、二三生活区10KV变电站等增加通信管理机。在纸箱厂、纸箱厂办公楼、二三生活区10KV变电站、老年办办公楼各设置光纤交换机等。</w:t>
      </w:r>
    </w:p>
    <w:p w14:paraId="5CC1057F">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更换制丝、软包、硬包、动力、公寓楼5个10KV变电站的工控机，工控机的软硬件设施需满足区域能管功能的要求。各变电站的边缘云设备以及工控机用于区域能耗数据存储和区域能管功能，同时将动力、卷包、制丝公用数采站能耗数据并入动力、软包、制丝10KV变电站边缘云设备和工控机以实现区域能耗数据存储和区域能管功能。在公寓楼、中水站、加压房、动力办公楼、库区变电站、软包车间、硬包车间、成型车间装设LORA无线物联网数采接收端，用于接收LORA无线物联网发射端的数据，同时接收端需及发射端均需配备户外不锈钢数采箱。</w:t>
      </w:r>
    </w:p>
    <w:p w14:paraId="73FCC1E2">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总体设计要求：数采站数采、通信能力按照新增的各种通信协议满载量≤60%进行设计，以保证数采性能稳定可靠。</w:t>
      </w:r>
    </w:p>
    <w:p w14:paraId="42A6F8C2">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现有能源管理系统网络拓扑图如下所示：公用仪表数采站、配电仪表数采站、无线数采站以及动力设备控制系统的数采通道。除控制系统数据外，其余能源数经过采集后汇集到厂级工业以太网，控制系统数据则通过接口的形式直接汇集到厂级工业以太网，所有的数据通过OPC协议转换后由时序数据库进行数据存储。</w:t>
      </w:r>
    </w:p>
    <w:p w14:paraId="1AA1F57B">
      <w:pPr>
        <w:spacing w:after="0" w:line="360" w:lineRule="auto"/>
        <w:ind w:firstLine="424" w:firstLineChars="202"/>
        <w:jc w:val="both"/>
        <w:rPr>
          <w:rFonts w:ascii="宋体" w:hAnsi="宋体" w:cs="宋体"/>
          <w:bCs/>
          <w:kern w:val="2"/>
          <w:sz w:val="21"/>
          <w:szCs w:val="21"/>
        </w:rPr>
      </w:pPr>
      <w:r>
        <w:rPr>
          <w:rFonts w:hint="eastAsia" w:ascii="宋体" w:hAnsi="宋体" w:cs="宋体"/>
          <w:sz w:val="21"/>
          <w:szCs w:val="21"/>
        </w:rPr>
        <w:drawing>
          <wp:inline distT="0" distB="0" distL="0" distR="0">
            <wp:extent cx="4980940" cy="3148330"/>
            <wp:effectExtent l="0" t="0" r="10160" b="13970"/>
            <wp:docPr id="21" name="图片 21" descr="78b9443eae282e6ddad9e66196786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8b9443eae282e6ddad9e661967869b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80940" cy="3148330"/>
                    </a:xfrm>
                    <a:prstGeom prst="rect">
                      <a:avLst/>
                    </a:prstGeom>
                    <a:noFill/>
                    <a:ln>
                      <a:noFill/>
                    </a:ln>
                  </pic:spPr>
                </pic:pic>
              </a:graphicData>
            </a:graphic>
          </wp:inline>
        </w:drawing>
      </w:r>
    </w:p>
    <w:p w14:paraId="525342B4">
      <w:pPr>
        <w:spacing w:after="0" w:line="360" w:lineRule="auto"/>
        <w:ind w:firstLine="424" w:firstLineChars="202"/>
        <w:jc w:val="center"/>
        <w:rPr>
          <w:rFonts w:ascii="宋体" w:hAnsi="宋体" w:cs="宋体"/>
          <w:bCs/>
          <w:kern w:val="2"/>
          <w:sz w:val="21"/>
          <w:szCs w:val="21"/>
        </w:rPr>
      </w:pPr>
      <w:r>
        <w:rPr>
          <w:rFonts w:hint="eastAsia" w:ascii="宋体" w:hAnsi="宋体" w:cs="宋体"/>
          <w:bCs/>
          <w:kern w:val="2"/>
          <w:sz w:val="21"/>
          <w:szCs w:val="21"/>
        </w:rPr>
        <w:t>图：现有能源管理系统网络拓扑图</w:t>
      </w:r>
    </w:p>
    <w:p w14:paraId="5F32D71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w:t>
      </w:r>
      <w:r>
        <w:rPr>
          <w:rFonts w:hint="eastAsia" w:ascii="宋体" w:hAnsi="宋体" w:cs="宋体"/>
          <w:sz w:val="21"/>
          <w:szCs w:val="21"/>
        </w:rPr>
        <w:t xml:space="preserve"> </w:t>
      </w:r>
      <w:r>
        <w:rPr>
          <w:rFonts w:hint="eastAsia" w:ascii="宋体" w:hAnsi="宋体" w:cs="宋体"/>
          <w:bCs/>
          <w:kern w:val="2"/>
          <w:sz w:val="21"/>
          <w:szCs w:val="21"/>
        </w:rPr>
        <w:t>能管系统应用开发</w:t>
      </w:r>
    </w:p>
    <w:p w14:paraId="3C739109">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能源管理系统架构应为B/S模式,前后端分离,易于与其它系统进行对接，按照三级计量要求，通过曲靖卷烟厂全厂范围内动力能源生产及消耗数据的采集、存储、统计分析，需实现能源消耗的在线监测、预警、预测、排产、调度，并按相关标准与要求实现数据上传,前端须做相应开发，集成可视化界面和报表，提供无代码或低代码开发模式，可完成功能、业务、数据等开发需求；后端采用微服务架构，保证服务划分的合理性、服务的稳定性，支持模块集成。系统具备移动端访问功能，通过云南中烟新媒体APP进行访问，移动端主要包含能源统计数据、能效分析、耗能趋势、报警信息等实时监测等重点关注信息。</w:t>
      </w:r>
    </w:p>
    <w:p w14:paraId="388FD8C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能源系统主要功能包括数据统计、分析应用、智能模型功能。</w:t>
      </w:r>
    </w:p>
    <w:p w14:paraId="017BB086">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5.3.1数据统计功能：根据三级计量体系要求，对所有能源介质的生产、输送及使用进行监测。通过对各级计量仪表的累计数据进行统计，形成曲靖卷烟厂各层级的能源生产消耗数据，建立动力车间蒸汽、压缩空气、负压、冷冻水、除盐水、中水生产等产量报表，各车间（科）\区域各层级水、电、蒸汽、压缩空气、负压及天然气等消耗数据报表，形成各层级的定制化班报、日报、月报、季报、年报，支持下载、查看、上传、打印等功能。</w:t>
      </w:r>
    </w:p>
    <w:p w14:paraId="012FA59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5.3.2分析应用功能：对各计量点采集数据进行分析、处理和应用，分析能源生产、输送、消耗过程。</w:t>
      </w:r>
    </w:p>
    <w:p w14:paraId="1BEFC84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5.3.2.1趋势分析：根据饱和生产、非饱和生产、停产时段的上下限设定值，形成仪表上下限报表数据，支撑预警功能，并采用折线图、柱状图、饼图等图表，对计量仪表数据实时统计分析，显示数据变化趋势，实时刷新平均值、峰值、谷值，用不同颜色显示数据状态。</w:t>
      </w:r>
    </w:p>
    <w:p w14:paraId="58E322E5">
      <w:pPr>
        <w:spacing w:after="0" w:line="360" w:lineRule="auto"/>
        <w:ind w:firstLine="640"/>
        <w:rPr>
          <w:rFonts w:ascii="宋体" w:hAnsi="宋体" w:cs="宋体"/>
          <w:bCs/>
          <w:kern w:val="2"/>
          <w:sz w:val="21"/>
          <w:szCs w:val="21"/>
        </w:rPr>
      </w:pPr>
      <w:r>
        <w:rPr>
          <w:rFonts w:hint="eastAsia" w:ascii="宋体" w:hAnsi="宋体" w:cs="宋体"/>
          <w:bCs/>
          <w:kern w:val="2"/>
          <w:sz w:val="21"/>
          <w:szCs w:val="21"/>
        </w:rPr>
        <w:t>5.3.2.2能效分析：按照相关要求，根据卷包车间、制丝车间、滤棒成型车间的实时产量，并基于各车间（科）\区域能耗统计情况，按能源种类建立各层级水、电、蒸汽、压缩空气、负压、天然气消耗、万支卷烟能耗、单箱耗能等形成定制化班报、日报、月报、季报、年报，分析不同能源介质使用占比，实现工厂能耗数据的实时统计分析，了解不同对象区域的能耗规律，并以折线图，饼状图，柱状图展示，提供同比环比分析。</w:t>
      </w:r>
    </w:p>
    <w:p w14:paraId="1CBE873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工厂生产用能综合分析：定制化生产能耗综合分析包括但不限于全厂水、电、天然气消耗、单箱耗天然气、单箱耗电、单箱耗水、单箱综合以及万支卷烟能耗等指标。</w:t>
      </w:r>
    </w:p>
    <w:p w14:paraId="545721CD">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环境能源能效分析：按能源种类形成各用能车间（科）\区域耗能报表数据，生产用能、非生产用能、外供用能报表数据，各类能源介质平衡分析报表数据，以及其他定制化能耗报表及展示。</w:t>
      </w:r>
    </w:p>
    <w:p w14:paraId="2DB88BD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动力生产设备转换效率分析：基于能源生产产量和生产耗能，计算锅炉汽气比、锅炉汽电比、锅炉汽水比，空压机电气比，负压电气比，制冷机本体COP，冷电比，水处理废水率，根据报表类型分析累计转换效率等指标。</w:t>
      </w:r>
    </w:p>
    <w:p w14:paraId="1BDA87B0">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各车间能效分析：定制化按车间区域、设备/工段、能源介质种类展示各车间各类能源使用情况，并同步使用饼图展示能耗占比情况，并基于各生产车间卷烟生产产量数据，分析各车间的能源消耗情况等。</w:t>
      </w:r>
    </w:p>
    <w:p w14:paraId="29941BB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输送管网线路损耗分析等：构建各类能源的一级计量与二级计量、二级计量与三级计量的函数关系，确定各类能源在输送管网线路中的损耗状况，确定正常损耗值及损耗率，并形成输送管网线路的损耗报表等，作为预警基础数据。</w:t>
      </w:r>
    </w:p>
    <w:p w14:paraId="31F81ED6">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5.3.2.3预警功能</w:t>
      </w:r>
    </w:p>
    <w:p w14:paraId="16C3CC0A">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围绕能源数据统计、趋势分析、能效分析等环节，配置相应预警规则，实现能源诊断预警。预警数据实时刷新。并将预警信息关联至报表、能流图及预警信息库。预警信息包含异常数据、故障信息、故障位置等基础信息，支持对历史预警信息的查询、下载、打印等。</w:t>
      </w:r>
    </w:p>
    <w:p w14:paraId="70775C5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5.3.2.4曲烟能流地图功能</w:t>
      </w:r>
    </w:p>
    <w:p w14:paraId="2E1F7FF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建立曲靖卷烟厂能源可视化模型，在能流地图中反映各种能源在各区域的能源流向、用能状况（累计量）、损耗状况（差值）、预警情况、能效比等关键数据指标的展示。画面采用整体+区域的方式展现，整体显示界面展示能源在各用能区域间的总体流向情况，区域显示界面展示能源在用能区域内的流向情况，细化到用能末端。</w:t>
      </w:r>
    </w:p>
    <w:p w14:paraId="097C8C96">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5.3.3智能模型功能</w:t>
      </w:r>
    </w:p>
    <w:p w14:paraId="0A29FAE9">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5.3.3.1微型气象站</w:t>
      </w:r>
    </w:p>
    <w:p w14:paraId="078B7AC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在卷包车间加装七要素微型气象站，为能源需求预测、中央空调智能生产等模型提供气象数据支撑。微型气象站需具备七要素检测：温度、湿度、气压、雨量、风速、风向、紫外线照度，要求具备RS485 modbus-RTU通讯接口，并集成至智慧能源综合管理系统，实现数据的互联互通。同时配备铝合金安装支架、防辐射通风罩、防护箱、防雷避雷装置,防护等级IP65及以上，含现场调试服务等。</w:t>
      </w:r>
    </w:p>
    <w:p w14:paraId="0CF15493">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5.3.3.2能源需求预测智能模型</w:t>
      </w:r>
    </w:p>
    <w:p w14:paraId="214634B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与曲烟MES系统等系统进行数据交互，读取生产计划、排产计划，结合历史产量、历史能耗数据、微型气象站历史数据，对各类能源需求从日、周、月、季度、年进行预测，建立各类能源介质的需求预测智能模型，并对各个生产车间各类能源的需求进行预测，建立各生产车间各类能源介质的需求预测智能模型，将各能源的需求预测与实际用能比较，确定预测误差，并借助自学习模型减小误差。电、天然气的月预测为厂区月度购置计划提供数据决策支撑。</w:t>
      </w:r>
    </w:p>
    <w:p w14:paraId="1D602100">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5.3.3.3能源定额管控</w:t>
      </w:r>
    </w:p>
    <w:p w14:paraId="0BDEC76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对制丝车间、卷包车间、滤棒成型车间建立能源总量和单耗的定额管控模型，对其余各用能科室\区域建立能源总量定额管控模型。对卷包、动力车间的重点能耗设备、制丝车间生产工艺段与重点能耗设备的用能特性、数量进行统计，结合历史用能数据、产量数据，并根据卷烟生产计划、生产排产，对用能设备或生产工艺段需求按照不同时间维度预测，科学编制各用能设备、车间区域、各用能车间（科）\区域的能耗数据。制丝用电、天然气、蒸汽、压缩空气细化至工段和重点耗能设备，卷包、滤棒成型用电细化至机组，并形成定额管控报表数据，作为预警基础数据。运营异常预警将根据定额管控预测的设备能源需求和设备实际消耗能源，对用能设备进行能源诊断分析，实现各类能源的定额管控。</w:t>
      </w:r>
    </w:p>
    <w:p w14:paraId="7C94A26A">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5.3.3.4能源生产智慧优化排产</w:t>
      </w:r>
    </w:p>
    <w:p w14:paraId="6D27C13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基于各能源的需求预测智能模型，并根据动力车间的设备转换效率、设备产能情况、运行时长等信息，建立动力车间生产设备的优化排产模型，提供生产设备的排产决策，按日、周智慧优化排产动力车间锅炉、空压机、制冷机、真空泵、中央空调等生产设备，实现各类生产设备的最优组合，并预留与各类设备控制系统的互联接口，降低能源消耗。</w:t>
      </w:r>
    </w:p>
    <w:p w14:paraId="292BDC1B">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5.3.3.5能源生产实时动态精准调度模型</w:t>
      </w:r>
    </w:p>
    <w:p w14:paraId="12A7C729">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 xml:space="preserve">与制丝车间、卷包车间、滤棒成型车间、物流科等设备运行状态实时交互，融合用能设备电流等信息，判定卷烟生产设备状态（停机或运行），辅助决策压缩空气、负压、蒸汽、冷冻水的供给。在监测到用能结束后提示关闭能源介质对应的生产设备，实现空压机、真空泵、制冷机的精准调度及停止，中央空调的分区控制，调整锅炉压力实现蒸汽精准供给。 </w:t>
      </w:r>
    </w:p>
    <w:p w14:paraId="49903115">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5.3.3.6中央空调智能生产模型</w:t>
      </w:r>
    </w:p>
    <w:p w14:paraId="3BB7CD8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以卷包空调（共12台空调机组）作为对象，从控制系统获取各空调机组各个测点的温湿度，加热阀门开度，加湿阀门开度，冷水阀门开度，新风阀门开度，回风阀门开度，送风机频率等，根据生产车间生产工艺环境温湿度要求、生产空间尺寸、微型气象站环境温湿度、供给区域存有烟丝情况、生产计划、历史控制数据等信息，在分析历史数据的前提下，采用数据挖掘、深度学习等AI控制技术，建立对应区域中央空调智能生产模型，并确定对应区域中央空调的精准启停时间，同时可根据微型气象站环境温湿度检测数据，实现空调智能开机，以及在运行过程中实时调整中央空调加热加湿或制冷方式(微雾加湿或蒸汽加湿)，充分利用环境温湿度，有效降低区域内空调对立工况，在满足能源相关指标综合评分的要求下，降低中央空调能耗。</w:t>
      </w:r>
    </w:p>
    <w:p w14:paraId="15542775">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控制程序升级：根据系统需求在空调程序上进行二次开发，以适配AI与PLC之间的联动。</w:t>
      </w:r>
    </w:p>
    <w:p w14:paraId="587A7990">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5.3.4国能中心能耗数据在线上传功能</w:t>
      </w:r>
    </w:p>
    <w:p w14:paraId="6D965CC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曲烟能源管理系统按相关规范和要求，实现对本厂区和曲靖天福烟叶复烤有限责任公司相关能耗数据的上传。曲靖天福烟叶复烤相关能耗数据先汇聚至厂区能源管理系统，统一上传至国能中心，并提供手动上传功能。</w:t>
      </w:r>
    </w:p>
    <w:p w14:paraId="3C724BD5">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5.3.5碳排放核算</w:t>
      </w:r>
    </w:p>
    <w:p w14:paraId="07D408D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碳排放核算主要包括“碳排放量” 、“碳排放核算”、“碳排放分析”和“减碳分析”等功能。</w:t>
      </w:r>
    </w:p>
    <w:p w14:paraId="6C64E1FF">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碳排放量：按能源介质，按时间，按车间（科）\区域，计算或检测能源生产和能源消耗的碳排放量，并形成报表，与设定指标对比，异常数据进行高亮显示。</w:t>
      </w:r>
    </w:p>
    <w:p w14:paraId="753EDA10">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碳排放核算：以行业排放报告为模板，进行温室气体排放报告中所需数据的碳核算，系统支持按照月度、年度录入排放报告；报告数据按照报告类型（年度/月度）自动带入到下一年度/月度，并支持人工修改、下载。</w:t>
      </w:r>
    </w:p>
    <w:p w14:paraId="07407D58">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碳排放分析：针对碳排放量、碳排放强度、排放类型等维度的指标分析与可视化展示。</w:t>
      </w:r>
    </w:p>
    <w:p w14:paraId="5015513D">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碳配额管理：根据各车间能源定额管控模型，折算为碳排放量，并与实际使用量进行对比分析。</w:t>
      </w:r>
    </w:p>
    <w:p w14:paraId="5CDA7ACF">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5.4接口预留：预留其它数据共享服务平台需要的数据接口。投标方须设计并实现数据接口（数据共享）功能。数据共享实现制丝所有相关系统间的信息交互解耦。须保证数据共享的高吞吐、高并发、低延时、可扩展、可容错、稳定可靠，完整有效以及安全性。</w:t>
      </w:r>
    </w:p>
    <w:p w14:paraId="44A63562">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5.5原能管系统数据备份：将原能管实时数据库数据备份至磁盘阵列上，并保留1台服务器通过WEB方式对原实时数据进行查询。</w:t>
      </w:r>
    </w:p>
    <w:p w14:paraId="375AD6C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w:t>
      </w:r>
      <w:bookmarkStart w:id="196" w:name="_Toc163723807"/>
      <w:r>
        <w:rPr>
          <w:rFonts w:hint="eastAsia" w:ascii="宋体" w:hAnsi="宋体" w:cs="宋体"/>
          <w:bCs/>
          <w:kern w:val="2"/>
          <w:sz w:val="21"/>
          <w:szCs w:val="21"/>
        </w:rPr>
        <w:t>6服务器转移</w:t>
      </w:r>
      <w:bookmarkEnd w:id="196"/>
    </w:p>
    <w:p w14:paraId="32EF6D63">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迁移最近5年（2019年1月1日至现在）的原能管计量仪表实时数据（时间颗粒度至少为1分钟）至新能管系统时序数据库，保证数据的连贯性和不间断，以便查询、统计，以及为分析提供数据基础。</w:t>
      </w:r>
    </w:p>
    <w:p w14:paraId="26442C8F">
      <w:pPr>
        <w:spacing w:after="0" w:line="360" w:lineRule="auto"/>
        <w:ind w:firstLine="422" w:firstLineChars="200"/>
        <w:rPr>
          <w:rFonts w:ascii="宋体" w:hAnsi="宋体" w:cs="宋体"/>
          <w:b/>
          <w:bCs/>
          <w:sz w:val="21"/>
          <w:szCs w:val="21"/>
        </w:rPr>
      </w:pPr>
      <w:r>
        <w:rPr>
          <w:rFonts w:hint="eastAsia" w:ascii="宋体" w:hAnsi="宋体" w:cs="宋体"/>
          <w:b/>
          <w:bCs/>
          <w:sz w:val="21"/>
          <w:szCs w:val="21"/>
        </w:rPr>
        <w:t>5.7主要设备技术要求</w:t>
      </w:r>
    </w:p>
    <w:p w14:paraId="206E294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投标人必须提供项目中所需全部软件及硬件的配套设施建设，所采购的软硬件须为“曲靖卷烟厂智能工厂建设（智能生产、数字能源）项目”提供良好的运行环境，投标人所投产品应有利于招标人维修、维护、保养，以及备品备件、技术路线的统一性和延续性，项目涉及购置的软硬件必须为正版，最终用户为“红云红河烟草（集团）有限责任公司”。</w:t>
      </w:r>
    </w:p>
    <w:p w14:paraId="3D31DBD6">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本招标技术文件的要求只是最低限度要求，并未对一切技术细节作出规定，招标文件中所列设备及配件的配置参数为最低要求，招标人不保证其绝对完整性，对于本招标技术文件中未提到的或投标人认为更能体现本项目实际需要的功能、要求、设备和材料，投标人可依据自己的实际工程经验，在投标人方案中追加和体现，进行优化补充完善。在设备明细报价表中可对单项扩展子项，也可扩容增加单项，以保证系统正常运行，实现所有招标技术和功能要求。因投标人未报、少报或漏报，在实施过程中为保证系统正常运行而增加的项目，招标人将不予支付，并视为该项费用已包括在其他有价款的单价和合价内，结算将不予调整。报价表中所报项目，实施过程中如有减少部分，在结算时扣除。</w:t>
      </w:r>
    </w:p>
    <w:p w14:paraId="3CCB7B2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招标文件技术标准和要求中所提及的品牌均为参考品牌，各项技术参数、规格和性能要求如出现引用某一特定的品牌、型号、专利技术、商标、名称、设计、原产地或供应者等情况，仅为说明招标需求，起参考作用，投标人应选用实质上“相当于”或“优于”参考品牌及其技术标准规格要求的产品投标。</w:t>
      </w:r>
    </w:p>
    <w:p w14:paraId="654176C4">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投标人必须对技术要求中的技术、服务要求做出全面、真实的反映，同时填写技术参数偏离表。</w:t>
      </w:r>
    </w:p>
    <w:p w14:paraId="1B761BFD">
      <w:pPr>
        <w:spacing w:after="0" w:line="360" w:lineRule="auto"/>
      </w:pPr>
      <w:r>
        <w:rPr>
          <w:rFonts w:hint="eastAsia"/>
        </w:rPr>
        <w:t>主要设备及技术要求如下：</w:t>
      </w:r>
    </w:p>
    <w:p w14:paraId="6F1F69BF">
      <w:pPr>
        <w:spacing w:after="0" w:line="360" w:lineRule="auto"/>
      </w:pPr>
    </w:p>
    <w:p w14:paraId="1EE40734">
      <w:pPr>
        <w:spacing w:after="0" w:line="360" w:lineRule="auto"/>
      </w:pPr>
    </w:p>
    <w:p w14:paraId="2CF513B5">
      <w:pPr>
        <w:spacing w:after="0" w:line="360" w:lineRule="auto"/>
      </w:pPr>
    </w:p>
    <w:p w14:paraId="5101DAF9">
      <w:pPr>
        <w:spacing w:after="0" w:line="360" w:lineRule="auto"/>
      </w:pPr>
    </w:p>
    <w:p w14:paraId="61557BFB">
      <w:pPr>
        <w:spacing w:after="0" w:line="360" w:lineRule="auto"/>
      </w:pP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6"/>
        <w:gridCol w:w="1410"/>
        <w:gridCol w:w="4807"/>
        <w:gridCol w:w="1096"/>
        <w:gridCol w:w="780"/>
        <w:gridCol w:w="492"/>
      </w:tblGrid>
      <w:tr w14:paraId="6932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639A5CE8">
            <w:pPr>
              <w:snapToGrid w:val="0"/>
              <w:jc w:val="both"/>
              <w:rPr>
                <w:rFonts w:ascii="宋体" w:hAnsi="宋体" w:cstheme="minorEastAsia"/>
                <w:b/>
                <w:bCs/>
                <w:sz w:val="21"/>
                <w:szCs w:val="21"/>
              </w:rPr>
            </w:pPr>
            <w:r>
              <w:rPr>
                <w:rFonts w:hint="eastAsia" w:ascii="宋体" w:hAnsi="宋体" w:cstheme="minorEastAsia"/>
                <w:b/>
                <w:bCs/>
                <w:sz w:val="21"/>
                <w:szCs w:val="21"/>
              </w:rPr>
              <w:t>序号</w:t>
            </w:r>
          </w:p>
        </w:tc>
        <w:tc>
          <w:tcPr>
            <w:tcW w:w="1416" w:type="dxa"/>
            <w:gridSpan w:val="2"/>
            <w:vAlign w:val="center"/>
          </w:tcPr>
          <w:p w14:paraId="33EB277E">
            <w:pPr>
              <w:snapToGrid w:val="0"/>
              <w:jc w:val="both"/>
              <w:rPr>
                <w:rFonts w:ascii="宋体" w:hAnsi="宋体" w:cstheme="minorEastAsia"/>
                <w:b/>
                <w:bCs/>
                <w:sz w:val="21"/>
                <w:szCs w:val="21"/>
              </w:rPr>
            </w:pPr>
            <w:r>
              <w:rPr>
                <w:rFonts w:hint="eastAsia" w:ascii="宋体" w:hAnsi="宋体" w:cstheme="minorEastAsia"/>
                <w:b/>
                <w:bCs/>
                <w:sz w:val="21"/>
                <w:szCs w:val="21"/>
              </w:rPr>
              <w:t>名称</w:t>
            </w:r>
          </w:p>
        </w:tc>
        <w:tc>
          <w:tcPr>
            <w:tcW w:w="5253" w:type="dxa"/>
            <w:vAlign w:val="center"/>
          </w:tcPr>
          <w:p w14:paraId="5F56E63C">
            <w:pPr>
              <w:snapToGrid w:val="0"/>
              <w:jc w:val="both"/>
              <w:rPr>
                <w:rFonts w:ascii="宋体" w:hAnsi="宋体" w:cstheme="minorEastAsia"/>
                <w:b/>
                <w:bCs/>
                <w:sz w:val="21"/>
                <w:szCs w:val="21"/>
              </w:rPr>
            </w:pPr>
            <w:r>
              <w:rPr>
                <w:rFonts w:hint="eastAsia" w:ascii="宋体" w:hAnsi="宋体" w:cstheme="minorEastAsia"/>
                <w:b/>
                <w:bCs/>
                <w:sz w:val="21"/>
                <w:szCs w:val="21"/>
              </w:rPr>
              <w:t>技术参数要求</w:t>
            </w:r>
          </w:p>
        </w:tc>
        <w:tc>
          <w:tcPr>
            <w:tcW w:w="367" w:type="dxa"/>
            <w:vAlign w:val="center"/>
          </w:tcPr>
          <w:p w14:paraId="260B8B08">
            <w:pPr>
              <w:snapToGrid w:val="0"/>
              <w:jc w:val="both"/>
              <w:rPr>
                <w:rFonts w:ascii="宋体" w:hAnsi="宋体" w:cstheme="minorEastAsia"/>
                <w:b/>
                <w:bCs/>
                <w:sz w:val="21"/>
                <w:szCs w:val="21"/>
              </w:rPr>
            </w:pPr>
            <w:r>
              <w:rPr>
                <w:rFonts w:hint="eastAsia" w:ascii="宋体" w:hAnsi="宋体" w:cstheme="minorEastAsia"/>
                <w:b/>
                <w:bCs/>
                <w:sz w:val="21"/>
                <w:szCs w:val="21"/>
              </w:rPr>
              <w:t>单位</w:t>
            </w:r>
          </w:p>
        </w:tc>
        <w:tc>
          <w:tcPr>
            <w:tcW w:w="827" w:type="dxa"/>
            <w:vAlign w:val="center"/>
          </w:tcPr>
          <w:p w14:paraId="23E171F9">
            <w:pPr>
              <w:snapToGrid w:val="0"/>
              <w:jc w:val="both"/>
              <w:rPr>
                <w:rFonts w:ascii="宋体" w:hAnsi="宋体" w:cstheme="minorEastAsia"/>
                <w:b/>
                <w:bCs/>
                <w:sz w:val="21"/>
                <w:szCs w:val="21"/>
              </w:rPr>
            </w:pPr>
            <w:r>
              <w:rPr>
                <w:rFonts w:hint="eastAsia" w:ascii="宋体" w:hAnsi="宋体" w:cstheme="minorEastAsia"/>
                <w:b/>
                <w:bCs/>
                <w:sz w:val="21"/>
                <w:szCs w:val="21"/>
              </w:rPr>
              <w:t>数量</w:t>
            </w:r>
          </w:p>
        </w:tc>
        <w:tc>
          <w:tcPr>
            <w:tcW w:w="501" w:type="dxa"/>
            <w:shd w:val="clear" w:color="auto" w:fill="auto"/>
            <w:vAlign w:val="center"/>
          </w:tcPr>
          <w:p w14:paraId="01EFD7B3">
            <w:pPr>
              <w:snapToGrid w:val="0"/>
              <w:jc w:val="both"/>
              <w:rPr>
                <w:rFonts w:ascii="宋体" w:hAnsi="宋体" w:cstheme="minorEastAsia"/>
                <w:b/>
                <w:bCs/>
                <w:sz w:val="21"/>
                <w:szCs w:val="21"/>
              </w:rPr>
            </w:pPr>
            <w:r>
              <w:rPr>
                <w:rFonts w:ascii="宋体" w:hAnsi="宋体" w:cstheme="minorEastAsia"/>
                <w:b/>
                <w:bCs/>
                <w:sz w:val="21"/>
                <w:szCs w:val="21"/>
              </w:rPr>
              <w:t>备注</w:t>
            </w:r>
          </w:p>
        </w:tc>
      </w:tr>
      <w:tr w14:paraId="1363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03" w:type="dxa"/>
            <w:gridSpan w:val="2"/>
            <w:vAlign w:val="center"/>
          </w:tcPr>
          <w:p w14:paraId="418B2DA8">
            <w:pPr>
              <w:snapToGrid w:val="0"/>
              <w:jc w:val="both"/>
              <w:rPr>
                <w:rFonts w:ascii="宋体" w:hAnsi="宋体" w:cstheme="minorEastAsia"/>
                <w:b/>
                <w:bCs/>
                <w:sz w:val="16"/>
                <w:szCs w:val="16"/>
              </w:rPr>
            </w:pPr>
            <w:r>
              <w:rPr>
                <w:rFonts w:hint="eastAsia" w:ascii="宋体" w:hAnsi="宋体" w:cstheme="minorEastAsia"/>
                <w:b/>
                <w:bCs/>
                <w:sz w:val="16"/>
                <w:szCs w:val="16"/>
              </w:rPr>
              <w:t>一</w:t>
            </w:r>
          </w:p>
        </w:tc>
        <w:tc>
          <w:tcPr>
            <w:tcW w:w="8358" w:type="dxa"/>
            <w:gridSpan w:val="5"/>
            <w:vAlign w:val="center"/>
          </w:tcPr>
          <w:p w14:paraId="196FBCEA">
            <w:pPr>
              <w:snapToGrid w:val="0"/>
              <w:jc w:val="both"/>
              <w:rPr>
                <w:rFonts w:ascii="宋体" w:hAnsi="宋体" w:cstheme="minorEastAsia"/>
                <w:b/>
                <w:bCs/>
                <w:sz w:val="16"/>
                <w:szCs w:val="16"/>
              </w:rPr>
            </w:pPr>
            <w:r>
              <w:rPr>
                <w:rFonts w:hint="eastAsia" w:ascii="宋体" w:hAnsi="宋体" w:cstheme="minorEastAsia"/>
                <w:b/>
                <w:bCs/>
                <w:sz w:val="16"/>
                <w:szCs w:val="16"/>
              </w:rPr>
              <w:t>技术工具升级</w:t>
            </w:r>
          </w:p>
        </w:tc>
      </w:tr>
      <w:tr w14:paraId="7B75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697" w:type="dxa"/>
            <w:vAlign w:val="center"/>
          </w:tcPr>
          <w:p w14:paraId="0B650947">
            <w:pPr>
              <w:snapToGrid w:val="0"/>
              <w:jc w:val="both"/>
              <w:rPr>
                <w:rFonts w:ascii="宋体" w:hAnsi="宋体" w:cstheme="minorEastAsia"/>
                <w:bCs/>
                <w:sz w:val="16"/>
                <w:szCs w:val="16"/>
              </w:rPr>
            </w:pPr>
            <w:r>
              <w:rPr>
                <w:rFonts w:hint="eastAsia" w:ascii="宋体" w:hAnsi="宋体"/>
                <w:sz w:val="16"/>
                <w:szCs w:val="16"/>
              </w:rPr>
              <w:t>1</w:t>
            </w:r>
          </w:p>
        </w:tc>
        <w:tc>
          <w:tcPr>
            <w:tcW w:w="1416" w:type="dxa"/>
            <w:gridSpan w:val="2"/>
            <w:vAlign w:val="center"/>
          </w:tcPr>
          <w:p w14:paraId="3E21A017">
            <w:pPr>
              <w:snapToGrid w:val="0"/>
              <w:jc w:val="both"/>
              <w:rPr>
                <w:rFonts w:ascii="宋体" w:hAnsi="宋体" w:cs="宋体"/>
                <w:sz w:val="16"/>
                <w:szCs w:val="16"/>
              </w:rPr>
            </w:pPr>
            <w:r>
              <w:rPr>
                <w:rFonts w:hint="eastAsia" w:ascii="宋体" w:hAnsi="宋体"/>
                <w:sz w:val="16"/>
                <w:szCs w:val="16"/>
              </w:rPr>
              <w:t>视觉算法软件</w:t>
            </w:r>
          </w:p>
        </w:tc>
        <w:tc>
          <w:tcPr>
            <w:tcW w:w="5253" w:type="dxa"/>
            <w:vAlign w:val="center"/>
          </w:tcPr>
          <w:p w14:paraId="2B076E25">
            <w:pPr>
              <w:snapToGrid w:val="0"/>
              <w:jc w:val="both"/>
              <w:rPr>
                <w:rFonts w:ascii="宋体" w:hAnsi="宋体" w:cs="宋体"/>
                <w:sz w:val="16"/>
                <w:szCs w:val="16"/>
              </w:rPr>
            </w:pPr>
            <w:r>
              <w:rPr>
                <w:rFonts w:hint="eastAsia" w:ascii="宋体" w:hAnsi="宋体"/>
                <w:sz w:val="16"/>
                <w:szCs w:val="16"/>
              </w:rPr>
              <w:t>1、开发训练用版本（1套）: 性能相当于或不低于HALCON、AIDI、VIDI品牌最新版（物体检测特征、分类、语义分割、分类评估、快速标记、全文编辑器、鲁棒性应用、深度学习及其它功能的改进和提速）。</w:t>
            </w:r>
            <w:r>
              <w:rPr>
                <w:rFonts w:hint="eastAsia" w:ascii="宋体" w:hAnsi="宋体"/>
                <w:sz w:val="16"/>
                <w:szCs w:val="16"/>
              </w:rPr>
              <w:br w:type="textWrapping"/>
            </w:r>
            <w:r>
              <w:rPr>
                <w:rFonts w:hint="eastAsia" w:ascii="宋体" w:hAnsi="宋体"/>
                <w:sz w:val="16"/>
                <w:szCs w:val="16"/>
              </w:rPr>
              <w:t>2、现场部署运行版本（2套）: 性能相当于或不低于HALCON、AIDI、VIDI品牌最新版（加速因子、算子自动并行化、代码共享、深度学习及并行化编程）</w:t>
            </w:r>
          </w:p>
        </w:tc>
        <w:tc>
          <w:tcPr>
            <w:tcW w:w="367" w:type="dxa"/>
            <w:vAlign w:val="center"/>
          </w:tcPr>
          <w:p w14:paraId="3981A143">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3D14629A">
            <w:pPr>
              <w:jc w:val="both"/>
              <w:textAlignment w:val="center"/>
              <w:rPr>
                <w:rFonts w:ascii="宋体" w:hAnsi="宋体" w:cstheme="minorEastAsia"/>
                <w:bCs/>
                <w:sz w:val="16"/>
                <w:szCs w:val="16"/>
                <w:highlight w:val="yellow"/>
              </w:rPr>
            </w:pPr>
            <w:r>
              <w:rPr>
                <w:rFonts w:hint="eastAsia" w:ascii="宋体" w:hAnsi="宋体"/>
                <w:sz w:val="16"/>
                <w:szCs w:val="16"/>
              </w:rPr>
              <w:t>1</w:t>
            </w:r>
          </w:p>
        </w:tc>
        <w:tc>
          <w:tcPr>
            <w:tcW w:w="501" w:type="dxa"/>
            <w:shd w:val="clear" w:color="auto" w:fill="auto"/>
            <w:vAlign w:val="center"/>
          </w:tcPr>
          <w:p w14:paraId="3BC12357">
            <w:pPr>
              <w:snapToGrid w:val="0"/>
              <w:jc w:val="both"/>
              <w:rPr>
                <w:rFonts w:ascii="宋体" w:hAnsi="宋体" w:cs="宋体"/>
                <w:sz w:val="16"/>
                <w:szCs w:val="16"/>
              </w:rPr>
            </w:pPr>
            <w:r>
              <w:rPr>
                <w:rFonts w:hint="eastAsia" w:ascii="宋体" w:hAnsi="宋体" w:cstheme="minorEastAsia"/>
                <w:bCs/>
                <w:sz w:val="16"/>
                <w:szCs w:val="16"/>
              </w:rPr>
              <w:t>含辅材及安装调试</w:t>
            </w:r>
          </w:p>
        </w:tc>
      </w:tr>
      <w:tr w14:paraId="15D2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697" w:type="dxa"/>
            <w:vAlign w:val="center"/>
          </w:tcPr>
          <w:p w14:paraId="619AE6CF">
            <w:pPr>
              <w:snapToGrid w:val="0"/>
              <w:jc w:val="both"/>
              <w:rPr>
                <w:rFonts w:ascii="宋体" w:hAnsi="宋体" w:cstheme="minorEastAsia"/>
                <w:b/>
                <w:bCs/>
                <w:sz w:val="16"/>
                <w:szCs w:val="21"/>
              </w:rPr>
            </w:pPr>
            <w:r>
              <w:rPr>
                <w:rFonts w:hint="eastAsia" w:ascii="宋体" w:hAnsi="宋体" w:cstheme="minorEastAsia"/>
                <w:b/>
                <w:bCs/>
                <w:sz w:val="16"/>
                <w:szCs w:val="21"/>
              </w:rPr>
              <w:t>二</w:t>
            </w:r>
          </w:p>
        </w:tc>
        <w:tc>
          <w:tcPr>
            <w:tcW w:w="8364" w:type="dxa"/>
            <w:gridSpan w:val="6"/>
            <w:shd w:val="clear" w:color="auto" w:fill="auto"/>
          </w:tcPr>
          <w:p w14:paraId="0E956F11">
            <w:pPr>
              <w:spacing w:after="0" w:line="240" w:lineRule="auto"/>
              <w:rPr>
                <w:rFonts w:ascii="宋体" w:hAnsi="宋体"/>
                <w:b/>
                <w:sz w:val="16"/>
                <w:szCs w:val="16"/>
              </w:rPr>
            </w:pPr>
            <w:r>
              <w:rPr>
                <w:rFonts w:hint="eastAsia" w:ascii="宋体" w:hAnsi="宋体"/>
                <w:b/>
                <w:sz w:val="16"/>
                <w:szCs w:val="16"/>
              </w:rPr>
              <w:t>基于二维码的创新应用</w:t>
            </w:r>
          </w:p>
        </w:tc>
      </w:tr>
      <w:tr w14:paraId="2E64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7" w:type="dxa"/>
            <w:vAlign w:val="center"/>
          </w:tcPr>
          <w:p w14:paraId="3D23333A">
            <w:pPr>
              <w:snapToGrid w:val="0"/>
              <w:jc w:val="both"/>
              <w:rPr>
                <w:rFonts w:ascii="宋体" w:hAnsi="宋体" w:cstheme="minorEastAsia"/>
                <w:b/>
                <w:bCs/>
                <w:sz w:val="21"/>
                <w:szCs w:val="21"/>
              </w:rPr>
            </w:pPr>
            <w:r>
              <w:rPr>
                <w:rFonts w:ascii="宋体" w:hAnsi="宋体" w:cstheme="minorEastAsia"/>
                <w:b/>
                <w:bCs/>
                <w:sz w:val="16"/>
                <w:szCs w:val="21"/>
              </w:rPr>
              <w:t>1</w:t>
            </w:r>
          </w:p>
        </w:tc>
        <w:tc>
          <w:tcPr>
            <w:tcW w:w="8364" w:type="dxa"/>
            <w:gridSpan w:val="6"/>
            <w:shd w:val="clear" w:color="auto" w:fill="auto"/>
          </w:tcPr>
          <w:p w14:paraId="68CA0BE1">
            <w:pPr>
              <w:spacing w:after="0" w:line="240" w:lineRule="auto"/>
              <w:rPr>
                <w:rFonts w:ascii="宋体" w:hAnsi="宋体"/>
                <w:b/>
                <w:sz w:val="16"/>
                <w:szCs w:val="16"/>
              </w:rPr>
            </w:pPr>
            <w:r>
              <w:rPr>
                <w:rFonts w:hint="eastAsia" w:ascii="宋体" w:hAnsi="宋体"/>
                <w:b/>
                <w:sz w:val="16"/>
                <w:szCs w:val="16"/>
              </w:rPr>
              <w:t>基于二维码的涉烟废弃物监管应用硬件购置</w:t>
            </w:r>
          </w:p>
        </w:tc>
      </w:tr>
      <w:tr w14:paraId="269C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7" w:type="dxa"/>
            <w:vAlign w:val="center"/>
          </w:tcPr>
          <w:p w14:paraId="590B27A4">
            <w:pPr>
              <w:snapToGrid w:val="0"/>
              <w:jc w:val="both"/>
              <w:rPr>
                <w:rFonts w:ascii="宋体" w:hAnsi="宋体" w:cstheme="minorEastAsia"/>
                <w:bCs/>
                <w:sz w:val="16"/>
                <w:szCs w:val="16"/>
              </w:rPr>
            </w:pPr>
            <w:r>
              <w:rPr>
                <w:rFonts w:hint="eastAsia" w:ascii="宋体" w:hAnsi="宋体"/>
                <w:sz w:val="16"/>
                <w:szCs w:val="16"/>
              </w:rPr>
              <w:t>1</w:t>
            </w:r>
            <w:r>
              <w:rPr>
                <w:rFonts w:ascii="宋体" w:hAnsi="宋体"/>
                <w:sz w:val="16"/>
                <w:szCs w:val="16"/>
              </w:rPr>
              <w:t>.1</w:t>
            </w:r>
          </w:p>
        </w:tc>
        <w:tc>
          <w:tcPr>
            <w:tcW w:w="1416" w:type="dxa"/>
            <w:gridSpan w:val="2"/>
            <w:vAlign w:val="center"/>
          </w:tcPr>
          <w:p w14:paraId="1BFCA60E">
            <w:pPr>
              <w:snapToGrid w:val="0"/>
              <w:jc w:val="both"/>
              <w:rPr>
                <w:rFonts w:ascii="宋体" w:hAnsi="宋体" w:cs="宋体"/>
                <w:sz w:val="16"/>
                <w:szCs w:val="16"/>
              </w:rPr>
            </w:pPr>
            <w:r>
              <w:rPr>
                <w:rFonts w:hint="eastAsia" w:ascii="宋体" w:hAnsi="宋体"/>
                <w:sz w:val="16"/>
                <w:szCs w:val="16"/>
              </w:rPr>
              <w:t>电子称重仪表WIFI 数字网络</w:t>
            </w:r>
          </w:p>
        </w:tc>
        <w:tc>
          <w:tcPr>
            <w:tcW w:w="5253" w:type="dxa"/>
            <w:vAlign w:val="center"/>
          </w:tcPr>
          <w:p w14:paraId="467B3B01">
            <w:pPr>
              <w:snapToGrid w:val="0"/>
              <w:jc w:val="both"/>
              <w:rPr>
                <w:rFonts w:ascii="宋体" w:hAnsi="宋体" w:cs="宋体"/>
                <w:sz w:val="16"/>
                <w:szCs w:val="16"/>
              </w:rPr>
            </w:pPr>
            <w:r>
              <w:rPr>
                <w:rFonts w:hint="eastAsia" w:ascii="宋体" w:hAnsi="宋体"/>
                <w:sz w:val="16"/>
                <w:szCs w:val="16"/>
              </w:rPr>
              <w:t>对卷包车间现有6台电子秤（梅特勒-托利多），进行可wifi数采改造</w:t>
            </w:r>
          </w:p>
        </w:tc>
        <w:tc>
          <w:tcPr>
            <w:tcW w:w="367" w:type="dxa"/>
            <w:vAlign w:val="center"/>
          </w:tcPr>
          <w:p w14:paraId="02914081">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19644306">
            <w:pPr>
              <w:jc w:val="both"/>
              <w:textAlignment w:val="center"/>
              <w:rPr>
                <w:rFonts w:ascii="宋体" w:hAnsi="宋体" w:cstheme="minorEastAsia"/>
                <w:bCs/>
                <w:sz w:val="16"/>
                <w:szCs w:val="16"/>
                <w:highlight w:val="yellow"/>
              </w:rPr>
            </w:pPr>
            <w:r>
              <w:rPr>
                <w:rFonts w:hint="eastAsia" w:ascii="宋体" w:hAnsi="宋体"/>
                <w:sz w:val="16"/>
                <w:szCs w:val="16"/>
              </w:rPr>
              <w:t>6</w:t>
            </w:r>
          </w:p>
        </w:tc>
        <w:tc>
          <w:tcPr>
            <w:tcW w:w="501" w:type="dxa"/>
            <w:shd w:val="clear" w:color="auto" w:fill="auto"/>
            <w:vAlign w:val="center"/>
          </w:tcPr>
          <w:p w14:paraId="7A839FF5">
            <w:pPr>
              <w:snapToGrid w:val="0"/>
              <w:jc w:val="both"/>
              <w:rPr>
                <w:rFonts w:ascii="宋体" w:hAnsi="宋体" w:cstheme="minorEastAsia"/>
                <w:bCs/>
                <w:sz w:val="16"/>
                <w:szCs w:val="16"/>
              </w:rPr>
            </w:pPr>
          </w:p>
        </w:tc>
      </w:tr>
      <w:tr w14:paraId="75D3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5ABBA400">
            <w:pPr>
              <w:snapToGrid w:val="0"/>
              <w:jc w:val="both"/>
              <w:rPr>
                <w:rFonts w:ascii="宋体" w:hAnsi="宋体"/>
                <w:sz w:val="16"/>
                <w:szCs w:val="16"/>
              </w:rPr>
            </w:pPr>
            <w:r>
              <w:rPr>
                <w:rFonts w:hint="eastAsia" w:ascii="宋体" w:hAnsi="宋体"/>
                <w:sz w:val="16"/>
                <w:szCs w:val="16"/>
              </w:rPr>
              <w:t>1</w:t>
            </w:r>
            <w:r>
              <w:rPr>
                <w:rFonts w:ascii="宋体" w:hAnsi="宋体"/>
                <w:sz w:val="16"/>
                <w:szCs w:val="16"/>
              </w:rPr>
              <w:t>.2</w:t>
            </w:r>
          </w:p>
        </w:tc>
        <w:tc>
          <w:tcPr>
            <w:tcW w:w="1416" w:type="dxa"/>
            <w:gridSpan w:val="2"/>
            <w:vAlign w:val="center"/>
          </w:tcPr>
          <w:p w14:paraId="6B8F860A">
            <w:pPr>
              <w:snapToGrid w:val="0"/>
              <w:jc w:val="both"/>
              <w:rPr>
                <w:rFonts w:ascii="宋体" w:hAnsi="宋体" w:cstheme="minorEastAsia"/>
                <w:bCs/>
                <w:sz w:val="16"/>
                <w:szCs w:val="16"/>
              </w:rPr>
            </w:pPr>
            <w:r>
              <w:rPr>
                <w:rFonts w:hint="eastAsia" w:ascii="宋体" w:hAnsi="宋体"/>
                <w:sz w:val="16"/>
                <w:szCs w:val="16"/>
              </w:rPr>
              <w:t xml:space="preserve">无线WIFI  </w:t>
            </w:r>
            <w:r>
              <w:rPr>
                <w:rFonts w:hint="eastAsia" w:ascii="宋体" w:hAnsi="宋体"/>
                <w:sz w:val="16"/>
                <w:szCs w:val="16"/>
              </w:rPr>
              <w:br w:type="textWrapping"/>
            </w:r>
            <w:r>
              <w:rPr>
                <w:rFonts w:hint="eastAsia" w:ascii="宋体" w:hAnsi="宋体"/>
                <w:sz w:val="16"/>
                <w:szCs w:val="16"/>
              </w:rPr>
              <w:t>电子秤</w:t>
            </w:r>
          </w:p>
        </w:tc>
        <w:tc>
          <w:tcPr>
            <w:tcW w:w="5253" w:type="dxa"/>
            <w:vAlign w:val="center"/>
          </w:tcPr>
          <w:p w14:paraId="7C161900">
            <w:pPr>
              <w:snapToGrid w:val="0"/>
              <w:jc w:val="both"/>
              <w:rPr>
                <w:rFonts w:ascii="宋体" w:hAnsi="宋体"/>
                <w:sz w:val="16"/>
                <w:szCs w:val="16"/>
              </w:rPr>
            </w:pPr>
            <w:r>
              <w:rPr>
                <w:rFonts w:hint="eastAsia" w:ascii="宋体" w:hAnsi="宋体"/>
                <w:sz w:val="16"/>
                <w:szCs w:val="16"/>
              </w:rPr>
              <w:t>最大秤量: 300kg；检定分度值：100g；秤台规格: 600*800mm；通讯：WIFI 接口；材质：秤体碳钢，台面不锈钢。</w:t>
            </w:r>
            <w:r>
              <w:rPr>
                <w:rFonts w:hint="eastAsia" w:ascii="宋体" w:hAnsi="宋体"/>
                <w:sz w:val="16"/>
                <w:szCs w:val="16"/>
              </w:rPr>
              <w:br w:type="textWrapping"/>
            </w:r>
            <w:r>
              <w:rPr>
                <w:rFonts w:hint="eastAsia" w:ascii="宋体" w:hAnsi="宋体"/>
                <w:sz w:val="16"/>
                <w:szCs w:val="16"/>
              </w:rPr>
              <w:t>电子秤秤体和台面*1，安装立柱*1，称重传感器*1，称重仪表*1，称重信号电缆*1，WIFI 通讯卡*1。</w:t>
            </w:r>
          </w:p>
        </w:tc>
        <w:tc>
          <w:tcPr>
            <w:tcW w:w="367" w:type="dxa"/>
            <w:vAlign w:val="center"/>
          </w:tcPr>
          <w:p w14:paraId="4F8C8DCB">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E287598">
            <w:pPr>
              <w:jc w:val="both"/>
              <w:textAlignment w:val="center"/>
              <w:rPr>
                <w:rFonts w:ascii="宋体" w:hAnsi="宋体"/>
                <w:sz w:val="16"/>
                <w:szCs w:val="16"/>
              </w:rPr>
            </w:pPr>
            <w:r>
              <w:rPr>
                <w:rFonts w:ascii="宋体" w:hAnsi="宋体"/>
                <w:sz w:val="16"/>
                <w:szCs w:val="16"/>
              </w:rPr>
              <w:t>2</w:t>
            </w:r>
          </w:p>
        </w:tc>
        <w:tc>
          <w:tcPr>
            <w:tcW w:w="501" w:type="dxa"/>
            <w:shd w:val="clear" w:color="auto" w:fill="auto"/>
            <w:vAlign w:val="center"/>
          </w:tcPr>
          <w:p w14:paraId="5CAD0CE1">
            <w:pPr>
              <w:snapToGrid w:val="0"/>
              <w:jc w:val="both"/>
              <w:rPr>
                <w:rFonts w:ascii="宋体" w:hAnsi="宋体" w:cstheme="minorEastAsia"/>
                <w:bCs/>
                <w:sz w:val="16"/>
                <w:szCs w:val="16"/>
              </w:rPr>
            </w:pPr>
          </w:p>
        </w:tc>
      </w:tr>
      <w:tr w14:paraId="73B0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5ED5325C">
            <w:pPr>
              <w:snapToGrid w:val="0"/>
              <w:jc w:val="both"/>
              <w:rPr>
                <w:rFonts w:ascii="宋体" w:hAnsi="宋体"/>
                <w:sz w:val="16"/>
                <w:szCs w:val="16"/>
              </w:rPr>
            </w:pPr>
            <w:r>
              <w:rPr>
                <w:rFonts w:hint="eastAsia" w:ascii="宋体" w:hAnsi="宋体"/>
                <w:sz w:val="16"/>
                <w:szCs w:val="16"/>
              </w:rPr>
              <w:t>1</w:t>
            </w:r>
            <w:r>
              <w:rPr>
                <w:rFonts w:ascii="宋体" w:hAnsi="宋体"/>
                <w:sz w:val="16"/>
                <w:szCs w:val="16"/>
              </w:rPr>
              <w:t>.3</w:t>
            </w:r>
          </w:p>
        </w:tc>
        <w:tc>
          <w:tcPr>
            <w:tcW w:w="1416" w:type="dxa"/>
            <w:gridSpan w:val="2"/>
            <w:vAlign w:val="center"/>
          </w:tcPr>
          <w:p w14:paraId="33F9CB04">
            <w:pPr>
              <w:snapToGrid w:val="0"/>
              <w:jc w:val="both"/>
              <w:rPr>
                <w:rFonts w:ascii="宋体" w:hAnsi="宋体"/>
                <w:sz w:val="16"/>
                <w:szCs w:val="16"/>
              </w:rPr>
            </w:pPr>
            <w:r>
              <w:rPr>
                <w:rFonts w:hint="eastAsia" w:ascii="宋体" w:hAnsi="宋体"/>
                <w:sz w:val="16"/>
                <w:szCs w:val="16"/>
              </w:rPr>
              <w:t>无线</w:t>
            </w:r>
            <w:r>
              <w:rPr>
                <w:rFonts w:ascii="宋体" w:hAnsi="宋体"/>
                <w:sz w:val="16"/>
                <w:szCs w:val="16"/>
              </w:rPr>
              <w:t xml:space="preserve">WIFI </w:t>
            </w:r>
            <w:r>
              <w:rPr>
                <w:rFonts w:ascii="宋体" w:hAnsi="宋体"/>
                <w:sz w:val="16"/>
                <w:szCs w:val="16"/>
              </w:rPr>
              <w:br w:type="textWrapping"/>
            </w:r>
            <w:r>
              <w:rPr>
                <w:rFonts w:hint="eastAsia" w:ascii="宋体" w:hAnsi="宋体"/>
                <w:sz w:val="16"/>
                <w:szCs w:val="16"/>
              </w:rPr>
              <w:t>电子地上衡</w:t>
            </w:r>
          </w:p>
        </w:tc>
        <w:tc>
          <w:tcPr>
            <w:tcW w:w="5253" w:type="dxa"/>
            <w:vAlign w:val="center"/>
          </w:tcPr>
          <w:p w14:paraId="10EE18E5">
            <w:pPr>
              <w:snapToGrid w:val="0"/>
              <w:jc w:val="both"/>
              <w:rPr>
                <w:rFonts w:ascii="宋体" w:hAnsi="宋体"/>
                <w:sz w:val="16"/>
                <w:szCs w:val="16"/>
              </w:rPr>
            </w:pPr>
            <w:r>
              <w:rPr>
                <w:rFonts w:hint="eastAsia" w:ascii="宋体" w:hAnsi="宋体"/>
                <w:sz w:val="16"/>
                <w:szCs w:val="16"/>
              </w:rPr>
              <w:t>最大秤量</w:t>
            </w:r>
            <w:r>
              <w:rPr>
                <w:rFonts w:ascii="宋体" w:hAnsi="宋体"/>
                <w:sz w:val="16"/>
                <w:szCs w:val="16"/>
              </w:rPr>
              <w:t>: 1500kg</w:t>
            </w:r>
            <w:r>
              <w:rPr>
                <w:rFonts w:hint="eastAsia" w:ascii="宋体" w:hAnsi="宋体"/>
                <w:sz w:val="16"/>
                <w:szCs w:val="16"/>
              </w:rPr>
              <w:t>；检定分度值：</w:t>
            </w:r>
            <w:r>
              <w:rPr>
                <w:rFonts w:ascii="宋体" w:hAnsi="宋体"/>
                <w:sz w:val="16"/>
                <w:szCs w:val="16"/>
              </w:rPr>
              <w:t>500g</w:t>
            </w:r>
            <w:r>
              <w:rPr>
                <w:rFonts w:hint="eastAsia" w:ascii="宋体" w:hAnsi="宋体"/>
                <w:sz w:val="16"/>
                <w:szCs w:val="16"/>
              </w:rPr>
              <w:t>；秤台规格</w:t>
            </w:r>
            <w:r>
              <w:rPr>
                <w:rFonts w:ascii="宋体" w:hAnsi="宋体"/>
                <w:sz w:val="16"/>
                <w:szCs w:val="16"/>
              </w:rPr>
              <w:t>: 1500*1500mm</w:t>
            </w:r>
            <w:r>
              <w:rPr>
                <w:rFonts w:hint="eastAsia" w:ascii="宋体" w:hAnsi="宋体"/>
                <w:sz w:val="16"/>
                <w:szCs w:val="16"/>
              </w:rPr>
              <w:t>；通讯：</w:t>
            </w:r>
            <w:r>
              <w:rPr>
                <w:rFonts w:ascii="宋体" w:hAnsi="宋体"/>
                <w:sz w:val="16"/>
                <w:szCs w:val="16"/>
              </w:rPr>
              <w:t xml:space="preserve">WIFI </w:t>
            </w:r>
            <w:r>
              <w:rPr>
                <w:rFonts w:hint="eastAsia" w:ascii="宋体" w:hAnsi="宋体"/>
                <w:sz w:val="16"/>
                <w:szCs w:val="16"/>
              </w:rPr>
              <w:t>接口；材质：碳钢（表面花纹钢板）。</w:t>
            </w:r>
            <w:r>
              <w:rPr>
                <w:rFonts w:ascii="宋体" w:hAnsi="宋体"/>
                <w:sz w:val="16"/>
                <w:szCs w:val="16"/>
              </w:rPr>
              <w:br w:type="textWrapping"/>
            </w:r>
            <w:r>
              <w:rPr>
                <w:rFonts w:hint="eastAsia" w:ascii="宋体" w:hAnsi="宋体"/>
                <w:sz w:val="16"/>
                <w:szCs w:val="16"/>
              </w:rPr>
              <w:t>电子秤秤体和框架</w:t>
            </w:r>
            <w:r>
              <w:rPr>
                <w:rFonts w:ascii="宋体" w:hAnsi="宋体"/>
                <w:sz w:val="16"/>
                <w:szCs w:val="16"/>
              </w:rPr>
              <w:t>*1</w:t>
            </w:r>
            <w:r>
              <w:rPr>
                <w:rFonts w:hint="eastAsia" w:ascii="宋体" w:hAnsi="宋体"/>
                <w:sz w:val="16"/>
                <w:szCs w:val="16"/>
              </w:rPr>
              <w:t>，称重传感器</w:t>
            </w:r>
            <w:r>
              <w:rPr>
                <w:rFonts w:ascii="宋体" w:hAnsi="宋体"/>
                <w:sz w:val="16"/>
                <w:szCs w:val="16"/>
              </w:rPr>
              <w:t>*4</w:t>
            </w:r>
            <w:r>
              <w:rPr>
                <w:rFonts w:hint="eastAsia" w:ascii="宋体" w:hAnsi="宋体"/>
                <w:sz w:val="16"/>
                <w:szCs w:val="16"/>
              </w:rPr>
              <w:t>，连接套件</w:t>
            </w:r>
            <w:r>
              <w:rPr>
                <w:rFonts w:ascii="宋体" w:hAnsi="宋体"/>
                <w:sz w:val="16"/>
                <w:szCs w:val="16"/>
              </w:rPr>
              <w:t>*4</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称重仪表</w:t>
            </w:r>
            <w:r>
              <w:rPr>
                <w:rFonts w:ascii="宋体" w:hAnsi="宋体"/>
                <w:sz w:val="16"/>
                <w:szCs w:val="16"/>
              </w:rPr>
              <w:t>*1</w:t>
            </w:r>
            <w:r>
              <w:rPr>
                <w:rFonts w:hint="eastAsia" w:ascii="宋体" w:hAnsi="宋体"/>
                <w:sz w:val="16"/>
                <w:szCs w:val="16"/>
              </w:rPr>
              <w:t>，称重信号电缆</w:t>
            </w:r>
            <w:r>
              <w:rPr>
                <w:rFonts w:ascii="宋体" w:hAnsi="宋体"/>
                <w:sz w:val="16"/>
                <w:szCs w:val="16"/>
              </w:rPr>
              <w:t>*1</w:t>
            </w:r>
            <w:r>
              <w:rPr>
                <w:rFonts w:hint="eastAsia" w:ascii="宋体" w:hAnsi="宋体"/>
                <w:sz w:val="16"/>
                <w:szCs w:val="16"/>
              </w:rPr>
              <w:t>，</w:t>
            </w:r>
            <w:r>
              <w:rPr>
                <w:rFonts w:ascii="宋体" w:hAnsi="宋体"/>
                <w:sz w:val="16"/>
                <w:szCs w:val="16"/>
              </w:rPr>
              <w:t xml:space="preserve">WIFI </w:t>
            </w:r>
            <w:r>
              <w:rPr>
                <w:rFonts w:hint="eastAsia" w:ascii="宋体" w:hAnsi="宋体"/>
                <w:sz w:val="16"/>
                <w:szCs w:val="16"/>
              </w:rPr>
              <w:t>通讯卡</w:t>
            </w:r>
            <w:r>
              <w:rPr>
                <w:rFonts w:ascii="宋体" w:hAnsi="宋体"/>
                <w:sz w:val="16"/>
                <w:szCs w:val="16"/>
              </w:rPr>
              <w:t>*1</w:t>
            </w:r>
          </w:p>
        </w:tc>
        <w:tc>
          <w:tcPr>
            <w:tcW w:w="367" w:type="dxa"/>
            <w:vAlign w:val="center"/>
          </w:tcPr>
          <w:p w14:paraId="78EA58E9">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161DF06">
            <w:pPr>
              <w:jc w:val="both"/>
              <w:textAlignment w:val="center"/>
              <w:rPr>
                <w:rFonts w:ascii="宋体" w:hAnsi="宋体"/>
                <w:sz w:val="16"/>
                <w:szCs w:val="16"/>
              </w:rPr>
            </w:pPr>
            <w:r>
              <w:rPr>
                <w:rFonts w:ascii="宋体" w:hAnsi="宋体"/>
                <w:sz w:val="16"/>
                <w:szCs w:val="16"/>
              </w:rPr>
              <w:t>1</w:t>
            </w:r>
          </w:p>
        </w:tc>
        <w:tc>
          <w:tcPr>
            <w:tcW w:w="501" w:type="dxa"/>
            <w:shd w:val="clear" w:color="auto" w:fill="auto"/>
            <w:vAlign w:val="center"/>
          </w:tcPr>
          <w:p w14:paraId="4118E90A">
            <w:pPr>
              <w:snapToGrid w:val="0"/>
              <w:jc w:val="both"/>
              <w:rPr>
                <w:rFonts w:ascii="宋体" w:hAnsi="宋体" w:cstheme="minorEastAsia"/>
                <w:bCs/>
                <w:sz w:val="16"/>
                <w:szCs w:val="16"/>
              </w:rPr>
            </w:pPr>
          </w:p>
        </w:tc>
      </w:tr>
      <w:tr w14:paraId="315C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684D378F">
            <w:pPr>
              <w:snapToGrid w:val="0"/>
              <w:jc w:val="both"/>
              <w:rPr>
                <w:rFonts w:ascii="宋体" w:hAnsi="宋体"/>
                <w:sz w:val="16"/>
                <w:szCs w:val="16"/>
              </w:rPr>
            </w:pPr>
            <w:r>
              <w:rPr>
                <w:rFonts w:ascii="宋体" w:hAnsi="宋体"/>
                <w:sz w:val="16"/>
                <w:szCs w:val="16"/>
              </w:rPr>
              <w:t>1.4</w:t>
            </w:r>
          </w:p>
        </w:tc>
        <w:tc>
          <w:tcPr>
            <w:tcW w:w="1416" w:type="dxa"/>
            <w:gridSpan w:val="2"/>
            <w:vAlign w:val="center"/>
          </w:tcPr>
          <w:p w14:paraId="75594D46">
            <w:pPr>
              <w:snapToGrid w:val="0"/>
              <w:jc w:val="both"/>
              <w:rPr>
                <w:rFonts w:ascii="宋体" w:hAnsi="宋体" w:cstheme="minorEastAsia"/>
                <w:bCs/>
                <w:sz w:val="16"/>
                <w:szCs w:val="16"/>
              </w:rPr>
            </w:pPr>
            <w:r>
              <w:rPr>
                <w:rFonts w:hint="eastAsia" w:ascii="宋体" w:hAnsi="宋体"/>
                <w:sz w:val="16"/>
                <w:szCs w:val="16"/>
              </w:rPr>
              <w:t>不干胶打码机</w:t>
            </w:r>
          </w:p>
        </w:tc>
        <w:tc>
          <w:tcPr>
            <w:tcW w:w="5253" w:type="dxa"/>
            <w:vAlign w:val="center"/>
          </w:tcPr>
          <w:p w14:paraId="7DF67EF2">
            <w:pPr>
              <w:snapToGrid w:val="0"/>
              <w:jc w:val="both"/>
              <w:rPr>
                <w:rFonts w:ascii="宋体" w:hAnsi="宋体"/>
                <w:sz w:val="16"/>
                <w:szCs w:val="16"/>
              </w:rPr>
            </w:pPr>
            <w:r>
              <w:rPr>
                <w:rFonts w:hint="eastAsia" w:ascii="宋体" w:hAnsi="宋体"/>
                <w:sz w:val="16"/>
                <w:szCs w:val="16"/>
              </w:rPr>
              <w:t>支持有线网络链接；支持标签打印、标牌打印；纸张探测方式支持穿透式，热敏不干胶条码，支持一维码/二维码；打印宽度满足40-104mm之间，高度大于30mm。卷包、制丝、成型各2套。</w:t>
            </w:r>
          </w:p>
        </w:tc>
        <w:tc>
          <w:tcPr>
            <w:tcW w:w="367" w:type="dxa"/>
            <w:vAlign w:val="center"/>
          </w:tcPr>
          <w:p w14:paraId="4A25A315">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20EE2C6F">
            <w:pPr>
              <w:jc w:val="both"/>
              <w:textAlignment w:val="center"/>
              <w:rPr>
                <w:rFonts w:ascii="宋体" w:hAnsi="宋体"/>
                <w:sz w:val="16"/>
                <w:szCs w:val="16"/>
              </w:rPr>
            </w:pPr>
            <w:r>
              <w:rPr>
                <w:rFonts w:hint="eastAsia" w:ascii="宋体" w:hAnsi="宋体"/>
                <w:sz w:val="16"/>
                <w:szCs w:val="16"/>
              </w:rPr>
              <w:t>6</w:t>
            </w:r>
          </w:p>
        </w:tc>
        <w:tc>
          <w:tcPr>
            <w:tcW w:w="501" w:type="dxa"/>
            <w:shd w:val="clear" w:color="auto" w:fill="auto"/>
            <w:vAlign w:val="center"/>
          </w:tcPr>
          <w:p w14:paraId="22124137">
            <w:pPr>
              <w:snapToGrid w:val="0"/>
              <w:jc w:val="both"/>
              <w:rPr>
                <w:rFonts w:ascii="宋体" w:hAnsi="宋体" w:cstheme="minorEastAsia"/>
                <w:bCs/>
                <w:sz w:val="16"/>
                <w:szCs w:val="16"/>
              </w:rPr>
            </w:pPr>
          </w:p>
        </w:tc>
      </w:tr>
      <w:tr w14:paraId="2C5B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97" w:type="dxa"/>
            <w:vAlign w:val="center"/>
          </w:tcPr>
          <w:p w14:paraId="554BB9F2">
            <w:pPr>
              <w:snapToGrid w:val="0"/>
              <w:jc w:val="both"/>
              <w:rPr>
                <w:rFonts w:ascii="宋体" w:hAnsi="宋体" w:cstheme="minorEastAsia"/>
                <w:b/>
                <w:bCs/>
                <w:sz w:val="21"/>
                <w:szCs w:val="21"/>
              </w:rPr>
            </w:pPr>
            <w:r>
              <w:rPr>
                <w:rFonts w:ascii="宋体" w:hAnsi="宋体" w:cstheme="minorEastAsia"/>
                <w:b/>
                <w:bCs/>
                <w:sz w:val="16"/>
                <w:szCs w:val="21"/>
              </w:rPr>
              <w:t>2</w:t>
            </w:r>
          </w:p>
        </w:tc>
        <w:tc>
          <w:tcPr>
            <w:tcW w:w="8364" w:type="dxa"/>
            <w:gridSpan w:val="6"/>
            <w:shd w:val="clear" w:color="auto" w:fill="auto"/>
          </w:tcPr>
          <w:p w14:paraId="55294C29">
            <w:pPr>
              <w:spacing w:after="0" w:line="240" w:lineRule="auto"/>
              <w:rPr>
                <w:rFonts w:ascii="宋体" w:hAnsi="宋体"/>
                <w:b/>
                <w:sz w:val="16"/>
                <w:szCs w:val="16"/>
              </w:rPr>
            </w:pPr>
            <w:r>
              <w:rPr>
                <w:rFonts w:hint="eastAsia" w:ascii="宋体" w:hAnsi="宋体"/>
                <w:b/>
                <w:sz w:val="16"/>
                <w:szCs w:val="16"/>
              </w:rPr>
              <w:t>烟叶平台拓展应用软件开发</w:t>
            </w:r>
          </w:p>
        </w:tc>
      </w:tr>
      <w:tr w14:paraId="448F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tcBorders>
              <w:top w:val="nil"/>
            </w:tcBorders>
            <w:vAlign w:val="center"/>
          </w:tcPr>
          <w:p w14:paraId="047239D0">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.1</w:t>
            </w:r>
          </w:p>
        </w:tc>
        <w:tc>
          <w:tcPr>
            <w:tcW w:w="1416" w:type="dxa"/>
            <w:gridSpan w:val="2"/>
            <w:vAlign w:val="center"/>
          </w:tcPr>
          <w:p w14:paraId="2D20831B">
            <w:pPr>
              <w:snapToGrid w:val="0"/>
              <w:jc w:val="both"/>
              <w:rPr>
                <w:rFonts w:ascii="宋体" w:hAnsi="宋体" w:cs="宋体"/>
                <w:sz w:val="16"/>
                <w:szCs w:val="16"/>
              </w:rPr>
            </w:pPr>
            <w:r>
              <w:rPr>
                <w:rFonts w:hint="eastAsia" w:ascii="宋体" w:hAnsi="宋体"/>
                <w:sz w:val="16"/>
                <w:szCs w:val="16"/>
              </w:rPr>
              <w:t>WMS模块改造</w:t>
            </w:r>
          </w:p>
        </w:tc>
        <w:tc>
          <w:tcPr>
            <w:tcW w:w="5253" w:type="dxa"/>
            <w:vAlign w:val="center"/>
          </w:tcPr>
          <w:p w14:paraId="53527288">
            <w:pPr>
              <w:snapToGrid w:val="0"/>
              <w:jc w:val="both"/>
              <w:rPr>
                <w:rFonts w:ascii="宋体" w:hAnsi="宋体" w:cs="宋体"/>
                <w:sz w:val="16"/>
                <w:szCs w:val="16"/>
              </w:rPr>
            </w:pPr>
            <w:r>
              <w:rPr>
                <w:rFonts w:hint="eastAsia" w:ascii="宋体" w:hAnsi="宋体"/>
                <w:sz w:val="16"/>
                <w:szCs w:val="16"/>
              </w:rPr>
              <w:t>打叶复烤车间凉包高架库出入库扫码：</w:t>
            </w:r>
            <w:r>
              <w:rPr>
                <w:rFonts w:hint="eastAsia" w:ascii="宋体" w:hAnsi="宋体"/>
                <w:sz w:val="16"/>
                <w:szCs w:val="16"/>
              </w:rPr>
              <w:br w:type="textWrapping"/>
            </w:r>
            <w:r>
              <w:rPr>
                <w:rFonts w:hint="eastAsia" w:ascii="宋体" w:hAnsi="宋体"/>
                <w:sz w:val="16"/>
                <w:szCs w:val="16"/>
              </w:rPr>
              <w:t>WMS后台数据改造</w:t>
            </w:r>
            <w:r>
              <w:rPr>
                <w:rFonts w:hint="eastAsia" w:ascii="宋体" w:hAnsi="宋体"/>
                <w:sz w:val="16"/>
                <w:szCs w:val="16"/>
              </w:rPr>
              <w:br w:type="textWrapping"/>
            </w:r>
            <w:r>
              <w:rPr>
                <w:rFonts w:hint="eastAsia" w:ascii="宋体" w:hAnsi="宋体"/>
                <w:sz w:val="16"/>
                <w:szCs w:val="16"/>
              </w:rPr>
              <w:t>WMS后台程序改造</w:t>
            </w:r>
            <w:r>
              <w:rPr>
                <w:rFonts w:hint="eastAsia" w:ascii="宋体" w:hAnsi="宋体"/>
                <w:sz w:val="16"/>
                <w:szCs w:val="16"/>
              </w:rPr>
              <w:br w:type="textWrapping"/>
            </w:r>
            <w:r>
              <w:rPr>
                <w:rFonts w:hint="eastAsia" w:ascii="宋体" w:hAnsi="宋体"/>
                <w:sz w:val="16"/>
                <w:szCs w:val="16"/>
              </w:rPr>
              <w:t>WMS界面程序改造</w:t>
            </w:r>
            <w:r>
              <w:rPr>
                <w:rFonts w:hint="eastAsia" w:ascii="宋体" w:hAnsi="宋体"/>
                <w:sz w:val="16"/>
                <w:szCs w:val="16"/>
              </w:rPr>
              <w:br w:type="textWrapping"/>
            </w:r>
            <w:r>
              <w:rPr>
                <w:rFonts w:hint="eastAsia" w:ascii="宋体" w:hAnsi="宋体"/>
                <w:sz w:val="16"/>
                <w:szCs w:val="16"/>
              </w:rPr>
              <w:t>WMS后台接口改造</w:t>
            </w:r>
          </w:p>
        </w:tc>
        <w:tc>
          <w:tcPr>
            <w:tcW w:w="367" w:type="dxa"/>
            <w:vAlign w:val="center"/>
          </w:tcPr>
          <w:p w14:paraId="4FC14968">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4529FA51">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3C23CD7F">
            <w:pPr>
              <w:snapToGrid w:val="0"/>
              <w:jc w:val="both"/>
              <w:rPr>
                <w:rFonts w:ascii="宋体" w:hAnsi="宋体" w:cstheme="minorEastAsia"/>
                <w:bCs/>
                <w:sz w:val="16"/>
                <w:szCs w:val="16"/>
              </w:rPr>
            </w:pPr>
          </w:p>
        </w:tc>
      </w:tr>
      <w:tr w14:paraId="4693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4A03E19B">
            <w:pPr>
              <w:snapToGrid w:val="0"/>
              <w:jc w:val="both"/>
              <w:rPr>
                <w:rFonts w:ascii="宋体" w:hAnsi="宋体" w:cstheme="minorEastAsia"/>
                <w:bCs/>
                <w:sz w:val="16"/>
                <w:szCs w:val="16"/>
              </w:rPr>
            </w:pPr>
            <w:r>
              <w:rPr>
                <w:rFonts w:ascii="宋体" w:hAnsi="宋体" w:cstheme="minorEastAsia"/>
                <w:bCs/>
                <w:sz w:val="16"/>
                <w:szCs w:val="16"/>
              </w:rPr>
              <w:t>2.2</w:t>
            </w:r>
          </w:p>
        </w:tc>
        <w:tc>
          <w:tcPr>
            <w:tcW w:w="1416" w:type="dxa"/>
            <w:gridSpan w:val="2"/>
            <w:vAlign w:val="center"/>
          </w:tcPr>
          <w:p w14:paraId="11F2CD2E">
            <w:pPr>
              <w:snapToGrid w:val="0"/>
              <w:jc w:val="both"/>
              <w:rPr>
                <w:rFonts w:ascii="宋体" w:hAnsi="宋体" w:cs="宋体"/>
                <w:sz w:val="16"/>
                <w:szCs w:val="16"/>
              </w:rPr>
            </w:pPr>
            <w:r>
              <w:rPr>
                <w:rFonts w:hint="eastAsia" w:ascii="宋体" w:hAnsi="宋体"/>
                <w:sz w:val="16"/>
                <w:szCs w:val="16"/>
              </w:rPr>
              <w:t>凉包高架库TINF模块改造</w:t>
            </w:r>
          </w:p>
        </w:tc>
        <w:tc>
          <w:tcPr>
            <w:tcW w:w="5253" w:type="dxa"/>
            <w:vAlign w:val="center"/>
          </w:tcPr>
          <w:p w14:paraId="2AB61755">
            <w:pPr>
              <w:snapToGrid w:val="0"/>
              <w:jc w:val="both"/>
              <w:rPr>
                <w:rFonts w:ascii="宋体" w:hAnsi="宋体" w:cs="宋体"/>
                <w:sz w:val="16"/>
                <w:szCs w:val="16"/>
              </w:rPr>
            </w:pPr>
            <w:r>
              <w:rPr>
                <w:rFonts w:hint="eastAsia" w:ascii="宋体" w:hAnsi="宋体"/>
                <w:sz w:val="16"/>
                <w:szCs w:val="16"/>
              </w:rPr>
              <w:t>打叶复烤车间凉包高架库出入库扫码：</w:t>
            </w:r>
            <w:r>
              <w:rPr>
                <w:rFonts w:hint="eastAsia" w:ascii="宋体" w:hAnsi="宋体"/>
                <w:sz w:val="16"/>
                <w:szCs w:val="16"/>
              </w:rPr>
              <w:br w:type="textWrapping"/>
            </w:r>
            <w:r>
              <w:rPr>
                <w:rFonts w:hint="eastAsia" w:ascii="宋体" w:hAnsi="宋体"/>
                <w:sz w:val="16"/>
                <w:szCs w:val="16"/>
              </w:rPr>
              <w:t>WMS对外接口后台程序改造</w:t>
            </w:r>
            <w:r>
              <w:rPr>
                <w:rFonts w:hint="eastAsia" w:ascii="宋体" w:hAnsi="宋体"/>
                <w:sz w:val="16"/>
                <w:szCs w:val="16"/>
              </w:rPr>
              <w:br w:type="textWrapping"/>
            </w:r>
            <w:r>
              <w:rPr>
                <w:rFonts w:hint="eastAsia" w:ascii="宋体" w:hAnsi="宋体"/>
                <w:sz w:val="16"/>
                <w:szCs w:val="16"/>
              </w:rPr>
              <w:t>WMS对外发布接口改造</w:t>
            </w:r>
          </w:p>
        </w:tc>
        <w:tc>
          <w:tcPr>
            <w:tcW w:w="367" w:type="dxa"/>
            <w:vAlign w:val="center"/>
          </w:tcPr>
          <w:p w14:paraId="1D67A325">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2BEA8CC6">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70B0B818">
            <w:pPr>
              <w:snapToGrid w:val="0"/>
              <w:jc w:val="both"/>
              <w:rPr>
                <w:rFonts w:ascii="宋体" w:hAnsi="宋体" w:cstheme="minorEastAsia"/>
                <w:bCs/>
                <w:sz w:val="16"/>
                <w:szCs w:val="16"/>
              </w:rPr>
            </w:pPr>
          </w:p>
        </w:tc>
      </w:tr>
      <w:tr w14:paraId="08F6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697" w:type="dxa"/>
            <w:vAlign w:val="center"/>
          </w:tcPr>
          <w:p w14:paraId="205776EC">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w:t>
            </w:r>
          </w:p>
        </w:tc>
        <w:tc>
          <w:tcPr>
            <w:tcW w:w="1416" w:type="dxa"/>
            <w:gridSpan w:val="2"/>
            <w:vAlign w:val="center"/>
          </w:tcPr>
          <w:p w14:paraId="5679F02F">
            <w:pPr>
              <w:snapToGrid w:val="0"/>
              <w:jc w:val="both"/>
              <w:rPr>
                <w:rFonts w:ascii="宋体" w:hAnsi="宋体" w:cs="宋体"/>
                <w:sz w:val="16"/>
                <w:szCs w:val="16"/>
              </w:rPr>
            </w:pPr>
            <w:r>
              <w:rPr>
                <w:rFonts w:hint="eastAsia" w:ascii="宋体" w:hAnsi="宋体"/>
                <w:sz w:val="16"/>
                <w:szCs w:val="16"/>
              </w:rPr>
              <w:t>WCS系统改造</w:t>
            </w:r>
          </w:p>
        </w:tc>
        <w:tc>
          <w:tcPr>
            <w:tcW w:w="5253" w:type="dxa"/>
            <w:vAlign w:val="center"/>
          </w:tcPr>
          <w:p w14:paraId="1F001A9C">
            <w:pPr>
              <w:snapToGrid w:val="0"/>
              <w:jc w:val="both"/>
              <w:rPr>
                <w:rFonts w:ascii="宋体" w:hAnsi="宋体" w:cs="宋体"/>
                <w:sz w:val="16"/>
                <w:szCs w:val="16"/>
              </w:rPr>
            </w:pPr>
            <w:r>
              <w:rPr>
                <w:rFonts w:hint="eastAsia" w:ascii="宋体" w:hAnsi="宋体"/>
                <w:sz w:val="16"/>
                <w:szCs w:val="16"/>
              </w:rPr>
              <w:t>曲靖卷烟厂配方库入库扫码：</w:t>
            </w:r>
            <w:r>
              <w:rPr>
                <w:rFonts w:hint="eastAsia" w:ascii="宋体" w:hAnsi="宋体"/>
                <w:sz w:val="16"/>
                <w:szCs w:val="16"/>
              </w:rPr>
              <w:br w:type="textWrapping"/>
            </w:r>
            <w:r>
              <w:rPr>
                <w:rFonts w:hint="eastAsia" w:ascii="宋体" w:hAnsi="宋体"/>
                <w:sz w:val="16"/>
                <w:szCs w:val="16"/>
              </w:rPr>
              <w:t>1、 新、旧码扫码读取校验。</w:t>
            </w:r>
            <w:r>
              <w:rPr>
                <w:rFonts w:hint="eastAsia" w:ascii="宋体" w:hAnsi="宋体"/>
                <w:sz w:val="16"/>
                <w:szCs w:val="16"/>
              </w:rPr>
              <w:br w:type="textWrapping"/>
            </w:r>
            <w:r>
              <w:rPr>
                <w:rFonts w:hint="eastAsia" w:ascii="宋体" w:hAnsi="宋体"/>
                <w:sz w:val="16"/>
                <w:szCs w:val="16"/>
              </w:rPr>
              <w:t>2、 RFID读取、解析校验。</w:t>
            </w:r>
            <w:r>
              <w:rPr>
                <w:rFonts w:hint="eastAsia" w:ascii="宋体" w:hAnsi="宋体"/>
                <w:sz w:val="16"/>
                <w:szCs w:val="16"/>
              </w:rPr>
              <w:br w:type="textWrapping"/>
            </w:r>
            <w:r>
              <w:rPr>
                <w:rFonts w:hint="eastAsia" w:ascii="宋体" w:hAnsi="宋体"/>
                <w:sz w:val="16"/>
                <w:szCs w:val="16"/>
              </w:rPr>
              <w:t>3、 两种模式入库任务调度。</w:t>
            </w:r>
            <w:r>
              <w:rPr>
                <w:rFonts w:hint="eastAsia" w:ascii="宋体" w:hAnsi="宋体"/>
                <w:sz w:val="16"/>
                <w:szCs w:val="16"/>
              </w:rPr>
              <w:br w:type="textWrapping"/>
            </w:r>
            <w:r>
              <w:rPr>
                <w:rFonts w:hint="eastAsia" w:ascii="宋体" w:hAnsi="宋体"/>
                <w:sz w:val="16"/>
                <w:szCs w:val="16"/>
              </w:rPr>
              <w:t>4、 异常剔除调度监控。</w:t>
            </w:r>
            <w:r>
              <w:rPr>
                <w:rFonts w:hint="eastAsia" w:ascii="宋体" w:hAnsi="宋体"/>
                <w:sz w:val="16"/>
                <w:szCs w:val="16"/>
              </w:rPr>
              <w:br w:type="textWrapping"/>
            </w:r>
            <w:r>
              <w:rPr>
                <w:rFonts w:hint="eastAsia" w:ascii="宋体" w:hAnsi="宋体"/>
                <w:sz w:val="16"/>
                <w:szCs w:val="16"/>
              </w:rPr>
              <w:t>5、 异常处理站台监控调度。</w:t>
            </w:r>
          </w:p>
        </w:tc>
        <w:tc>
          <w:tcPr>
            <w:tcW w:w="367" w:type="dxa"/>
            <w:vAlign w:val="center"/>
          </w:tcPr>
          <w:p w14:paraId="71CF77C7">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3F330687">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38FACF79">
            <w:pPr>
              <w:snapToGrid w:val="0"/>
              <w:jc w:val="both"/>
              <w:rPr>
                <w:rFonts w:ascii="宋体" w:hAnsi="宋体" w:cstheme="minorEastAsia"/>
                <w:bCs/>
                <w:sz w:val="16"/>
                <w:szCs w:val="16"/>
              </w:rPr>
            </w:pPr>
          </w:p>
        </w:tc>
      </w:tr>
      <w:tr w14:paraId="0701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64044118">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.4</w:t>
            </w:r>
          </w:p>
        </w:tc>
        <w:tc>
          <w:tcPr>
            <w:tcW w:w="1416" w:type="dxa"/>
            <w:gridSpan w:val="2"/>
            <w:tcBorders>
              <w:top w:val="single" w:color="auto" w:sz="4" w:space="0"/>
            </w:tcBorders>
            <w:vAlign w:val="center"/>
          </w:tcPr>
          <w:p w14:paraId="1242284A">
            <w:pPr>
              <w:snapToGrid w:val="0"/>
              <w:jc w:val="both"/>
              <w:rPr>
                <w:rFonts w:ascii="宋体" w:hAnsi="宋体" w:cs="宋体"/>
                <w:sz w:val="16"/>
                <w:szCs w:val="16"/>
              </w:rPr>
            </w:pPr>
            <w:r>
              <w:rPr>
                <w:rFonts w:hint="eastAsia" w:ascii="宋体" w:hAnsi="宋体"/>
                <w:sz w:val="16"/>
                <w:szCs w:val="16"/>
              </w:rPr>
              <w:t>WMS系统改造</w:t>
            </w:r>
          </w:p>
        </w:tc>
        <w:tc>
          <w:tcPr>
            <w:tcW w:w="5253" w:type="dxa"/>
            <w:vAlign w:val="center"/>
          </w:tcPr>
          <w:p w14:paraId="0F1047F2">
            <w:pPr>
              <w:snapToGrid w:val="0"/>
              <w:jc w:val="both"/>
              <w:rPr>
                <w:rFonts w:ascii="宋体" w:hAnsi="宋体" w:cs="宋体"/>
                <w:sz w:val="16"/>
                <w:szCs w:val="16"/>
              </w:rPr>
            </w:pPr>
            <w:r>
              <w:rPr>
                <w:rFonts w:hint="eastAsia" w:ascii="宋体" w:hAnsi="宋体"/>
                <w:sz w:val="16"/>
                <w:szCs w:val="16"/>
              </w:rPr>
              <w:t>1、入库计划单据导入执行。</w:t>
            </w:r>
            <w:r>
              <w:rPr>
                <w:rFonts w:hint="eastAsia" w:ascii="宋体" w:hAnsi="宋体"/>
                <w:sz w:val="16"/>
                <w:szCs w:val="16"/>
              </w:rPr>
              <w:br w:type="textWrapping"/>
            </w:r>
            <w:r>
              <w:rPr>
                <w:rFonts w:hint="eastAsia" w:ascii="宋体" w:hAnsi="宋体"/>
                <w:sz w:val="16"/>
                <w:szCs w:val="16"/>
              </w:rPr>
              <w:t>2、异常处理站台人工入库管理功能。</w:t>
            </w:r>
            <w:r>
              <w:rPr>
                <w:rFonts w:hint="eastAsia" w:ascii="宋体" w:hAnsi="宋体"/>
                <w:sz w:val="16"/>
                <w:szCs w:val="16"/>
              </w:rPr>
              <w:br w:type="textWrapping"/>
            </w:r>
            <w:r>
              <w:rPr>
                <w:rFonts w:hint="eastAsia" w:ascii="宋体" w:hAnsi="宋体"/>
                <w:sz w:val="16"/>
                <w:szCs w:val="16"/>
              </w:rPr>
              <w:t>3、原料基础数据查询优化。</w:t>
            </w:r>
            <w:r>
              <w:rPr>
                <w:rFonts w:hint="eastAsia" w:ascii="宋体" w:hAnsi="宋体"/>
                <w:sz w:val="16"/>
                <w:szCs w:val="16"/>
              </w:rPr>
              <w:br w:type="textWrapping"/>
            </w:r>
            <w:r>
              <w:rPr>
                <w:rFonts w:hint="eastAsia" w:ascii="宋体" w:hAnsi="宋体"/>
                <w:sz w:val="16"/>
                <w:szCs w:val="16"/>
              </w:rPr>
              <w:t>4、入库任务查询统计更新。</w:t>
            </w:r>
          </w:p>
        </w:tc>
        <w:tc>
          <w:tcPr>
            <w:tcW w:w="367" w:type="dxa"/>
            <w:vAlign w:val="center"/>
          </w:tcPr>
          <w:p w14:paraId="7DFB5F41">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2F8243F7">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060EF608">
            <w:pPr>
              <w:snapToGrid w:val="0"/>
              <w:jc w:val="both"/>
              <w:rPr>
                <w:rFonts w:ascii="宋体" w:hAnsi="宋体" w:cstheme="minorEastAsia"/>
                <w:bCs/>
                <w:sz w:val="16"/>
                <w:szCs w:val="16"/>
              </w:rPr>
            </w:pPr>
          </w:p>
        </w:tc>
      </w:tr>
      <w:tr w14:paraId="7F59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7" w:type="dxa"/>
            <w:vAlign w:val="center"/>
          </w:tcPr>
          <w:p w14:paraId="56D60F7A">
            <w:pPr>
              <w:snapToGrid w:val="0"/>
              <w:jc w:val="both"/>
              <w:rPr>
                <w:rFonts w:ascii="宋体" w:hAnsi="宋体" w:cstheme="minorEastAsia"/>
                <w:b/>
                <w:bCs/>
                <w:sz w:val="21"/>
                <w:szCs w:val="21"/>
              </w:rPr>
            </w:pPr>
            <w:r>
              <w:rPr>
                <w:rFonts w:ascii="宋体" w:hAnsi="宋体" w:cstheme="minorEastAsia"/>
                <w:b/>
                <w:bCs/>
                <w:sz w:val="16"/>
                <w:szCs w:val="21"/>
              </w:rPr>
              <w:t>3</w:t>
            </w:r>
          </w:p>
        </w:tc>
        <w:tc>
          <w:tcPr>
            <w:tcW w:w="8364" w:type="dxa"/>
            <w:gridSpan w:val="6"/>
            <w:shd w:val="clear" w:color="auto" w:fill="auto"/>
          </w:tcPr>
          <w:p w14:paraId="6D1CA7AA">
            <w:pPr>
              <w:spacing w:after="0" w:line="240" w:lineRule="auto"/>
              <w:rPr>
                <w:rFonts w:ascii="宋体" w:hAnsi="宋体"/>
                <w:b/>
                <w:sz w:val="16"/>
                <w:szCs w:val="16"/>
              </w:rPr>
            </w:pPr>
            <w:r>
              <w:rPr>
                <w:rFonts w:hint="eastAsia" w:ascii="宋体" w:hAnsi="宋体"/>
                <w:b/>
                <w:sz w:val="16"/>
                <w:szCs w:val="16"/>
              </w:rPr>
              <w:t>基于二维码的涉烟废弃物监管应用软件开发</w:t>
            </w:r>
          </w:p>
        </w:tc>
      </w:tr>
      <w:tr w14:paraId="415D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tcBorders>
              <w:top w:val="single" w:color="auto" w:sz="4" w:space="0"/>
            </w:tcBorders>
            <w:vAlign w:val="center"/>
          </w:tcPr>
          <w:p w14:paraId="205B847E">
            <w:pPr>
              <w:snapToGrid w:val="0"/>
              <w:jc w:val="both"/>
              <w:rPr>
                <w:rFonts w:ascii="宋体" w:hAnsi="宋体" w:cstheme="minorEastAsia"/>
                <w:bCs/>
                <w:sz w:val="16"/>
                <w:szCs w:val="16"/>
              </w:rPr>
            </w:pPr>
            <w:r>
              <w:rPr>
                <w:rFonts w:ascii="宋体" w:hAnsi="宋体" w:cstheme="minorEastAsia"/>
                <w:bCs/>
                <w:sz w:val="16"/>
                <w:szCs w:val="16"/>
              </w:rPr>
              <w:t>3.1</w:t>
            </w:r>
          </w:p>
        </w:tc>
        <w:tc>
          <w:tcPr>
            <w:tcW w:w="1416" w:type="dxa"/>
            <w:gridSpan w:val="2"/>
            <w:vAlign w:val="center"/>
          </w:tcPr>
          <w:p w14:paraId="71F6AA4A">
            <w:pPr>
              <w:snapToGrid w:val="0"/>
              <w:jc w:val="both"/>
              <w:rPr>
                <w:rFonts w:ascii="宋体" w:hAnsi="宋体" w:cs="宋体"/>
                <w:sz w:val="16"/>
                <w:szCs w:val="16"/>
              </w:rPr>
            </w:pPr>
            <w:r>
              <w:rPr>
                <w:rFonts w:hint="eastAsia" w:ascii="宋体" w:hAnsi="宋体"/>
                <w:sz w:val="16"/>
                <w:szCs w:val="16"/>
              </w:rPr>
              <w:t>基于二维码的涉烟废弃物监管应用</w:t>
            </w:r>
          </w:p>
        </w:tc>
        <w:tc>
          <w:tcPr>
            <w:tcW w:w="5253" w:type="dxa"/>
            <w:vAlign w:val="center"/>
          </w:tcPr>
          <w:p w14:paraId="1EEFD4E4">
            <w:pPr>
              <w:snapToGrid w:val="0"/>
              <w:jc w:val="both"/>
              <w:rPr>
                <w:rFonts w:ascii="宋体" w:hAnsi="宋体" w:cs="宋体"/>
                <w:sz w:val="16"/>
                <w:szCs w:val="16"/>
              </w:rPr>
            </w:pPr>
            <w:r>
              <w:rPr>
                <w:rFonts w:hint="eastAsia" w:ascii="宋体" w:hAnsi="宋体"/>
                <w:sz w:val="16"/>
                <w:szCs w:val="16"/>
              </w:rPr>
              <w:t>实现废弃烟草专卖品和涉烟废弃物实时数据采集，在卷包-后勤、成型-后勤，制丝-后勤、成型-制丝四个移交称重关键环节生成包含重量、牌号/品类、产生日期等关键信息的二维码，并将数据传送至废弃烟草专卖品和涉烟废弃物数据系统，作为原始数据凭证，确保数据来源的真实性及可追溯性。</w:t>
            </w:r>
          </w:p>
        </w:tc>
        <w:tc>
          <w:tcPr>
            <w:tcW w:w="367" w:type="dxa"/>
            <w:vAlign w:val="center"/>
          </w:tcPr>
          <w:p w14:paraId="305F5704">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5499FEB5">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420B2A2D">
            <w:pPr>
              <w:snapToGrid w:val="0"/>
              <w:jc w:val="both"/>
              <w:rPr>
                <w:rFonts w:ascii="宋体" w:hAnsi="宋体" w:cstheme="minorEastAsia"/>
                <w:bCs/>
                <w:sz w:val="16"/>
                <w:szCs w:val="16"/>
              </w:rPr>
            </w:pPr>
          </w:p>
        </w:tc>
      </w:tr>
      <w:tr w14:paraId="31CF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97" w:type="dxa"/>
            <w:tcBorders>
              <w:top w:val="single" w:color="auto" w:sz="4" w:space="0"/>
            </w:tcBorders>
            <w:vAlign w:val="center"/>
          </w:tcPr>
          <w:p w14:paraId="4A991D50">
            <w:pPr>
              <w:snapToGrid w:val="0"/>
              <w:jc w:val="both"/>
              <w:rPr>
                <w:rFonts w:ascii="宋体" w:hAnsi="宋体"/>
                <w:b/>
                <w:sz w:val="16"/>
                <w:szCs w:val="16"/>
              </w:rPr>
            </w:pPr>
            <w:r>
              <w:rPr>
                <w:rFonts w:hint="eastAsia" w:ascii="宋体" w:hAnsi="宋体" w:cstheme="minorEastAsia"/>
                <w:b/>
                <w:bCs/>
                <w:sz w:val="16"/>
                <w:szCs w:val="16"/>
              </w:rPr>
              <w:t>4</w:t>
            </w:r>
          </w:p>
        </w:tc>
        <w:tc>
          <w:tcPr>
            <w:tcW w:w="1416" w:type="dxa"/>
            <w:gridSpan w:val="2"/>
            <w:tcBorders>
              <w:top w:val="single" w:color="auto" w:sz="4" w:space="0"/>
            </w:tcBorders>
            <w:vAlign w:val="center"/>
          </w:tcPr>
          <w:p w14:paraId="6F066871">
            <w:pPr>
              <w:snapToGrid w:val="0"/>
              <w:jc w:val="both"/>
              <w:rPr>
                <w:rFonts w:ascii="宋体" w:hAnsi="宋体"/>
                <w:b/>
                <w:sz w:val="16"/>
                <w:szCs w:val="16"/>
              </w:rPr>
            </w:pPr>
            <w:r>
              <w:rPr>
                <w:rFonts w:hint="eastAsia" w:ascii="宋体" w:hAnsi="宋体" w:cstheme="minorEastAsia"/>
                <w:b/>
                <w:bCs/>
                <w:sz w:val="16"/>
                <w:szCs w:val="16"/>
              </w:rPr>
              <w:t>安装调试费</w:t>
            </w:r>
          </w:p>
        </w:tc>
        <w:tc>
          <w:tcPr>
            <w:tcW w:w="5253" w:type="dxa"/>
            <w:vAlign w:val="center"/>
          </w:tcPr>
          <w:p w14:paraId="63E1A3D8">
            <w:pPr>
              <w:snapToGrid w:val="0"/>
              <w:jc w:val="both"/>
              <w:rPr>
                <w:rFonts w:ascii="宋体" w:hAnsi="宋体"/>
                <w:sz w:val="16"/>
                <w:szCs w:val="16"/>
              </w:rPr>
            </w:pPr>
            <w:r>
              <w:rPr>
                <w:rFonts w:hint="eastAsia" w:ascii="宋体" w:hAnsi="宋体"/>
                <w:sz w:val="16"/>
                <w:szCs w:val="16"/>
              </w:rPr>
              <w:t>\</w:t>
            </w:r>
            <w:r>
              <w:rPr>
                <w:rFonts w:ascii="宋体" w:hAnsi="宋体"/>
                <w:sz w:val="16"/>
                <w:szCs w:val="16"/>
              </w:rPr>
              <w:t xml:space="preserve"> </w:t>
            </w:r>
          </w:p>
        </w:tc>
        <w:tc>
          <w:tcPr>
            <w:tcW w:w="367" w:type="dxa"/>
            <w:vAlign w:val="center"/>
          </w:tcPr>
          <w:p w14:paraId="683C2D31">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679EA769">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A4E8848">
            <w:pPr>
              <w:snapToGrid w:val="0"/>
              <w:jc w:val="both"/>
              <w:rPr>
                <w:rFonts w:ascii="宋体" w:hAnsi="宋体" w:cstheme="minorEastAsia"/>
                <w:bCs/>
                <w:sz w:val="16"/>
                <w:szCs w:val="16"/>
              </w:rPr>
            </w:pPr>
          </w:p>
        </w:tc>
      </w:tr>
      <w:tr w14:paraId="3295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97" w:type="dxa"/>
            <w:vAlign w:val="center"/>
          </w:tcPr>
          <w:p w14:paraId="3640A8D1">
            <w:pPr>
              <w:snapToGrid w:val="0"/>
              <w:jc w:val="both"/>
              <w:rPr>
                <w:rFonts w:ascii="宋体" w:hAnsi="宋体" w:cstheme="minorEastAsia"/>
                <w:b/>
                <w:bCs/>
                <w:sz w:val="21"/>
                <w:szCs w:val="21"/>
              </w:rPr>
            </w:pPr>
            <w:r>
              <w:rPr>
                <w:rFonts w:hint="eastAsia" w:ascii="宋体" w:hAnsi="宋体" w:cstheme="minorEastAsia"/>
                <w:b/>
                <w:bCs/>
                <w:sz w:val="21"/>
                <w:szCs w:val="21"/>
              </w:rPr>
              <w:t>三</w:t>
            </w:r>
          </w:p>
        </w:tc>
        <w:tc>
          <w:tcPr>
            <w:tcW w:w="8364" w:type="dxa"/>
            <w:gridSpan w:val="6"/>
            <w:shd w:val="clear" w:color="auto" w:fill="auto"/>
          </w:tcPr>
          <w:p w14:paraId="69992108">
            <w:pPr>
              <w:spacing w:after="0" w:line="240" w:lineRule="auto"/>
              <w:rPr>
                <w:rFonts w:ascii="宋体" w:hAnsi="宋体"/>
                <w:b/>
                <w:sz w:val="16"/>
                <w:szCs w:val="16"/>
              </w:rPr>
            </w:pPr>
            <w:r>
              <w:rPr>
                <w:rFonts w:hint="eastAsia" w:ascii="宋体" w:hAnsi="宋体"/>
                <w:b/>
                <w:sz w:val="16"/>
                <w:szCs w:val="16"/>
              </w:rPr>
              <w:t>制丝车间一条智能产线优化升级</w:t>
            </w:r>
          </w:p>
        </w:tc>
      </w:tr>
      <w:tr w14:paraId="3BA9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97" w:type="dxa"/>
            <w:vAlign w:val="center"/>
          </w:tcPr>
          <w:p w14:paraId="1CCE7D1A">
            <w:pPr>
              <w:snapToGrid w:val="0"/>
              <w:jc w:val="both"/>
              <w:rPr>
                <w:rFonts w:ascii="宋体" w:hAnsi="宋体" w:cstheme="minorEastAsia"/>
                <w:b/>
                <w:bCs/>
                <w:sz w:val="21"/>
                <w:szCs w:val="21"/>
              </w:rPr>
            </w:pPr>
            <w:r>
              <w:rPr>
                <w:rFonts w:hint="eastAsia" w:ascii="宋体" w:hAnsi="宋体" w:cstheme="minorEastAsia"/>
                <w:b/>
                <w:bCs/>
                <w:sz w:val="21"/>
                <w:szCs w:val="21"/>
              </w:rPr>
              <w:t>1</w:t>
            </w:r>
          </w:p>
        </w:tc>
        <w:tc>
          <w:tcPr>
            <w:tcW w:w="8364" w:type="dxa"/>
            <w:gridSpan w:val="6"/>
            <w:shd w:val="clear" w:color="auto" w:fill="auto"/>
          </w:tcPr>
          <w:p w14:paraId="38A20BBD">
            <w:pPr>
              <w:spacing w:after="0" w:line="240" w:lineRule="auto"/>
              <w:rPr>
                <w:rFonts w:ascii="宋体" w:hAnsi="宋体"/>
                <w:b/>
                <w:sz w:val="16"/>
                <w:szCs w:val="16"/>
              </w:rPr>
            </w:pPr>
            <w:r>
              <w:rPr>
                <w:rFonts w:hint="eastAsia" w:ascii="宋体" w:hAnsi="宋体"/>
                <w:b/>
                <w:sz w:val="16"/>
                <w:szCs w:val="16"/>
              </w:rPr>
              <w:t>基于视觉的制丝质量管控应用</w:t>
            </w:r>
          </w:p>
        </w:tc>
      </w:tr>
      <w:tr w14:paraId="432C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97" w:type="dxa"/>
            <w:vAlign w:val="center"/>
          </w:tcPr>
          <w:p w14:paraId="618F7AD9">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.1</w:t>
            </w:r>
          </w:p>
        </w:tc>
        <w:tc>
          <w:tcPr>
            <w:tcW w:w="8364" w:type="dxa"/>
            <w:gridSpan w:val="6"/>
            <w:shd w:val="clear" w:color="auto" w:fill="auto"/>
          </w:tcPr>
          <w:p w14:paraId="5868AFC5">
            <w:pPr>
              <w:spacing w:after="0" w:line="240" w:lineRule="auto"/>
              <w:rPr>
                <w:rFonts w:ascii="宋体" w:hAnsi="宋体"/>
                <w:b/>
                <w:sz w:val="16"/>
                <w:szCs w:val="16"/>
              </w:rPr>
            </w:pPr>
            <w:r>
              <w:rPr>
                <w:rFonts w:hint="eastAsia" w:ascii="宋体" w:hAnsi="宋体"/>
                <w:b/>
                <w:sz w:val="16"/>
                <w:szCs w:val="16"/>
              </w:rPr>
              <w:t>烟草异物防控信息集成模块硬件</w:t>
            </w:r>
          </w:p>
        </w:tc>
      </w:tr>
      <w:tr w14:paraId="3DA7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0B45ACE1">
            <w:pPr>
              <w:snapToGrid w:val="0"/>
              <w:jc w:val="both"/>
              <w:rPr>
                <w:rFonts w:ascii="宋体" w:hAnsi="宋体" w:cstheme="minorEastAsia"/>
                <w:bCs/>
                <w:sz w:val="16"/>
                <w:szCs w:val="16"/>
              </w:rPr>
            </w:pPr>
            <w:r>
              <w:rPr>
                <w:rFonts w:ascii="宋体" w:hAnsi="宋体"/>
                <w:sz w:val="16"/>
                <w:szCs w:val="16"/>
              </w:rPr>
              <w:t>1.1.1</w:t>
            </w:r>
          </w:p>
        </w:tc>
        <w:tc>
          <w:tcPr>
            <w:tcW w:w="1416" w:type="dxa"/>
            <w:gridSpan w:val="2"/>
            <w:vAlign w:val="center"/>
          </w:tcPr>
          <w:p w14:paraId="0B05D96E">
            <w:pPr>
              <w:snapToGrid w:val="0"/>
              <w:jc w:val="both"/>
              <w:rPr>
                <w:rFonts w:ascii="宋体" w:hAnsi="宋体" w:cs="宋体"/>
                <w:sz w:val="16"/>
                <w:szCs w:val="16"/>
              </w:rPr>
            </w:pPr>
            <w:r>
              <w:rPr>
                <w:rFonts w:hint="eastAsia" w:ascii="宋体" w:hAnsi="宋体"/>
                <w:sz w:val="16"/>
                <w:szCs w:val="16"/>
              </w:rPr>
              <w:t>图像工作站</w:t>
            </w:r>
          </w:p>
        </w:tc>
        <w:tc>
          <w:tcPr>
            <w:tcW w:w="5253" w:type="dxa"/>
            <w:vAlign w:val="center"/>
          </w:tcPr>
          <w:p w14:paraId="7A731272">
            <w:pPr>
              <w:snapToGrid w:val="0"/>
              <w:jc w:val="both"/>
              <w:rPr>
                <w:rFonts w:ascii="宋体" w:hAnsi="宋体" w:cs="宋体"/>
                <w:sz w:val="16"/>
                <w:szCs w:val="16"/>
              </w:rPr>
            </w:pPr>
            <w:r>
              <w:rPr>
                <w:rFonts w:hint="eastAsia" w:ascii="宋体" w:hAnsi="宋体"/>
                <w:sz w:val="16"/>
                <w:szCs w:val="16"/>
              </w:rPr>
              <w:t>1、CPU：Intel Xeon 银牌4214R 12核24线程2.1G主频×1</w:t>
            </w:r>
            <w:r>
              <w:rPr>
                <w:rFonts w:hint="eastAsia" w:ascii="宋体" w:hAnsi="宋体"/>
                <w:sz w:val="16"/>
                <w:szCs w:val="16"/>
              </w:rPr>
              <w:br w:type="textWrapping"/>
            </w:r>
            <w:r>
              <w:rPr>
                <w:rFonts w:hint="eastAsia" w:ascii="宋体" w:hAnsi="宋体"/>
                <w:sz w:val="16"/>
                <w:szCs w:val="16"/>
              </w:rPr>
              <w:t>2、内存：DDR4  32GB×2 ；</w:t>
            </w:r>
            <w:r>
              <w:rPr>
                <w:rFonts w:hint="eastAsia" w:ascii="宋体" w:hAnsi="宋体"/>
                <w:sz w:val="16"/>
                <w:szCs w:val="16"/>
              </w:rPr>
              <w:br w:type="textWrapping"/>
            </w:r>
            <w:r>
              <w:rPr>
                <w:rFonts w:hint="eastAsia" w:ascii="宋体" w:hAnsi="宋体"/>
                <w:sz w:val="16"/>
                <w:szCs w:val="16"/>
              </w:rPr>
              <w:t>3、GPU：16G ×4；</w:t>
            </w:r>
            <w:r>
              <w:rPr>
                <w:rFonts w:hint="eastAsia" w:ascii="宋体" w:hAnsi="宋体"/>
                <w:sz w:val="16"/>
                <w:szCs w:val="16"/>
              </w:rPr>
              <w:br w:type="textWrapping"/>
            </w:r>
            <w:r>
              <w:rPr>
                <w:rFonts w:hint="eastAsia" w:ascii="宋体" w:hAnsi="宋体"/>
                <w:sz w:val="16"/>
                <w:szCs w:val="16"/>
              </w:rPr>
              <w:t>4、网口：万兆网口×2；</w:t>
            </w:r>
            <w:r>
              <w:rPr>
                <w:rFonts w:hint="eastAsia" w:ascii="宋体" w:hAnsi="宋体"/>
                <w:sz w:val="16"/>
                <w:szCs w:val="16"/>
              </w:rPr>
              <w:br w:type="textWrapping"/>
            </w:r>
            <w:r>
              <w:rPr>
                <w:rFonts w:hint="eastAsia" w:ascii="宋体" w:hAnsi="宋体"/>
                <w:sz w:val="16"/>
                <w:szCs w:val="16"/>
              </w:rPr>
              <w:t>5、光模块：万兆多模模块×2；</w:t>
            </w:r>
            <w:r>
              <w:rPr>
                <w:rFonts w:hint="eastAsia" w:ascii="宋体" w:hAnsi="宋体"/>
                <w:sz w:val="16"/>
                <w:szCs w:val="16"/>
              </w:rPr>
              <w:br w:type="textWrapping"/>
            </w:r>
            <w:r>
              <w:rPr>
                <w:rFonts w:hint="eastAsia" w:ascii="宋体" w:hAnsi="宋体"/>
                <w:sz w:val="16"/>
                <w:szCs w:val="16"/>
              </w:rPr>
              <w:t xml:space="preserve">6、存储： SATA  4T 3.5"  数据盘×1；系统盘 1T×1 NVME; </w:t>
            </w:r>
          </w:p>
        </w:tc>
        <w:tc>
          <w:tcPr>
            <w:tcW w:w="367" w:type="dxa"/>
            <w:vAlign w:val="center"/>
          </w:tcPr>
          <w:p w14:paraId="6AC7BA07">
            <w:pPr>
              <w:jc w:val="both"/>
              <w:textAlignment w:val="center"/>
              <w:rPr>
                <w:rFonts w:ascii="宋体" w:hAnsi="宋体" w:cstheme="minorEastAsia"/>
                <w:bCs/>
                <w:sz w:val="16"/>
                <w:szCs w:val="16"/>
              </w:rPr>
            </w:pPr>
            <w:r>
              <w:rPr>
                <w:rFonts w:hint="eastAsia" w:ascii="宋体" w:hAnsi="宋体"/>
                <w:sz w:val="16"/>
                <w:szCs w:val="16"/>
              </w:rPr>
              <w:t>台</w:t>
            </w:r>
          </w:p>
        </w:tc>
        <w:tc>
          <w:tcPr>
            <w:tcW w:w="827" w:type="dxa"/>
            <w:vAlign w:val="center"/>
          </w:tcPr>
          <w:p w14:paraId="0B388067">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3AF0A998">
            <w:pPr>
              <w:snapToGrid w:val="0"/>
              <w:jc w:val="both"/>
              <w:rPr>
                <w:rFonts w:ascii="宋体" w:hAnsi="宋体" w:cstheme="minorEastAsia"/>
                <w:bCs/>
                <w:sz w:val="16"/>
                <w:szCs w:val="16"/>
              </w:rPr>
            </w:pPr>
          </w:p>
        </w:tc>
      </w:tr>
      <w:tr w14:paraId="42A4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97" w:type="dxa"/>
            <w:vAlign w:val="center"/>
          </w:tcPr>
          <w:p w14:paraId="4B894028">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.1.2</w:t>
            </w:r>
          </w:p>
        </w:tc>
        <w:tc>
          <w:tcPr>
            <w:tcW w:w="1416" w:type="dxa"/>
            <w:gridSpan w:val="2"/>
            <w:vAlign w:val="center"/>
          </w:tcPr>
          <w:p w14:paraId="6B6F1286">
            <w:pPr>
              <w:snapToGrid w:val="0"/>
              <w:jc w:val="both"/>
              <w:rPr>
                <w:rFonts w:ascii="宋体" w:hAnsi="宋体" w:cs="宋体"/>
                <w:sz w:val="16"/>
                <w:szCs w:val="16"/>
              </w:rPr>
            </w:pPr>
            <w:r>
              <w:rPr>
                <w:rFonts w:hint="eastAsia" w:ascii="宋体" w:hAnsi="宋体"/>
                <w:sz w:val="16"/>
                <w:szCs w:val="16"/>
              </w:rPr>
              <w:t>交换机</w:t>
            </w:r>
          </w:p>
        </w:tc>
        <w:tc>
          <w:tcPr>
            <w:tcW w:w="5253" w:type="dxa"/>
            <w:vAlign w:val="center"/>
          </w:tcPr>
          <w:p w14:paraId="1F269046">
            <w:pPr>
              <w:snapToGrid w:val="0"/>
              <w:jc w:val="both"/>
              <w:rPr>
                <w:rFonts w:ascii="宋体" w:hAnsi="宋体" w:cs="宋体"/>
                <w:sz w:val="16"/>
                <w:szCs w:val="16"/>
              </w:rPr>
            </w:pPr>
            <w:r>
              <w:rPr>
                <w:rFonts w:hint="eastAsia" w:ascii="宋体" w:hAnsi="宋体"/>
                <w:sz w:val="16"/>
                <w:szCs w:val="16"/>
              </w:rPr>
              <w:t>18口POE供电交换机千兆</w:t>
            </w:r>
          </w:p>
        </w:tc>
        <w:tc>
          <w:tcPr>
            <w:tcW w:w="367" w:type="dxa"/>
            <w:vAlign w:val="center"/>
          </w:tcPr>
          <w:p w14:paraId="0984E641">
            <w:pPr>
              <w:jc w:val="both"/>
              <w:textAlignment w:val="center"/>
              <w:rPr>
                <w:rFonts w:ascii="宋体" w:hAnsi="宋体" w:cstheme="minorEastAsia"/>
                <w:bCs/>
                <w:sz w:val="16"/>
                <w:szCs w:val="16"/>
              </w:rPr>
            </w:pPr>
            <w:r>
              <w:rPr>
                <w:rFonts w:hint="eastAsia" w:ascii="宋体" w:hAnsi="宋体"/>
                <w:sz w:val="16"/>
                <w:szCs w:val="16"/>
              </w:rPr>
              <w:t>台</w:t>
            </w:r>
          </w:p>
        </w:tc>
        <w:tc>
          <w:tcPr>
            <w:tcW w:w="827" w:type="dxa"/>
            <w:vAlign w:val="center"/>
          </w:tcPr>
          <w:p w14:paraId="4A820D7A">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511C3831">
            <w:pPr>
              <w:snapToGrid w:val="0"/>
              <w:jc w:val="both"/>
              <w:rPr>
                <w:rFonts w:ascii="宋体" w:hAnsi="宋体" w:cstheme="minorEastAsia"/>
                <w:bCs/>
                <w:sz w:val="16"/>
                <w:szCs w:val="16"/>
              </w:rPr>
            </w:pPr>
          </w:p>
        </w:tc>
      </w:tr>
      <w:tr w14:paraId="3495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97" w:type="dxa"/>
            <w:vAlign w:val="center"/>
          </w:tcPr>
          <w:p w14:paraId="3F970F5A">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.1.3</w:t>
            </w:r>
          </w:p>
        </w:tc>
        <w:tc>
          <w:tcPr>
            <w:tcW w:w="1416" w:type="dxa"/>
            <w:gridSpan w:val="2"/>
            <w:vAlign w:val="center"/>
          </w:tcPr>
          <w:p w14:paraId="2134BBE6">
            <w:pPr>
              <w:snapToGrid w:val="0"/>
              <w:jc w:val="both"/>
              <w:rPr>
                <w:rFonts w:ascii="宋体" w:hAnsi="宋体" w:cs="宋体"/>
                <w:sz w:val="16"/>
                <w:szCs w:val="16"/>
              </w:rPr>
            </w:pPr>
            <w:r>
              <w:rPr>
                <w:rFonts w:hint="eastAsia" w:ascii="宋体" w:hAnsi="宋体"/>
                <w:sz w:val="16"/>
                <w:szCs w:val="16"/>
              </w:rPr>
              <w:t>平台终端</w:t>
            </w:r>
          </w:p>
        </w:tc>
        <w:tc>
          <w:tcPr>
            <w:tcW w:w="5253" w:type="dxa"/>
            <w:vAlign w:val="center"/>
          </w:tcPr>
          <w:p w14:paraId="7F1935FA">
            <w:pPr>
              <w:snapToGrid w:val="0"/>
              <w:jc w:val="both"/>
              <w:rPr>
                <w:rFonts w:ascii="宋体" w:hAnsi="宋体" w:cs="宋体"/>
                <w:sz w:val="16"/>
                <w:szCs w:val="16"/>
              </w:rPr>
            </w:pPr>
            <w:r>
              <w:rPr>
                <w:rFonts w:hint="eastAsia" w:ascii="宋体" w:hAnsi="宋体"/>
                <w:sz w:val="16"/>
                <w:szCs w:val="16"/>
              </w:rPr>
              <w:t>Intel B系列主板，cpu：i5 ，10核16线程，4.7GHZ，内存：16G ， 1000Mbps 以太网卡，硬盘：1TB SSD 23英寸显示器分辨率 1920×1080，功率180W。</w:t>
            </w:r>
          </w:p>
        </w:tc>
        <w:tc>
          <w:tcPr>
            <w:tcW w:w="367" w:type="dxa"/>
            <w:vAlign w:val="center"/>
          </w:tcPr>
          <w:p w14:paraId="18EBFDC2">
            <w:pPr>
              <w:jc w:val="both"/>
              <w:textAlignment w:val="center"/>
              <w:rPr>
                <w:rFonts w:ascii="宋体" w:hAnsi="宋体" w:cstheme="minorEastAsia"/>
                <w:bCs/>
                <w:sz w:val="16"/>
                <w:szCs w:val="16"/>
              </w:rPr>
            </w:pPr>
            <w:r>
              <w:rPr>
                <w:rFonts w:hint="eastAsia" w:ascii="宋体" w:hAnsi="宋体"/>
                <w:sz w:val="16"/>
                <w:szCs w:val="16"/>
              </w:rPr>
              <w:t>台</w:t>
            </w:r>
          </w:p>
        </w:tc>
        <w:tc>
          <w:tcPr>
            <w:tcW w:w="827" w:type="dxa"/>
            <w:vAlign w:val="center"/>
          </w:tcPr>
          <w:p w14:paraId="3072BAB8">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1B7D64E9">
            <w:pPr>
              <w:snapToGrid w:val="0"/>
              <w:jc w:val="both"/>
              <w:rPr>
                <w:rFonts w:ascii="宋体" w:hAnsi="宋体" w:cstheme="minorEastAsia"/>
                <w:bCs/>
                <w:sz w:val="16"/>
                <w:szCs w:val="16"/>
              </w:rPr>
            </w:pPr>
          </w:p>
        </w:tc>
      </w:tr>
      <w:tr w14:paraId="33A0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7" w:type="dxa"/>
            <w:vAlign w:val="center"/>
          </w:tcPr>
          <w:p w14:paraId="7D1C53EB">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.2</w:t>
            </w:r>
          </w:p>
        </w:tc>
        <w:tc>
          <w:tcPr>
            <w:tcW w:w="8364" w:type="dxa"/>
            <w:gridSpan w:val="6"/>
            <w:shd w:val="clear" w:color="auto" w:fill="auto"/>
          </w:tcPr>
          <w:p w14:paraId="42CC532F">
            <w:pPr>
              <w:spacing w:after="0" w:line="240" w:lineRule="auto"/>
              <w:rPr>
                <w:rFonts w:ascii="宋体" w:hAnsi="宋体"/>
                <w:b/>
                <w:sz w:val="16"/>
                <w:szCs w:val="16"/>
              </w:rPr>
            </w:pPr>
            <w:r>
              <w:rPr>
                <w:rFonts w:hint="eastAsia" w:ascii="宋体" w:hAnsi="宋体"/>
                <w:b/>
                <w:sz w:val="16"/>
                <w:szCs w:val="16"/>
              </w:rPr>
              <w:t>切丝机前大异物检测装置</w:t>
            </w:r>
          </w:p>
        </w:tc>
      </w:tr>
      <w:tr w14:paraId="3B01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43AD4B5D">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.2.1</w:t>
            </w:r>
          </w:p>
        </w:tc>
        <w:tc>
          <w:tcPr>
            <w:tcW w:w="1416" w:type="dxa"/>
            <w:gridSpan w:val="2"/>
            <w:tcBorders>
              <w:top w:val="single" w:color="auto" w:sz="4" w:space="0"/>
            </w:tcBorders>
            <w:vAlign w:val="center"/>
          </w:tcPr>
          <w:p w14:paraId="6A30FF08">
            <w:pPr>
              <w:snapToGrid w:val="0"/>
              <w:jc w:val="both"/>
              <w:rPr>
                <w:rFonts w:ascii="宋体" w:hAnsi="宋体" w:cs="宋体"/>
                <w:b/>
                <w:sz w:val="16"/>
                <w:szCs w:val="16"/>
              </w:rPr>
            </w:pPr>
            <w:r>
              <w:rPr>
                <w:rFonts w:hint="eastAsia" w:ascii="宋体" w:hAnsi="宋体"/>
                <w:sz w:val="16"/>
                <w:szCs w:val="16"/>
              </w:rPr>
              <w:t>视觉控制器</w:t>
            </w:r>
          </w:p>
        </w:tc>
        <w:tc>
          <w:tcPr>
            <w:tcW w:w="5253" w:type="dxa"/>
            <w:vAlign w:val="center"/>
          </w:tcPr>
          <w:p w14:paraId="46A26F2F">
            <w:pPr>
              <w:snapToGrid w:val="0"/>
              <w:jc w:val="both"/>
              <w:rPr>
                <w:rFonts w:ascii="宋体" w:hAnsi="宋体"/>
                <w:sz w:val="16"/>
                <w:szCs w:val="16"/>
              </w:rPr>
            </w:pPr>
            <w:r>
              <w:rPr>
                <w:rFonts w:hint="eastAsia" w:ascii="宋体" w:hAnsi="宋体"/>
                <w:sz w:val="16"/>
                <w:szCs w:val="16"/>
              </w:rPr>
              <w:t>1.</w:t>
            </w:r>
            <w:r>
              <w:rPr>
                <w:rFonts w:ascii="宋体" w:hAnsi="宋体"/>
                <w:sz w:val="16"/>
                <w:szCs w:val="16"/>
              </w:rPr>
              <w:t>I5 8500/</w:t>
            </w:r>
            <w:r>
              <w:rPr>
                <w:rFonts w:hint="eastAsia" w:ascii="宋体" w:hAnsi="宋体"/>
                <w:sz w:val="16"/>
                <w:szCs w:val="16"/>
              </w:rPr>
              <w:t>内存</w:t>
            </w:r>
            <w:r>
              <w:rPr>
                <w:rFonts w:ascii="宋体" w:hAnsi="宋体"/>
                <w:sz w:val="16"/>
                <w:szCs w:val="16"/>
              </w:rPr>
              <w:t>4G/128Gssd/1PCIEX16 *1/350W/GPU GTX1650/Win10</w:t>
            </w:r>
            <w:r>
              <w:rPr>
                <w:rFonts w:hint="eastAsia" w:ascii="宋体" w:hAnsi="宋体"/>
                <w:sz w:val="16"/>
                <w:szCs w:val="16"/>
              </w:rPr>
              <w:t>操作系统；</w:t>
            </w:r>
          </w:p>
          <w:p w14:paraId="50BB7586">
            <w:pPr>
              <w:snapToGrid w:val="0"/>
              <w:jc w:val="both"/>
              <w:rPr>
                <w:rFonts w:ascii="宋体" w:hAnsi="宋体"/>
                <w:sz w:val="16"/>
                <w:szCs w:val="16"/>
              </w:rPr>
            </w:pPr>
            <w:r>
              <w:rPr>
                <w:rFonts w:ascii="宋体" w:hAnsi="宋体"/>
                <w:sz w:val="16"/>
                <w:szCs w:val="16"/>
              </w:rPr>
              <w:t>2.</w:t>
            </w:r>
            <w:r>
              <w:rPr>
                <w:rFonts w:hint="eastAsia" w:ascii="宋体" w:hAnsi="宋体"/>
                <w:sz w:val="16"/>
                <w:szCs w:val="16"/>
              </w:rPr>
              <w:t>智能</w:t>
            </w:r>
            <w:r>
              <w:rPr>
                <w:rFonts w:ascii="宋体" w:hAnsi="宋体"/>
                <w:sz w:val="16"/>
                <w:szCs w:val="16"/>
              </w:rPr>
              <w:t>IO</w:t>
            </w:r>
            <w:r>
              <w:rPr>
                <w:rFonts w:hint="eastAsia" w:ascii="宋体" w:hAnsi="宋体"/>
                <w:sz w:val="16"/>
                <w:szCs w:val="16"/>
              </w:rPr>
              <w:t>控制板：高速</w:t>
            </w:r>
            <w:r>
              <w:rPr>
                <w:rFonts w:ascii="宋体" w:hAnsi="宋体"/>
                <w:sz w:val="16"/>
                <w:szCs w:val="16"/>
              </w:rPr>
              <w:t>1</w:t>
            </w:r>
            <w:r>
              <w:rPr>
                <w:rFonts w:hint="eastAsia" w:ascii="宋体" w:hAnsi="宋体"/>
                <w:sz w:val="16"/>
                <w:szCs w:val="16"/>
              </w:rPr>
              <w:t>μ</w:t>
            </w:r>
            <w:r>
              <w:rPr>
                <w:rFonts w:ascii="宋体" w:hAnsi="宋体"/>
                <w:sz w:val="16"/>
                <w:szCs w:val="16"/>
              </w:rPr>
              <w:t>s</w:t>
            </w:r>
            <w:r>
              <w:rPr>
                <w:rFonts w:hint="eastAsia" w:ascii="宋体" w:hAnsi="宋体"/>
                <w:sz w:val="16"/>
                <w:szCs w:val="16"/>
              </w:rPr>
              <w:t>信号控制能力、输入信号端≥</w:t>
            </w:r>
            <w:r>
              <w:rPr>
                <w:rFonts w:ascii="宋体" w:hAnsi="宋体"/>
                <w:sz w:val="16"/>
                <w:szCs w:val="16"/>
              </w:rPr>
              <w:t>8</w:t>
            </w:r>
            <w:r>
              <w:rPr>
                <w:rFonts w:hint="eastAsia" w:ascii="宋体" w:hAnsi="宋体"/>
                <w:sz w:val="16"/>
                <w:szCs w:val="16"/>
              </w:rPr>
              <w:t>、输出信号端≥</w:t>
            </w:r>
            <w:r>
              <w:rPr>
                <w:rFonts w:ascii="宋体" w:hAnsi="宋体"/>
                <w:sz w:val="16"/>
                <w:szCs w:val="16"/>
              </w:rPr>
              <w:t>8</w:t>
            </w:r>
            <w:r>
              <w:rPr>
                <w:rFonts w:hint="eastAsia" w:ascii="宋体" w:hAnsi="宋体"/>
                <w:sz w:val="16"/>
                <w:szCs w:val="16"/>
              </w:rPr>
              <w:t>。</w:t>
            </w:r>
          </w:p>
          <w:p w14:paraId="74B4D2BC">
            <w:pPr>
              <w:snapToGrid w:val="0"/>
              <w:jc w:val="both"/>
              <w:rPr>
                <w:rFonts w:ascii="宋体" w:hAnsi="宋体" w:cs="宋体"/>
                <w:sz w:val="16"/>
                <w:szCs w:val="16"/>
              </w:rPr>
            </w:pPr>
            <w:r>
              <w:rPr>
                <w:rFonts w:hint="eastAsia" w:ascii="宋体" w:hAnsi="宋体"/>
                <w:sz w:val="16"/>
                <w:szCs w:val="16"/>
              </w:rPr>
              <w:br w:type="textWrapping"/>
            </w:r>
            <w:r>
              <w:rPr>
                <w:rFonts w:hint="eastAsia" w:ascii="宋体" w:hAnsi="宋体"/>
                <w:sz w:val="16"/>
                <w:szCs w:val="16"/>
              </w:rPr>
              <w:t>3.光源控制器。</w:t>
            </w:r>
          </w:p>
        </w:tc>
        <w:tc>
          <w:tcPr>
            <w:tcW w:w="367" w:type="dxa"/>
            <w:vAlign w:val="center"/>
          </w:tcPr>
          <w:p w14:paraId="5F9CEDD7">
            <w:pPr>
              <w:jc w:val="both"/>
              <w:textAlignment w:val="center"/>
              <w:rPr>
                <w:rFonts w:ascii="宋体" w:hAnsi="宋体" w:cstheme="minorEastAsia"/>
                <w:b/>
                <w:bCs/>
                <w:sz w:val="16"/>
                <w:szCs w:val="16"/>
              </w:rPr>
            </w:pPr>
            <w:r>
              <w:rPr>
                <w:rFonts w:hint="eastAsia" w:ascii="宋体" w:hAnsi="宋体"/>
                <w:sz w:val="16"/>
                <w:szCs w:val="16"/>
              </w:rPr>
              <w:t>套</w:t>
            </w:r>
          </w:p>
        </w:tc>
        <w:tc>
          <w:tcPr>
            <w:tcW w:w="827" w:type="dxa"/>
            <w:vAlign w:val="center"/>
          </w:tcPr>
          <w:p w14:paraId="225D4A57">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0B2C3BE2">
            <w:pPr>
              <w:snapToGrid w:val="0"/>
              <w:jc w:val="both"/>
              <w:rPr>
                <w:rFonts w:ascii="宋体" w:hAnsi="宋体" w:cstheme="minorEastAsia"/>
                <w:bCs/>
                <w:sz w:val="16"/>
                <w:szCs w:val="16"/>
              </w:rPr>
            </w:pPr>
          </w:p>
        </w:tc>
      </w:tr>
      <w:tr w14:paraId="7FA3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97" w:type="dxa"/>
            <w:vAlign w:val="center"/>
          </w:tcPr>
          <w:p w14:paraId="54871A56">
            <w:pPr>
              <w:snapToGrid w:val="0"/>
              <w:jc w:val="both"/>
              <w:rPr>
                <w:rFonts w:ascii="宋体" w:hAnsi="宋体" w:cstheme="minorEastAsia"/>
                <w:bCs/>
                <w:sz w:val="16"/>
                <w:szCs w:val="16"/>
              </w:rPr>
            </w:pPr>
            <w:r>
              <w:rPr>
                <w:rFonts w:ascii="宋体" w:hAnsi="宋体" w:cstheme="minorEastAsia"/>
                <w:bCs/>
                <w:sz w:val="16"/>
                <w:szCs w:val="16"/>
              </w:rPr>
              <w:t>1.2.2</w:t>
            </w:r>
          </w:p>
        </w:tc>
        <w:tc>
          <w:tcPr>
            <w:tcW w:w="1416" w:type="dxa"/>
            <w:gridSpan w:val="2"/>
            <w:tcBorders>
              <w:top w:val="single" w:color="auto" w:sz="4" w:space="0"/>
            </w:tcBorders>
            <w:vAlign w:val="center"/>
          </w:tcPr>
          <w:p w14:paraId="5E0A3BD1">
            <w:pPr>
              <w:snapToGrid w:val="0"/>
              <w:jc w:val="both"/>
              <w:rPr>
                <w:rFonts w:ascii="宋体" w:hAnsi="宋体" w:cs="宋体"/>
                <w:sz w:val="16"/>
                <w:szCs w:val="16"/>
              </w:rPr>
            </w:pPr>
            <w:r>
              <w:rPr>
                <w:rFonts w:hint="eastAsia" w:ascii="宋体" w:hAnsi="宋体"/>
                <w:sz w:val="16"/>
                <w:szCs w:val="16"/>
              </w:rPr>
              <w:t>显示一体机</w:t>
            </w:r>
          </w:p>
        </w:tc>
        <w:tc>
          <w:tcPr>
            <w:tcW w:w="5253" w:type="dxa"/>
            <w:vAlign w:val="center"/>
          </w:tcPr>
          <w:p w14:paraId="49A5B451">
            <w:pPr>
              <w:snapToGrid w:val="0"/>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367" w:type="dxa"/>
            <w:vAlign w:val="center"/>
          </w:tcPr>
          <w:p w14:paraId="50912548">
            <w:pPr>
              <w:jc w:val="both"/>
              <w:textAlignment w:val="center"/>
              <w:rPr>
                <w:rFonts w:ascii="宋体" w:hAnsi="宋体" w:cstheme="minorEastAsia"/>
                <w:bCs/>
                <w:sz w:val="16"/>
                <w:szCs w:val="16"/>
              </w:rPr>
            </w:pPr>
            <w:r>
              <w:rPr>
                <w:rFonts w:hint="eastAsia" w:ascii="宋体" w:hAnsi="宋体"/>
                <w:sz w:val="16"/>
                <w:szCs w:val="16"/>
              </w:rPr>
              <w:t>台</w:t>
            </w:r>
          </w:p>
        </w:tc>
        <w:tc>
          <w:tcPr>
            <w:tcW w:w="827" w:type="dxa"/>
            <w:vAlign w:val="center"/>
          </w:tcPr>
          <w:p w14:paraId="6B501F55">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0F3F04AD">
            <w:pPr>
              <w:snapToGrid w:val="0"/>
              <w:jc w:val="both"/>
              <w:rPr>
                <w:rFonts w:ascii="宋体" w:hAnsi="宋体" w:cstheme="minorEastAsia"/>
                <w:bCs/>
                <w:sz w:val="16"/>
                <w:szCs w:val="16"/>
              </w:rPr>
            </w:pPr>
          </w:p>
        </w:tc>
      </w:tr>
      <w:tr w14:paraId="23EC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97" w:type="dxa"/>
            <w:vAlign w:val="center"/>
          </w:tcPr>
          <w:p w14:paraId="30AB2AAB">
            <w:pPr>
              <w:snapToGrid w:val="0"/>
              <w:jc w:val="both"/>
              <w:rPr>
                <w:rFonts w:ascii="宋体" w:hAnsi="宋体" w:cstheme="minorEastAsia"/>
                <w:bCs/>
                <w:sz w:val="16"/>
                <w:szCs w:val="16"/>
              </w:rPr>
            </w:pPr>
            <w:r>
              <w:rPr>
                <w:rFonts w:ascii="宋体" w:hAnsi="宋体" w:cstheme="minorEastAsia"/>
                <w:bCs/>
                <w:sz w:val="16"/>
                <w:szCs w:val="16"/>
              </w:rPr>
              <w:t>1.2.3</w:t>
            </w:r>
          </w:p>
        </w:tc>
        <w:tc>
          <w:tcPr>
            <w:tcW w:w="1416" w:type="dxa"/>
            <w:gridSpan w:val="2"/>
            <w:tcBorders>
              <w:top w:val="single" w:color="auto" w:sz="4" w:space="0"/>
            </w:tcBorders>
            <w:vAlign w:val="center"/>
          </w:tcPr>
          <w:p w14:paraId="3190A615">
            <w:pPr>
              <w:snapToGrid w:val="0"/>
              <w:jc w:val="both"/>
              <w:rPr>
                <w:rFonts w:ascii="宋体" w:hAnsi="宋体" w:cs="宋体"/>
                <w:sz w:val="16"/>
                <w:szCs w:val="16"/>
              </w:rPr>
            </w:pPr>
            <w:r>
              <w:rPr>
                <w:rFonts w:hint="eastAsia" w:ascii="宋体" w:hAnsi="宋体"/>
                <w:sz w:val="16"/>
                <w:szCs w:val="16"/>
              </w:rPr>
              <w:t>工业面阵相机</w:t>
            </w:r>
          </w:p>
        </w:tc>
        <w:tc>
          <w:tcPr>
            <w:tcW w:w="5253" w:type="dxa"/>
            <w:vAlign w:val="center"/>
          </w:tcPr>
          <w:p w14:paraId="154043CE">
            <w:pPr>
              <w:snapToGrid w:val="0"/>
              <w:jc w:val="both"/>
              <w:rPr>
                <w:rFonts w:ascii="宋体" w:hAnsi="宋体" w:cs="宋体"/>
                <w:sz w:val="16"/>
                <w:szCs w:val="16"/>
              </w:rPr>
            </w:pPr>
            <w:r>
              <w:rPr>
                <w:rFonts w:hint="eastAsia" w:ascii="宋体" w:hAnsi="宋体"/>
                <w:sz w:val="16"/>
                <w:szCs w:val="16"/>
              </w:rPr>
              <w:t>1、工业面阵相机：160万彩色，C口，GigE接口，电压12V，工作稳定0 °C - 50 °C。支持自动或手动调节增益、曝光时间、白平衡、LUT、Gamma校正等。</w:t>
            </w:r>
            <w:r>
              <w:rPr>
                <w:rFonts w:hint="eastAsia" w:ascii="宋体" w:hAnsi="宋体"/>
                <w:sz w:val="16"/>
                <w:szCs w:val="16"/>
              </w:rPr>
              <w:br w:type="textWrapping"/>
            </w:r>
            <w:r>
              <w:rPr>
                <w:rFonts w:hint="eastAsia" w:ascii="宋体" w:hAnsi="宋体"/>
                <w:sz w:val="16"/>
                <w:szCs w:val="16"/>
              </w:rPr>
              <w:t>2、工业面阵镜头：8mm，C口，支持工作温度范围-20℃~50℃，超低畸变设计，色差优化设计，成像清晰度稳定。</w:t>
            </w:r>
            <w:r>
              <w:rPr>
                <w:rFonts w:hint="eastAsia" w:ascii="宋体" w:hAnsi="宋体"/>
                <w:sz w:val="16"/>
                <w:szCs w:val="16"/>
              </w:rPr>
              <w:br w:type="textWrapping"/>
            </w:r>
            <w:r>
              <w:rPr>
                <w:rFonts w:hint="eastAsia" w:ascii="宋体" w:hAnsi="宋体"/>
                <w:sz w:val="16"/>
                <w:szCs w:val="16"/>
              </w:rPr>
              <w:t>3、单套相机含工业光源2套：定制白色高亮光源，1000mmX29mm。</w:t>
            </w:r>
          </w:p>
        </w:tc>
        <w:tc>
          <w:tcPr>
            <w:tcW w:w="367" w:type="dxa"/>
            <w:vAlign w:val="center"/>
          </w:tcPr>
          <w:p w14:paraId="2CF24F11">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66D0162A">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50E95EF1">
            <w:pPr>
              <w:snapToGrid w:val="0"/>
              <w:jc w:val="both"/>
              <w:rPr>
                <w:rFonts w:ascii="宋体" w:hAnsi="宋体" w:cstheme="minorEastAsia"/>
                <w:bCs/>
                <w:sz w:val="16"/>
                <w:szCs w:val="16"/>
              </w:rPr>
            </w:pPr>
          </w:p>
        </w:tc>
      </w:tr>
      <w:tr w14:paraId="7A60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97" w:type="dxa"/>
            <w:vAlign w:val="center"/>
          </w:tcPr>
          <w:p w14:paraId="4AE1092C">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.3</w:t>
            </w:r>
          </w:p>
        </w:tc>
        <w:tc>
          <w:tcPr>
            <w:tcW w:w="8364" w:type="dxa"/>
            <w:gridSpan w:val="6"/>
            <w:shd w:val="clear" w:color="auto" w:fill="auto"/>
          </w:tcPr>
          <w:p w14:paraId="3629BDB8">
            <w:pPr>
              <w:spacing w:after="0" w:line="240" w:lineRule="auto"/>
              <w:rPr>
                <w:rFonts w:ascii="宋体" w:hAnsi="宋体"/>
                <w:b/>
                <w:sz w:val="16"/>
                <w:szCs w:val="16"/>
              </w:rPr>
            </w:pPr>
            <w:r>
              <w:rPr>
                <w:rFonts w:hint="eastAsia" w:ascii="宋体" w:hAnsi="宋体"/>
                <w:b/>
                <w:sz w:val="16"/>
                <w:szCs w:val="16"/>
              </w:rPr>
              <w:t>霉变烟、虫烟检测系统</w:t>
            </w:r>
          </w:p>
        </w:tc>
      </w:tr>
      <w:tr w14:paraId="4549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697" w:type="dxa"/>
            <w:tcBorders>
              <w:bottom w:val="single" w:color="auto" w:sz="4" w:space="0"/>
            </w:tcBorders>
            <w:vAlign w:val="center"/>
          </w:tcPr>
          <w:p w14:paraId="58209191">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.3.1</w:t>
            </w:r>
          </w:p>
        </w:tc>
        <w:tc>
          <w:tcPr>
            <w:tcW w:w="1416" w:type="dxa"/>
            <w:gridSpan w:val="2"/>
            <w:tcBorders>
              <w:bottom w:val="single" w:color="auto" w:sz="4" w:space="0"/>
            </w:tcBorders>
            <w:vAlign w:val="center"/>
          </w:tcPr>
          <w:p w14:paraId="747D3A3E">
            <w:pPr>
              <w:snapToGrid w:val="0"/>
              <w:jc w:val="both"/>
              <w:rPr>
                <w:rFonts w:ascii="宋体" w:hAnsi="宋体" w:cs="宋体"/>
                <w:b/>
                <w:sz w:val="16"/>
                <w:szCs w:val="16"/>
              </w:rPr>
            </w:pPr>
            <w:r>
              <w:rPr>
                <w:rFonts w:hint="eastAsia" w:ascii="宋体" w:hAnsi="宋体"/>
                <w:sz w:val="16"/>
                <w:szCs w:val="16"/>
              </w:rPr>
              <w:t>工业面阵相机</w:t>
            </w:r>
          </w:p>
        </w:tc>
        <w:tc>
          <w:tcPr>
            <w:tcW w:w="5253" w:type="dxa"/>
            <w:tcBorders>
              <w:bottom w:val="single" w:color="auto" w:sz="4" w:space="0"/>
            </w:tcBorders>
            <w:vAlign w:val="center"/>
          </w:tcPr>
          <w:p w14:paraId="1353C81F">
            <w:pPr>
              <w:snapToGrid w:val="0"/>
              <w:jc w:val="both"/>
              <w:rPr>
                <w:rFonts w:ascii="宋体" w:hAnsi="宋体"/>
                <w:sz w:val="16"/>
                <w:szCs w:val="16"/>
              </w:rPr>
            </w:pPr>
            <w:r>
              <w:rPr>
                <w:rFonts w:hint="eastAsia" w:ascii="宋体" w:hAnsi="宋体"/>
                <w:sz w:val="16"/>
                <w:szCs w:val="16"/>
              </w:rPr>
              <w:t>1、工业面阵相机：2000万像素彩色相机，千兆以太网接口。</w:t>
            </w:r>
            <w:r>
              <w:rPr>
                <w:rFonts w:hint="eastAsia" w:ascii="宋体" w:hAnsi="宋体"/>
                <w:sz w:val="16"/>
                <w:szCs w:val="16"/>
              </w:rPr>
              <w:br w:type="textWrapping"/>
            </w:r>
            <w:r>
              <w:rPr>
                <w:rFonts w:hint="eastAsia" w:ascii="宋体" w:hAnsi="宋体"/>
                <w:sz w:val="16"/>
                <w:szCs w:val="16"/>
              </w:rPr>
              <w:t>2、工业面阵镜头：12mm，C口镜头，分辨率2500万。支持工作温度范围-20℃~50℃，超低畸变设计，色差优化设计，成像清晰度稳定。</w:t>
            </w:r>
          </w:p>
          <w:p w14:paraId="72595231">
            <w:pPr>
              <w:snapToGrid w:val="0"/>
              <w:jc w:val="both"/>
              <w:rPr>
                <w:rFonts w:ascii="宋体" w:hAnsi="宋体" w:cs="宋体"/>
                <w:sz w:val="16"/>
                <w:szCs w:val="16"/>
              </w:rPr>
            </w:pPr>
            <w:r>
              <w:rPr>
                <w:rFonts w:hint="eastAsia" w:ascii="宋体" w:hAnsi="宋体"/>
                <w:sz w:val="16"/>
                <w:szCs w:val="16"/>
              </w:rPr>
              <w:t>3、单套相机含高亮光源2套：定制高亮光源，照射角度可灵活调节1000X29mm。</w:t>
            </w:r>
          </w:p>
        </w:tc>
        <w:tc>
          <w:tcPr>
            <w:tcW w:w="367" w:type="dxa"/>
            <w:tcBorders>
              <w:bottom w:val="single" w:color="auto" w:sz="4" w:space="0"/>
            </w:tcBorders>
            <w:vAlign w:val="center"/>
          </w:tcPr>
          <w:p w14:paraId="1B591CDA">
            <w:pPr>
              <w:jc w:val="both"/>
              <w:textAlignment w:val="center"/>
              <w:rPr>
                <w:rFonts w:ascii="宋体" w:hAnsi="宋体" w:cstheme="minorEastAsia"/>
                <w:bCs/>
                <w:sz w:val="16"/>
                <w:szCs w:val="16"/>
              </w:rPr>
            </w:pPr>
            <w:r>
              <w:rPr>
                <w:rFonts w:hint="eastAsia" w:ascii="宋体" w:hAnsi="宋体"/>
                <w:sz w:val="16"/>
                <w:szCs w:val="16"/>
              </w:rPr>
              <w:t>套</w:t>
            </w:r>
          </w:p>
        </w:tc>
        <w:tc>
          <w:tcPr>
            <w:tcW w:w="827" w:type="dxa"/>
            <w:tcBorders>
              <w:bottom w:val="single" w:color="auto" w:sz="4" w:space="0"/>
            </w:tcBorders>
            <w:vAlign w:val="center"/>
          </w:tcPr>
          <w:p w14:paraId="44B4850D">
            <w:pPr>
              <w:jc w:val="both"/>
              <w:textAlignment w:val="center"/>
              <w:rPr>
                <w:rFonts w:ascii="宋体" w:hAnsi="宋体" w:cstheme="minorEastAsia"/>
                <w:bCs/>
                <w:sz w:val="16"/>
                <w:szCs w:val="16"/>
              </w:rPr>
            </w:pPr>
            <w:r>
              <w:rPr>
                <w:rFonts w:hint="eastAsia" w:ascii="宋体" w:hAnsi="宋体"/>
                <w:sz w:val="16"/>
                <w:szCs w:val="16"/>
              </w:rPr>
              <w:t>4</w:t>
            </w:r>
          </w:p>
        </w:tc>
        <w:tc>
          <w:tcPr>
            <w:tcW w:w="501" w:type="dxa"/>
            <w:tcBorders>
              <w:bottom w:val="single" w:color="auto" w:sz="4" w:space="0"/>
            </w:tcBorders>
            <w:shd w:val="clear" w:color="auto" w:fill="auto"/>
            <w:vAlign w:val="center"/>
          </w:tcPr>
          <w:p w14:paraId="35E5A072">
            <w:pPr>
              <w:snapToGrid w:val="0"/>
              <w:jc w:val="both"/>
              <w:rPr>
                <w:rFonts w:ascii="宋体" w:hAnsi="宋体" w:cstheme="minorEastAsia"/>
                <w:bCs/>
                <w:sz w:val="16"/>
                <w:szCs w:val="16"/>
              </w:rPr>
            </w:pPr>
          </w:p>
        </w:tc>
      </w:tr>
      <w:tr w14:paraId="0931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697" w:type="dxa"/>
            <w:tcBorders>
              <w:bottom w:val="single" w:color="auto" w:sz="4" w:space="0"/>
            </w:tcBorders>
            <w:vAlign w:val="center"/>
          </w:tcPr>
          <w:p w14:paraId="1E680776">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.3.2</w:t>
            </w:r>
          </w:p>
        </w:tc>
        <w:tc>
          <w:tcPr>
            <w:tcW w:w="1416" w:type="dxa"/>
            <w:gridSpan w:val="2"/>
            <w:tcBorders>
              <w:top w:val="single" w:color="auto" w:sz="4" w:space="0"/>
            </w:tcBorders>
            <w:vAlign w:val="center"/>
          </w:tcPr>
          <w:p w14:paraId="17F2F849">
            <w:pPr>
              <w:jc w:val="both"/>
              <w:rPr>
                <w:rFonts w:ascii="宋体" w:hAnsi="宋体" w:cs="宋体"/>
                <w:sz w:val="16"/>
                <w:szCs w:val="16"/>
              </w:rPr>
            </w:pPr>
            <w:r>
              <w:rPr>
                <w:rFonts w:hint="eastAsia" w:ascii="宋体" w:hAnsi="宋体"/>
                <w:sz w:val="16"/>
                <w:szCs w:val="16"/>
              </w:rPr>
              <w:t>视觉控制</w:t>
            </w:r>
          </w:p>
          <w:p w14:paraId="5F2BC7C2">
            <w:pPr>
              <w:jc w:val="both"/>
              <w:rPr>
                <w:rFonts w:ascii="宋体" w:hAnsi="宋体" w:cs="宋体"/>
                <w:sz w:val="16"/>
                <w:szCs w:val="16"/>
              </w:rPr>
            </w:pPr>
            <w:r>
              <w:rPr>
                <w:rFonts w:hint="eastAsia" w:ascii="宋体" w:hAnsi="宋体"/>
                <w:sz w:val="16"/>
                <w:szCs w:val="16"/>
              </w:rPr>
              <w:t>器</w:t>
            </w:r>
          </w:p>
        </w:tc>
        <w:tc>
          <w:tcPr>
            <w:tcW w:w="5253" w:type="dxa"/>
            <w:vAlign w:val="center"/>
          </w:tcPr>
          <w:p w14:paraId="0372983B">
            <w:pPr>
              <w:jc w:val="both"/>
              <w:rPr>
                <w:rFonts w:ascii="宋体" w:hAnsi="宋体"/>
                <w:sz w:val="16"/>
                <w:szCs w:val="16"/>
              </w:rPr>
            </w:pPr>
            <w:r>
              <w:rPr>
                <w:rFonts w:hint="eastAsia" w:ascii="宋体" w:hAnsi="宋体"/>
                <w:sz w:val="16"/>
                <w:szCs w:val="16"/>
              </w:rPr>
              <w:t>1.</w:t>
            </w:r>
            <w:r>
              <w:rPr>
                <w:rFonts w:ascii="宋体" w:hAnsi="宋体"/>
                <w:sz w:val="16"/>
                <w:szCs w:val="16"/>
              </w:rPr>
              <w:t>I7 9700/</w:t>
            </w:r>
            <w:r>
              <w:rPr>
                <w:rFonts w:hint="eastAsia" w:ascii="宋体" w:hAnsi="宋体"/>
                <w:sz w:val="16"/>
                <w:szCs w:val="16"/>
              </w:rPr>
              <w:t>内存</w:t>
            </w:r>
            <w:r>
              <w:rPr>
                <w:rFonts w:ascii="宋体" w:hAnsi="宋体"/>
                <w:sz w:val="16"/>
                <w:szCs w:val="16"/>
              </w:rPr>
              <w:t>16G/128gssd+1T</w:t>
            </w:r>
            <w:r>
              <w:rPr>
                <w:rFonts w:hint="eastAsia" w:ascii="宋体" w:hAnsi="宋体"/>
                <w:sz w:val="16"/>
                <w:szCs w:val="16"/>
              </w:rPr>
              <w:t>机械</w:t>
            </w:r>
            <w:r>
              <w:rPr>
                <w:rFonts w:ascii="宋体" w:hAnsi="宋体"/>
                <w:sz w:val="16"/>
                <w:szCs w:val="16"/>
              </w:rPr>
              <w:t>/1PCIEX16 *1/600W/GPU RTX4060/Win10</w:t>
            </w:r>
            <w:r>
              <w:rPr>
                <w:rFonts w:hint="eastAsia" w:ascii="宋体" w:hAnsi="宋体"/>
                <w:sz w:val="16"/>
                <w:szCs w:val="16"/>
              </w:rPr>
              <w:t>操作系统；</w:t>
            </w:r>
          </w:p>
          <w:p w14:paraId="0625784A">
            <w:pPr>
              <w:jc w:val="both"/>
              <w:rPr>
                <w:rFonts w:ascii="宋体" w:hAnsi="宋体"/>
                <w:sz w:val="16"/>
                <w:szCs w:val="16"/>
              </w:rPr>
            </w:pPr>
            <w:r>
              <w:rPr>
                <w:rFonts w:ascii="宋体" w:hAnsi="宋体"/>
                <w:sz w:val="16"/>
                <w:szCs w:val="16"/>
              </w:rPr>
              <w:t>2.</w:t>
            </w:r>
            <w:r>
              <w:rPr>
                <w:rFonts w:hint="eastAsia" w:ascii="宋体" w:hAnsi="宋体"/>
                <w:sz w:val="16"/>
                <w:szCs w:val="16"/>
              </w:rPr>
              <w:t>智能</w:t>
            </w:r>
            <w:r>
              <w:rPr>
                <w:rFonts w:ascii="宋体" w:hAnsi="宋体"/>
                <w:sz w:val="16"/>
                <w:szCs w:val="16"/>
              </w:rPr>
              <w:t>IO</w:t>
            </w:r>
            <w:r>
              <w:rPr>
                <w:rFonts w:hint="eastAsia" w:ascii="宋体" w:hAnsi="宋体"/>
                <w:sz w:val="16"/>
                <w:szCs w:val="16"/>
              </w:rPr>
              <w:t>控制板：高速</w:t>
            </w:r>
            <w:r>
              <w:rPr>
                <w:rFonts w:ascii="宋体" w:hAnsi="宋体"/>
                <w:sz w:val="16"/>
                <w:szCs w:val="16"/>
              </w:rPr>
              <w:t>1</w:t>
            </w:r>
            <w:r>
              <w:rPr>
                <w:rFonts w:hint="eastAsia" w:ascii="宋体" w:hAnsi="宋体"/>
                <w:sz w:val="16"/>
                <w:szCs w:val="16"/>
              </w:rPr>
              <w:t>μ</w:t>
            </w:r>
            <w:r>
              <w:rPr>
                <w:rFonts w:ascii="宋体" w:hAnsi="宋体"/>
                <w:sz w:val="16"/>
                <w:szCs w:val="16"/>
              </w:rPr>
              <w:t>s</w:t>
            </w:r>
            <w:r>
              <w:rPr>
                <w:rFonts w:hint="eastAsia" w:ascii="宋体" w:hAnsi="宋体"/>
                <w:sz w:val="16"/>
                <w:szCs w:val="16"/>
              </w:rPr>
              <w:t>信号控制能力、输入信号端≥</w:t>
            </w:r>
            <w:r>
              <w:rPr>
                <w:rFonts w:ascii="宋体" w:hAnsi="宋体"/>
                <w:sz w:val="16"/>
                <w:szCs w:val="16"/>
              </w:rPr>
              <w:t>8</w:t>
            </w:r>
            <w:r>
              <w:rPr>
                <w:rFonts w:hint="eastAsia" w:ascii="宋体" w:hAnsi="宋体"/>
                <w:sz w:val="16"/>
                <w:szCs w:val="16"/>
              </w:rPr>
              <w:t>、输出信号端≥</w:t>
            </w:r>
            <w:r>
              <w:rPr>
                <w:rFonts w:ascii="宋体" w:hAnsi="宋体"/>
                <w:sz w:val="16"/>
                <w:szCs w:val="16"/>
              </w:rPr>
              <w:t>8</w:t>
            </w:r>
            <w:r>
              <w:rPr>
                <w:rFonts w:hint="eastAsia" w:ascii="宋体" w:hAnsi="宋体"/>
                <w:sz w:val="16"/>
                <w:szCs w:val="16"/>
              </w:rPr>
              <w:t>。</w:t>
            </w:r>
          </w:p>
          <w:p w14:paraId="2D9B4301">
            <w:pPr>
              <w:jc w:val="both"/>
              <w:rPr>
                <w:rFonts w:ascii="宋体" w:hAnsi="宋体" w:cs="宋体"/>
                <w:sz w:val="16"/>
                <w:szCs w:val="16"/>
              </w:rPr>
            </w:pPr>
            <w:r>
              <w:rPr>
                <w:rFonts w:hint="eastAsia" w:ascii="宋体" w:hAnsi="宋体"/>
                <w:sz w:val="16"/>
                <w:szCs w:val="16"/>
              </w:rPr>
              <w:br w:type="textWrapping"/>
            </w:r>
            <w:r>
              <w:rPr>
                <w:rFonts w:hint="eastAsia" w:ascii="宋体" w:hAnsi="宋体"/>
                <w:sz w:val="16"/>
                <w:szCs w:val="16"/>
              </w:rPr>
              <w:t>3.光源控制器。</w:t>
            </w:r>
          </w:p>
        </w:tc>
        <w:tc>
          <w:tcPr>
            <w:tcW w:w="367" w:type="dxa"/>
            <w:vAlign w:val="center"/>
          </w:tcPr>
          <w:p w14:paraId="03F14C65">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5B0C6C65">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5BEC0964">
            <w:pPr>
              <w:snapToGrid w:val="0"/>
              <w:jc w:val="both"/>
              <w:rPr>
                <w:rFonts w:ascii="宋体" w:hAnsi="宋体" w:cstheme="minorEastAsia"/>
                <w:bCs/>
                <w:sz w:val="16"/>
                <w:szCs w:val="16"/>
              </w:rPr>
            </w:pPr>
          </w:p>
        </w:tc>
      </w:tr>
      <w:tr w14:paraId="7F34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7" w:type="dxa"/>
            <w:tcBorders>
              <w:bottom w:val="nil"/>
            </w:tcBorders>
            <w:vAlign w:val="center"/>
          </w:tcPr>
          <w:p w14:paraId="3BEC124B">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.3.3</w:t>
            </w:r>
          </w:p>
        </w:tc>
        <w:tc>
          <w:tcPr>
            <w:tcW w:w="1416" w:type="dxa"/>
            <w:gridSpan w:val="2"/>
            <w:tcBorders>
              <w:top w:val="single" w:color="auto" w:sz="4" w:space="0"/>
            </w:tcBorders>
            <w:vAlign w:val="center"/>
          </w:tcPr>
          <w:p w14:paraId="6A86A0A2">
            <w:pPr>
              <w:jc w:val="both"/>
              <w:rPr>
                <w:rFonts w:ascii="宋体" w:hAnsi="宋体" w:cs="宋体"/>
                <w:sz w:val="16"/>
                <w:szCs w:val="16"/>
              </w:rPr>
            </w:pPr>
            <w:r>
              <w:rPr>
                <w:rFonts w:hint="eastAsia" w:ascii="宋体" w:hAnsi="宋体"/>
                <w:sz w:val="16"/>
                <w:szCs w:val="16"/>
              </w:rPr>
              <w:t>显示一体机</w:t>
            </w:r>
          </w:p>
        </w:tc>
        <w:tc>
          <w:tcPr>
            <w:tcW w:w="5253" w:type="dxa"/>
            <w:vAlign w:val="center"/>
          </w:tcPr>
          <w:p w14:paraId="49CD5B71">
            <w:pPr>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367" w:type="dxa"/>
            <w:vAlign w:val="center"/>
          </w:tcPr>
          <w:p w14:paraId="3AD9ACEF">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4BCC2278">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4CA208B1">
            <w:pPr>
              <w:snapToGrid w:val="0"/>
              <w:jc w:val="both"/>
              <w:rPr>
                <w:rFonts w:ascii="宋体" w:hAnsi="宋体" w:cstheme="minorEastAsia"/>
                <w:bCs/>
                <w:sz w:val="16"/>
                <w:szCs w:val="16"/>
              </w:rPr>
            </w:pPr>
          </w:p>
        </w:tc>
      </w:tr>
      <w:tr w14:paraId="51DE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97" w:type="dxa"/>
            <w:vAlign w:val="center"/>
          </w:tcPr>
          <w:p w14:paraId="17867279">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.4</w:t>
            </w:r>
          </w:p>
        </w:tc>
        <w:tc>
          <w:tcPr>
            <w:tcW w:w="8364" w:type="dxa"/>
            <w:gridSpan w:val="6"/>
            <w:shd w:val="clear" w:color="auto" w:fill="auto"/>
          </w:tcPr>
          <w:p w14:paraId="1BE240DC">
            <w:pPr>
              <w:spacing w:after="0" w:line="240" w:lineRule="auto"/>
              <w:rPr>
                <w:rFonts w:ascii="宋体" w:hAnsi="宋体"/>
                <w:b/>
                <w:sz w:val="16"/>
                <w:szCs w:val="16"/>
              </w:rPr>
            </w:pPr>
            <w:r>
              <w:rPr>
                <w:rFonts w:hint="eastAsia" w:ascii="宋体" w:hAnsi="宋体"/>
                <w:b/>
                <w:sz w:val="16"/>
                <w:szCs w:val="16"/>
              </w:rPr>
              <w:t>烟丝填充值检测系统</w:t>
            </w:r>
          </w:p>
        </w:tc>
      </w:tr>
      <w:tr w14:paraId="7BA3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97" w:type="dxa"/>
            <w:vAlign w:val="center"/>
          </w:tcPr>
          <w:p w14:paraId="6A1CFEFF">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.4.1</w:t>
            </w:r>
          </w:p>
        </w:tc>
        <w:tc>
          <w:tcPr>
            <w:tcW w:w="1416" w:type="dxa"/>
            <w:gridSpan w:val="2"/>
            <w:vAlign w:val="center"/>
          </w:tcPr>
          <w:p w14:paraId="756F598B">
            <w:pPr>
              <w:jc w:val="both"/>
              <w:rPr>
                <w:rFonts w:ascii="宋体" w:hAnsi="宋体"/>
                <w:sz w:val="16"/>
                <w:szCs w:val="16"/>
              </w:rPr>
            </w:pPr>
            <w:r>
              <w:rPr>
                <w:rFonts w:hint="eastAsia" w:ascii="宋体" w:hAnsi="宋体"/>
                <w:sz w:val="16"/>
                <w:szCs w:val="16"/>
              </w:rPr>
              <w:t>工业3D相机</w:t>
            </w:r>
          </w:p>
        </w:tc>
        <w:tc>
          <w:tcPr>
            <w:tcW w:w="5253" w:type="dxa"/>
            <w:vAlign w:val="center"/>
          </w:tcPr>
          <w:p w14:paraId="4BCB32B0">
            <w:pPr>
              <w:jc w:val="both"/>
              <w:rPr>
                <w:rFonts w:ascii="宋体" w:hAnsi="宋体"/>
                <w:sz w:val="16"/>
                <w:szCs w:val="16"/>
              </w:rPr>
            </w:pPr>
            <w:r>
              <w:rPr>
                <w:rFonts w:hint="eastAsia" w:ascii="宋体" w:hAnsi="宋体"/>
                <w:sz w:val="16"/>
                <w:szCs w:val="16"/>
              </w:rPr>
              <w:t>工业3D相机1组，X轴视野范围&gt;700mm,Z轴视野范围&gt;300mm，X轴分辨率小于0.3mm，Z轴分辨率小于0.2mm。</w:t>
            </w:r>
          </w:p>
        </w:tc>
        <w:tc>
          <w:tcPr>
            <w:tcW w:w="367" w:type="dxa"/>
            <w:vAlign w:val="center"/>
          </w:tcPr>
          <w:p w14:paraId="3589A351">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7C4B37DC">
            <w:pPr>
              <w:jc w:val="both"/>
              <w:textAlignment w:val="center"/>
              <w:rPr>
                <w:rFonts w:ascii="宋体" w:hAnsi="宋体"/>
                <w:sz w:val="16"/>
                <w:szCs w:val="16"/>
              </w:rPr>
            </w:pPr>
            <w:r>
              <w:rPr>
                <w:rFonts w:hint="eastAsia" w:ascii="宋体" w:hAnsi="宋体"/>
                <w:sz w:val="16"/>
                <w:szCs w:val="16"/>
              </w:rPr>
              <w:t>2</w:t>
            </w:r>
          </w:p>
        </w:tc>
        <w:tc>
          <w:tcPr>
            <w:tcW w:w="501" w:type="dxa"/>
            <w:shd w:val="clear" w:color="auto" w:fill="auto"/>
            <w:vAlign w:val="center"/>
          </w:tcPr>
          <w:p w14:paraId="00F96BA8">
            <w:pPr>
              <w:snapToGrid w:val="0"/>
              <w:jc w:val="both"/>
              <w:rPr>
                <w:rFonts w:ascii="宋体" w:hAnsi="宋体" w:cstheme="minorEastAsia"/>
                <w:bCs/>
                <w:sz w:val="16"/>
                <w:szCs w:val="16"/>
              </w:rPr>
            </w:pPr>
          </w:p>
        </w:tc>
      </w:tr>
      <w:tr w14:paraId="2620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697" w:type="dxa"/>
            <w:vAlign w:val="center"/>
          </w:tcPr>
          <w:p w14:paraId="53AED322">
            <w:pPr>
              <w:snapToGrid w:val="0"/>
              <w:jc w:val="both"/>
              <w:rPr>
                <w:rFonts w:ascii="宋体" w:hAnsi="宋体" w:cstheme="minorEastAsia"/>
                <w:bCs/>
                <w:sz w:val="16"/>
                <w:szCs w:val="16"/>
              </w:rPr>
            </w:pPr>
            <w:r>
              <w:rPr>
                <w:rFonts w:ascii="宋体" w:hAnsi="宋体" w:cstheme="minorEastAsia"/>
                <w:bCs/>
                <w:sz w:val="16"/>
                <w:szCs w:val="16"/>
              </w:rPr>
              <w:t>1.4.2</w:t>
            </w:r>
          </w:p>
        </w:tc>
        <w:tc>
          <w:tcPr>
            <w:tcW w:w="1416" w:type="dxa"/>
            <w:gridSpan w:val="2"/>
            <w:tcBorders>
              <w:top w:val="single" w:color="auto" w:sz="4" w:space="0"/>
            </w:tcBorders>
            <w:vAlign w:val="center"/>
          </w:tcPr>
          <w:p w14:paraId="74E6984A">
            <w:pPr>
              <w:snapToGrid w:val="0"/>
              <w:jc w:val="both"/>
              <w:rPr>
                <w:rFonts w:ascii="宋体" w:hAnsi="宋体" w:cs="宋体"/>
                <w:sz w:val="16"/>
                <w:szCs w:val="16"/>
              </w:rPr>
            </w:pPr>
            <w:r>
              <w:rPr>
                <w:rFonts w:hint="eastAsia" w:ascii="宋体" w:hAnsi="宋体"/>
                <w:sz w:val="16"/>
                <w:szCs w:val="16"/>
              </w:rPr>
              <w:t>视觉控制器</w:t>
            </w:r>
          </w:p>
        </w:tc>
        <w:tc>
          <w:tcPr>
            <w:tcW w:w="5253" w:type="dxa"/>
            <w:vAlign w:val="center"/>
          </w:tcPr>
          <w:p w14:paraId="47D7BF4C">
            <w:pPr>
              <w:snapToGrid w:val="0"/>
              <w:jc w:val="both"/>
              <w:rPr>
                <w:rFonts w:ascii="宋体" w:hAnsi="宋体"/>
                <w:sz w:val="16"/>
                <w:szCs w:val="16"/>
              </w:rPr>
            </w:pPr>
            <w:r>
              <w:rPr>
                <w:rFonts w:hint="eastAsia" w:ascii="宋体" w:hAnsi="宋体"/>
                <w:sz w:val="16"/>
                <w:szCs w:val="16"/>
              </w:rPr>
              <w:t>1.I5 8500/内存4G/128Gssd/双千兆网口/Win10操作系统</w:t>
            </w:r>
          </w:p>
          <w:p w14:paraId="4D6D4006">
            <w:pPr>
              <w:snapToGrid w:val="0"/>
              <w:jc w:val="both"/>
              <w:rPr>
                <w:rFonts w:ascii="宋体" w:hAnsi="宋体" w:cs="宋体"/>
                <w:sz w:val="16"/>
                <w:szCs w:val="16"/>
              </w:rPr>
            </w:pPr>
            <w:r>
              <w:rPr>
                <w:rFonts w:ascii="宋体" w:hAnsi="宋体"/>
                <w:sz w:val="16"/>
                <w:szCs w:val="16"/>
              </w:rPr>
              <w:t>2.</w:t>
            </w:r>
            <w:r>
              <w:rPr>
                <w:rFonts w:hint="eastAsia" w:ascii="宋体" w:hAnsi="宋体"/>
                <w:sz w:val="16"/>
                <w:szCs w:val="16"/>
              </w:rPr>
              <w:t>智能</w:t>
            </w:r>
            <w:r>
              <w:rPr>
                <w:rFonts w:ascii="宋体" w:hAnsi="宋体"/>
                <w:sz w:val="16"/>
                <w:szCs w:val="16"/>
              </w:rPr>
              <w:t>IO</w:t>
            </w:r>
            <w:r>
              <w:rPr>
                <w:rFonts w:hint="eastAsia" w:ascii="宋体" w:hAnsi="宋体"/>
                <w:sz w:val="16"/>
                <w:szCs w:val="16"/>
              </w:rPr>
              <w:t>控制板：高速</w:t>
            </w:r>
            <w:r>
              <w:rPr>
                <w:rFonts w:ascii="宋体" w:hAnsi="宋体"/>
                <w:sz w:val="16"/>
                <w:szCs w:val="16"/>
              </w:rPr>
              <w:t>1</w:t>
            </w:r>
            <w:r>
              <w:rPr>
                <w:rFonts w:hint="eastAsia" w:ascii="宋体" w:hAnsi="宋体"/>
                <w:sz w:val="16"/>
                <w:szCs w:val="16"/>
              </w:rPr>
              <w:t>μ</w:t>
            </w:r>
            <w:r>
              <w:rPr>
                <w:rFonts w:ascii="宋体" w:hAnsi="宋体"/>
                <w:sz w:val="16"/>
                <w:szCs w:val="16"/>
              </w:rPr>
              <w:t>s</w:t>
            </w:r>
            <w:r>
              <w:rPr>
                <w:rFonts w:hint="eastAsia" w:ascii="宋体" w:hAnsi="宋体"/>
                <w:sz w:val="16"/>
                <w:szCs w:val="16"/>
              </w:rPr>
              <w:t>信号控制能力、输入信号端≥</w:t>
            </w:r>
            <w:r>
              <w:rPr>
                <w:rFonts w:ascii="宋体" w:hAnsi="宋体"/>
                <w:sz w:val="16"/>
                <w:szCs w:val="16"/>
              </w:rPr>
              <w:t>8</w:t>
            </w:r>
            <w:r>
              <w:rPr>
                <w:rFonts w:hint="eastAsia" w:ascii="宋体" w:hAnsi="宋体"/>
                <w:sz w:val="16"/>
                <w:szCs w:val="16"/>
              </w:rPr>
              <w:t>、输出信号端≥</w:t>
            </w:r>
            <w:r>
              <w:rPr>
                <w:rFonts w:ascii="宋体" w:hAnsi="宋体"/>
                <w:sz w:val="16"/>
                <w:szCs w:val="16"/>
              </w:rPr>
              <w:t>8</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br w:type="textWrapping"/>
            </w:r>
            <w:r>
              <w:rPr>
                <w:rFonts w:hint="eastAsia" w:ascii="宋体" w:hAnsi="宋体"/>
                <w:sz w:val="16"/>
                <w:szCs w:val="16"/>
              </w:rPr>
              <w:t>3.光源控制器。</w:t>
            </w:r>
            <w:r>
              <w:rPr>
                <w:rFonts w:hint="eastAsia" w:ascii="宋体" w:hAnsi="宋体"/>
                <w:sz w:val="16"/>
                <w:szCs w:val="16"/>
              </w:rPr>
              <w:br w:type="textWrapping"/>
            </w:r>
            <w:r>
              <w:rPr>
                <w:rFonts w:hint="eastAsia" w:ascii="宋体" w:hAnsi="宋体"/>
                <w:sz w:val="16"/>
                <w:szCs w:val="16"/>
              </w:rPr>
              <w:t>4.电源、声光报警器2套、机械定制件2套（视相机主支架、相机调节支架、工位防护外壳、相机防尘外壳、电控柜等非标设计、加工制造等）、相机网线、连接线、线槽、波纹管、缠绕管等辅材。</w:t>
            </w:r>
          </w:p>
        </w:tc>
        <w:tc>
          <w:tcPr>
            <w:tcW w:w="367" w:type="dxa"/>
            <w:vAlign w:val="center"/>
          </w:tcPr>
          <w:p w14:paraId="217900A4">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3A1A4EB2">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7F34C2C3">
            <w:pPr>
              <w:snapToGrid w:val="0"/>
              <w:jc w:val="both"/>
              <w:rPr>
                <w:rFonts w:ascii="宋体" w:hAnsi="宋体" w:cstheme="minorEastAsia"/>
                <w:bCs/>
                <w:sz w:val="16"/>
                <w:szCs w:val="16"/>
              </w:rPr>
            </w:pPr>
          </w:p>
        </w:tc>
      </w:tr>
      <w:tr w14:paraId="348D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7" w:type="dxa"/>
            <w:vAlign w:val="center"/>
          </w:tcPr>
          <w:p w14:paraId="4EA9E85E">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.4.3</w:t>
            </w:r>
          </w:p>
        </w:tc>
        <w:tc>
          <w:tcPr>
            <w:tcW w:w="1416" w:type="dxa"/>
            <w:gridSpan w:val="2"/>
            <w:tcBorders>
              <w:top w:val="single" w:color="auto" w:sz="4" w:space="0"/>
            </w:tcBorders>
            <w:vAlign w:val="center"/>
          </w:tcPr>
          <w:p w14:paraId="674439B5">
            <w:pPr>
              <w:snapToGrid w:val="0"/>
              <w:jc w:val="both"/>
              <w:rPr>
                <w:rFonts w:ascii="宋体" w:hAnsi="宋体" w:cs="宋体"/>
                <w:sz w:val="16"/>
                <w:szCs w:val="16"/>
              </w:rPr>
            </w:pPr>
            <w:r>
              <w:rPr>
                <w:rFonts w:hint="eastAsia" w:ascii="宋体" w:hAnsi="宋体"/>
                <w:sz w:val="16"/>
                <w:szCs w:val="16"/>
              </w:rPr>
              <w:t>显示一体机</w:t>
            </w:r>
          </w:p>
        </w:tc>
        <w:tc>
          <w:tcPr>
            <w:tcW w:w="5253" w:type="dxa"/>
            <w:vAlign w:val="center"/>
          </w:tcPr>
          <w:p w14:paraId="3F66D39C">
            <w:pPr>
              <w:snapToGrid w:val="0"/>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367" w:type="dxa"/>
            <w:vAlign w:val="center"/>
          </w:tcPr>
          <w:p w14:paraId="5CC79939">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704E133E">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16AE3753">
            <w:pPr>
              <w:snapToGrid w:val="0"/>
              <w:jc w:val="both"/>
              <w:rPr>
                <w:rFonts w:ascii="宋体" w:hAnsi="宋体" w:cstheme="minorEastAsia"/>
                <w:bCs/>
                <w:sz w:val="16"/>
                <w:szCs w:val="16"/>
              </w:rPr>
            </w:pPr>
          </w:p>
        </w:tc>
      </w:tr>
      <w:tr w14:paraId="1B38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97" w:type="dxa"/>
            <w:vAlign w:val="center"/>
          </w:tcPr>
          <w:p w14:paraId="6FFBE2D3">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.5</w:t>
            </w:r>
          </w:p>
        </w:tc>
        <w:tc>
          <w:tcPr>
            <w:tcW w:w="8364" w:type="dxa"/>
            <w:gridSpan w:val="6"/>
            <w:shd w:val="clear" w:color="auto" w:fill="auto"/>
          </w:tcPr>
          <w:p w14:paraId="2D39BDF4">
            <w:pPr>
              <w:spacing w:after="0" w:line="240" w:lineRule="auto"/>
              <w:rPr>
                <w:rFonts w:ascii="宋体" w:hAnsi="宋体"/>
                <w:b/>
                <w:sz w:val="16"/>
                <w:szCs w:val="16"/>
              </w:rPr>
            </w:pPr>
            <w:r>
              <w:rPr>
                <w:rFonts w:hint="eastAsia" w:ascii="宋体" w:hAnsi="宋体"/>
                <w:b/>
                <w:sz w:val="16"/>
                <w:szCs w:val="16"/>
              </w:rPr>
              <w:t>烘丝机前贮柜烟丝流量在线监测系统</w:t>
            </w:r>
          </w:p>
        </w:tc>
      </w:tr>
      <w:tr w14:paraId="61A8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97" w:type="dxa"/>
            <w:vAlign w:val="center"/>
          </w:tcPr>
          <w:p w14:paraId="3003B22E">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.5.1</w:t>
            </w:r>
          </w:p>
        </w:tc>
        <w:tc>
          <w:tcPr>
            <w:tcW w:w="1416" w:type="dxa"/>
            <w:gridSpan w:val="2"/>
            <w:tcBorders>
              <w:top w:val="single" w:color="auto" w:sz="4" w:space="0"/>
            </w:tcBorders>
            <w:vAlign w:val="center"/>
          </w:tcPr>
          <w:p w14:paraId="18D75D2A">
            <w:pPr>
              <w:snapToGrid w:val="0"/>
              <w:jc w:val="both"/>
              <w:rPr>
                <w:rFonts w:ascii="宋体" w:hAnsi="宋体" w:cs="宋体"/>
                <w:sz w:val="16"/>
                <w:szCs w:val="16"/>
              </w:rPr>
            </w:pPr>
            <w:r>
              <w:rPr>
                <w:rFonts w:hint="eastAsia" w:ascii="宋体" w:hAnsi="宋体"/>
                <w:sz w:val="16"/>
                <w:szCs w:val="16"/>
              </w:rPr>
              <w:t>工业3D相机</w:t>
            </w:r>
          </w:p>
        </w:tc>
        <w:tc>
          <w:tcPr>
            <w:tcW w:w="5253" w:type="dxa"/>
            <w:vAlign w:val="center"/>
          </w:tcPr>
          <w:p w14:paraId="191DCE8E">
            <w:pPr>
              <w:snapToGrid w:val="0"/>
              <w:jc w:val="both"/>
              <w:rPr>
                <w:rFonts w:ascii="宋体" w:hAnsi="宋体" w:cs="宋体"/>
                <w:sz w:val="16"/>
                <w:szCs w:val="16"/>
              </w:rPr>
            </w:pPr>
            <w:r>
              <w:rPr>
                <w:rFonts w:hint="eastAsia" w:ascii="宋体" w:hAnsi="宋体"/>
                <w:sz w:val="16"/>
                <w:szCs w:val="16"/>
              </w:rPr>
              <w:t>工业3D相机1组，X轴视野范围&gt;1600mm，Z轴视野范围&gt;800mm，X、Y轴分辨率&lt;10mm，Z轴分辨率&lt;3mm。</w:t>
            </w:r>
          </w:p>
        </w:tc>
        <w:tc>
          <w:tcPr>
            <w:tcW w:w="367" w:type="dxa"/>
            <w:vAlign w:val="center"/>
          </w:tcPr>
          <w:p w14:paraId="6DAD91D5">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36C09669">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6C750E0B">
            <w:pPr>
              <w:snapToGrid w:val="0"/>
              <w:jc w:val="both"/>
              <w:rPr>
                <w:rFonts w:ascii="宋体" w:hAnsi="宋体" w:cstheme="minorEastAsia"/>
                <w:bCs/>
                <w:sz w:val="16"/>
                <w:szCs w:val="16"/>
              </w:rPr>
            </w:pPr>
          </w:p>
        </w:tc>
      </w:tr>
      <w:tr w14:paraId="46D0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697" w:type="dxa"/>
            <w:vAlign w:val="center"/>
          </w:tcPr>
          <w:p w14:paraId="2176C035">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.5.2</w:t>
            </w:r>
          </w:p>
        </w:tc>
        <w:tc>
          <w:tcPr>
            <w:tcW w:w="1416" w:type="dxa"/>
            <w:gridSpan w:val="2"/>
            <w:tcBorders>
              <w:top w:val="single" w:color="auto" w:sz="4" w:space="0"/>
            </w:tcBorders>
            <w:vAlign w:val="center"/>
          </w:tcPr>
          <w:p w14:paraId="63B87609">
            <w:pPr>
              <w:snapToGrid w:val="0"/>
              <w:jc w:val="both"/>
              <w:rPr>
                <w:rFonts w:ascii="宋体" w:hAnsi="宋体" w:cs="宋体"/>
                <w:sz w:val="16"/>
                <w:szCs w:val="16"/>
              </w:rPr>
            </w:pPr>
            <w:r>
              <w:rPr>
                <w:rFonts w:hint="eastAsia" w:ascii="宋体" w:hAnsi="宋体"/>
                <w:sz w:val="16"/>
                <w:szCs w:val="16"/>
              </w:rPr>
              <w:t>工业面阵相机</w:t>
            </w:r>
          </w:p>
        </w:tc>
        <w:tc>
          <w:tcPr>
            <w:tcW w:w="5253" w:type="dxa"/>
            <w:vAlign w:val="center"/>
          </w:tcPr>
          <w:p w14:paraId="36952DBB">
            <w:pPr>
              <w:snapToGrid w:val="0"/>
              <w:jc w:val="both"/>
              <w:rPr>
                <w:rFonts w:ascii="宋体" w:hAnsi="宋体" w:cs="宋体"/>
                <w:sz w:val="16"/>
                <w:szCs w:val="16"/>
              </w:rPr>
            </w:pPr>
            <w:r>
              <w:rPr>
                <w:rFonts w:hint="eastAsia" w:ascii="宋体" w:hAnsi="宋体"/>
                <w:sz w:val="16"/>
                <w:szCs w:val="16"/>
              </w:rPr>
              <w:t>1、工业面阵相机：160万像素全局快门彩色相机，千兆以太网接口。</w:t>
            </w:r>
            <w:r>
              <w:rPr>
                <w:rFonts w:hint="eastAsia" w:ascii="宋体" w:hAnsi="宋体"/>
                <w:sz w:val="16"/>
                <w:szCs w:val="16"/>
              </w:rPr>
              <w:br w:type="textWrapping"/>
            </w:r>
            <w:r>
              <w:rPr>
                <w:rFonts w:hint="eastAsia" w:ascii="宋体" w:hAnsi="宋体"/>
                <w:sz w:val="16"/>
                <w:szCs w:val="16"/>
              </w:rPr>
              <w:t>2、工业镜头：8mm焦距，600万辨率，C口。</w:t>
            </w:r>
            <w:r>
              <w:rPr>
                <w:rFonts w:hint="eastAsia" w:ascii="宋体" w:hAnsi="宋体"/>
                <w:sz w:val="16"/>
                <w:szCs w:val="16"/>
              </w:rPr>
              <w:br w:type="textWrapping"/>
            </w:r>
            <w:r>
              <w:rPr>
                <w:rFonts w:hint="eastAsia" w:ascii="宋体" w:hAnsi="宋体"/>
                <w:sz w:val="16"/>
                <w:szCs w:val="16"/>
              </w:rPr>
              <w:t>3、红外光源：定制红外条光源，长500mm，带安装滑槽，可任意调节角度进口红外灯珠，850nm波长，光线穿透力强。</w:t>
            </w:r>
          </w:p>
        </w:tc>
        <w:tc>
          <w:tcPr>
            <w:tcW w:w="367" w:type="dxa"/>
            <w:vAlign w:val="center"/>
          </w:tcPr>
          <w:p w14:paraId="5F6AE983">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238D3230">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26452CB3">
            <w:pPr>
              <w:snapToGrid w:val="0"/>
              <w:jc w:val="both"/>
              <w:rPr>
                <w:rFonts w:ascii="宋体" w:hAnsi="宋体" w:cstheme="minorEastAsia"/>
                <w:bCs/>
                <w:sz w:val="16"/>
                <w:szCs w:val="16"/>
              </w:rPr>
            </w:pPr>
          </w:p>
        </w:tc>
      </w:tr>
      <w:tr w14:paraId="3373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48E91800">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.5.3</w:t>
            </w:r>
          </w:p>
        </w:tc>
        <w:tc>
          <w:tcPr>
            <w:tcW w:w="1416" w:type="dxa"/>
            <w:gridSpan w:val="2"/>
            <w:tcBorders>
              <w:top w:val="single" w:color="auto" w:sz="4" w:space="0"/>
            </w:tcBorders>
            <w:vAlign w:val="center"/>
          </w:tcPr>
          <w:p w14:paraId="314A8DF2">
            <w:pPr>
              <w:snapToGrid w:val="0"/>
              <w:jc w:val="both"/>
              <w:rPr>
                <w:rFonts w:ascii="宋体" w:hAnsi="宋体" w:cs="宋体"/>
                <w:sz w:val="16"/>
                <w:szCs w:val="16"/>
              </w:rPr>
            </w:pPr>
            <w:r>
              <w:rPr>
                <w:rFonts w:hint="eastAsia" w:ascii="宋体" w:hAnsi="宋体"/>
                <w:sz w:val="16"/>
                <w:szCs w:val="16"/>
              </w:rPr>
              <w:t>视觉控制器</w:t>
            </w:r>
          </w:p>
        </w:tc>
        <w:tc>
          <w:tcPr>
            <w:tcW w:w="5253" w:type="dxa"/>
            <w:vAlign w:val="center"/>
          </w:tcPr>
          <w:p w14:paraId="614B6140">
            <w:pPr>
              <w:pStyle w:val="335"/>
              <w:snapToGrid w:val="0"/>
              <w:rPr>
                <w:rFonts w:hAnsi="宋体"/>
                <w:sz w:val="16"/>
                <w:szCs w:val="16"/>
              </w:rPr>
            </w:pPr>
            <w:r>
              <w:rPr>
                <w:rFonts w:hAnsi="宋体"/>
                <w:sz w:val="16"/>
                <w:szCs w:val="16"/>
              </w:rPr>
              <w:t>1.</w:t>
            </w:r>
            <w:r>
              <w:rPr>
                <w:rFonts w:hint="eastAsia" w:hAnsi="宋体"/>
                <w:sz w:val="16"/>
                <w:szCs w:val="16"/>
              </w:rPr>
              <w:t>I5 8500/内存4G/128Gssd/双千兆网口/Win10操作系统</w:t>
            </w:r>
          </w:p>
          <w:p w14:paraId="14343D81">
            <w:pPr>
              <w:pStyle w:val="335"/>
              <w:snapToGrid w:val="0"/>
              <w:rPr>
                <w:rFonts w:hAnsi="宋体"/>
                <w:sz w:val="16"/>
                <w:szCs w:val="16"/>
              </w:rPr>
            </w:pPr>
            <w:r>
              <w:rPr>
                <w:rFonts w:hAnsi="宋体"/>
                <w:sz w:val="16"/>
                <w:szCs w:val="16"/>
              </w:rPr>
              <w:t xml:space="preserve"> 2.</w:t>
            </w:r>
            <w:r>
              <w:rPr>
                <w:rFonts w:hint="eastAsia" w:hAnsi="宋体"/>
                <w:sz w:val="16"/>
                <w:szCs w:val="16"/>
              </w:rPr>
              <w:t>智能</w:t>
            </w:r>
            <w:r>
              <w:rPr>
                <w:rFonts w:hAnsi="宋体"/>
                <w:sz w:val="16"/>
                <w:szCs w:val="16"/>
              </w:rPr>
              <w:t>IO</w:t>
            </w:r>
            <w:r>
              <w:rPr>
                <w:rFonts w:hint="eastAsia" w:hAnsi="宋体"/>
                <w:sz w:val="16"/>
                <w:szCs w:val="16"/>
              </w:rPr>
              <w:t>控制板：高速</w:t>
            </w:r>
            <w:r>
              <w:rPr>
                <w:rFonts w:hAnsi="宋体"/>
                <w:sz w:val="16"/>
                <w:szCs w:val="16"/>
              </w:rPr>
              <w:t>1</w:t>
            </w:r>
            <w:r>
              <w:rPr>
                <w:rFonts w:hint="eastAsia" w:hAnsi="宋体"/>
                <w:sz w:val="16"/>
                <w:szCs w:val="16"/>
              </w:rPr>
              <w:t>μ</w:t>
            </w:r>
            <w:r>
              <w:rPr>
                <w:rFonts w:hAnsi="宋体"/>
                <w:sz w:val="16"/>
                <w:szCs w:val="16"/>
              </w:rPr>
              <w:t>s</w:t>
            </w:r>
            <w:r>
              <w:rPr>
                <w:rFonts w:hint="eastAsia" w:hAnsi="宋体"/>
                <w:sz w:val="16"/>
                <w:szCs w:val="16"/>
              </w:rPr>
              <w:t>信号控制能力、输入信号端≥</w:t>
            </w:r>
            <w:r>
              <w:rPr>
                <w:rFonts w:hAnsi="宋体"/>
                <w:sz w:val="16"/>
                <w:szCs w:val="16"/>
              </w:rPr>
              <w:t>8</w:t>
            </w:r>
            <w:r>
              <w:rPr>
                <w:rFonts w:hint="eastAsia" w:hAnsi="宋体"/>
                <w:sz w:val="16"/>
                <w:szCs w:val="16"/>
              </w:rPr>
              <w:t>、输出信号端≥</w:t>
            </w:r>
            <w:r>
              <w:rPr>
                <w:rFonts w:hAnsi="宋体"/>
                <w:sz w:val="16"/>
                <w:szCs w:val="16"/>
              </w:rPr>
              <w:t>8</w:t>
            </w:r>
            <w:r>
              <w:rPr>
                <w:rFonts w:hint="eastAsia" w:hAnsi="宋体"/>
                <w:sz w:val="16"/>
                <w:szCs w:val="16"/>
              </w:rPr>
              <w:t>。</w:t>
            </w:r>
            <w:r>
              <w:rPr>
                <w:rFonts w:hAnsi="宋体"/>
                <w:sz w:val="16"/>
                <w:szCs w:val="16"/>
              </w:rPr>
              <w:br w:type="textWrapping"/>
            </w:r>
            <w:r>
              <w:rPr>
                <w:rFonts w:hint="eastAsia" w:hAnsi="宋体"/>
                <w:sz w:val="16"/>
                <w:szCs w:val="16"/>
              </w:rPr>
              <w:br w:type="textWrapping"/>
            </w:r>
            <w:r>
              <w:rPr>
                <w:rFonts w:hint="eastAsia" w:hAnsi="宋体"/>
                <w:sz w:val="16"/>
                <w:szCs w:val="16"/>
              </w:rPr>
              <w:t>3.光源控制器;</w:t>
            </w:r>
          </w:p>
        </w:tc>
        <w:tc>
          <w:tcPr>
            <w:tcW w:w="367" w:type="dxa"/>
            <w:vAlign w:val="center"/>
          </w:tcPr>
          <w:p w14:paraId="44DB45EA">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2B15EE36">
            <w:pPr>
              <w:jc w:val="both"/>
              <w:textAlignment w:val="center"/>
              <w:rPr>
                <w:rFonts w:ascii="宋体" w:hAnsi="宋体" w:cstheme="minorEastAsia"/>
                <w:bCs/>
                <w:sz w:val="16"/>
                <w:szCs w:val="16"/>
              </w:rPr>
            </w:pPr>
            <w:r>
              <w:rPr>
                <w:rFonts w:hint="eastAsia" w:ascii="宋体" w:hAnsi="宋体"/>
                <w:sz w:val="16"/>
                <w:szCs w:val="16"/>
              </w:rPr>
              <w:t>2</w:t>
            </w:r>
          </w:p>
        </w:tc>
        <w:tc>
          <w:tcPr>
            <w:tcW w:w="501" w:type="dxa"/>
            <w:shd w:val="clear" w:color="auto" w:fill="auto"/>
            <w:vAlign w:val="center"/>
          </w:tcPr>
          <w:p w14:paraId="2EE21CB4">
            <w:pPr>
              <w:snapToGrid w:val="0"/>
              <w:jc w:val="both"/>
              <w:rPr>
                <w:rFonts w:ascii="宋体" w:hAnsi="宋体" w:cstheme="minorEastAsia"/>
                <w:bCs/>
                <w:sz w:val="16"/>
                <w:szCs w:val="16"/>
              </w:rPr>
            </w:pPr>
          </w:p>
        </w:tc>
      </w:tr>
      <w:tr w14:paraId="1454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97" w:type="dxa"/>
            <w:vAlign w:val="center"/>
          </w:tcPr>
          <w:p w14:paraId="00955454">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.5.4</w:t>
            </w:r>
          </w:p>
        </w:tc>
        <w:tc>
          <w:tcPr>
            <w:tcW w:w="1416" w:type="dxa"/>
            <w:gridSpan w:val="2"/>
            <w:tcBorders>
              <w:top w:val="single" w:color="auto" w:sz="4" w:space="0"/>
              <w:bottom w:val="single" w:color="auto" w:sz="4" w:space="0"/>
            </w:tcBorders>
            <w:vAlign w:val="center"/>
          </w:tcPr>
          <w:p w14:paraId="7BD0DD33">
            <w:pPr>
              <w:snapToGrid w:val="0"/>
              <w:jc w:val="both"/>
              <w:rPr>
                <w:rFonts w:ascii="宋体" w:hAnsi="宋体" w:cs="宋体"/>
                <w:sz w:val="16"/>
                <w:szCs w:val="16"/>
              </w:rPr>
            </w:pPr>
            <w:r>
              <w:rPr>
                <w:rFonts w:hint="eastAsia" w:ascii="宋体" w:hAnsi="宋体"/>
                <w:sz w:val="16"/>
                <w:szCs w:val="16"/>
              </w:rPr>
              <w:t>显示一体机</w:t>
            </w:r>
          </w:p>
        </w:tc>
        <w:tc>
          <w:tcPr>
            <w:tcW w:w="5253" w:type="dxa"/>
            <w:tcBorders>
              <w:bottom w:val="single" w:color="auto" w:sz="4" w:space="0"/>
            </w:tcBorders>
            <w:vAlign w:val="center"/>
          </w:tcPr>
          <w:p w14:paraId="16C2E0B2">
            <w:pPr>
              <w:snapToGrid w:val="0"/>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367" w:type="dxa"/>
            <w:tcBorders>
              <w:bottom w:val="single" w:color="auto" w:sz="4" w:space="0"/>
            </w:tcBorders>
            <w:vAlign w:val="center"/>
          </w:tcPr>
          <w:p w14:paraId="3DE0CE97">
            <w:pPr>
              <w:jc w:val="both"/>
              <w:textAlignment w:val="center"/>
              <w:rPr>
                <w:rFonts w:ascii="宋体" w:hAnsi="宋体" w:cstheme="minorEastAsia"/>
                <w:bCs/>
                <w:sz w:val="16"/>
                <w:szCs w:val="16"/>
              </w:rPr>
            </w:pPr>
            <w:r>
              <w:rPr>
                <w:rFonts w:hint="eastAsia" w:ascii="宋体" w:hAnsi="宋体"/>
                <w:sz w:val="16"/>
                <w:szCs w:val="16"/>
              </w:rPr>
              <w:t>台</w:t>
            </w:r>
          </w:p>
        </w:tc>
        <w:tc>
          <w:tcPr>
            <w:tcW w:w="827" w:type="dxa"/>
            <w:tcBorders>
              <w:bottom w:val="single" w:color="auto" w:sz="4" w:space="0"/>
            </w:tcBorders>
            <w:vAlign w:val="center"/>
          </w:tcPr>
          <w:p w14:paraId="74624B99">
            <w:pPr>
              <w:jc w:val="both"/>
              <w:textAlignment w:val="center"/>
              <w:rPr>
                <w:rFonts w:ascii="宋体" w:hAnsi="宋体" w:cstheme="minorEastAsia"/>
                <w:bCs/>
                <w:sz w:val="16"/>
                <w:szCs w:val="16"/>
              </w:rPr>
            </w:pPr>
            <w:r>
              <w:rPr>
                <w:rFonts w:hint="eastAsia" w:ascii="宋体" w:hAnsi="宋体"/>
                <w:sz w:val="16"/>
                <w:szCs w:val="16"/>
              </w:rPr>
              <w:t>1</w:t>
            </w:r>
          </w:p>
        </w:tc>
        <w:tc>
          <w:tcPr>
            <w:tcW w:w="501" w:type="dxa"/>
            <w:tcBorders>
              <w:bottom w:val="single" w:color="auto" w:sz="4" w:space="0"/>
            </w:tcBorders>
            <w:shd w:val="clear" w:color="auto" w:fill="auto"/>
            <w:vAlign w:val="center"/>
          </w:tcPr>
          <w:p w14:paraId="6C264C93">
            <w:pPr>
              <w:snapToGrid w:val="0"/>
              <w:jc w:val="both"/>
              <w:rPr>
                <w:rFonts w:ascii="宋体" w:hAnsi="宋体" w:cstheme="minorEastAsia"/>
                <w:bCs/>
                <w:sz w:val="16"/>
                <w:szCs w:val="16"/>
              </w:rPr>
            </w:pPr>
          </w:p>
        </w:tc>
      </w:tr>
      <w:tr w14:paraId="5942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7" w:type="dxa"/>
            <w:vAlign w:val="center"/>
          </w:tcPr>
          <w:p w14:paraId="0B8DB218">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.6</w:t>
            </w:r>
          </w:p>
        </w:tc>
        <w:tc>
          <w:tcPr>
            <w:tcW w:w="8364" w:type="dxa"/>
            <w:gridSpan w:val="6"/>
            <w:shd w:val="clear" w:color="auto" w:fill="auto"/>
          </w:tcPr>
          <w:p w14:paraId="55F5FEF6">
            <w:pPr>
              <w:spacing w:after="0" w:line="240" w:lineRule="auto"/>
              <w:rPr>
                <w:rFonts w:ascii="宋体" w:hAnsi="宋体"/>
                <w:b/>
                <w:sz w:val="16"/>
                <w:szCs w:val="16"/>
              </w:rPr>
            </w:pPr>
            <w:r>
              <w:rPr>
                <w:rFonts w:hint="eastAsia" w:ascii="宋体" w:hAnsi="宋体"/>
                <w:b/>
                <w:sz w:val="16"/>
                <w:szCs w:val="16"/>
              </w:rPr>
              <w:t>原有烟丝杂物检测装置改造</w:t>
            </w:r>
          </w:p>
        </w:tc>
      </w:tr>
      <w:tr w14:paraId="23CF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0F4D8578">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.6.1</w:t>
            </w:r>
          </w:p>
        </w:tc>
        <w:tc>
          <w:tcPr>
            <w:tcW w:w="1416" w:type="dxa"/>
            <w:gridSpan w:val="2"/>
            <w:tcBorders>
              <w:top w:val="nil"/>
            </w:tcBorders>
            <w:vAlign w:val="center"/>
          </w:tcPr>
          <w:p w14:paraId="2C060551">
            <w:pPr>
              <w:snapToGrid w:val="0"/>
              <w:jc w:val="both"/>
              <w:rPr>
                <w:rFonts w:ascii="宋体" w:hAnsi="宋体" w:cs="宋体"/>
                <w:sz w:val="16"/>
                <w:szCs w:val="16"/>
              </w:rPr>
            </w:pPr>
            <w:r>
              <w:rPr>
                <w:rFonts w:hint="eastAsia" w:ascii="宋体" w:hAnsi="宋体"/>
                <w:sz w:val="16"/>
                <w:szCs w:val="16"/>
              </w:rPr>
              <w:t>视觉控制器</w:t>
            </w:r>
          </w:p>
        </w:tc>
        <w:tc>
          <w:tcPr>
            <w:tcW w:w="5253" w:type="dxa"/>
            <w:vAlign w:val="center"/>
          </w:tcPr>
          <w:p w14:paraId="7E06BB28">
            <w:pPr>
              <w:snapToGrid w:val="0"/>
              <w:jc w:val="both"/>
              <w:rPr>
                <w:rFonts w:ascii="宋体" w:hAnsi="宋体" w:cs="宋体"/>
                <w:sz w:val="16"/>
                <w:szCs w:val="16"/>
              </w:rPr>
            </w:pPr>
            <w:r>
              <w:rPr>
                <w:rFonts w:hint="eastAsia" w:ascii="宋体" w:hAnsi="宋体"/>
                <w:sz w:val="16"/>
                <w:szCs w:val="16"/>
              </w:rPr>
              <w:t>1.AI工控机I5 8500/内存8G/128Gssd/1PCIEX16 *1/350W/5网口/GPU GTX1650，win</w:t>
            </w:r>
            <w:r>
              <w:rPr>
                <w:rFonts w:ascii="宋体" w:hAnsi="宋体"/>
                <w:sz w:val="16"/>
                <w:szCs w:val="16"/>
              </w:rPr>
              <w:t>10</w:t>
            </w:r>
            <w:r>
              <w:rPr>
                <w:rFonts w:hint="eastAsia" w:ascii="宋体" w:hAnsi="宋体"/>
                <w:sz w:val="16"/>
                <w:szCs w:val="16"/>
              </w:rPr>
              <w:t>操作系统。</w:t>
            </w:r>
            <w:r>
              <w:rPr>
                <w:rFonts w:hint="eastAsia" w:ascii="宋体" w:hAnsi="宋体"/>
                <w:sz w:val="16"/>
                <w:szCs w:val="16"/>
              </w:rPr>
              <w:br w:type="textWrapping"/>
            </w:r>
            <w:r>
              <w:rPr>
                <w:rFonts w:hint="eastAsia" w:ascii="宋体" w:hAnsi="宋体"/>
                <w:sz w:val="16"/>
                <w:szCs w:val="16"/>
              </w:rPr>
              <w:t>2.光源控制器等。</w:t>
            </w:r>
          </w:p>
        </w:tc>
        <w:tc>
          <w:tcPr>
            <w:tcW w:w="367" w:type="dxa"/>
            <w:vAlign w:val="center"/>
          </w:tcPr>
          <w:p w14:paraId="5F6FF302">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64CA8504">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08F46B93">
            <w:pPr>
              <w:snapToGrid w:val="0"/>
              <w:jc w:val="both"/>
              <w:rPr>
                <w:rFonts w:ascii="宋体" w:hAnsi="宋体" w:cstheme="minorEastAsia"/>
                <w:bCs/>
                <w:sz w:val="16"/>
                <w:szCs w:val="16"/>
              </w:rPr>
            </w:pPr>
          </w:p>
        </w:tc>
      </w:tr>
      <w:tr w14:paraId="7B9A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97" w:type="dxa"/>
            <w:vAlign w:val="center"/>
          </w:tcPr>
          <w:p w14:paraId="36234B1C">
            <w:pPr>
              <w:snapToGrid w:val="0"/>
              <w:jc w:val="both"/>
              <w:rPr>
                <w:rFonts w:ascii="宋体" w:hAnsi="宋体" w:cstheme="minorEastAsia"/>
                <w:b/>
                <w:bCs/>
                <w:sz w:val="21"/>
                <w:szCs w:val="21"/>
              </w:rPr>
            </w:pPr>
            <w:r>
              <w:rPr>
                <w:rFonts w:hint="eastAsia" w:ascii="宋体" w:hAnsi="宋体" w:cstheme="minorEastAsia"/>
                <w:b/>
                <w:bCs/>
                <w:sz w:val="21"/>
                <w:szCs w:val="21"/>
              </w:rPr>
              <w:t>1</w:t>
            </w:r>
            <w:r>
              <w:rPr>
                <w:rFonts w:ascii="宋体" w:hAnsi="宋体" w:cstheme="minorEastAsia"/>
                <w:b/>
                <w:bCs/>
                <w:sz w:val="21"/>
                <w:szCs w:val="21"/>
              </w:rPr>
              <w:t>.7</w:t>
            </w:r>
          </w:p>
        </w:tc>
        <w:tc>
          <w:tcPr>
            <w:tcW w:w="8364" w:type="dxa"/>
            <w:gridSpan w:val="6"/>
            <w:shd w:val="clear" w:color="auto" w:fill="auto"/>
          </w:tcPr>
          <w:p w14:paraId="030540F9">
            <w:pPr>
              <w:spacing w:after="0" w:line="240" w:lineRule="auto"/>
              <w:rPr>
                <w:rFonts w:ascii="宋体" w:hAnsi="宋体"/>
                <w:b/>
                <w:sz w:val="16"/>
                <w:szCs w:val="16"/>
              </w:rPr>
            </w:pPr>
            <w:r>
              <w:rPr>
                <w:rFonts w:hint="eastAsia" w:ascii="宋体" w:hAnsi="宋体"/>
                <w:b/>
                <w:sz w:val="16"/>
                <w:szCs w:val="16"/>
              </w:rPr>
              <w:t>软件功能</w:t>
            </w:r>
          </w:p>
        </w:tc>
      </w:tr>
      <w:tr w14:paraId="5955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97" w:type="dxa"/>
            <w:vAlign w:val="center"/>
          </w:tcPr>
          <w:p w14:paraId="18BECD27">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.7.1</w:t>
            </w:r>
          </w:p>
        </w:tc>
        <w:tc>
          <w:tcPr>
            <w:tcW w:w="1416" w:type="dxa"/>
            <w:gridSpan w:val="2"/>
            <w:tcBorders>
              <w:top w:val="nil"/>
            </w:tcBorders>
            <w:vAlign w:val="center"/>
          </w:tcPr>
          <w:p w14:paraId="6AD11B1F">
            <w:pPr>
              <w:snapToGrid w:val="0"/>
              <w:jc w:val="both"/>
              <w:rPr>
                <w:rFonts w:ascii="宋体" w:hAnsi="宋体" w:cs="宋体"/>
                <w:sz w:val="16"/>
                <w:szCs w:val="16"/>
              </w:rPr>
            </w:pPr>
            <w:r>
              <w:rPr>
                <w:rFonts w:hint="eastAsia" w:ascii="宋体" w:hAnsi="宋体"/>
                <w:sz w:val="16"/>
                <w:szCs w:val="16"/>
              </w:rPr>
              <w:t>烟草异物防控信息集成模块软件开发</w:t>
            </w:r>
          </w:p>
        </w:tc>
        <w:tc>
          <w:tcPr>
            <w:tcW w:w="5253" w:type="dxa"/>
            <w:vAlign w:val="center"/>
          </w:tcPr>
          <w:p w14:paraId="730A58D0">
            <w:pPr>
              <w:snapToGrid w:val="0"/>
              <w:jc w:val="both"/>
              <w:rPr>
                <w:rFonts w:ascii="宋体" w:hAnsi="宋体" w:cs="宋体"/>
                <w:sz w:val="16"/>
                <w:szCs w:val="16"/>
              </w:rPr>
            </w:pPr>
            <w:r>
              <w:rPr>
                <w:rFonts w:hint="eastAsia" w:ascii="宋体" w:hAnsi="宋体"/>
                <w:sz w:val="16"/>
                <w:szCs w:val="16"/>
              </w:rPr>
              <w:t>定制开发软件、界面、功能、算法等</w:t>
            </w:r>
            <w:r>
              <w:rPr>
                <w:rFonts w:hint="eastAsia" w:ascii="宋体" w:hAnsi="宋体"/>
                <w:sz w:val="16"/>
                <w:szCs w:val="16"/>
              </w:rPr>
              <w:br w:type="textWrapping"/>
            </w:r>
            <w:r>
              <w:rPr>
                <w:rFonts w:hint="eastAsia" w:ascii="宋体" w:hAnsi="宋体"/>
                <w:sz w:val="16"/>
                <w:szCs w:val="16"/>
              </w:rPr>
              <w:t>（1）数据采集统计：含异常剔除图片，数量，批次信息归档等。</w:t>
            </w:r>
            <w:r>
              <w:rPr>
                <w:rFonts w:hint="eastAsia" w:ascii="宋体" w:hAnsi="宋体"/>
                <w:sz w:val="16"/>
                <w:szCs w:val="16"/>
              </w:rPr>
              <w:br w:type="textWrapping"/>
            </w:r>
            <w:r>
              <w:rPr>
                <w:rFonts w:hint="eastAsia" w:ascii="宋体" w:hAnsi="宋体"/>
                <w:sz w:val="16"/>
                <w:szCs w:val="16"/>
              </w:rPr>
              <w:t>（2）数据综合展示：异常预警，子系统工作状态监测。</w:t>
            </w:r>
          </w:p>
        </w:tc>
        <w:tc>
          <w:tcPr>
            <w:tcW w:w="367" w:type="dxa"/>
            <w:vAlign w:val="center"/>
          </w:tcPr>
          <w:p w14:paraId="1A24BFDC">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0EE123AE">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3D0DE6A3">
            <w:pPr>
              <w:snapToGrid w:val="0"/>
              <w:jc w:val="both"/>
              <w:rPr>
                <w:rFonts w:ascii="宋体" w:hAnsi="宋体" w:cstheme="minorEastAsia"/>
                <w:bCs/>
                <w:sz w:val="16"/>
                <w:szCs w:val="16"/>
              </w:rPr>
            </w:pPr>
          </w:p>
        </w:tc>
      </w:tr>
      <w:tr w14:paraId="1207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97" w:type="dxa"/>
            <w:vAlign w:val="center"/>
          </w:tcPr>
          <w:p w14:paraId="4CCFCC46">
            <w:pPr>
              <w:snapToGrid w:val="0"/>
              <w:jc w:val="both"/>
              <w:rPr>
                <w:rFonts w:ascii="宋体" w:hAnsi="宋体" w:cstheme="minorEastAsia"/>
                <w:bCs/>
                <w:sz w:val="16"/>
                <w:szCs w:val="16"/>
              </w:rPr>
            </w:pPr>
            <w:r>
              <w:rPr>
                <w:rFonts w:ascii="宋体" w:hAnsi="宋体" w:cstheme="minorEastAsia"/>
                <w:bCs/>
                <w:sz w:val="16"/>
                <w:szCs w:val="16"/>
              </w:rPr>
              <w:t>1.7.2</w:t>
            </w:r>
          </w:p>
        </w:tc>
        <w:tc>
          <w:tcPr>
            <w:tcW w:w="1416" w:type="dxa"/>
            <w:gridSpan w:val="2"/>
            <w:tcBorders>
              <w:top w:val="nil"/>
            </w:tcBorders>
            <w:vAlign w:val="center"/>
          </w:tcPr>
          <w:p w14:paraId="5ADC834D">
            <w:pPr>
              <w:snapToGrid w:val="0"/>
              <w:jc w:val="both"/>
              <w:rPr>
                <w:rFonts w:ascii="宋体" w:hAnsi="宋体" w:cs="宋体"/>
                <w:sz w:val="16"/>
                <w:szCs w:val="16"/>
              </w:rPr>
            </w:pPr>
            <w:r>
              <w:rPr>
                <w:rFonts w:hint="eastAsia" w:ascii="宋体" w:hAnsi="宋体"/>
                <w:sz w:val="16"/>
                <w:szCs w:val="16"/>
              </w:rPr>
              <w:t>大异物检测软件开发</w:t>
            </w:r>
          </w:p>
        </w:tc>
        <w:tc>
          <w:tcPr>
            <w:tcW w:w="5253" w:type="dxa"/>
            <w:vAlign w:val="center"/>
          </w:tcPr>
          <w:p w14:paraId="58A61410">
            <w:pPr>
              <w:snapToGrid w:val="0"/>
              <w:jc w:val="both"/>
              <w:rPr>
                <w:rFonts w:ascii="宋体" w:hAnsi="宋体" w:cs="宋体"/>
                <w:sz w:val="16"/>
                <w:szCs w:val="16"/>
              </w:rPr>
            </w:pPr>
            <w:r>
              <w:rPr>
                <w:rFonts w:hint="eastAsia" w:ascii="宋体" w:hAnsi="宋体"/>
                <w:sz w:val="16"/>
                <w:szCs w:val="16"/>
              </w:rPr>
              <w:t>定制烟丝大异物检测软件算法</w:t>
            </w:r>
            <w:r>
              <w:rPr>
                <w:rFonts w:hint="eastAsia" w:ascii="宋体" w:hAnsi="宋体"/>
                <w:sz w:val="16"/>
                <w:szCs w:val="16"/>
              </w:rPr>
              <w:br w:type="textWrapping"/>
            </w:r>
            <w:r>
              <w:rPr>
                <w:rFonts w:hint="eastAsia" w:ascii="宋体" w:hAnsi="宋体"/>
                <w:sz w:val="16"/>
                <w:szCs w:val="16"/>
              </w:rPr>
              <w:t>杂物样本数据集清洗、标注</w:t>
            </w:r>
            <w:r>
              <w:rPr>
                <w:rFonts w:hint="eastAsia" w:ascii="宋体" w:hAnsi="宋体"/>
                <w:sz w:val="16"/>
                <w:szCs w:val="16"/>
              </w:rPr>
              <w:br w:type="textWrapping"/>
            </w:r>
            <w:r>
              <w:rPr>
                <w:rFonts w:hint="eastAsia" w:ascii="宋体" w:hAnsi="宋体"/>
                <w:sz w:val="16"/>
                <w:szCs w:val="16"/>
              </w:rPr>
              <w:t>模型训练</w:t>
            </w:r>
            <w:r>
              <w:rPr>
                <w:rFonts w:hint="eastAsia" w:ascii="宋体" w:hAnsi="宋体"/>
                <w:sz w:val="16"/>
                <w:szCs w:val="16"/>
              </w:rPr>
              <w:br w:type="textWrapping"/>
            </w:r>
            <w:r>
              <w:rPr>
                <w:rFonts w:hint="eastAsia" w:ascii="宋体" w:hAnsi="宋体"/>
                <w:sz w:val="16"/>
                <w:szCs w:val="16"/>
              </w:rPr>
              <w:t>上线测试</w:t>
            </w:r>
          </w:p>
        </w:tc>
        <w:tc>
          <w:tcPr>
            <w:tcW w:w="367" w:type="dxa"/>
            <w:vAlign w:val="center"/>
          </w:tcPr>
          <w:p w14:paraId="4381059A">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47C0CED2">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6186F8E9">
            <w:pPr>
              <w:snapToGrid w:val="0"/>
              <w:jc w:val="both"/>
              <w:rPr>
                <w:rFonts w:ascii="宋体" w:hAnsi="宋体" w:cstheme="minorEastAsia"/>
                <w:bCs/>
                <w:sz w:val="16"/>
                <w:szCs w:val="16"/>
              </w:rPr>
            </w:pPr>
          </w:p>
        </w:tc>
      </w:tr>
      <w:tr w14:paraId="01F10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97" w:type="dxa"/>
            <w:vAlign w:val="center"/>
          </w:tcPr>
          <w:p w14:paraId="52FB6EB5">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.7.3</w:t>
            </w:r>
          </w:p>
        </w:tc>
        <w:tc>
          <w:tcPr>
            <w:tcW w:w="1416" w:type="dxa"/>
            <w:gridSpan w:val="2"/>
            <w:tcBorders>
              <w:top w:val="nil"/>
            </w:tcBorders>
            <w:vAlign w:val="center"/>
          </w:tcPr>
          <w:p w14:paraId="12D308D9">
            <w:pPr>
              <w:snapToGrid w:val="0"/>
              <w:jc w:val="both"/>
              <w:rPr>
                <w:rFonts w:ascii="宋体" w:hAnsi="宋体" w:cs="宋体"/>
                <w:sz w:val="16"/>
                <w:szCs w:val="16"/>
              </w:rPr>
            </w:pPr>
            <w:r>
              <w:rPr>
                <w:rFonts w:hint="eastAsia" w:ascii="宋体" w:hAnsi="宋体"/>
                <w:sz w:val="16"/>
                <w:szCs w:val="16"/>
              </w:rPr>
              <w:t>霉虫烟检测软件开发</w:t>
            </w:r>
          </w:p>
        </w:tc>
        <w:tc>
          <w:tcPr>
            <w:tcW w:w="5253" w:type="dxa"/>
            <w:vAlign w:val="center"/>
          </w:tcPr>
          <w:p w14:paraId="4507204F">
            <w:pPr>
              <w:snapToGrid w:val="0"/>
              <w:jc w:val="both"/>
              <w:rPr>
                <w:rFonts w:ascii="宋体" w:hAnsi="宋体" w:cs="宋体"/>
                <w:sz w:val="16"/>
                <w:szCs w:val="16"/>
              </w:rPr>
            </w:pPr>
            <w:r>
              <w:rPr>
                <w:rFonts w:hint="eastAsia" w:ascii="宋体" w:hAnsi="宋体"/>
                <w:sz w:val="16"/>
                <w:szCs w:val="16"/>
              </w:rPr>
              <w:t>定制霉虫烟检测软件算法。</w:t>
            </w:r>
            <w:r>
              <w:rPr>
                <w:rFonts w:hint="eastAsia" w:ascii="宋体" w:hAnsi="宋体"/>
                <w:sz w:val="16"/>
                <w:szCs w:val="16"/>
              </w:rPr>
              <w:br w:type="textWrapping"/>
            </w:r>
            <w:r>
              <w:rPr>
                <w:rFonts w:hint="eastAsia" w:ascii="宋体" w:hAnsi="宋体"/>
                <w:sz w:val="16"/>
                <w:szCs w:val="16"/>
              </w:rPr>
              <w:t>杂物样本数据集清洗、标注</w:t>
            </w:r>
            <w:r>
              <w:rPr>
                <w:rFonts w:hint="eastAsia" w:ascii="宋体" w:hAnsi="宋体"/>
                <w:sz w:val="16"/>
                <w:szCs w:val="16"/>
              </w:rPr>
              <w:br w:type="textWrapping"/>
            </w:r>
            <w:r>
              <w:rPr>
                <w:rFonts w:hint="eastAsia" w:ascii="宋体" w:hAnsi="宋体"/>
                <w:sz w:val="16"/>
                <w:szCs w:val="16"/>
              </w:rPr>
              <w:t>模型训练、优化</w:t>
            </w:r>
            <w:r>
              <w:rPr>
                <w:rFonts w:hint="eastAsia" w:ascii="宋体" w:hAnsi="宋体"/>
                <w:sz w:val="16"/>
                <w:szCs w:val="16"/>
              </w:rPr>
              <w:br w:type="textWrapping"/>
            </w:r>
            <w:r>
              <w:rPr>
                <w:rFonts w:hint="eastAsia" w:ascii="宋体" w:hAnsi="宋体"/>
                <w:sz w:val="16"/>
                <w:szCs w:val="16"/>
              </w:rPr>
              <w:t>上线测试</w:t>
            </w:r>
          </w:p>
        </w:tc>
        <w:tc>
          <w:tcPr>
            <w:tcW w:w="367" w:type="dxa"/>
            <w:vAlign w:val="center"/>
          </w:tcPr>
          <w:p w14:paraId="72857831">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0560E225">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5A0B6365">
            <w:pPr>
              <w:snapToGrid w:val="0"/>
              <w:jc w:val="both"/>
              <w:rPr>
                <w:rFonts w:ascii="宋体" w:hAnsi="宋体" w:cstheme="minorEastAsia"/>
                <w:bCs/>
                <w:sz w:val="16"/>
                <w:szCs w:val="16"/>
              </w:rPr>
            </w:pPr>
          </w:p>
        </w:tc>
      </w:tr>
      <w:tr w14:paraId="228D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73691FD">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.7.4</w:t>
            </w:r>
          </w:p>
        </w:tc>
        <w:tc>
          <w:tcPr>
            <w:tcW w:w="1416" w:type="dxa"/>
            <w:gridSpan w:val="2"/>
            <w:tcBorders>
              <w:top w:val="single" w:color="auto" w:sz="4" w:space="0"/>
            </w:tcBorders>
            <w:vAlign w:val="center"/>
          </w:tcPr>
          <w:p w14:paraId="238B64C4">
            <w:pPr>
              <w:snapToGrid w:val="0"/>
              <w:jc w:val="both"/>
              <w:rPr>
                <w:rFonts w:ascii="宋体" w:hAnsi="宋体" w:cs="宋体"/>
                <w:sz w:val="16"/>
                <w:szCs w:val="16"/>
              </w:rPr>
            </w:pPr>
            <w:r>
              <w:rPr>
                <w:rFonts w:hint="eastAsia" w:ascii="宋体" w:hAnsi="宋体"/>
                <w:sz w:val="16"/>
                <w:szCs w:val="16"/>
              </w:rPr>
              <w:t>烟丝填充值软件开发</w:t>
            </w:r>
          </w:p>
        </w:tc>
        <w:tc>
          <w:tcPr>
            <w:tcW w:w="5253" w:type="dxa"/>
            <w:vAlign w:val="center"/>
          </w:tcPr>
          <w:p w14:paraId="35A5731E">
            <w:pPr>
              <w:snapToGrid w:val="0"/>
              <w:jc w:val="both"/>
              <w:rPr>
                <w:rFonts w:ascii="宋体" w:hAnsi="宋体" w:cs="宋体"/>
                <w:sz w:val="16"/>
                <w:szCs w:val="16"/>
              </w:rPr>
            </w:pPr>
            <w:r>
              <w:rPr>
                <w:rFonts w:hint="eastAsia" w:ascii="宋体" w:hAnsi="宋体"/>
                <w:sz w:val="16"/>
                <w:szCs w:val="16"/>
              </w:rPr>
              <w:t>定制烟丝填充值软件算法</w:t>
            </w:r>
            <w:r>
              <w:rPr>
                <w:rFonts w:hint="eastAsia" w:ascii="宋体" w:hAnsi="宋体"/>
                <w:sz w:val="16"/>
                <w:szCs w:val="16"/>
              </w:rPr>
              <w:br w:type="textWrapping"/>
            </w:r>
            <w:r>
              <w:rPr>
                <w:rFonts w:hint="eastAsia" w:ascii="宋体" w:hAnsi="宋体"/>
                <w:sz w:val="16"/>
                <w:szCs w:val="16"/>
              </w:rPr>
              <w:t>数据对接</w:t>
            </w:r>
            <w:r>
              <w:rPr>
                <w:rFonts w:hint="eastAsia" w:ascii="宋体" w:hAnsi="宋体"/>
                <w:sz w:val="16"/>
                <w:szCs w:val="16"/>
              </w:rPr>
              <w:br w:type="textWrapping"/>
            </w:r>
            <w:r>
              <w:rPr>
                <w:rFonts w:hint="eastAsia" w:ascii="宋体" w:hAnsi="宋体"/>
                <w:sz w:val="16"/>
                <w:szCs w:val="16"/>
              </w:rPr>
              <w:t>算法迭代优化</w:t>
            </w:r>
            <w:r>
              <w:rPr>
                <w:rFonts w:hint="eastAsia" w:ascii="宋体" w:hAnsi="宋体"/>
                <w:sz w:val="16"/>
                <w:szCs w:val="16"/>
              </w:rPr>
              <w:br w:type="textWrapping"/>
            </w:r>
            <w:r>
              <w:rPr>
                <w:rFonts w:hint="eastAsia" w:ascii="宋体" w:hAnsi="宋体"/>
                <w:sz w:val="16"/>
                <w:szCs w:val="16"/>
              </w:rPr>
              <w:t>软件调试</w:t>
            </w:r>
          </w:p>
        </w:tc>
        <w:tc>
          <w:tcPr>
            <w:tcW w:w="367" w:type="dxa"/>
            <w:vAlign w:val="center"/>
          </w:tcPr>
          <w:p w14:paraId="41B8CC02">
            <w:pPr>
              <w:jc w:val="both"/>
              <w:textAlignment w:val="center"/>
              <w:rPr>
                <w:rFonts w:ascii="宋体" w:hAnsi="宋体" w:cstheme="minorEastAsia"/>
                <w:bCs/>
                <w:sz w:val="16"/>
                <w:szCs w:val="16"/>
              </w:rPr>
            </w:pPr>
            <w:r>
              <w:rPr>
                <w:rFonts w:hint="eastAsia" w:ascii="宋体" w:hAnsi="宋体"/>
                <w:sz w:val="16"/>
                <w:szCs w:val="16"/>
              </w:rPr>
              <w:t>套</w:t>
            </w:r>
          </w:p>
        </w:tc>
        <w:tc>
          <w:tcPr>
            <w:tcW w:w="827" w:type="dxa"/>
            <w:vAlign w:val="center"/>
          </w:tcPr>
          <w:p w14:paraId="69772E8F">
            <w:pPr>
              <w:jc w:val="both"/>
              <w:textAlignment w:val="center"/>
              <w:rPr>
                <w:rFonts w:ascii="宋体" w:hAnsi="宋体" w:cstheme="minorEastAsia"/>
                <w:bCs/>
                <w:sz w:val="16"/>
                <w:szCs w:val="16"/>
              </w:rPr>
            </w:pPr>
            <w:r>
              <w:rPr>
                <w:rFonts w:hint="eastAsia" w:ascii="宋体" w:hAnsi="宋体"/>
                <w:sz w:val="16"/>
                <w:szCs w:val="16"/>
              </w:rPr>
              <w:t>1</w:t>
            </w:r>
          </w:p>
        </w:tc>
        <w:tc>
          <w:tcPr>
            <w:tcW w:w="501" w:type="dxa"/>
            <w:shd w:val="clear" w:color="auto" w:fill="auto"/>
            <w:vAlign w:val="center"/>
          </w:tcPr>
          <w:p w14:paraId="7F595E8D">
            <w:pPr>
              <w:snapToGrid w:val="0"/>
              <w:jc w:val="both"/>
              <w:rPr>
                <w:rFonts w:ascii="宋体" w:hAnsi="宋体" w:cstheme="minorEastAsia"/>
                <w:bCs/>
                <w:sz w:val="16"/>
                <w:szCs w:val="16"/>
              </w:rPr>
            </w:pPr>
          </w:p>
        </w:tc>
      </w:tr>
      <w:tr w14:paraId="7333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13EEF3E">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.7.5</w:t>
            </w:r>
          </w:p>
        </w:tc>
        <w:tc>
          <w:tcPr>
            <w:tcW w:w="1416" w:type="dxa"/>
            <w:gridSpan w:val="2"/>
            <w:tcBorders>
              <w:top w:val="single" w:color="auto" w:sz="4" w:space="0"/>
            </w:tcBorders>
            <w:vAlign w:val="center"/>
          </w:tcPr>
          <w:p w14:paraId="066CE7B5">
            <w:pPr>
              <w:snapToGrid w:val="0"/>
              <w:jc w:val="both"/>
              <w:rPr>
                <w:rFonts w:ascii="宋体" w:hAnsi="宋体"/>
                <w:sz w:val="16"/>
                <w:szCs w:val="16"/>
              </w:rPr>
            </w:pPr>
            <w:r>
              <w:rPr>
                <w:rFonts w:hint="eastAsia" w:ascii="宋体" w:hAnsi="宋体"/>
                <w:sz w:val="16"/>
                <w:szCs w:val="16"/>
              </w:rPr>
              <w:t>烟丝流量软件开发</w:t>
            </w:r>
          </w:p>
        </w:tc>
        <w:tc>
          <w:tcPr>
            <w:tcW w:w="5253" w:type="dxa"/>
            <w:vAlign w:val="center"/>
          </w:tcPr>
          <w:p w14:paraId="1B01B77D">
            <w:pPr>
              <w:snapToGrid w:val="0"/>
              <w:jc w:val="both"/>
              <w:rPr>
                <w:rFonts w:ascii="宋体" w:hAnsi="宋体"/>
                <w:sz w:val="16"/>
                <w:szCs w:val="16"/>
              </w:rPr>
            </w:pPr>
            <w:r>
              <w:rPr>
                <w:rFonts w:hint="eastAsia" w:ascii="宋体" w:hAnsi="宋体"/>
                <w:sz w:val="16"/>
                <w:szCs w:val="16"/>
              </w:rPr>
              <w:t xml:space="preserve">定制烟丝流量检测软件算法 </w:t>
            </w:r>
            <w:r>
              <w:rPr>
                <w:rFonts w:hint="eastAsia" w:ascii="宋体" w:hAnsi="宋体"/>
                <w:sz w:val="16"/>
                <w:szCs w:val="16"/>
              </w:rPr>
              <w:br w:type="textWrapping"/>
            </w:r>
            <w:r>
              <w:rPr>
                <w:rFonts w:hint="eastAsia" w:ascii="宋体" w:hAnsi="宋体"/>
                <w:sz w:val="16"/>
                <w:szCs w:val="16"/>
              </w:rPr>
              <w:t>数据对接</w:t>
            </w:r>
            <w:r>
              <w:rPr>
                <w:rFonts w:hint="eastAsia" w:ascii="宋体" w:hAnsi="宋体"/>
                <w:sz w:val="16"/>
                <w:szCs w:val="16"/>
              </w:rPr>
              <w:br w:type="textWrapping"/>
            </w:r>
            <w:r>
              <w:rPr>
                <w:rFonts w:hint="eastAsia" w:ascii="宋体" w:hAnsi="宋体"/>
                <w:sz w:val="16"/>
                <w:szCs w:val="16"/>
              </w:rPr>
              <w:t>算法迭代优化</w:t>
            </w:r>
            <w:r>
              <w:rPr>
                <w:rFonts w:hint="eastAsia" w:ascii="宋体" w:hAnsi="宋体"/>
                <w:sz w:val="16"/>
                <w:szCs w:val="16"/>
              </w:rPr>
              <w:br w:type="textWrapping"/>
            </w:r>
            <w:r>
              <w:rPr>
                <w:rFonts w:hint="eastAsia" w:ascii="宋体" w:hAnsi="宋体"/>
                <w:sz w:val="16"/>
                <w:szCs w:val="16"/>
              </w:rPr>
              <w:t>软件算法调试</w:t>
            </w:r>
          </w:p>
        </w:tc>
        <w:tc>
          <w:tcPr>
            <w:tcW w:w="367" w:type="dxa"/>
            <w:vAlign w:val="center"/>
          </w:tcPr>
          <w:p w14:paraId="789EA2A7">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78D2E00B">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5B4C697">
            <w:pPr>
              <w:snapToGrid w:val="0"/>
              <w:jc w:val="both"/>
              <w:rPr>
                <w:rFonts w:ascii="宋体" w:hAnsi="宋体" w:cstheme="minorEastAsia"/>
                <w:bCs/>
                <w:sz w:val="16"/>
                <w:szCs w:val="16"/>
              </w:rPr>
            </w:pPr>
          </w:p>
        </w:tc>
      </w:tr>
      <w:tr w14:paraId="3563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3B7C3B2">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.7.6</w:t>
            </w:r>
          </w:p>
        </w:tc>
        <w:tc>
          <w:tcPr>
            <w:tcW w:w="1416" w:type="dxa"/>
            <w:gridSpan w:val="2"/>
            <w:tcBorders>
              <w:top w:val="single" w:color="auto" w:sz="4" w:space="0"/>
            </w:tcBorders>
            <w:vAlign w:val="center"/>
          </w:tcPr>
          <w:p w14:paraId="0BDB4588">
            <w:pPr>
              <w:snapToGrid w:val="0"/>
              <w:jc w:val="both"/>
              <w:rPr>
                <w:rFonts w:ascii="宋体" w:hAnsi="宋体"/>
                <w:sz w:val="16"/>
                <w:szCs w:val="16"/>
              </w:rPr>
            </w:pPr>
            <w:r>
              <w:rPr>
                <w:rFonts w:hint="eastAsia" w:ascii="宋体" w:hAnsi="宋体"/>
                <w:sz w:val="16"/>
                <w:szCs w:val="16"/>
              </w:rPr>
              <w:t>烟丝杂物软件算法开发</w:t>
            </w:r>
          </w:p>
        </w:tc>
        <w:tc>
          <w:tcPr>
            <w:tcW w:w="5253" w:type="dxa"/>
            <w:vAlign w:val="center"/>
          </w:tcPr>
          <w:p w14:paraId="760718EB">
            <w:pPr>
              <w:snapToGrid w:val="0"/>
              <w:jc w:val="both"/>
              <w:rPr>
                <w:rFonts w:ascii="宋体" w:hAnsi="宋体"/>
                <w:sz w:val="16"/>
                <w:szCs w:val="16"/>
              </w:rPr>
            </w:pPr>
            <w:r>
              <w:rPr>
                <w:rFonts w:hint="eastAsia" w:ascii="宋体" w:hAnsi="宋体"/>
                <w:sz w:val="16"/>
                <w:szCs w:val="16"/>
              </w:rPr>
              <w:t>开发图片数据接口对接，图片二次检测推理。</w:t>
            </w:r>
            <w:r>
              <w:rPr>
                <w:rFonts w:hint="eastAsia" w:ascii="宋体" w:hAnsi="宋体"/>
                <w:sz w:val="16"/>
                <w:szCs w:val="16"/>
              </w:rPr>
              <w:br w:type="textWrapping"/>
            </w:r>
            <w:r>
              <w:rPr>
                <w:rFonts w:hint="eastAsia" w:ascii="宋体" w:hAnsi="宋体"/>
                <w:sz w:val="16"/>
                <w:szCs w:val="16"/>
              </w:rPr>
              <w:t>杂物样本数据集清洗、标注</w:t>
            </w:r>
            <w:r>
              <w:rPr>
                <w:rFonts w:hint="eastAsia" w:ascii="宋体" w:hAnsi="宋体"/>
                <w:sz w:val="16"/>
                <w:szCs w:val="16"/>
              </w:rPr>
              <w:br w:type="textWrapping"/>
            </w:r>
            <w:r>
              <w:rPr>
                <w:rFonts w:hint="eastAsia" w:ascii="宋体" w:hAnsi="宋体"/>
                <w:sz w:val="16"/>
                <w:szCs w:val="16"/>
              </w:rPr>
              <w:t>模型训练</w:t>
            </w:r>
            <w:r>
              <w:rPr>
                <w:rFonts w:hint="eastAsia" w:ascii="宋体" w:hAnsi="宋体"/>
                <w:sz w:val="16"/>
                <w:szCs w:val="16"/>
              </w:rPr>
              <w:br w:type="textWrapping"/>
            </w:r>
            <w:r>
              <w:rPr>
                <w:rFonts w:hint="eastAsia" w:ascii="宋体" w:hAnsi="宋体"/>
                <w:sz w:val="16"/>
                <w:szCs w:val="16"/>
              </w:rPr>
              <w:t>软件算法调试</w:t>
            </w:r>
          </w:p>
        </w:tc>
        <w:tc>
          <w:tcPr>
            <w:tcW w:w="367" w:type="dxa"/>
            <w:vAlign w:val="center"/>
          </w:tcPr>
          <w:p w14:paraId="2D3D0943">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1999189F">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9D682C7">
            <w:pPr>
              <w:snapToGrid w:val="0"/>
              <w:jc w:val="both"/>
              <w:rPr>
                <w:rFonts w:ascii="宋体" w:hAnsi="宋体" w:cstheme="minorEastAsia"/>
                <w:bCs/>
                <w:sz w:val="16"/>
                <w:szCs w:val="16"/>
              </w:rPr>
            </w:pPr>
          </w:p>
        </w:tc>
      </w:tr>
      <w:tr w14:paraId="7F19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97" w:type="dxa"/>
            <w:vAlign w:val="center"/>
          </w:tcPr>
          <w:p w14:paraId="577FF5A4">
            <w:pPr>
              <w:snapToGrid w:val="0"/>
              <w:jc w:val="both"/>
              <w:rPr>
                <w:rFonts w:ascii="宋体" w:hAnsi="宋体" w:cstheme="minorEastAsia"/>
                <w:b/>
                <w:bCs/>
                <w:sz w:val="16"/>
                <w:szCs w:val="16"/>
              </w:rPr>
            </w:pPr>
            <w:r>
              <w:rPr>
                <w:rFonts w:hint="eastAsia" w:ascii="宋体" w:hAnsi="宋体" w:cstheme="minorEastAsia"/>
                <w:b/>
                <w:bCs/>
                <w:sz w:val="16"/>
                <w:szCs w:val="16"/>
              </w:rPr>
              <w:t>1</w:t>
            </w:r>
            <w:r>
              <w:rPr>
                <w:rFonts w:ascii="宋体" w:hAnsi="宋体" w:cstheme="minorEastAsia"/>
                <w:b/>
                <w:bCs/>
                <w:sz w:val="16"/>
                <w:szCs w:val="16"/>
              </w:rPr>
              <w:t>.8</w:t>
            </w:r>
          </w:p>
        </w:tc>
        <w:tc>
          <w:tcPr>
            <w:tcW w:w="1416" w:type="dxa"/>
            <w:gridSpan w:val="2"/>
            <w:tcBorders>
              <w:top w:val="single" w:color="auto" w:sz="4" w:space="0"/>
            </w:tcBorders>
            <w:vAlign w:val="center"/>
          </w:tcPr>
          <w:p w14:paraId="62FF881E">
            <w:pPr>
              <w:snapToGrid w:val="0"/>
              <w:jc w:val="both"/>
              <w:rPr>
                <w:rFonts w:ascii="宋体" w:hAnsi="宋体"/>
                <w:b/>
                <w:sz w:val="16"/>
                <w:szCs w:val="16"/>
              </w:rPr>
            </w:pPr>
            <w:r>
              <w:rPr>
                <w:rFonts w:hint="eastAsia" w:ascii="宋体" w:hAnsi="宋体"/>
                <w:b/>
                <w:sz w:val="16"/>
                <w:szCs w:val="16"/>
              </w:rPr>
              <w:t>安装调试费</w:t>
            </w:r>
          </w:p>
        </w:tc>
        <w:tc>
          <w:tcPr>
            <w:tcW w:w="5253" w:type="dxa"/>
            <w:vAlign w:val="center"/>
          </w:tcPr>
          <w:p w14:paraId="0015C430">
            <w:pPr>
              <w:snapToGrid w:val="0"/>
              <w:jc w:val="both"/>
              <w:rPr>
                <w:rFonts w:ascii="宋体" w:hAnsi="宋体"/>
                <w:sz w:val="16"/>
                <w:szCs w:val="16"/>
              </w:rPr>
            </w:pPr>
            <w:r>
              <w:rPr>
                <w:rFonts w:hint="eastAsia" w:ascii="宋体" w:hAnsi="宋体"/>
                <w:sz w:val="16"/>
                <w:szCs w:val="16"/>
              </w:rPr>
              <w:t>\</w:t>
            </w:r>
          </w:p>
        </w:tc>
        <w:tc>
          <w:tcPr>
            <w:tcW w:w="367" w:type="dxa"/>
            <w:vAlign w:val="center"/>
          </w:tcPr>
          <w:p w14:paraId="53B48F6F">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50EF7DC6">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004C02F2">
            <w:pPr>
              <w:snapToGrid w:val="0"/>
              <w:jc w:val="both"/>
              <w:rPr>
                <w:rFonts w:ascii="宋体" w:hAnsi="宋体" w:cstheme="minorEastAsia"/>
                <w:bCs/>
                <w:sz w:val="16"/>
                <w:szCs w:val="16"/>
              </w:rPr>
            </w:pPr>
          </w:p>
        </w:tc>
      </w:tr>
      <w:tr w14:paraId="015D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7" w:type="dxa"/>
            <w:vAlign w:val="center"/>
          </w:tcPr>
          <w:p w14:paraId="063896CD">
            <w:pPr>
              <w:snapToGrid w:val="0"/>
              <w:jc w:val="both"/>
              <w:rPr>
                <w:rFonts w:ascii="宋体" w:hAnsi="宋体" w:cstheme="minorEastAsia"/>
                <w:b/>
                <w:bCs/>
                <w:sz w:val="21"/>
                <w:szCs w:val="21"/>
              </w:rPr>
            </w:pPr>
            <w:r>
              <w:rPr>
                <w:rFonts w:ascii="宋体" w:hAnsi="宋体" w:cstheme="minorEastAsia"/>
                <w:b/>
                <w:bCs/>
                <w:sz w:val="21"/>
                <w:szCs w:val="21"/>
              </w:rPr>
              <w:t>2</w:t>
            </w:r>
          </w:p>
        </w:tc>
        <w:tc>
          <w:tcPr>
            <w:tcW w:w="8364" w:type="dxa"/>
            <w:gridSpan w:val="6"/>
            <w:shd w:val="clear" w:color="auto" w:fill="auto"/>
          </w:tcPr>
          <w:p w14:paraId="43FDF99C">
            <w:pPr>
              <w:spacing w:after="0" w:line="240" w:lineRule="auto"/>
              <w:rPr>
                <w:rFonts w:ascii="宋体" w:hAnsi="宋体"/>
                <w:b/>
                <w:sz w:val="16"/>
                <w:szCs w:val="16"/>
              </w:rPr>
            </w:pPr>
            <w:r>
              <w:rPr>
                <w:rFonts w:hint="eastAsia" w:ascii="宋体" w:hAnsi="宋体"/>
                <w:b/>
                <w:sz w:val="16"/>
                <w:szCs w:val="16"/>
              </w:rPr>
              <w:t>基于数据协同的制丝关键主机设备健康状态监测</w:t>
            </w:r>
          </w:p>
        </w:tc>
      </w:tr>
      <w:tr w14:paraId="5E51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7" w:type="dxa"/>
            <w:vAlign w:val="center"/>
          </w:tcPr>
          <w:p w14:paraId="64AE86FB">
            <w:pPr>
              <w:snapToGrid w:val="0"/>
              <w:jc w:val="both"/>
              <w:rPr>
                <w:rFonts w:ascii="宋体" w:hAnsi="宋体" w:cstheme="minorEastAsia"/>
                <w:b/>
                <w:bCs/>
                <w:sz w:val="21"/>
                <w:szCs w:val="21"/>
              </w:rPr>
            </w:pPr>
            <w:r>
              <w:rPr>
                <w:rFonts w:ascii="宋体" w:hAnsi="宋体" w:cstheme="minorEastAsia"/>
                <w:b/>
                <w:bCs/>
                <w:sz w:val="21"/>
                <w:szCs w:val="21"/>
              </w:rPr>
              <w:t>2.1</w:t>
            </w:r>
          </w:p>
        </w:tc>
        <w:tc>
          <w:tcPr>
            <w:tcW w:w="8364" w:type="dxa"/>
            <w:gridSpan w:val="6"/>
            <w:shd w:val="clear" w:color="auto" w:fill="auto"/>
          </w:tcPr>
          <w:p w14:paraId="167D41CC">
            <w:pPr>
              <w:spacing w:after="0" w:line="240" w:lineRule="auto"/>
              <w:rPr>
                <w:rFonts w:ascii="宋体" w:hAnsi="宋体"/>
                <w:b/>
                <w:sz w:val="16"/>
                <w:szCs w:val="16"/>
              </w:rPr>
            </w:pPr>
            <w:r>
              <w:rPr>
                <w:rFonts w:hint="eastAsia" w:ascii="宋体" w:hAnsi="宋体"/>
                <w:b/>
                <w:sz w:val="16"/>
                <w:szCs w:val="16"/>
              </w:rPr>
              <w:t>控制系统新增</w:t>
            </w:r>
          </w:p>
        </w:tc>
      </w:tr>
      <w:tr w14:paraId="594E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E6BFE7E">
            <w:pPr>
              <w:snapToGrid w:val="0"/>
              <w:jc w:val="both"/>
              <w:rPr>
                <w:rFonts w:ascii="宋体" w:hAnsi="宋体" w:cstheme="minorEastAsia"/>
                <w:bCs/>
                <w:sz w:val="16"/>
                <w:szCs w:val="16"/>
              </w:rPr>
            </w:pPr>
            <w:r>
              <w:rPr>
                <w:rFonts w:ascii="宋体" w:hAnsi="宋体"/>
                <w:sz w:val="16"/>
                <w:szCs w:val="16"/>
              </w:rPr>
              <w:t>2.1.</w:t>
            </w:r>
            <w:r>
              <w:rPr>
                <w:rFonts w:hint="eastAsia" w:ascii="宋体" w:hAnsi="宋体"/>
                <w:sz w:val="16"/>
                <w:szCs w:val="16"/>
              </w:rPr>
              <w:t>1</w:t>
            </w:r>
          </w:p>
        </w:tc>
        <w:tc>
          <w:tcPr>
            <w:tcW w:w="1416" w:type="dxa"/>
            <w:gridSpan w:val="2"/>
            <w:tcBorders>
              <w:top w:val="single" w:color="auto" w:sz="4" w:space="0"/>
            </w:tcBorders>
            <w:vAlign w:val="center"/>
          </w:tcPr>
          <w:p w14:paraId="600EF014">
            <w:pPr>
              <w:snapToGrid w:val="0"/>
              <w:jc w:val="both"/>
              <w:rPr>
                <w:rFonts w:ascii="宋体" w:hAnsi="宋体"/>
                <w:sz w:val="16"/>
                <w:szCs w:val="16"/>
              </w:rPr>
            </w:pPr>
            <w:r>
              <w:rPr>
                <w:rFonts w:hint="eastAsia" w:ascii="宋体" w:hAnsi="宋体"/>
                <w:sz w:val="16"/>
                <w:szCs w:val="16"/>
              </w:rPr>
              <w:t>温振变送器</w:t>
            </w:r>
          </w:p>
        </w:tc>
        <w:tc>
          <w:tcPr>
            <w:tcW w:w="5253" w:type="dxa"/>
            <w:vAlign w:val="center"/>
          </w:tcPr>
          <w:p w14:paraId="381D13F8">
            <w:pPr>
              <w:snapToGrid w:val="0"/>
              <w:jc w:val="both"/>
              <w:rPr>
                <w:rFonts w:ascii="宋体" w:hAnsi="宋体"/>
                <w:sz w:val="16"/>
                <w:szCs w:val="16"/>
              </w:rPr>
            </w:pPr>
            <w:r>
              <w:rPr>
                <w:rFonts w:hint="eastAsia" w:ascii="宋体" w:hAnsi="宋体"/>
                <w:sz w:val="16"/>
                <w:szCs w:val="16"/>
              </w:rPr>
              <w:t>温度、振动检测传感器可以提供振动测量方向为三轴的测量结果；频率范围10-1600Hz，振动速度测量范围0-50mm/s，振动速度显示分辨率0.1mm/s，振动位移测量范围0-5000μm，振动位移显示分辨率0.1μm，传感器可以提供设备表面温度测量，温度显示分辨率0.1℃，信号输出RS-485，传感器防护等级IP67，传感器为磁性安装方式。（RS485型）</w:t>
            </w:r>
          </w:p>
        </w:tc>
        <w:tc>
          <w:tcPr>
            <w:tcW w:w="367" w:type="dxa"/>
            <w:vAlign w:val="center"/>
          </w:tcPr>
          <w:p w14:paraId="18AC973F">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30331C70">
            <w:pPr>
              <w:jc w:val="both"/>
              <w:textAlignment w:val="center"/>
              <w:rPr>
                <w:rFonts w:ascii="宋体" w:hAnsi="宋体"/>
                <w:sz w:val="16"/>
                <w:szCs w:val="16"/>
              </w:rPr>
            </w:pPr>
            <w:r>
              <w:rPr>
                <w:rFonts w:ascii="宋体" w:hAnsi="宋体"/>
                <w:sz w:val="16"/>
                <w:szCs w:val="16"/>
              </w:rPr>
              <w:t>12</w:t>
            </w:r>
          </w:p>
        </w:tc>
        <w:tc>
          <w:tcPr>
            <w:tcW w:w="501" w:type="dxa"/>
            <w:shd w:val="clear" w:color="auto" w:fill="auto"/>
            <w:vAlign w:val="center"/>
          </w:tcPr>
          <w:p w14:paraId="5C9B9FCB">
            <w:pPr>
              <w:snapToGrid w:val="0"/>
              <w:jc w:val="both"/>
              <w:rPr>
                <w:rFonts w:ascii="宋体" w:hAnsi="宋体" w:cstheme="minorEastAsia"/>
                <w:bCs/>
                <w:sz w:val="16"/>
                <w:szCs w:val="16"/>
              </w:rPr>
            </w:pPr>
          </w:p>
        </w:tc>
      </w:tr>
      <w:tr w14:paraId="7577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697" w:type="dxa"/>
            <w:vAlign w:val="center"/>
          </w:tcPr>
          <w:p w14:paraId="2310A421">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.1.2</w:t>
            </w:r>
          </w:p>
        </w:tc>
        <w:tc>
          <w:tcPr>
            <w:tcW w:w="1416" w:type="dxa"/>
            <w:gridSpan w:val="2"/>
            <w:tcBorders>
              <w:top w:val="single" w:color="auto" w:sz="4" w:space="0"/>
            </w:tcBorders>
            <w:vAlign w:val="center"/>
          </w:tcPr>
          <w:p w14:paraId="50755317">
            <w:pPr>
              <w:snapToGrid w:val="0"/>
              <w:jc w:val="both"/>
              <w:rPr>
                <w:rFonts w:ascii="宋体" w:hAnsi="宋体"/>
                <w:sz w:val="16"/>
                <w:szCs w:val="16"/>
              </w:rPr>
            </w:pPr>
            <w:r>
              <w:rPr>
                <w:rFonts w:hint="eastAsia" w:ascii="宋体" w:hAnsi="宋体"/>
                <w:sz w:val="16"/>
                <w:szCs w:val="16"/>
              </w:rPr>
              <w:t>Profinet/Modbus网关</w:t>
            </w:r>
          </w:p>
        </w:tc>
        <w:tc>
          <w:tcPr>
            <w:tcW w:w="5253" w:type="dxa"/>
            <w:vAlign w:val="center"/>
          </w:tcPr>
          <w:p w14:paraId="40016FAC">
            <w:pPr>
              <w:snapToGrid w:val="0"/>
              <w:jc w:val="both"/>
              <w:rPr>
                <w:rFonts w:ascii="宋体" w:hAnsi="宋体"/>
                <w:sz w:val="16"/>
                <w:szCs w:val="16"/>
              </w:rPr>
            </w:pPr>
            <w:r>
              <w:rPr>
                <w:rFonts w:hint="eastAsia" w:ascii="宋体" w:hAnsi="宋体"/>
                <w:sz w:val="16"/>
                <w:szCs w:val="16"/>
              </w:rPr>
              <w:t>通过网关接入生产线控制系统，网关供电要求:24VDC，冗余双路电源输入,集成3路Modbus(RS485)传感器。</w:t>
            </w:r>
          </w:p>
        </w:tc>
        <w:tc>
          <w:tcPr>
            <w:tcW w:w="367" w:type="dxa"/>
            <w:vAlign w:val="center"/>
          </w:tcPr>
          <w:p w14:paraId="6E94EE2C">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628209B0">
            <w:pPr>
              <w:jc w:val="both"/>
              <w:textAlignment w:val="center"/>
              <w:rPr>
                <w:rFonts w:ascii="宋体" w:hAnsi="宋体"/>
                <w:sz w:val="16"/>
                <w:szCs w:val="16"/>
              </w:rPr>
            </w:pPr>
            <w:r>
              <w:rPr>
                <w:rFonts w:ascii="宋体" w:hAnsi="宋体"/>
                <w:sz w:val="16"/>
                <w:szCs w:val="16"/>
              </w:rPr>
              <w:t>4</w:t>
            </w:r>
          </w:p>
        </w:tc>
        <w:tc>
          <w:tcPr>
            <w:tcW w:w="501" w:type="dxa"/>
            <w:shd w:val="clear" w:color="auto" w:fill="auto"/>
            <w:vAlign w:val="center"/>
          </w:tcPr>
          <w:p w14:paraId="33D109F3">
            <w:pPr>
              <w:snapToGrid w:val="0"/>
              <w:jc w:val="both"/>
              <w:rPr>
                <w:rFonts w:ascii="宋体" w:hAnsi="宋体" w:cstheme="minorEastAsia"/>
                <w:bCs/>
                <w:sz w:val="16"/>
                <w:szCs w:val="16"/>
              </w:rPr>
            </w:pPr>
          </w:p>
        </w:tc>
      </w:tr>
      <w:tr w14:paraId="6CA5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97" w:type="dxa"/>
            <w:vAlign w:val="center"/>
          </w:tcPr>
          <w:p w14:paraId="0486A493">
            <w:pPr>
              <w:snapToGrid w:val="0"/>
              <w:jc w:val="both"/>
              <w:rPr>
                <w:rFonts w:ascii="宋体" w:hAnsi="宋体" w:cstheme="minorEastAsia"/>
                <w:bCs/>
                <w:sz w:val="16"/>
                <w:szCs w:val="16"/>
              </w:rPr>
            </w:pPr>
            <w:r>
              <w:rPr>
                <w:rFonts w:ascii="宋体" w:hAnsi="宋体"/>
                <w:sz w:val="16"/>
                <w:szCs w:val="16"/>
              </w:rPr>
              <w:t>2.1.3</w:t>
            </w:r>
          </w:p>
        </w:tc>
        <w:tc>
          <w:tcPr>
            <w:tcW w:w="1416" w:type="dxa"/>
            <w:gridSpan w:val="2"/>
            <w:tcBorders>
              <w:top w:val="single" w:color="auto" w:sz="4" w:space="0"/>
            </w:tcBorders>
            <w:vAlign w:val="center"/>
          </w:tcPr>
          <w:p w14:paraId="3C646043">
            <w:pPr>
              <w:snapToGrid w:val="0"/>
              <w:jc w:val="both"/>
              <w:rPr>
                <w:rFonts w:ascii="宋体" w:hAnsi="宋体"/>
                <w:sz w:val="16"/>
                <w:szCs w:val="16"/>
              </w:rPr>
            </w:pPr>
            <w:r>
              <w:rPr>
                <w:rFonts w:hint="eastAsia" w:ascii="宋体" w:hAnsi="宋体"/>
                <w:sz w:val="16"/>
                <w:szCs w:val="16"/>
              </w:rPr>
              <w:t>传感器阀门位置反馈装置（接近开关改造）</w:t>
            </w:r>
          </w:p>
        </w:tc>
        <w:tc>
          <w:tcPr>
            <w:tcW w:w="5253" w:type="dxa"/>
            <w:vAlign w:val="center"/>
          </w:tcPr>
          <w:p w14:paraId="71CDC167">
            <w:pPr>
              <w:snapToGrid w:val="0"/>
              <w:jc w:val="both"/>
              <w:rPr>
                <w:rFonts w:ascii="宋体" w:hAnsi="宋体"/>
                <w:sz w:val="16"/>
                <w:szCs w:val="16"/>
              </w:rPr>
            </w:pPr>
            <w:r>
              <w:rPr>
                <w:rFonts w:hint="eastAsia" w:ascii="宋体" w:hAnsi="宋体"/>
                <w:sz w:val="16"/>
                <w:szCs w:val="16"/>
              </w:rPr>
              <w:t>2对接近开关组合:( 1.电感式传感器；2.24VDC,3.PNP；4.使用于阀门位置反馈（SAMSON开关阀）)</w:t>
            </w:r>
          </w:p>
        </w:tc>
        <w:tc>
          <w:tcPr>
            <w:tcW w:w="367" w:type="dxa"/>
            <w:vAlign w:val="center"/>
          </w:tcPr>
          <w:p w14:paraId="390A2370">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4FE4A04">
            <w:pPr>
              <w:jc w:val="both"/>
              <w:textAlignment w:val="center"/>
              <w:rPr>
                <w:rFonts w:ascii="宋体" w:hAnsi="宋体"/>
                <w:sz w:val="16"/>
                <w:szCs w:val="16"/>
              </w:rPr>
            </w:pPr>
            <w:r>
              <w:rPr>
                <w:rFonts w:ascii="宋体" w:hAnsi="宋体"/>
                <w:sz w:val="16"/>
                <w:szCs w:val="16"/>
              </w:rPr>
              <w:t>11</w:t>
            </w:r>
          </w:p>
        </w:tc>
        <w:tc>
          <w:tcPr>
            <w:tcW w:w="501" w:type="dxa"/>
            <w:shd w:val="clear" w:color="auto" w:fill="auto"/>
            <w:vAlign w:val="center"/>
          </w:tcPr>
          <w:p w14:paraId="1A529188">
            <w:pPr>
              <w:snapToGrid w:val="0"/>
              <w:jc w:val="both"/>
              <w:rPr>
                <w:rFonts w:ascii="宋体" w:hAnsi="宋体" w:cstheme="minorEastAsia"/>
                <w:bCs/>
                <w:sz w:val="16"/>
                <w:szCs w:val="16"/>
              </w:rPr>
            </w:pPr>
          </w:p>
        </w:tc>
      </w:tr>
      <w:tr w14:paraId="575F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2C31675">
            <w:pPr>
              <w:snapToGrid w:val="0"/>
              <w:jc w:val="both"/>
              <w:rPr>
                <w:rFonts w:ascii="宋体" w:hAnsi="宋体" w:cstheme="minorEastAsia"/>
                <w:bCs/>
                <w:sz w:val="16"/>
                <w:szCs w:val="16"/>
              </w:rPr>
            </w:pPr>
            <w:r>
              <w:rPr>
                <w:rFonts w:ascii="宋体" w:hAnsi="宋体"/>
                <w:sz w:val="16"/>
                <w:szCs w:val="16"/>
              </w:rPr>
              <w:t>2.1.4</w:t>
            </w:r>
          </w:p>
        </w:tc>
        <w:tc>
          <w:tcPr>
            <w:tcW w:w="1416" w:type="dxa"/>
            <w:gridSpan w:val="2"/>
            <w:tcBorders>
              <w:top w:val="single" w:color="auto" w:sz="4" w:space="0"/>
            </w:tcBorders>
            <w:vAlign w:val="center"/>
          </w:tcPr>
          <w:p w14:paraId="01415B8D">
            <w:pPr>
              <w:snapToGrid w:val="0"/>
              <w:jc w:val="both"/>
              <w:rPr>
                <w:rFonts w:ascii="宋体" w:hAnsi="宋体"/>
                <w:sz w:val="16"/>
                <w:szCs w:val="16"/>
              </w:rPr>
            </w:pPr>
            <w:r>
              <w:rPr>
                <w:rFonts w:hint="eastAsia" w:ascii="宋体" w:hAnsi="宋体"/>
                <w:sz w:val="16"/>
                <w:szCs w:val="16"/>
              </w:rPr>
              <w:t>传感器阀门位置反馈装置（角阀）</w:t>
            </w:r>
          </w:p>
        </w:tc>
        <w:tc>
          <w:tcPr>
            <w:tcW w:w="5253" w:type="dxa"/>
            <w:vAlign w:val="center"/>
          </w:tcPr>
          <w:p w14:paraId="4361E9EB">
            <w:pPr>
              <w:snapToGrid w:val="0"/>
              <w:jc w:val="both"/>
              <w:rPr>
                <w:rFonts w:ascii="宋体" w:hAnsi="宋体"/>
                <w:sz w:val="16"/>
                <w:szCs w:val="16"/>
              </w:rPr>
            </w:pPr>
            <w:r>
              <w:rPr>
                <w:rFonts w:hint="eastAsia" w:ascii="宋体" w:hAnsi="宋体"/>
                <w:sz w:val="16"/>
                <w:szCs w:val="16"/>
              </w:rPr>
              <w:t>角座阀位开关：</w:t>
            </w:r>
            <w:r>
              <w:rPr>
                <w:rFonts w:hint="eastAsia" w:ascii="宋体" w:hAnsi="宋体"/>
                <w:sz w:val="16"/>
                <w:szCs w:val="16"/>
              </w:rPr>
              <w:br w:type="textWrapping"/>
            </w:r>
            <w:r>
              <w:rPr>
                <w:rFonts w:hint="eastAsia" w:ascii="宋体" w:hAnsi="宋体"/>
                <w:sz w:val="16"/>
                <w:szCs w:val="16"/>
              </w:rPr>
              <w:t>1.信号反馈装置 ；</w:t>
            </w:r>
            <w:r>
              <w:rPr>
                <w:rFonts w:hint="eastAsia" w:ascii="宋体" w:hAnsi="宋体"/>
                <w:sz w:val="16"/>
                <w:szCs w:val="16"/>
              </w:rPr>
              <w:br w:type="textWrapping"/>
            </w:r>
            <w:r>
              <w:rPr>
                <w:rFonts w:hint="eastAsia" w:ascii="宋体" w:hAnsi="宋体"/>
                <w:sz w:val="16"/>
                <w:szCs w:val="16"/>
              </w:rPr>
              <w:t>2.外螺纹与角座阀配套；</w:t>
            </w:r>
            <w:r>
              <w:rPr>
                <w:rFonts w:hint="eastAsia" w:ascii="宋体" w:hAnsi="宋体"/>
                <w:sz w:val="16"/>
                <w:szCs w:val="16"/>
              </w:rPr>
              <w:br w:type="textWrapping"/>
            </w:r>
            <w:r>
              <w:rPr>
                <w:rFonts w:hint="eastAsia" w:ascii="宋体" w:hAnsi="宋体"/>
                <w:sz w:val="16"/>
                <w:szCs w:val="16"/>
              </w:rPr>
              <w:t>3.DC12V-48V；</w:t>
            </w:r>
          </w:p>
        </w:tc>
        <w:tc>
          <w:tcPr>
            <w:tcW w:w="367" w:type="dxa"/>
            <w:vAlign w:val="center"/>
          </w:tcPr>
          <w:p w14:paraId="2BF755BC">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4AA0D5FA">
            <w:pPr>
              <w:jc w:val="both"/>
              <w:textAlignment w:val="center"/>
              <w:rPr>
                <w:rFonts w:ascii="宋体" w:hAnsi="宋体"/>
                <w:sz w:val="16"/>
                <w:szCs w:val="16"/>
              </w:rPr>
            </w:pPr>
            <w:r>
              <w:rPr>
                <w:rFonts w:ascii="宋体" w:hAnsi="宋体"/>
                <w:sz w:val="16"/>
                <w:szCs w:val="16"/>
              </w:rPr>
              <w:t>10</w:t>
            </w:r>
          </w:p>
        </w:tc>
        <w:tc>
          <w:tcPr>
            <w:tcW w:w="501" w:type="dxa"/>
            <w:shd w:val="clear" w:color="auto" w:fill="auto"/>
            <w:vAlign w:val="center"/>
          </w:tcPr>
          <w:p w14:paraId="1AAF6FC6">
            <w:pPr>
              <w:snapToGrid w:val="0"/>
              <w:jc w:val="both"/>
              <w:rPr>
                <w:rFonts w:ascii="宋体" w:hAnsi="宋体" w:cstheme="minorEastAsia"/>
                <w:bCs/>
                <w:sz w:val="16"/>
                <w:szCs w:val="16"/>
              </w:rPr>
            </w:pPr>
          </w:p>
        </w:tc>
      </w:tr>
      <w:tr w14:paraId="04BE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7" w:type="dxa"/>
            <w:vAlign w:val="center"/>
          </w:tcPr>
          <w:p w14:paraId="10F5274C">
            <w:pPr>
              <w:snapToGrid w:val="0"/>
              <w:jc w:val="both"/>
              <w:rPr>
                <w:rFonts w:ascii="宋体" w:hAnsi="宋体" w:cstheme="minorEastAsia"/>
                <w:bCs/>
                <w:sz w:val="16"/>
                <w:szCs w:val="16"/>
              </w:rPr>
            </w:pPr>
            <w:r>
              <w:rPr>
                <w:rFonts w:ascii="宋体" w:hAnsi="宋体"/>
                <w:sz w:val="16"/>
                <w:szCs w:val="16"/>
              </w:rPr>
              <w:t>2.1.5</w:t>
            </w:r>
          </w:p>
        </w:tc>
        <w:tc>
          <w:tcPr>
            <w:tcW w:w="1416" w:type="dxa"/>
            <w:gridSpan w:val="2"/>
            <w:tcBorders>
              <w:top w:val="single" w:color="auto" w:sz="4" w:space="0"/>
            </w:tcBorders>
            <w:vAlign w:val="center"/>
          </w:tcPr>
          <w:p w14:paraId="27F140E3">
            <w:pPr>
              <w:snapToGrid w:val="0"/>
              <w:jc w:val="both"/>
              <w:rPr>
                <w:rFonts w:ascii="宋体" w:hAnsi="宋体"/>
                <w:sz w:val="16"/>
                <w:szCs w:val="16"/>
              </w:rPr>
            </w:pPr>
            <w:r>
              <w:rPr>
                <w:rFonts w:hint="eastAsia" w:ascii="宋体" w:hAnsi="宋体"/>
                <w:sz w:val="16"/>
                <w:szCs w:val="16"/>
              </w:rPr>
              <w:t xml:space="preserve">网关 </w:t>
            </w:r>
          </w:p>
        </w:tc>
        <w:tc>
          <w:tcPr>
            <w:tcW w:w="5253" w:type="dxa"/>
            <w:vAlign w:val="center"/>
          </w:tcPr>
          <w:p w14:paraId="6D5319BB">
            <w:pPr>
              <w:snapToGrid w:val="0"/>
              <w:jc w:val="both"/>
              <w:rPr>
                <w:rFonts w:ascii="宋体" w:hAnsi="宋体"/>
                <w:sz w:val="16"/>
                <w:szCs w:val="16"/>
              </w:rPr>
            </w:pPr>
            <w:r>
              <w:rPr>
                <w:rFonts w:hint="eastAsia" w:ascii="宋体" w:hAnsi="宋体"/>
                <w:sz w:val="16"/>
                <w:szCs w:val="16"/>
              </w:rPr>
              <w:t>在工业以太网和PROFIBUS，PROFINET IO-Proxy 带实时通信，连接A最多 64 个 S7/DPV0/DPV1从站</w:t>
            </w:r>
          </w:p>
        </w:tc>
        <w:tc>
          <w:tcPr>
            <w:tcW w:w="367" w:type="dxa"/>
            <w:vAlign w:val="center"/>
          </w:tcPr>
          <w:p w14:paraId="6D1486C2">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4782AA20">
            <w:pPr>
              <w:jc w:val="both"/>
              <w:textAlignment w:val="center"/>
              <w:rPr>
                <w:rFonts w:ascii="宋体" w:hAnsi="宋体"/>
                <w:sz w:val="16"/>
                <w:szCs w:val="16"/>
              </w:rPr>
            </w:pPr>
            <w:r>
              <w:rPr>
                <w:rFonts w:ascii="宋体" w:hAnsi="宋体"/>
                <w:sz w:val="16"/>
                <w:szCs w:val="16"/>
              </w:rPr>
              <w:t>4</w:t>
            </w:r>
          </w:p>
        </w:tc>
        <w:tc>
          <w:tcPr>
            <w:tcW w:w="501" w:type="dxa"/>
            <w:shd w:val="clear" w:color="auto" w:fill="auto"/>
            <w:vAlign w:val="center"/>
          </w:tcPr>
          <w:p w14:paraId="15DAC4D6">
            <w:pPr>
              <w:snapToGrid w:val="0"/>
              <w:jc w:val="both"/>
              <w:rPr>
                <w:rFonts w:ascii="宋体" w:hAnsi="宋体" w:cstheme="minorEastAsia"/>
                <w:bCs/>
                <w:sz w:val="16"/>
                <w:szCs w:val="16"/>
              </w:rPr>
            </w:pPr>
          </w:p>
        </w:tc>
      </w:tr>
      <w:tr w14:paraId="7076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697" w:type="dxa"/>
            <w:vAlign w:val="center"/>
          </w:tcPr>
          <w:p w14:paraId="09FCE944">
            <w:pPr>
              <w:snapToGrid w:val="0"/>
              <w:jc w:val="both"/>
              <w:rPr>
                <w:rFonts w:ascii="宋体" w:hAnsi="宋体" w:cstheme="minorEastAsia"/>
                <w:bCs/>
                <w:sz w:val="16"/>
                <w:szCs w:val="16"/>
              </w:rPr>
            </w:pPr>
            <w:r>
              <w:rPr>
                <w:rFonts w:ascii="宋体" w:hAnsi="宋体"/>
                <w:sz w:val="16"/>
                <w:szCs w:val="16"/>
              </w:rPr>
              <w:t>2.1.6</w:t>
            </w:r>
          </w:p>
        </w:tc>
        <w:tc>
          <w:tcPr>
            <w:tcW w:w="1416" w:type="dxa"/>
            <w:gridSpan w:val="2"/>
            <w:tcBorders>
              <w:top w:val="single" w:color="auto" w:sz="4" w:space="0"/>
            </w:tcBorders>
            <w:vAlign w:val="center"/>
          </w:tcPr>
          <w:p w14:paraId="468D874E">
            <w:pPr>
              <w:snapToGrid w:val="0"/>
              <w:jc w:val="both"/>
              <w:rPr>
                <w:rFonts w:ascii="宋体" w:hAnsi="宋体"/>
                <w:sz w:val="16"/>
                <w:szCs w:val="16"/>
              </w:rPr>
            </w:pPr>
            <w:r>
              <w:rPr>
                <w:rFonts w:hint="eastAsia" w:ascii="宋体" w:hAnsi="宋体"/>
                <w:sz w:val="16"/>
                <w:szCs w:val="16"/>
              </w:rPr>
              <w:t>ET 200SP</w:t>
            </w:r>
          </w:p>
        </w:tc>
        <w:tc>
          <w:tcPr>
            <w:tcW w:w="5253" w:type="dxa"/>
            <w:vAlign w:val="center"/>
          </w:tcPr>
          <w:p w14:paraId="3E8C9E9E">
            <w:pPr>
              <w:snapToGrid w:val="0"/>
              <w:jc w:val="both"/>
              <w:rPr>
                <w:rFonts w:ascii="宋体" w:hAnsi="宋体"/>
                <w:sz w:val="16"/>
                <w:szCs w:val="16"/>
              </w:rPr>
            </w:pPr>
            <w:r>
              <w:rPr>
                <w:rFonts w:hint="eastAsia" w:ascii="宋体" w:hAnsi="宋体"/>
                <w:sz w:val="16"/>
                <w:szCs w:val="16"/>
              </w:rPr>
              <w:t>远程通讯适配器，通讯协议PROFINET</w:t>
            </w:r>
          </w:p>
        </w:tc>
        <w:tc>
          <w:tcPr>
            <w:tcW w:w="367" w:type="dxa"/>
            <w:vAlign w:val="center"/>
          </w:tcPr>
          <w:p w14:paraId="786933ED">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76FA09E0">
            <w:pPr>
              <w:jc w:val="both"/>
              <w:textAlignment w:val="center"/>
              <w:rPr>
                <w:rFonts w:ascii="宋体" w:hAnsi="宋体"/>
                <w:sz w:val="16"/>
                <w:szCs w:val="16"/>
              </w:rPr>
            </w:pPr>
            <w:r>
              <w:rPr>
                <w:rFonts w:ascii="宋体" w:hAnsi="宋体"/>
                <w:sz w:val="16"/>
                <w:szCs w:val="16"/>
              </w:rPr>
              <w:t>4</w:t>
            </w:r>
          </w:p>
        </w:tc>
        <w:tc>
          <w:tcPr>
            <w:tcW w:w="501" w:type="dxa"/>
            <w:shd w:val="clear" w:color="auto" w:fill="auto"/>
            <w:vAlign w:val="center"/>
          </w:tcPr>
          <w:p w14:paraId="157CD150">
            <w:pPr>
              <w:snapToGrid w:val="0"/>
              <w:jc w:val="both"/>
              <w:rPr>
                <w:rFonts w:ascii="宋体" w:hAnsi="宋体" w:cstheme="minorEastAsia"/>
                <w:bCs/>
                <w:sz w:val="16"/>
                <w:szCs w:val="16"/>
              </w:rPr>
            </w:pPr>
          </w:p>
        </w:tc>
      </w:tr>
      <w:tr w14:paraId="2050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5D09768">
            <w:pPr>
              <w:snapToGrid w:val="0"/>
              <w:jc w:val="both"/>
              <w:rPr>
                <w:rFonts w:ascii="宋体" w:hAnsi="宋体" w:cstheme="minorEastAsia"/>
                <w:bCs/>
                <w:sz w:val="16"/>
                <w:szCs w:val="16"/>
              </w:rPr>
            </w:pPr>
            <w:r>
              <w:rPr>
                <w:rFonts w:ascii="宋体" w:hAnsi="宋体"/>
                <w:sz w:val="16"/>
                <w:szCs w:val="16"/>
              </w:rPr>
              <w:t>2.1.7</w:t>
            </w:r>
          </w:p>
        </w:tc>
        <w:tc>
          <w:tcPr>
            <w:tcW w:w="1416" w:type="dxa"/>
            <w:gridSpan w:val="2"/>
            <w:tcBorders>
              <w:top w:val="single" w:color="auto" w:sz="4" w:space="0"/>
            </w:tcBorders>
            <w:vAlign w:val="center"/>
          </w:tcPr>
          <w:p w14:paraId="7E4D2275">
            <w:pPr>
              <w:snapToGrid w:val="0"/>
              <w:jc w:val="both"/>
              <w:rPr>
                <w:rFonts w:ascii="宋体" w:hAnsi="宋体"/>
                <w:sz w:val="16"/>
                <w:szCs w:val="16"/>
              </w:rPr>
            </w:pPr>
            <w:r>
              <w:rPr>
                <w:rFonts w:hint="eastAsia" w:ascii="宋体" w:hAnsi="宋体"/>
                <w:sz w:val="16"/>
                <w:szCs w:val="16"/>
              </w:rPr>
              <w:t>PROFIBUS DP/PA 耦合器（非防爆）</w:t>
            </w:r>
          </w:p>
        </w:tc>
        <w:tc>
          <w:tcPr>
            <w:tcW w:w="5253" w:type="dxa"/>
            <w:vAlign w:val="center"/>
          </w:tcPr>
          <w:p w14:paraId="702FCCC0">
            <w:pPr>
              <w:snapToGrid w:val="0"/>
              <w:jc w:val="both"/>
              <w:rPr>
                <w:rFonts w:ascii="宋体" w:hAnsi="宋体"/>
                <w:sz w:val="16"/>
                <w:szCs w:val="16"/>
              </w:rPr>
            </w:pPr>
            <w:r>
              <w:rPr>
                <w:rFonts w:hint="eastAsia" w:ascii="宋体" w:hAnsi="宋体"/>
                <w:sz w:val="16"/>
                <w:szCs w:val="16"/>
              </w:rPr>
              <w:t>PROFIBUS DP/PA 耦合器（非防爆）现场设备耦合器，用于连接PROFIUS-PA设备，物理接口 PROFIBUS DP转PROFIBUS PA</w:t>
            </w:r>
          </w:p>
        </w:tc>
        <w:tc>
          <w:tcPr>
            <w:tcW w:w="367" w:type="dxa"/>
            <w:vAlign w:val="center"/>
          </w:tcPr>
          <w:p w14:paraId="038EA286">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11FD97D2">
            <w:pPr>
              <w:jc w:val="both"/>
              <w:textAlignment w:val="center"/>
              <w:rPr>
                <w:rFonts w:ascii="宋体" w:hAnsi="宋体"/>
                <w:sz w:val="16"/>
                <w:szCs w:val="16"/>
              </w:rPr>
            </w:pPr>
            <w:r>
              <w:rPr>
                <w:rFonts w:ascii="宋体" w:hAnsi="宋体"/>
                <w:sz w:val="16"/>
                <w:szCs w:val="16"/>
              </w:rPr>
              <w:t>4</w:t>
            </w:r>
          </w:p>
        </w:tc>
        <w:tc>
          <w:tcPr>
            <w:tcW w:w="501" w:type="dxa"/>
            <w:shd w:val="clear" w:color="auto" w:fill="auto"/>
            <w:vAlign w:val="center"/>
          </w:tcPr>
          <w:p w14:paraId="62EFB06E">
            <w:pPr>
              <w:snapToGrid w:val="0"/>
              <w:jc w:val="both"/>
              <w:rPr>
                <w:rFonts w:ascii="宋体" w:hAnsi="宋体" w:cstheme="minorEastAsia"/>
                <w:bCs/>
                <w:sz w:val="16"/>
                <w:szCs w:val="16"/>
              </w:rPr>
            </w:pPr>
          </w:p>
        </w:tc>
      </w:tr>
      <w:tr w14:paraId="5A01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97" w:type="dxa"/>
            <w:vAlign w:val="center"/>
          </w:tcPr>
          <w:p w14:paraId="3702D8E2">
            <w:pPr>
              <w:snapToGrid w:val="0"/>
              <w:jc w:val="both"/>
              <w:rPr>
                <w:rFonts w:ascii="宋体" w:hAnsi="宋体" w:cstheme="minorEastAsia"/>
                <w:b/>
                <w:bCs/>
                <w:sz w:val="21"/>
                <w:szCs w:val="21"/>
              </w:rPr>
            </w:pPr>
            <w:r>
              <w:rPr>
                <w:rFonts w:ascii="宋体" w:hAnsi="宋体" w:cstheme="minorEastAsia"/>
                <w:b/>
                <w:bCs/>
                <w:sz w:val="21"/>
                <w:szCs w:val="21"/>
              </w:rPr>
              <w:t>2.2</w:t>
            </w:r>
          </w:p>
        </w:tc>
        <w:tc>
          <w:tcPr>
            <w:tcW w:w="8364" w:type="dxa"/>
            <w:gridSpan w:val="6"/>
            <w:shd w:val="clear" w:color="auto" w:fill="auto"/>
          </w:tcPr>
          <w:p w14:paraId="03471BCA">
            <w:pPr>
              <w:spacing w:after="0" w:line="240" w:lineRule="auto"/>
              <w:rPr>
                <w:rFonts w:ascii="宋体" w:hAnsi="宋体"/>
                <w:b/>
                <w:sz w:val="16"/>
                <w:szCs w:val="16"/>
              </w:rPr>
            </w:pPr>
            <w:r>
              <w:rPr>
                <w:rFonts w:hint="eastAsia" w:ascii="宋体" w:hAnsi="宋体"/>
                <w:b/>
                <w:sz w:val="16"/>
                <w:szCs w:val="16"/>
              </w:rPr>
              <w:t>回潮机新增</w:t>
            </w:r>
          </w:p>
        </w:tc>
      </w:tr>
      <w:tr w14:paraId="44DD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87A089A">
            <w:pPr>
              <w:snapToGrid w:val="0"/>
              <w:jc w:val="both"/>
              <w:rPr>
                <w:rFonts w:ascii="宋体" w:hAnsi="宋体" w:cstheme="minorEastAsia"/>
                <w:bCs/>
                <w:sz w:val="16"/>
                <w:szCs w:val="16"/>
              </w:rPr>
            </w:pPr>
            <w:r>
              <w:rPr>
                <w:rFonts w:ascii="宋体" w:hAnsi="宋体"/>
                <w:sz w:val="16"/>
                <w:szCs w:val="16"/>
              </w:rPr>
              <w:t>2.2.1</w:t>
            </w:r>
          </w:p>
        </w:tc>
        <w:tc>
          <w:tcPr>
            <w:tcW w:w="1416" w:type="dxa"/>
            <w:gridSpan w:val="2"/>
            <w:tcBorders>
              <w:top w:val="single" w:color="auto" w:sz="4" w:space="0"/>
            </w:tcBorders>
            <w:vAlign w:val="center"/>
          </w:tcPr>
          <w:p w14:paraId="3CA8CA65">
            <w:pPr>
              <w:snapToGrid w:val="0"/>
              <w:jc w:val="both"/>
              <w:rPr>
                <w:rFonts w:ascii="宋体" w:hAnsi="宋体"/>
                <w:sz w:val="16"/>
                <w:szCs w:val="16"/>
              </w:rPr>
            </w:pPr>
            <w:r>
              <w:rPr>
                <w:rFonts w:hint="eastAsia" w:ascii="宋体" w:hAnsi="宋体"/>
                <w:sz w:val="16"/>
                <w:szCs w:val="16"/>
              </w:rPr>
              <w:t>压力变送器</w:t>
            </w:r>
          </w:p>
        </w:tc>
        <w:tc>
          <w:tcPr>
            <w:tcW w:w="5253" w:type="dxa"/>
            <w:vAlign w:val="center"/>
          </w:tcPr>
          <w:p w14:paraId="3269655A">
            <w:pPr>
              <w:snapToGrid w:val="0"/>
              <w:jc w:val="both"/>
              <w:rPr>
                <w:rFonts w:ascii="宋体" w:hAnsi="宋体"/>
                <w:sz w:val="16"/>
                <w:szCs w:val="16"/>
              </w:rPr>
            </w:pPr>
            <w:r>
              <w:rPr>
                <w:rFonts w:hint="eastAsia" w:ascii="宋体" w:hAnsi="宋体"/>
                <w:sz w:val="16"/>
                <w:szCs w:val="16"/>
              </w:rPr>
              <w:t xml:space="preserve"> 1.应用场合：液体、气体、蒸汽压力的测量</w:t>
            </w:r>
            <w:r>
              <w:rPr>
                <w:rFonts w:hint="eastAsia" w:ascii="宋体" w:hAnsi="宋体"/>
                <w:sz w:val="16"/>
                <w:szCs w:val="16"/>
              </w:rPr>
              <w:br w:type="textWrapping"/>
            </w:r>
            <w:r>
              <w:rPr>
                <w:rFonts w:hint="eastAsia" w:ascii="宋体" w:hAnsi="宋体"/>
                <w:sz w:val="16"/>
                <w:szCs w:val="16"/>
              </w:rPr>
              <w:t xml:space="preserve"> 2.精度等级： 0.25% </w:t>
            </w:r>
            <w:r>
              <w:rPr>
                <w:rFonts w:hint="eastAsia" w:ascii="宋体" w:hAnsi="宋体"/>
                <w:sz w:val="16"/>
                <w:szCs w:val="16"/>
              </w:rPr>
              <w:br w:type="textWrapping"/>
            </w:r>
            <w:r>
              <w:rPr>
                <w:rFonts w:hint="eastAsia" w:ascii="宋体" w:hAnsi="宋体"/>
                <w:sz w:val="16"/>
                <w:szCs w:val="16"/>
              </w:rPr>
              <w:t xml:space="preserve"> 3.供电电源 15～36 VDC（标定电压24VDC）</w:t>
            </w:r>
            <w:r>
              <w:rPr>
                <w:rFonts w:hint="eastAsia" w:ascii="宋体" w:hAnsi="宋体"/>
                <w:sz w:val="16"/>
                <w:szCs w:val="16"/>
              </w:rPr>
              <w:br w:type="textWrapping"/>
            </w:r>
            <w:r>
              <w:rPr>
                <w:rFonts w:hint="eastAsia" w:ascii="宋体" w:hAnsi="宋体"/>
                <w:sz w:val="16"/>
                <w:szCs w:val="16"/>
              </w:rPr>
              <w:t xml:space="preserve"> 4.输出信号 (4～20)mA</w:t>
            </w:r>
            <w:r>
              <w:rPr>
                <w:rFonts w:hint="eastAsia" w:ascii="宋体" w:hAnsi="宋体"/>
                <w:sz w:val="16"/>
                <w:szCs w:val="16"/>
              </w:rPr>
              <w:br w:type="textWrapping"/>
            </w:r>
            <w:r>
              <w:rPr>
                <w:rFonts w:hint="eastAsia" w:ascii="宋体" w:hAnsi="宋体"/>
                <w:sz w:val="16"/>
                <w:szCs w:val="16"/>
              </w:rPr>
              <w:t xml:space="preserve"> 5.显示方式 ：指针表头或数字显示可选配 </w:t>
            </w:r>
          </w:p>
        </w:tc>
        <w:tc>
          <w:tcPr>
            <w:tcW w:w="367" w:type="dxa"/>
            <w:vAlign w:val="center"/>
          </w:tcPr>
          <w:p w14:paraId="5D8FC24E">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6F1E2165">
            <w:pPr>
              <w:jc w:val="both"/>
              <w:textAlignment w:val="center"/>
              <w:rPr>
                <w:rFonts w:ascii="宋体" w:hAnsi="宋体"/>
                <w:sz w:val="16"/>
                <w:szCs w:val="16"/>
              </w:rPr>
            </w:pPr>
            <w:r>
              <w:rPr>
                <w:rFonts w:hint="eastAsia" w:ascii="宋体" w:hAnsi="宋体"/>
                <w:sz w:val="16"/>
                <w:szCs w:val="16"/>
              </w:rPr>
              <w:t>6</w:t>
            </w:r>
          </w:p>
        </w:tc>
        <w:tc>
          <w:tcPr>
            <w:tcW w:w="501" w:type="dxa"/>
            <w:shd w:val="clear" w:color="auto" w:fill="auto"/>
            <w:vAlign w:val="center"/>
          </w:tcPr>
          <w:p w14:paraId="58AECC37">
            <w:pPr>
              <w:snapToGrid w:val="0"/>
              <w:jc w:val="both"/>
              <w:rPr>
                <w:rFonts w:ascii="宋体" w:hAnsi="宋体" w:cstheme="minorEastAsia"/>
                <w:bCs/>
                <w:sz w:val="16"/>
                <w:szCs w:val="16"/>
              </w:rPr>
            </w:pPr>
          </w:p>
        </w:tc>
      </w:tr>
      <w:tr w14:paraId="5646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5700D14">
            <w:pPr>
              <w:snapToGrid w:val="0"/>
              <w:jc w:val="both"/>
              <w:rPr>
                <w:rFonts w:ascii="宋体" w:hAnsi="宋体" w:cstheme="minorEastAsia"/>
                <w:bCs/>
                <w:sz w:val="16"/>
                <w:szCs w:val="16"/>
              </w:rPr>
            </w:pPr>
            <w:r>
              <w:rPr>
                <w:rFonts w:ascii="宋体" w:hAnsi="宋体"/>
                <w:sz w:val="16"/>
                <w:szCs w:val="16"/>
              </w:rPr>
              <w:t>2.2.2</w:t>
            </w:r>
          </w:p>
        </w:tc>
        <w:tc>
          <w:tcPr>
            <w:tcW w:w="1416" w:type="dxa"/>
            <w:gridSpan w:val="2"/>
            <w:tcBorders>
              <w:top w:val="single" w:color="auto" w:sz="4" w:space="0"/>
            </w:tcBorders>
            <w:vAlign w:val="center"/>
          </w:tcPr>
          <w:p w14:paraId="66B2AF79">
            <w:pPr>
              <w:snapToGrid w:val="0"/>
              <w:jc w:val="both"/>
              <w:rPr>
                <w:rFonts w:ascii="宋体" w:hAnsi="宋体"/>
                <w:sz w:val="16"/>
                <w:szCs w:val="16"/>
              </w:rPr>
            </w:pPr>
            <w:r>
              <w:rPr>
                <w:rFonts w:hint="eastAsia" w:ascii="宋体" w:hAnsi="宋体"/>
                <w:sz w:val="16"/>
                <w:szCs w:val="16"/>
              </w:rPr>
              <w:t>滚筒增温湿蒸汽控制</w:t>
            </w:r>
          </w:p>
        </w:tc>
        <w:tc>
          <w:tcPr>
            <w:tcW w:w="5253" w:type="dxa"/>
            <w:vAlign w:val="center"/>
          </w:tcPr>
          <w:p w14:paraId="7002B4DB">
            <w:pPr>
              <w:snapToGrid w:val="0"/>
              <w:jc w:val="both"/>
              <w:rPr>
                <w:rFonts w:ascii="宋体" w:hAnsi="宋体"/>
                <w:sz w:val="16"/>
                <w:szCs w:val="16"/>
              </w:rPr>
            </w:pPr>
            <w:r>
              <w:rPr>
                <w:rFonts w:hint="eastAsia" w:ascii="宋体" w:hAnsi="宋体"/>
                <w:sz w:val="16"/>
                <w:szCs w:val="16"/>
              </w:rPr>
              <w:t>1.适用于：SAMSON 调节阀；</w:t>
            </w:r>
            <w:r>
              <w:rPr>
                <w:rFonts w:hint="eastAsia" w:ascii="宋体" w:hAnsi="宋体"/>
                <w:sz w:val="16"/>
                <w:szCs w:val="16"/>
              </w:rPr>
              <w:br w:type="textWrapping"/>
            </w:r>
            <w:r>
              <w:rPr>
                <w:rFonts w:hint="eastAsia" w:ascii="宋体" w:hAnsi="宋体"/>
                <w:sz w:val="16"/>
                <w:szCs w:val="16"/>
              </w:rPr>
              <w:t>2.与3730-4-Profibus-PA定位器参数一致</w:t>
            </w:r>
            <w:r>
              <w:rPr>
                <w:rFonts w:hint="eastAsia" w:ascii="宋体" w:hAnsi="宋体"/>
                <w:sz w:val="16"/>
                <w:szCs w:val="16"/>
              </w:rPr>
              <w:br w:type="textWrapping"/>
            </w:r>
            <w:r>
              <w:rPr>
                <w:rFonts w:hint="eastAsia" w:ascii="宋体" w:hAnsi="宋体"/>
                <w:sz w:val="16"/>
                <w:szCs w:val="16"/>
              </w:rPr>
              <w:t>3.带 LCD 显示和自动调整功能，PROFIBUS-PA</w:t>
            </w:r>
          </w:p>
        </w:tc>
        <w:tc>
          <w:tcPr>
            <w:tcW w:w="367" w:type="dxa"/>
            <w:vAlign w:val="center"/>
          </w:tcPr>
          <w:p w14:paraId="7D172A79">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7CC55CBD">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387AB388">
            <w:pPr>
              <w:snapToGrid w:val="0"/>
              <w:jc w:val="both"/>
              <w:rPr>
                <w:rFonts w:ascii="宋体" w:hAnsi="宋体" w:cstheme="minorEastAsia"/>
                <w:bCs/>
                <w:sz w:val="16"/>
                <w:szCs w:val="16"/>
              </w:rPr>
            </w:pPr>
          </w:p>
        </w:tc>
      </w:tr>
      <w:tr w14:paraId="0F2D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F62A853">
            <w:pPr>
              <w:snapToGrid w:val="0"/>
              <w:jc w:val="both"/>
              <w:rPr>
                <w:rFonts w:ascii="宋体" w:hAnsi="宋体" w:cstheme="minorEastAsia"/>
                <w:bCs/>
                <w:sz w:val="16"/>
                <w:szCs w:val="16"/>
              </w:rPr>
            </w:pPr>
            <w:r>
              <w:rPr>
                <w:rFonts w:ascii="宋体" w:hAnsi="宋体"/>
                <w:sz w:val="16"/>
                <w:szCs w:val="16"/>
              </w:rPr>
              <w:t>2.2.3</w:t>
            </w:r>
          </w:p>
        </w:tc>
        <w:tc>
          <w:tcPr>
            <w:tcW w:w="1416" w:type="dxa"/>
            <w:gridSpan w:val="2"/>
            <w:tcBorders>
              <w:top w:val="single" w:color="auto" w:sz="4" w:space="0"/>
            </w:tcBorders>
            <w:vAlign w:val="center"/>
          </w:tcPr>
          <w:p w14:paraId="66E06F49">
            <w:pPr>
              <w:snapToGrid w:val="0"/>
              <w:jc w:val="both"/>
              <w:rPr>
                <w:rFonts w:ascii="宋体" w:hAnsi="宋体"/>
                <w:sz w:val="16"/>
                <w:szCs w:val="16"/>
              </w:rPr>
            </w:pPr>
            <w:r>
              <w:rPr>
                <w:rFonts w:hint="eastAsia" w:ascii="宋体" w:hAnsi="宋体"/>
                <w:sz w:val="16"/>
                <w:szCs w:val="16"/>
              </w:rPr>
              <w:t>加水流量计（PA）</w:t>
            </w:r>
          </w:p>
        </w:tc>
        <w:tc>
          <w:tcPr>
            <w:tcW w:w="5253" w:type="dxa"/>
            <w:vAlign w:val="center"/>
          </w:tcPr>
          <w:p w14:paraId="4B1A3C61">
            <w:pPr>
              <w:snapToGrid w:val="0"/>
              <w:jc w:val="both"/>
              <w:rPr>
                <w:rFonts w:ascii="宋体" w:hAnsi="宋体"/>
                <w:sz w:val="16"/>
                <w:szCs w:val="16"/>
              </w:rPr>
            </w:pPr>
            <w:r>
              <w:rPr>
                <w:rFonts w:hint="eastAsia" w:ascii="宋体" w:hAnsi="宋体"/>
                <w:sz w:val="16"/>
                <w:szCs w:val="16"/>
              </w:rPr>
              <w:t>1.口径：DN15；</w:t>
            </w:r>
            <w:r>
              <w:rPr>
                <w:rFonts w:hint="eastAsia" w:ascii="宋体" w:hAnsi="宋体"/>
                <w:sz w:val="16"/>
                <w:szCs w:val="16"/>
              </w:rPr>
              <w:br w:type="textWrapping"/>
            </w:r>
            <w:r>
              <w:rPr>
                <w:rFonts w:hint="eastAsia" w:ascii="宋体" w:hAnsi="宋体"/>
                <w:sz w:val="16"/>
                <w:szCs w:val="16"/>
              </w:rPr>
              <w:t>2.一体式仪表含（传感器+仪表+PA接口）</w:t>
            </w:r>
            <w:r>
              <w:rPr>
                <w:rFonts w:hint="eastAsia" w:ascii="宋体" w:hAnsi="宋体"/>
                <w:sz w:val="16"/>
                <w:szCs w:val="16"/>
              </w:rPr>
              <w:br w:type="textWrapping"/>
            </w:r>
            <w:r>
              <w:rPr>
                <w:rFonts w:hint="eastAsia" w:ascii="宋体" w:hAnsi="宋体"/>
                <w:sz w:val="16"/>
                <w:szCs w:val="16"/>
              </w:rPr>
              <w:t>3.测量介质：水</w:t>
            </w:r>
          </w:p>
        </w:tc>
        <w:tc>
          <w:tcPr>
            <w:tcW w:w="367" w:type="dxa"/>
            <w:vAlign w:val="center"/>
          </w:tcPr>
          <w:p w14:paraId="24129593">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7800E671">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0AFC6150">
            <w:pPr>
              <w:snapToGrid w:val="0"/>
              <w:jc w:val="both"/>
              <w:rPr>
                <w:rFonts w:ascii="宋体" w:hAnsi="宋体" w:cstheme="minorEastAsia"/>
                <w:bCs/>
                <w:sz w:val="16"/>
                <w:szCs w:val="16"/>
              </w:rPr>
            </w:pPr>
          </w:p>
        </w:tc>
      </w:tr>
      <w:tr w14:paraId="21B3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97" w:type="dxa"/>
            <w:vAlign w:val="center"/>
          </w:tcPr>
          <w:p w14:paraId="6F85DE3C">
            <w:pPr>
              <w:snapToGrid w:val="0"/>
              <w:jc w:val="both"/>
              <w:rPr>
                <w:rFonts w:ascii="宋体" w:hAnsi="宋体" w:cstheme="minorEastAsia"/>
                <w:bCs/>
                <w:sz w:val="16"/>
                <w:szCs w:val="16"/>
              </w:rPr>
            </w:pPr>
            <w:r>
              <w:rPr>
                <w:rFonts w:ascii="宋体" w:hAnsi="宋体"/>
                <w:sz w:val="16"/>
                <w:szCs w:val="16"/>
              </w:rPr>
              <w:t>2.2.4</w:t>
            </w:r>
          </w:p>
        </w:tc>
        <w:tc>
          <w:tcPr>
            <w:tcW w:w="1416" w:type="dxa"/>
            <w:gridSpan w:val="2"/>
            <w:tcBorders>
              <w:top w:val="single" w:color="auto" w:sz="4" w:space="0"/>
            </w:tcBorders>
            <w:vAlign w:val="center"/>
          </w:tcPr>
          <w:p w14:paraId="7DAB90D0">
            <w:pPr>
              <w:snapToGrid w:val="0"/>
              <w:jc w:val="both"/>
              <w:rPr>
                <w:rFonts w:ascii="宋体" w:hAnsi="宋体"/>
                <w:sz w:val="16"/>
                <w:szCs w:val="16"/>
              </w:rPr>
            </w:pPr>
            <w:r>
              <w:rPr>
                <w:rFonts w:hint="eastAsia" w:ascii="宋体" w:hAnsi="宋体"/>
                <w:sz w:val="16"/>
                <w:szCs w:val="16"/>
              </w:rPr>
              <w:t>滚筒转速检测</w:t>
            </w:r>
          </w:p>
        </w:tc>
        <w:tc>
          <w:tcPr>
            <w:tcW w:w="5253" w:type="dxa"/>
            <w:vAlign w:val="center"/>
          </w:tcPr>
          <w:p w14:paraId="39DF86DB">
            <w:pPr>
              <w:snapToGrid w:val="0"/>
              <w:jc w:val="both"/>
              <w:rPr>
                <w:rFonts w:ascii="宋体" w:hAnsi="宋体"/>
                <w:sz w:val="16"/>
                <w:szCs w:val="16"/>
              </w:rPr>
            </w:pPr>
            <w:r>
              <w:rPr>
                <w:rFonts w:hint="eastAsia" w:ascii="宋体" w:hAnsi="宋体"/>
                <w:sz w:val="16"/>
                <w:szCs w:val="16"/>
              </w:rPr>
              <w:t>1.电感式传感器；</w:t>
            </w:r>
            <w:r>
              <w:rPr>
                <w:rFonts w:hint="eastAsia" w:ascii="宋体" w:hAnsi="宋体"/>
                <w:sz w:val="16"/>
                <w:szCs w:val="16"/>
              </w:rPr>
              <w:br w:type="textWrapping"/>
            </w:r>
            <w:r>
              <w:rPr>
                <w:rFonts w:hint="eastAsia" w:ascii="宋体" w:hAnsi="宋体"/>
                <w:sz w:val="16"/>
                <w:szCs w:val="16"/>
              </w:rPr>
              <w:t>2.15mm 齐平</w:t>
            </w:r>
            <w:r>
              <w:rPr>
                <w:rFonts w:hint="eastAsia" w:ascii="宋体" w:hAnsi="宋体"/>
                <w:sz w:val="16"/>
                <w:szCs w:val="16"/>
              </w:rPr>
              <w:br w:type="textWrapping"/>
            </w:r>
            <w:r>
              <w:rPr>
                <w:rFonts w:hint="eastAsia" w:ascii="宋体" w:hAnsi="宋体"/>
                <w:sz w:val="16"/>
                <w:szCs w:val="16"/>
              </w:rPr>
              <w:t>3.PNP；4.时间延迟最大：15毫秒</w:t>
            </w:r>
          </w:p>
        </w:tc>
        <w:tc>
          <w:tcPr>
            <w:tcW w:w="367" w:type="dxa"/>
            <w:vAlign w:val="center"/>
          </w:tcPr>
          <w:p w14:paraId="5D5D0887">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551CFEFB">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D953F8A">
            <w:pPr>
              <w:snapToGrid w:val="0"/>
              <w:jc w:val="both"/>
              <w:rPr>
                <w:rFonts w:ascii="宋体" w:hAnsi="宋体" w:cstheme="minorEastAsia"/>
                <w:bCs/>
                <w:sz w:val="16"/>
                <w:szCs w:val="16"/>
              </w:rPr>
            </w:pPr>
          </w:p>
        </w:tc>
      </w:tr>
      <w:tr w14:paraId="4979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697" w:type="dxa"/>
            <w:vAlign w:val="center"/>
          </w:tcPr>
          <w:p w14:paraId="78CE5EA3">
            <w:pPr>
              <w:snapToGrid w:val="0"/>
              <w:jc w:val="both"/>
              <w:rPr>
                <w:rFonts w:ascii="宋体" w:hAnsi="宋体" w:cstheme="minorEastAsia"/>
                <w:bCs/>
                <w:sz w:val="16"/>
                <w:szCs w:val="16"/>
              </w:rPr>
            </w:pPr>
            <w:r>
              <w:rPr>
                <w:rFonts w:ascii="宋体" w:hAnsi="宋体"/>
                <w:sz w:val="16"/>
                <w:szCs w:val="16"/>
              </w:rPr>
              <w:t>2.2.5</w:t>
            </w:r>
          </w:p>
        </w:tc>
        <w:tc>
          <w:tcPr>
            <w:tcW w:w="1416" w:type="dxa"/>
            <w:gridSpan w:val="2"/>
            <w:tcBorders>
              <w:top w:val="single" w:color="auto" w:sz="4" w:space="0"/>
            </w:tcBorders>
            <w:vAlign w:val="center"/>
          </w:tcPr>
          <w:p w14:paraId="201193CB">
            <w:pPr>
              <w:snapToGrid w:val="0"/>
              <w:jc w:val="both"/>
              <w:rPr>
                <w:rFonts w:ascii="宋体" w:hAnsi="宋体"/>
                <w:sz w:val="16"/>
                <w:szCs w:val="16"/>
              </w:rPr>
            </w:pPr>
            <w:r>
              <w:rPr>
                <w:rFonts w:hint="eastAsia" w:ascii="宋体" w:hAnsi="宋体"/>
                <w:sz w:val="16"/>
                <w:szCs w:val="16"/>
              </w:rPr>
              <w:t>水温度检测</w:t>
            </w:r>
          </w:p>
        </w:tc>
        <w:tc>
          <w:tcPr>
            <w:tcW w:w="5253" w:type="dxa"/>
            <w:vAlign w:val="center"/>
          </w:tcPr>
          <w:p w14:paraId="5D5FA0E5">
            <w:pPr>
              <w:snapToGrid w:val="0"/>
              <w:jc w:val="both"/>
              <w:rPr>
                <w:rFonts w:ascii="宋体" w:hAnsi="宋体"/>
                <w:sz w:val="16"/>
                <w:szCs w:val="16"/>
              </w:rPr>
            </w:pPr>
            <w:r>
              <w:rPr>
                <w:rFonts w:hint="eastAsia" w:ascii="宋体" w:hAnsi="宋体"/>
                <w:sz w:val="16"/>
                <w:szCs w:val="16"/>
              </w:rPr>
              <w:t>显示变送一体化温度变送器</w:t>
            </w:r>
            <w:r>
              <w:rPr>
                <w:rFonts w:hint="eastAsia" w:ascii="宋体" w:hAnsi="宋体"/>
                <w:sz w:val="16"/>
                <w:szCs w:val="16"/>
              </w:rPr>
              <w:br w:type="textWrapping"/>
            </w:r>
            <w:r>
              <w:rPr>
                <w:rFonts w:hint="eastAsia" w:ascii="宋体" w:hAnsi="宋体"/>
                <w:sz w:val="16"/>
                <w:szCs w:val="16"/>
              </w:rPr>
              <w:t>1. 测量精度: &lt;热电阻&gt; ± 0.5%</w:t>
            </w:r>
            <w:r>
              <w:rPr>
                <w:rFonts w:hint="eastAsia" w:ascii="宋体" w:hAnsi="宋体"/>
                <w:sz w:val="16"/>
                <w:szCs w:val="16"/>
              </w:rPr>
              <w:br w:type="textWrapping"/>
            </w:r>
            <w:r>
              <w:rPr>
                <w:rFonts w:hint="eastAsia" w:ascii="宋体" w:hAnsi="宋体"/>
                <w:sz w:val="16"/>
                <w:szCs w:val="16"/>
              </w:rPr>
              <w:t>2. 热电阻测温范围: &lt;Pt100&gt;-200～450℃</w:t>
            </w:r>
            <w:r>
              <w:rPr>
                <w:rFonts w:hint="eastAsia" w:ascii="宋体" w:hAnsi="宋体"/>
                <w:sz w:val="16"/>
                <w:szCs w:val="16"/>
              </w:rPr>
              <w:br w:type="textWrapping"/>
            </w:r>
            <w:r>
              <w:rPr>
                <w:rFonts w:hint="eastAsia" w:ascii="宋体" w:hAnsi="宋体"/>
                <w:sz w:val="16"/>
                <w:szCs w:val="16"/>
              </w:rPr>
              <w:t>3. 输出信号: 4-20mA</w:t>
            </w:r>
            <w:r>
              <w:rPr>
                <w:rFonts w:hint="eastAsia" w:ascii="宋体" w:hAnsi="宋体"/>
                <w:sz w:val="16"/>
                <w:szCs w:val="16"/>
              </w:rPr>
              <w:br w:type="textWrapping"/>
            </w:r>
            <w:r>
              <w:rPr>
                <w:rFonts w:hint="eastAsia" w:ascii="宋体" w:hAnsi="宋体"/>
                <w:sz w:val="16"/>
                <w:szCs w:val="16"/>
              </w:rPr>
              <w:t>4. 环境温度: -10～85℃</w:t>
            </w:r>
            <w:r>
              <w:rPr>
                <w:rFonts w:hint="eastAsia" w:ascii="宋体" w:hAnsi="宋体"/>
                <w:sz w:val="16"/>
                <w:szCs w:val="16"/>
              </w:rPr>
              <w:br w:type="textWrapping"/>
            </w:r>
            <w:r>
              <w:rPr>
                <w:rFonts w:hint="eastAsia" w:ascii="宋体" w:hAnsi="宋体"/>
                <w:sz w:val="16"/>
                <w:szCs w:val="16"/>
              </w:rPr>
              <w:t>5. 显示范围: -1999～1999</w:t>
            </w:r>
            <w:r>
              <w:rPr>
                <w:rFonts w:hint="eastAsia" w:ascii="宋体" w:hAnsi="宋体"/>
                <w:sz w:val="16"/>
                <w:szCs w:val="16"/>
              </w:rPr>
              <w:br w:type="textWrapping"/>
            </w:r>
            <w:r>
              <w:rPr>
                <w:rFonts w:hint="eastAsia" w:ascii="宋体" w:hAnsi="宋体"/>
                <w:sz w:val="16"/>
                <w:szCs w:val="16"/>
              </w:rPr>
              <w:t>6. 防护等级: IP65</w:t>
            </w:r>
          </w:p>
        </w:tc>
        <w:tc>
          <w:tcPr>
            <w:tcW w:w="367" w:type="dxa"/>
            <w:vAlign w:val="center"/>
          </w:tcPr>
          <w:p w14:paraId="3D9D5199">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57501E77">
            <w:pPr>
              <w:jc w:val="both"/>
              <w:textAlignment w:val="center"/>
              <w:rPr>
                <w:rFonts w:ascii="宋体" w:hAnsi="宋体"/>
                <w:sz w:val="16"/>
                <w:szCs w:val="16"/>
              </w:rPr>
            </w:pPr>
            <w:r>
              <w:rPr>
                <w:rFonts w:hint="eastAsia" w:ascii="宋体" w:hAnsi="宋体"/>
                <w:sz w:val="16"/>
                <w:szCs w:val="16"/>
              </w:rPr>
              <w:t>2</w:t>
            </w:r>
          </w:p>
        </w:tc>
        <w:tc>
          <w:tcPr>
            <w:tcW w:w="501" w:type="dxa"/>
            <w:shd w:val="clear" w:color="auto" w:fill="auto"/>
            <w:vAlign w:val="center"/>
          </w:tcPr>
          <w:p w14:paraId="7B500FC0">
            <w:pPr>
              <w:snapToGrid w:val="0"/>
              <w:jc w:val="both"/>
              <w:rPr>
                <w:rFonts w:ascii="宋体" w:hAnsi="宋体" w:cstheme="minorEastAsia"/>
                <w:bCs/>
                <w:sz w:val="16"/>
                <w:szCs w:val="16"/>
              </w:rPr>
            </w:pPr>
          </w:p>
        </w:tc>
      </w:tr>
      <w:tr w14:paraId="02B9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A9BF99C">
            <w:pPr>
              <w:snapToGrid w:val="0"/>
              <w:jc w:val="both"/>
              <w:rPr>
                <w:rFonts w:ascii="宋体" w:hAnsi="宋体" w:cstheme="minorEastAsia"/>
                <w:bCs/>
                <w:sz w:val="16"/>
                <w:szCs w:val="16"/>
              </w:rPr>
            </w:pPr>
            <w:r>
              <w:rPr>
                <w:rFonts w:ascii="宋体" w:hAnsi="宋体"/>
                <w:sz w:val="16"/>
                <w:szCs w:val="16"/>
              </w:rPr>
              <w:t>2.2.6</w:t>
            </w:r>
          </w:p>
        </w:tc>
        <w:tc>
          <w:tcPr>
            <w:tcW w:w="1416" w:type="dxa"/>
            <w:gridSpan w:val="2"/>
            <w:tcBorders>
              <w:top w:val="single" w:color="auto" w:sz="4" w:space="0"/>
            </w:tcBorders>
            <w:vAlign w:val="center"/>
          </w:tcPr>
          <w:p w14:paraId="5CC3C3AA">
            <w:pPr>
              <w:snapToGrid w:val="0"/>
              <w:jc w:val="both"/>
              <w:rPr>
                <w:rFonts w:ascii="宋体" w:hAnsi="宋体"/>
                <w:sz w:val="16"/>
                <w:szCs w:val="16"/>
              </w:rPr>
            </w:pPr>
            <w:r>
              <w:rPr>
                <w:rFonts w:hint="eastAsia" w:ascii="宋体" w:hAnsi="宋体"/>
                <w:sz w:val="16"/>
                <w:szCs w:val="16"/>
              </w:rPr>
              <w:t>温湿度变送器</w:t>
            </w:r>
          </w:p>
        </w:tc>
        <w:tc>
          <w:tcPr>
            <w:tcW w:w="5253" w:type="dxa"/>
            <w:vAlign w:val="center"/>
          </w:tcPr>
          <w:p w14:paraId="5D364379">
            <w:pPr>
              <w:snapToGrid w:val="0"/>
              <w:jc w:val="both"/>
              <w:rPr>
                <w:rFonts w:ascii="宋体" w:hAnsi="宋体"/>
                <w:sz w:val="16"/>
                <w:szCs w:val="16"/>
              </w:rPr>
            </w:pPr>
            <w:r>
              <w:rPr>
                <w:rFonts w:hint="eastAsia" w:ascii="宋体" w:hAnsi="宋体"/>
                <w:sz w:val="16"/>
                <w:szCs w:val="16"/>
              </w:rPr>
              <w:t>壁挂，相对湿度：1.量程：0~100%RH；2.准确度(包括非线性度，迟滞和重复性）：±3%RH;3.分辨率：0.1%RH</w:t>
            </w:r>
            <w:r>
              <w:rPr>
                <w:rFonts w:hint="eastAsia" w:ascii="宋体" w:hAnsi="宋体"/>
                <w:sz w:val="16"/>
                <w:szCs w:val="16"/>
              </w:rPr>
              <w:br w:type="textWrapping"/>
            </w:r>
            <w:r>
              <w:rPr>
                <w:rFonts w:hint="eastAsia" w:ascii="宋体" w:hAnsi="宋体"/>
                <w:sz w:val="16"/>
                <w:szCs w:val="16"/>
              </w:rPr>
              <w:t>温度:1.量程(可通过拔码开关设置)：0~+50℃/ -20~+80℃/ -40~+60℃/客户定制;2.准确度：±0.3℃（典型值）;3.分辨率：0.1℃</w:t>
            </w:r>
            <w:r>
              <w:rPr>
                <w:rFonts w:hint="eastAsia" w:ascii="宋体" w:hAnsi="宋体"/>
                <w:sz w:val="16"/>
                <w:szCs w:val="16"/>
              </w:rPr>
              <w:br w:type="textWrapping"/>
            </w:r>
            <w:r>
              <w:rPr>
                <w:rFonts w:hint="eastAsia" w:ascii="宋体" w:hAnsi="宋体"/>
                <w:sz w:val="16"/>
                <w:szCs w:val="16"/>
              </w:rPr>
              <w:t>工作电压：12~36VDC</w:t>
            </w:r>
            <w:r>
              <w:rPr>
                <w:rFonts w:hint="eastAsia" w:ascii="宋体" w:hAnsi="宋体"/>
                <w:sz w:val="16"/>
                <w:szCs w:val="16"/>
              </w:rPr>
              <w:br w:type="textWrapping"/>
            </w:r>
            <w:r>
              <w:rPr>
                <w:rFonts w:hint="eastAsia" w:ascii="宋体" w:hAnsi="宋体"/>
                <w:sz w:val="16"/>
                <w:szCs w:val="16"/>
              </w:rPr>
              <w:t>输出信号：4-20mA；</w:t>
            </w:r>
          </w:p>
        </w:tc>
        <w:tc>
          <w:tcPr>
            <w:tcW w:w="367" w:type="dxa"/>
            <w:vAlign w:val="center"/>
          </w:tcPr>
          <w:p w14:paraId="14E7F31E">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1668597">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43C2738">
            <w:pPr>
              <w:snapToGrid w:val="0"/>
              <w:jc w:val="both"/>
              <w:rPr>
                <w:rFonts w:ascii="宋体" w:hAnsi="宋体" w:cstheme="minorEastAsia"/>
                <w:bCs/>
                <w:sz w:val="16"/>
                <w:szCs w:val="16"/>
              </w:rPr>
            </w:pPr>
          </w:p>
        </w:tc>
      </w:tr>
      <w:tr w14:paraId="2F3D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E893BCD">
            <w:pPr>
              <w:snapToGrid w:val="0"/>
              <w:jc w:val="both"/>
              <w:rPr>
                <w:rFonts w:ascii="宋体" w:hAnsi="宋体" w:cstheme="minorEastAsia"/>
                <w:bCs/>
                <w:sz w:val="16"/>
                <w:szCs w:val="16"/>
              </w:rPr>
            </w:pPr>
            <w:r>
              <w:rPr>
                <w:rFonts w:ascii="宋体" w:hAnsi="宋体"/>
                <w:sz w:val="16"/>
                <w:szCs w:val="16"/>
              </w:rPr>
              <w:t>2.2.7</w:t>
            </w:r>
          </w:p>
        </w:tc>
        <w:tc>
          <w:tcPr>
            <w:tcW w:w="1416" w:type="dxa"/>
            <w:gridSpan w:val="2"/>
            <w:tcBorders>
              <w:top w:val="single" w:color="auto" w:sz="4" w:space="0"/>
            </w:tcBorders>
            <w:vAlign w:val="center"/>
          </w:tcPr>
          <w:p w14:paraId="11C7DCC1">
            <w:pPr>
              <w:snapToGrid w:val="0"/>
              <w:jc w:val="both"/>
              <w:rPr>
                <w:rFonts w:ascii="宋体" w:hAnsi="宋体"/>
                <w:sz w:val="16"/>
                <w:szCs w:val="16"/>
              </w:rPr>
            </w:pPr>
            <w:r>
              <w:rPr>
                <w:rFonts w:hint="eastAsia" w:ascii="宋体" w:hAnsi="宋体"/>
                <w:sz w:val="16"/>
                <w:szCs w:val="16"/>
              </w:rPr>
              <w:t>涡街流量计</w:t>
            </w:r>
          </w:p>
        </w:tc>
        <w:tc>
          <w:tcPr>
            <w:tcW w:w="5253" w:type="dxa"/>
            <w:vAlign w:val="center"/>
          </w:tcPr>
          <w:p w14:paraId="3B6C81D9">
            <w:pPr>
              <w:snapToGrid w:val="0"/>
              <w:jc w:val="both"/>
              <w:rPr>
                <w:rFonts w:ascii="宋体" w:hAnsi="宋体"/>
                <w:sz w:val="16"/>
                <w:szCs w:val="16"/>
              </w:rPr>
            </w:pPr>
            <w:r>
              <w:rPr>
                <w:rFonts w:hint="eastAsia" w:ascii="宋体" w:hAnsi="宋体"/>
                <w:sz w:val="16"/>
                <w:szCs w:val="16"/>
              </w:rPr>
              <w:t>1. 安装管径：DN25-DN100</w:t>
            </w:r>
            <w:r>
              <w:rPr>
                <w:rFonts w:hint="eastAsia" w:ascii="宋体" w:hAnsi="宋体"/>
                <w:sz w:val="16"/>
                <w:szCs w:val="16"/>
              </w:rPr>
              <w:br w:type="textWrapping"/>
            </w:r>
            <w:r>
              <w:rPr>
                <w:rFonts w:hint="eastAsia" w:ascii="宋体" w:hAnsi="宋体"/>
                <w:sz w:val="16"/>
                <w:szCs w:val="16"/>
              </w:rPr>
              <w:t>2. 过热蒸汽、饱和蒸汽、湿蒸汽以及较小流量状态下蒸汽的质量流量、体积流量、累积量、温度、含水率精确测量</w:t>
            </w:r>
            <w:r>
              <w:rPr>
                <w:rFonts w:hint="eastAsia" w:ascii="宋体" w:hAnsi="宋体"/>
                <w:sz w:val="16"/>
                <w:szCs w:val="16"/>
              </w:rPr>
              <w:br w:type="textWrapping"/>
            </w:r>
            <w:r>
              <w:rPr>
                <w:rFonts w:hint="eastAsia" w:ascii="宋体" w:hAnsi="宋体"/>
                <w:sz w:val="16"/>
                <w:szCs w:val="16"/>
              </w:rPr>
              <w:t>3. 能同时输出多个测量值</w:t>
            </w:r>
            <w:r>
              <w:rPr>
                <w:rFonts w:hint="eastAsia" w:ascii="宋体" w:hAnsi="宋体"/>
                <w:sz w:val="16"/>
                <w:szCs w:val="16"/>
              </w:rPr>
              <w:br w:type="textWrapping"/>
            </w:r>
            <w:r>
              <w:rPr>
                <w:rFonts w:hint="eastAsia" w:ascii="宋体" w:hAnsi="宋体"/>
                <w:sz w:val="16"/>
                <w:szCs w:val="16"/>
              </w:rPr>
              <w:t>4. 结构紧凑、安装便捷、工作稳定、坚固耐用、测量精确</w:t>
            </w:r>
            <w:r>
              <w:rPr>
                <w:rFonts w:hint="eastAsia" w:ascii="宋体" w:hAnsi="宋体"/>
                <w:sz w:val="16"/>
                <w:szCs w:val="16"/>
              </w:rPr>
              <w:br w:type="textWrapping"/>
            </w:r>
            <w:r>
              <w:rPr>
                <w:rFonts w:hint="eastAsia" w:ascii="宋体" w:hAnsi="宋体"/>
                <w:sz w:val="16"/>
                <w:szCs w:val="16"/>
              </w:rPr>
              <w:t>5. 便于维护和标定</w:t>
            </w:r>
            <w:r>
              <w:rPr>
                <w:rFonts w:hint="eastAsia" w:ascii="宋体" w:hAnsi="宋体"/>
                <w:sz w:val="16"/>
                <w:szCs w:val="16"/>
              </w:rPr>
              <w:br w:type="textWrapping"/>
            </w:r>
            <w:r>
              <w:rPr>
                <w:rFonts w:hint="eastAsia" w:ascii="宋体" w:hAnsi="宋体"/>
                <w:sz w:val="16"/>
                <w:szCs w:val="16"/>
              </w:rPr>
              <w:t>6.每台流量计须配备相应规格的法兰盘</w:t>
            </w:r>
            <w:r>
              <w:rPr>
                <w:rFonts w:hint="eastAsia" w:ascii="宋体" w:hAnsi="宋体"/>
                <w:sz w:val="16"/>
                <w:szCs w:val="16"/>
              </w:rPr>
              <w:br w:type="textWrapping"/>
            </w:r>
            <w:r>
              <w:rPr>
                <w:rFonts w:hint="eastAsia" w:ascii="宋体" w:hAnsi="宋体"/>
                <w:sz w:val="16"/>
                <w:szCs w:val="16"/>
              </w:rPr>
              <w:t>7.通讯类型：Profibus PA</w:t>
            </w:r>
          </w:p>
        </w:tc>
        <w:tc>
          <w:tcPr>
            <w:tcW w:w="367" w:type="dxa"/>
            <w:vAlign w:val="center"/>
          </w:tcPr>
          <w:p w14:paraId="58CEA801">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0B1019F7">
            <w:pPr>
              <w:jc w:val="both"/>
              <w:textAlignment w:val="center"/>
              <w:rPr>
                <w:rFonts w:ascii="宋体" w:hAnsi="宋体"/>
                <w:sz w:val="16"/>
                <w:szCs w:val="16"/>
              </w:rPr>
            </w:pPr>
            <w:r>
              <w:rPr>
                <w:rFonts w:ascii="宋体" w:hAnsi="宋体"/>
                <w:sz w:val="16"/>
                <w:szCs w:val="16"/>
              </w:rPr>
              <w:t>2</w:t>
            </w:r>
          </w:p>
        </w:tc>
        <w:tc>
          <w:tcPr>
            <w:tcW w:w="501" w:type="dxa"/>
            <w:shd w:val="clear" w:color="auto" w:fill="auto"/>
            <w:vAlign w:val="center"/>
          </w:tcPr>
          <w:p w14:paraId="3F1F4F9A">
            <w:pPr>
              <w:snapToGrid w:val="0"/>
              <w:jc w:val="both"/>
              <w:rPr>
                <w:rFonts w:ascii="宋体" w:hAnsi="宋体" w:cstheme="minorEastAsia"/>
                <w:bCs/>
                <w:sz w:val="16"/>
                <w:szCs w:val="16"/>
              </w:rPr>
            </w:pPr>
          </w:p>
        </w:tc>
      </w:tr>
      <w:tr w14:paraId="54EC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697" w:type="dxa"/>
            <w:vAlign w:val="center"/>
          </w:tcPr>
          <w:p w14:paraId="21ADAB65">
            <w:pPr>
              <w:snapToGrid w:val="0"/>
              <w:jc w:val="both"/>
              <w:rPr>
                <w:rFonts w:ascii="宋体" w:hAnsi="宋体" w:cstheme="minorEastAsia"/>
                <w:b/>
                <w:bCs/>
                <w:sz w:val="21"/>
                <w:szCs w:val="21"/>
              </w:rPr>
            </w:pPr>
            <w:r>
              <w:rPr>
                <w:rFonts w:ascii="宋体" w:hAnsi="宋体" w:cstheme="minorEastAsia"/>
                <w:b/>
                <w:bCs/>
                <w:sz w:val="21"/>
                <w:szCs w:val="21"/>
              </w:rPr>
              <w:t>2.3</w:t>
            </w:r>
          </w:p>
        </w:tc>
        <w:tc>
          <w:tcPr>
            <w:tcW w:w="8364" w:type="dxa"/>
            <w:gridSpan w:val="6"/>
            <w:shd w:val="clear" w:color="auto" w:fill="auto"/>
          </w:tcPr>
          <w:p w14:paraId="1E94FE50">
            <w:pPr>
              <w:spacing w:after="0" w:line="240" w:lineRule="auto"/>
              <w:rPr>
                <w:rFonts w:ascii="宋体" w:hAnsi="宋体"/>
                <w:b/>
                <w:sz w:val="16"/>
                <w:szCs w:val="16"/>
              </w:rPr>
            </w:pPr>
            <w:r>
              <w:rPr>
                <w:rFonts w:hint="eastAsia" w:ascii="宋体" w:hAnsi="宋体"/>
                <w:b/>
                <w:sz w:val="16"/>
                <w:szCs w:val="16"/>
              </w:rPr>
              <w:t>加料机新增</w:t>
            </w:r>
          </w:p>
        </w:tc>
      </w:tr>
      <w:tr w14:paraId="227D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18C629C">
            <w:pPr>
              <w:snapToGrid w:val="0"/>
              <w:jc w:val="both"/>
              <w:rPr>
                <w:rFonts w:ascii="宋体" w:hAnsi="宋体" w:cstheme="minorEastAsia"/>
                <w:bCs/>
                <w:sz w:val="16"/>
                <w:szCs w:val="16"/>
              </w:rPr>
            </w:pPr>
            <w:r>
              <w:rPr>
                <w:rFonts w:ascii="宋体" w:hAnsi="宋体"/>
                <w:sz w:val="16"/>
                <w:szCs w:val="16"/>
              </w:rPr>
              <w:t>2.3.1</w:t>
            </w:r>
          </w:p>
        </w:tc>
        <w:tc>
          <w:tcPr>
            <w:tcW w:w="1416" w:type="dxa"/>
            <w:gridSpan w:val="2"/>
            <w:tcBorders>
              <w:top w:val="single" w:color="auto" w:sz="4" w:space="0"/>
            </w:tcBorders>
            <w:vAlign w:val="center"/>
          </w:tcPr>
          <w:p w14:paraId="61AFD482">
            <w:pPr>
              <w:snapToGrid w:val="0"/>
              <w:jc w:val="both"/>
              <w:rPr>
                <w:rFonts w:ascii="宋体" w:hAnsi="宋体"/>
                <w:sz w:val="16"/>
                <w:szCs w:val="16"/>
              </w:rPr>
            </w:pPr>
            <w:r>
              <w:rPr>
                <w:rFonts w:hint="eastAsia" w:ascii="宋体" w:hAnsi="宋体"/>
                <w:sz w:val="16"/>
                <w:szCs w:val="16"/>
              </w:rPr>
              <w:t>压力变送器</w:t>
            </w:r>
          </w:p>
        </w:tc>
        <w:tc>
          <w:tcPr>
            <w:tcW w:w="5253" w:type="dxa"/>
            <w:vAlign w:val="center"/>
          </w:tcPr>
          <w:p w14:paraId="31787743">
            <w:pPr>
              <w:snapToGrid w:val="0"/>
              <w:jc w:val="both"/>
              <w:rPr>
                <w:rFonts w:ascii="宋体" w:hAnsi="宋体"/>
                <w:sz w:val="16"/>
                <w:szCs w:val="16"/>
              </w:rPr>
            </w:pPr>
            <w:r>
              <w:rPr>
                <w:rFonts w:hint="eastAsia" w:ascii="宋体" w:hAnsi="宋体"/>
                <w:sz w:val="16"/>
                <w:szCs w:val="16"/>
              </w:rPr>
              <w:t>1.应用场合：液体、气体、蒸汽压力的测量</w:t>
            </w:r>
            <w:r>
              <w:rPr>
                <w:rFonts w:hint="eastAsia" w:ascii="宋体" w:hAnsi="宋体"/>
                <w:sz w:val="16"/>
                <w:szCs w:val="16"/>
              </w:rPr>
              <w:br w:type="textWrapping"/>
            </w:r>
            <w:r>
              <w:rPr>
                <w:rFonts w:hint="eastAsia" w:ascii="宋体" w:hAnsi="宋体"/>
                <w:sz w:val="16"/>
                <w:szCs w:val="16"/>
              </w:rPr>
              <w:t xml:space="preserve">2.精度等级： 0.25% </w:t>
            </w:r>
            <w:r>
              <w:rPr>
                <w:rFonts w:hint="eastAsia" w:ascii="宋体" w:hAnsi="宋体"/>
                <w:sz w:val="16"/>
                <w:szCs w:val="16"/>
              </w:rPr>
              <w:br w:type="textWrapping"/>
            </w:r>
            <w:r>
              <w:rPr>
                <w:rFonts w:hint="eastAsia" w:ascii="宋体" w:hAnsi="宋体"/>
                <w:sz w:val="16"/>
                <w:szCs w:val="16"/>
              </w:rPr>
              <w:t>3.供电电源 15～36 VDC（标定电压24VDC）</w:t>
            </w:r>
            <w:r>
              <w:rPr>
                <w:rFonts w:hint="eastAsia" w:ascii="宋体" w:hAnsi="宋体"/>
                <w:sz w:val="16"/>
                <w:szCs w:val="16"/>
              </w:rPr>
              <w:br w:type="textWrapping"/>
            </w:r>
            <w:r>
              <w:rPr>
                <w:rFonts w:hint="eastAsia" w:ascii="宋体" w:hAnsi="宋体"/>
                <w:sz w:val="16"/>
                <w:szCs w:val="16"/>
              </w:rPr>
              <w:t>4.输出信号 (4～20)mA</w:t>
            </w:r>
            <w:r>
              <w:rPr>
                <w:rFonts w:hint="eastAsia" w:ascii="宋体" w:hAnsi="宋体"/>
                <w:sz w:val="16"/>
                <w:szCs w:val="16"/>
              </w:rPr>
              <w:br w:type="textWrapping"/>
            </w:r>
            <w:r>
              <w:rPr>
                <w:rFonts w:hint="eastAsia" w:ascii="宋体" w:hAnsi="宋体"/>
                <w:sz w:val="16"/>
                <w:szCs w:val="16"/>
              </w:rPr>
              <w:t xml:space="preserve">5.显示方式 ：指针表头或数字显示可选配 </w:t>
            </w:r>
          </w:p>
        </w:tc>
        <w:tc>
          <w:tcPr>
            <w:tcW w:w="367" w:type="dxa"/>
            <w:vAlign w:val="center"/>
          </w:tcPr>
          <w:p w14:paraId="213DE649">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5EB83909">
            <w:pPr>
              <w:jc w:val="both"/>
              <w:textAlignment w:val="center"/>
              <w:rPr>
                <w:rFonts w:ascii="宋体" w:hAnsi="宋体"/>
                <w:sz w:val="16"/>
                <w:szCs w:val="16"/>
              </w:rPr>
            </w:pPr>
            <w:r>
              <w:rPr>
                <w:rFonts w:hint="eastAsia" w:ascii="宋体" w:hAnsi="宋体"/>
                <w:sz w:val="16"/>
                <w:szCs w:val="16"/>
              </w:rPr>
              <w:t>8</w:t>
            </w:r>
          </w:p>
        </w:tc>
        <w:tc>
          <w:tcPr>
            <w:tcW w:w="501" w:type="dxa"/>
            <w:shd w:val="clear" w:color="auto" w:fill="auto"/>
            <w:vAlign w:val="center"/>
          </w:tcPr>
          <w:p w14:paraId="2741CDB8">
            <w:pPr>
              <w:snapToGrid w:val="0"/>
              <w:jc w:val="both"/>
              <w:rPr>
                <w:rFonts w:ascii="宋体" w:hAnsi="宋体" w:cstheme="minorEastAsia"/>
                <w:bCs/>
                <w:sz w:val="16"/>
                <w:szCs w:val="16"/>
              </w:rPr>
            </w:pPr>
          </w:p>
        </w:tc>
      </w:tr>
      <w:tr w14:paraId="481F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697" w:type="dxa"/>
            <w:vAlign w:val="center"/>
          </w:tcPr>
          <w:p w14:paraId="50185C51">
            <w:pPr>
              <w:snapToGrid w:val="0"/>
              <w:jc w:val="both"/>
              <w:rPr>
                <w:rFonts w:ascii="宋体" w:hAnsi="宋体" w:cstheme="minorEastAsia"/>
                <w:bCs/>
                <w:sz w:val="16"/>
                <w:szCs w:val="16"/>
              </w:rPr>
            </w:pPr>
            <w:r>
              <w:rPr>
                <w:rFonts w:ascii="宋体" w:hAnsi="宋体"/>
                <w:sz w:val="16"/>
                <w:szCs w:val="16"/>
              </w:rPr>
              <w:t>2.3.2</w:t>
            </w:r>
          </w:p>
        </w:tc>
        <w:tc>
          <w:tcPr>
            <w:tcW w:w="1416" w:type="dxa"/>
            <w:gridSpan w:val="2"/>
            <w:tcBorders>
              <w:top w:val="single" w:color="auto" w:sz="4" w:space="0"/>
            </w:tcBorders>
            <w:vAlign w:val="center"/>
          </w:tcPr>
          <w:p w14:paraId="519A8164">
            <w:pPr>
              <w:snapToGrid w:val="0"/>
              <w:jc w:val="both"/>
              <w:rPr>
                <w:rFonts w:ascii="宋体" w:hAnsi="宋体"/>
                <w:sz w:val="16"/>
                <w:szCs w:val="16"/>
              </w:rPr>
            </w:pPr>
            <w:r>
              <w:rPr>
                <w:rFonts w:hint="eastAsia" w:ascii="宋体" w:hAnsi="宋体"/>
                <w:sz w:val="16"/>
                <w:szCs w:val="16"/>
              </w:rPr>
              <w:t>散热器进蒸汽调节</w:t>
            </w:r>
          </w:p>
        </w:tc>
        <w:tc>
          <w:tcPr>
            <w:tcW w:w="5253" w:type="dxa"/>
            <w:vAlign w:val="center"/>
          </w:tcPr>
          <w:p w14:paraId="2F62BDBC">
            <w:pPr>
              <w:snapToGrid w:val="0"/>
              <w:jc w:val="both"/>
              <w:rPr>
                <w:rFonts w:ascii="宋体" w:hAnsi="宋体"/>
                <w:sz w:val="16"/>
                <w:szCs w:val="16"/>
              </w:rPr>
            </w:pPr>
            <w:r>
              <w:rPr>
                <w:rFonts w:hint="eastAsia" w:ascii="宋体" w:hAnsi="宋体"/>
                <w:sz w:val="16"/>
                <w:szCs w:val="16"/>
              </w:rPr>
              <w:t>1.适用于：SAMSON 调节阀；</w:t>
            </w:r>
            <w:r>
              <w:rPr>
                <w:rFonts w:hint="eastAsia" w:ascii="宋体" w:hAnsi="宋体"/>
                <w:sz w:val="16"/>
                <w:szCs w:val="16"/>
              </w:rPr>
              <w:br w:type="textWrapping"/>
            </w:r>
            <w:r>
              <w:rPr>
                <w:rFonts w:hint="eastAsia" w:ascii="宋体" w:hAnsi="宋体"/>
                <w:sz w:val="16"/>
                <w:szCs w:val="16"/>
              </w:rPr>
              <w:t>2.与3730-4-Profibus-PA定位器参数一致</w:t>
            </w:r>
            <w:r>
              <w:rPr>
                <w:rFonts w:hint="eastAsia" w:ascii="宋体" w:hAnsi="宋体"/>
                <w:sz w:val="16"/>
                <w:szCs w:val="16"/>
              </w:rPr>
              <w:br w:type="textWrapping"/>
            </w:r>
            <w:r>
              <w:rPr>
                <w:rFonts w:hint="eastAsia" w:ascii="宋体" w:hAnsi="宋体"/>
                <w:sz w:val="16"/>
                <w:szCs w:val="16"/>
              </w:rPr>
              <w:t>3.带 LCD 显示和自动调整功能，PROFIBUS-PA</w:t>
            </w:r>
          </w:p>
        </w:tc>
        <w:tc>
          <w:tcPr>
            <w:tcW w:w="367" w:type="dxa"/>
            <w:vAlign w:val="center"/>
          </w:tcPr>
          <w:p w14:paraId="2F7B4093">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6691568">
            <w:pPr>
              <w:jc w:val="both"/>
              <w:textAlignment w:val="center"/>
              <w:rPr>
                <w:rFonts w:ascii="宋体" w:hAnsi="宋体"/>
                <w:sz w:val="16"/>
                <w:szCs w:val="16"/>
              </w:rPr>
            </w:pPr>
            <w:r>
              <w:rPr>
                <w:rFonts w:hint="eastAsia" w:ascii="宋体" w:hAnsi="宋体"/>
                <w:sz w:val="16"/>
                <w:szCs w:val="16"/>
              </w:rPr>
              <w:t>2</w:t>
            </w:r>
          </w:p>
        </w:tc>
        <w:tc>
          <w:tcPr>
            <w:tcW w:w="501" w:type="dxa"/>
            <w:shd w:val="clear" w:color="auto" w:fill="auto"/>
            <w:vAlign w:val="center"/>
          </w:tcPr>
          <w:p w14:paraId="48037803">
            <w:pPr>
              <w:snapToGrid w:val="0"/>
              <w:jc w:val="both"/>
              <w:rPr>
                <w:rFonts w:ascii="宋体" w:hAnsi="宋体" w:cstheme="minorEastAsia"/>
                <w:bCs/>
                <w:sz w:val="16"/>
                <w:szCs w:val="16"/>
              </w:rPr>
            </w:pPr>
          </w:p>
        </w:tc>
      </w:tr>
      <w:tr w14:paraId="3E30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D83EEC5">
            <w:pPr>
              <w:snapToGrid w:val="0"/>
              <w:jc w:val="both"/>
              <w:rPr>
                <w:rFonts w:ascii="宋体" w:hAnsi="宋体" w:cstheme="minorEastAsia"/>
                <w:bCs/>
                <w:sz w:val="16"/>
                <w:szCs w:val="16"/>
              </w:rPr>
            </w:pPr>
            <w:r>
              <w:rPr>
                <w:rFonts w:ascii="宋体" w:hAnsi="宋体"/>
                <w:sz w:val="16"/>
                <w:szCs w:val="16"/>
              </w:rPr>
              <w:t>2.3.3</w:t>
            </w:r>
          </w:p>
        </w:tc>
        <w:tc>
          <w:tcPr>
            <w:tcW w:w="1416" w:type="dxa"/>
            <w:gridSpan w:val="2"/>
            <w:tcBorders>
              <w:top w:val="single" w:color="auto" w:sz="4" w:space="0"/>
            </w:tcBorders>
            <w:vAlign w:val="center"/>
          </w:tcPr>
          <w:p w14:paraId="196BB989">
            <w:pPr>
              <w:snapToGrid w:val="0"/>
              <w:jc w:val="both"/>
              <w:rPr>
                <w:rFonts w:ascii="宋体" w:hAnsi="宋体"/>
                <w:sz w:val="16"/>
                <w:szCs w:val="16"/>
              </w:rPr>
            </w:pPr>
            <w:r>
              <w:rPr>
                <w:rFonts w:hint="eastAsia" w:ascii="宋体" w:hAnsi="宋体"/>
                <w:sz w:val="16"/>
                <w:szCs w:val="16"/>
              </w:rPr>
              <w:t>滚筒转速检测</w:t>
            </w:r>
          </w:p>
        </w:tc>
        <w:tc>
          <w:tcPr>
            <w:tcW w:w="5253" w:type="dxa"/>
            <w:vAlign w:val="center"/>
          </w:tcPr>
          <w:p w14:paraId="54B97890">
            <w:pPr>
              <w:snapToGrid w:val="0"/>
              <w:jc w:val="both"/>
              <w:rPr>
                <w:rFonts w:ascii="宋体" w:hAnsi="宋体"/>
                <w:sz w:val="16"/>
                <w:szCs w:val="16"/>
              </w:rPr>
            </w:pPr>
            <w:r>
              <w:rPr>
                <w:rFonts w:hint="eastAsia" w:ascii="宋体" w:hAnsi="宋体"/>
                <w:sz w:val="16"/>
                <w:szCs w:val="16"/>
              </w:rPr>
              <w:t>1.电感式传感器；</w:t>
            </w:r>
            <w:r>
              <w:rPr>
                <w:rFonts w:hint="eastAsia" w:ascii="宋体" w:hAnsi="宋体"/>
                <w:sz w:val="16"/>
                <w:szCs w:val="16"/>
              </w:rPr>
              <w:br w:type="textWrapping"/>
            </w:r>
            <w:r>
              <w:rPr>
                <w:rFonts w:hint="eastAsia" w:ascii="宋体" w:hAnsi="宋体"/>
                <w:sz w:val="16"/>
                <w:szCs w:val="16"/>
              </w:rPr>
              <w:t>2.15mm 齐平</w:t>
            </w:r>
            <w:r>
              <w:rPr>
                <w:rFonts w:hint="eastAsia" w:ascii="宋体" w:hAnsi="宋体"/>
                <w:sz w:val="16"/>
                <w:szCs w:val="16"/>
              </w:rPr>
              <w:br w:type="textWrapping"/>
            </w:r>
            <w:r>
              <w:rPr>
                <w:rFonts w:hint="eastAsia" w:ascii="宋体" w:hAnsi="宋体"/>
                <w:sz w:val="16"/>
                <w:szCs w:val="16"/>
              </w:rPr>
              <w:t>3.PNP；</w:t>
            </w:r>
            <w:r>
              <w:rPr>
                <w:rFonts w:hint="eastAsia" w:ascii="宋体" w:hAnsi="宋体"/>
                <w:sz w:val="16"/>
                <w:szCs w:val="16"/>
              </w:rPr>
              <w:br w:type="textWrapping"/>
            </w:r>
            <w:r>
              <w:rPr>
                <w:rFonts w:hint="eastAsia" w:ascii="宋体" w:hAnsi="宋体"/>
                <w:sz w:val="16"/>
                <w:szCs w:val="16"/>
              </w:rPr>
              <w:t>4.时间延迟最大：15毫秒</w:t>
            </w:r>
          </w:p>
        </w:tc>
        <w:tc>
          <w:tcPr>
            <w:tcW w:w="367" w:type="dxa"/>
            <w:vAlign w:val="center"/>
          </w:tcPr>
          <w:p w14:paraId="56FFAD17">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9A025F2">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C951414">
            <w:pPr>
              <w:snapToGrid w:val="0"/>
              <w:jc w:val="both"/>
              <w:rPr>
                <w:rFonts w:ascii="宋体" w:hAnsi="宋体" w:cstheme="minorEastAsia"/>
                <w:bCs/>
                <w:sz w:val="16"/>
                <w:szCs w:val="16"/>
              </w:rPr>
            </w:pPr>
          </w:p>
        </w:tc>
      </w:tr>
      <w:tr w14:paraId="75C6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7C51BE0">
            <w:pPr>
              <w:snapToGrid w:val="0"/>
              <w:jc w:val="both"/>
              <w:rPr>
                <w:rFonts w:ascii="宋体" w:hAnsi="宋体" w:cstheme="minorEastAsia"/>
                <w:bCs/>
                <w:sz w:val="16"/>
                <w:szCs w:val="16"/>
              </w:rPr>
            </w:pPr>
            <w:r>
              <w:rPr>
                <w:rFonts w:ascii="宋体" w:hAnsi="宋体"/>
                <w:sz w:val="16"/>
                <w:szCs w:val="16"/>
              </w:rPr>
              <w:t>2.3.4</w:t>
            </w:r>
          </w:p>
        </w:tc>
        <w:tc>
          <w:tcPr>
            <w:tcW w:w="1416" w:type="dxa"/>
            <w:gridSpan w:val="2"/>
            <w:tcBorders>
              <w:top w:val="single" w:color="auto" w:sz="4" w:space="0"/>
            </w:tcBorders>
            <w:vAlign w:val="center"/>
          </w:tcPr>
          <w:p w14:paraId="3FCB411C">
            <w:pPr>
              <w:snapToGrid w:val="0"/>
              <w:jc w:val="both"/>
              <w:rPr>
                <w:rFonts w:ascii="宋体" w:hAnsi="宋体"/>
                <w:sz w:val="16"/>
                <w:szCs w:val="16"/>
              </w:rPr>
            </w:pPr>
            <w:r>
              <w:rPr>
                <w:rFonts w:hint="eastAsia" w:ascii="宋体" w:hAnsi="宋体"/>
                <w:sz w:val="16"/>
                <w:szCs w:val="16"/>
              </w:rPr>
              <w:t>温湿度变送器</w:t>
            </w:r>
          </w:p>
        </w:tc>
        <w:tc>
          <w:tcPr>
            <w:tcW w:w="5253" w:type="dxa"/>
            <w:vAlign w:val="center"/>
          </w:tcPr>
          <w:p w14:paraId="738D95C0">
            <w:pPr>
              <w:snapToGrid w:val="0"/>
              <w:jc w:val="both"/>
              <w:rPr>
                <w:rFonts w:ascii="宋体" w:hAnsi="宋体"/>
                <w:sz w:val="16"/>
                <w:szCs w:val="16"/>
              </w:rPr>
            </w:pPr>
            <w:r>
              <w:rPr>
                <w:rFonts w:hint="eastAsia" w:ascii="宋体" w:hAnsi="宋体"/>
                <w:sz w:val="16"/>
                <w:szCs w:val="16"/>
              </w:rPr>
              <w:t>壁挂，相对湿度：1.量程：0~100%RH；2.准确度(包括非线性度，迟滞和重复性）：±3%RH;3.分辨率：0.1%RH</w:t>
            </w:r>
            <w:r>
              <w:rPr>
                <w:rFonts w:hint="eastAsia" w:ascii="宋体" w:hAnsi="宋体"/>
                <w:sz w:val="16"/>
                <w:szCs w:val="16"/>
              </w:rPr>
              <w:br w:type="textWrapping"/>
            </w:r>
            <w:r>
              <w:rPr>
                <w:rFonts w:hint="eastAsia" w:ascii="宋体" w:hAnsi="宋体"/>
                <w:sz w:val="16"/>
                <w:szCs w:val="16"/>
              </w:rPr>
              <w:t>温度:1.量程(可通过拔码开关设置)：0~+50℃/ -20~+80℃/ -40~+60℃/客户定制;2.准确度：±0.3℃（典型值）;3.分辨率：0.1℃</w:t>
            </w:r>
            <w:r>
              <w:rPr>
                <w:rFonts w:hint="eastAsia" w:ascii="宋体" w:hAnsi="宋体"/>
                <w:sz w:val="16"/>
                <w:szCs w:val="16"/>
              </w:rPr>
              <w:br w:type="textWrapping"/>
            </w:r>
            <w:r>
              <w:rPr>
                <w:rFonts w:hint="eastAsia" w:ascii="宋体" w:hAnsi="宋体"/>
                <w:sz w:val="16"/>
                <w:szCs w:val="16"/>
              </w:rPr>
              <w:t>工作电压：12~36VDC</w:t>
            </w:r>
            <w:r>
              <w:rPr>
                <w:rFonts w:hint="eastAsia" w:ascii="宋体" w:hAnsi="宋体"/>
                <w:sz w:val="16"/>
                <w:szCs w:val="16"/>
              </w:rPr>
              <w:br w:type="textWrapping"/>
            </w:r>
            <w:r>
              <w:rPr>
                <w:rFonts w:hint="eastAsia" w:ascii="宋体" w:hAnsi="宋体"/>
                <w:sz w:val="16"/>
                <w:szCs w:val="16"/>
              </w:rPr>
              <w:t>输出信号：4-20mA；</w:t>
            </w:r>
          </w:p>
        </w:tc>
        <w:tc>
          <w:tcPr>
            <w:tcW w:w="367" w:type="dxa"/>
            <w:vAlign w:val="center"/>
          </w:tcPr>
          <w:p w14:paraId="26A9B335">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574CC607">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26C09F6">
            <w:pPr>
              <w:snapToGrid w:val="0"/>
              <w:jc w:val="both"/>
              <w:rPr>
                <w:rFonts w:ascii="宋体" w:hAnsi="宋体" w:cstheme="minorEastAsia"/>
                <w:bCs/>
                <w:sz w:val="16"/>
                <w:szCs w:val="16"/>
              </w:rPr>
            </w:pPr>
          </w:p>
        </w:tc>
      </w:tr>
      <w:tr w14:paraId="04F6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9B89D9C">
            <w:pPr>
              <w:snapToGrid w:val="0"/>
              <w:jc w:val="both"/>
              <w:rPr>
                <w:rFonts w:ascii="宋体" w:hAnsi="宋体" w:cstheme="minorEastAsia"/>
                <w:bCs/>
                <w:sz w:val="16"/>
                <w:szCs w:val="16"/>
              </w:rPr>
            </w:pPr>
            <w:r>
              <w:rPr>
                <w:rFonts w:ascii="宋体" w:hAnsi="宋体"/>
                <w:sz w:val="16"/>
                <w:szCs w:val="16"/>
              </w:rPr>
              <w:t>2.3.5</w:t>
            </w:r>
          </w:p>
        </w:tc>
        <w:tc>
          <w:tcPr>
            <w:tcW w:w="1416" w:type="dxa"/>
            <w:gridSpan w:val="2"/>
            <w:tcBorders>
              <w:top w:val="single" w:color="auto" w:sz="4" w:space="0"/>
            </w:tcBorders>
            <w:vAlign w:val="center"/>
          </w:tcPr>
          <w:p w14:paraId="6A836108">
            <w:pPr>
              <w:snapToGrid w:val="0"/>
              <w:jc w:val="both"/>
              <w:rPr>
                <w:rFonts w:ascii="宋体" w:hAnsi="宋体"/>
                <w:sz w:val="16"/>
                <w:szCs w:val="16"/>
              </w:rPr>
            </w:pPr>
            <w:r>
              <w:rPr>
                <w:rFonts w:hint="eastAsia" w:ascii="宋体" w:hAnsi="宋体"/>
                <w:sz w:val="16"/>
                <w:szCs w:val="16"/>
              </w:rPr>
              <w:t>冷凝水温度检测</w:t>
            </w:r>
          </w:p>
        </w:tc>
        <w:tc>
          <w:tcPr>
            <w:tcW w:w="5253" w:type="dxa"/>
            <w:vAlign w:val="center"/>
          </w:tcPr>
          <w:p w14:paraId="4D2E574F">
            <w:pPr>
              <w:snapToGrid w:val="0"/>
              <w:jc w:val="both"/>
              <w:rPr>
                <w:rFonts w:ascii="宋体" w:hAnsi="宋体"/>
                <w:sz w:val="16"/>
                <w:szCs w:val="16"/>
              </w:rPr>
            </w:pPr>
            <w:r>
              <w:rPr>
                <w:rFonts w:hint="eastAsia" w:ascii="宋体" w:hAnsi="宋体"/>
                <w:sz w:val="16"/>
                <w:szCs w:val="16"/>
              </w:rPr>
              <w:t>显示变送一体化温度变送器</w:t>
            </w:r>
            <w:r>
              <w:rPr>
                <w:rFonts w:hint="eastAsia" w:ascii="宋体" w:hAnsi="宋体"/>
                <w:sz w:val="16"/>
                <w:szCs w:val="16"/>
              </w:rPr>
              <w:br w:type="textWrapping"/>
            </w:r>
            <w:r>
              <w:rPr>
                <w:rFonts w:hint="eastAsia" w:ascii="宋体" w:hAnsi="宋体"/>
                <w:sz w:val="16"/>
                <w:szCs w:val="16"/>
              </w:rPr>
              <w:t>1. 测量精度: &lt;热电阻&gt; ± 0.5%</w:t>
            </w:r>
            <w:r>
              <w:rPr>
                <w:rFonts w:hint="eastAsia" w:ascii="宋体" w:hAnsi="宋体"/>
                <w:sz w:val="16"/>
                <w:szCs w:val="16"/>
              </w:rPr>
              <w:br w:type="textWrapping"/>
            </w:r>
            <w:r>
              <w:rPr>
                <w:rFonts w:hint="eastAsia" w:ascii="宋体" w:hAnsi="宋体"/>
                <w:sz w:val="16"/>
                <w:szCs w:val="16"/>
              </w:rPr>
              <w:t>2. 热电阻测温范围: &lt;Pt100&gt;-200～450℃</w:t>
            </w:r>
            <w:r>
              <w:rPr>
                <w:rFonts w:hint="eastAsia" w:ascii="宋体" w:hAnsi="宋体"/>
                <w:sz w:val="16"/>
                <w:szCs w:val="16"/>
              </w:rPr>
              <w:br w:type="textWrapping"/>
            </w:r>
            <w:r>
              <w:rPr>
                <w:rFonts w:hint="eastAsia" w:ascii="宋体" w:hAnsi="宋体"/>
                <w:sz w:val="16"/>
                <w:szCs w:val="16"/>
              </w:rPr>
              <w:t>3. 输出信号: 4-20mA</w:t>
            </w:r>
            <w:r>
              <w:rPr>
                <w:rFonts w:hint="eastAsia" w:ascii="宋体" w:hAnsi="宋体"/>
                <w:sz w:val="16"/>
                <w:szCs w:val="16"/>
              </w:rPr>
              <w:br w:type="textWrapping"/>
            </w:r>
            <w:r>
              <w:rPr>
                <w:rFonts w:hint="eastAsia" w:ascii="宋体" w:hAnsi="宋体"/>
                <w:sz w:val="16"/>
                <w:szCs w:val="16"/>
              </w:rPr>
              <w:t>4. 环境温度: -10～85℃</w:t>
            </w:r>
            <w:r>
              <w:rPr>
                <w:rFonts w:hint="eastAsia" w:ascii="宋体" w:hAnsi="宋体"/>
                <w:sz w:val="16"/>
                <w:szCs w:val="16"/>
              </w:rPr>
              <w:br w:type="textWrapping"/>
            </w:r>
            <w:r>
              <w:rPr>
                <w:rFonts w:hint="eastAsia" w:ascii="宋体" w:hAnsi="宋体"/>
                <w:sz w:val="16"/>
                <w:szCs w:val="16"/>
              </w:rPr>
              <w:t>5. 显示范围: -1999～1999</w:t>
            </w:r>
            <w:r>
              <w:rPr>
                <w:rFonts w:hint="eastAsia" w:ascii="宋体" w:hAnsi="宋体"/>
                <w:sz w:val="16"/>
                <w:szCs w:val="16"/>
              </w:rPr>
              <w:br w:type="textWrapping"/>
            </w:r>
            <w:r>
              <w:rPr>
                <w:rFonts w:hint="eastAsia" w:ascii="宋体" w:hAnsi="宋体"/>
                <w:sz w:val="16"/>
                <w:szCs w:val="16"/>
              </w:rPr>
              <w:t>6. 防护等级: IP65</w:t>
            </w:r>
          </w:p>
        </w:tc>
        <w:tc>
          <w:tcPr>
            <w:tcW w:w="367" w:type="dxa"/>
            <w:vAlign w:val="center"/>
          </w:tcPr>
          <w:p w14:paraId="71E2A26B">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1E7DCCE6">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38AAA131">
            <w:pPr>
              <w:snapToGrid w:val="0"/>
              <w:jc w:val="both"/>
              <w:rPr>
                <w:rFonts w:ascii="宋体" w:hAnsi="宋体" w:cstheme="minorEastAsia"/>
                <w:bCs/>
                <w:sz w:val="16"/>
                <w:szCs w:val="16"/>
              </w:rPr>
            </w:pPr>
          </w:p>
        </w:tc>
      </w:tr>
      <w:tr w14:paraId="29B0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5F5A27F">
            <w:pPr>
              <w:snapToGrid w:val="0"/>
              <w:jc w:val="both"/>
              <w:rPr>
                <w:rFonts w:ascii="宋体" w:hAnsi="宋体" w:cstheme="minorEastAsia"/>
                <w:bCs/>
                <w:sz w:val="16"/>
                <w:szCs w:val="16"/>
              </w:rPr>
            </w:pPr>
            <w:r>
              <w:rPr>
                <w:rFonts w:ascii="宋体" w:hAnsi="宋体"/>
                <w:sz w:val="16"/>
                <w:szCs w:val="16"/>
              </w:rPr>
              <w:t>2.3.6</w:t>
            </w:r>
          </w:p>
        </w:tc>
        <w:tc>
          <w:tcPr>
            <w:tcW w:w="1416" w:type="dxa"/>
            <w:gridSpan w:val="2"/>
            <w:tcBorders>
              <w:top w:val="single" w:color="auto" w:sz="4" w:space="0"/>
            </w:tcBorders>
            <w:vAlign w:val="center"/>
          </w:tcPr>
          <w:p w14:paraId="3B6795C3">
            <w:pPr>
              <w:snapToGrid w:val="0"/>
              <w:jc w:val="both"/>
              <w:rPr>
                <w:rFonts w:ascii="宋体" w:hAnsi="宋体"/>
                <w:sz w:val="16"/>
                <w:szCs w:val="16"/>
              </w:rPr>
            </w:pPr>
            <w:r>
              <w:rPr>
                <w:rFonts w:hint="eastAsia" w:ascii="宋体" w:hAnsi="宋体"/>
                <w:sz w:val="16"/>
                <w:szCs w:val="16"/>
              </w:rPr>
              <w:t>涡街流量计</w:t>
            </w:r>
          </w:p>
        </w:tc>
        <w:tc>
          <w:tcPr>
            <w:tcW w:w="5253" w:type="dxa"/>
            <w:vAlign w:val="center"/>
          </w:tcPr>
          <w:p w14:paraId="0FE93974">
            <w:pPr>
              <w:snapToGrid w:val="0"/>
              <w:jc w:val="both"/>
              <w:rPr>
                <w:rFonts w:ascii="宋体" w:hAnsi="宋体"/>
                <w:sz w:val="16"/>
                <w:szCs w:val="16"/>
              </w:rPr>
            </w:pPr>
            <w:r>
              <w:rPr>
                <w:rFonts w:hint="eastAsia" w:ascii="宋体" w:hAnsi="宋体"/>
                <w:sz w:val="16"/>
                <w:szCs w:val="16"/>
              </w:rPr>
              <w:t>1. 安装管径：DN25-DN100</w:t>
            </w:r>
            <w:r>
              <w:rPr>
                <w:rFonts w:hint="eastAsia" w:ascii="宋体" w:hAnsi="宋体"/>
                <w:sz w:val="16"/>
                <w:szCs w:val="16"/>
              </w:rPr>
              <w:br w:type="textWrapping"/>
            </w:r>
            <w:r>
              <w:rPr>
                <w:rFonts w:hint="eastAsia" w:ascii="宋体" w:hAnsi="宋体"/>
                <w:sz w:val="16"/>
                <w:szCs w:val="16"/>
              </w:rPr>
              <w:t>2. 过热蒸汽、饱和蒸汽、湿蒸汽以及较小流量状态下蒸汽的质量流量、体积流量、累积量、温度等精确测量</w:t>
            </w:r>
            <w:r>
              <w:rPr>
                <w:rFonts w:hint="eastAsia" w:ascii="宋体" w:hAnsi="宋体"/>
                <w:sz w:val="16"/>
                <w:szCs w:val="16"/>
              </w:rPr>
              <w:br w:type="textWrapping"/>
            </w:r>
            <w:r>
              <w:rPr>
                <w:rFonts w:hint="eastAsia" w:ascii="宋体" w:hAnsi="宋体"/>
                <w:sz w:val="16"/>
                <w:szCs w:val="16"/>
              </w:rPr>
              <w:t>3. 能同时输出多个测量值</w:t>
            </w:r>
            <w:r>
              <w:rPr>
                <w:rFonts w:hint="eastAsia" w:ascii="宋体" w:hAnsi="宋体"/>
                <w:sz w:val="16"/>
                <w:szCs w:val="16"/>
              </w:rPr>
              <w:br w:type="textWrapping"/>
            </w:r>
            <w:r>
              <w:rPr>
                <w:rFonts w:hint="eastAsia" w:ascii="宋体" w:hAnsi="宋体"/>
                <w:sz w:val="16"/>
                <w:szCs w:val="16"/>
              </w:rPr>
              <w:t>4. 结构紧凑、安装便捷、工作稳定、坚固耐用、测量精确</w:t>
            </w:r>
            <w:r>
              <w:rPr>
                <w:rFonts w:hint="eastAsia" w:ascii="宋体" w:hAnsi="宋体"/>
                <w:sz w:val="16"/>
                <w:szCs w:val="16"/>
              </w:rPr>
              <w:br w:type="textWrapping"/>
            </w:r>
            <w:r>
              <w:rPr>
                <w:rFonts w:hint="eastAsia" w:ascii="宋体" w:hAnsi="宋体"/>
                <w:sz w:val="16"/>
                <w:szCs w:val="16"/>
              </w:rPr>
              <w:t>5. 便于维护和标定</w:t>
            </w:r>
            <w:r>
              <w:rPr>
                <w:rFonts w:hint="eastAsia" w:ascii="宋体" w:hAnsi="宋体"/>
                <w:sz w:val="16"/>
                <w:szCs w:val="16"/>
              </w:rPr>
              <w:br w:type="textWrapping"/>
            </w:r>
            <w:r>
              <w:rPr>
                <w:rFonts w:hint="eastAsia" w:ascii="宋体" w:hAnsi="宋体"/>
                <w:sz w:val="16"/>
                <w:szCs w:val="16"/>
              </w:rPr>
              <w:t>6.每台流量计须配备相应规格的法兰盘</w:t>
            </w:r>
            <w:r>
              <w:rPr>
                <w:rFonts w:hint="eastAsia" w:ascii="宋体" w:hAnsi="宋体"/>
                <w:sz w:val="16"/>
                <w:szCs w:val="16"/>
              </w:rPr>
              <w:br w:type="textWrapping"/>
            </w:r>
            <w:r>
              <w:rPr>
                <w:rFonts w:hint="eastAsia" w:ascii="宋体" w:hAnsi="宋体"/>
                <w:sz w:val="16"/>
                <w:szCs w:val="16"/>
              </w:rPr>
              <w:t>7.通讯类型：Profibus PA</w:t>
            </w:r>
          </w:p>
        </w:tc>
        <w:tc>
          <w:tcPr>
            <w:tcW w:w="367" w:type="dxa"/>
            <w:vAlign w:val="center"/>
          </w:tcPr>
          <w:p w14:paraId="0CA354AC">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70F3F108">
            <w:pPr>
              <w:jc w:val="both"/>
              <w:textAlignment w:val="center"/>
              <w:rPr>
                <w:rFonts w:ascii="宋体" w:hAnsi="宋体"/>
                <w:sz w:val="16"/>
                <w:szCs w:val="16"/>
              </w:rPr>
            </w:pPr>
            <w:r>
              <w:rPr>
                <w:rFonts w:hint="eastAsia" w:ascii="宋体" w:hAnsi="宋体"/>
                <w:sz w:val="16"/>
                <w:szCs w:val="16"/>
              </w:rPr>
              <w:t>2</w:t>
            </w:r>
          </w:p>
        </w:tc>
        <w:tc>
          <w:tcPr>
            <w:tcW w:w="501" w:type="dxa"/>
            <w:shd w:val="clear" w:color="auto" w:fill="auto"/>
            <w:vAlign w:val="center"/>
          </w:tcPr>
          <w:p w14:paraId="0C36B455">
            <w:pPr>
              <w:snapToGrid w:val="0"/>
              <w:jc w:val="both"/>
              <w:rPr>
                <w:rFonts w:ascii="宋体" w:hAnsi="宋体" w:cstheme="minorEastAsia"/>
                <w:bCs/>
                <w:sz w:val="16"/>
                <w:szCs w:val="16"/>
              </w:rPr>
            </w:pPr>
          </w:p>
        </w:tc>
      </w:tr>
      <w:tr w14:paraId="7B02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697" w:type="dxa"/>
            <w:vAlign w:val="center"/>
          </w:tcPr>
          <w:p w14:paraId="24051435">
            <w:pPr>
              <w:snapToGrid w:val="0"/>
              <w:jc w:val="both"/>
              <w:rPr>
                <w:rFonts w:ascii="宋体" w:hAnsi="宋体" w:cstheme="minorEastAsia"/>
                <w:b/>
                <w:bCs/>
                <w:sz w:val="21"/>
                <w:szCs w:val="21"/>
              </w:rPr>
            </w:pPr>
            <w:r>
              <w:rPr>
                <w:rFonts w:ascii="宋体" w:hAnsi="宋体" w:cstheme="minorEastAsia"/>
                <w:b/>
                <w:bCs/>
                <w:sz w:val="21"/>
                <w:szCs w:val="21"/>
              </w:rPr>
              <w:t>2.4</w:t>
            </w:r>
          </w:p>
        </w:tc>
        <w:tc>
          <w:tcPr>
            <w:tcW w:w="8364" w:type="dxa"/>
            <w:gridSpan w:val="6"/>
            <w:shd w:val="clear" w:color="auto" w:fill="auto"/>
          </w:tcPr>
          <w:p w14:paraId="71E50BCB">
            <w:pPr>
              <w:spacing w:after="0" w:line="240" w:lineRule="auto"/>
              <w:rPr>
                <w:rFonts w:ascii="宋体" w:hAnsi="宋体"/>
                <w:b/>
                <w:sz w:val="16"/>
                <w:szCs w:val="16"/>
              </w:rPr>
            </w:pPr>
            <w:r>
              <w:rPr>
                <w:rFonts w:hint="eastAsia" w:ascii="宋体" w:hAnsi="宋体"/>
                <w:b/>
                <w:sz w:val="16"/>
                <w:szCs w:val="16"/>
              </w:rPr>
              <w:t>烘丝机及HT回潮机新增</w:t>
            </w:r>
          </w:p>
        </w:tc>
      </w:tr>
      <w:tr w14:paraId="4B27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809F43F">
            <w:pPr>
              <w:snapToGrid w:val="0"/>
              <w:jc w:val="both"/>
              <w:rPr>
                <w:rFonts w:ascii="宋体" w:hAnsi="宋体" w:cstheme="minorEastAsia"/>
                <w:bCs/>
                <w:sz w:val="16"/>
                <w:szCs w:val="16"/>
              </w:rPr>
            </w:pPr>
            <w:r>
              <w:rPr>
                <w:rFonts w:ascii="宋体" w:hAnsi="宋体"/>
                <w:sz w:val="16"/>
                <w:szCs w:val="16"/>
              </w:rPr>
              <w:t>2.4.1</w:t>
            </w:r>
          </w:p>
        </w:tc>
        <w:tc>
          <w:tcPr>
            <w:tcW w:w="1416" w:type="dxa"/>
            <w:gridSpan w:val="2"/>
            <w:tcBorders>
              <w:top w:val="single" w:color="auto" w:sz="4" w:space="0"/>
            </w:tcBorders>
            <w:vAlign w:val="center"/>
          </w:tcPr>
          <w:p w14:paraId="10EBF014">
            <w:pPr>
              <w:snapToGrid w:val="0"/>
              <w:jc w:val="both"/>
              <w:rPr>
                <w:rFonts w:ascii="宋体" w:hAnsi="宋体"/>
                <w:sz w:val="16"/>
                <w:szCs w:val="16"/>
              </w:rPr>
            </w:pPr>
            <w:r>
              <w:rPr>
                <w:rFonts w:hint="eastAsia" w:ascii="宋体" w:hAnsi="宋体"/>
                <w:sz w:val="16"/>
                <w:szCs w:val="16"/>
              </w:rPr>
              <w:t>压力变送器</w:t>
            </w:r>
          </w:p>
        </w:tc>
        <w:tc>
          <w:tcPr>
            <w:tcW w:w="5253" w:type="dxa"/>
            <w:vAlign w:val="center"/>
          </w:tcPr>
          <w:p w14:paraId="4665E4EA">
            <w:pPr>
              <w:snapToGrid w:val="0"/>
              <w:jc w:val="both"/>
              <w:rPr>
                <w:rFonts w:ascii="宋体" w:hAnsi="宋体"/>
                <w:sz w:val="16"/>
                <w:szCs w:val="16"/>
              </w:rPr>
            </w:pPr>
            <w:r>
              <w:rPr>
                <w:rFonts w:hint="eastAsia" w:ascii="宋体" w:hAnsi="宋体"/>
                <w:sz w:val="16"/>
                <w:szCs w:val="16"/>
              </w:rPr>
              <w:t>1.应用场合：液体、气体、蒸汽压力的测量</w:t>
            </w:r>
            <w:r>
              <w:rPr>
                <w:rFonts w:hint="eastAsia" w:ascii="宋体" w:hAnsi="宋体"/>
                <w:sz w:val="16"/>
                <w:szCs w:val="16"/>
              </w:rPr>
              <w:br w:type="textWrapping"/>
            </w:r>
            <w:r>
              <w:rPr>
                <w:rFonts w:hint="eastAsia" w:ascii="宋体" w:hAnsi="宋体"/>
                <w:sz w:val="16"/>
                <w:szCs w:val="16"/>
              </w:rPr>
              <w:t xml:space="preserve">2.精度等级： 0.25% </w:t>
            </w:r>
            <w:r>
              <w:rPr>
                <w:rFonts w:hint="eastAsia" w:ascii="宋体" w:hAnsi="宋体"/>
                <w:sz w:val="16"/>
                <w:szCs w:val="16"/>
              </w:rPr>
              <w:br w:type="textWrapping"/>
            </w:r>
            <w:r>
              <w:rPr>
                <w:rFonts w:hint="eastAsia" w:ascii="宋体" w:hAnsi="宋体"/>
                <w:sz w:val="16"/>
                <w:szCs w:val="16"/>
              </w:rPr>
              <w:t>3.供电电源 15～36 VDC（标定电压24VDC）</w:t>
            </w:r>
            <w:r>
              <w:rPr>
                <w:rFonts w:hint="eastAsia" w:ascii="宋体" w:hAnsi="宋体"/>
                <w:sz w:val="16"/>
                <w:szCs w:val="16"/>
              </w:rPr>
              <w:br w:type="textWrapping"/>
            </w:r>
            <w:r>
              <w:rPr>
                <w:rFonts w:hint="eastAsia" w:ascii="宋体" w:hAnsi="宋体"/>
                <w:sz w:val="16"/>
                <w:szCs w:val="16"/>
              </w:rPr>
              <w:t>4.输出信号 (4～20)mA</w:t>
            </w:r>
            <w:r>
              <w:rPr>
                <w:rFonts w:hint="eastAsia" w:ascii="宋体" w:hAnsi="宋体"/>
                <w:sz w:val="16"/>
                <w:szCs w:val="16"/>
              </w:rPr>
              <w:br w:type="textWrapping"/>
            </w:r>
            <w:r>
              <w:rPr>
                <w:rFonts w:hint="eastAsia" w:ascii="宋体" w:hAnsi="宋体"/>
                <w:sz w:val="16"/>
                <w:szCs w:val="16"/>
              </w:rPr>
              <w:t xml:space="preserve">5.显示方式 ：指针表头或数字显示可选配 </w:t>
            </w:r>
          </w:p>
        </w:tc>
        <w:tc>
          <w:tcPr>
            <w:tcW w:w="367" w:type="dxa"/>
            <w:vAlign w:val="center"/>
          </w:tcPr>
          <w:p w14:paraId="5EB54384">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6AEBFB30">
            <w:pPr>
              <w:jc w:val="both"/>
              <w:textAlignment w:val="center"/>
              <w:rPr>
                <w:rFonts w:ascii="宋体" w:hAnsi="宋体"/>
                <w:sz w:val="16"/>
                <w:szCs w:val="16"/>
              </w:rPr>
            </w:pPr>
            <w:r>
              <w:rPr>
                <w:rFonts w:hint="eastAsia" w:ascii="宋体" w:hAnsi="宋体"/>
                <w:sz w:val="16"/>
                <w:szCs w:val="16"/>
              </w:rPr>
              <w:t>1</w:t>
            </w:r>
            <w:r>
              <w:rPr>
                <w:rFonts w:ascii="宋体" w:hAnsi="宋体"/>
                <w:sz w:val="16"/>
                <w:szCs w:val="16"/>
              </w:rPr>
              <w:t>1</w:t>
            </w:r>
          </w:p>
        </w:tc>
        <w:tc>
          <w:tcPr>
            <w:tcW w:w="501" w:type="dxa"/>
            <w:shd w:val="clear" w:color="auto" w:fill="auto"/>
            <w:vAlign w:val="center"/>
          </w:tcPr>
          <w:p w14:paraId="139EB8E4">
            <w:pPr>
              <w:snapToGrid w:val="0"/>
              <w:jc w:val="both"/>
              <w:rPr>
                <w:rFonts w:ascii="宋体" w:hAnsi="宋体" w:cstheme="minorEastAsia"/>
                <w:bCs/>
                <w:sz w:val="16"/>
                <w:szCs w:val="16"/>
              </w:rPr>
            </w:pPr>
          </w:p>
        </w:tc>
      </w:tr>
      <w:tr w14:paraId="09DE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FA047F4">
            <w:pPr>
              <w:snapToGrid w:val="0"/>
              <w:jc w:val="both"/>
              <w:rPr>
                <w:rFonts w:ascii="宋体" w:hAnsi="宋体" w:cstheme="minorEastAsia"/>
                <w:bCs/>
                <w:sz w:val="16"/>
                <w:szCs w:val="16"/>
              </w:rPr>
            </w:pPr>
            <w:r>
              <w:rPr>
                <w:rFonts w:hint="eastAsia" w:ascii="宋体" w:hAnsi="宋体"/>
                <w:sz w:val="16"/>
                <w:szCs w:val="16"/>
              </w:rPr>
              <w:t>2</w:t>
            </w:r>
            <w:r>
              <w:rPr>
                <w:rFonts w:ascii="宋体" w:hAnsi="宋体"/>
                <w:sz w:val="16"/>
                <w:szCs w:val="16"/>
              </w:rPr>
              <w:t>.4.2</w:t>
            </w:r>
          </w:p>
        </w:tc>
        <w:tc>
          <w:tcPr>
            <w:tcW w:w="1416" w:type="dxa"/>
            <w:gridSpan w:val="2"/>
            <w:tcBorders>
              <w:top w:val="single" w:color="auto" w:sz="4" w:space="0"/>
            </w:tcBorders>
            <w:vAlign w:val="center"/>
          </w:tcPr>
          <w:p w14:paraId="52F535C7">
            <w:pPr>
              <w:snapToGrid w:val="0"/>
              <w:jc w:val="both"/>
              <w:rPr>
                <w:rFonts w:ascii="宋体" w:hAnsi="宋体"/>
                <w:sz w:val="16"/>
                <w:szCs w:val="16"/>
              </w:rPr>
            </w:pPr>
            <w:r>
              <w:rPr>
                <w:rFonts w:hint="eastAsia" w:ascii="宋体" w:hAnsi="宋体"/>
                <w:sz w:val="16"/>
                <w:szCs w:val="16"/>
              </w:rPr>
              <w:t>冷凝水温度检测</w:t>
            </w:r>
          </w:p>
        </w:tc>
        <w:tc>
          <w:tcPr>
            <w:tcW w:w="5253" w:type="dxa"/>
            <w:vAlign w:val="center"/>
          </w:tcPr>
          <w:p w14:paraId="241D00D7">
            <w:pPr>
              <w:snapToGrid w:val="0"/>
              <w:jc w:val="both"/>
              <w:rPr>
                <w:rFonts w:ascii="宋体" w:hAnsi="宋体"/>
                <w:sz w:val="16"/>
                <w:szCs w:val="16"/>
              </w:rPr>
            </w:pPr>
            <w:r>
              <w:rPr>
                <w:rFonts w:hint="eastAsia" w:ascii="宋体" w:hAnsi="宋体"/>
                <w:sz w:val="16"/>
                <w:szCs w:val="16"/>
              </w:rPr>
              <w:t>显示变送一体化温度变送器</w:t>
            </w:r>
            <w:r>
              <w:rPr>
                <w:rFonts w:hint="eastAsia" w:ascii="宋体" w:hAnsi="宋体"/>
                <w:sz w:val="16"/>
                <w:szCs w:val="16"/>
              </w:rPr>
              <w:br w:type="textWrapping"/>
            </w:r>
            <w:r>
              <w:rPr>
                <w:rFonts w:hint="eastAsia" w:ascii="宋体" w:hAnsi="宋体"/>
                <w:sz w:val="16"/>
                <w:szCs w:val="16"/>
              </w:rPr>
              <w:t>1. 测量精度: &lt;热电阻&gt; ± 0.5%</w:t>
            </w:r>
            <w:r>
              <w:rPr>
                <w:rFonts w:hint="eastAsia" w:ascii="宋体" w:hAnsi="宋体"/>
                <w:sz w:val="16"/>
                <w:szCs w:val="16"/>
              </w:rPr>
              <w:br w:type="textWrapping"/>
            </w:r>
            <w:r>
              <w:rPr>
                <w:rFonts w:hint="eastAsia" w:ascii="宋体" w:hAnsi="宋体"/>
                <w:sz w:val="16"/>
                <w:szCs w:val="16"/>
              </w:rPr>
              <w:t>2. 热电阻测温范围: &lt;Pt100&gt;-200～450℃</w:t>
            </w:r>
            <w:r>
              <w:rPr>
                <w:rFonts w:hint="eastAsia" w:ascii="宋体" w:hAnsi="宋体"/>
                <w:sz w:val="16"/>
                <w:szCs w:val="16"/>
              </w:rPr>
              <w:br w:type="textWrapping"/>
            </w:r>
            <w:r>
              <w:rPr>
                <w:rFonts w:hint="eastAsia" w:ascii="宋体" w:hAnsi="宋体"/>
                <w:sz w:val="16"/>
                <w:szCs w:val="16"/>
              </w:rPr>
              <w:t>3. 输出信号: 4-20mA</w:t>
            </w:r>
            <w:r>
              <w:rPr>
                <w:rFonts w:hint="eastAsia" w:ascii="宋体" w:hAnsi="宋体"/>
                <w:sz w:val="16"/>
                <w:szCs w:val="16"/>
              </w:rPr>
              <w:br w:type="textWrapping"/>
            </w:r>
            <w:r>
              <w:rPr>
                <w:rFonts w:hint="eastAsia" w:ascii="宋体" w:hAnsi="宋体"/>
                <w:sz w:val="16"/>
                <w:szCs w:val="16"/>
              </w:rPr>
              <w:t>4. 环境温度: -10～85℃</w:t>
            </w:r>
            <w:r>
              <w:rPr>
                <w:rFonts w:hint="eastAsia" w:ascii="宋体" w:hAnsi="宋体"/>
                <w:sz w:val="16"/>
                <w:szCs w:val="16"/>
              </w:rPr>
              <w:br w:type="textWrapping"/>
            </w:r>
            <w:r>
              <w:rPr>
                <w:rFonts w:hint="eastAsia" w:ascii="宋体" w:hAnsi="宋体"/>
                <w:sz w:val="16"/>
                <w:szCs w:val="16"/>
              </w:rPr>
              <w:t>5. 显示范围: -1999～1999</w:t>
            </w:r>
            <w:r>
              <w:rPr>
                <w:rFonts w:hint="eastAsia" w:ascii="宋体" w:hAnsi="宋体"/>
                <w:sz w:val="16"/>
                <w:szCs w:val="16"/>
              </w:rPr>
              <w:br w:type="textWrapping"/>
            </w:r>
            <w:r>
              <w:rPr>
                <w:rFonts w:hint="eastAsia" w:ascii="宋体" w:hAnsi="宋体"/>
                <w:sz w:val="16"/>
                <w:szCs w:val="16"/>
              </w:rPr>
              <w:t>6. 防护等级: IP65</w:t>
            </w:r>
          </w:p>
        </w:tc>
        <w:tc>
          <w:tcPr>
            <w:tcW w:w="367" w:type="dxa"/>
            <w:vAlign w:val="center"/>
          </w:tcPr>
          <w:p w14:paraId="73D7D793">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3A7611BF">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3ECE429F">
            <w:pPr>
              <w:snapToGrid w:val="0"/>
              <w:jc w:val="both"/>
              <w:rPr>
                <w:rFonts w:ascii="宋体" w:hAnsi="宋体" w:cstheme="minorEastAsia"/>
                <w:bCs/>
                <w:sz w:val="16"/>
                <w:szCs w:val="16"/>
              </w:rPr>
            </w:pPr>
          </w:p>
        </w:tc>
      </w:tr>
      <w:tr w14:paraId="7563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F90FC71">
            <w:pPr>
              <w:snapToGrid w:val="0"/>
              <w:jc w:val="both"/>
              <w:rPr>
                <w:rFonts w:ascii="宋体" w:hAnsi="宋体" w:cstheme="minorEastAsia"/>
                <w:bCs/>
                <w:sz w:val="16"/>
                <w:szCs w:val="16"/>
              </w:rPr>
            </w:pPr>
            <w:r>
              <w:rPr>
                <w:rFonts w:ascii="宋体" w:hAnsi="宋体"/>
                <w:sz w:val="16"/>
                <w:szCs w:val="16"/>
              </w:rPr>
              <w:t>2.4.3</w:t>
            </w:r>
          </w:p>
        </w:tc>
        <w:tc>
          <w:tcPr>
            <w:tcW w:w="1416" w:type="dxa"/>
            <w:gridSpan w:val="2"/>
            <w:tcBorders>
              <w:top w:val="single" w:color="auto" w:sz="4" w:space="0"/>
            </w:tcBorders>
            <w:vAlign w:val="center"/>
          </w:tcPr>
          <w:p w14:paraId="38315DBB">
            <w:pPr>
              <w:snapToGrid w:val="0"/>
              <w:jc w:val="both"/>
              <w:rPr>
                <w:rFonts w:ascii="宋体" w:hAnsi="宋体"/>
                <w:sz w:val="16"/>
                <w:szCs w:val="16"/>
              </w:rPr>
            </w:pPr>
            <w:r>
              <w:rPr>
                <w:rFonts w:hint="eastAsia" w:ascii="宋体" w:hAnsi="宋体"/>
                <w:sz w:val="16"/>
                <w:szCs w:val="16"/>
              </w:rPr>
              <w:t>滚筒转速检测</w:t>
            </w:r>
          </w:p>
        </w:tc>
        <w:tc>
          <w:tcPr>
            <w:tcW w:w="5253" w:type="dxa"/>
            <w:vAlign w:val="center"/>
          </w:tcPr>
          <w:p w14:paraId="58E5B13D">
            <w:pPr>
              <w:snapToGrid w:val="0"/>
              <w:jc w:val="both"/>
              <w:rPr>
                <w:rFonts w:ascii="宋体" w:hAnsi="宋体"/>
                <w:sz w:val="16"/>
                <w:szCs w:val="16"/>
              </w:rPr>
            </w:pPr>
            <w:r>
              <w:rPr>
                <w:rFonts w:hint="eastAsia" w:ascii="宋体" w:hAnsi="宋体"/>
                <w:sz w:val="16"/>
                <w:szCs w:val="16"/>
              </w:rPr>
              <w:t>1.电感式传感器；</w:t>
            </w:r>
            <w:r>
              <w:rPr>
                <w:rFonts w:hint="eastAsia" w:ascii="宋体" w:hAnsi="宋体"/>
                <w:sz w:val="16"/>
                <w:szCs w:val="16"/>
              </w:rPr>
              <w:br w:type="textWrapping"/>
            </w:r>
            <w:r>
              <w:rPr>
                <w:rFonts w:hint="eastAsia" w:ascii="宋体" w:hAnsi="宋体"/>
                <w:sz w:val="16"/>
                <w:szCs w:val="16"/>
              </w:rPr>
              <w:t>2.15mm 齐平</w:t>
            </w:r>
            <w:r>
              <w:rPr>
                <w:rFonts w:hint="eastAsia" w:ascii="宋体" w:hAnsi="宋体"/>
                <w:sz w:val="16"/>
                <w:szCs w:val="16"/>
              </w:rPr>
              <w:br w:type="textWrapping"/>
            </w:r>
            <w:r>
              <w:rPr>
                <w:rFonts w:hint="eastAsia" w:ascii="宋体" w:hAnsi="宋体"/>
                <w:sz w:val="16"/>
                <w:szCs w:val="16"/>
              </w:rPr>
              <w:t>3.PNP；4.时间延迟最大：15毫秒</w:t>
            </w:r>
          </w:p>
        </w:tc>
        <w:tc>
          <w:tcPr>
            <w:tcW w:w="367" w:type="dxa"/>
            <w:vAlign w:val="center"/>
          </w:tcPr>
          <w:p w14:paraId="137F92CA">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02EF885">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7A80F63">
            <w:pPr>
              <w:snapToGrid w:val="0"/>
              <w:jc w:val="both"/>
              <w:rPr>
                <w:rFonts w:ascii="宋体" w:hAnsi="宋体" w:cstheme="minorEastAsia"/>
                <w:bCs/>
                <w:sz w:val="16"/>
                <w:szCs w:val="16"/>
              </w:rPr>
            </w:pPr>
          </w:p>
        </w:tc>
      </w:tr>
      <w:tr w14:paraId="4E37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5D97A69">
            <w:pPr>
              <w:snapToGrid w:val="0"/>
              <w:jc w:val="both"/>
              <w:rPr>
                <w:rFonts w:ascii="宋体" w:hAnsi="宋体" w:cstheme="minorEastAsia"/>
                <w:bCs/>
                <w:sz w:val="16"/>
                <w:szCs w:val="16"/>
              </w:rPr>
            </w:pPr>
            <w:r>
              <w:rPr>
                <w:rFonts w:ascii="宋体" w:hAnsi="宋体"/>
                <w:sz w:val="16"/>
                <w:szCs w:val="16"/>
              </w:rPr>
              <w:t>2.4.4</w:t>
            </w:r>
          </w:p>
        </w:tc>
        <w:tc>
          <w:tcPr>
            <w:tcW w:w="1416" w:type="dxa"/>
            <w:gridSpan w:val="2"/>
            <w:tcBorders>
              <w:top w:val="single" w:color="auto" w:sz="4" w:space="0"/>
            </w:tcBorders>
            <w:vAlign w:val="center"/>
          </w:tcPr>
          <w:p w14:paraId="333A1624">
            <w:pPr>
              <w:snapToGrid w:val="0"/>
              <w:jc w:val="both"/>
              <w:rPr>
                <w:rFonts w:ascii="宋体" w:hAnsi="宋体"/>
                <w:sz w:val="16"/>
                <w:szCs w:val="16"/>
              </w:rPr>
            </w:pPr>
            <w:r>
              <w:rPr>
                <w:rFonts w:hint="eastAsia" w:ascii="宋体" w:hAnsi="宋体"/>
                <w:sz w:val="16"/>
                <w:szCs w:val="16"/>
              </w:rPr>
              <w:t>风速仪</w:t>
            </w:r>
          </w:p>
        </w:tc>
        <w:tc>
          <w:tcPr>
            <w:tcW w:w="5253" w:type="dxa"/>
            <w:vAlign w:val="center"/>
          </w:tcPr>
          <w:p w14:paraId="567030A1">
            <w:pPr>
              <w:snapToGrid w:val="0"/>
              <w:jc w:val="both"/>
              <w:rPr>
                <w:rFonts w:ascii="宋体" w:hAnsi="宋体"/>
                <w:sz w:val="16"/>
                <w:szCs w:val="16"/>
              </w:rPr>
            </w:pPr>
            <w:r>
              <w:rPr>
                <w:rFonts w:hint="eastAsia" w:ascii="宋体" w:hAnsi="宋体"/>
                <w:sz w:val="16"/>
                <w:szCs w:val="16"/>
              </w:rPr>
              <w:t>1、测量范围：空气/气体:0.5…40米/秒,实际流速</w:t>
            </w:r>
            <w:r>
              <w:rPr>
                <w:rFonts w:hint="eastAsia" w:ascii="宋体" w:hAnsi="宋体"/>
                <w:sz w:val="16"/>
                <w:szCs w:val="16"/>
              </w:rPr>
              <w:br w:type="textWrapping"/>
            </w:r>
            <w:r>
              <w:rPr>
                <w:rFonts w:hint="eastAsia" w:ascii="宋体" w:hAnsi="宋体"/>
                <w:sz w:val="16"/>
                <w:szCs w:val="16"/>
              </w:rPr>
              <w:t>2、工作温度范围:-20°C…+ 180°C</w:t>
            </w:r>
            <w:r>
              <w:rPr>
                <w:rFonts w:hint="eastAsia" w:ascii="宋体" w:hAnsi="宋体"/>
                <w:sz w:val="16"/>
                <w:szCs w:val="16"/>
              </w:rPr>
              <w:br w:type="textWrapping"/>
            </w:r>
            <w:r>
              <w:rPr>
                <w:rFonts w:hint="eastAsia" w:ascii="宋体" w:hAnsi="宋体"/>
                <w:sz w:val="16"/>
                <w:szCs w:val="16"/>
              </w:rPr>
              <w:t>3、最大工作压力：耐压达到 3 bar / 300KPa 表压</w:t>
            </w:r>
            <w:r>
              <w:rPr>
                <w:rFonts w:hint="eastAsia" w:ascii="宋体" w:hAnsi="宋体"/>
                <w:sz w:val="16"/>
                <w:szCs w:val="16"/>
              </w:rPr>
              <w:br w:type="textWrapping"/>
            </w:r>
            <w:r>
              <w:rPr>
                <w:rFonts w:hint="eastAsia" w:ascii="宋体" w:hAnsi="宋体"/>
                <w:sz w:val="16"/>
                <w:szCs w:val="16"/>
              </w:rPr>
              <w:t>4、材料:不锈钢、陶瓷、</w:t>
            </w:r>
            <w:r>
              <w:rPr>
                <w:rFonts w:hint="eastAsia" w:ascii="宋体" w:hAnsi="宋体"/>
                <w:sz w:val="16"/>
                <w:szCs w:val="16"/>
              </w:rPr>
              <w:br w:type="textWrapping"/>
            </w:r>
            <w:r>
              <w:rPr>
                <w:rFonts w:hint="eastAsia" w:ascii="宋体" w:hAnsi="宋体"/>
                <w:sz w:val="16"/>
                <w:szCs w:val="16"/>
              </w:rPr>
              <w:t>5、传感器：1.4581</w:t>
            </w:r>
            <w:r>
              <w:rPr>
                <w:rFonts w:hint="eastAsia" w:ascii="宋体" w:hAnsi="宋体"/>
                <w:sz w:val="16"/>
                <w:szCs w:val="16"/>
              </w:rPr>
              <w:br w:type="textWrapping"/>
            </w:r>
            <w:r>
              <w:rPr>
                <w:rFonts w:hint="eastAsia" w:ascii="宋体" w:hAnsi="宋体"/>
                <w:sz w:val="16"/>
                <w:szCs w:val="16"/>
              </w:rPr>
              <w:t>6、取样管：1.4404</w:t>
            </w:r>
            <w:r>
              <w:rPr>
                <w:rFonts w:hint="eastAsia" w:ascii="宋体" w:hAnsi="宋体"/>
                <w:sz w:val="16"/>
                <w:szCs w:val="16"/>
              </w:rPr>
              <w:br w:type="textWrapping"/>
            </w:r>
            <w:r>
              <w:rPr>
                <w:rFonts w:hint="eastAsia" w:ascii="宋体" w:hAnsi="宋体"/>
                <w:sz w:val="16"/>
                <w:szCs w:val="16"/>
              </w:rPr>
              <w:t>7、安装长度:500毫米固定长度</w:t>
            </w:r>
            <w:r>
              <w:rPr>
                <w:rFonts w:hint="eastAsia" w:ascii="宋体" w:hAnsi="宋体"/>
                <w:sz w:val="16"/>
                <w:szCs w:val="16"/>
              </w:rPr>
              <w:br w:type="textWrapping"/>
            </w:r>
            <w:r>
              <w:rPr>
                <w:rFonts w:hint="eastAsia" w:ascii="宋体" w:hAnsi="宋体"/>
                <w:sz w:val="16"/>
                <w:szCs w:val="16"/>
              </w:rPr>
              <w:t>8、连接器:AS80, L•W•H = 80 x 80 x 60毫米</w:t>
            </w:r>
            <w:r>
              <w:rPr>
                <w:rFonts w:hint="eastAsia" w:ascii="宋体" w:hAnsi="宋体"/>
                <w:sz w:val="16"/>
                <w:szCs w:val="16"/>
              </w:rPr>
              <w:br w:type="textWrapping"/>
            </w:r>
            <w:r>
              <w:rPr>
                <w:rFonts w:hint="eastAsia" w:ascii="宋体" w:hAnsi="宋体"/>
                <w:sz w:val="16"/>
                <w:szCs w:val="16"/>
              </w:rPr>
              <w:t>9、系统保护等级:传感器IP68</w:t>
            </w:r>
            <w:r>
              <w:rPr>
                <w:rFonts w:hint="eastAsia" w:ascii="宋体" w:hAnsi="宋体"/>
                <w:sz w:val="16"/>
                <w:szCs w:val="16"/>
              </w:rPr>
              <w:br w:type="textWrapping"/>
            </w:r>
            <w:r>
              <w:rPr>
                <w:rFonts w:hint="eastAsia" w:ascii="宋体" w:hAnsi="宋体"/>
                <w:sz w:val="16"/>
                <w:szCs w:val="16"/>
              </w:rPr>
              <w:t>10、连接器：IP65</w:t>
            </w:r>
          </w:p>
        </w:tc>
        <w:tc>
          <w:tcPr>
            <w:tcW w:w="367" w:type="dxa"/>
            <w:vAlign w:val="center"/>
          </w:tcPr>
          <w:p w14:paraId="364E9F0A">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013811E9">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15969AB">
            <w:pPr>
              <w:snapToGrid w:val="0"/>
              <w:jc w:val="both"/>
              <w:rPr>
                <w:rFonts w:ascii="宋体" w:hAnsi="宋体" w:cstheme="minorEastAsia"/>
                <w:bCs/>
                <w:sz w:val="16"/>
                <w:szCs w:val="16"/>
              </w:rPr>
            </w:pPr>
          </w:p>
        </w:tc>
      </w:tr>
      <w:tr w14:paraId="7669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67B394F">
            <w:pPr>
              <w:snapToGrid w:val="0"/>
              <w:jc w:val="both"/>
              <w:rPr>
                <w:rFonts w:ascii="宋体" w:hAnsi="宋体" w:cstheme="minorEastAsia"/>
                <w:bCs/>
                <w:sz w:val="16"/>
                <w:szCs w:val="16"/>
              </w:rPr>
            </w:pPr>
            <w:r>
              <w:rPr>
                <w:rFonts w:ascii="宋体" w:hAnsi="宋体"/>
                <w:sz w:val="16"/>
                <w:szCs w:val="16"/>
              </w:rPr>
              <w:t>2.4.5</w:t>
            </w:r>
          </w:p>
        </w:tc>
        <w:tc>
          <w:tcPr>
            <w:tcW w:w="1416" w:type="dxa"/>
            <w:gridSpan w:val="2"/>
            <w:tcBorders>
              <w:top w:val="single" w:color="auto" w:sz="4" w:space="0"/>
            </w:tcBorders>
            <w:vAlign w:val="center"/>
          </w:tcPr>
          <w:p w14:paraId="005253A2">
            <w:pPr>
              <w:snapToGrid w:val="0"/>
              <w:jc w:val="both"/>
              <w:rPr>
                <w:rFonts w:ascii="宋体" w:hAnsi="宋体"/>
                <w:sz w:val="16"/>
                <w:szCs w:val="16"/>
              </w:rPr>
            </w:pPr>
            <w:r>
              <w:rPr>
                <w:rFonts w:hint="eastAsia" w:ascii="宋体" w:hAnsi="宋体"/>
                <w:sz w:val="16"/>
                <w:szCs w:val="16"/>
              </w:rPr>
              <w:t>温湿度变送器</w:t>
            </w:r>
          </w:p>
        </w:tc>
        <w:tc>
          <w:tcPr>
            <w:tcW w:w="5253" w:type="dxa"/>
            <w:vAlign w:val="center"/>
          </w:tcPr>
          <w:p w14:paraId="715F2FB6">
            <w:pPr>
              <w:snapToGrid w:val="0"/>
              <w:jc w:val="both"/>
              <w:rPr>
                <w:rFonts w:ascii="宋体" w:hAnsi="宋体"/>
                <w:sz w:val="16"/>
                <w:szCs w:val="16"/>
              </w:rPr>
            </w:pPr>
            <w:r>
              <w:rPr>
                <w:rFonts w:hint="eastAsia" w:ascii="宋体" w:hAnsi="宋体"/>
                <w:sz w:val="16"/>
                <w:szCs w:val="16"/>
              </w:rPr>
              <w:t>壁挂，相对湿度：1.量程：0~100%RH；2.准确度(包括非线性度，迟滞和重复性）：±3%RH;3.分辨率：0.1%RH</w:t>
            </w:r>
            <w:r>
              <w:rPr>
                <w:rFonts w:hint="eastAsia" w:ascii="宋体" w:hAnsi="宋体"/>
                <w:sz w:val="16"/>
                <w:szCs w:val="16"/>
              </w:rPr>
              <w:br w:type="textWrapping"/>
            </w:r>
            <w:r>
              <w:rPr>
                <w:rFonts w:hint="eastAsia" w:ascii="宋体" w:hAnsi="宋体"/>
                <w:sz w:val="16"/>
                <w:szCs w:val="16"/>
              </w:rPr>
              <w:t>温度:1.量程(可通过拔码开关设置)：0~+50℃/ -20~+80℃/ -40~+60℃/客户定制;2.准确度：±0.3℃（典型值）;3.分辨率：0.1℃</w:t>
            </w:r>
            <w:r>
              <w:rPr>
                <w:rFonts w:hint="eastAsia" w:ascii="宋体" w:hAnsi="宋体"/>
                <w:sz w:val="16"/>
                <w:szCs w:val="16"/>
              </w:rPr>
              <w:br w:type="textWrapping"/>
            </w:r>
            <w:r>
              <w:rPr>
                <w:rFonts w:hint="eastAsia" w:ascii="宋体" w:hAnsi="宋体"/>
                <w:sz w:val="16"/>
                <w:szCs w:val="16"/>
              </w:rPr>
              <w:t>工作电压：12~36VDC</w:t>
            </w:r>
            <w:r>
              <w:rPr>
                <w:rFonts w:hint="eastAsia" w:ascii="宋体" w:hAnsi="宋体"/>
                <w:sz w:val="16"/>
                <w:szCs w:val="16"/>
              </w:rPr>
              <w:br w:type="textWrapping"/>
            </w:r>
            <w:r>
              <w:rPr>
                <w:rFonts w:hint="eastAsia" w:ascii="宋体" w:hAnsi="宋体"/>
                <w:sz w:val="16"/>
                <w:szCs w:val="16"/>
              </w:rPr>
              <w:t>输出信号：4-20mA；</w:t>
            </w:r>
          </w:p>
        </w:tc>
        <w:tc>
          <w:tcPr>
            <w:tcW w:w="367" w:type="dxa"/>
            <w:vAlign w:val="center"/>
          </w:tcPr>
          <w:p w14:paraId="575B2200">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5E343EA1">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52A7475C">
            <w:pPr>
              <w:snapToGrid w:val="0"/>
              <w:jc w:val="both"/>
              <w:rPr>
                <w:rFonts w:ascii="宋体" w:hAnsi="宋体" w:cstheme="minorEastAsia"/>
                <w:bCs/>
                <w:sz w:val="16"/>
                <w:szCs w:val="16"/>
              </w:rPr>
            </w:pPr>
          </w:p>
        </w:tc>
      </w:tr>
      <w:tr w14:paraId="7C28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769DE7C">
            <w:pPr>
              <w:snapToGrid w:val="0"/>
              <w:jc w:val="both"/>
              <w:rPr>
                <w:rFonts w:ascii="宋体" w:hAnsi="宋体" w:cstheme="minorEastAsia"/>
                <w:bCs/>
                <w:sz w:val="16"/>
                <w:szCs w:val="16"/>
              </w:rPr>
            </w:pPr>
            <w:r>
              <w:rPr>
                <w:rFonts w:ascii="宋体" w:hAnsi="宋体"/>
                <w:sz w:val="16"/>
                <w:szCs w:val="16"/>
              </w:rPr>
              <w:t>2.4.6</w:t>
            </w:r>
          </w:p>
        </w:tc>
        <w:tc>
          <w:tcPr>
            <w:tcW w:w="1416" w:type="dxa"/>
            <w:gridSpan w:val="2"/>
            <w:tcBorders>
              <w:top w:val="single" w:color="auto" w:sz="4" w:space="0"/>
            </w:tcBorders>
            <w:vAlign w:val="center"/>
          </w:tcPr>
          <w:p w14:paraId="43890C0B">
            <w:pPr>
              <w:snapToGrid w:val="0"/>
              <w:jc w:val="both"/>
              <w:rPr>
                <w:rFonts w:ascii="宋体" w:hAnsi="宋体"/>
                <w:sz w:val="16"/>
                <w:szCs w:val="16"/>
              </w:rPr>
            </w:pPr>
            <w:r>
              <w:rPr>
                <w:rFonts w:hint="eastAsia" w:ascii="宋体" w:hAnsi="宋体"/>
                <w:sz w:val="16"/>
                <w:szCs w:val="16"/>
              </w:rPr>
              <w:t>薄板蒸汽控制</w:t>
            </w:r>
          </w:p>
        </w:tc>
        <w:tc>
          <w:tcPr>
            <w:tcW w:w="5253" w:type="dxa"/>
            <w:vAlign w:val="center"/>
          </w:tcPr>
          <w:p w14:paraId="7B9FE965">
            <w:pPr>
              <w:snapToGrid w:val="0"/>
              <w:jc w:val="both"/>
              <w:rPr>
                <w:rFonts w:ascii="宋体" w:hAnsi="宋体"/>
                <w:sz w:val="16"/>
                <w:szCs w:val="16"/>
              </w:rPr>
            </w:pPr>
            <w:r>
              <w:rPr>
                <w:rFonts w:hint="eastAsia" w:ascii="宋体" w:hAnsi="宋体"/>
                <w:sz w:val="16"/>
                <w:szCs w:val="16"/>
              </w:rPr>
              <w:t>1.适用于：SAMSON 调节阀；</w:t>
            </w:r>
            <w:r>
              <w:rPr>
                <w:rFonts w:hint="eastAsia" w:ascii="宋体" w:hAnsi="宋体"/>
                <w:sz w:val="16"/>
                <w:szCs w:val="16"/>
              </w:rPr>
              <w:br w:type="textWrapping"/>
            </w:r>
            <w:r>
              <w:rPr>
                <w:rFonts w:hint="eastAsia" w:ascii="宋体" w:hAnsi="宋体"/>
                <w:sz w:val="16"/>
                <w:szCs w:val="16"/>
              </w:rPr>
              <w:t>2.与3730-4-Profibus-PA定位器参数一致</w:t>
            </w:r>
            <w:r>
              <w:rPr>
                <w:rFonts w:hint="eastAsia" w:ascii="宋体" w:hAnsi="宋体"/>
                <w:sz w:val="16"/>
                <w:szCs w:val="16"/>
              </w:rPr>
              <w:br w:type="textWrapping"/>
            </w:r>
            <w:r>
              <w:rPr>
                <w:rFonts w:hint="eastAsia" w:ascii="宋体" w:hAnsi="宋体"/>
                <w:sz w:val="16"/>
                <w:szCs w:val="16"/>
              </w:rPr>
              <w:t>3.带 LCD 显示和自动调整功能，PROFIBUS-PA</w:t>
            </w:r>
          </w:p>
        </w:tc>
        <w:tc>
          <w:tcPr>
            <w:tcW w:w="367" w:type="dxa"/>
            <w:vAlign w:val="center"/>
          </w:tcPr>
          <w:p w14:paraId="73089216">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AD94064">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3E2BAE2">
            <w:pPr>
              <w:snapToGrid w:val="0"/>
              <w:jc w:val="both"/>
              <w:rPr>
                <w:rFonts w:ascii="宋体" w:hAnsi="宋体" w:cstheme="minorEastAsia"/>
                <w:bCs/>
                <w:sz w:val="16"/>
                <w:szCs w:val="16"/>
              </w:rPr>
            </w:pPr>
          </w:p>
        </w:tc>
      </w:tr>
      <w:tr w14:paraId="14F1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7" w:type="dxa"/>
            <w:vAlign w:val="center"/>
          </w:tcPr>
          <w:p w14:paraId="3F75AAFE">
            <w:pPr>
              <w:snapToGrid w:val="0"/>
              <w:jc w:val="both"/>
              <w:rPr>
                <w:rFonts w:ascii="宋体" w:hAnsi="宋体" w:cstheme="minorEastAsia"/>
                <w:b/>
                <w:bCs/>
                <w:sz w:val="21"/>
                <w:szCs w:val="21"/>
              </w:rPr>
            </w:pPr>
            <w:r>
              <w:rPr>
                <w:rFonts w:ascii="宋体" w:hAnsi="宋体" w:cstheme="minorEastAsia"/>
                <w:b/>
                <w:bCs/>
                <w:sz w:val="21"/>
                <w:szCs w:val="21"/>
              </w:rPr>
              <w:t>2.5</w:t>
            </w:r>
          </w:p>
        </w:tc>
        <w:tc>
          <w:tcPr>
            <w:tcW w:w="8364" w:type="dxa"/>
            <w:gridSpan w:val="6"/>
            <w:shd w:val="clear" w:color="auto" w:fill="auto"/>
          </w:tcPr>
          <w:p w14:paraId="202DB7CE">
            <w:pPr>
              <w:spacing w:after="0" w:line="240" w:lineRule="auto"/>
              <w:rPr>
                <w:rFonts w:ascii="宋体" w:hAnsi="宋体"/>
                <w:b/>
                <w:sz w:val="16"/>
                <w:szCs w:val="16"/>
              </w:rPr>
            </w:pPr>
            <w:r>
              <w:rPr>
                <w:rFonts w:hint="eastAsia" w:ascii="宋体" w:hAnsi="宋体"/>
                <w:b/>
                <w:sz w:val="16"/>
                <w:szCs w:val="16"/>
              </w:rPr>
              <w:t>加香机新增</w:t>
            </w:r>
          </w:p>
        </w:tc>
      </w:tr>
      <w:tr w14:paraId="2439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4612D0E">
            <w:pPr>
              <w:snapToGrid w:val="0"/>
              <w:jc w:val="both"/>
              <w:rPr>
                <w:rFonts w:ascii="宋体" w:hAnsi="宋体" w:cstheme="minorEastAsia"/>
                <w:bCs/>
                <w:sz w:val="16"/>
                <w:szCs w:val="16"/>
              </w:rPr>
            </w:pPr>
            <w:r>
              <w:rPr>
                <w:rFonts w:ascii="宋体" w:hAnsi="宋体"/>
                <w:sz w:val="16"/>
                <w:szCs w:val="16"/>
              </w:rPr>
              <w:t>2.5.1</w:t>
            </w:r>
          </w:p>
        </w:tc>
        <w:tc>
          <w:tcPr>
            <w:tcW w:w="1416" w:type="dxa"/>
            <w:gridSpan w:val="2"/>
            <w:tcBorders>
              <w:top w:val="single" w:color="auto" w:sz="4" w:space="0"/>
            </w:tcBorders>
            <w:vAlign w:val="center"/>
          </w:tcPr>
          <w:p w14:paraId="2F0A4868">
            <w:pPr>
              <w:snapToGrid w:val="0"/>
              <w:jc w:val="both"/>
              <w:rPr>
                <w:rFonts w:ascii="宋体" w:hAnsi="宋体"/>
                <w:sz w:val="16"/>
                <w:szCs w:val="16"/>
              </w:rPr>
            </w:pPr>
            <w:r>
              <w:rPr>
                <w:rFonts w:hint="eastAsia" w:ascii="宋体" w:hAnsi="宋体"/>
                <w:sz w:val="16"/>
                <w:szCs w:val="16"/>
              </w:rPr>
              <w:t>压力变送器</w:t>
            </w:r>
          </w:p>
        </w:tc>
        <w:tc>
          <w:tcPr>
            <w:tcW w:w="5253" w:type="dxa"/>
            <w:vAlign w:val="center"/>
          </w:tcPr>
          <w:p w14:paraId="38887AD9">
            <w:pPr>
              <w:snapToGrid w:val="0"/>
              <w:jc w:val="both"/>
              <w:rPr>
                <w:rFonts w:ascii="宋体" w:hAnsi="宋体"/>
                <w:sz w:val="16"/>
                <w:szCs w:val="16"/>
              </w:rPr>
            </w:pPr>
            <w:r>
              <w:rPr>
                <w:rFonts w:hint="eastAsia" w:ascii="宋体" w:hAnsi="宋体"/>
                <w:sz w:val="16"/>
                <w:szCs w:val="16"/>
              </w:rPr>
              <w:t>1.应用场合：液体、气体、蒸汽压力的测量</w:t>
            </w:r>
            <w:r>
              <w:rPr>
                <w:rFonts w:hint="eastAsia" w:ascii="宋体" w:hAnsi="宋体"/>
                <w:sz w:val="16"/>
                <w:szCs w:val="16"/>
              </w:rPr>
              <w:br w:type="textWrapping"/>
            </w:r>
            <w:r>
              <w:rPr>
                <w:rFonts w:hint="eastAsia" w:ascii="宋体" w:hAnsi="宋体"/>
                <w:sz w:val="16"/>
                <w:szCs w:val="16"/>
              </w:rPr>
              <w:t xml:space="preserve">2.精度等级： 0.25% </w:t>
            </w:r>
            <w:r>
              <w:rPr>
                <w:rFonts w:hint="eastAsia" w:ascii="宋体" w:hAnsi="宋体"/>
                <w:sz w:val="16"/>
                <w:szCs w:val="16"/>
              </w:rPr>
              <w:br w:type="textWrapping"/>
            </w:r>
            <w:r>
              <w:rPr>
                <w:rFonts w:hint="eastAsia" w:ascii="宋体" w:hAnsi="宋体"/>
                <w:sz w:val="16"/>
                <w:szCs w:val="16"/>
              </w:rPr>
              <w:t>3.供电电源 15～36 VDC（标定电压24VDC）</w:t>
            </w:r>
            <w:r>
              <w:rPr>
                <w:rFonts w:hint="eastAsia" w:ascii="宋体" w:hAnsi="宋体"/>
                <w:sz w:val="16"/>
                <w:szCs w:val="16"/>
              </w:rPr>
              <w:br w:type="textWrapping"/>
            </w:r>
            <w:r>
              <w:rPr>
                <w:rFonts w:hint="eastAsia" w:ascii="宋体" w:hAnsi="宋体"/>
                <w:sz w:val="16"/>
                <w:szCs w:val="16"/>
              </w:rPr>
              <w:t>4.输出信号 (4～20)mA</w:t>
            </w:r>
            <w:r>
              <w:rPr>
                <w:rFonts w:hint="eastAsia" w:ascii="宋体" w:hAnsi="宋体"/>
                <w:sz w:val="16"/>
                <w:szCs w:val="16"/>
              </w:rPr>
              <w:br w:type="textWrapping"/>
            </w:r>
            <w:r>
              <w:rPr>
                <w:rFonts w:hint="eastAsia" w:ascii="宋体" w:hAnsi="宋体"/>
                <w:sz w:val="16"/>
                <w:szCs w:val="16"/>
              </w:rPr>
              <w:t xml:space="preserve">5.显示方式 ：指针表头或数字显示可选配 </w:t>
            </w:r>
          </w:p>
        </w:tc>
        <w:tc>
          <w:tcPr>
            <w:tcW w:w="367" w:type="dxa"/>
            <w:vAlign w:val="center"/>
          </w:tcPr>
          <w:p w14:paraId="76F602CF">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56D6BB21">
            <w:pPr>
              <w:jc w:val="both"/>
              <w:textAlignment w:val="center"/>
              <w:rPr>
                <w:rFonts w:ascii="宋体" w:hAnsi="宋体"/>
                <w:sz w:val="16"/>
                <w:szCs w:val="16"/>
              </w:rPr>
            </w:pPr>
            <w:r>
              <w:rPr>
                <w:rFonts w:hint="eastAsia" w:ascii="宋体" w:hAnsi="宋体"/>
                <w:sz w:val="16"/>
                <w:szCs w:val="16"/>
              </w:rPr>
              <w:t>4</w:t>
            </w:r>
          </w:p>
        </w:tc>
        <w:tc>
          <w:tcPr>
            <w:tcW w:w="501" w:type="dxa"/>
            <w:shd w:val="clear" w:color="auto" w:fill="auto"/>
            <w:vAlign w:val="center"/>
          </w:tcPr>
          <w:p w14:paraId="41D1AF29">
            <w:pPr>
              <w:snapToGrid w:val="0"/>
              <w:jc w:val="both"/>
              <w:rPr>
                <w:rFonts w:ascii="宋体" w:hAnsi="宋体" w:cstheme="minorEastAsia"/>
                <w:bCs/>
                <w:sz w:val="16"/>
                <w:szCs w:val="16"/>
              </w:rPr>
            </w:pPr>
          </w:p>
        </w:tc>
      </w:tr>
      <w:tr w14:paraId="45B8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0002650">
            <w:pPr>
              <w:snapToGrid w:val="0"/>
              <w:jc w:val="both"/>
              <w:rPr>
                <w:rFonts w:ascii="宋体" w:hAnsi="宋体" w:cstheme="minorEastAsia"/>
                <w:bCs/>
                <w:sz w:val="16"/>
                <w:szCs w:val="16"/>
              </w:rPr>
            </w:pPr>
            <w:r>
              <w:rPr>
                <w:rFonts w:hint="eastAsia" w:ascii="宋体" w:hAnsi="宋体"/>
                <w:sz w:val="16"/>
                <w:szCs w:val="16"/>
              </w:rPr>
              <w:t>2</w:t>
            </w:r>
            <w:r>
              <w:rPr>
                <w:rFonts w:ascii="宋体" w:hAnsi="宋体"/>
                <w:sz w:val="16"/>
                <w:szCs w:val="16"/>
              </w:rPr>
              <w:t>.5.2</w:t>
            </w:r>
          </w:p>
        </w:tc>
        <w:tc>
          <w:tcPr>
            <w:tcW w:w="1416" w:type="dxa"/>
            <w:gridSpan w:val="2"/>
            <w:tcBorders>
              <w:top w:val="single" w:color="auto" w:sz="4" w:space="0"/>
            </w:tcBorders>
            <w:vAlign w:val="center"/>
          </w:tcPr>
          <w:p w14:paraId="30CAA98C">
            <w:pPr>
              <w:snapToGrid w:val="0"/>
              <w:jc w:val="both"/>
              <w:rPr>
                <w:rFonts w:ascii="宋体" w:hAnsi="宋体"/>
                <w:sz w:val="16"/>
                <w:szCs w:val="16"/>
              </w:rPr>
            </w:pPr>
            <w:r>
              <w:rPr>
                <w:rFonts w:hint="eastAsia" w:ascii="宋体" w:hAnsi="宋体"/>
                <w:sz w:val="16"/>
                <w:szCs w:val="16"/>
              </w:rPr>
              <w:t>温湿度变送器</w:t>
            </w:r>
          </w:p>
        </w:tc>
        <w:tc>
          <w:tcPr>
            <w:tcW w:w="5253" w:type="dxa"/>
            <w:vAlign w:val="center"/>
          </w:tcPr>
          <w:p w14:paraId="69D73B92">
            <w:pPr>
              <w:snapToGrid w:val="0"/>
              <w:jc w:val="both"/>
              <w:rPr>
                <w:rFonts w:ascii="宋体" w:hAnsi="宋体"/>
                <w:sz w:val="16"/>
                <w:szCs w:val="16"/>
              </w:rPr>
            </w:pPr>
            <w:r>
              <w:rPr>
                <w:rFonts w:hint="eastAsia" w:ascii="宋体" w:hAnsi="宋体"/>
                <w:sz w:val="16"/>
                <w:szCs w:val="16"/>
              </w:rPr>
              <w:t>壁挂，相对湿度：1.量程：0~100%RH；2.准确度(包括非线性度，迟滞和重复性）：±3%RH;3.分辨率：0.1%RH</w:t>
            </w:r>
            <w:r>
              <w:rPr>
                <w:rFonts w:hint="eastAsia" w:ascii="宋体" w:hAnsi="宋体"/>
                <w:sz w:val="16"/>
                <w:szCs w:val="16"/>
              </w:rPr>
              <w:br w:type="textWrapping"/>
            </w:r>
            <w:r>
              <w:rPr>
                <w:rFonts w:hint="eastAsia" w:ascii="宋体" w:hAnsi="宋体"/>
                <w:sz w:val="16"/>
                <w:szCs w:val="16"/>
              </w:rPr>
              <w:t>温度:1.量程(可通过拔码开关设置)：0~+50℃/ -20~+80℃/ -40~+60℃/客户定制;2.准确度：±0.3℃（典型值）;3.分辨率：0.1℃</w:t>
            </w:r>
            <w:r>
              <w:rPr>
                <w:rFonts w:hint="eastAsia" w:ascii="宋体" w:hAnsi="宋体"/>
                <w:sz w:val="16"/>
                <w:szCs w:val="16"/>
              </w:rPr>
              <w:br w:type="textWrapping"/>
            </w:r>
            <w:r>
              <w:rPr>
                <w:rFonts w:hint="eastAsia" w:ascii="宋体" w:hAnsi="宋体"/>
                <w:sz w:val="16"/>
                <w:szCs w:val="16"/>
              </w:rPr>
              <w:t>工作电压：12~36VDC</w:t>
            </w:r>
            <w:r>
              <w:rPr>
                <w:rFonts w:hint="eastAsia" w:ascii="宋体" w:hAnsi="宋体"/>
                <w:sz w:val="16"/>
                <w:szCs w:val="16"/>
              </w:rPr>
              <w:br w:type="textWrapping"/>
            </w:r>
            <w:r>
              <w:rPr>
                <w:rFonts w:hint="eastAsia" w:ascii="宋体" w:hAnsi="宋体"/>
                <w:sz w:val="16"/>
                <w:szCs w:val="16"/>
              </w:rPr>
              <w:t>输出信号：4-20mA；</w:t>
            </w:r>
          </w:p>
        </w:tc>
        <w:tc>
          <w:tcPr>
            <w:tcW w:w="367" w:type="dxa"/>
            <w:vAlign w:val="center"/>
          </w:tcPr>
          <w:p w14:paraId="1ED68290">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65B987E">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8E0736B">
            <w:pPr>
              <w:snapToGrid w:val="0"/>
              <w:jc w:val="both"/>
              <w:rPr>
                <w:rFonts w:ascii="宋体" w:hAnsi="宋体" w:cstheme="minorEastAsia"/>
                <w:bCs/>
                <w:sz w:val="16"/>
                <w:szCs w:val="16"/>
              </w:rPr>
            </w:pPr>
          </w:p>
        </w:tc>
      </w:tr>
      <w:tr w14:paraId="7855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7BE0383">
            <w:pPr>
              <w:snapToGrid w:val="0"/>
              <w:jc w:val="both"/>
              <w:rPr>
                <w:rFonts w:ascii="宋体" w:hAnsi="宋体" w:cstheme="minorEastAsia"/>
                <w:bCs/>
                <w:sz w:val="16"/>
                <w:szCs w:val="16"/>
              </w:rPr>
            </w:pPr>
            <w:r>
              <w:rPr>
                <w:rFonts w:ascii="宋体" w:hAnsi="宋体"/>
                <w:sz w:val="16"/>
                <w:szCs w:val="16"/>
              </w:rPr>
              <w:t>2.5.3</w:t>
            </w:r>
          </w:p>
        </w:tc>
        <w:tc>
          <w:tcPr>
            <w:tcW w:w="1416" w:type="dxa"/>
            <w:gridSpan w:val="2"/>
            <w:tcBorders>
              <w:top w:val="single" w:color="auto" w:sz="4" w:space="0"/>
            </w:tcBorders>
            <w:vAlign w:val="center"/>
          </w:tcPr>
          <w:p w14:paraId="2F99A876">
            <w:pPr>
              <w:snapToGrid w:val="0"/>
              <w:jc w:val="both"/>
              <w:rPr>
                <w:rFonts w:ascii="宋体" w:hAnsi="宋体"/>
                <w:sz w:val="16"/>
                <w:szCs w:val="16"/>
              </w:rPr>
            </w:pPr>
            <w:r>
              <w:rPr>
                <w:rFonts w:hint="eastAsia" w:ascii="宋体" w:hAnsi="宋体"/>
                <w:sz w:val="16"/>
                <w:szCs w:val="16"/>
              </w:rPr>
              <w:t>滚筒转速检测</w:t>
            </w:r>
          </w:p>
        </w:tc>
        <w:tc>
          <w:tcPr>
            <w:tcW w:w="5253" w:type="dxa"/>
            <w:vAlign w:val="center"/>
          </w:tcPr>
          <w:p w14:paraId="34E0719D">
            <w:pPr>
              <w:snapToGrid w:val="0"/>
              <w:jc w:val="both"/>
              <w:rPr>
                <w:rFonts w:ascii="宋体" w:hAnsi="宋体"/>
                <w:sz w:val="16"/>
                <w:szCs w:val="16"/>
              </w:rPr>
            </w:pPr>
            <w:r>
              <w:rPr>
                <w:rFonts w:hint="eastAsia" w:ascii="宋体" w:hAnsi="宋体"/>
                <w:sz w:val="16"/>
                <w:szCs w:val="16"/>
              </w:rPr>
              <w:t>1.电感式传感器；</w:t>
            </w:r>
            <w:r>
              <w:rPr>
                <w:rFonts w:hint="eastAsia" w:ascii="宋体" w:hAnsi="宋体"/>
                <w:sz w:val="16"/>
                <w:szCs w:val="16"/>
              </w:rPr>
              <w:br w:type="textWrapping"/>
            </w:r>
            <w:r>
              <w:rPr>
                <w:rFonts w:hint="eastAsia" w:ascii="宋体" w:hAnsi="宋体"/>
                <w:sz w:val="16"/>
                <w:szCs w:val="16"/>
              </w:rPr>
              <w:t>2.15mm 齐平</w:t>
            </w:r>
            <w:r>
              <w:rPr>
                <w:rFonts w:hint="eastAsia" w:ascii="宋体" w:hAnsi="宋体"/>
                <w:sz w:val="16"/>
                <w:szCs w:val="16"/>
              </w:rPr>
              <w:br w:type="textWrapping"/>
            </w:r>
            <w:r>
              <w:rPr>
                <w:rFonts w:hint="eastAsia" w:ascii="宋体" w:hAnsi="宋体"/>
                <w:sz w:val="16"/>
                <w:szCs w:val="16"/>
              </w:rPr>
              <w:t>3.PNP；</w:t>
            </w:r>
            <w:r>
              <w:rPr>
                <w:rFonts w:hint="eastAsia" w:ascii="宋体" w:hAnsi="宋体"/>
                <w:sz w:val="16"/>
                <w:szCs w:val="16"/>
              </w:rPr>
              <w:br w:type="textWrapping"/>
            </w:r>
            <w:r>
              <w:rPr>
                <w:rFonts w:hint="eastAsia" w:ascii="宋体" w:hAnsi="宋体"/>
                <w:sz w:val="16"/>
                <w:szCs w:val="16"/>
              </w:rPr>
              <w:t>4.时间延迟最大：15毫秒</w:t>
            </w:r>
          </w:p>
        </w:tc>
        <w:tc>
          <w:tcPr>
            <w:tcW w:w="367" w:type="dxa"/>
            <w:vAlign w:val="center"/>
          </w:tcPr>
          <w:p w14:paraId="50462355">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2DC66266">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40E6FBC2">
            <w:pPr>
              <w:snapToGrid w:val="0"/>
              <w:jc w:val="both"/>
              <w:rPr>
                <w:rFonts w:ascii="宋体" w:hAnsi="宋体" w:cstheme="minorEastAsia"/>
                <w:bCs/>
                <w:sz w:val="16"/>
                <w:szCs w:val="16"/>
              </w:rPr>
            </w:pPr>
          </w:p>
        </w:tc>
      </w:tr>
      <w:tr w14:paraId="0AF8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64D49D7">
            <w:pPr>
              <w:snapToGrid w:val="0"/>
              <w:jc w:val="both"/>
              <w:rPr>
                <w:rFonts w:ascii="宋体" w:hAnsi="宋体" w:cstheme="minorEastAsia"/>
                <w:bCs/>
                <w:sz w:val="16"/>
                <w:szCs w:val="16"/>
              </w:rPr>
            </w:pPr>
            <w:r>
              <w:rPr>
                <w:rFonts w:ascii="宋体" w:hAnsi="宋体"/>
                <w:sz w:val="16"/>
                <w:szCs w:val="16"/>
              </w:rPr>
              <w:t>2.5.4</w:t>
            </w:r>
          </w:p>
        </w:tc>
        <w:tc>
          <w:tcPr>
            <w:tcW w:w="1416" w:type="dxa"/>
            <w:gridSpan w:val="2"/>
            <w:tcBorders>
              <w:top w:val="single" w:color="auto" w:sz="4" w:space="0"/>
            </w:tcBorders>
            <w:vAlign w:val="center"/>
          </w:tcPr>
          <w:p w14:paraId="0E16C45B">
            <w:pPr>
              <w:snapToGrid w:val="0"/>
              <w:jc w:val="both"/>
              <w:rPr>
                <w:rFonts w:ascii="宋体" w:hAnsi="宋体"/>
                <w:sz w:val="16"/>
                <w:szCs w:val="16"/>
              </w:rPr>
            </w:pPr>
            <w:r>
              <w:rPr>
                <w:rFonts w:hint="eastAsia" w:ascii="宋体" w:hAnsi="宋体"/>
                <w:sz w:val="16"/>
                <w:szCs w:val="16"/>
              </w:rPr>
              <w:t>摄像头</w:t>
            </w:r>
          </w:p>
        </w:tc>
        <w:tc>
          <w:tcPr>
            <w:tcW w:w="5253" w:type="dxa"/>
            <w:vAlign w:val="center"/>
          </w:tcPr>
          <w:p w14:paraId="1A77854B">
            <w:pPr>
              <w:snapToGrid w:val="0"/>
              <w:jc w:val="both"/>
              <w:rPr>
                <w:rFonts w:ascii="宋体" w:hAnsi="宋体"/>
                <w:sz w:val="16"/>
                <w:szCs w:val="16"/>
              </w:rPr>
            </w:pPr>
            <w:r>
              <w:rPr>
                <w:rFonts w:hint="eastAsia" w:ascii="宋体" w:hAnsi="宋体"/>
                <w:sz w:val="16"/>
                <w:szCs w:val="16"/>
              </w:rPr>
              <w:t>防护等级：IP67，能使用于潮湿环境，用于检测料液雾化状态，能与电脑通讯；帧率：</w:t>
            </w:r>
            <w:r>
              <w:rPr>
                <w:rFonts w:ascii="宋体" w:hAnsi="宋体"/>
                <w:sz w:val="16"/>
                <w:szCs w:val="16"/>
              </w:rPr>
              <w:t>30fps</w:t>
            </w:r>
            <w:r>
              <w:rPr>
                <w:rFonts w:hint="eastAsia" w:ascii="宋体" w:hAnsi="宋体"/>
                <w:sz w:val="16"/>
                <w:szCs w:val="16"/>
              </w:rPr>
              <w:t>；视觉：</w:t>
            </w:r>
            <w:r>
              <w:rPr>
                <w:rFonts w:ascii="宋体" w:hAnsi="宋体"/>
                <w:sz w:val="16"/>
                <w:szCs w:val="16"/>
              </w:rPr>
              <w:t>70</w:t>
            </w:r>
            <w:r>
              <w:rPr>
                <w:rFonts w:hint="eastAsia" w:ascii="宋体" w:hAnsi="宋体"/>
                <w:sz w:val="16"/>
                <w:szCs w:val="16"/>
              </w:rPr>
              <w:t>度；工作温度</w:t>
            </w:r>
            <w:r>
              <w:rPr>
                <w:rFonts w:ascii="宋体" w:hAnsi="宋体"/>
                <w:sz w:val="16"/>
                <w:szCs w:val="16"/>
              </w:rPr>
              <w:t>0</w:t>
            </w:r>
            <w:r>
              <w:rPr>
                <w:rFonts w:hint="eastAsia" w:ascii="宋体" w:hAnsi="宋体"/>
                <w:sz w:val="16"/>
                <w:szCs w:val="16"/>
              </w:rPr>
              <w:t>度到</w:t>
            </w:r>
            <w:r>
              <w:rPr>
                <w:rFonts w:ascii="宋体" w:hAnsi="宋体"/>
                <w:sz w:val="16"/>
                <w:szCs w:val="16"/>
              </w:rPr>
              <w:t>70</w:t>
            </w:r>
            <w:r>
              <w:rPr>
                <w:rFonts w:hint="eastAsia" w:ascii="宋体" w:hAnsi="宋体"/>
                <w:sz w:val="16"/>
                <w:szCs w:val="16"/>
              </w:rPr>
              <w:t>度；亮度可调</w:t>
            </w:r>
            <w:r>
              <w:rPr>
                <w:rFonts w:ascii="宋体" w:hAnsi="宋体"/>
                <w:sz w:val="16"/>
                <w:szCs w:val="16"/>
              </w:rPr>
              <w:t>LED</w:t>
            </w:r>
            <w:r>
              <w:rPr>
                <w:rFonts w:hint="eastAsia" w:ascii="宋体" w:hAnsi="宋体"/>
                <w:sz w:val="16"/>
                <w:szCs w:val="16"/>
              </w:rPr>
              <w:t>灯；</w:t>
            </w:r>
          </w:p>
        </w:tc>
        <w:tc>
          <w:tcPr>
            <w:tcW w:w="367" w:type="dxa"/>
            <w:vAlign w:val="center"/>
          </w:tcPr>
          <w:p w14:paraId="72518395">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3C31F06D">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DEA2777">
            <w:pPr>
              <w:snapToGrid w:val="0"/>
              <w:jc w:val="both"/>
              <w:rPr>
                <w:rFonts w:ascii="宋体" w:hAnsi="宋体" w:cstheme="minorEastAsia"/>
                <w:bCs/>
                <w:sz w:val="16"/>
                <w:szCs w:val="16"/>
              </w:rPr>
            </w:pPr>
          </w:p>
        </w:tc>
      </w:tr>
      <w:tr w14:paraId="3114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97" w:type="dxa"/>
            <w:vAlign w:val="center"/>
          </w:tcPr>
          <w:p w14:paraId="371FF7FD">
            <w:pPr>
              <w:snapToGrid w:val="0"/>
              <w:jc w:val="both"/>
              <w:rPr>
                <w:rFonts w:ascii="宋体" w:hAnsi="宋体" w:cstheme="minorEastAsia"/>
                <w:b/>
                <w:bCs/>
                <w:sz w:val="21"/>
                <w:szCs w:val="21"/>
              </w:rPr>
            </w:pPr>
            <w:r>
              <w:rPr>
                <w:rFonts w:ascii="宋体" w:hAnsi="宋体" w:cstheme="minorEastAsia"/>
                <w:b/>
                <w:bCs/>
                <w:sz w:val="21"/>
                <w:szCs w:val="21"/>
              </w:rPr>
              <w:t>2.6</w:t>
            </w:r>
          </w:p>
        </w:tc>
        <w:tc>
          <w:tcPr>
            <w:tcW w:w="8364" w:type="dxa"/>
            <w:gridSpan w:val="6"/>
            <w:shd w:val="clear" w:color="auto" w:fill="auto"/>
          </w:tcPr>
          <w:p w14:paraId="607985F1">
            <w:pPr>
              <w:spacing w:after="0" w:line="240" w:lineRule="auto"/>
              <w:rPr>
                <w:rFonts w:ascii="宋体" w:hAnsi="宋体"/>
                <w:b/>
                <w:sz w:val="16"/>
                <w:szCs w:val="16"/>
              </w:rPr>
            </w:pPr>
            <w:r>
              <w:rPr>
                <w:rFonts w:hint="eastAsia" w:ascii="宋体" w:hAnsi="宋体"/>
                <w:b/>
                <w:sz w:val="16"/>
                <w:szCs w:val="16"/>
              </w:rPr>
              <w:t>加料前储柜出柜流量控制</w:t>
            </w:r>
          </w:p>
        </w:tc>
      </w:tr>
      <w:tr w14:paraId="570D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6C54537">
            <w:pPr>
              <w:snapToGrid w:val="0"/>
              <w:jc w:val="both"/>
              <w:rPr>
                <w:rFonts w:ascii="宋体" w:hAnsi="宋体" w:cstheme="minorEastAsia"/>
                <w:bCs/>
                <w:sz w:val="16"/>
                <w:szCs w:val="16"/>
              </w:rPr>
            </w:pPr>
            <w:r>
              <w:rPr>
                <w:rFonts w:ascii="宋体" w:hAnsi="宋体"/>
                <w:sz w:val="16"/>
                <w:szCs w:val="16"/>
              </w:rPr>
              <w:t>2.6.1</w:t>
            </w:r>
          </w:p>
        </w:tc>
        <w:tc>
          <w:tcPr>
            <w:tcW w:w="1416" w:type="dxa"/>
            <w:gridSpan w:val="2"/>
            <w:tcBorders>
              <w:top w:val="single" w:color="auto" w:sz="4" w:space="0"/>
            </w:tcBorders>
            <w:vAlign w:val="center"/>
          </w:tcPr>
          <w:p w14:paraId="78FD290B">
            <w:pPr>
              <w:snapToGrid w:val="0"/>
              <w:jc w:val="both"/>
              <w:rPr>
                <w:rFonts w:ascii="宋体" w:hAnsi="宋体"/>
                <w:sz w:val="16"/>
                <w:szCs w:val="16"/>
              </w:rPr>
            </w:pPr>
            <w:r>
              <w:rPr>
                <w:rFonts w:hint="eastAsia" w:ascii="宋体" w:hAnsi="宋体"/>
                <w:sz w:val="16"/>
                <w:szCs w:val="16"/>
              </w:rPr>
              <w:t>激光测距(含激光测距电缆插头)</w:t>
            </w:r>
          </w:p>
        </w:tc>
        <w:tc>
          <w:tcPr>
            <w:tcW w:w="5253" w:type="dxa"/>
            <w:vAlign w:val="center"/>
          </w:tcPr>
          <w:p w14:paraId="231C7193">
            <w:pPr>
              <w:snapToGrid w:val="0"/>
              <w:jc w:val="both"/>
              <w:rPr>
                <w:rFonts w:ascii="宋体" w:hAnsi="宋体"/>
                <w:sz w:val="16"/>
                <w:szCs w:val="16"/>
              </w:rPr>
            </w:pPr>
            <w:r>
              <w:rPr>
                <w:rFonts w:hint="eastAsia" w:ascii="宋体" w:hAnsi="宋体"/>
                <w:sz w:val="16"/>
                <w:szCs w:val="16"/>
              </w:rPr>
              <w:t>1.测量范围0.2--15米</w:t>
            </w:r>
            <w:r>
              <w:rPr>
                <w:rFonts w:hint="eastAsia" w:ascii="宋体" w:hAnsi="宋体"/>
                <w:sz w:val="16"/>
                <w:szCs w:val="16"/>
              </w:rPr>
              <w:br w:type="textWrapping"/>
            </w:r>
            <w:r>
              <w:rPr>
                <w:rFonts w:hint="eastAsia" w:ascii="宋体" w:hAnsi="宋体"/>
                <w:sz w:val="16"/>
                <w:szCs w:val="16"/>
              </w:rPr>
              <w:t>2.作电压 10-30 V DC/在IO链路模式下运行时：18--30伏</w:t>
            </w:r>
            <w:r>
              <w:rPr>
                <w:rFonts w:hint="eastAsia" w:ascii="宋体" w:hAnsi="宋体"/>
                <w:sz w:val="16"/>
                <w:szCs w:val="16"/>
              </w:rPr>
              <w:br w:type="textWrapping"/>
            </w:r>
            <w:r>
              <w:rPr>
                <w:rFonts w:hint="eastAsia" w:ascii="宋体" w:hAnsi="宋体"/>
                <w:sz w:val="16"/>
                <w:szCs w:val="16"/>
              </w:rPr>
              <w:t>3.通讯接口:IO-Link</w:t>
            </w:r>
            <w:r>
              <w:rPr>
                <w:rFonts w:hint="eastAsia" w:ascii="宋体" w:hAnsi="宋体"/>
                <w:sz w:val="16"/>
                <w:szCs w:val="16"/>
              </w:rPr>
              <w:br w:type="textWrapping"/>
            </w:r>
            <w:r>
              <w:rPr>
                <w:rFonts w:hint="eastAsia" w:ascii="宋体" w:hAnsi="宋体"/>
                <w:sz w:val="16"/>
                <w:szCs w:val="16"/>
              </w:rPr>
              <w:t>4.协议:IO-LinkV1.0</w:t>
            </w:r>
          </w:p>
        </w:tc>
        <w:tc>
          <w:tcPr>
            <w:tcW w:w="367" w:type="dxa"/>
            <w:vAlign w:val="center"/>
          </w:tcPr>
          <w:p w14:paraId="36F01058">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32AFD3AA">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2C626D70">
            <w:pPr>
              <w:snapToGrid w:val="0"/>
              <w:jc w:val="both"/>
              <w:rPr>
                <w:rFonts w:ascii="宋体" w:hAnsi="宋体" w:cstheme="minorEastAsia"/>
                <w:bCs/>
                <w:sz w:val="16"/>
                <w:szCs w:val="16"/>
              </w:rPr>
            </w:pPr>
          </w:p>
        </w:tc>
      </w:tr>
      <w:tr w14:paraId="427F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FDCF0CC">
            <w:pPr>
              <w:snapToGrid w:val="0"/>
              <w:jc w:val="both"/>
              <w:rPr>
                <w:rFonts w:ascii="宋体" w:hAnsi="宋体" w:cstheme="minorEastAsia"/>
                <w:bCs/>
                <w:sz w:val="16"/>
                <w:szCs w:val="16"/>
              </w:rPr>
            </w:pPr>
            <w:r>
              <w:rPr>
                <w:rFonts w:ascii="宋体" w:hAnsi="宋体"/>
                <w:sz w:val="16"/>
                <w:szCs w:val="16"/>
              </w:rPr>
              <w:t>2.6.2</w:t>
            </w:r>
          </w:p>
        </w:tc>
        <w:tc>
          <w:tcPr>
            <w:tcW w:w="1416" w:type="dxa"/>
            <w:gridSpan w:val="2"/>
            <w:tcBorders>
              <w:top w:val="single" w:color="auto" w:sz="4" w:space="0"/>
            </w:tcBorders>
            <w:vAlign w:val="center"/>
          </w:tcPr>
          <w:p w14:paraId="4A0E88B1">
            <w:pPr>
              <w:snapToGrid w:val="0"/>
              <w:jc w:val="both"/>
              <w:rPr>
                <w:rFonts w:ascii="宋体" w:hAnsi="宋体"/>
                <w:sz w:val="16"/>
                <w:szCs w:val="16"/>
              </w:rPr>
            </w:pPr>
            <w:r>
              <w:rPr>
                <w:rFonts w:hint="eastAsia" w:ascii="宋体" w:hAnsi="宋体"/>
                <w:sz w:val="16"/>
                <w:szCs w:val="16"/>
              </w:rPr>
              <w:t>IO-LINK主站模块（柜内型）</w:t>
            </w:r>
          </w:p>
        </w:tc>
        <w:tc>
          <w:tcPr>
            <w:tcW w:w="5253" w:type="dxa"/>
            <w:vAlign w:val="center"/>
          </w:tcPr>
          <w:p w14:paraId="2A9ECC30">
            <w:pPr>
              <w:snapToGrid w:val="0"/>
              <w:jc w:val="both"/>
              <w:rPr>
                <w:rFonts w:ascii="宋体" w:hAnsi="宋体"/>
                <w:sz w:val="16"/>
                <w:szCs w:val="16"/>
              </w:rPr>
            </w:pPr>
            <w:r>
              <w:rPr>
                <w:rFonts w:hint="eastAsia" w:ascii="宋体" w:hAnsi="宋体"/>
                <w:sz w:val="16"/>
                <w:szCs w:val="16"/>
              </w:rPr>
              <w:t>用于集成IO-link传感器，与主站通讯协议Profinet</w:t>
            </w:r>
          </w:p>
        </w:tc>
        <w:tc>
          <w:tcPr>
            <w:tcW w:w="367" w:type="dxa"/>
            <w:vAlign w:val="center"/>
          </w:tcPr>
          <w:p w14:paraId="2AE99E04">
            <w:pPr>
              <w:jc w:val="both"/>
              <w:textAlignment w:val="center"/>
              <w:rPr>
                <w:rFonts w:ascii="宋体" w:hAnsi="宋体"/>
                <w:sz w:val="16"/>
                <w:szCs w:val="16"/>
              </w:rPr>
            </w:pPr>
            <w:r>
              <w:rPr>
                <w:rFonts w:hint="eastAsia" w:ascii="宋体" w:hAnsi="宋体"/>
                <w:sz w:val="16"/>
                <w:szCs w:val="16"/>
              </w:rPr>
              <w:t>件</w:t>
            </w:r>
          </w:p>
        </w:tc>
        <w:tc>
          <w:tcPr>
            <w:tcW w:w="827" w:type="dxa"/>
            <w:vAlign w:val="center"/>
          </w:tcPr>
          <w:p w14:paraId="5F5FCB47">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0D6A4FAC">
            <w:pPr>
              <w:snapToGrid w:val="0"/>
              <w:jc w:val="both"/>
              <w:rPr>
                <w:rFonts w:ascii="宋体" w:hAnsi="宋体" w:cstheme="minorEastAsia"/>
                <w:bCs/>
                <w:sz w:val="16"/>
                <w:szCs w:val="16"/>
              </w:rPr>
            </w:pPr>
          </w:p>
        </w:tc>
      </w:tr>
      <w:tr w14:paraId="7467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97" w:type="dxa"/>
            <w:vAlign w:val="center"/>
          </w:tcPr>
          <w:p w14:paraId="647EC51C">
            <w:pPr>
              <w:snapToGrid w:val="0"/>
              <w:jc w:val="both"/>
              <w:rPr>
                <w:rFonts w:ascii="宋体" w:hAnsi="宋体" w:cstheme="minorEastAsia"/>
                <w:b/>
                <w:bCs/>
                <w:sz w:val="21"/>
                <w:szCs w:val="21"/>
              </w:rPr>
            </w:pPr>
            <w:r>
              <w:rPr>
                <w:rFonts w:ascii="宋体" w:hAnsi="宋体" w:cstheme="minorEastAsia"/>
                <w:b/>
                <w:bCs/>
                <w:sz w:val="21"/>
                <w:szCs w:val="21"/>
              </w:rPr>
              <w:t>2.7</w:t>
            </w:r>
          </w:p>
        </w:tc>
        <w:tc>
          <w:tcPr>
            <w:tcW w:w="8364" w:type="dxa"/>
            <w:gridSpan w:val="6"/>
            <w:shd w:val="clear" w:color="auto" w:fill="auto"/>
          </w:tcPr>
          <w:p w14:paraId="6E5CAD0B">
            <w:pPr>
              <w:spacing w:after="0" w:line="240" w:lineRule="auto"/>
              <w:rPr>
                <w:rFonts w:ascii="宋体" w:hAnsi="宋体"/>
                <w:b/>
                <w:sz w:val="16"/>
                <w:szCs w:val="16"/>
              </w:rPr>
            </w:pPr>
            <w:r>
              <w:rPr>
                <w:rFonts w:hint="eastAsia" w:ascii="宋体" w:hAnsi="宋体"/>
                <w:b/>
                <w:sz w:val="16"/>
                <w:szCs w:val="16"/>
              </w:rPr>
              <w:t>软件功能</w:t>
            </w:r>
          </w:p>
        </w:tc>
      </w:tr>
      <w:tr w14:paraId="1763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F0419B4">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.7.1</w:t>
            </w:r>
          </w:p>
        </w:tc>
        <w:tc>
          <w:tcPr>
            <w:tcW w:w="1416" w:type="dxa"/>
            <w:gridSpan w:val="2"/>
            <w:tcBorders>
              <w:top w:val="single" w:color="auto" w:sz="4" w:space="0"/>
            </w:tcBorders>
            <w:vAlign w:val="center"/>
          </w:tcPr>
          <w:p w14:paraId="0B5AF14D">
            <w:pPr>
              <w:snapToGrid w:val="0"/>
              <w:jc w:val="both"/>
              <w:rPr>
                <w:rFonts w:ascii="宋体" w:hAnsi="宋体"/>
                <w:sz w:val="16"/>
                <w:szCs w:val="16"/>
              </w:rPr>
            </w:pPr>
            <w:r>
              <w:rPr>
                <w:rFonts w:hint="eastAsia" w:ascii="宋体" w:hAnsi="宋体"/>
                <w:sz w:val="16"/>
                <w:szCs w:val="16"/>
              </w:rPr>
              <w:t>基于数据协同的制丝关键主机设备健康状态监测软件</w:t>
            </w:r>
          </w:p>
        </w:tc>
        <w:tc>
          <w:tcPr>
            <w:tcW w:w="5253" w:type="dxa"/>
            <w:vAlign w:val="center"/>
          </w:tcPr>
          <w:p w14:paraId="3AE7C175">
            <w:pPr>
              <w:snapToGrid w:val="0"/>
              <w:jc w:val="both"/>
              <w:rPr>
                <w:rFonts w:ascii="宋体" w:hAnsi="宋体"/>
                <w:sz w:val="16"/>
                <w:szCs w:val="16"/>
              </w:rPr>
            </w:pPr>
            <w:r>
              <w:rPr>
                <w:rFonts w:hint="eastAsia" w:ascii="宋体" w:hAnsi="宋体"/>
                <w:sz w:val="16"/>
                <w:szCs w:val="16"/>
              </w:rPr>
              <w:t>PLC程序编程费、中控系统程序编程费、PLC中控系统调试、阀门及传感器调试、数采存储平台搭建、产前工况智能评估、制丝关键主机设备状态检测与健康管理系统、电机电流健康状态健康状态、阀门状态智能监测、故障智能诊断和排除、出柜流量智能控制、切丝机系统数据集成、与PMS系统（昆船管理系统）接口设计、与总体系统接口设计。</w:t>
            </w:r>
          </w:p>
        </w:tc>
        <w:tc>
          <w:tcPr>
            <w:tcW w:w="367" w:type="dxa"/>
            <w:vAlign w:val="center"/>
          </w:tcPr>
          <w:p w14:paraId="2E7FE74E">
            <w:pPr>
              <w:jc w:val="both"/>
              <w:textAlignment w:val="center"/>
              <w:rPr>
                <w:rFonts w:ascii="宋体" w:hAnsi="宋体"/>
                <w:sz w:val="16"/>
                <w:szCs w:val="16"/>
              </w:rPr>
            </w:pPr>
            <w:r>
              <w:rPr>
                <w:rFonts w:hint="eastAsia" w:ascii="宋体" w:hAnsi="宋体" w:cstheme="minorEastAsia"/>
                <w:bCs/>
                <w:sz w:val="16"/>
                <w:szCs w:val="16"/>
              </w:rPr>
              <w:t>套</w:t>
            </w:r>
          </w:p>
        </w:tc>
        <w:tc>
          <w:tcPr>
            <w:tcW w:w="827" w:type="dxa"/>
            <w:vAlign w:val="center"/>
          </w:tcPr>
          <w:p w14:paraId="7BD978B1">
            <w:pPr>
              <w:jc w:val="both"/>
              <w:textAlignment w:val="center"/>
              <w:rPr>
                <w:rFonts w:ascii="宋体" w:hAnsi="宋体"/>
                <w:sz w:val="16"/>
                <w:szCs w:val="16"/>
              </w:rPr>
            </w:pPr>
            <w:r>
              <w:rPr>
                <w:rFonts w:hint="eastAsia" w:ascii="宋体" w:hAnsi="宋体" w:cstheme="minorEastAsia"/>
                <w:bCs/>
                <w:sz w:val="16"/>
                <w:szCs w:val="16"/>
              </w:rPr>
              <w:t>1</w:t>
            </w:r>
          </w:p>
        </w:tc>
        <w:tc>
          <w:tcPr>
            <w:tcW w:w="501" w:type="dxa"/>
            <w:shd w:val="clear" w:color="auto" w:fill="auto"/>
            <w:vAlign w:val="center"/>
          </w:tcPr>
          <w:p w14:paraId="54F007AB">
            <w:pPr>
              <w:snapToGrid w:val="0"/>
              <w:jc w:val="both"/>
              <w:rPr>
                <w:rFonts w:ascii="宋体" w:hAnsi="宋体" w:cstheme="minorEastAsia"/>
                <w:bCs/>
                <w:sz w:val="16"/>
                <w:szCs w:val="16"/>
              </w:rPr>
            </w:pPr>
          </w:p>
        </w:tc>
      </w:tr>
      <w:tr w14:paraId="0134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697" w:type="dxa"/>
            <w:vAlign w:val="center"/>
          </w:tcPr>
          <w:p w14:paraId="4F180823">
            <w:pPr>
              <w:snapToGrid w:val="0"/>
              <w:jc w:val="both"/>
              <w:rPr>
                <w:rFonts w:ascii="宋体" w:hAnsi="宋体" w:cstheme="minorEastAsia"/>
                <w:b/>
                <w:bCs/>
                <w:sz w:val="16"/>
                <w:szCs w:val="16"/>
              </w:rPr>
            </w:pPr>
            <w:r>
              <w:rPr>
                <w:rFonts w:hint="eastAsia" w:ascii="宋体" w:hAnsi="宋体" w:cstheme="minorEastAsia"/>
                <w:b/>
                <w:bCs/>
                <w:sz w:val="16"/>
                <w:szCs w:val="16"/>
              </w:rPr>
              <w:t>2</w:t>
            </w:r>
            <w:r>
              <w:rPr>
                <w:rFonts w:ascii="宋体" w:hAnsi="宋体" w:cstheme="minorEastAsia"/>
                <w:b/>
                <w:bCs/>
                <w:sz w:val="16"/>
                <w:szCs w:val="16"/>
              </w:rPr>
              <w:t>.8</w:t>
            </w:r>
          </w:p>
        </w:tc>
        <w:tc>
          <w:tcPr>
            <w:tcW w:w="1416" w:type="dxa"/>
            <w:gridSpan w:val="2"/>
            <w:tcBorders>
              <w:top w:val="single" w:color="auto" w:sz="4" w:space="0"/>
            </w:tcBorders>
            <w:vAlign w:val="center"/>
          </w:tcPr>
          <w:p w14:paraId="67FD1947">
            <w:pPr>
              <w:snapToGrid w:val="0"/>
              <w:jc w:val="both"/>
              <w:rPr>
                <w:rFonts w:ascii="宋体" w:hAnsi="宋体"/>
                <w:b/>
                <w:sz w:val="16"/>
                <w:szCs w:val="16"/>
              </w:rPr>
            </w:pPr>
            <w:r>
              <w:rPr>
                <w:rFonts w:hint="eastAsia" w:ascii="宋体" w:hAnsi="宋体"/>
                <w:b/>
                <w:sz w:val="16"/>
                <w:szCs w:val="16"/>
              </w:rPr>
              <w:t>辅材</w:t>
            </w:r>
          </w:p>
        </w:tc>
        <w:tc>
          <w:tcPr>
            <w:tcW w:w="5253" w:type="dxa"/>
            <w:vAlign w:val="center"/>
          </w:tcPr>
          <w:p w14:paraId="73BFAE94">
            <w:pPr>
              <w:snapToGrid w:val="0"/>
              <w:jc w:val="both"/>
              <w:rPr>
                <w:rFonts w:ascii="宋体" w:hAnsi="宋体"/>
                <w:sz w:val="16"/>
                <w:szCs w:val="16"/>
              </w:rPr>
            </w:pPr>
            <w:r>
              <w:rPr>
                <w:rFonts w:hint="eastAsia" w:ascii="宋体" w:hAnsi="宋体"/>
                <w:sz w:val="16"/>
                <w:szCs w:val="16"/>
              </w:rPr>
              <w:t>含PA电缆、PA接线盒、工业以太网FC电缆（2x2芯)、RJ45插头180度（2x2芯)、IM 155-6 PN ST、DI 输入电子模块16路、AI 4xI 2/4 线制 ST、馈电端子、直插式端子、屏蔽电缆、控制电缆 、铜芯阻燃电缆护套层颜色为黑色（供电）、DC24V电源（10A)单相、单极开关4A(AC220V输入电源)、控制箱、电控系统辅材、管道改造辅材等。</w:t>
            </w:r>
          </w:p>
        </w:tc>
        <w:tc>
          <w:tcPr>
            <w:tcW w:w="367" w:type="dxa"/>
            <w:vAlign w:val="center"/>
          </w:tcPr>
          <w:p w14:paraId="1F9A697C">
            <w:pPr>
              <w:jc w:val="both"/>
              <w:textAlignment w:val="center"/>
              <w:rPr>
                <w:rFonts w:ascii="宋体" w:hAnsi="宋体"/>
                <w:sz w:val="16"/>
                <w:szCs w:val="16"/>
              </w:rPr>
            </w:pPr>
            <w:r>
              <w:rPr>
                <w:rFonts w:hint="eastAsia" w:ascii="宋体" w:hAnsi="宋体" w:cstheme="minorEastAsia"/>
                <w:bCs/>
                <w:sz w:val="16"/>
                <w:szCs w:val="16"/>
              </w:rPr>
              <w:t>项</w:t>
            </w:r>
          </w:p>
        </w:tc>
        <w:tc>
          <w:tcPr>
            <w:tcW w:w="827" w:type="dxa"/>
            <w:vAlign w:val="center"/>
          </w:tcPr>
          <w:p w14:paraId="01CD794A">
            <w:pPr>
              <w:jc w:val="both"/>
              <w:textAlignment w:val="center"/>
              <w:rPr>
                <w:rFonts w:ascii="宋体" w:hAnsi="宋体"/>
                <w:sz w:val="16"/>
                <w:szCs w:val="16"/>
              </w:rPr>
            </w:pPr>
            <w:r>
              <w:rPr>
                <w:rFonts w:hint="eastAsia" w:ascii="宋体" w:hAnsi="宋体" w:cstheme="minorEastAsia"/>
                <w:bCs/>
                <w:sz w:val="16"/>
                <w:szCs w:val="16"/>
              </w:rPr>
              <w:t>1</w:t>
            </w:r>
          </w:p>
        </w:tc>
        <w:tc>
          <w:tcPr>
            <w:tcW w:w="501" w:type="dxa"/>
            <w:shd w:val="clear" w:color="auto" w:fill="auto"/>
            <w:vAlign w:val="center"/>
          </w:tcPr>
          <w:p w14:paraId="57F23053">
            <w:pPr>
              <w:snapToGrid w:val="0"/>
              <w:jc w:val="both"/>
              <w:rPr>
                <w:rFonts w:ascii="宋体" w:hAnsi="宋体" w:cstheme="minorEastAsia"/>
                <w:bCs/>
                <w:sz w:val="16"/>
                <w:szCs w:val="16"/>
              </w:rPr>
            </w:pPr>
          </w:p>
        </w:tc>
      </w:tr>
      <w:tr w14:paraId="2A3F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697" w:type="dxa"/>
            <w:vAlign w:val="center"/>
          </w:tcPr>
          <w:p w14:paraId="60BE80B3">
            <w:pPr>
              <w:snapToGrid w:val="0"/>
              <w:jc w:val="both"/>
              <w:rPr>
                <w:rFonts w:ascii="宋体" w:hAnsi="宋体" w:cstheme="minorEastAsia"/>
                <w:b/>
                <w:bCs/>
                <w:sz w:val="16"/>
                <w:szCs w:val="16"/>
              </w:rPr>
            </w:pPr>
            <w:r>
              <w:rPr>
                <w:rFonts w:hint="eastAsia" w:ascii="宋体" w:hAnsi="宋体" w:cstheme="minorEastAsia"/>
                <w:b/>
                <w:bCs/>
                <w:sz w:val="16"/>
                <w:szCs w:val="16"/>
              </w:rPr>
              <w:t>2</w:t>
            </w:r>
            <w:r>
              <w:rPr>
                <w:rFonts w:ascii="宋体" w:hAnsi="宋体" w:cstheme="minorEastAsia"/>
                <w:b/>
                <w:bCs/>
                <w:sz w:val="16"/>
                <w:szCs w:val="16"/>
              </w:rPr>
              <w:t>.9</w:t>
            </w:r>
          </w:p>
        </w:tc>
        <w:tc>
          <w:tcPr>
            <w:tcW w:w="1416" w:type="dxa"/>
            <w:gridSpan w:val="2"/>
            <w:tcBorders>
              <w:top w:val="single" w:color="auto" w:sz="4" w:space="0"/>
            </w:tcBorders>
            <w:vAlign w:val="center"/>
          </w:tcPr>
          <w:p w14:paraId="075C4081">
            <w:pPr>
              <w:snapToGrid w:val="0"/>
              <w:jc w:val="both"/>
              <w:rPr>
                <w:rFonts w:ascii="宋体" w:hAnsi="宋体"/>
                <w:b/>
                <w:sz w:val="16"/>
                <w:szCs w:val="16"/>
              </w:rPr>
            </w:pPr>
            <w:r>
              <w:rPr>
                <w:rFonts w:hint="eastAsia" w:ascii="宋体" w:hAnsi="宋体"/>
                <w:b/>
                <w:sz w:val="16"/>
                <w:szCs w:val="16"/>
              </w:rPr>
              <w:t>安装调试费</w:t>
            </w:r>
          </w:p>
        </w:tc>
        <w:tc>
          <w:tcPr>
            <w:tcW w:w="5253" w:type="dxa"/>
            <w:vAlign w:val="center"/>
          </w:tcPr>
          <w:p w14:paraId="79233BE6">
            <w:pPr>
              <w:snapToGrid w:val="0"/>
              <w:jc w:val="both"/>
              <w:rPr>
                <w:rFonts w:ascii="宋体" w:hAnsi="宋体"/>
                <w:sz w:val="16"/>
                <w:szCs w:val="16"/>
              </w:rPr>
            </w:pPr>
            <w:r>
              <w:rPr>
                <w:rFonts w:hint="eastAsia" w:ascii="宋体" w:hAnsi="宋体"/>
                <w:sz w:val="16"/>
                <w:szCs w:val="16"/>
              </w:rPr>
              <w:t>\</w:t>
            </w:r>
          </w:p>
        </w:tc>
        <w:tc>
          <w:tcPr>
            <w:tcW w:w="367" w:type="dxa"/>
            <w:vAlign w:val="center"/>
          </w:tcPr>
          <w:p w14:paraId="4A51B779">
            <w:pPr>
              <w:jc w:val="both"/>
              <w:textAlignment w:val="center"/>
              <w:rPr>
                <w:rFonts w:ascii="宋体" w:hAnsi="宋体"/>
                <w:sz w:val="16"/>
                <w:szCs w:val="16"/>
              </w:rPr>
            </w:pPr>
            <w:r>
              <w:rPr>
                <w:rFonts w:hint="eastAsia" w:ascii="宋体" w:hAnsi="宋体"/>
                <w:sz w:val="16"/>
                <w:szCs w:val="16"/>
              </w:rPr>
              <w:t>项</w:t>
            </w:r>
          </w:p>
          <w:p w14:paraId="3BF86F14">
            <w:pPr>
              <w:pStyle w:val="2"/>
              <w:ind w:left="400" w:firstLine="320"/>
              <w:jc w:val="both"/>
              <w:rPr>
                <w:rFonts w:ascii="宋体" w:hAnsi="宋体"/>
                <w:sz w:val="16"/>
                <w:szCs w:val="16"/>
              </w:rPr>
            </w:pPr>
            <w:r>
              <w:rPr>
                <w:rFonts w:hint="eastAsia" w:ascii="宋体" w:hAnsi="宋体"/>
                <w:sz w:val="16"/>
                <w:szCs w:val="16"/>
              </w:rPr>
              <w:t>x</w:t>
            </w:r>
          </w:p>
        </w:tc>
        <w:tc>
          <w:tcPr>
            <w:tcW w:w="827" w:type="dxa"/>
            <w:vAlign w:val="center"/>
          </w:tcPr>
          <w:p w14:paraId="44CA2F1A">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4322D480">
            <w:pPr>
              <w:snapToGrid w:val="0"/>
              <w:jc w:val="both"/>
              <w:rPr>
                <w:rFonts w:ascii="宋体" w:hAnsi="宋体" w:cstheme="minorEastAsia"/>
                <w:bCs/>
                <w:sz w:val="16"/>
                <w:szCs w:val="16"/>
              </w:rPr>
            </w:pPr>
          </w:p>
        </w:tc>
      </w:tr>
      <w:tr w14:paraId="63EC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97" w:type="dxa"/>
            <w:vAlign w:val="center"/>
          </w:tcPr>
          <w:p w14:paraId="0CE54AB0">
            <w:pPr>
              <w:snapToGrid w:val="0"/>
              <w:jc w:val="both"/>
              <w:rPr>
                <w:rFonts w:ascii="宋体" w:hAnsi="宋体" w:cstheme="minorEastAsia"/>
                <w:b/>
                <w:bCs/>
                <w:sz w:val="21"/>
                <w:szCs w:val="21"/>
              </w:rPr>
            </w:pPr>
            <w:r>
              <w:rPr>
                <w:rFonts w:hint="eastAsia" w:ascii="宋体" w:hAnsi="宋体" w:cstheme="minorEastAsia"/>
                <w:b/>
                <w:bCs/>
                <w:sz w:val="21"/>
                <w:szCs w:val="21"/>
              </w:rPr>
              <w:t>四</w:t>
            </w:r>
          </w:p>
        </w:tc>
        <w:tc>
          <w:tcPr>
            <w:tcW w:w="8364" w:type="dxa"/>
            <w:gridSpan w:val="6"/>
            <w:shd w:val="clear" w:color="auto" w:fill="auto"/>
          </w:tcPr>
          <w:p w14:paraId="536EFCFB">
            <w:pPr>
              <w:spacing w:after="0" w:line="240" w:lineRule="auto"/>
              <w:rPr>
                <w:rFonts w:ascii="宋体" w:hAnsi="宋体"/>
                <w:b/>
                <w:sz w:val="16"/>
                <w:szCs w:val="16"/>
              </w:rPr>
            </w:pPr>
            <w:r>
              <w:rPr>
                <w:rFonts w:hint="eastAsia" w:ascii="宋体" w:hAnsi="宋体"/>
                <w:b/>
                <w:sz w:val="16"/>
                <w:szCs w:val="16"/>
              </w:rPr>
              <w:t>卷包车间一条中支产线智能优化升级</w:t>
            </w:r>
          </w:p>
        </w:tc>
      </w:tr>
      <w:tr w14:paraId="525D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97" w:type="dxa"/>
            <w:vAlign w:val="center"/>
          </w:tcPr>
          <w:p w14:paraId="7100460E">
            <w:pPr>
              <w:snapToGrid w:val="0"/>
              <w:jc w:val="both"/>
              <w:rPr>
                <w:rFonts w:ascii="宋体" w:hAnsi="宋体" w:cstheme="minorEastAsia"/>
                <w:b/>
                <w:bCs/>
                <w:sz w:val="21"/>
                <w:szCs w:val="21"/>
              </w:rPr>
            </w:pPr>
            <w:r>
              <w:rPr>
                <w:rFonts w:hint="eastAsia" w:ascii="宋体" w:hAnsi="宋体" w:cstheme="minorEastAsia"/>
                <w:b/>
                <w:bCs/>
                <w:sz w:val="21"/>
                <w:szCs w:val="21"/>
              </w:rPr>
              <w:t>1</w:t>
            </w:r>
          </w:p>
        </w:tc>
        <w:tc>
          <w:tcPr>
            <w:tcW w:w="8364" w:type="dxa"/>
            <w:gridSpan w:val="6"/>
            <w:shd w:val="clear" w:color="auto" w:fill="auto"/>
          </w:tcPr>
          <w:p w14:paraId="328C7B27">
            <w:pPr>
              <w:spacing w:after="0" w:line="240" w:lineRule="auto"/>
              <w:rPr>
                <w:rFonts w:ascii="宋体" w:hAnsi="宋体"/>
                <w:b/>
                <w:sz w:val="16"/>
                <w:szCs w:val="16"/>
              </w:rPr>
            </w:pPr>
            <w:r>
              <w:rPr>
                <w:rFonts w:hint="eastAsia" w:ascii="宋体" w:hAnsi="宋体"/>
                <w:b/>
                <w:sz w:val="16"/>
                <w:szCs w:val="16"/>
              </w:rPr>
              <w:t>设备状态监测设备</w:t>
            </w:r>
          </w:p>
        </w:tc>
      </w:tr>
      <w:tr w14:paraId="0125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D8DB6AD">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.1</w:t>
            </w:r>
          </w:p>
        </w:tc>
        <w:tc>
          <w:tcPr>
            <w:tcW w:w="1416" w:type="dxa"/>
            <w:gridSpan w:val="2"/>
            <w:tcBorders>
              <w:top w:val="single" w:color="auto" w:sz="4" w:space="0"/>
            </w:tcBorders>
            <w:vAlign w:val="center"/>
          </w:tcPr>
          <w:p w14:paraId="10A5B08A">
            <w:pPr>
              <w:snapToGrid w:val="0"/>
              <w:jc w:val="both"/>
              <w:rPr>
                <w:rFonts w:ascii="宋体" w:hAnsi="宋体"/>
                <w:sz w:val="16"/>
                <w:szCs w:val="16"/>
              </w:rPr>
            </w:pPr>
            <w:r>
              <w:rPr>
                <w:rFonts w:hint="eastAsia" w:ascii="宋体" w:hAnsi="宋体"/>
                <w:sz w:val="16"/>
                <w:szCs w:val="16"/>
              </w:rPr>
              <w:t>设备振动、温度检测</w:t>
            </w:r>
          </w:p>
        </w:tc>
        <w:tc>
          <w:tcPr>
            <w:tcW w:w="5253" w:type="dxa"/>
            <w:vAlign w:val="center"/>
          </w:tcPr>
          <w:p w14:paraId="3F725F9F">
            <w:pPr>
              <w:snapToGrid w:val="0"/>
              <w:jc w:val="both"/>
              <w:rPr>
                <w:rFonts w:ascii="宋体" w:hAnsi="宋体"/>
                <w:sz w:val="16"/>
                <w:szCs w:val="16"/>
              </w:rPr>
            </w:pPr>
            <w:r>
              <w:rPr>
                <w:rFonts w:hint="eastAsia" w:ascii="宋体" w:hAnsi="宋体"/>
                <w:sz w:val="16"/>
                <w:szCs w:val="16"/>
              </w:rPr>
              <w:t>1、振动检测传感器，满足工业防尘需求，带数据采集功能，采集频率不小于8KHZ，数据采集完成后，完成对应的分析结果。</w:t>
            </w:r>
            <w:r>
              <w:rPr>
                <w:rFonts w:hint="eastAsia" w:ascii="宋体" w:hAnsi="宋体"/>
                <w:sz w:val="16"/>
                <w:szCs w:val="16"/>
              </w:rPr>
              <w:br w:type="textWrapping"/>
            </w:r>
            <w:r>
              <w:rPr>
                <w:rFonts w:hint="eastAsia" w:ascii="宋体" w:hAnsi="宋体"/>
                <w:sz w:val="16"/>
                <w:szCs w:val="16"/>
              </w:rPr>
              <w:t>2、采用有线供电，非侵入式安装，不对设备结构造成影响；</w:t>
            </w:r>
            <w:r>
              <w:rPr>
                <w:rFonts w:hint="eastAsia" w:ascii="宋体" w:hAnsi="宋体"/>
                <w:sz w:val="16"/>
                <w:szCs w:val="16"/>
              </w:rPr>
              <w:br w:type="textWrapping"/>
            </w:r>
            <w:r>
              <w:rPr>
                <w:rFonts w:hint="eastAsia" w:ascii="宋体" w:hAnsi="宋体"/>
                <w:sz w:val="16"/>
                <w:szCs w:val="16"/>
              </w:rPr>
              <w:t>3、在卷包5个机组的VE大小风机、MAX风机、刀盘等部位，实施约40个监测点。</w:t>
            </w:r>
            <w:r>
              <w:rPr>
                <w:rFonts w:hint="eastAsia" w:ascii="宋体" w:hAnsi="宋体"/>
                <w:sz w:val="16"/>
                <w:szCs w:val="16"/>
              </w:rPr>
              <w:br w:type="textWrapping"/>
            </w:r>
            <w:r>
              <w:rPr>
                <w:rFonts w:hint="eastAsia" w:ascii="宋体" w:hAnsi="宋体"/>
                <w:sz w:val="16"/>
                <w:szCs w:val="16"/>
              </w:rPr>
              <w:t>4、含实时监测平台及分析报告输出等功能。</w:t>
            </w:r>
          </w:p>
        </w:tc>
        <w:tc>
          <w:tcPr>
            <w:tcW w:w="367" w:type="dxa"/>
            <w:vAlign w:val="center"/>
          </w:tcPr>
          <w:p w14:paraId="647C050F">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04DAF1EF">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2DA72AE7">
            <w:pPr>
              <w:snapToGrid w:val="0"/>
              <w:jc w:val="both"/>
              <w:rPr>
                <w:rFonts w:ascii="宋体" w:hAnsi="宋体" w:cstheme="minorEastAsia"/>
                <w:bCs/>
                <w:sz w:val="16"/>
                <w:szCs w:val="16"/>
              </w:rPr>
            </w:pPr>
          </w:p>
        </w:tc>
      </w:tr>
      <w:tr w14:paraId="0EBB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AD36D03">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.2</w:t>
            </w:r>
          </w:p>
        </w:tc>
        <w:tc>
          <w:tcPr>
            <w:tcW w:w="1416" w:type="dxa"/>
            <w:gridSpan w:val="2"/>
            <w:tcBorders>
              <w:top w:val="single" w:color="auto" w:sz="4" w:space="0"/>
            </w:tcBorders>
            <w:vAlign w:val="center"/>
          </w:tcPr>
          <w:p w14:paraId="3C09C20A">
            <w:pPr>
              <w:snapToGrid w:val="0"/>
              <w:jc w:val="both"/>
              <w:rPr>
                <w:rFonts w:ascii="宋体" w:hAnsi="宋体"/>
                <w:sz w:val="16"/>
                <w:szCs w:val="16"/>
              </w:rPr>
            </w:pPr>
            <w:r>
              <w:rPr>
                <w:rFonts w:hint="eastAsia" w:ascii="宋体" w:hAnsi="宋体"/>
                <w:sz w:val="16"/>
                <w:szCs w:val="16"/>
              </w:rPr>
              <w:t>设备风机压力检测</w:t>
            </w:r>
          </w:p>
        </w:tc>
        <w:tc>
          <w:tcPr>
            <w:tcW w:w="5253" w:type="dxa"/>
            <w:vAlign w:val="center"/>
          </w:tcPr>
          <w:p w14:paraId="5D65D694">
            <w:pPr>
              <w:snapToGrid w:val="0"/>
              <w:jc w:val="both"/>
              <w:rPr>
                <w:rFonts w:ascii="宋体" w:hAnsi="宋体"/>
                <w:sz w:val="16"/>
                <w:szCs w:val="16"/>
              </w:rPr>
            </w:pPr>
            <w:r>
              <w:rPr>
                <w:rFonts w:hint="eastAsia" w:ascii="宋体" w:hAnsi="宋体"/>
                <w:sz w:val="16"/>
                <w:szCs w:val="16"/>
              </w:rPr>
              <w:t>压力检测传感器：在关键部位换装支持RS485数采的模拟量数显压力表，实时数采关键部位压力数值（VE大风机、小风机、蜘蛛手风机、MAX大风机、水松纸切纸鼓轮等），5套设备共25个点。精度等级高于1.6，其中量程0 - -160KPa负压表15个,0-10KPa5个，0- -0.1MPa5个。</w:t>
            </w:r>
          </w:p>
        </w:tc>
        <w:tc>
          <w:tcPr>
            <w:tcW w:w="367" w:type="dxa"/>
            <w:vAlign w:val="center"/>
          </w:tcPr>
          <w:p w14:paraId="30E4B566">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10FDC53">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7CA98762">
            <w:pPr>
              <w:snapToGrid w:val="0"/>
              <w:jc w:val="both"/>
              <w:rPr>
                <w:rFonts w:ascii="宋体" w:hAnsi="宋体" w:cstheme="minorEastAsia"/>
                <w:bCs/>
                <w:sz w:val="16"/>
                <w:szCs w:val="16"/>
              </w:rPr>
            </w:pPr>
          </w:p>
        </w:tc>
      </w:tr>
      <w:tr w14:paraId="71A3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97" w:type="dxa"/>
            <w:vAlign w:val="center"/>
          </w:tcPr>
          <w:p w14:paraId="79C53E31">
            <w:pPr>
              <w:snapToGrid w:val="0"/>
              <w:jc w:val="both"/>
              <w:rPr>
                <w:rFonts w:ascii="宋体" w:hAnsi="宋体" w:cstheme="minorEastAsia"/>
                <w:b/>
                <w:bCs/>
                <w:sz w:val="21"/>
                <w:szCs w:val="21"/>
              </w:rPr>
            </w:pPr>
            <w:r>
              <w:rPr>
                <w:rFonts w:hint="eastAsia" w:ascii="宋体" w:hAnsi="宋体" w:cstheme="minorEastAsia"/>
                <w:b/>
                <w:bCs/>
                <w:sz w:val="21"/>
                <w:szCs w:val="21"/>
              </w:rPr>
              <w:t>2</w:t>
            </w:r>
          </w:p>
        </w:tc>
        <w:tc>
          <w:tcPr>
            <w:tcW w:w="8364" w:type="dxa"/>
            <w:gridSpan w:val="6"/>
            <w:shd w:val="clear" w:color="auto" w:fill="auto"/>
          </w:tcPr>
          <w:p w14:paraId="1EEFD3F7">
            <w:pPr>
              <w:spacing w:after="0" w:line="240" w:lineRule="auto"/>
              <w:rPr>
                <w:rFonts w:ascii="宋体" w:hAnsi="宋体"/>
                <w:b/>
                <w:sz w:val="16"/>
                <w:szCs w:val="16"/>
              </w:rPr>
            </w:pPr>
            <w:r>
              <w:rPr>
                <w:rFonts w:hint="eastAsia" w:ascii="宋体" w:hAnsi="宋体"/>
                <w:b/>
                <w:sz w:val="16"/>
                <w:szCs w:val="16"/>
              </w:rPr>
              <w:t>单机质量管控边缘计算设备</w:t>
            </w:r>
          </w:p>
        </w:tc>
      </w:tr>
      <w:tr w14:paraId="6925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35C37AE">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.1</w:t>
            </w:r>
          </w:p>
        </w:tc>
        <w:tc>
          <w:tcPr>
            <w:tcW w:w="1416" w:type="dxa"/>
            <w:gridSpan w:val="2"/>
            <w:tcBorders>
              <w:top w:val="single" w:color="auto" w:sz="4" w:space="0"/>
            </w:tcBorders>
            <w:vAlign w:val="center"/>
          </w:tcPr>
          <w:p w14:paraId="43D0DC83">
            <w:pPr>
              <w:snapToGrid w:val="0"/>
              <w:jc w:val="both"/>
              <w:rPr>
                <w:rFonts w:ascii="宋体" w:hAnsi="宋体"/>
                <w:sz w:val="16"/>
                <w:szCs w:val="16"/>
              </w:rPr>
            </w:pPr>
            <w:r>
              <w:rPr>
                <w:rFonts w:hint="eastAsia" w:ascii="宋体" w:hAnsi="宋体"/>
                <w:sz w:val="16"/>
                <w:szCs w:val="16"/>
              </w:rPr>
              <w:t>边缘计算</w:t>
            </w:r>
          </w:p>
        </w:tc>
        <w:tc>
          <w:tcPr>
            <w:tcW w:w="5253" w:type="dxa"/>
            <w:vAlign w:val="center"/>
          </w:tcPr>
          <w:p w14:paraId="3EA86050">
            <w:pPr>
              <w:snapToGrid w:val="0"/>
              <w:jc w:val="both"/>
              <w:rPr>
                <w:rFonts w:ascii="宋体" w:hAnsi="宋体"/>
                <w:sz w:val="16"/>
                <w:szCs w:val="16"/>
              </w:rPr>
            </w:pPr>
            <w:r>
              <w:rPr>
                <w:rFonts w:hint="eastAsia" w:ascii="宋体" w:hAnsi="宋体"/>
                <w:sz w:val="16"/>
                <w:szCs w:val="16"/>
              </w:rPr>
              <w:t>CPU:I7-13700K 运行内存：128G 512GB固态+2T机械硬盘,12G显存显卡，含UPS（1KW）及win</w:t>
            </w:r>
            <w:r>
              <w:rPr>
                <w:rFonts w:ascii="宋体" w:hAnsi="宋体"/>
                <w:sz w:val="16"/>
                <w:szCs w:val="16"/>
              </w:rPr>
              <w:t>10</w:t>
            </w:r>
            <w:r>
              <w:rPr>
                <w:rFonts w:hint="eastAsia" w:ascii="宋体" w:hAnsi="宋体"/>
                <w:sz w:val="16"/>
                <w:szCs w:val="16"/>
              </w:rPr>
              <w:t>授权操作系统。</w:t>
            </w:r>
          </w:p>
        </w:tc>
        <w:tc>
          <w:tcPr>
            <w:tcW w:w="367" w:type="dxa"/>
            <w:vAlign w:val="center"/>
          </w:tcPr>
          <w:p w14:paraId="087E1574">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6809A9BA">
            <w:pPr>
              <w:jc w:val="both"/>
              <w:textAlignment w:val="center"/>
              <w:rPr>
                <w:rFonts w:ascii="宋体" w:hAnsi="宋体"/>
                <w:sz w:val="16"/>
                <w:szCs w:val="16"/>
              </w:rPr>
            </w:pPr>
            <w:r>
              <w:rPr>
                <w:rFonts w:hint="eastAsia" w:ascii="宋体" w:hAnsi="宋体"/>
                <w:sz w:val="16"/>
                <w:szCs w:val="16"/>
              </w:rPr>
              <w:t>12</w:t>
            </w:r>
          </w:p>
        </w:tc>
        <w:tc>
          <w:tcPr>
            <w:tcW w:w="501" w:type="dxa"/>
            <w:shd w:val="clear" w:color="auto" w:fill="auto"/>
            <w:vAlign w:val="center"/>
          </w:tcPr>
          <w:p w14:paraId="776B4438">
            <w:pPr>
              <w:snapToGrid w:val="0"/>
              <w:jc w:val="both"/>
              <w:rPr>
                <w:rFonts w:ascii="宋体" w:hAnsi="宋体" w:cstheme="minorEastAsia"/>
                <w:bCs/>
                <w:sz w:val="16"/>
                <w:szCs w:val="16"/>
              </w:rPr>
            </w:pPr>
          </w:p>
        </w:tc>
      </w:tr>
      <w:tr w14:paraId="4889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97" w:type="dxa"/>
            <w:vAlign w:val="center"/>
          </w:tcPr>
          <w:p w14:paraId="47AF0FA6">
            <w:pPr>
              <w:snapToGrid w:val="0"/>
              <w:jc w:val="both"/>
              <w:rPr>
                <w:rFonts w:ascii="宋体" w:hAnsi="宋体" w:cstheme="minorEastAsia"/>
                <w:b/>
                <w:bCs/>
                <w:sz w:val="21"/>
                <w:szCs w:val="21"/>
              </w:rPr>
            </w:pPr>
            <w:r>
              <w:rPr>
                <w:rFonts w:hint="eastAsia" w:ascii="宋体" w:hAnsi="宋体" w:cstheme="minorEastAsia"/>
                <w:b/>
                <w:bCs/>
                <w:sz w:val="21"/>
                <w:szCs w:val="21"/>
              </w:rPr>
              <w:t>3</w:t>
            </w:r>
          </w:p>
        </w:tc>
        <w:tc>
          <w:tcPr>
            <w:tcW w:w="8364" w:type="dxa"/>
            <w:gridSpan w:val="6"/>
            <w:shd w:val="clear" w:color="auto" w:fill="auto"/>
          </w:tcPr>
          <w:p w14:paraId="21F82AAC">
            <w:pPr>
              <w:spacing w:after="0" w:line="240" w:lineRule="auto"/>
              <w:rPr>
                <w:rFonts w:ascii="宋体" w:hAnsi="宋体"/>
                <w:b/>
                <w:sz w:val="16"/>
                <w:szCs w:val="16"/>
              </w:rPr>
            </w:pPr>
            <w:r>
              <w:rPr>
                <w:rFonts w:hint="eastAsia" w:ascii="宋体" w:hAnsi="宋体"/>
                <w:b/>
                <w:sz w:val="16"/>
                <w:szCs w:val="16"/>
              </w:rPr>
              <w:t>卷包图像工作站</w:t>
            </w:r>
          </w:p>
        </w:tc>
      </w:tr>
      <w:tr w14:paraId="0BCB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B7F8E76">
            <w:pPr>
              <w:snapToGrid w:val="0"/>
              <w:jc w:val="both"/>
              <w:rPr>
                <w:rFonts w:ascii="宋体" w:hAnsi="宋体" w:cstheme="minorEastAsia"/>
                <w:bCs/>
                <w:sz w:val="16"/>
                <w:szCs w:val="16"/>
              </w:rPr>
            </w:pPr>
            <w:r>
              <w:rPr>
                <w:rFonts w:hint="eastAsia" w:ascii="宋体" w:hAnsi="宋体" w:cstheme="minorEastAsia"/>
                <w:bCs/>
                <w:sz w:val="16"/>
                <w:szCs w:val="16"/>
              </w:rPr>
              <w:t>3</w:t>
            </w:r>
            <w:r>
              <w:rPr>
                <w:rFonts w:ascii="宋体" w:hAnsi="宋体" w:cstheme="minorEastAsia"/>
                <w:bCs/>
                <w:sz w:val="16"/>
                <w:szCs w:val="16"/>
              </w:rPr>
              <w:t>.1</w:t>
            </w:r>
          </w:p>
        </w:tc>
        <w:tc>
          <w:tcPr>
            <w:tcW w:w="1416" w:type="dxa"/>
            <w:gridSpan w:val="2"/>
            <w:tcBorders>
              <w:top w:val="single" w:color="auto" w:sz="4" w:space="0"/>
            </w:tcBorders>
            <w:vAlign w:val="center"/>
          </w:tcPr>
          <w:p w14:paraId="57890D52">
            <w:pPr>
              <w:snapToGrid w:val="0"/>
              <w:jc w:val="both"/>
              <w:rPr>
                <w:rFonts w:ascii="宋体" w:hAnsi="宋体"/>
                <w:sz w:val="16"/>
                <w:szCs w:val="16"/>
              </w:rPr>
            </w:pPr>
            <w:r>
              <w:rPr>
                <w:rFonts w:hint="eastAsia" w:ascii="宋体" w:hAnsi="宋体"/>
                <w:sz w:val="16"/>
                <w:szCs w:val="16"/>
              </w:rPr>
              <w:t>边缘计算</w:t>
            </w:r>
          </w:p>
        </w:tc>
        <w:tc>
          <w:tcPr>
            <w:tcW w:w="5253" w:type="dxa"/>
            <w:vAlign w:val="center"/>
          </w:tcPr>
          <w:p w14:paraId="3FD0F56E">
            <w:pPr>
              <w:snapToGrid w:val="0"/>
              <w:jc w:val="both"/>
              <w:rPr>
                <w:rFonts w:ascii="宋体" w:hAnsi="宋体"/>
                <w:sz w:val="16"/>
                <w:szCs w:val="16"/>
              </w:rPr>
            </w:pPr>
            <w:r>
              <w:rPr>
                <w:rFonts w:hint="eastAsia" w:ascii="宋体" w:hAnsi="宋体"/>
                <w:sz w:val="16"/>
                <w:szCs w:val="16"/>
              </w:rPr>
              <w:t>双路铂金72核144线程处理器；主频2.1G；系统盘：</w:t>
            </w:r>
            <w:r>
              <w:rPr>
                <w:rFonts w:ascii="宋体" w:hAnsi="宋体"/>
                <w:sz w:val="16"/>
                <w:szCs w:val="16"/>
              </w:rPr>
              <w:t>1T</w:t>
            </w:r>
            <w:r>
              <w:rPr>
                <w:rFonts w:hint="eastAsia" w:ascii="宋体" w:hAnsi="宋体"/>
                <w:sz w:val="16"/>
                <w:szCs w:val="16"/>
              </w:rPr>
              <w:t>，数据盘：2</w:t>
            </w:r>
            <w:r>
              <w:rPr>
                <w:rFonts w:ascii="宋体" w:hAnsi="宋体"/>
                <w:sz w:val="16"/>
                <w:szCs w:val="16"/>
              </w:rPr>
              <w:t xml:space="preserve">T 7200 HDD </w:t>
            </w:r>
            <w:r>
              <w:rPr>
                <w:rFonts w:hint="eastAsia" w:ascii="宋体" w:hAnsi="宋体"/>
                <w:sz w:val="16"/>
                <w:szCs w:val="16"/>
              </w:rPr>
              <w:t>；128G内存+4090 显卡24G*2；2600W电源；</w:t>
            </w:r>
            <w:r>
              <w:rPr>
                <w:rFonts w:ascii="宋体" w:hAnsi="宋体"/>
                <w:sz w:val="16"/>
                <w:szCs w:val="16"/>
              </w:rPr>
              <w:t xml:space="preserve"> </w:t>
            </w:r>
          </w:p>
        </w:tc>
        <w:tc>
          <w:tcPr>
            <w:tcW w:w="367" w:type="dxa"/>
            <w:vAlign w:val="center"/>
          </w:tcPr>
          <w:p w14:paraId="5133AC5A">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4667D3F5">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4C5C4B8E">
            <w:pPr>
              <w:snapToGrid w:val="0"/>
              <w:jc w:val="both"/>
              <w:rPr>
                <w:rFonts w:ascii="宋体" w:hAnsi="宋体" w:cstheme="minorEastAsia"/>
                <w:bCs/>
                <w:sz w:val="16"/>
                <w:szCs w:val="16"/>
              </w:rPr>
            </w:pPr>
          </w:p>
        </w:tc>
      </w:tr>
      <w:tr w14:paraId="3946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97" w:type="dxa"/>
            <w:vAlign w:val="center"/>
          </w:tcPr>
          <w:p w14:paraId="0BA7AAA2">
            <w:pPr>
              <w:snapToGrid w:val="0"/>
              <w:jc w:val="both"/>
              <w:rPr>
                <w:rFonts w:ascii="宋体" w:hAnsi="宋体" w:cstheme="minorEastAsia"/>
                <w:b/>
                <w:bCs/>
                <w:sz w:val="21"/>
                <w:szCs w:val="21"/>
              </w:rPr>
            </w:pPr>
            <w:r>
              <w:rPr>
                <w:rFonts w:hint="eastAsia" w:ascii="宋体" w:hAnsi="宋体" w:cstheme="minorEastAsia"/>
                <w:b/>
                <w:bCs/>
                <w:sz w:val="21"/>
                <w:szCs w:val="21"/>
              </w:rPr>
              <w:t>4</w:t>
            </w:r>
          </w:p>
        </w:tc>
        <w:tc>
          <w:tcPr>
            <w:tcW w:w="8364" w:type="dxa"/>
            <w:gridSpan w:val="6"/>
            <w:shd w:val="clear" w:color="auto" w:fill="auto"/>
          </w:tcPr>
          <w:p w14:paraId="3A49B8E2">
            <w:pPr>
              <w:spacing w:after="0" w:line="240" w:lineRule="auto"/>
              <w:rPr>
                <w:rFonts w:ascii="宋体" w:hAnsi="宋体"/>
                <w:b/>
                <w:sz w:val="16"/>
                <w:szCs w:val="16"/>
              </w:rPr>
            </w:pPr>
            <w:r>
              <w:rPr>
                <w:rFonts w:hint="eastAsia" w:ascii="宋体" w:hAnsi="宋体"/>
                <w:b/>
                <w:sz w:val="16"/>
                <w:szCs w:val="16"/>
              </w:rPr>
              <w:t>烟支外观检测工控机</w:t>
            </w:r>
          </w:p>
        </w:tc>
      </w:tr>
      <w:tr w14:paraId="612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0C4A6C1">
            <w:pPr>
              <w:snapToGrid w:val="0"/>
              <w:jc w:val="both"/>
              <w:rPr>
                <w:rFonts w:ascii="宋体" w:hAnsi="宋体" w:cstheme="minorEastAsia"/>
                <w:bCs/>
                <w:sz w:val="16"/>
                <w:szCs w:val="16"/>
              </w:rPr>
            </w:pPr>
            <w:r>
              <w:rPr>
                <w:rFonts w:hint="eastAsia" w:ascii="宋体" w:hAnsi="宋体" w:cstheme="minorEastAsia"/>
                <w:bCs/>
                <w:sz w:val="16"/>
                <w:szCs w:val="16"/>
              </w:rPr>
              <w:t>4</w:t>
            </w:r>
            <w:r>
              <w:rPr>
                <w:rFonts w:ascii="宋体" w:hAnsi="宋体" w:cstheme="minorEastAsia"/>
                <w:bCs/>
                <w:sz w:val="16"/>
                <w:szCs w:val="16"/>
              </w:rPr>
              <w:t>.1</w:t>
            </w:r>
          </w:p>
        </w:tc>
        <w:tc>
          <w:tcPr>
            <w:tcW w:w="1416" w:type="dxa"/>
            <w:gridSpan w:val="2"/>
            <w:tcBorders>
              <w:top w:val="single" w:color="auto" w:sz="4" w:space="0"/>
            </w:tcBorders>
            <w:vAlign w:val="center"/>
          </w:tcPr>
          <w:p w14:paraId="233E0AE3">
            <w:pPr>
              <w:snapToGrid w:val="0"/>
              <w:jc w:val="both"/>
              <w:rPr>
                <w:rFonts w:ascii="宋体" w:hAnsi="宋体"/>
                <w:sz w:val="16"/>
                <w:szCs w:val="16"/>
              </w:rPr>
            </w:pPr>
            <w:r>
              <w:rPr>
                <w:rFonts w:hint="eastAsia" w:ascii="宋体" w:hAnsi="宋体"/>
                <w:sz w:val="16"/>
                <w:szCs w:val="16"/>
              </w:rPr>
              <w:t>烟支外观检测工控机</w:t>
            </w:r>
          </w:p>
        </w:tc>
        <w:tc>
          <w:tcPr>
            <w:tcW w:w="5253" w:type="dxa"/>
            <w:vAlign w:val="center"/>
          </w:tcPr>
          <w:p w14:paraId="1E3478F7">
            <w:pPr>
              <w:snapToGrid w:val="0"/>
              <w:jc w:val="both"/>
              <w:rPr>
                <w:rFonts w:ascii="宋体" w:hAnsi="宋体"/>
                <w:sz w:val="16"/>
                <w:szCs w:val="16"/>
              </w:rPr>
            </w:pPr>
            <w:r>
              <w:rPr>
                <w:rFonts w:hint="eastAsia" w:ascii="宋体" w:hAnsi="宋体"/>
                <w:sz w:val="16"/>
                <w:szCs w:val="16"/>
              </w:rPr>
              <w:t>CPU:19-12900K 运行内存：64G 硬盘：SSD 1T，接口：6个USB3.0，2个RJ45网口，5个PCIE，显卡 Intel A380 显存6G 操作系统：win10，含系统迁移 。</w:t>
            </w:r>
          </w:p>
        </w:tc>
        <w:tc>
          <w:tcPr>
            <w:tcW w:w="367" w:type="dxa"/>
            <w:vAlign w:val="center"/>
          </w:tcPr>
          <w:p w14:paraId="5FFDFE37">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2E0E6863">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7BAAC3FC">
            <w:pPr>
              <w:snapToGrid w:val="0"/>
              <w:jc w:val="both"/>
              <w:rPr>
                <w:rFonts w:ascii="宋体" w:hAnsi="宋体" w:cstheme="minorEastAsia"/>
                <w:bCs/>
                <w:sz w:val="16"/>
                <w:szCs w:val="16"/>
              </w:rPr>
            </w:pPr>
          </w:p>
        </w:tc>
      </w:tr>
      <w:tr w14:paraId="5D11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97" w:type="dxa"/>
            <w:vAlign w:val="center"/>
          </w:tcPr>
          <w:p w14:paraId="0A888B4E">
            <w:pPr>
              <w:snapToGrid w:val="0"/>
              <w:jc w:val="both"/>
              <w:rPr>
                <w:rFonts w:ascii="宋体" w:hAnsi="宋体" w:cstheme="minorEastAsia"/>
                <w:b/>
                <w:bCs/>
                <w:sz w:val="21"/>
                <w:szCs w:val="21"/>
              </w:rPr>
            </w:pPr>
            <w:r>
              <w:rPr>
                <w:rFonts w:hint="eastAsia" w:ascii="宋体" w:hAnsi="宋体" w:cstheme="minorEastAsia"/>
                <w:b/>
                <w:bCs/>
                <w:sz w:val="21"/>
                <w:szCs w:val="21"/>
              </w:rPr>
              <w:t>5</w:t>
            </w:r>
          </w:p>
        </w:tc>
        <w:tc>
          <w:tcPr>
            <w:tcW w:w="8364" w:type="dxa"/>
            <w:gridSpan w:val="6"/>
            <w:shd w:val="clear" w:color="auto" w:fill="auto"/>
          </w:tcPr>
          <w:p w14:paraId="3354F399">
            <w:pPr>
              <w:spacing w:after="0" w:line="240" w:lineRule="auto"/>
              <w:rPr>
                <w:rFonts w:ascii="宋体" w:hAnsi="宋体"/>
                <w:b/>
                <w:sz w:val="16"/>
                <w:szCs w:val="16"/>
              </w:rPr>
            </w:pPr>
            <w:r>
              <w:rPr>
                <w:rFonts w:hint="eastAsia" w:ascii="宋体" w:hAnsi="宋体"/>
                <w:b/>
                <w:sz w:val="16"/>
                <w:szCs w:val="16"/>
              </w:rPr>
              <w:t>搭口胶胶量流量监测装置</w:t>
            </w:r>
          </w:p>
        </w:tc>
      </w:tr>
      <w:tr w14:paraId="41CA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2E95E1C">
            <w:pPr>
              <w:snapToGrid w:val="0"/>
              <w:jc w:val="both"/>
              <w:rPr>
                <w:rFonts w:ascii="宋体" w:hAnsi="宋体" w:cstheme="minorEastAsia"/>
                <w:bCs/>
                <w:sz w:val="16"/>
                <w:szCs w:val="16"/>
              </w:rPr>
            </w:pPr>
            <w:r>
              <w:rPr>
                <w:rFonts w:hint="eastAsia" w:ascii="宋体" w:hAnsi="宋体" w:cstheme="minorEastAsia"/>
                <w:bCs/>
                <w:sz w:val="16"/>
                <w:szCs w:val="16"/>
              </w:rPr>
              <w:t>5</w:t>
            </w:r>
            <w:r>
              <w:rPr>
                <w:rFonts w:ascii="宋体" w:hAnsi="宋体" w:cstheme="minorEastAsia"/>
                <w:bCs/>
                <w:sz w:val="16"/>
                <w:szCs w:val="16"/>
              </w:rPr>
              <w:t>.1</w:t>
            </w:r>
          </w:p>
        </w:tc>
        <w:tc>
          <w:tcPr>
            <w:tcW w:w="1416" w:type="dxa"/>
            <w:gridSpan w:val="2"/>
            <w:tcBorders>
              <w:top w:val="single" w:color="auto" w:sz="4" w:space="0"/>
            </w:tcBorders>
            <w:vAlign w:val="center"/>
          </w:tcPr>
          <w:p w14:paraId="2DCC35FC">
            <w:pPr>
              <w:snapToGrid w:val="0"/>
              <w:jc w:val="both"/>
              <w:rPr>
                <w:rFonts w:ascii="宋体" w:hAnsi="宋体"/>
                <w:sz w:val="16"/>
                <w:szCs w:val="16"/>
              </w:rPr>
            </w:pPr>
            <w:r>
              <w:rPr>
                <w:rFonts w:hint="eastAsia" w:ascii="宋体" w:hAnsi="宋体"/>
                <w:sz w:val="16"/>
                <w:szCs w:val="16"/>
              </w:rPr>
              <w:t>搭口胶胶量流量检测</w:t>
            </w:r>
          </w:p>
        </w:tc>
        <w:tc>
          <w:tcPr>
            <w:tcW w:w="5253" w:type="dxa"/>
            <w:vAlign w:val="center"/>
          </w:tcPr>
          <w:p w14:paraId="0E3FC7E9">
            <w:pPr>
              <w:snapToGrid w:val="0"/>
              <w:jc w:val="both"/>
              <w:rPr>
                <w:rFonts w:ascii="宋体" w:hAnsi="宋体"/>
                <w:sz w:val="16"/>
                <w:szCs w:val="16"/>
              </w:rPr>
            </w:pPr>
            <w:r>
              <w:rPr>
                <w:rFonts w:hint="eastAsia" w:ascii="宋体" w:hAnsi="宋体"/>
                <w:sz w:val="16"/>
                <w:szCs w:val="16"/>
              </w:rPr>
              <w:t>1、夹钳式流量传感器,精度 ±0.1% of F.S.</w:t>
            </w:r>
            <w:r>
              <w:rPr>
                <w:rFonts w:hint="eastAsia" w:ascii="宋体" w:hAnsi="宋体"/>
                <w:sz w:val="16"/>
                <w:szCs w:val="16"/>
              </w:rPr>
              <w:br w:type="textWrapping"/>
            </w:r>
            <w:r>
              <w:rPr>
                <w:rFonts w:hint="eastAsia" w:ascii="宋体" w:hAnsi="宋体"/>
                <w:sz w:val="16"/>
                <w:szCs w:val="16"/>
              </w:rPr>
              <w:t>2、控制器、通信设备及安装需要的辅材等；</w:t>
            </w:r>
          </w:p>
        </w:tc>
        <w:tc>
          <w:tcPr>
            <w:tcW w:w="367" w:type="dxa"/>
            <w:vAlign w:val="center"/>
          </w:tcPr>
          <w:p w14:paraId="76564FD2">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684122B9">
            <w:pPr>
              <w:jc w:val="both"/>
              <w:textAlignment w:val="center"/>
              <w:rPr>
                <w:rFonts w:ascii="宋体" w:hAnsi="宋体"/>
                <w:sz w:val="16"/>
                <w:szCs w:val="16"/>
              </w:rPr>
            </w:pPr>
            <w:r>
              <w:rPr>
                <w:rFonts w:hint="eastAsia" w:ascii="宋体" w:hAnsi="宋体"/>
                <w:sz w:val="16"/>
                <w:szCs w:val="16"/>
              </w:rPr>
              <w:t>10</w:t>
            </w:r>
          </w:p>
        </w:tc>
        <w:tc>
          <w:tcPr>
            <w:tcW w:w="501" w:type="dxa"/>
            <w:shd w:val="clear" w:color="auto" w:fill="auto"/>
            <w:vAlign w:val="center"/>
          </w:tcPr>
          <w:p w14:paraId="73DEB4CC">
            <w:pPr>
              <w:snapToGrid w:val="0"/>
              <w:jc w:val="both"/>
              <w:rPr>
                <w:rFonts w:ascii="宋体" w:hAnsi="宋体" w:cstheme="minorEastAsia"/>
                <w:bCs/>
                <w:sz w:val="16"/>
                <w:szCs w:val="16"/>
              </w:rPr>
            </w:pPr>
          </w:p>
        </w:tc>
      </w:tr>
      <w:tr w14:paraId="31F3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7" w:type="dxa"/>
            <w:vAlign w:val="center"/>
          </w:tcPr>
          <w:p w14:paraId="45D4C262">
            <w:pPr>
              <w:snapToGrid w:val="0"/>
              <w:jc w:val="both"/>
              <w:rPr>
                <w:rFonts w:ascii="宋体" w:hAnsi="宋体" w:cstheme="minorEastAsia"/>
                <w:b/>
                <w:bCs/>
                <w:sz w:val="21"/>
                <w:szCs w:val="21"/>
              </w:rPr>
            </w:pPr>
            <w:r>
              <w:rPr>
                <w:rFonts w:hint="eastAsia" w:ascii="宋体" w:hAnsi="宋体" w:cstheme="minorEastAsia"/>
                <w:b/>
                <w:bCs/>
                <w:sz w:val="21"/>
                <w:szCs w:val="21"/>
              </w:rPr>
              <w:t>6</w:t>
            </w:r>
          </w:p>
        </w:tc>
        <w:tc>
          <w:tcPr>
            <w:tcW w:w="8364" w:type="dxa"/>
            <w:gridSpan w:val="6"/>
            <w:shd w:val="clear" w:color="auto" w:fill="auto"/>
          </w:tcPr>
          <w:p w14:paraId="0E321248">
            <w:pPr>
              <w:spacing w:after="0" w:line="240" w:lineRule="auto"/>
              <w:rPr>
                <w:rFonts w:ascii="宋体" w:hAnsi="宋体"/>
                <w:b/>
                <w:sz w:val="16"/>
                <w:szCs w:val="16"/>
              </w:rPr>
            </w:pPr>
            <w:r>
              <w:rPr>
                <w:rFonts w:hint="eastAsia" w:ascii="宋体" w:hAnsi="宋体"/>
                <w:b/>
                <w:sz w:val="16"/>
                <w:szCs w:val="16"/>
              </w:rPr>
              <w:t>软件功能</w:t>
            </w:r>
          </w:p>
        </w:tc>
      </w:tr>
      <w:tr w14:paraId="3A44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97" w:type="dxa"/>
            <w:vAlign w:val="center"/>
          </w:tcPr>
          <w:p w14:paraId="473C40D2">
            <w:pPr>
              <w:snapToGrid w:val="0"/>
              <w:jc w:val="both"/>
              <w:rPr>
                <w:rFonts w:ascii="宋体" w:hAnsi="宋体" w:cstheme="minorEastAsia"/>
                <w:b/>
                <w:bCs/>
                <w:sz w:val="21"/>
                <w:szCs w:val="21"/>
              </w:rPr>
            </w:pPr>
            <w:r>
              <w:rPr>
                <w:rFonts w:hint="eastAsia" w:ascii="宋体" w:hAnsi="宋体" w:cstheme="minorEastAsia"/>
                <w:b/>
                <w:bCs/>
                <w:sz w:val="21"/>
                <w:szCs w:val="21"/>
              </w:rPr>
              <w:t>6</w:t>
            </w:r>
            <w:r>
              <w:rPr>
                <w:rFonts w:ascii="宋体" w:hAnsi="宋体" w:cstheme="minorEastAsia"/>
                <w:b/>
                <w:bCs/>
                <w:sz w:val="21"/>
                <w:szCs w:val="21"/>
              </w:rPr>
              <w:t>.1</w:t>
            </w:r>
          </w:p>
        </w:tc>
        <w:tc>
          <w:tcPr>
            <w:tcW w:w="8364" w:type="dxa"/>
            <w:gridSpan w:val="6"/>
            <w:shd w:val="clear" w:color="auto" w:fill="auto"/>
          </w:tcPr>
          <w:p w14:paraId="6D8FA1EF">
            <w:pPr>
              <w:spacing w:after="0" w:line="240" w:lineRule="auto"/>
              <w:rPr>
                <w:rFonts w:ascii="宋体" w:hAnsi="宋体"/>
                <w:b/>
                <w:sz w:val="16"/>
                <w:szCs w:val="16"/>
              </w:rPr>
            </w:pPr>
            <w:r>
              <w:rPr>
                <w:rFonts w:hint="eastAsia" w:ascii="宋体" w:hAnsi="宋体"/>
                <w:b/>
                <w:sz w:val="16"/>
                <w:szCs w:val="16"/>
              </w:rPr>
              <w:t>设备运行状态监控</w:t>
            </w:r>
          </w:p>
        </w:tc>
      </w:tr>
      <w:tr w14:paraId="1896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6A2A5CE">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.1.1</w:t>
            </w:r>
          </w:p>
        </w:tc>
        <w:tc>
          <w:tcPr>
            <w:tcW w:w="1416" w:type="dxa"/>
            <w:gridSpan w:val="2"/>
            <w:tcBorders>
              <w:top w:val="single" w:color="auto" w:sz="4" w:space="0"/>
            </w:tcBorders>
            <w:vAlign w:val="center"/>
          </w:tcPr>
          <w:p w14:paraId="68BFB284">
            <w:pPr>
              <w:snapToGrid w:val="0"/>
              <w:jc w:val="both"/>
              <w:rPr>
                <w:rFonts w:ascii="宋体" w:hAnsi="宋体"/>
                <w:sz w:val="16"/>
                <w:szCs w:val="16"/>
              </w:rPr>
            </w:pPr>
            <w:r>
              <w:rPr>
                <w:rFonts w:hint="eastAsia" w:ascii="宋体" w:hAnsi="宋体"/>
                <w:sz w:val="16"/>
                <w:szCs w:val="16"/>
              </w:rPr>
              <w:t>设备伺服系统状态监控</w:t>
            </w:r>
          </w:p>
        </w:tc>
        <w:tc>
          <w:tcPr>
            <w:tcW w:w="5253" w:type="dxa"/>
            <w:vAlign w:val="center"/>
          </w:tcPr>
          <w:p w14:paraId="1D305443">
            <w:pPr>
              <w:snapToGrid w:val="0"/>
              <w:jc w:val="both"/>
              <w:rPr>
                <w:rFonts w:ascii="宋体" w:hAnsi="宋体"/>
                <w:sz w:val="16"/>
                <w:szCs w:val="16"/>
              </w:rPr>
            </w:pPr>
            <w:r>
              <w:rPr>
                <w:rFonts w:hint="eastAsia" w:ascii="宋体" w:hAnsi="宋体"/>
                <w:sz w:val="16"/>
                <w:szCs w:val="16"/>
              </w:rPr>
              <w:t>实时采集西门子系统伺服控制器(3台S120，2台Simotion)及电机运行参数（电压、电流、温度、位置、跟随故障等参数）</w:t>
            </w:r>
          </w:p>
        </w:tc>
        <w:tc>
          <w:tcPr>
            <w:tcW w:w="367" w:type="dxa"/>
            <w:vAlign w:val="center"/>
          </w:tcPr>
          <w:p w14:paraId="371FED20">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ED8BC5D">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3CB22085">
            <w:pPr>
              <w:snapToGrid w:val="0"/>
              <w:jc w:val="both"/>
              <w:rPr>
                <w:rFonts w:ascii="宋体" w:hAnsi="宋体" w:cstheme="minorEastAsia"/>
                <w:bCs/>
                <w:sz w:val="16"/>
                <w:szCs w:val="16"/>
              </w:rPr>
            </w:pPr>
          </w:p>
        </w:tc>
      </w:tr>
      <w:tr w14:paraId="2FC4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B4C4D8A">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.1.2</w:t>
            </w:r>
          </w:p>
        </w:tc>
        <w:tc>
          <w:tcPr>
            <w:tcW w:w="1416" w:type="dxa"/>
            <w:gridSpan w:val="2"/>
            <w:tcBorders>
              <w:top w:val="single" w:color="auto" w:sz="4" w:space="0"/>
            </w:tcBorders>
            <w:vAlign w:val="center"/>
          </w:tcPr>
          <w:p w14:paraId="19479C53">
            <w:pPr>
              <w:snapToGrid w:val="0"/>
              <w:jc w:val="both"/>
              <w:rPr>
                <w:rFonts w:ascii="宋体" w:hAnsi="宋体"/>
                <w:sz w:val="16"/>
                <w:szCs w:val="16"/>
              </w:rPr>
            </w:pPr>
            <w:r>
              <w:rPr>
                <w:rFonts w:hint="eastAsia" w:ascii="宋体" w:hAnsi="宋体"/>
                <w:sz w:val="16"/>
                <w:szCs w:val="16"/>
              </w:rPr>
              <w:t>设备状态监测集成</w:t>
            </w:r>
          </w:p>
        </w:tc>
        <w:tc>
          <w:tcPr>
            <w:tcW w:w="5253" w:type="dxa"/>
            <w:vAlign w:val="center"/>
          </w:tcPr>
          <w:p w14:paraId="6B44D2EC">
            <w:pPr>
              <w:snapToGrid w:val="0"/>
              <w:jc w:val="both"/>
              <w:rPr>
                <w:rFonts w:ascii="宋体" w:hAnsi="宋体"/>
                <w:sz w:val="16"/>
                <w:szCs w:val="16"/>
              </w:rPr>
            </w:pPr>
            <w:r>
              <w:rPr>
                <w:rFonts w:hint="eastAsia" w:ascii="宋体" w:hAnsi="宋体"/>
                <w:sz w:val="16"/>
                <w:szCs w:val="16"/>
              </w:rPr>
              <w:t>将设备振动、温度、压力、伺服等数据进行系统集成，综合判断形成设备运行状态及分析报告。</w:t>
            </w:r>
          </w:p>
        </w:tc>
        <w:tc>
          <w:tcPr>
            <w:tcW w:w="367" w:type="dxa"/>
            <w:vAlign w:val="center"/>
          </w:tcPr>
          <w:p w14:paraId="3FDD7028">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2D24896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E34844B">
            <w:pPr>
              <w:snapToGrid w:val="0"/>
              <w:jc w:val="both"/>
              <w:rPr>
                <w:rFonts w:ascii="宋体" w:hAnsi="宋体" w:cstheme="minorEastAsia"/>
                <w:bCs/>
                <w:sz w:val="16"/>
                <w:szCs w:val="16"/>
              </w:rPr>
            </w:pPr>
          </w:p>
        </w:tc>
      </w:tr>
      <w:tr w14:paraId="1909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7" w:type="dxa"/>
            <w:vAlign w:val="center"/>
          </w:tcPr>
          <w:p w14:paraId="7C903F14">
            <w:pPr>
              <w:snapToGrid w:val="0"/>
              <w:jc w:val="both"/>
              <w:rPr>
                <w:rFonts w:ascii="宋体" w:hAnsi="宋体" w:cstheme="minorEastAsia"/>
                <w:b/>
                <w:bCs/>
                <w:sz w:val="21"/>
                <w:szCs w:val="21"/>
              </w:rPr>
            </w:pPr>
            <w:r>
              <w:rPr>
                <w:rFonts w:hint="eastAsia" w:ascii="宋体" w:hAnsi="宋体" w:cstheme="minorEastAsia"/>
                <w:b/>
                <w:bCs/>
                <w:sz w:val="21"/>
                <w:szCs w:val="21"/>
              </w:rPr>
              <w:t>6</w:t>
            </w:r>
            <w:r>
              <w:rPr>
                <w:rFonts w:ascii="宋体" w:hAnsi="宋体" w:cstheme="minorEastAsia"/>
                <w:b/>
                <w:bCs/>
                <w:sz w:val="21"/>
                <w:szCs w:val="21"/>
              </w:rPr>
              <w:t>.2</w:t>
            </w:r>
          </w:p>
        </w:tc>
        <w:tc>
          <w:tcPr>
            <w:tcW w:w="8364" w:type="dxa"/>
            <w:gridSpan w:val="6"/>
            <w:shd w:val="clear" w:color="auto" w:fill="auto"/>
          </w:tcPr>
          <w:p w14:paraId="44D0CB04">
            <w:pPr>
              <w:spacing w:after="0" w:line="240" w:lineRule="auto"/>
              <w:rPr>
                <w:rFonts w:ascii="宋体" w:hAnsi="宋体"/>
                <w:b/>
                <w:sz w:val="16"/>
                <w:szCs w:val="16"/>
              </w:rPr>
            </w:pPr>
            <w:r>
              <w:rPr>
                <w:rFonts w:hint="eastAsia" w:ascii="宋体" w:hAnsi="宋体"/>
                <w:b/>
                <w:sz w:val="16"/>
                <w:szCs w:val="16"/>
              </w:rPr>
              <w:t>单机质量管理应用</w:t>
            </w:r>
          </w:p>
        </w:tc>
      </w:tr>
      <w:tr w14:paraId="4128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55C41E0">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.2.1</w:t>
            </w:r>
          </w:p>
        </w:tc>
        <w:tc>
          <w:tcPr>
            <w:tcW w:w="1416" w:type="dxa"/>
            <w:gridSpan w:val="2"/>
            <w:tcBorders>
              <w:top w:val="single" w:color="auto" w:sz="4" w:space="0"/>
            </w:tcBorders>
            <w:vAlign w:val="center"/>
          </w:tcPr>
          <w:p w14:paraId="5F57F1CF">
            <w:pPr>
              <w:snapToGrid w:val="0"/>
              <w:jc w:val="both"/>
              <w:rPr>
                <w:rFonts w:ascii="宋体" w:hAnsi="宋体"/>
                <w:sz w:val="16"/>
                <w:szCs w:val="16"/>
              </w:rPr>
            </w:pPr>
            <w:r>
              <w:rPr>
                <w:rFonts w:hint="eastAsia" w:ascii="宋体" w:hAnsi="宋体"/>
                <w:sz w:val="16"/>
                <w:szCs w:val="16"/>
              </w:rPr>
              <w:t>单机质量画像</w:t>
            </w:r>
          </w:p>
        </w:tc>
        <w:tc>
          <w:tcPr>
            <w:tcW w:w="5253" w:type="dxa"/>
            <w:vAlign w:val="center"/>
          </w:tcPr>
          <w:p w14:paraId="4BE47E52">
            <w:pPr>
              <w:snapToGrid w:val="0"/>
              <w:jc w:val="both"/>
              <w:rPr>
                <w:rFonts w:ascii="宋体" w:hAnsi="宋体"/>
                <w:sz w:val="16"/>
                <w:szCs w:val="16"/>
              </w:rPr>
            </w:pPr>
            <w:r>
              <w:rPr>
                <w:rFonts w:hint="eastAsia" w:ascii="宋体" w:hAnsi="宋体"/>
                <w:sz w:val="16"/>
                <w:szCs w:val="16"/>
              </w:rPr>
              <w:t>通过数字化技术，以图表和数据可视化的形式，全面、精准地呈现卷包设备的生产状态和性能特征。涵盖设备的实时运行数据，如产量、效率和质量等，同时深入挖掘设备的历史质量指标数据，对其性能趋势进行分析和预测，让管理者能够迅速了解设备的运行工作状态和潜在质量问题。</w:t>
            </w:r>
          </w:p>
        </w:tc>
        <w:tc>
          <w:tcPr>
            <w:tcW w:w="367" w:type="dxa"/>
            <w:vAlign w:val="center"/>
          </w:tcPr>
          <w:p w14:paraId="44D5CEE6">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96F1782">
            <w:pPr>
              <w:jc w:val="both"/>
              <w:textAlignment w:val="center"/>
              <w:rPr>
                <w:rFonts w:ascii="宋体" w:hAnsi="宋体"/>
                <w:sz w:val="16"/>
                <w:szCs w:val="16"/>
              </w:rPr>
            </w:pPr>
            <w:r>
              <w:rPr>
                <w:rFonts w:hint="eastAsia" w:ascii="宋体" w:hAnsi="宋体"/>
                <w:sz w:val="16"/>
                <w:szCs w:val="16"/>
              </w:rPr>
              <w:t>12</w:t>
            </w:r>
          </w:p>
        </w:tc>
        <w:tc>
          <w:tcPr>
            <w:tcW w:w="501" w:type="dxa"/>
            <w:shd w:val="clear" w:color="auto" w:fill="auto"/>
            <w:vAlign w:val="center"/>
          </w:tcPr>
          <w:p w14:paraId="76DAC0ED">
            <w:pPr>
              <w:snapToGrid w:val="0"/>
              <w:jc w:val="both"/>
              <w:rPr>
                <w:rFonts w:ascii="宋体" w:hAnsi="宋体" w:cstheme="minorEastAsia"/>
                <w:bCs/>
                <w:sz w:val="16"/>
                <w:szCs w:val="16"/>
              </w:rPr>
            </w:pPr>
          </w:p>
        </w:tc>
      </w:tr>
      <w:tr w14:paraId="6F12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DF9D084">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.2.2</w:t>
            </w:r>
          </w:p>
        </w:tc>
        <w:tc>
          <w:tcPr>
            <w:tcW w:w="1416" w:type="dxa"/>
            <w:gridSpan w:val="2"/>
            <w:tcBorders>
              <w:top w:val="single" w:color="auto" w:sz="4" w:space="0"/>
            </w:tcBorders>
            <w:vAlign w:val="center"/>
          </w:tcPr>
          <w:p w14:paraId="33C11FBC">
            <w:pPr>
              <w:snapToGrid w:val="0"/>
              <w:jc w:val="both"/>
              <w:rPr>
                <w:rFonts w:ascii="宋体" w:hAnsi="宋体"/>
                <w:sz w:val="16"/>
                <w:szCs w:val="16"/>
              </w:rPr>
            </w:pPr>
            <w:r>
              <w:rPr>
                <w:rFonts w:hint="eastAsia" w:ascii="宋体" w:hAnsi="宋体"/>
                <w:sz w:val="16"/>
                <w:szCs w:val="16"/>
              </w:rPr>
              <w:t>质量趋势及设备参数偏离预警</w:t>
            </w:r>
          </w:p>
        </w:tc>
        <w:tc>
          <w:tcPr>
            <w:tcW w:w="5253" w:type="dxa"/>
            <w:vAlign w:val="center"/>
          </w:tcPr>
          <w:p w14:paraId="6772D49C">
            <w:pPr>
              <w:snapToGrid w:val="0"/>
              <w:jc w:val="both"/>
              <w:rPr>
                <w:rFonts w:ascii="宋体" w:hAnsi="宋体"/>
                <w:sz w:val="16"/>
                <w:szCs w:val="16"/>
              </w:rPr>
            </w:pPr>
            <w:r>
              <w:rPr>
                <w:rFonts w:hint="eastAsia" w:ascii="宋体" w:hAnsi="宋体"/>
                <w:sz w:val="16"/>
                <w:szCs w:val="16"/>
              </w:rPr>
              <w:t>1、利用卷接包装机组检测设备（原机检测设备、外挂检测设备）数采数据，实时监控检测设备运行状态、剔除情况、超轻、超重、空头、漏气等关键参数等信息并进行检测设备运行异常预警；</w:t>
            </w:r>
            <w:r>
              <w:rPr>
                <w:rFonts w:hint="eastAsia" w:ascii="宋体" w:hAnsi="宋体"/>
                <w:sz w:val="16"/>
                <w:szCs w:val="16"/>
              </w:rPr>
              <w:br w:type="textWrapping"/>
            </w:r>
            <w:r>
              <w:rPr>
                <w:rFonts w:hint="eastAsia" w:ascii="宋体" w:hAnsi="宋体"/>
                <w:sz w:val="16"/>
                <w:szCs w:val="16"/>
              </w:rPr>
              <w:t>2、建立设备对应品牌最佳运行参数，系统实时比对最佳值与设定值、实际值的差别，出现异常时及时预警；</w:t>
            </w:r>
            <w:r>
              <w:rPr>
                <w:rFonts w:hint="eastAsia" w:ascii="宋体" w:hAnsi="宋体"/>
                <w:sz w:val="16"/>
                <w:szCs w:val="16"/>
              </w:rPr>
              <w:br w:type="textWrapping"/>
            </w:r>
            <w:r>
              <w:rPr>
                <w:rFonts w:hint="eastAsia" w:ascii="宋体" w:hAnsi="宋体"/>
                <w:sz w:val="16"/>
                <w:szCs w:val="16"/>
              </w:rPr>
              <w:t>3、对质量指标进行监测及趋势进行预测，对质量指标及趋势出现异常时进行预警；</w:t>
            </w:r>
            <w:r>
              <w:rPr>
                <w:rFonts w:hint="eastAsia" w:ascii="宋体" w:hAnsi="宋体"/>
                <w:sz w:val="16"/>
                <w:szCs w:val="16"/>
              </w:rPr>
              <w:br w:type="textWrapping"/>
            </w:r>
            <w:r>
              <w:rPr>
                <w:rFonts w:hint="eastAsia" w:ascii="宋体" w:hAnsi="宋体"/>
                <w:sz w:val="16"/>
                <w:szCs w:val="16"/>
              </w:rPr>
              <w:t>4、机型含ZJ116A/FX2、ZJ17/GDX2、ZJ118/GDX2、ZJ118/ZB418、手工线</w:t>
            </w:r>
          </w:p>
        </w:tc>
        <w:tc>
          <w:tcPr>
            <w:tcW w:w="367" w:type="dxa"/>
            <w:vAlign w:val="center"/>
          </w:tcPr>
          <w:p w14:paraId="7613EFD8">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75E51D96">
            <w:pPr>
              <w:jc w:val="both"/>
              <w:textAlignment w:val="center"/>
              <w:rPr>
                <w:rFonts w:ascii="宋体" w:hAnsi="宋体"/>
                <w:sz w:val="16"/>
                <w:szCs w:val="16"/>
              </w:rPr>
            </w:pPr>
            <w:r>
              <w:rPr>
                <w:rFonts w:hint="eastAsia" w:ascii="宋体" w:hAnsi="宋体"/>
                <w:sz w:val="16"/>
                <w:szCs w:val="16"/>
              </w:rPr>
              <w:t>12</w:t>
            </w:r>
          </w:p>
        </w:tc>
        <w:tc>
          <w:tcPr>
            <w:tcW w:w="501" w:type="dxa"/>
            <w:shd w:val="clear" w:color="auto" w:fill="auto"/>
            <w:vAlign w:val="center"/>
          </w:tcPr>
          <w:p w14:paraId="44223331">
            <w:pPr>
              <w:snapToGrid w:val="0"/>
              <w:jc w:val="both"/>
              <w:rPr>
                <w:rFonts w:ascii="宋体" w:hAnsi="宋体" w:cstheme="minorEastAsia"/>
                <w:bCs/>
                <w:sz w:val="16"/>
                <w:szCs w:val="16"/>
              </w:rPr>
            </w:pPr>
          </w:p>
        </w:tc>
      </w:tr>
      <w:tr w14:paraId="70CA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E86E320">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.2.3</w:t>
            </w:r>
          </w:p>
        </w:tc>
        <w:tc>
          <w:tcPr>
            <w:tcW w:w="1416" w:type="dxa"/>
            <w:gridSpan w:val="2"/>
            <w:tcBorders>
              <w:top w:val="single" w:color="auto" w:sz="4" w:space="0"/>
            </w:tcBorders>
            <w:vAlign w:val="center"/>
          </w:tcPr>
          <w:p w14:paraId="57C4278D">
            <w:pPr>
              <w:snapToGrid w:val="0"/>
              <w:jc w:val="both"/>
              <w:rPr>
                <w:rFonts w:ascii="宋体" w:hAnsi="宋体"/>
                <w:sz w:val="16"/>
                <w:szCs w:val="16"/>
              </w:rPr>
            </w:pPr>
            <w:r>
              <w:rPr>
                <w:rFonts w:hint="eastAsia" w:ascii="宋体" w:hAnsi="宋体"/>
                <w:sz w:val="16"/>
                <w:szCs w:val="16"/>
              </w:rPr>
              <w:t>缺陷图片深度学习及预警</w:t>
            </w:r>
          </w:p>
        </w:tc>
        <w:tc>
          <w:tcPr>
            <w:tcW w:w="5253" w:type="dxa"/>
            <w:vAlign w:val="center"/>
          </w:tcPr>
          <w:p w14:paraId="1B2E3FC4">
            <w:pPr>
              <w:snapToGrid w:val="0"/>
              <w:jc w:val="both"/>
              <w:rPr>
                <w:rFonts w:ascii="宋体" w:hAnsi="宋体"/>
                <w:sz w:val="16"/>
                <w:szCs w:val="16"/>
              </w:rPr>
            </w:pPr>
            <w:r>
              <w:rPr>
                <w:rFonts w:hint="eastAsia" w:ascii="宋体" w:hAnsi="宋体"/>
                <w:sz w:val="16"/>
                <w:szCs w:val="16"/>
              </w:rPr>
              <w:t>在12套设备上实施，对卷接包装设备机组质量检测剔除数据进行深度分析，对图像检测设备采集到的缺陷图片进行深度分析和二次预警，结合设备健康状态，预测质量变化趋势，并进行工艺质量优化调整辅助决策。</w:t>
            </w:r>
          </w:p>
        </w:tc>
        <w:tc>
          <w:tcPr>
            <w:tcW w:w="367" w:type="dxa"/>
            <w:vAlign w:val="center"/>
          </w:tcPr>
          <w:p w14:paraId="0DD26154">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5AEC96E0">
            <w:pPr>
              <w:jc w:val="both"/>
              <w:textAlignment w:val="center"/>
              <w:rPr>
                <w:rFonts w:ascii="宋体" w:hAnsi="宋体"/>
                <w:sz w:val="16"/>
                <w:szCs w:val="16"/>
              </w:rPr>
            </w:pPr>
            <w:r>
              <w:rPr>
                <w:rFonts w:hint="eastAsia" w:ascii="宋体" w:hAnsi="宋体"/>
                <w:sz w:val="16"/>
                <w:szCs w:val="16"/>
              </w:rPr>
              <w:t>12</w:t>
            </w:r>
          </w:p>
        </w:tc>
        <w:tc>
          <w:tcPr>
            <w:tcW w:w="501" w:type="dxa"/>
            <w:shd w:val="clear" w:color="auto" w:fill="auto"/>
            <w:vAlign w:val="center"/>
          </w:tcPr>
          <w:p w14:paraId="31B1104B">
            <w:pPr>
              <w:snapToGrid w:val="0"/>
              <w:jc w:val="both"/>
              <w:rPr>
                <w:rFonts w:ascii="宋体" w:hAnsi="宋体" w:cstheme="minorEastAsia"/>
                <w:bCs/>
                <w:sz w:val="16"/>
                <w:szCs w:val="16"/>
              </w:rPr>
            </w:pPr>
          </w:p>
        </w:tc>
      </w:tr>
      <w:tr w14:paraId="69CE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1BFB7CC">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.2.4</w:t>
            </w:r>
          </w:p>
        </w:tc>
        <w:tc>
          <w:tcPr>
            <w:tcW w:w="1416" w:type="dxa"/>
            <w:gridSpan w:val="2"/>
            <w:tcBorders>
              <w:top w:val="single" w:color="auto" w:sz="4" w:space="0"/>
            </w:tcBorders>
            <w:vAlign w:val="center"/>
          </w:tcPr>
          <w:p w14:paraId="22FAD604">
            <w:pPr>
              <w:snapToGrid w:val="0"/>
              <w:jc w:val="both"/>
              <w:rPr>
                <w:rFonts w:ascii="宋体" w:hAnsi="宋体"/>
                <w:sz w:val="16"/>
                <w:szCs w:val="16"/>
              </w:rPr>
            </w:pPr>
            <w:r>
              <w:rPr>
                <w:rFonts w:hint="eastAsia" w:ascii="宋体" w:hAnsi="宋体"/>
                <w:sz w:val="16"/>
                <w:szCs w:val="16"/>
              </w:rPr>
              <w:t>烟支吸阻智能控制</w:t>
            </w:r>
          </w:p>
        </w:tc>
        <w:tc>
          <w:tcPr>
            <w:tcW w:w="5253" w:type="dxa"/>
            <w:vAlign w:val="center"/>
          </w:tcPr>
          <w:p w14:paraId="0BF1272E">
            <w:pPr>
              <w:snapToGrid w:val="0"/>
              <w:jc w:val="both"/>
              <w:rPr>
                <w:rFonts w:ascii="宋体" w:hAnsi="宋体"/>
                <w:sz w:val="16"/>
                <w:szCs w:val="16"/>
              </w:rPr>
            </w:pPr>
            <w:r>
              <w:rPr>
                <w:rFonts w:hint="eastAsia" w:ascii="宋体" w:hAnsi="宋体"/>
                <w:sz w:val="16"/>
                <w:szCs w:val="16"/>
              </w:rPr>
              <w:t>在6台设备上实施，综合分析吸阻与通风率、重量之间的关联关系，利用烟支在线取样综合测试台的测试数据，结合烟支重量及激光打孔等数据构建烟支吸阻智能控制模型，通过对激光打孔设备参数修改实现烟支吸阻的智能控制。</w:t>
            </w:r>
          </w:p>
        </w:tc>
        <w:tc>
          <w:tcPr>
            <w:tcW w:w="367" w:type="dxa"/>
            <w:vAlign w:val="center"/>
          </w:tcPr>
          <w:p w14:paraId="4321271D">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69E66311">
            <w:pPr>
              <w:jc w:val="both"/>
              <w:textAlignment w:val="center"/>
              <w:rPr>
                <w:rFonts w:ascii="宋体" w:hAnsi="宋体"/>
                <w:sz w:val="16"/>
                <w:szCs w:val="16"/>
              </w:rPr>
            </w:pPr>
            <w:r>
              <w:rPr>
                <w:rFonts w:hint="eastAsia" w:ascii="宋体" w:hAnsi="宋体"/>
                <w:sz w:val="16"/>
                <w:szCs w:val="16"/>
              </w:rPr>
              <w:t>6</w:t>
            </w:r>
          </w:p>
        </w:tc>
        <w:tc>
          <w:tcPr>
            <w:tcW w:w="501" w:type="dxa"/>
            <w:shd w:val="clear" w:color="auto" w:fill="auto"/>
            <w:vAlign w:val="center"/>
          </w:tcPr>
          <w:p w14:paraId="18B81A1F">
            <w:pPr>
              <w:snapToGrid w:val="0"/>
              <w:jc w:val="both"/>
              <w:rPr>
                <w:rFonts w:ascii="宋体" w:hAnsi="宋体" w:cstheme="minorEastAsia"/>
                <w:bCs/>
                <w:sz w:val="16"/>
                <w:szCs w:val="16"/>
              </w:rPr>
            </w:pPr>
          </w:p>
        </w:tc>
      </w:tr>
      <w:tr w14:paraId="08A6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C39325C">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.2.5</w:t>
            </w:r>
          </w:p>
        </w:tc>
        <w:tc>
          <w:tcPr>
            <w:tcW w:w="1416" w:type="dxa"/>
            <w:gridSpan w:val="2"/>
            <w:tcBorders>
              <w:top w:val="single" w:color="auto" w:sz="4" w:space="0"/>
            </w:tcBorders>
            <w:vAlign w:val="center"/>
          </w:tcPr>
          <w:p w14:paraId="794DCC6F">
            <w:pPr>
              <w:snapToGrid w:val="0"/>
              <w:jc w:val="both"/>
              <w:rPr>
                <w:rFonts w:ascii="宋体" w:hAnsi="宋体"/>
                <w:sz w:val="16"/>
                <w:szCs w:val="16"/>
              </w:rPr>
            </w:pPr>
            <w:r>
              <w:rPr>
                <w:rFonts w:hint="eastAsia" w:ascii="宋体" w:hAnsi="宋体"/>
                <w:sz w:val="16"/>
                <w:szCs w:val="16"/>
              </w:rPr>
              <w:t>搭口胶胶量在线监测与控制</w:t>
            </w:r>
          </w:p>
        </w:tc>
        <w:tc>
          <w:tcPr>
            <w:tcW w:w="5253" w:type="dxa"/>
            <w:vAlign w:val="center"/>
          </w:tcPr>
          <w:p w14:paraId="38A8B66F">
            <w:pPr>
              <w:snapToGrid w:val="0"/>
              <w:jc w:val="both"/>
              <w:rPr>
                <w:rFonts w:ascii="宋体" w:hAnsi="宋体"/>
                <w:sz w:val="16"/>
                <w:szCs w:val="16"/>
              </w:rPr>
            </w:pPr>
            <w:r>
              <w:rPr>
                <w:rFonts w:hint="eastAsia" w:ascii="宋体" w:hAnsi="宋体"/>
                <w:sz w:val="16"/>
                <w:szCs w:val="16"/>
              </w:rPr>
              <w:t>在10台设备上实施，实时监控搭口胶流量，结合车速和流量设定值综合分析，实时校正胶量，出现较大偏差时报警停机。</w:t>
            </w:r>
          </w:p>
        </w:tc>
        <w:tc>
          <w:tcPr>
            <w:tcW w:w="367" w:type="dxa"/>
            <w:vAlign w:val="center"/>
          </w:tcPr>
          <w:p w14:paraId="3A91A044">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7FBE1974">
            <w:pPr>
              <w:jc w:val="both"/>
              <w:textAlignment w:val="center"/>
              <w:rPr>
                <w:rFonts w:ascii="宋体" w:hAnsi="宋体"/>
                <w:sz w:val="16"/>
                <w:szCs w:val="16"/>
              </w:rPr>
            </w:pPr>
            <w:r>
              <w:rPr>
                <w:rFonts w:hint="eastAsia" w:ascii="宋体" w:hAnsi="宋体"/>
                <w:sz w:val="16"/>
                <w:szCs w:val="16"/>
              </w:rPr>
              <w:t>10</w:t>
            </w:r>
          </w:p>
        </w:tc>
        <w:tc>
          <w:tcPr>
            <w:tcW w:w="501" w:type="dxa"/>
            <w:shd w:val="clear" w:color="auto" w:fill="auto"/>
            <w:vAlign w:val="center"/>
          </w:tcPr>
          <w:p w14:paraId="01DFFAD5">
            <w:pPr>
              <w:snapToGrid w:val="0"/>
              <w:jc w:val="both"/>
              <w:rPr>
                <w:rFonts w:ascii="宋体" w:hAnsi="宋体" w:cstheme="minorEastAsia"/>
                <w:bCs/>
                <w:sz w:val="16"/>
                <w:szCs w:val="16"/>
              </w:rPr>
            </w:pPr>
          </w:p>
        </w:tc>
      </w:tr>
      <w:tr w14:paraId="7CA6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97" w:type="dxa"/>
            <w:vAlign w:val="center"/>
          </w:tcPr>
          <w:p w14:paraId="53F311E3">
            <w:pPr>
              <w:snapToGrid w:val="0"/>
              <w:jc w:val="both"/>
              <w:rPr>
                <w:rFonts w:ascii="宋体" w:hAnsi="宋体" w:cstheme="minorEastAsia"/>
                <w:b/>
                <w:bCs/>
                <w:sz w:val="21"/>
                <w:szCs w:val="21"/>
              </w:rPr>
            </w:pPr>
            <w:r>
              <w:rPr>
                <w:rFonts w:hint="eastAsia" w:ascii="宋体" w:hAnsi="宋体" w:cstheme="minorEastAsia"/>
                <w:b/>
                <w:bCs/>
                <w:sz w:val="21"/>
                <w:szCs w:val="21"/>
              </w:rPr>
              <w:t>6</w:t>
            </w:r>
            <w:r>
              <w:rPr>
                <w:rFonts w:ascii="宋体" w:hAnsi="宋体" w:cstheme="minorEastAsia"/>
                <w:b/>
                <w:bCs/>
                <w:sz w:val="21"/>
                <w:szCs w:val="21"/>
              </w:rPr>
              <w:t>.3</w:t>
            </w:r>
          </w:p>
        </w:tc>
        <w:tc>
          <w:tcPr>
            <w:tcW w:w="8364" w:type="dxa"/>
            <w:gridSpan w:val="6"/>
            <w:shd w:val="clear" w:color="auto" w:fill="auto"/>
          </w:tcPr>
          <w:p w14:paraId="2F020C81">
            <w:pPr>
              <w:spacing w:after="0" w:line="240" w:lineRule="auto"/>
              <w:rPr>
                <w:rFonts w:ascii="宋体" w:hAnsi="宋体"/>
                <w:b/>
                <w:sz w:val="16"/>
                <w:szCs w:val="16"/>
              </w:rPr>
            </w:pPr>
            <w:r>
              <w:rPr>
                <w:rFonts w:hint="eastAsia" w:ascii="宋体" w:hAnsi="宋体"/>
                <w:b/>
                <w:sz w:val="16"/>
                <w:szCs w:val="16"/>
              </w:rPr>
              <w:t>工厂智能制造能力成熟度诊断与优化</w:t>
            </w:r>
          </w:p>
        </w:tc>
      </w:tr>
      <w:tr w14:paraId="21F7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D7BDB1D">
            <w:pPr>
              <w:snapToGrid w:val="0"/>
              <w:jc w:val="both"/>
              <w:rPr>
                <w:rFonts w:ascii="宋体" w:hAnsi="宋体" w:cstheme="minorEastAsia"/>
                <w:bCs/>
                <w:sz w:val="16"/>
                <w:szCs w:val="16"/>
              </w:rPr>
            </w:pPr>
            <w:r>
              <w:rPr>
                <w:rFonts w:hint="eastAsia" w:ascii="宋体" w:hAnsi="宋体" w:cstheme="minorEastAsia"/>
                <w:bCs/>
                <w:sz w:val="16"/>
                <w:szCs w:val="16"/>
              </w:rPr>
              <w:t>6</w:t>
            </w:r>
            <w:r>
              <w:rPr>
                <w:rFonts w:ascii="宋体" w:hAnsi="宋体" w:cstheme="minorEastAsia"/>
                <w:bCs/>
                <w:sz w:val="16"/>
                <w:szCs w:val="16"/>
              </w:rPr>
              <w:t>.3.1</w:t>
            </w:r>
          </w:p>
        </w:tc>
        <w:tc>
          <w:tcPr>
            <w:tcW w:w="1416" w:type="dxa"/>
            <w:gridSpan w:val="2"/>
            <w:tcBorders>
              <w:top w:val="single" w:color="auto" w:sz="4" w:space="0"/>
            </w:tcBorders>
            <w:vAlign w:val="center"/>
          </w:tcPr>
          <w:p w14:paraId="1391DB74">
            <w:pPr>
              <w:snapToGrid w:val="0"/>
              <w:jc w:val="both"/>
              <w:rPr>
                <w:rFonts w:ascii="宋体" w:hAnsi="宋体"/>
                <w:sz w:val="16"/>
                <w:szCs w:val="16"/>
              </w:rPr>
            </w:pPr>
            <w:r>
              <w:rPr>
                <w:rFonts w:hint="eastAsia" w:ascii="宋体" w:hAnsi="宋体"/>
                <w:sz w:val="16"/>
                <w:szCs w:val="16"/>
              </w:rPr>
              <w:t>工厂智能制造能力成熟度诊断与优化</w:t>
            </w:r>
          </w:p>
        </w:tc>
        <w:tc>
          <w:tcPr>
            <w:tcW w:w="5253" w:type="dxa"/>
            <w:vAlign w:val="center"/>
          </w:tcPr>
          <w:p w14:paraId="5D9CA49D">
            <w:pPr>
              <w:snapToGrid w:val="0"/>
              <w:jc w:val="both"/>
              <w:rPr>
                <w:rFonts w:ascii="宋体" w:hAnsi="宋体"/>
                <w:sz w:val="16"/>
                <w:szCs w:val="16"/>
              </w:rPr>
            </w:pPr>
            <w:r>
              <w:rPr>
                <w:rFonts w:hint="eastAsia" w:ascii="宋体" w:hAnsi="宋体"/>
                <w:sz w:val="16"/>
                <w:szCs w:val="16"/>
              </w:rPr>
              <w:t>对标智能制造能力成熟度四级标准，为工厂开展智能制造水平提供诊断，形成智能制造能力提升深度诊断报告和解决方案。对本项目中涉及到的内容需按标准进行建设，并出具工厂智能制造成熟度四级符合性证书。</w:t>
            </w:r>
          </w:p>
        </w:tc>
        <w:tc>
          <w:tcPr>
            <w:tcW w:w="367" w:type="dxa"/>
            <w:vAlign w:val="center"/>
          </w:tcPr>
          <w:p w14:paraId="463245B1">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11A86348">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CA285E7">
            <w:pPr>
              <w:snapToGrid w:val="0"/>
              <w:jc w:val="both"/>
              <w:rPr>
                <w:rFonts w:ascii="宋体" w:hAnsi="宋体" w:cstheme="minorEastAsia"/>
                <w:bCs/>
                <w:sz w:val="16"/>
                <w:szCs w:val="16"/>
              </w:rPr>
            </w:pPr>
          </w:p>
        </w:tc>
      </w:tr>
      <w:tr w14:paraId="3706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97" w:type="dxa"/>
            <w:vAlign w:val="center"/>
          </w:tcPr>
          <w:p w14:paraId="352EE214">
            <w:pPr>
              <w:snapToGrid w:val="0"/>
              <w:jc w:val="both"/>
              <w:rPr>
                <w:rFonts w:ascii="宋体" w:hAnsi="宋体" w:cstheme="minorEastAsia"/>
                <w:b/>
                <w:bCs/>
                <w:sz w:val="16"/>
                <w:szCs w:val="16"/>
              </w:rPr>
            </w:pPr>
            <w:r>
              <w:rPr>
                <w:rFonts w:hint="eastAsia" w:ascii="宋体" w:hAnsi="宋体" w:cstheme="minorEastAsia"/>
                <w:b/>
                <w:bCs/>
                <w:sz w:val="16"/>
                <w:szCs w:val="16"/>
              </w:rPr>
              <w:t>7</w:t>
            </w:r>
          </w:p>
        </w:tc>
        <w:tc>
          <w:tcPr>
            <w:tcW w:w="1416" w:type="dxa"/>
            <w:gridSpan w:val="2"/>
            <w:tcBorders>
              <w:top w:val="single" w:color="auto" w:sz="4" w:space="0"/>
            </w:tcBorders>
            <w:vAlign w:val="center"/>
          </w:tcPr>
          <w:p w14:paraId="62A3EAC9">
            <w:pPr>
              <w:snapToGrid w:val="0"/>
              <w:jc w:val="both"/>
              <w:rPr>
                <w:rFonts w:ascii="宋体" w:hAnsi="宋体"/>
                <w:b/>
                <w:sz w:val="16"/>
                <w:szCs w:val="16"/>
              </w:rPr>
            </w:pPr>
            <w:r>
              <w:rPr>
                <w:rFonts w:hint="eastAsia" w:ascii="宋体" w:hAnsi="宋体"/>
                <w:b/>
                <w:sz w:val="16"/>
                <w:szCs w:val="16"/>
              </w:rPr>
              <w:t>安装调试费</w:t>
            </w:r>
          </w:p>
        </w:tc>
        <w:tc>
          <w:tcPr>
            <w:tcW w:w="5253" w:type="dxa"/>
            <w:vAlign w:val="center"/>
          </w:tcPr>
          <w:p w14:paraId="457312D6">
            <w:pPr>
              <w:snapToGrid w:val="0"/>
              <w:jc w:val="both"/>
              <w:rPr>
                <w:rFonts w:ascii="宋体" w:hAnsi="宋体"/>
                <w:sz w:val="16"/>
                <w:szCs w:val="16"/>
              </w:rPr>
            </w:pPr>
            <w:r>
              <w:rPr>
                <w:rFonts w:hint="eastAsia" w:ascii="宋体" w:hAnsi="宋体"/>
                <w:sz w:val="16"/>
                <w:szCs w:val="16"/>
              </w:rPr>
              <w:t>\</w:t>
            </w:r>
          </w:p>
        </w:tc>
        <w:tc>
          <w:tcPr>
            <w:tcW w:w="367" w:type="dxa"/>
            <w:vAlign w:val="center"/>
          </w:tcPr>
          <w:p w14:paraId="48AED663">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766364B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05AF7420">
            <w:pPr>
              <w:snapToGrid w:val="0"/>
              <w:jc w:val="both"/>
              <w:rPr>
                <w:rFonts w:ascii="宋体" w:hAnsi="宋体" w:cstheme="minorEastAsia"/>
                <w:bCs/>
                <w:sz w:val="16"/>
                <w:szCs w:val="16"/>
              </w:rPr>
            </w:pPr>
          </w:p>
        </w:tc>
      </w:tr>
      <w:tr w14:paraId="4776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97" w:type="dxa"/>
            <w:vAlign w:val="center"/>
          </w:tcPr>
          <w:p w14:paraId="71383F59">
            <w:pPr>
              <w:snapToGrid w:val="0"/>
              <w:jc w:val="both"/>
              <w:rPr>
                <w:rFonts w:ascii="宋体" w:hAnsi="宋体" w:cstheme="minorEastAsia"/>
                <w:b/>
                <w:bCs/>
                <w:sz w:val="21"/>
                <w:szCs w:val="21"/>
              </w:rPr>
            </w:pPr>
            <w:r>
              <w:rPr>
                <w:rFonts w:hint="eastAsia" w:ascii="宋体" w:hAnsi="宋体" w:cstheme="minorEastAsia"/>
                <w:b/>
                <w:bCs/>
                <w:sz w:val="21"/>
                <w:szCs w:val="21"/>
              </w:rPr>
              <w:t>五</w:t>
            </w:r>
          </w:p>
        </w:tc>
        <w:tc>
          <w:tcPr>
            <w:tcW w:w="8364" w:type="dxa"/>
            <w:gridSpan w:val="6"/>
            <w:shd w:val="clear" w:color="auto" w:fill="auto"/>
          </w:tcPr>
          <w:p w14:paraId="15E32E5F">
            <w:pPr>
              <w:spacing w:after="0" w:line="240" w:lineRule="auto"/>
              <w:rPr>
                <w:rFonts w:ascii="宋体" w:hAnsi="宋体"/>
                <w:b/>
                <w:sz w:val="16"/>
                <w:szCs w:val="16"/>
              </w:rPr>
            </w:pPr>
            <w:r>
              <w:rPr>
                <w:rFonts w:hint="eastAsia" w:ascii="宋体" w:hAnsi="宋体"/>
                <w:b/>
                <w:sz w:val="16"/>
                <w:szCs w:val="16"/>
              </w:rPr>
              <w:t>数字能源</w:t>
            </w:r>
          </w:p>
        </w:tc>
      </w:tr>
      <w:tr w14:paraId="6397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97" w:type="dxa"/>
            <w:vAlign w:val="center"/>
          </w:tcPr>
          <w:p w14:paraId="31F7FC79">
            <w:pPr>
              <w:snapToGrid w:val="0"/>
              <w:jc w:val="both"/>
              <w:rPr>
                <w:rFonts w:ascii="宋体" w:hAnsi="宋体" w:cstheme="minorEastAsia"/>
                <w:b/>
                <w:bCs/>
                <w:sz w:val="21"/>
                <w:szCs w:val="21"/>
              </w:rPr>
            </w:pPr>
            <w:r>
              <w:rPr>
                <w:rFonts w:ascii="宋体" w:hAnsi="宋体" w:cstheme="minorEastAsia"/>
                <w:b/>
                <w:bCs/>
                <w:sz w:val="21"/>
                <w:szCs w:val="21"/>
              </w:rPr>
              <w:t>1</w:t>
            </w:r>
          </w:p>
        </w:tc>
        <w:tc>
          <w:tcPr>
            <w:tcW w:w="8364" w:type="dxa"/>
            <w:gridSpan w:val="6"/>
            <w:shd w:val="clear" w:color="auto" w:fill="auto"/>
          </w:tcPr>
          <w:p w14:paraId="119D88D9">
            <w:pPr>
              <w:spacing w:after="0" w:line="240" w:lineRule="auto"/>
              <w:rPr>
                <w:rFonts w:ascii="宋体" w:hAnsi="宋体"/>
                <w:b/>
                <w:sz w:val="16"/>
                <w:szCs w:val="16"/>
              </w:rPr>
            </w:pPr>
            <w:r>
              <w:rPr>
                <w:rFonts w:hint="eastAsia" w:ascii="宋体" w:hAnsi="宋体"/>
                <w:b/>
                <w:sz w:val="16"/>
                <w:szCs w:val="16"/>
              </w:rPr>
              <w:t>能源管理系统硬件</w:t>
            </w:r>
          </w:p>
        </w:tc>
      </w:tr>
      <w:tr w14:paraId="3FDF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97" w:type="dxa"/>
            <w:vAlign w:val="center"/>
          </w:tcPr>
          <w:p w14:paraId="4CD39284">
            <w:pPr>
              <w:snapToGrid w:val="0"/>
              <w:jc w:val="both"/>
              <w:rPr>
                <w:rFonts w:ascii="宋体" w:hAnsi="宋体" w:cstheme="minorEastAsia"/>
                <w:b/>
                <w:bCs/>
                <w:sz w:val="21"/>
                <w:szCs w:val="21"/>
              </w:rPr>
            </w:pPr>
            <w:r>
              <w:rPr>
                <w:rFonts w:ascii="宋体" w:hAnsi="宋体" w:cstheme="minorEastAsia"/>
                <w:b/>
                <w:bCs/>
                <w:sz w:val="21"/>
                <w:szCs w:val="21"/>
              </w:rPr>
              <w:t>1.1</w:t>
            </w:r>
          </w:p>
        </w:tc>
        <w:tc>
          <w:tcPr>
            <w:tcW w:w="8364" w:type="dxa"/>
            <w:gridSpan w:val="6"/>
            <w:shd w:val="clear" w:color="auto" w:fill="auto"/>
          </w:tcPr>
          <w:p w14:paraId="6BA8A56C">
            <w:pPr>
              <w:spacing w:after="0" w:line="240" w:lineRule="auto"/>
              <w:rPr>
                <w:rFonts w:ascii="宋体" w:hAnsi="宋体"/>
                <w:b/>
                <w:sz w:val="16"/>
                <w:szCs w:val="16"/>
              </w:rPr>
            </w:pPr>
            <w:r>
              <w:rPr>
                <w:rFonts w:hint="eastAsia" w:ascii="宋体" w:hAnsi="宋体"/>
                <w:b/>
                <w:sz w:val="16"/>
                <w:szCs w:val="16"/>
              </w:rPr>
              <w:t>水表</w:t>
            </w:r>
          </w:p>
        </w:tc>
      </w:tr>
      <w:tr w14:paraId="64734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BB5E584">
            <w:pPr>
              <w:snapToGrid w:val="0"/>
              <w:jc w:val="both"/>
              <w:rPr>
                <w:rFonts w:ascii="宋体" w:hAnsi="宋体" w:cstheme="minorEastAsia"/>
                <w:bCs/>
                <w:sz w:val="16"/>
                <w:szCs w:val="16"/>
              </w:rPr>
            </w:pPr>
            <w:r>
              <w:rPr>
                <w:rFonts w:hint="eastAsia" w:ascii="宋体" w:hAnsi="宋体"/>
                <w:sz w:val="16"/>
                <w:szCs w:val="16"/>
              </w:rPr>
              <w:t>1.1.1</w:t>
            </w:r>
          </w:p>
        </w:tc>
        <w:tc>
          <w:tcPr>
            <w:tcW w:w="1416" w:type="dxa"/>
            <w:gridSpan w:val="2"/>
            <w:tcBorders>
              <w:top w:val="single" w:color="auto" w:sz="4" w:space="0"/>
            </w:tcBorders>
            <w:vAlign w:val="center"/>
          </w:tcPr>
          <w:p w14:paraId="0C33017A">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1BCC5700">
            <w:pPr>
              <w:snapToGrid w:val="0"/>
              <w:jc w:val="both"/>
              <w:rPr>
                <w:rFonts w:ascii="宋体" w:hAnsi="宋体"/>
                <w:sz w:val="16"/>
                <w:szCs w:val="16"/>
              </w:rPr>
            </w:pPr>
            <w:r>
              <w:rPr>
                <w:rFonts w:hint="eastAsia" w:ascii="宋体" w:hAnsi="宋体"/>
                <w:sz w:val="16"/>
                <w:szCs w:val="16"/>
              </w:rPr>
              <w:t>管径：DN20；压力：0.4MPa；温度：30℃；通信：无线或RS485 modbus-RTU</w:t>
            </w:r>
          </w:p>
        </w:tc>
        <w:tc>
          <w:tcPr>
            <w:tcW w:w="367" w:type="dxa"/>
            <w:vAlign w:val="center"/>
          </w:tcPr>
          <w:p w14:paraId="0A4EB064">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07D1B430">
            <w:pPr>
              <w:jc w:val="both"/>
              <w:textAlignment w:val="center"/>
              <w:rPr>
                <w:rFonts w:ascii="宋体" w:hAnsi="宋体"/>
                <w:sz w:val="16"/>
                <w:szCs w:val="16"/>
              </w:rPr>
            </w:pPr>
            <w:r>
              <w:rPr>
                <w:rFonts w:hint="eastAsia" w:ascii="宋体" w:hAnsi="宋体"/>
                <w:sz w:val="16"/>
                <w:szCs w:val="16"/>
              </w:rPr>
              <w:t>4</w:t>
            </w:r>
          </w:p>
        </w:tc>
        <w:tc>
          <w:tcPr>
            <w:tcW w:w="501" w:type="dxa"/>
            <w:shd w:val="clear" w:color="auto" w:fill="auto"/>
            <w:vAlign w:val="center"/>
          </w:tcPr>
          <w:p w14:paraId="15687C3F">
            <w:pPr>
              <w:snapToGrid w:val="0"/>
              <w:jc w:val="both"/>
              <w:rPr>
                <w:rFonts w:ascii="宋体" w:hAnsi="宋体" w:cstheme="minorEastAsia"/>
                <w:bCs/>
                <w:sz w:val="16"/>
                <w:szCs w:val="16"/>
              </w:rPr>
            </w:pPr>
          </w:p>
        </w:tc>
      </w:tr>
      <w:tr w14:paraId="0D1A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5352D60">
            <w:pPr>
              <w:snapToGrid w:val="0"/>
              <w:jc w:val="both"/>
              <w:rPr>
                <w:rFonts w:ascii="宋体" w:hAnsi="宋体" w:cstheme="minorEastAsia"/>
                <w:bCs/>
                <w:sz w:val="16"/>
                <w:szCs w:val="16"/>
              </w:rPr>
            </w:pPr>
            <w:r>
              <w:rPr>
                <w:rFonts w:hint="eastAsia" w:ascii="宋体" w:hAnsi="宋体"/>
                <w:sz w:val="16"/>
                <w:szCs w:val="16"/>
              </w:rPr>
              <w:t>1.1.2</w:t>
            </w:r>
          </w:p>
        </w:tc>
        <w:tc>
          <w:tcPr>
            <w:tcW w:w="1416" w:type="dxa"/>
            <w:gridSpan w:val="2"/>
            <w:tcBorders>
              <w:top w:val="single" w:color="auto" w:sz="4" w:space="0"/>
            </w:tcBorders>
            <w:vAlign w:val="center"/>
          </w:tcPr>
          <w:p w14:paraId="541A9663">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1B083DFE">
            <w:pPr>
              <w:snapToGrid w:val="0"/>
              <w:jc w:val="both"/>
              <w:rPr>
                <w:rFonts w:ascii="宋体" w:hAnsi="宋体"/>
                <w:sz w:val="16"/>
                <w:szCs w:val="16"/>
              </w:rPr>
            </w:pPr>
            <w:r>
              <w:rPr>
                <w:rFonts w:hint="eastAsia" w:ascii="宋体" w:hAnsi="宋体"/>
                <w:sz w:val="16"/>
                <w:szCs w:val="16"/>
              </w:rPr>
              <w:t>管径：DN25；压力：0.4MPa；温度：30℃；通信：无线或RS485 modbus-RTU</w:t>
            </w:r>
          </w:p>
        </w:tc>
        <w:tc>
          <w:tcPr>
            <w:tcW w:w="367" w:type="dxa"/>
            <w:vAlign w:val="center"/>
          </w:tcPr>
          <w:p w14:paraId="04E54D96">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6BDE1894">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14B341B">
            <w:pPr>
              <w:snapToGrid w:val="0"/>
              <w:jc w:val="both"/>
              <w:rPr>
                <w:rFonts w:ascii="宋体" w:hAnsi="宋体" w:cstheme="minorEastAsia"/>
                <w:bCs/>
                <w:sz w:val="16"/>
                <w:szCs w:val="16"/>
              </w:rPr>
            </w:pPr>
          </w:p>
        </w:tc>
      </w:tr>
      <w:tr w14:paraId="63BB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0B7E78C">
            <w:pPr>
              <w:snapToGrid w:val="0"/>
              <w:jc w:val="both"/>
              <w:rPr>
                <w:rFonts w:ascii="宋体" w:hAnsi="宋体" w:cstheme="minorEastAsia"/>
                <w:bCs/>
                <w:sz w:val="16"/>
                <w:szCs w:val="16"/>
              </w:rPr>
            </w:pPr>
            <w:r>
              <w:rPr>
                <w:rFonts w:hint="eastAsia" w:ascii="宋体" w:hAnsi="宋体"/>
                <w:sz w:val="16"/>
                <w:szCs w:val="16"/>
              </w:rPr>
              <w:t>1.1.3</w:t>
            </w:r>
          </w:p>
        </w:tc>
        <w:tc>
          <w:tcPr>
            <w:tcW w:w="1416" w:type="dxa"/>
            <w:gridSpan w:val="2"/>
            <w:tcBorders>
              <w:top w:val="single" w:color="auto" w:sz="4" w:space="0"/>
            </w:tcBorders>
            <w:vAlign w:val="center"/>
          </w:tcPr>
          <w:p w14:paraId="3A3ABC54">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7A57AD84">
            <w:pPr>
              <w:snapToGrid w:val="0"/>
              <w:jc w:val="both"/>
              <w:rPr>
                <w:rFonts w:ascii="宋体" w:hAnsi="宋体"/>
                <w:sz w:val="16"/>
                <w:szCs w:val="16"/>
              </w:rPr>
            </w:pPr>
            <w:r>
              <w:rPr>
                <w:rFonts w:hint="eastAsia" w:ascii="宋体" w:hAnsi="宋体"/>
                <w:sz w:val="16"/>
                <w:szCs w:val="16"/>
              </w:rPr>
              <w:t>管径：DN32；压力：0.4MPa；温度：30℃；通信：无线或RS485 modbus-RTU</w:t>
            </w:r>
          </w:p>
        </w:tc>
        <w:tc>
          <w:tcPr>
            <w:tcW w:w="367" w:type="dxa"/>
            <w:vAlign w:val="center"/>
          </w:tcPr>
          <w:p w14:paraId="6F371EED">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30AA69C7">
            <w:pPr>
              <w:jc w:val="both"/>
              <w:textAlignment w:val="center"/>
              <w:rPr>
                <w:rFonts w:ascii="宋体" w:hAnsi="宋体"/>
                <w:sz w:val="16"/>
                <w:szCs w:val="16"/>
              </w:rPr>
            </w:pPr>
            <w:r>
              <w:rPr>
                <w:rFonts w:hint="eastAsia" w:ascii="宋体" w:hAnsi="宋体"/>
                <w:sz w:val="16"/>
                <w:szCs w:val="16"/>
              </w:rPr>
              <w:t>4</w:t>
            </w:r>
          </w:p>
        </w:tc>
        <w:tc>
          <w:tcPr>
            <w:tcW w:w="501" w:type="dxa"/>
            <w:shd w:val="clear" w:color="auto" w:fill="auto"/>
            <w:vAlign w:val="center"/>
          </w:tcPr>
          <w:p w14:paraId="65F42EFA">
            <w:pPr>
              <w:snapToGrid w:val="0"/>
              <w:jc w:val="both"/>
              <w:rPr>
                <w:rFonts w:ascii="宋体" w:hAnsi="宋体" w:cstheme="minorEastAsia"/>
                <w:bCs/>
                <w:sz w:val="16"/>
                <w:szCs w:val="16"/>
              </w:rPr>
            </w:pPr>
          </w:p>
        </w:tc>
      </w:tr>
      <w:tr w14:paraId="7312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B45B8B0">
            <w:pPr>
              <w:snapToGrid w:val="0"/>
              <w:jc w:val="both"/>
              <w:rPr>
                <w:rFonts w:ascii="宋体" w:hAnsi="宋体" w:cstheme="minorEastAsia"/>
                <w:bCs/>
                <w:sz w:val="16"/>
                <w:szCs w:val="16"/>
              </w:rPr>
            </w:pPr>
            <w:r>
              <w:rPr>
                <w:rFonts w:hint="eastAsia" w:ascii="宋体" w:hAnsi="宋体"/>
                <w:sz w:val="16"/>
                <w:szCs w:val="16"/>
              </w:rPr>
              <w:t>1.1.4</w:t>
            </w:r>
          </w:p>
        </w:tc>
        <w:tc>
          <w:tcPr>
            <w:tcW w:w="1416" w:type="dxa"/>
            <w:gridSpan w:val="2"/>
            <w:tcBorders>
              <w:top w:val="single" w:color="auto" w:sz="4" w:space="0"/>
            </w:tcBorders>
            <w:vAlign w:val="center"/>
          </w:tcPr>
          <w:p w14:paraId="5CCAEE42">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70234E43">
            <w:pPr>
              <w:snapToGrid w:val="0"/>
              <w:jc w:val="both"/>
              <w:rPr>
                <w:rFonts w:ascii="宋体" w:hAnsi="宋体"/>
                <w:sz w:val="16"/>
                <w:szCs w:val="16"/>
              </w:rPr>
            </w:pPr>
            <w:r>
              <w:rPr>
                <w:rFonts w:hint="eastAsia" w:ascii="宋体" w:hAnsi="宋体"/>
                <w:sz w:val="16"/>
                <w:szCs w:val="16"/>
              </w:rPr>
              <w:t>管径：DN40；压力：0.4MPa；温度：30℃；通信：无线或RS485 modbus-RTU</w:t>
            </w:r>
          </w:p>
        </w:tc>
        <w:tc>
          <w:tcPr>
            <w:tcW w:w="367" w:type="dxa"/>
            <w:vAlign w:val="center"/>
          </w:tcPr>
          <w:p w14:paraId="639A1679">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295CFBA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2F81A36">
            <w:pPr>
              <w:snapToGrid w:val="0"/>
              <w:jc w:val="both"/>
              <w:rPr>
                <w:rFonts w:ascii="宋体" w:hAnsi="宋体" w:cstheme="minorEastAsia"/>
                <w:bCs/>
                <w:sz w:val="16"/>
                <w:szCs w:val="16"/>
              </w:rPr>
            </w:pPr>
          </w:p>
        </w:tc>
      </w:tr>
      <w:tr w14:paraId="32A9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3789170">
            <w:pPr>
              <w:snapToGrid w:val="0"/>
              <w:jc w:val="both"/>
              <w:rPr>
                <w:rFonts w:ascii="宋体" w:hAnsi="宋体" w:cstheme="minorEastAsia"/>
                <w:bCs/>
                <w:sz w:val="16"/>
                <w:szCs w:val="16"/>
              </w:rPr>
            </w:pPr>
            <w:r>
              <w:rPr>
                <w:rFonts w:hint="eastAsia" w:ascii="宋体" w:hAnsi="宋体"/>
                <w:sz w:val="16"/>
                <w:szCs w:val="16"/>
              </w:rPr>
              <w:t>1.1.5</w:t>
            </w:r>
          </w:p>
        </w:tc>
        <w:tc>
          <w:tcPr>
            <w:tcW w:w="1416" w:type="dxa"/>
            <w:gridSpan w:val="2"/>
            <w:tcBorders>
              <w:top w:val="single" w:color="auto" w:sz="4" w:space="0"/>
            </w:tcBorders>
            <w:vAlign w:val="center"/>
          </w:tcPr>
          <w:p w14:paraId="637030F4">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6212F47A">
            <w:pPr>
              <w:snapToGrid w:val="0"/>
              <w:jc w:val="both"/>
              <w:rPr>
                <w:rFonts w:ascii="宋体" w:hAnsi="宋体"/>
                <w:sz w:val="16"/>
                <w:szCs w:val="16"/>
              </w:rPr>
            </w:pPr>
            <w:r>
              <w:rPr>
                <w:rFonts w:hint="eastAsia" w:ascii="宋体" w:hAnsi="宋体"/>
                <w:sz w:val="16"/>
                <w:szCs w:val="16"/>
              </w:rPr>
              <w:t>管径：DN50；压力：0.4MPa；温度：30℃；通信：无线或RS485 modbus-RTU</w:t>
            </w:r>
          </w:p>
        </w:tc>
        <w:tc>
          <w:tcPr>
            <w:tcW w:w="367" w:type="dxa"/>
            <w:vAlign w:val="center"/>
          </w:tcPr>
          <w:p w14:paraId="58841728">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E793D69">
            <w:pPr>
              <w:jc w:val="both"/>
              <w:textAlignment w:val="center"/>
              <w:rPr>
                <w:rFonts w:ascii="宋体" w:hAnsi="宋体"/>
                <w:sz w:val="16"/>
                <w:szCs w:val="16"/>
              </w:rPr>
            </w:pPr>
            <w:r>
              <w:rPr>
                <w:rFonts w:hint="eastAsia" w:ascii="宋体" w:hAnsi="宋体"/>
                <w:sz w:val="16"/>
                <w:szCs w:val="16"/>
              </w:rPr>
              <w:t>7</w:t>
            </w:r>
          </w:p>
        </w:tc>
        <w:tc>
          <w:tcPr>
            <w:tcW w:w="501" w:type="dxa"/>
            <w:shd w:val="clear" w:color="auto" w:fill="auto"/>
            <w:vAlign w:val="center"/>
          </w:tcPr>
          <w:p w14:paraId="00861394">
            <w:pPr>
              <w:snapToGrid w:val="0"/>
              <w:jc w:val="both"/>
              <w:rPr>
                <w:rFonts w:ascii="宋体" w:hAnsi="宋体" w:cstheme="minorEastAsia"/>
                <w:bCs/>
                <w:sz w:val="16"/>
                <w:szCs w:val="16"/>
              </w:rPr>
            </w:pPr>
          </w:p>
        </w:tc>
      </w:tr>
      <w:tr w14:paraId="0E27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3EA216D">
            <w:pPr>
              <w:snapToGrid w:val="0"/>
              <w:jc w:val="both"/>
              <w:rPr>
                <w:rFonts w:ascii="宋体" w:hAnsi="宋体" w:cstheme="minorEastAsia"/>
                <w:bCs/>
                <w:sz w:val="16"/>
                <w:szCs w:val="16"/>
              </w:rPr>
            </w:pPr>
            <w:r>
              <w:rPr>
                <w:rFonts w:hint="eastAsia" w:ascii="宋体" w:hAnsi="宋体"/>
                <w:sz w:val="16"/>
                <w:szCs w:val="16"/>
              </w:rPr>
              <w:t>1.1.6</w:t>
            </w:r>
          </w:p>
        </w:tc>
        <w:tc>
          <w:tcPr>
            <w:tcW w:w="1416" w:type="dxa"/>
            <w:gridSpan w:val="2"/>
            <w:tcBorders>
              <w:top w:val="single" w:color="auto" w:sz="4" w:space="0"/>
            </w:tcBorders>
            <w:vAlign w:val="center"/>
          </w:tcPr>
          <w:p w14:paraId="38111BC4">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03630323">
            <w:pPr>
              <w:snapToGrid w:val="0"/>
              <w:jc w:val="both"/>
              <w:rPr>
                <w:rFonts w:ascii="宋体" w:hAnsi="宋体"/>
                <w:sz w:val="16"/>
                <w:szCs w:val="16"/>
              </w:rPr>
            </w:pPr>
            <w:r>
              <w:rPr>
                <w:rFonts w:hint="eastAsia" w:ascii="宋体" w:hAnsi="宋体"/>
                <w:sz w:val="16"/>
                <w:szCs w:val="16"/>
              </w:rPr>
              <w:t>管径：DN50；压力：1MPa；温度：30℃；通信：无线或RS485 modbus-RTU</w:t>
            </w:r>
          </w:p>
        </w:tc>
        <w:tc>
          <w:tcPr>
            <w:tcW w:w="367" w:type="dxa"/>
            <w:vAlign w:val="center"/>
          </w:tcPr>
          <w:p w14:paraId="577D09E8">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72F1F121">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6B53EFE6">
            <w:pPr>
              <w:snapToGrid w:val="0"/>
              <w:jc w:val="both"/>
              <w:rPr>
                <w:rFonts w:ascii="宋体" w:hAnsi="宋体" w:cstheme="minorEastAsia"/>
                <w:bCs/>
                <w:sz w:val="16"/>
                <w:szCs w:val="16"/>
              </w:rPr>
            </w:pPr>
          </w:p>
        </w:tc>
      </w:tr>
      <w:tr w14:paraId="6BD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FDF9AAE">
            <w:pPr>
              <w:snapToGrid w:val="0"/>
              <w:jc w:val="both"/>
              <w:rPr>
                <w:rFonts w:ascii="宋体" w:hAnsi="宋体" w:cstheme="minorEastAsia"/>
                <w:bCs/>
                <w:sz w:val="16"/>
                <w:szCs w:val="16"/>
              </w:rPr>
            </w:pPr>
            <w:r>
              <w:rPr>
                <w:rFonts w:hint="eastAsia" w:ascii="宋体" w:hAnsi="宋体"/>
                <w:sz w:val="16"/>
                <w:szCs w:val="16"/>
              </w:rPr>
              <w:t>1.1.7</w:t>
            </w:r>
          </w:p>
        </w:tc>
        <w:tc>
          <w:tcPr>
            <w:tcW w:w="1416" w:type="dxa"/>
            <w:gridSpan w:val="2"/>
            <w:tcBorders>
              <w:top w:val="single" w:color="auto" w:sz="4" w:space="0"/>
            </w:tcBorders>
            <w:vAlign w:val="center"/>
          </w:tcPr>
          <w:p w14:paraId="103DB338">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2A11330D">
            <w:pPr>
              <w:snapToGrid w:val="0"/>
              <w:jc w:val="both"/>
              <w:rPr>
                <w:rFonts w:ascii="宋体" w:hAnsi="宋体"/>
                <w:sz w:val="16"/>
                <w:szCs w:val="16"/>
              </w:rPr>
            </w:pPr>
            <w:r>
              <w:rPr>
                <w:rFonts w:hint="eastAsia" w:ascii="宋体" w:hAnsi="宋体"/>
                <w:sz w:val="16"/>
                <w:szCs w:val="16"/>
              </w:rPr>
              <w:t>管径：DN50；压力：1MPa；温度：130℃；通信：无线或RS485 modbus-RTU</w:t>
            </w:r>
          </w:p>
        </w:tc>
        <w:tc>
          <w:tcPr>
            <w:tcW w:w="367" w:type="dxa"/>
            <w:vAlign w:val="center"/>
          </w:tcPr>
          <w:p w14:paraId="4C9AFBA4">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70B4B00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623379BA">
            <w:pPr>
              <w:snapToGrid w:val="0"/>
              <w:jc w:val="both"/>
              <w:rPr>
                <w:rFonts w:ascii="宋体" w:hAnsi="宋体" w:cstheme="minorEastAsia"/>
                <w:bCs/>
                <w:sz w:val="16"/>
                <w:szCs w:val="16"/>
              </w:rPr>
            </w:pPr>
          </w:p>
        </w:tc>
      </w:tr>
      <w:tr w14:paraId="436D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B63C708">
            <w:pPr>
              <w:snapToGrid w:val="0"/>
              <w:jc w:val="both"/>
              <w:rPr>
                <w:rFonts w:ascii="宋体" w:hAnsi="宋体" w:cstheme="minorEastAsia"/>
                <w:bCs/>
                <w:sz w:val="16"/>
                <w:szCs w:val="16"/>
              </w:rPr>
            </w:pPr>
            <w:r>
              <w:rPr>
                <w:rFonts w:hint="eastAsia" w:ascii="宋体" w:hAnsi="宋体"/>
                <w:sz w:val="16"/>
                <w:szCs w:val="16"/>
              </w:rPr>
              <w:t>1.1.8</w:t>
            </w:r>
          </w:p>
        </w:tc>
        <w:tc>
          <w:tcPr>
            <w:tcW w:w="1416" w:type="dxa"/>
            <w:gridSpan w:val="2"/>
            <w:tcBorders>
              <w:top w:val="single" w:color="auto" w:sz="4" w:space="0"/>
            </w:tcBorders>
            <w:vAlign w:val="center"/>
          </w:tcPr>
          <w:p w14:paraId="6DD76AED">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7C2DEB06">
            <w:pPr>
              <w:snapToGrid w:val="0"/>
              <w:jc w:val="both"/>
              <w:rPr>
                <w:rFonts w:ascii="宋体" w:hAnsi="宋体"/>
                <w:sz w:val="16"/>
                <w:szCs w:val="16"/>
              </w:rPr>
            </w:pPr>
            <w:r>
              <w:rPr>
                <w:rFonts w:hint="eastAsia" w:ascii="宋体" w:hAnsi="宋体"/>
                <w:sz w:val="16"/>
                <w:szCs w:val="16"/>
              </w:rPr>
              <w:t>管径：DN65；压力：0.4MPa；温度：30℃；通信：无线或RS485 modbus-RTU</w:t>
            </w:r>
          </w:p>
        </w:tc>
        <w:tc>
          <w:tcPr>
            <w:tcW w:w="367" w:type="dxa"/>
            <w:vAlign w:val="center"/>
          </w:tcPr>
          <w:p w14:paraId="3370EE57">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0E745BEC">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2F49F5F2">
            <w:pPr>
              <w:snapToGrid w:val="0"/>
              <w:jc w:val="both"/>
              <w:rPr>
                <w:rFonts w:ascii="宋体" w:hAnsi="宋体" w:cstheme="minorEastAsia"/>
                <w:bCs/>
                <w:sz w:val="16"/>
                <w:szCs w:val="16"/>
              </w:rPr>
            </w:pPr>
          </w:p>
        </w:tc>
      </w:tr>
      <w:tr w14:paraId="6F58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BC3407A">
            <w:pPr>
              <w:snapToGrid w:val="0"/>
              <w:jc w:val="both"/>
              <w:rPr>
                <w:rFonts w:ascii="宋体" w:hAnsi="宋体" w:cstheme="minorEastAsia"/>
                <w:bCs/>
                <w:sz w:val="16"/>
                <w:szCs w:val="16"/>
              </w:rPr>
            </w:pPr>
            <w:r>
              <w:rPr>
                <w:rFonts w:hint="eastAsia" w:ascii="宋体" w:hAnsi="宋体"/>
                <w:sz w:val="16"/>
                <w:szCs w:val="16"/>
              </w:rPr>
              <w:t>1.1.9</w:t>
            </w:r>
          </w:p>
        </w:tc>
        <w:tc>
          <w:tcPr>
            <w:tcW w:w="1416" w:type="dxa"/>
            <w:gridSpan w:val="2"/>
            <w:tcBorders>
              <w:top w:val="single" w:color="auto" w:sz="4" w:space="0"/>
            </w:tcBorders>
            <w:vAlign w:val="center"/>
          </w:tcPr>
          <w:p w14:paraId="1C8D7485">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79BBD0E1">
            <w:pPr>
              <w:snapToGrid w:val="0"/>
              <w:jc w:val="both"/>
              <w:rPr>
                <w:rFonts w:ascii="宋体" w:hAnsi="宋体"/>
                <w:sz w:val="16"/>
                <w:szCs w:val="16"/>
              </w:rPr>
            </w:pPr>
            <w:r>
              <w:rPr>
                <w:rFonts w:hint="eastAsia" w:ascii="宋体" w:hAnsi="宋体"/>
                <w:sz w:val="16"/>
                <w:szCs w:val="16"/>
              </w:rPr>
              <w:t>管径：DN65；压力：1MPa；温度：130℃；通信：无线或RS485 modbus-RTU</w:t>
            </w:r>
          </w:p>
        </w:tc>
        <w:tc>
          <w:tcPr>
            <w:tcW w:w="367" w:type="dxa"/>
            <w:vAlign w:val="center"/>
          </w:tcPr>
          <w:p w14:paraId="679ECCD2">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224747F">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8690100">
            <w:pPr>
              <w:snapToGrid w:val="0"/>
              <w:jc w:val="both"/>
              <w:rPr>
                <w:rFonts w:ascii="宋体" w:hAnsi="宋体" w:cstheme="minorEastAsia"/>
                <w:bCs/>
                <w:sz w:val="16"/>
                <w:szCs w:val="16"/>
              </w:rPr>
            </w:pPr>
          </w:p>
        </w:tc>
      </w:tr>
      <w:tr w14:paraId="5053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BE566AC">
            <w:pPr>
              <w:snapToGrid w:val="0"/>
              <w:jc w:val="both"/>
              <w:rPr>
                <w:rFonts w:ascii="宋体" w:hAnsi="宋体" w:cstheme="minorEastAsia"/>
                <w:bCs/>
                <w:sz w:val="16"/>
                <w:szCs w:val="16"/>
              </w:rPr>
            </w:pPr>
            <w:r>
              <w:rPr>
                <w:rFonts w:hint="eastAsia" w:ascii="宋体" w:hAnsi="宋体"/>
                <w:sz w:val="16"/>
                <w:szCs w:val="16"/>
              </w:rPr>
              <w:t>1.1.10</w:t>
            </w:r>
          </w:p>
        </w:tc>
        <w:tc>
          <w:tcPr>
            <w:tcW w:w="1416" w:type="dxa"/>
            <w:gridSpan w:val="2"/>
            <w:tcBorders>
              <w:top w:val="single" w:color="auto" w:sz="4" w:space="0"/>
            </w:tcBorders>
            <w:vAlign w:val="center"/>
          </w:tcPr>
          <w:p w14:paraId="1AA0AF86">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217A75C2">
            <w:pPr>
              <w:snapToGrid w:val="0"/>
              <w:jc w:val="both"/>
              <w:rPr>
                <w:rFonts w:ascii="宋体" w:hAnsi="宋体"/>
                <w:sz w:val="16"/>
                <w:szCs w:val="16"/>
              </w:rPr>
            </w:pPr>
            <w:r>
              <w:rPr>
                <w:rFonts w:hint="eastAsia" w:ascii="宋体" w:hAnsi="宋体"/>
                <w:sz w:val="16"/>
                <w:szCs w:val="16"/>
              </w:rPr>
              <w:t>管径：DN63*en5.8；压力：0.4MPa；温度：30℃；通信：无线或RS485 modbus-RTU</w:t>
            </w:r>
          </w:p>
        </w:tc>
        <w:tc>
          <w:tcPr>
            <w:tcW w:w="367" w:type="dxa"/>
            <w:vAlign w:val="center"/>
          </w:tcPr>
          <w:p w14:paraId="19F07A5A">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399280D3">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7812421">
            <w:pPr>
              <w:snapToGrid w:val="0"/>
              <w:jc w:val="both"/>
              <w:rPr>
                <w:rFonts w:ascii="宋体" w:hAnsi="宋体" w:cstheme="minorEastAsia"/>
                <w:bCs/>
                <w:sz w:val="16"/>
                <w:szCs w:val="16"/>
              </w:rPr>
            </w:pPr>
          </w:p>
        </w:tc>
      </w:tr>
      <w:tr w14:paraId="7212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AD8CF8B">
            <w:pPr>
              <w:snapToGrid w:val="0"/>
              <w:jc w:val="both"/>
              <w:rPr>
                <w:rFonts w:ascii="宋体" w:hAnsi="宋体" w:cstheme="minorEastAsia"/>
                <w:bCs/>
                <w:sz w:val="16"/>
                <w:szCs w:val="16"/>
              </w:rPr>
            </w:pPr>
            <w:r>
              <w:rPr>
                <w:rFonts w:hint="eastAsia" w:ascii="宋体" w:hAnsi="宋体"/>
                <w:sz w:val="16"/>
                <w:szCs w:val="16"/>
              </w:rPr>
              <w:t>1.1.11</w:t>
            </w:r>
          </w:p>
        </w:tc>
        <w:tc>
          <w:tcPr>
            <w:tcW w:w="1416" w:type="dxa"/>
            <w:gridSpan w:val="2"/>
            <w:tcBorders>
              <w:top w:val="single" w:color="auto" w:sz="4" w:space="0"/>
            </w:tcBorders>
            <w:vAlign w:val="center"/>
          </w:tcPr>
          <w:p w14:paraId="2A9EE6CE">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2D09487A">
            <w:pPr>
              <w:snapToGrid w:val="0"/>
              <w:jc w:val="both"/>
              <w:rPr>
                <w:rFonts w:ascii="宋体" w:hAnsi="宋体"/>
                <w:sz w:val="16"/>
                <w:szCs w:val="16"/>
              </w:rPr>
            </w:pPr>
            <w:r>
              <w:rPr>
                <w:rFonts w:hint="eastAsia" w:ascii="宋体" w:hAnsi="宋体"/>
                <w:sz w:val="16"/>
                <w:szCs w:val="16"/>
              </w:rPr>
              <w:t>管径：DN80；压力：0.4MPa；温度：30℃；通信：无线或RS485 modbus-RTU</w:t>
            </w:r>
          </w:p>
        </w:tc>
        <w:tc>
          <w:tcPr>
            <w:tcW w:w="367" w:type="dxa"/>
            <w:vAlign w:val="center"/>
          </w:tcPr>
          <w:p w14:paraId="238ACDCB">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1F05B4E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A66BAA3">
            <w:pPr>
              <w:snapToGrid w:val="0"/>
              <w:jc w:val="both"/>
              <w:rPr>
                <w:rFonts w:ascii="宋体" w:hAnsi="宋体" w:cstheme="minorEastAsia"/>
                <w:bCs/>
                <w:sz w:val="16"/>
                <w:szCs w:val="16"/>
              </w:rPr>
            </w:pPr>
          </w:p>
        </w:tc>
      </w:tr>
      <w:tr w14:paraId="691B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2FC1ADC">
            <w:pPr>
              <w:snapToGrid w:val="0"/>
              <w:jc w:val="both"/>
              <w:rPr>
                <w:rFonts w:ascii="宋体" w:hAnsi="宋体" w:cstheme="minorEastAsia"/>
                <w:bCs/>
                <w:sz w:val="16"/>
                <w:szCs w:val="16"/>
              </w:rPr>
            </w:pPr>
            <w:r>
              <w:rPr>
                <w:rFonts w:hint="eastAsia" w:ascii="宋体" w:hAnsi="宋体"/>
                <w:sz w:val="16"/>
                <w:szCs w:val="16"/>
              </w:rPr>
              <w:t>1.1.12</w:t>
            </w:r>
          </w:p>
        </w:tc>
        <w:tc>
          <w:tcPr>
            <w:tcW w:w="1416" w:type="dxa"/>
            <w:gridSpan w:val="2"/>
            <w:tcBorders>
              <w:top w:val="single" w:color="auto" w:sz="4" w:space="0"/>
            </w:tcBorders>
            <w:vAlign w:val="center"/>
          </w:tcPr>
          <w:p w14:paraId="2C9F46E9">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75701C14">
            <w:pPr>
              <w:snapToGrid w:val="0"/>
              <w:jc w:val="both"/>
              <w:rPr>
                <w:rFonts w:ascii="宋体" w:hAnsi="宋体"/>
                <w:sz w:val="16"/>
                <w:szCs w:val="16"/>
              </w:rPr>
            </w:pPr>
            <w:r>
              <w:rPr>
                <w:rFonts w:hint="eastAsia" w:ascii="宋体" w:hAnsi="宋体"/>
                <w:sz w:val="16"/>
                <w:szCs w:val="16"/>
              </w:rPr>
              <w:t>管径：DN80；压力：1MPa；温度：130℃；通信：无线或RS485 modbus-RTU</w:t>
            </w:r>
          </w:p>
        </w:tc>
        <w:tc>
          <w:tcPr>
            <w:tcW w:w="367" w:type="dxa"/>
            <w:vAlign w:val="center"/>
          </w:tcPr>
          <w:p w14:paraId="0328487F">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3B71ECFB">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6FFD726E">
            <w:pPr>
              <w:snapToGrid w:val="0"/>
              <w:jc w:val="both"/>
              <w:rPr>
                <w:rFonts w:ascii="宋体" w:hAnsi="宋体" w:cstheme="minorEastAsia"/>
                <w:bCs/>
                <w:sz w:val="16"/>
                <w:szCs w:val="16"/>
              </w:rPr>
            </w:pPr>
          </w:p>
        </w:tc>
      </w:tr>
      <w:tr w14:paraId="1F67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B76EC50">
            <w:pPr>
              <w:snapToGrid w:val="0"/>
              <w:jc w:val="both"/>
              <w:rPr>
                <w:rFonts w:ascii="宋体" w:hAnsi="宋体" w:cstheme="minorEastAsia"/>
                <w:bCs/>
                <w:sz w:val="16"/>
                <w:szCs w:val="16"/>
              </w:rPr>
            </w:pPr>
            <w:r>
              <w:rPr>
                <w:rFonts w:hint="eastAsia" w:ascii="宋体" w:hAnsi="宋体"/>
                <w:sz w:val="16"/>
                <w:szCs w:val="16"/>
              </w:rPr>
              <w:t>1.1.13</w:t>
            </w:r>
          </w:p>
        </w:tc>
        <w:tc>
          <w:tcPr>
            <w:tcW w:w="1416" w:type="dxa"/>
            <w:gridSpan w:val="2"/>
            <w:tcBorders>
              <w:top w:val="single" w:color="auto" w:sz="4" w:space="0"/>
            </w:tcBorders>
            <w:vAlign w:val="center"/>
          </w:tcPr>
          <w:p w14:paraId="4C54B7B1">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6917DA3D">
            <w:pPr>
              <w:snapToGrid w:val="0"/>
              <w:jc w:val="both"/>
              <w:rPr>
                <w:rFonts w:ascii="宋体" w:hAnsi="宋体"/>
                <w:sz w:val="16"/>
                <w:szCs w:val="16"/>
              </w:rPr>
            </w:pPr>
            <w:r>
              <w:rPr>
                <w:rFonts w:hint="eastAsia" w:ascii="宋体" w:hAnsi="宋体"/>
                <w:sz w:val="16"/>
                <w:szCs w:val="16"/>
              </w:rPr>
              <w:t>管径：DN80；压力：1MPa；温度：90℃；通信：无线或RS485 modbus-RTU</w:t>
            </w:r>
          </w:p>
        </w:tc>
        <w:tc>
          <w:tcPr>
            <w:tcW w:w="367" w:type="dxa"/>
            <w:vAlign w:val="center"/>
          </w:tcPr>
          <w:p w14:paraId="0CEF9AAA">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F0D2274">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44201F8D">
            <w:pPr>
              <w:snapToGrid w:val="0"/>
              <w:jc w:val="both"/>
              <w:rPr>
                <w:rFonts w:ascii="宋体" w:hAnsi="宋体" w:cstheme="minorEastAsia"/>
                <w:bCs/>
                <w:sz w:val="16"/>
                <w:szCs w:val="16"/>
              </w:rPr>
            </w:pPr>
          </w:p>
        </w:tc>
      </w:tr>
      <w:tr w14:paraId="3203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697" w:type="dxa"/>
            <w:vAlign w:val="center"/>
          </w:tcPr>
          <w:p w14:paraId="54241BBF">
            <w:pPr>
              <w:snapToGrid w:val="0"/>
              <w:jc w:val="both"/>
              <w:rPr>
                <w:rFonts w:ascii="宋体" w:hAnsi="宋体" w:cstheme="minorEastAsia"/>
                <w:bCs/>
                <w:sz w:val="16"/>
                <w:szCs w:val="16"/>
              </w:rPr>
            </w:pPr>
            <w:r>
              <w:rPr>
                <w:rFonts w:hint="eastAsia" w:ascii="宋体" w:hAnsi="宋体"/>
                <w:sz w:val="16"/>
                <w:szCs w:val="16"/>
              </w:rPr>
              <w:t>1.1.14</w:t>
            </w:r>
          </w:p>
        </w:tc>
        <w:tc>
          <w:tcPr>
            <w:tcW w:w="1416" w:type="dxa"/>
            <w:gridSpan w:val="2"/>
            <w:tcBorders>
              <w:top w:val="single" w:color="auto" w:sz="4" w:space="0"/>
            </w:tcBorders>
            <w:vAlign w:val="center"/>
          </w:tcPr>
          <w:p w14:paraId="08494D06">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7F1CA276">
            <w:pPr>
              <w:snapToGrid w:val="0"/>
              <w:jc w:val="both"/>
              <w:rPr>
                <w:rFonts w:ascii="宋体" w:hAnsi="宋体"/>
                <w:sz w:val="16"/>
                <w:szCs w:val="16"/>
              </w:rPr>
            </w:pPr>
            <w:r>
              <w:rPr>
                <w:rFonts w:hint="eastAsia" w:ascii="宋体" w:hAnsi="宋体"/>
                <w:sz w:val="16"/>
                <w:szCs w:val="16"/>
              </w:rPr>
              <w:t>管径：DN100；压力：0.4MPa；温度：30℃；通信：无线或RS485 modbus-RTU</w:t>
            </w:r>
          </w:p>
        </w:tc>
        <w:tc>
          <w:tcPr>
            <w:tcW w:w="367" w:type="dxa"/>
            <w:vAlign w:val="center"/>
          </w:tcPr>
          <w:p w14:paraId="33818E9B">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0C489000">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4296E604">
            <w:pPr>
              <w:snapToGrid w:val="0"/>
              <w:jc w:val="both"/>
              <w:rPr>
                <w:rFonts w:ascii="宋体" w:hAnsi="宋体" w:cstheme="minorEastAsia"/>
                <w:bCs/>
                <w:sz w:val="16"/>
                <w:szCs w:val="16"/>
              </w:rPr>
            </w:pPr>
          </w:p>
        </w:tc>
      </w:tr>
      <w:tr w14:paraId="66BA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9E4F9F1">
            <w:pPr>
              <w:snapToGrid w:val="0"/>
              <w:jc w:val="both"/>
              <w:rPr>
                <w:rFonts w:ascii="宋体" w:hAnsi="宋体" w:cstheme="minorEastAsia"/>
                <w:bCs/>
                <w:sz w:val="16"/>
                <w:szCs w:val="16"/>
              </w:rPr>
            </w:pPr>
            <w:r>
              <w:rPr>
                <w:rFonts w:hint="eastAsia" w:ascii="宋体" w:hAnsi="宋体"/>
                <w:sz w:val="16"/>
                <w:szCs w:val="16"/>
              </w:rPr>
              <w:t>1.1.15</w:t>
            </w:r>
          </w:p>
        </w:tc>
        <w:tc>
          <w:tcPr>
            <w:tcW w:w="1416" w:type="dxa"/>
            <w:gridSpan w:val="2"/>
            <w:tcBorders>
              <w:top w:val="single" w:color="auto" w:sz="4" w:space="0"/>
            </w:tcBorders>
            <w:vAlign w:val="center"/>
          </w:tcPr>
          <w:p w14:paraId="20556E91">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087F6641">
            <w:pPr>
              <w:snapToGrid w:val="0"/>
              <w:jc w:val="both"/>
              <w:rPr>
                <w:rFonts w:ascii="宋体" w:hAnsi="宋体"/>
                <w:sz w:val="16"/>
                <w:szCs w:val="16"/>
              </w:rPr>
            </w:pPr>
            <w:r>
              <w:rPr>
                <w:rFonts w:hint="eastAsia" w:ascii="宋体" w:hAnsi="宋体"/>
                <w:sz w:val="16"/>
                <w:szCs w:val="16"/>
              </w:rPr>
              <w:t>管径：DN125；压力：1MPa；温度：130℃；通信：无线或RS485 modbus-RTU</w:t>
            </w:r>
          </w:p>
        </w:tc>
        <w:tc>
          <w:tcPr>
            <w:tcW w:w="367" w:type="dxa"/>
            <w:vAlign w:val="center"/>
          </w:tcPr>
          <w:p w14:paraId="4B9851DF">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2D89A27E">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DC0C107">
            <w:pPr>
              <w:snapToGrid w:val="0"/>
              <w:jc w:val="both"/>
              <w:rPr>
                <w:rFonts w:ascii="宋体" w:hAnsi="宋体" w:cstheme="minorEastAsia"/>
                <w:bCs/>
                <w:sz w:val="16"/>
                <w:szCs w:val="16"/>
              </w:rPr>
            </w:pPr>
          </w:p>
        </w:tc>
      </w:tr>
      <w:tr w14:paraId="13DE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D7066B1">
            <w:pPr>
              <w:snapToGrid w:val="0"/>
              <w:jc w:val="both"/>
              <w:rPr>
                <w:rFonts w:ascii="宋体" w:hAnsi="宋体" w:cstheme="minorEastAsia"/>
                <w:bCs/>
                <w:sz w:val="16"/>
                <w:szCs w:val="16"/>
              </w:rPr>
            </w:pPr>
            <w:r>
              <w:rPr>
                <w:rFonts w:hint="eastAsia" w:ascii="宋体" w:hAnsi="宋体"/>
                <w:sz w:val="16"/>
                <w:szCs w:val="16"/>
              </w:rPr>
              <w:t>1.1.16</w:t>
            </w:r>
          </w:p>
        </w:tc>
        <w:tc>
          <w:tcPr>
            <w:tcW w:w="1416" w:type="dxa"/>
            <w:gridSpan w:val="2"/>
            <w:tcBorders>
              <w:top w:val="single" w:color="auto" w:sz="4" w:space="0"/>
            </w:tcBorders>
            <w:vAlign w:val="center"/>
          </w:tcPr>
          <w:p w14:paraId="2C2044B5">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6CF89444">
            <w:pPr>
              <w:snapToGrid w:val="0"/>
              <w:jc w:val="both"/>
              <w:rPr>
                <w:rFonts w:ascii="宋体" w:hAnsi="宋体"/>
                <w:sz w:val="16"/>
                <w:szCs w:val="16"/>
              </w:rPr>
            </w:pPr>
            <w:r>
              <w:rPr>
                <w:rFonts w:hint="eastAsia" w:ascii="宋体" w:hAnsi="宋体"/>
                <w:sz w:val="16"/>
                <w:szCs w:val="16"/>
              </w:rPr>
              <w:t>管径：DN150；压力：0.4MPa；温度：30℃；通信：无线或RS485 modbus-RTU</w:t>
            </w:r>
          </w:p>
        </w:tc>
        <w:tc>
          <w:tcPr>
            <w:tcW w:w="367" w:type="dxa"/>
            <w:vAlign w:val="center"/>
          </w:tcPr>
          <w:p w14:paraId="23D5D513">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D5BF458">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31F15F35">
            <w:pPr>
              <w:snapToGrid w:val="0"/>
              <w:jc w:val="both"/>
              <w:rPr>
                <w:rFonts w:ascii="宋体" w:hAnsi="宋体" w:cstheme="minorEastAsia"/>
                <w:bCs/>
                <w:sz w:val="16"/>
                <w:szCs w:val="16"/>
              </w:rPr>
            </w:pPr>
          </w:p>
        </w:tc>
      </w:tr>
      <w:tr w14:paraId="3F6C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09AD515">
            <w:pPr>
              <w:snapToGrid w:val="0"/>
              <w:jc w:val="both"/>
              <w:rPr>
                <w:rFonts w:ascii="宋体" w:hAnsi="宋体" w:cstheme="minorEastAsia"/>
                <w:bCs/>
                <w:sz w:val="16"/>
                <w:szCs w:val="16"/>
              </w:rPr>
            </w:pPr>
            <w:r>
              <w:rPr>
                <w:rFonts w:hint="eastAsia" w:ascii="宋体" w:hAnsi="宋体"/>
                <w:sz w:val="16"/>
                <w:szCs w:val="16"/>
              </w:rPr>
              <w:t>1.1.17</w:t>
            </w:r>
          </w:p>
        </w:tc>
        <w:tc>
          <w:tcPr>
            <w:tcW w:w="1416" w:type="dxa"/>
            <w:gridSpan w:val="2"/>
            <w:tcBorders>
              <w:top w:val="single" w:color="auto" w:sz="4" w:space="0"/>
            </w:tcBorders>
            <w:vAlign w:val="center"/>
          </w:tcPr>
          <w:p w14:paraId="5EED6736">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549D61A0">
            <w:pPr>
              <w:snapToGrid w:val="0"/>
              <w:jc w:val="both"/>
              <w:rPr>
                <w:rFonts w:ascii="宋体" w:hAnsi="宋体"/>
                <w:sz w:val="16"/>
                <w:szCs w:val="16"/>
              </w:rPr>
            </w:pPr>
            <w:r>
              <w:rPr>
                <w:rFonts w:hint="eastAsia" w:ascii="宋体" w:hAnsi="宋体"/>
                <w:sz w:val="16"/>
                <w:szCs w:val="16"/>
              </w:rPr>
              <w:t>管径：DN200；压力：0.4MPa；温度：30℃；通信：无线或RS485 modbus-RTU</w:t>
            </w:r>
          </w:p>
        </w:tc>
        <w:tc>
          <w:tcPr>
            <w:tcW w:w="367" w:type="dxa"/>
            <w:vAlign w:val="center"/>
          </w:tcPr>
          <w:p w14:paraId="0F79E9C2">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30961BD">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FAA9D96">
            <w:pPr>
              <w:snapToGrid w:val="0"/>
              <w:jc w:val="both"/>
              <w:rPr>
                <w:rFonts w:ascii="宋体" w:hAnsi="宋体" w:cstheme="minorEastAsia"/>
                <w:bCs/>
                <w:sz w:val="16"/>
                <w:szCs w:val="16"/>
              </w:rPr>
            </w:pPr>
          </w:p>
        </w:tc>
      </w:tr>
      <w:tr w14:paraId="7185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911F0E6">
            <w:pPr>
              <w:snapToGrid w:val="0"/>
              <w:jc w:val="both"/>
              <w:rPr>
                <w:rFonts w:ascii="宋体" w:hAnsi="宋体" w:cstheme="minorEastAsia"/>
                <w:bCs/>
                <w:sz w:val="16"/>
                <w:szCs w:val="16"/>
              </w:rPr>
            </w:pPr>
            <w:r>
              <w:rPr>
                <w:rFonts w:hint="eastAsia" w:ascii="宋体" w:hAnsi="宋体"/>
                <w:sz w:val="16"/>
                <w:szCs w:val="16"/>
              </w:rPr>
              <w:t>1.1.18</w:t>
            </w:r>
          </w:p>
        </w:tc>
        <w:tc>
          <w:tcPr>
            <w:tcW w:w="1416" w:type="dxa"/>
            <w:gridSpan w:val="2"/>
            <w:tcBorders>
              <w:top w:val="single" w:color="auto" w:sz="4" w:space="0"/>
            </w:tcBorders>
            <w:vAlign w:val="center"/>
          </w:tcPr>
          <w:p w14:paraId="0053830C">
            <w:pPr>
              <w:snapToGrid w:val="0"/>
              <w:jc w:val="both"/>
              <w:rPr>
                <w:rFonts w:ascii="宋体" w:hAnsi="宋体"/>
                <w:sz w:val="16"/>
                <w:szCs w:val="16"/>
              </w:rPr>
            </w:pPr>
            <w:r>
              <w:rPr>
                <w:rFonts w:hint="eastAsia" w:ascii="宋体" w:hAnsi="宋体"/>
                <w:sz w:val="16"/>
                <w:szCs w:val="16"/>
              </w:rPr>
              <w:t>水表</w:t>
            </w:r>
          </w:p>
        </w:tc>
        <w:tc>
          <w:tcPr>
            <w:tcW w:w="5253" w:type="dxa"/>
            <w:vAlign w:val="center"/>
          </w:tcPr>
          <w:p w14:paraId="1ED70E85">
            <w:pPr>
              <w:snapToGrid w:val="0"/>
              <w:jc w:val="both"/>
              <w:rPr>
                <w:rFonts w:ascii="宋体" w:hAnsi="宋体"/>
                <w:sz w:val="16"/>
                <w:szCs w:val="16"/>
              </w:rPr>
            </w:pPr>
            <w:r>
              <w:rPr>
                <w:rFonts w:hint="eastAsia" w:ascii="宋体" w:hAnsi="宋体"/>
                <w:sz w:val="16"/>
                <w:szCs w:val="16"/>
              </w:rPr>
              <w:t>管径：DN250；压力：0.4MPa；温度：30℃；通信：无线或RS485 modbus-RTU</w:t>
            </w:r>
          </w:p>
        </w:tc>
        <w:tc>
          <w:tcPr>
            <w:tcW w:w="367" w:type="dxa"/>
            <w:vAlign w:val="center"/>
          </w:tcPr>
          <w:p w14:paraId="02F01676">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4F9A6570">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24A9011">
            <w:pPr>
              <w:snapToGrid w:val="0"/>
              <w:jc w:val="both"/>
              <w:rPr>
                <w:rFonts w:ascii="宋体" w:hAnsi="宋体" w:cstheme="minorEastAsia"/>
                <w:bCs/>
                <w:sz w:val="16"/>
                <w:szCs w:val="16"/>
              </w:rPr>
            </w:pPr>
          </w:p>
        </w:tc>
      </w:tr>
      <w:tr w14:paraId="304E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697" w:type="dxa"/>
            <w:vAlign w:val="center"/>
          </w:tcPr>
          <w:p w14:paraId="16D9519E">
            <w:pPr>
              <w:snapToGrid w:val="0"/>
              <w:jc w:val="both"/>
              <w:rPr>
                <w:rFonts w:ascii="宋体" w:hAnsi="宋体" w:cstheme="minorEastAsia"/>
                <w:b/>
                <w:bCs/>
                <w:sz w:val="21"/>
                <w:szCs w:val="21"/>
              </w:rPr>
            </w:pPr>
            <w:r>
              <w:rPr>
                <w:rFonts w:ascii="宋体" w:hAnsi="宋体" w:cstheme="minorEastAsia"/>
                <w:b/>
                <w:bCs/>
                <w:sz w:val="21"/>
                <w:szCs w:val="21"/>
              </w:rPr>
              <w:t>1.2</w:t>
            </w:r>
          </w:p>
        </w:tc>
        <w:tc>
          <w:tcPr>
            <w:tcW w:w="8364" w:type="dxa"/>
            <w:gridSpan w:val="6"/>
            <w:shd w:val="clear" w:color="auto" w:fill="auto"/>
          </w:tcPr>
          <w:p w14:paraId="2A1CDCC9">
            <w:pPr>
              <w:spacing w:after="0" w:line="240" w:lineRule="auto"/>
              <w:rPr>
                <w:rFonts w:ascii="宋体" w:hAnsi="宋体"/>
                <w:b/>
                <w:sz w:val="16"/>
                <w:szCs w:val="16"/>
              </w:rPr>
            </w:pPr>
            <w:r>
              <w:rPr>
                <w:rFonts w:hint="eastAsia" w:ascii="宋体" w:hAnsi="宋体"/>
                <w:b/>
                <w:sz w:val="16"/>
                <w:szCs w:val="16"/>
              </w:rPr>
              <w:t>电表</w:t>
            </w:r>
          </w:p>
        </w:tc>
      </w:tr>
      <w:tr w14:paraId="1653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778D1E3">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.2.1</w:t>
            </w:r>
          </w:p>
        </w:tc>
        <w:tc>
          <w:tcPr>
            <w:tcW w:w="1416" w:type="dxa"/>
            <w:gridSpan w:val="2"/>
            <w:tcBorders>
              <w:top w:val="single" w:color="auto" w:sz="4" w:space="0"/>
            </w:tcBorders>
            <w:vAlign w:val="center"/>
          </w:tcPr>
          <w:p w14:paraId="6118B593">
            <w:pPr>
              <w:snapToGrid w:val="0"/>
              <w:jc w:val="both"/>
              <w:rPr>
                <w:rFonts w:ascii="宋体" w:hAnsi="宋体"/>
                <w:sz w:val="16"/>
                <w:szCs w:val="16"/>
              </w:rPr>
            </w:pPr>
            <w:r>
              <w:rPr>
                <w:rFonts w:hint="eastAsia" w:ascii="宋体" w:hAnsi="宋体"/>
                <w:sz w:val="16"/>
                <w:szCs w:val="16"/>
              </w:rPr>
              <w:t>电表</w:t>
            </w:r>
          </w:p>
        </w:tc>
        <w:tc>
          <w:tcPr>
            <w:tcW w:w="5253" w:type="dxa"/>
            <w:vAlign w:val="center"/>
          </w:tcPr>
          <w:p w14:paraId="0BFAA684">
            <w:pPr>
              <w:snapToGrid w:val="0"/>
              <w:jc w:val="both"/>
              <w:rPr>
                <w:rFonts w:ascii="宋体" w:hAnsi="宋体"/>
                <w:sz w:val="16"/>
                <w:szCs w:val="16"/>
              </w:rPr>
            </w:pPr>
            <w:r>
              <w:rPr>
                <w:rFonts w:hint="eastAsia" w:ascii="宋体" w:hAnsi="宋体"/>
                <w:sz w:val="16"/>
                <w:szCs w:val="16"/>
              </w:rPr>
              <w:t>电压额定值：400V；电流额定值：1A；准确度等级：0.5S；频率：50hz；通信：RS485 modbus-RTU；需要有交流电压、电流、功率因数、有功功率、无功功率、视在功率、频率等基本电能参数（含114台电流互感器）。</w:t>
            </w:r>
          </w:p>
        </w:tc>
        <w:tc>
          <w:tcPr>
            <w:tcW w:w="367" w:type="dxa"/>
            <w:vAlign w:val="center"/>
          </w:tcPr>
          <w:p w14:paraId="6FC9A958">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26729612">
            <w:pPr>
              <w:jc w:val="both"/>
              <w:textAlignment w:val="center"/>
              <w:rPr>
                <w:rFonts w:ascii="宋体" w:hAnsi="宋体"/>
                <w:sz w:val="16"/>
                <w:szCs w:val="16"/>
              </w:rPr>
            </w:pPr>
            <w:r>
              <w:rPr>
                <w:rFonts w:hint="eastAsia" w:ascii="宋体" w:hAnsi="宋体"/>
                <w:sz w:val="16"/>
                <w:szCs w:val="16"/>
              </w:rPr>
              <w:t>307</w:t>
            </w:r>
          </w:p>
        </w:tc>
        <w:tc>
          <w:tcPr>
            <w:tcW w:w="501" w:type="dxa"/>
            <w:shd w:val="clear" w:color="auto" w:fill="auto"/>
            <w:vAlign w:val="center"/>
          </w:tcPr>
          <w:p w14:paraId="4C3B3453">
            <w:pPr>
              <w:snapToGrid w:val="0"/>
              <w:jc w:val="both"/>
              <w:rPr>
                <w:rFonts w:ascii="宋体" w:hAnsi="宋体" w:cstheme="minorEastAsia"/>
                <w:bCs/>
                <w:sz w:val="16"/>
                <w:szCs w:val="16"/>
              </w:rPr>
            </w:pPr>
          </w:p>
        </w:tc>
      </w:tr>
      <w:tr w14:paraId="6D2C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7" w:type="dxa"/>
            <w:vAlign w:val="center"/>
          </w:tcPr>
          <w:p w14:paraId="562FEE84">
            <w:pPr>
              <w:snapToGrid w:val="0"/>
              <w:jc w:val="both"/>
              <w:rPr>
                <w:rFonts w:ascii="宋体" w:hAnsi="宋体" w:cstheme="minorEastAsia"/>
                <w:b/>
                <w:bCs/>
                <w:sz w:val="21"/>
                <w:szCs w:val="21"/>
              </w:rPr>
            </w:pPr>
            <w:r>
              <w:rPr>
                <w:rFonts w:ascii="宋体" w:hAnsi="宋体" w:cstheme="minorEastAsia"/>
                <w:b/>
                <w:bCs/>
                <w:sz w:val="21"/>
                <w:szCs w:val="21"/>
              </w:rPr>
              <w:t>1.3</w:t>
            </w:r>
          </w:p>
        </w:tc>
        <w:tc>
          <w:tcPr>
            <w:tcW w:w="8364" w:type="dxa"/>
            <w:gridSpan w:val="6"/>
            <w:shd w:val="clear" w:color="auto" w:fill="auto"/>
          </w:tcPr>
          <w:p w14:paraId="07DE1087">
            <w:pPr>
              <w:spacing w:after="0" w:line="240" w:lineRule="auto"/>
              <w:rPr>
                <w:rFonts w:ascii="宋体" w:hAnsi="宋体"/>
                <w:b/>
                <w:sz w:val="16"/>
                <w:szCs w:val="16"/>
              </w:rPr>
            </w:pPr>
            <w:r>
              <w:rPr>
                <w:rFonts w:hint="eastAsia" w:ascii="宋体" w:hAnsi="宋体"/>
                <w:b/>
                <w:sz w:val="16"/>
                <w:szCs w:val="16"/>
              </w:rPr>
              <w:t>蒸汽计量表</w:t>
            </w:r>
          </w:p>
        </w:tc>
      </w:tr>
      <w:tr w14:paraId="7D8D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1980993">
            <w:pPr>
              <w:snapToGrid w:val="0"/>
              <w:jc w:val="both"/>
              <w:rPr>
                <w:rFonts w:ascii="宋体" w:hAnsi="宋体" w:cstheme="minorEastAsia"/>
                <w:bCs/>
                <w:sz w:val="16"/>
                <w:szCs w:val="16"/>
              </w:rPr>
            </w:pPr>
            <w:r>
              <w:rPr>
                <w:rFonts w:hint="eastAsia" w:ascii="宋体" w:hAnsi="宋体"/>
                <w:color w:val="000000"/>
                <w:sz w:val="16"/>
                <w:szCs w:val="16"/>
              </w:rPr>
              <w:t>1.3.1</w:t>
            </w:r>
          </w:p>
        </w:tc>
        <w:tc>
          <w:tcPr>
            <w:tcW w:w="1416" w:type="dxa"/>
            <w:gridSpan w:val="2"/>
            <w:tcBorders>
              <w:top w:val="single" w:color="auto" w:sz="4" w:space="0"/>
            </w:tcBorders>
            <w:vAlign w:val="center"/>
          </w:tcPr>
          <w:p w14:paraId="60B40DAA">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767D149C">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具有高线性度、高长期稳定性；带温压补偿功能，自校验功能，传感器无漂移；抗温度冲击和水锤冲击；适用饱和蒸汽、过热蒸汽；管径：DN40；压力：1.4MPa；温度：350℃；通信：PROFIBUS PA；带模拟量测量模块</w:t>
            </w:r>
          </w:p>
        </w:tc>
        <w:tc>
          <w:tcPr>
            <w:tcW w:w="367" w:type="dxa"/>
            <w:vAlign w:val="center"/>
          </w:tcPr>
          <w:p w14:paraId="179D94FC">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136941D8">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EE9772D">
            <w:pPr>
              <w:snapToGrid w:val="0"/>
              <w:jc w:val="both"/>
              <w:rPr>
                <w:rFonts w:ascii="宋体" w:hAnsi="宋体" w:cstheme="minorEastAsia"/>
                <w:bCs/>
                <w:sz w:val="16"/>
                <w:szCs w:val="16"/>
              </w:rPr>
            </w:pPr>
          </w:p>
        </w:tc>
      </w:tr>
      <w:tr w14:paraId="6C8D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38CF9E3">
            <w:pPr>
              <w:snapToGrid w:val="0"/>
              <w:jc w:val="both"/>
              <w:rPr>
                <w:rFonts w:ascii="宋体" w:hAnsi="宋体" w:cstheme="minorEastAsia"/>
                <w:bCs/>
                <w:sz w:val="16"/>
                <w:szCs w:val="16"/>
              </w:rPr>
            </w:pPr>
            <w:r>
              <w:rPr>
                <w:rFonts w:hint="eastAsia" w:ascii="宋体" w:hAnsi="宋体"/>
                <w:color w:val="000000"/>
                <w:sz w:val="16"/>
                <w:szCs w:val="16"/>
              </w:rPr>
              <w:t>1.3.2</w:t>
            </w:r>
          </w:p>
        </w:tc>
        <w:tc>
          <w:tcPr>
            <w:tcW w:w="1416" w:type="dxa"/>
            <w:gridSpan w:val="2"/>
            <w:tcBorders>
              <w:top w:val="single" w:color="auto" w:sz="4" w:space="0"/>
            </w:tcBorders>
            <w:vAlign w:val="center"/>
          </w:tcPr>
          <w:p w14:paraId="125B56E7">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5521A2CD">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具有高线性度、高长期稳定性；带温压补偿功能，自校验功能，传感器无漂移；抗温度冲击和水锤冲击；适用饱和蒸汽、过热蒸汽；管径：DN50；压力：1.1MPa；温度：200℃；通信：PROFIBUS PA</w:t>
            </w:r>
          </w:p>
        </w:tc>
        <w:tc>
          <w:tcPr>
            <w:tcW w:w="367" w:type="dxa"/>
            <w:vAlign w:val="center"/>
          </w:tcPr>
          <w:p w14:paraId="6D45E7CC">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2DDA7239">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86F9AAC">
            <w:pPr>
              <w:snapToGrid w:val="0"/>
              <w:jc w:val="both"/>
              <w:rPr>
                <w:rFonts w:ascii="宋体" w:hAnsi="宋体" w:cstheme="minorEastAsia"/>
                <w:bCs/>
                <w:sz w:val="16"/>
                <w:szCs w:val="16"/>
              </w:rPr>
            </w:pPr>
          </w:p>
        </w:tc>
      </w:tr>
      <w:tr w14:paraId="4E1A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53ABAF2">
            <w:pPr>
              <w:snapToGrid w:val="0"/>
              <w:jc w:val="both"/>
              <w:rPr>
                <w:rFonts w:ascii="宋体" w:hAnsi="宋体" w:cstheme="minorEastAsia"/>
                <w:bCs/>
                <w:sz w:val="16"/>
                <w:szCs w:val="16"/>
              </w:rPr>
            </w:pPr>
            <w:r>
              <w:rPr>
                <w:rFonts w:hint="eastAsia" w:ascii="宋体" w:hAnsi="宋体"/>
                <w:color w:val="000000"/>
                <w:sz w:val="16"/>
                <w:szCs w:val="16"/>
              </w:rPr>
              <w:t>1.3.3</w:t>
            </w:r>
          </w:p>
        </w:tc>
        <w:tc>
          <w:tcPr>
            <w:tcW w:w="1416" w:type="dxa"/>
            <w:gridSpan w:val="2"/>
            <w:tcBorders>
              <w:top w:val="single" w:color="auto" w:sz="4" w:space="0"/>
            </w:tcBorders>
            <w:vAlign w:val="center"/>
          </w:tcPr>
          <w:p w14:paraId="0922868C">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0C9057EB">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具有高线性度、高长期稳定性；带温压补偿功能，自校验功能，传感器无漂移；抗温度冲击和水锤冲击；适用饱和蒸汽、过热蒸汽；管径：DN65；压力：1.1MPa；温度：200℃；通信：PROFIBUS PA</w:t>
            </w:r>
          </w:p>
        </w:tc>
        <w:tc>
          <w:tcPr>
            <w:tcW w:w="367" w:type="dxa"/>
            <w:vAlign w:val="center"/>
          </w:tcPr>
          <w:p w14:paraId="3604A837">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6BB60D03">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58A5076A">
            <w:pPr>
              <w:snapToGrid w:val="0"/>
              <w:jc w:val="both"/>
              <w:rPr>
                <w:rFonts w:ascii="宋体" w:hAnsi="宋体" w:cstheme="minorEastAsia"/>
                <w:bCs/>
                <w:sz w:val="16"/>
                <w:szCs w:val="16"/>
              </w:rPr>
            </w:pPr>
          </w:p>
        </w:tc>
      </w:tr>
      <w:tr w14:paraId="3A56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3D9345A">
            <w:pPr>
              <w:snapToGrid w:val="0"/>
              <w:jc w:val="both"/>
              <w:rPr>
                <w:rFonts w:ascii="宋体" w:hAnsi="宋体" w:cstheme="minorEastAsia"/>
                <w:bCs/>
                <w:sz w:val="16"/>
                <w:szCs w:val="16"/>
              </w:rPr>
            </w:pPr>
            <w:r>
              <w:rPr>
                <w:rFonts w:hint="eastAsia" w:ascii="宋体" w:hAnsi="宋体"/>
                <w:color w:val="000000"/>
                <w:sz w:val="16"/>
                <w:szCs w:val="16"/>
              </w:rPr>
              <w:t>1.3.4</w:t>
            </w:r>
          </w:p>
        </w:tc>
        <w:tc>
          <w:tcPr>
            <w:tcW w:w="1416" w:type="dxa"/>
            <w:gridSpan w:val="2"/>
            <w:tcBorders>
              <w:top w:val="single" w:color="auto" w:sz="4" w:space="0"/>
            </w:tcBorders>
            <w:vAlign w:val="center"/>
          </w:tcPr>
          <w:p w14:paraId="1EBA4ED8">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6C6F6864">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具有高线性度、高长期稳定性；带温压补偿功能，自校验功能，传感器无漂移；抗温度冲击和水锤冲击；适用饱和蒸汽、过热蒸汽；管径：DN80；压力：1.1MPa；温度：200℃；通信：PROFIBUS PA</w:t>
            </w:r>
          </w:p>
        </w:tc>
        <w:tc>
          <w:tcPr>
            <w:tcW w:w="367" w:type="dxa"/>
            <w:vAlign w:val="center"/>
          </w:tcPr>
          <w:p w14:paraId="491F957B">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BB6797B">
            <w:pPr>
              <w:jc w:val="both"/>
              <w:textAlignment w:val="center"/>
              <w:rPr>
                <w:rFonts w:ascii="宋体" w:hAnsi="宋体"/>
                <w:sz w:val="16"/>
                <w:szCs w:val="16"/>
              </w:rPr>
            </w:pPr>
            <w:r>
              <w:rPr>
                <w:rFonts w:hint="eastAsia" w:ascii="宋体" w:hAnsi="宋体"/>
                <w:sz w:val="16"/>
                <w:szCs w:val="16"/>
              </w:rPr>
              <w:t>4</w:t>
            </w:r>
          </w:p>
        </w:tc>
        <w:tc>
          <w:tcPr>
            <w:tcW w:w="501" w:type="dxa"/>
            <w:shd w:val="clear" w:color="auto" w:fill="auto"/>
            <w:vAlign w:val="center"/>
          </w:tcPr>
          <w:p w14:paraId="6C48A7B1">
            <w:pPr>
              <w:snapToGrid w:val="0"/>
              <w:jc w:val="both"/>
              <w:rPr>
                <w:rFonts w:ascii="宋体" w:hAnsi="宋体" w:cstheme="minorEastAsia"/>
                <w:bCs/>
                <w:sz w:val="16"/>
                <w:szCs w:val="16"/>
              </w:rPr>
            </w:pPr>
          </w:p>
        </w:tc>
      </w:tr>
      <w:tr w14:paraId="4669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7B313D1">
            <w:pPr>
              <w:snapToGrid w:val="0"/>
              <w:jc w:val="both"/>
              <w:rPr>
                <w:rFonts w:ascii="宋体" w:hAnsi="宋体" w:cstheme="minorEastAsia"/>
                <w:bCs/>
                <w:sz w:val="16"/>
                <w:szCs w:val="16"/>
              </w:rPr>
            </w:pPr>
            <w:r>
              <w:rPr>
                <w:rFonts w:hint="eastAsia" w:ascii="宋体" w:hAnsi="宋体"/>
                <w:color w:val="000000"/>
                <w:sz w:val="16"/>
                <w:szCs w:val="16"/>
              </w:rPr>
              <w:t>1.3.5</w:t>
            </w:r>
          </w:p>
        </w:tc>
        <w:tc>
          <w:tcPr>
            <w:tcW w:w="1416" w:type="dxa"/>
            <w:gridSpan w:val="2"/>
            <w:tcBorders>
              <w:top w:val="single" w:color="auto" w:sz="4" w:space="0"/>
            </w:tcBorders>
            <w:vAlign w:val="center"/>
          </w:tcPr>
          <w:p w14:paraId="4C0BFE02">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031C7EB4">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具有高线性度、高长期稳定性；带温压补偿功能，自校验功能，传感器无漂移；抗温度冲击和水锤冲击；适用饱和蒸汽、过热蒸汽；管径：DN80；压力：1.1MPa；温度：200℃；通信：PROFIBUS PA；带模拟量测量模块</w:t>
            </w:r>
          </w:p>
        </w:tc>
        <w:tc>
          <w:tcPr>
            <w:tcW w:w="367" w:type="dxa"/>
            <w:vAlign w:val="center"/>
          </w:tcPr>
          <w:p w14:paraId="545557AB">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69112F09">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6C5650DF">
            <w:pPr>
              <w:snapToGrid w:val="0"/>
              <w:jc w:val="both"/>
              <w:rPr>
                <w:rFonts w:ascii="宋体" w:hAnsi="宋体" w:cstheme="minorEastAsia"/>
                <w:bCs/>
                <w:sz w:val="16"/>
                <w:szCs w:val="16"/>
              </w:rPr>
            </w:pPr>
          </w:p>
        </w:tc>
      </w:tr>
      <w:tr w14:paraId="2E09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83B5835">
            <w:pPr>
              <w:snapToGrid w:val="0"/>
              <w:jc w:val="both"/>
              <w:rPr>
                <w:rFonts w:ascii="宋体" w:hAnsi="宋体" w:cstheme="minorEastAsia"/>
                <w:bCs/>
                <w:sz w:val="16"/>
                <w:szCs w:val="16"/>
              </w:rPr>
            </w:pPr>
            <w:r>
              <w:rPr>
                <w:rFonts w:hint="eastAsia" w:ascii="宋体" w:hAnsi="宋体"/>
                <w:color w:val="000000"/>
                <w:sz w:val="16"/>
                <w:szCs w:val="16"/>
              </w:rPr>
              <w:t>1.3.6</w:t>
            </w:r>
          </w:p>
        </w:tc>
        <w:tc>
          <w:tcPr>
            <w:tcW w:w="1416" w:type="dxa"/>
            <w:gridSpan w:val="2"/>
            <w:tcBorders>
              <w:top w:val="single" w:color="auto" w:sz="4" w:space="0"/>
            </w:tcBorders>
            <w:vAlign w:val="center"/>
          </w:tcPr>
          <w:p w14:paraId="77B3BE38">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459569CC">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具有高线性度、高长期稳定性；带温压补偿功能，自校验功能，传感器无漂移；抗温度冲击和水锤冲击；适用饱和蒸汽、过热蒸汽；管径：DN150；压力：1.1MPa；温度：200℃；通信：PROFIBUS PA；带模拟量测量模块</w:t>
            </w:r>
          </w:p>
        </w:tc>
        <w:tc>
          <w:tcPr>
            <w:tcW w:w="367" w:type="dxa"/>
            <w:vAlign w:val="center"/>
          </w:tcPr>
          <w:p w14:paraId="05B28583">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2CB8A2E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A216414">
            <w:pPr>
              <w:snapToGrid w:val="0"/>
              <w:jc w:val="both"/>
              <w:rPr>
                <w:rFonts w:ascii="宋体" w:hAnsi="宋体" w:cstheme="minorEastAsia"/>
                <w:bCs/>
                <w:sz w:val="16"/>
                <w:szCs w:val="16"/>
              </w:rPr>
            </w:pPr>
          </w:p>
        </w:tc>
      </w:tr>
      <w:tr w14:paraId="3293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236896B">
            <w:pPr>
              <w:snapToGrid w:val="0"/>
              <w:jc w:val="both"/>
              <w:rPr>
                <w:rFonts w:ascii="宋体" w:hAnsi="宋体" w:cstheme="minorEastAsia"/>
                <w:bCs/>
                <w:sz w:val="16"/>
                <w:szCs w:val="16"/>
              </w:rPr>
            </w:pPr>
            <w:r>
              <w:rPr>
                <w:rFonts w:hint="eastAsia" w:ascii="宋体" w:hAnsi="宋体"/>
                <w:color w:val="000000"/>
                <w:sz w:val="16"/>
                <w:szCs w:val="16"/>
              </w:rPr>
              <w:t>1.3.7</w:t>
            </w:r>
          </w:p>
        </w:tc>
        <w:tc>
          <w:tcPr>
            <w:tcW w:w="1416" w:type="dxa"/>
            <w:gridSpan w:val="2"/>
            <w:tcBorders>
              <w:top w:val="single" w:color="auto" w:sz="4" w:space="0"/>
            </w:tcBorders>
            <w:vAlign w:val="center"/>
          </w:tcPr>
          <w:p w14:paraId="7142AD07">
            <w:pPr>
              <w:snapToGrid w:val="0"/>
              <w:jc w:val="both"/>
              <w:rPr>
                <w:rFonts w:ascii="宋体" w:hAnsi="宋体"/>
                <w:sz w:val="16"/>
                <w:szCs w:val="16"/>
              </w:rPr>
            </w:pPr>
            <w:r>
              <w:rPr>
                <w:rFonts w:hint="eastAsia" w:ascii="宋体" w:hAnsi="宋体"/>
                <w:sz w:val="16"/>
                <w:szCs w:val="16"/>
              </w:rPr>
              <w:t>蒸汽计量表</w:t>
            </w:r>
          </w:p>
        </w:tc>
        <w:tc>
          <w:tcPr>
            <w:tcW w:w="5253" w:type="dxa"/>
            <w:vAlign w:val="center"/>
          </w:tcPr>
          <w:p w14:paraId="25F4D99C">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具有高线性度、高长期稳定性；带温压补偿功能，自校验功能，传感器无漂移；抗温度冲击和水锤冲击；适用饱和蒸汽、过热蒸汽；管径：DN150；压力：1.1MPa；温度：200℃；通信：PROFIBUS PA</w:t>
            </w:r>
          </w:p>
        </w:tc>
        <w:tc>
          <w:tcPr>
            <w:tcW w:w="367" w:type="dxa"/>
            <w:vAlign w:val="center"/>
          </w:tcPr>
          <w:p w14:paraId="7697BF0E">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36896B5B">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F22BBFF">
            <w:pPr>
              <w:snapToGrid w:val="0"/>
              <w:jc w:val="both"/>
              <w:rPr>
                <w:rFonts w:ascii="宋体" w:hAnsi="宋体" w:cstheme="minorEastAsia"/>
                <w:bCs/>
                <w:sz w:val="16"/>
                <w:szCs w:val="16"/>
              </w:rPr>
            </w:pPr>
          </w:p>
        </w:tc>
      </w:tr>
      <w:tr w14:paraId="3999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97" w:type="dxa"/>
            <w:vAlign w:val="center"/>
          </w:tcPr>
          <w:p w14:paraId="7C18BD60">
            <w:pPr>
              <w:snapToGrid w:val="0"/>
              <w:jc w:val="both"/>
              <w:rPr>
                <w:rFonts w:ascii="宋体" w:hAnsi="宋体" w:cstheme="minorEastAsia"/>
                <w:b/>
                <w:bCs/>
                <w:sz w:val="21"/>
                <w:szCs w:val="21"/>
              </w:rPr>
            </w:pPr>
            <w:r>
              <w:rPr>
                <w:rFonts w:ascii="宋体" w:hAnsi="宋体" w:cstheme="minorEastAsia"/>
                <w:b/>
                <w:bCs/>
                <w:sz w:val="21"/>
                <w:szCs w:val="21"/>
              </w:rPr>
              <w:t>1.4</w:t>
            </w:r>
          </w:p>
        </w:tc>
        <w:tc>
          <w:tcPr>
            <w:tcW w:w="8364" w:type="dxa"/>
            <w:gridSpan w:val="6"/>
            <w:shd w:val="clear" w:color="auto" w:fill="auto"/>
          </w:tcPr>
          <w:p w14:paraId="5C2604F5">
            <w:pPr>
              <w:spacing w:after="0" w:line="240" w:lineRule="auto"/>
              <w:rPr>
                <w:rFonts w:ascii="宋体" w:hAnsi="宋体"/>
                <w:b/>
                <w:sz w:val="16"/>
                <w:szCs w:val="16"/>
              </w:rPr>
            </w:pPr>
            <w:r>
              <w:rPr>
                <w:rFonts w:hint="eastAsia" w:ascii="宋体" w:hAnsi="宋体"/>
                <w:b/>
                <w:sz w:val="16"/>
                <w:szCs w:val="16"/>
              </w:rPr>
              <w:t>空压气计量表</w:t>
            </w:r>
          </w:p>
        </w:tc>
      </w:tr>
      <w:tr w14:paraId="6AA7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2729A25">
            <w:pPr>
              <w:snapToGrid w:val="0"/>
              <w:jc w:val="both"/>
              <w:rPr>
                <w:rFonts w:ascii="宋体" w:hAnsi="宋体" w:cstheme="minorEastAsia"/>
                <w:bCs/>
                <w:sz w:val="16"/>
                <w:szCs w:val="16"/>
              </w:rPr>
            </w:pPr>
            <w:r>
              <w:rPr>
                <w:rFonts w:hint="eastAsia" w:ascii="宋体" w:hAnsi="宋体"/>
                <w:sz w:val="16"/>
                <w:szCs w:val="16"/>
              </w:rPr>
              <w:t>1.4.1</w:t>
            </w:r>
          </w:p>
        </w:tc>
        <w:tc>
          <w:tcPr>
            <w:tcW w:w="1416" w:type="dxa"/>
            <w:gridSpan w:val="2"/>
            <w:tcBorders>
              <w:top w:val="single" w:color="auto" w:sz="4" w:space="0"/>
            </w:tcBorders>
            <w:vAlign w:val="center"/>
          </w:tcPr>
          <w:p w14:paraId="71905C4C">
            <w:pPr>
              <w:snapToGrid w:val="0"/>
              <w:jc w:val="both"/>
              <w:rPr>
                <w:rFonts w:ascii="宋体" w:hAnsi="宋体"/>
                <w:sz w:val="16"/>
                <w:szCs w:val="16"/>
              </w:rPr>
            </w:pPr>
            <w:r>
              <w:rPr>
                <w:rFonts w:hint="eastAsia" w:ascii="宋体" w:hAnsi="宋体"/>
                <w:sz w:val="16"/>
                <w:szCs w:val="16"/>
              </w:rPr>
              <w:t>空压气计量表</w:t>
            </w:r>
          </w:p>
        </w:tc>
        <w:tc>
          <w:tcPr>
            <w:tcW w:w="5253" w:type="dxa"/>
            <w:vAlign w:val="center"/>
          </w:tcPr>
          <w:p w14:paraId="4A31CE2A">
            <w:pPr>
              <w:snapToGrid w:val="0"/>
              <w:jc w:val="both"/>
              <w:rPr>
                <w:rFonts w:ascii="宋体" w:hAnsi="宋体"/>
                <w:sz w:val="16"/>
                <w:szCs w:val="16"/>
              </w:rPr>
            </w:pPr>
            <w:r>
              <w:rPr>
                <w:rFonts w:hint="eastAsia" w:ascii="宋体" w:hAnsi="宋体"/>
                <w:sz w:val="16"/>
                <w:szCs w:val="16"/>
              </w:rPr>
              <w:t>管径：DN50；压力：0.8MPa；温度：80℃；通信：无线或RS485 modbus-RTU</w:t>
            </w:r>
          </w:p>
        </w:tc>
        <w:tc>
          <w:tcPr>
            <w:tcW w:w="367" w:type="dxa"/>
            <w:vAlign w:val="center"/>
          </w:tcPr>
          <w:p w14:paraId="111575AC">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7F500FDD">
            <w:pPr>
              <w:jc w:val="both"/>
              <w:textAlignment w:val="center"/>
              <w:rPr>
                <w:rFonts w:ascii="宋体" w:hAnsi="宋体"/>
                <w:sz w:val="16"/>
                <w:szCs w:val="16"/>
              </w:rPr>
            </w:pPr>
            <w:r>
              <w:rPr>
                <w:rFonts w:hint="eastAsia" w:ascii="宋体" w:hAnsi="宋体"/>
                <w:sz w:val="16"/>
                <w:szCs w:val="16"/>
              </w:rPr>
              <w:t>2</w:t>
            </w:r>
          </w:p>
        </w:tc>
        <w:tc>
          <w:tcPr>
            <w:tcW w:w="501" w:type="dxa"/>
            <w:shd w:val="clear" w:color="auto" w:fill="auto"/>
            <w:vAlign w:val="center"/>
          </w:tcPr>
          <w:p w14:paraId="4FEA4D60">
            <w:pPr>
              <w:snapToGrid w:val="0"/>
              <w:jc w:val="both"/>
              <w:rPr>
                <w:rFonts w:ascii="宋体" w:hAnsi="宋体" w:cstheme="minorEastAsia"/>
                <w:bCs/>
                <w:sz w:val="16"/>
                <w:szCs w:val="16"/>
              </w:rPr>
            </w:pPr>
          </w:p>
        </w:tc>
      </w:tr>
      <w:tr w14:paraId="3ADF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A96ACBC">
            <w:pPr>
              <w:snapToGrid w:val="0"/>
              <w:jc w:val="both"/>
              <w:rPr>
                <w:rFonts w:ascii="宋体" w:hAnsi="宋体" w:cstheme="minorEastAsia"/>
                <w:bCs/>
                <w:sz w:val="16"/>
                <w:szCs w:val="16"/>
              </w:rPr>
            </w:pPr>
            <w:r>
              <w:rPr>
                <w:rFonts w:hint="eastAsia" w:ascii="宋体" w:hAnsi="宋体"/>
                <w:sz w:val="16"/>
                <w:szCs w:val="16"/>
              </w:rPr>
              <w:t>1.4.2</w:t>
            </w:r>
          </w:p>
        </w:tc>
        <w:tc>
          <w:tcPr>
            <w:tcW w:w="1416" w:type="dxa"/>
            <w:gridSpan w:val="2"/>
            <w:tcBorders>
              <w:top w:val="single" w:color="auto" w:sz="4" w:space="0"/>
            </w:tcBorders>
            <w:vAlign w:val="center"/>
          </w:tcPr>
          <w:p w14:paraId="716D6609">
            <w:pPr>
              <w:snapToGrid w:val="0"/>
              <w:jc w:val="both"/>
              <w:rPr>
                <w:rFonts w:ascii="宋体" w:hAnsi="宋体"/>
                <w:sz w:val="16"/>
                <w:szCs w:val="16"/>
              </w:rPr>
            </w:pPr>
            <w:r>
              <w:rPr>
                <w:rFonts w:hint="eastAsia" w:ascii="宋体" w:hAnsi="宋体"/>
                <w:sz w:val="16"/>
                <w:szCs w:val="16"/>
              </w:rPr>
              <w:t>空压气计量表</w:t>
            </w:r>
          </w:p>
        </w:tc>
        <w:tc>
          <w:tcPr>
            <w:tcW w:w="5253" w:type="dxa"/>
            <w:vAlign w:val="center"/>
          </w:tcPr>
          <w:p w14:paraId="0CF05AE3">
            <w:pPr>
              <w:snapToGrid w:val="0"/>
              <w:jc w:val="both"/>
              <w:rPr>
                <w:rFonts w:ascii="宋体" w:hAnsi="宋体"/>
                <w:sz w:val="16"/>
                <w:szCs w:val="16"/>
              </w:rPr>
            </w:pPr>
            <w:r>
              <w:rPr>
                <w:rFonts w:hint="eastAsia" w:ascii="宋体" w:hAnsi="宋体"/>
                <w:sz w:val="16"/>
                <w:szCs w:val="16"/>
              </w:rPr>
              <w:t>管径：DN80；压力：0.8MPa；温度：80℃；通信：无线或RS485 modbus-RTU</w:t>
            </w:r>
          </w:p>
        </w:tc>
        <w:tc>
          <w:tcPr>
            <w:tcW w:w="367" w:type="dxa"/>
            <w:vAlign w:val="center"/>
          </w:tcPr>
          <w:p w14:paraId="179F3170">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1385EE4">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412EC8F1">
            <w:pPr>
              <w:snapToGrid w:val="0"/>
              <w:jc w:val="both"/>
              <w:rPr>
                <w:rFonts w:ascii="宋体" w:hAnsi="宋体" w:cstheme="minorEastAsia"/>
                <w:bCs/>
                <w:sz w:val="16"/>
                <w:szCs w:val="16"/>
              </w:rPr>
            </w:pPr>
          </w:p>
        </w:tc>
      </w:tr>
      <w:tr w14:paraId="4174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FAAB43C">
            <w:pPr>
              <w:snapToGrid w:val="0"/>
              <w:jc w:val="both"/>
              <w:rPr>
                <w:rFonts w:ascii="宋体" w:hAnsi="宋体" w:cstheme="minorEastAsia"/>
                <w:bCs/>
                <w:sz w:val="16"/>
                <w:szCs w:val="16"/>
              </w:rPr>
            </w:pPr>
            <w:r>
              <w:rPr>
                <w:rFonts w:hint="eastAsia" w:ascii="宋体" w:hAnsi="宋体"/>
                <w:sz w:val="16"/>
                <w:szCs w:val="16"/>
              </w:rPr>
              <w:t>1.4.3</w:t>
            </w:r>
          </w:p>
        </w:tc>
        <w:tc>
          <w:tcPr>
            <w:tcW w:w="1416" w:type="dxa"/>
            <w:gridSpan w:val="2"/>
            <w:tcBorders>
              <w:top w:val="single" w:color="auto" w:sz="4" w:space="0"/>
            </w:tcBorders>
            <w:vAlign w:val="center"/>
          </w:tcPr>
          <w:p w14:paraId="42D12F1F">
            <w:pPr>
              <w:snapToGrid w:val="0"/>
              <w:jc w:val="both"/>
              <w:rPr>
                <w:rFonts w:ascii="宋体" w:hAnsi="宋体"/>
                <w:sz w:val="16"/>
                <w:szCs w:val="16"/>
              </w:rPr>
            </w:pPr>
            <w:r>
              <w:rPr>
                <w:rFonts w:hint="eastAsia" w:ascii="宋体" w:hAnsi="宋体"/>
                <w:sz w:val="16"/>
                <w:szCs w:val="16"/>
              </w:rPr>
              <w:t>空压气计量表</w:t>
            </w:r>
          </w:p>
        </w:tc>
        <w:tc>
          <w:tcPr>
            <w:tcW w:w="5253" w:type="dxa"/>
            <w:vAlign w:val="center"/>
          </w:tcPr>
          <w:p w14:paraId="6E09A37B">
            <w:pPr>
              <w:snapToGrid w:val="0"/>
              <w:jc w:val="both"/>
              <w:rPr>
                <w:rFonts w:ascii="宋体" w:hAnsi="宋体"/>
                <w:sz w:val="16"/>
                <w:szCs w:val="16"/>
              </w:rPr>
            </w:pPr>
            <w:r>
              <w:rPr>
                <w:rFonts w:hint="eastAsia" w:ascii="宋体" w:hAnsi="宋体"/>
                <w:sz w:val="16"/>
                <w:szCs w:val="16"/>
              </w:rPr>
              <w:t>管径：DN200；压力：0.8MPa；温度：80℃；通信：无线或RS485 modbus-RTU</w:t>
            </w:r>
          </w:p>
        </w:tc>
        <w:tc>
          <w:tcPr>
            <w:tcW w:w="367" w:type="dxa"/>
            <w:vAlign w:val="center"/>
          </w:tcPr>
          <w:p w14:paraId="6E7D2450">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51E70A12">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7674FFF">
            <w:pPr>
              <w:snapToGrid w:val="0"/>
              <w:jc w:val="both"/>
              <w:rPr>
                <w:rFonts w:ascii="宋体" w:hAnsi="宋体" w:cstheme="minorEastAsia"/>
                <w:bCs/>
                <w:sz w:val="16"/>
                <w:szCs w:val="16"/>
              </w:rPr>
            </w:pPr>
          </w:p>
        </w:tc>
      </w:tr>
      <w:tr w14:paraId="7BBB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97" w:type="dxa"/>
            <w:vAlign w:val="center"/>
          </w:tcPr>
          <w:p w14:paraId="0415EA4B">
            <w:pPr>
              <w:snapToGrid w:val="0"/>
              <w:jc w:val="both"/>
              <w:rPr>
                <w:rFonts w:ascii="宋体" w:hAnsi="宋体" w:cstheme="minorEastAsia"/>
                <w:b/>
                <w:bCs/>
                <w:sz w:val="21"/>
                <w:szCs w:val="21"/>
              </w:rPr>
            </w:pPr>
            <w:r>
              <w:rPr>
                <w:rFonts w:ascii="宋体" w:hAnsi="宋体" w:cstheme="minorEastAsia"/>
                <w:b/>
                <w:bCs/>
                <w:sz w:val="21"/>
                <w:szCs w:val="21"/>
              </w:rPr>
              <w:t>1.5</w:t>
            </w:r>
          </w:p>
        </w:tc>
        <w:tc>
          <w:tcPr>
            <w:tcW w:w="8364" w:type="dxa"/>
            <w:gridSpan w:val="6"/>
            <w:shd w:val="clear" w:color="auto" w:fill="auto"/>
          </w:tcPr>
          <w:p w14:paraId="57CA0202">
            <w:pPr>
              <w:spacing w:after="0" w:line="240" w:lineRule="auto"/>
              <w:rPr>
                <w:rFonts w:ascii="宋体" w:hAnsi="宋体"/>
                <w:b/>
                <w:sz w:val="16"/>
                <w:szCs w:val="16"/>
              </w:rPr>
            </w:pPr>
            <w:r>
              <w:rPr>
                <w:rFonts w:hint="eastAsia" w:ascii="宋体" w:hAnsi="宋体"/>
                <w:b/>
                <w:sz w:val="16"/>
                <w:szCs w:val="16"/>
              </w:rPr>
              <w:t>负压气计量表</w:t>
            </w:r>
          </w:p>
        </w:tc>
      </w:tr>
      <w:tr w14:paraId="62A3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90E5B09">
            <w:pPr>
              <w:snapToGrid w:val="0"/>
              <w:jc w:val="both"/>
              <w:rPr>
                <w:rFonts w:ascii="宋体" w:hAnsi="宋体" w:cstheme="minorEastAsia"/>
                <w:bCs/>
                <w:sz w:val="16"/>
                <w:szCs w:val="16"/>
              </w:rPr>
            </w:pPr>
            <w:r>
              <w:rPr>
                <w:rFonts w:ascii="宋体" w:hAnsi="宋体"/>
                <w:color w:val="000000"/>
                <w:sz w:val="16"/>
                <w:szCs w:val="16"/>
              </w:rPr>
              <w:t>1.5.1</w:t>
            </w:r>
          </w:p>
        </w:tc>
        <w:tc>
          <w:tcPr>
            <w:tcW w:w="1416" w:type="dxa"/>
            <w:gridSpan w:val="2"/>
            <w:tcBorders>
              <w:top w:val="single" w:color="auto" w:sz="4" w:space="0"/>
            </w:tcBorders>
            <w:vAlign w:val="center"/>
          </w:tcPr>
          <w:p w14:paraId="16C7579E">
            <w:pPr>
              <w:snapToGrid w:val="0"/>
              <w:jc w:val="both"/>
              <w:rPr>
                <w:rFonts w:ascii="宋体" w:hAnsi="宋体"/>
                <w:sz w:val="16"/>
                <w:szCs w:val="16"/>
              </w:rPr>
            </w:pPr>
            <w:r>
              <w:rPr>
                <w:rFonts w:hint="eastAsia" w:ascii="宋体" w:hAnsi="宋体"/>
                <w:sz w:val="16"/>
                <w:szCs w:val="16"/>
              </w:rPr>
              <w:t>负压计量表</w:t>
            </w:r>
          </w:p>
        </w:tc>
        <w:tc>
          <w:tcPr>
            <w:tcW w:w="5253" w:type="dxa"/>
            <w:vAlign w:val="center"/>
          </w:tcPr>
          <w:p w14:paraId="7878F8B9">
            <w:pPr>
              <w:snapToGrid w:val="0"/>
              <w:jc w:val="both"/>
              <w:rPr>
                <w:rFonts w:ascii="宋体" w:hAnsi="宋体"/>
                <w:sz w:val="16"/>
                <w:szCs w:val="16"/>
              </w:rPr>
            </w:pPr>
            <w:r>
              <w:rPr>
                <w:rFonts w:hint="eastAsia" w:ascii="宋体" w:hAnsi="宋体"/>
                <w:sz w:val="16"/>
                <w:szCs w:val="16"/>
              </w:rPr>
              <w:t>管径：DN80；压力：-0.1MPa；温度：50℃；通信：无线或RS485 modbus-RTU</w:t>
            </w:r>
          </w:p>
        </w:tc>
        <w:tc>
          <w:tcPr>
            <w:tcW w:w="367" w:type="dxa"/>
            <w:vAlign w:val="center"/>
          </w:tcPr>
          <w:p w14:paraId="7E0DBB39">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6FD4690C">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4FA5532">
            <w:pPr>
              <w:snapToGrid w:val="0"/>
              <w:jc w:val="both"/>
              <w:rPr>
                <w:rFonts w:ascii="宋体" w:hAnsi="宋体" w:cstheme="minorEastAsia"/>
                <w:bCs/>
                <w:sz w:val="16"/>
                <w:szCs w:val="16"/>
              </w:rPr>
            </w:pPr>
          </w:p>
        </w:tc>
      </w:tr>
      <w:tr w14:paraId="1C04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6DDBA6E">
            <w:pPr>
              <w:snapToGrid w:val="0"/>
              <w:jc w:val="both"/>
              <w:rPr>
                <w:rFonts w:ascii="宋体" w:hAnsi="宋体" w:cstheme="minorEastAsia"/>
                <w:bCs/>
                <w:sz w:val="16"/>
                <w:szCs w:val="16"/>
              </w:rPr>
            </w:pPr>
            <w:r>
              <w:rPr>
                <w:rFonts w:ascii="宋体" w:hAnsi="宋体"/>
                <w:color w:val="000000"/>
                <w:sz w:val="16"/>
                <w:szCs w:val="16"/>
              </w:rPr>
              <w:t>1.5.2</w:t>
            </w:r>
          </w:p>
        </w:tc>
        <w:tc>
          <w:tcPr>
            <w:tcW w:w="1416" w:type="dxa"/>
            <w:gridSpan w:val="2"/>
            <w:tcBorders>
              <w:top w:val="single" w:color="auto" w:sz="4" w:space="0"/>
            </w:tcBorders>
            <w:vAlign w:val="center"/>
          </w:tcPr>
          <w:p w14:paraId="2345DC0A">
            <w:pPr>
              <w:snapToGrid w:val="0"/>
              <w:jc w:val="both"/>
              <w:rPr>
                <w:rFonts w:ascii="宋体" w:hAnsi="宋体"/>
                <w:sz w:val="16"/>
                <w:szCs w:val="16"/>
              </w:rPr>
            </w:pPr>
            <w:r>
              <w:rPr>
                <w:rFonts w:hint="eastAsia" w:ascii="宋体" w:hAnsi="宋体"/>
                <w:sz w:val="16"/>
                <w:szCs w:val="16"/>
              </w:rPr>
              <w:t>负压计量表</w:t>
            </w:r>
          </w:p>
        </w:tc>
        <w:tc>
          <w:tcPr>
            <w:tcW w:w="5253" w:type="dxa"/>
            <w:vAlign w:val="center"/>
          </w:tcPr>
          <w:p w14:paraId="4A172973">
            <w:pPr>
              <w:snapToGrid w:val="0"/>
              <w:jc w:val="both"/>
              <w:rPr>
                <w:rFonts w:ascii="宋体" w:hAnsi="宋体"/>
                <w:sz w:val="16"/>
                <w:szCs w:val="16"/>
              </w:rPr>
            </w:pPr>
            <w:r>
              <w:rPr>
                <w:rFonts w:hint="eastAsia" w:ascii="宋体" w:hAnsi="宋体"/>
                <w:sz w:val="16"/>
                <w:szCs w:val="16"/>
              </w:rPr>
              <w:t>管径：DN200；压力：-0.1MPa；温度：50℃；通信：无线或RS485 modbus-RTU</w:t>
            </w:r>
          </w:p>
        </w:tc>
        <w:tc>
          <w:tcPr>
            <w:tcW w:w="367" w:type="dxa"/>
            <w:vAlign w:val="center"/>
          </w:tcPr>
          <w:p w14:paraId="0EEFF15A">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260ACCE8">
            <w:pPr>
              <w:jc w:val="both"/>
              <w:textAlignment w:val="center"/>
              <w:rPr>
                <w:rFonts w:ascii="宋体" w:hAnsi="宋体"/>
                <w:sz w:val="16"/>
                <w:szCs w:val="16"/>
              </w:rPr>
            </w:pPr>
            <w:r>
              <w:rPr>
                <w:rFonts w:hint="eastAsia" w:ascii="宋体" w:hAnsi="宋体"/>
                <w:sz w:val="16"/>
                <w:szCs w:val="16"/>
              </w:rPr>
              <w:t>6</w:t>
            </w:r>
          </w:p>
        </w:tc>
        <w:tc>
          <w:tcPr>
            <w:tcW w:w="501" w:type="dxa"/>
            <w:shd w:val="clear" w:color="auto" w:fill="auto"/>
            <w:vAlign w:val="center"/>
          </w:tcPr>
          <w:p w14:paraId="4CA61F1C">
            <w:pPr>
              <w:snapToGrid w:val="0"/>
              <w:jc w:val="both"/>
              <w:rPr>
                <w:rFonts w:ascii="宋体" w:hAnsi="宋体" w:cstheme="minorEastAsia"/>
                <w:bCs/>
                <w:sz w:val="16"/>
                <w:szCs w:val="16"/>
              </w:rPr>
            </w:pPr>
          </w:p>
        </w:tc>
      </w:tr>
      <w:tr w14:paraId="5E47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B74E1FA">
            <w:pPr>
              <w:snapToGrid w:val="0"/>
              <w:jc w:val="both"/>
              <w:rPr>
                <w:rFonts w:ascii="宋体" w:hAnsi="宋体" w:cstheme="minorEastAsia"/>
                <w:bCs/>
                <w:sz w:val="16"/>
                <w:szCs w:val="16"/>
              </w:rPr>
            </w:pPr>
            <w:r>
              <w:rPr>
                <w:rFonts w:ascii="宋体" w:hAnsi="宋体"/>
                <w:color w:val="000000"/>
                <w:sz w:val="16"/>
                <w:szCs w:val="16"/>
              </w:rPr>
              <w:t>1.5.3</w:t>
            </w:r>
          </w:p>
        </w:tc>
        <w:tc>
          <w:tcPr>
            <w:tcW w:w="1416" w:type="dxa"/>
            <w:gridSpan w:val="2"/>
            <w:tcBorders>
              <w:top w:val="single" w:color="auto" w:sz="4" w:space="0"/>
            </w:tcBorders>
            <w:vAlign w:val="center"/>
          </w:tcPr>
          <w:p w14:paraId="7E0E1FDD">
            <w:pPr>
              <w:snapToGrid w:val="0"/>
              <w:jc w:val="both"/>
              <w:rPr>
                <w:rFonts w:ascii="宋体" w:hAnsi="宋体"/>
                <w:sz w:val="16"/>
                <w:szCs w:val="16"/>
              </w:rPr>
            </w:pPr>
            <w:r>
              <w:rPr>
                <w:rFonts w:hint="eastAsia" w:ascii="宋体" w:hAnsi="宋体"/>
                <w:sz w:val="16"/>
                <w:szCs w:val="16"/>
              </w:rPr>
              <w:t>负压计量表</w:t>
            </w:r>
          </w:p>
        </w:tc>
        <w:tc>
          <w:tcPr>
            <w:tcW w:w="5253" w:type="dxa"/>
            <w:vAlign w:val="center"/>
          </w:tcPr>
          <w:p w14:paraId="7EE95EC9">
            <w:pPr>
              <w:snapToGrid w:val="0"/>
              <w:jc w:val="both"/>
              <w:rPr>
                <w:rFonts w:ascii="宋体" w:hAnsi="宋体"/>
                <w:sz w:val="16"/>
                <w:szCs w:val="16"/>
              </w:rPr>
            </w:pPr>
            <w:r>
              <w:rPr>
                <w:rFonts w:hint="eastAsia" w:ascii="宋体" w:hAnsi="宋体"/>
                <w:sz w:val="16"/>
                <w:szCs w:val="16"/>
              </w:rPr>
              <w:t>管径：DN300；压力：-0.1MPa；温度：50℃；通信：无线或RS485 modbus-RTU</w:t>
            </w:r>
          </w:p>
        </w:tc>
        <w:tc>
          <w:tcPr>
            <w:tcW w:w="367" w:type="dxa"/>
            <w:vAlign w:val="center"/>
          </w:tcPr>
          <w:p w14:paraId="4C2AA1B5">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1A8A8069">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44647E21">
            <w:pPr>
              <w:snapToGrid w:val="0"/>
              <w:jc w:val="both"/>
              <w:rPr>
                <w:rFonts w:ascii="宋体" w:hAnsi="宋体" w:cstheme="minorEastAsia"/>
                <w:bCs/>
                <w:sz w:val="16"/>
                <w:szCs w:val="16"/>
              </w:rPr>
            </w:pPr>
          </w:p>
        </w:tc>
      </w:tr>
      <w:tr w14:paraId="09A1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C4A7152">
            <w:pPr>
              <w:snapToGrid w:val="0"/>
              <w:jc w:val="both"/>
              <w:rPr>
                <w:rFonts w:ascii="宋体" w:hAnsi="宋体" w:cstheme="minorEastAsia"/>
                <w:bCs/>
                <w:sz w:val="16"/>
                <w:szCs w:val="16"/>
              </w:rPr>
            </w:pPr>
            <w:r>
              <w:rPr>
                <w:rFonts w:ascii="宋体" w:hAnsi="宋体"/>
                <w:color w:val="000000"/>
                <w:sz w:val="16"/>
                <w:szCs w:val="16"/>
              </w:rPr>
              <w:t>1.5.4</w:t>
            </w:r>
          </w:p>
        </w:tc>
        <w:tc>
          <w:tcPr>
            <w:tcW w:w="1416" w:type="dxa"/>
            <w:gridSpan w:val="2"/>
            <w:tcBorders>
              <w:top w:val="single" w:color="auto" w:sz="4" w:space="0"/>
            </w:tcBorders>
            <w:vAlign w:val="center"/>
          </w:tcPr>
          <w:p w14:paraId="4EEA4CCD">
            <w:pPr>
              <w:snapToGrid w:val="0"/>
              <w:jc w:val="both"/>
              <w:rPr>
                <w:rFonts w:ascii="宋体" w:hAnsi="宋体"/>
                <w:sz w:val="16"/>
                <w:szCs w:val="16"/>
              </w:rPr>
            </w:pPr>
            <w:r>
              <w:rPr>
                <w:rFonts w:hint="eastAsia" w:ascii="宋体" w:hAnsi="宋体"/>
                <w:sz w:val="16"/>
                <w:szCs w:val="16"/>
              </w:rPr>
              <w:t>负压计量表</w:t>
            </w:r>
          </w:p>
        </w:tc>
        <w:tc>
          <w:tcPr>
            <w:tcW w:w="5253" w:type="dxa"/>
            <w:vAlign w:val="center"/>
          </w:tcPr>
          <w:p w14:paraId="0D91319D">
            <w:pPr>
              <w:snapToGrid w:val="0"/>
              <w:jc w:val="both"/>
              <w:rPr>
                <w:rFonts w:ascii="宋体" w:hAnsi="宋体"/>
                <w:sz w:val="16"/>
                <w:szCs w:val="16"/>
              </w:rPr>
            </w:pPr>
            <w:r>
              <w:rPr>
                <w:rFonts w:hint="eastAsia" w:ascii="宋体" w:hAnsi="宋体"/>
                <w:sz w:val="16"/>
                <w:szCs w:val="16"/>
              </w:rPr>
              <w:t>管径：DN500；压力：-0.1MPa；温度：50℃；通信：无线或RS485 modbus-RTU</w:t>
            </w:r>
          </w:p>
        </w:tc>
        <w:tc>
          <w:tcPr>
            <w:tcW w:w="367" w:type="dxa"/>
            <w:vAlign w:val="center"/>
          </w:tcPr>
          <w:p w14:paraId="3322523F">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46BA14F4">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93FA4C7">
            <w:pPr>
              <w:snapToGrid w:val="0"/>
              <w:jc w:val="both"/>
              <w:rPr>
                <w:rFonts w:ascii="宋体" w:hAnsi="宋体" w:cstheme="minorEastAsia"/>
                <w:bCs/>
                <w:sz w:val="16"/>
                <w:szCs w:val="16"/>
              </w:rPr>
            </w:pPr>
          </w:p>
        </w:tc>
      </w:tr>
      <w:tr w14:paraId="7AAB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97" w:type="dxa"/>
            <w:vAlign w:val="center"/>
          </w:tcPr>
          <w:p w14:paraId="6C21729B">
            <w:pPr>
              <w:snapToGrid w:val="0"/>
              <w:jc w:val="both"/>
              <w:rPr>
                <w:rFonts w:ascii="宋体" w:hAnsi="宋体" w:cstheme="minorEastAsia"/>
                <w:b/>
                <w:bCs/>
                <w:sz w:val="21"/>
                <w:szCs w:val="21"/>
              </w:rPr>
            </w:pPr>
            <w:r>
              <w:rPr>
                <w:rFonts w:ascii="宋体" w:hAnsi="宋体" w:cstheme="minorEastAsia"/>
                <w:b/>
                <w:bCs/>
                <w:sz w:val="21"/>
                <w:szCs w:val="21"/>
              </w:rPr>
              <w:t>1.6</w:t>
            </w:r>
          </w:p>
        </w:tc>
        <w:tc>
          <w:tcPr>
            <w:tcW w:w="8364" w:type="dxa"/>
            <w:gridSpan w:val="6"/>
            <w:shd w:val="clear" w:color="auto" w:fill="auto"/>
          </w:tcPr>
          <w:p w14:paraId="5A3692D4">
            <w:pPr>
              <w:spacing w:after="0" w:line="240" w:lineRule="auto"/>
              <w:rPr>
                <w:rFonts w:ascii="宋体" w:hAnsi="宋体"/>
                <w:b/>
                <w:sz w:val="16"/>
                <w:szCs w:val="16"/>
              </w:rPr>
            </w:pPr>
            <w:r>
              <w:rPr>
                <w:rFonts w:hint="eastAsia" w:ascii="宋体" w:hAnsi="宋体"/>
                <w:b/>
                <w:sz w:val="16"/>
                <w:szCs w:val="16"/>
              </w:rPr>
              <w:t>天然气计量表</w:t>
            </w:r>
          </w:p>
        </w:tc>
      </w:tr>
      <w:tr w14:paraId="4715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AD69D03">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.6.1</w:t>
            </w:r>
          </w:p>
        </w:tc>
        <w:tc>
          <w:tcPr>
            <w:tcW w:w="1416" w:type="dxa"/>
            <w:gridSpan w:val="2"/>
            <w:tcBorders>
              <w:top w:val="single" w:color="auto" w:sz="4" w:space="0"/>
            </w:tcBorders>
            <w:vAlign w:val="center"/>
          </w:tcPr>
          <w:p w14:paraId="06524706">
            <w:pPr>
              <w:snapToGrid w:val="0"/>
              <w:jc w:val="both"/>
              <w:rPr>
                <w:rFonts w:ascii="宋体" w:hAnsi="宋体"/>
                <w:sz w:val="16"/>
                <w:szCs w:val="16"/>
              </w:rPr>
            </w:pPr>
            <w:r>
              <w:rPr>
                <w:rFonts w:hint="eastAsia" w:ascii="宋体" w:hAnsi="宋体"/>
                <w:sz w:val="16"/>
                <w:szCs w:val="16"/>
              </w:rPr>
              <w:t>天然气计量表</w:t>
            </w:r>
          </w:p>
        </w:tc>
        <w:tc>
          <w:tcPr>
            <w:tcW w:w="5253" w:type="dxa"/>
            <w:vAlign w:val="center"/>
          </w:tcPr>
          <w:p w14:paraId="1D7B56DF">
            <w:pPr>
              <w:snapToGrid w:val="0"/>
              <w:jc w:val="both"/>
              <w:rPr>
                <w:rFonts w:ascii="宋体" w:hAnsi="宋体"/>
                <w:sz w:val="16"/>
                <w:szCs w:val="16"/>
              </w:rPr>
            </w:pPr>
            <w:r>
              <w:rPr>
                <w:rFonts w:hint="eastAsia" w:ascii="宋体" w:hAnsi="宋体"/>
                <w:sz w:val="16"/>
                <w:szCs w:val="16"/>
              </w:rPr>
              <w:t>管径：DN50；压力：0.2MPa；温度：50℃；通信：无线或RS485 modbus-RTU</w:t>
            </w:r>
          </w:p>
        </w:tc>
        <w:tc>
          <w:tcPr>
            <w:tcW w:w="367" w:type="dxa"/>
            <w:vAlign w:val="center"/>
          </w:tcPr>
          <w:p w14:paraId="3CF647F6">
            <w:pPr>
              <w:jc w:val="both"/>
              <w:textAlignment w:val="center"/>
              <w:rPr>
                <w:rFonts w:ascii="宋体" w:hAnsi="宋体"/>
                <w:sz w:val="16"/>
                <w:szCs w:val="16"/>
              </w:rPr>
            </w:pPr>
            <w:r>
              <w:rPr>
                <w:rFonts w:hint="eastAsia" w:ascii="宋体" w:hAnsi="宋体"/>
                <w:sz w:val="16"/>
                <w:szCs w:val="16"/>
              </w:rPr>
              <w:t>块</w:t>
            </w:r>
          </w:p>
        </w:tc>
        <w:tc>
          <w:tcPr>
            <w:tcW w:w="827" w:type="dxa"/>
            <w:vAlign w:val="center"/>
          </w:tcPr>
          <w:p w14:paraId="4F336DC0">
            <w:pPr>
              <w:jc w:val="both"/>
              <w:textAlignment w:val="center"/>
              <w:rPr>
                <w:rFonts w:ascii="宋体" w:hAnsi="宋体"/>
                <w:sz w:val="16"/>
                <w:szCs w:val="16"/>
              </w:rPr>
            </w:pPr>
            <w:r>
              <w:rPr>
                <w:rFonts w:hint="eastAsia" w:ascii="宋体" w:hAnsi="宋体"/>
                <w:sz w:val="16"/>
                <w:szCs w:val="16"/>
              </w:rPr>
              <w:t>3</w:t>
            </w:r>
          </w:p>
        </w:tc>
        <w:tc>
          <w:tcPr>
            <w:tcW w:w="501" w:type="dxa"/>
            <w:shd w:val="clear" w:color="auto" w:fill="auto"/>
            <w:vAlign w:val="center"/>
          </w:tcPr>
          <w:p w14:paraId="4A5F5A3C">
            <w:pPr>
              <w:snapToGrid w:val="0"/>
              <w:jc w:val="both"/>
              <w:rPr>
                <w:rFonts w:ascii="宋体" w:hAnsi="宋体" w:cstheme="minorEastAsia"/>
                <w:bCs/>
                <w:sz w:val="16"/>
                <w:szCs w:val="16"/>
              </w:rPr>
            </w:pPr>
          </w:p>
        </w:tc>
      </w:tr>
      <w:tr w14:paraId="1EAD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697" w:type="dxa"/>
            <w:vAlign w:val="center"/>
          </w:tcPr>
          <w:p w14:paraId="7E0F5102">
            <w:pPr>
              <w:snapToGrid w:val="0"/>
              <w:jc w:val="both"/>
              <w:rPr>
                <w:rFonts w:ascii="宋体" w:hAnsi="宋体" w:cstheme="minorEastAsia"/>
                <w:b/>
                <w:bCs/>
                <w:sz w:val="21"/>
                <w:szCs w:val="21"/>
              </w:rPr>
            </w:pPr>
            <w:r>
              <w:rPr>
                <w:rFonts w:ascii="宋体" w:hAnsi="宋体" w:cstheme="minorEastAsia"/>
                <w:b/>
                <w:bCs/>
                <w:sz w:val="21"/>
                <w:szCs w:val="21"/>
              </w:rPr>
              <w:t>1.7</w:t>
            </w:r>
          </w:p>
        </w:tc>
        <w:tc>
          <w:tcPr>
            <w:tcW w:w="8364" w:type="dxa"/>
            <w:gridSpan w:val="6"/>
            <w:shd w:val="clear" w:color="auto" w:fill="auto"/>
          </w:tcPr>
          <w:p w14:paraId="2CA3B044">
            <w:pPr>
              <w:spacing w:after="0" w:line="240" w:lineRule="auto"/>
              <w:rPr>
                <w:rFonts w:ascii="宋体" w:hAnsi="宋体"/>
                <w:b/>
                <w:sz w:val="16"/>
                <w:szCs w:val="16"/>
              </w:rPr>
            </w:pPr>
            <w:r>
              <w:rPr>
                <w:rFonts w:hint="eastAsia" w:ascii="宋体" w:hAnsi="宋体"/>
                <w:b/>
                <w:sz w:val="16"/>
                <w:szCs w:val="16"/>
              </w:rPr>
              <w:t>无线通信数采</w:t>
            </w:r>
          </w:p>
        </w:tc>
      </w:tr>
      <w:tr w14:paraId="05C8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11D88F0C">
            <w:pPr>
              <w:snapToGrid w:val="0"/>
              <w:jc w:val="both"/>
              <w:rPr>
                <w:rFonts w:ascii="宋体" w:hAnsi="宋体" w:cstheme="minorEastAsia"/>
                <w:bCs/>
                <w:sz w:val="16"/>
                <w:szCs w:val="16"/>
              </w:rPr>
            </w:pPr>
            <w:r>
              <w:rPr>
                <w:rFonts w:hint="eastAsia" w:ascii="宋体" w:hAnsi="宋体"/>
                <w:color w:val="000000"/>
                <w:sz w:val="16"/>
                <w:szCs w:val="16"/>
              </w:rPr>
              <w:t>1.7.1</w:t>
            </w:r>
          </w:p>
        </w:tc>
        <w:tc>
          <w:tcPr>
            <w:tcW w:w="1416" w:type="dxa"/>
            <w:gridSpan w:val="2"/>
            <w:tcBorders>
              <w:top w:val="single" w:color="auto" w:sz="4" w:space="0"/>
            </w:tcBorders>
            <w:vAlign w:val="center"/>
          </w:tcPr>
          <w:p w14:paraId="3BF48651">
            <w:pPr>
              <w:snapToGrid w:val="0"/>
              <w:jc w:val="both"/>
              <w:rPr>
                <w:rFonts w:ascii="宋体" w:hAnsi="宋体"/>
                <w:sz w:val="16"/>
                <w:szCs w:val="16"/>
              </w:rPr>
            </w:pPr>
            <w:r>
              <w:rPr>
                <w:rFonts w:hint="eastAsia" w:ascii="宋体" w:hAnsi="宋体"/>
                <w:sz w:val="16"/>
                <w:szCs w:val="16"/>
              </w:rPr>
              <w:t>无线数采发射端</w:t>
            </w:r>
          </w:p>
        </w:tc>
        <w:tc>
          <w:tcPr>
            <w:tcW w:w="5253" w:type="dxa"/>
            <w:vAlign w:val="center"/>
          </w:tcPr>
          <w:p w14:paraId="2ED1ABCA">
            <w:pPr>
              <w:snapToGrid w:val="0"/>
              <w:jc w:val="both"/>
              <w:rPr>
                <w:rFonts w:ascii="宋体" w:hAnsi="宋体"/>
                <w:sz w:val="16"/>
                <w:szCs w:val="16"/>
              </w:rPr>
            </w:pPr>
            <w:r>
              <w:rPr>
                <w:rFonts w:hint="eastAsia" w:ascii="宋体" w:hAnsi="宋体"/>
                <w:sz w:val="16"/>
                <w:szCs w:val="16"/>
              </w:rPr>
              <w:t>LORA发射端,直线通信距离不小于1km</w:t>
            </w:r>
          </w:p>
        </w:tc>
        <w:tc>
          <w:tcPr>
            <w:tcW w:w="367" w:type="dxa"/>
            <w:vAlign w:val="center"/>
          </w:tcPr>
          <w:p w14:paraId="4E4F60CC">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56414774">
            <w:pPr>
              <w:jc w:val="both"/>
              <w:textAlignment w:val="center"/>
              <w:rPr>
                <w:rFonts w:ascii="宋体" w:hAnsi="宋体"/>
                <w:sz w:val="16"/>
                <w:szCs w:val="16"/>
              </w:rPr>
            </w:pPr>
            <w:r>
              <w:rPr>
                <w:rFonts w:hint="eastAsia" w:ascii="宋体" w:hAnsi="宋体"/>
                <w:sz w:val="16"/>
                <w:szCs w:val="16"/>
              </w:rPr>
              <w:t>46</w:t>
            </w:r>
          </w:p>
        </w:tc>
        <w:tc>
          <w:tcPr>
            <w:tcW w:w="501" w:type="dxa"/>
            <w:shd w:val="clear" w:color="auto" w:fill="auto"/>
            <w:vAlign w:val="center"/>
          </w:tcPr>
          <w:p w14:paraId="035F9AF3">
            <w:pPr>
              <w:snapToGrid w:val="0"/>
              <w:jc w:val="both"/>
              <w:rPr>
                <w:rFonts w:ascii="宋体" w:hAnsi="宋体" w:cstheme="minorEastAsia"/>
                <w:bCs/>
                <w:sz w:val="16"/>
                <w:szCs w:val="16"/>
              </w:rPr>
            </w:pPr>
          </w:p>
        </w:tc>
      </w:tr>
      <w:tr w14:paraId="7EB7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64AD9B5">
            <w:pPr>
              <w:snapToGrid w:val="0"/>
              <w:jc w:val="both"/>
              <w:rPr>
                <w:rFonts w:ascii="宋体" w:hAnsi="宋体" w:cstheme="minorEastAsia"/>
                <w:bCs/>
                <w:sz w:val="16"/>
                <w:szCs w:val="16"/>
              </w:rPr>
            </w:pPr>
            <w:r>
              <w:rPr>
                <w:rFonts w:hint="eastAsia" w:ascii="宋体" w:hAnsi="宋体"/>
                <w:color w:val="000000"/>
                <w:sz w:val="16"/>
                <w:szCs w:val="16"/>
              </w:rPr>
              <w:t>1.7.2</w:t>
            </w:r>
          </w:p>
        </w:tc>
        <w:tc>
          <w:tcPr>
            <w:tcW w:w="1416" w:type="dxa"/>
            <w:gridSpan w:val="2"/>
            <w:tcBorders>
              <w:top w:val="single" w:color="auto" w:sz="4" w:space="0"/>
            </w:tcBorders>
            <w:vAlign w:val="center"/>
          </w:tcPr>
          <w:p w14:paraId="608EDDF4">
            <w:pPr>
              <w:snapToGrid w:val="0"/>
              <w:jc w:val="both"/>
              <w:rPr>
                <w:rFonts w:ascii="宋体" w:hAnsi="宋体"/>
                <w:sz w:val="16"/>
                <w:szCs w:val="16"/>
              </w:rPr>
            </w:pPr>
            <w:r>
              <w:rPr>
                <w:rFonts w:hint="eastAsia" w:ascii="宋体" w:hAnsi="宋体"/>
                <w:sz w:val="16"/>
                <w:szCs w:val="16"/>
              </w:rPr>
              <w:t>无线接收接收端</w:t>
            </w:r>
          </w:p>
        </w:tc>
        <w:tc>
          <w:tcPr>
            <w:tcW w:w="5253" w:type="dxa"/>
            <w:vAlign w:val="center"/>
          </w:tcPr>
          <w:p w14:paraId="63E5B460">
            <w:pPr>
              <w:snapToGrid w:val="0"/>
              <w:jc w:val="both"/>
              <w:rPr>
                <w:rFonts w:ascii="宋体" w:hAnsi="宋体"/>
                <w:sz w:val="16"/>
                <w:szCs w:val="16"/>
              </w:rPr>
            </w:pPr>
            <w:r>
              <w:rPr>
                <w:rFonts w:hint="eastAsia" w:ascii="宋体" w:hAnsi="宋体"/>
                <w:sz w:val="16"/>
                <w:szCs w:val="16"/>
              </w:rPr>
              <w:t>LORA接收端,直线通信距离不小于1km</w:t>
            </w:r>
          </w:p>
        </w:tc>
        <w:tc>
          <w:tcPr>
            <w:tcW w:w="367" w:type="dxa"/>
            <w:vAlign w:val="center"/>
          </w:tcPr>
          <w:p w14:paraId="1E7F4B6B">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147CFEA6">
            <w:pPr>
              <w:jc w:val="both"/>
              <w:textAlignment w:val="center"/>
              <w:rPr>
                <w:rFonts w:ascii="宋体" w:hAnsi="宋体"/>
                <w:sz w:val="16"/>
                <w:szCs w:val="16"/>
              </w:rPr>
            </w:pPr>
            <w:r>
              <w:rPr>
                <w:rFonts w:hint="eastAsia" w:ascii="宋体" w:hAnsi="宋体"/>
                <w:sz w:val="16"/>
                <w:szCs w:val="16"/>
              </w:rPr>
              <w:t>8</w:t>
            </w:r>
          </w:p>
        </w:tc>
        <w:tc>
          <w:tcPr>
            <w:tcW w:w="501" w:type="dxa"/>
            <w:shd w:val="clear" w:color="auto" w:fill="auto"/>
            <w:vAlign w:val="center"/>
          </w:tcPr>
          <w:p w14:paraId="36C35598">
            <w:pPr>
              <w:snapToGrid w:val="0"/>
              <w:jc w:val="both"/>
              <w:rPr>
                <w:rFonts w:ascii="宋体" w:hAnsi="宋体" w:cstheme="minorEastAsia"/>
                <w:bCs/>
                <w:sz w:val="16"/>
                <w:szCs w:val="16"/>
              </w:rPr>
            </w:pPr>
          </w:p>
        </w:tc>
      </w:tr>
      <w:tr w14:paraId="0BCA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610DEABB">
            <w:pPr>
              <w:snapToGrid w:val="0"/>
              <w:jc w:val="both"/>
              <w:rPr>
                <w:rFonts w:ascii="宋体" w:hAnsi="宋体" w:cstheme="minorEastAsia"/>
                <w:bCs/>
                <w:sz w:val="16"/>
                <w:szCs w:val="16"/>
              </w:rPr>
            </w:pPr>
            <w:r>
              <w:rPr>
                <w:rFonts w:hint="eastAsia" w:ascii="宋体" w:hAnsi="宋体"/>
                <w:color w:val="000000"/>
                <w:sz w:val="16"/>
                <w:szCs w:val="16"/>
              </w:rPr>
              <w:t>1.7.3</w:t>
            </w:r>
          </w:p>
        </w:tc>
        <w:tc>
          <w:tcPr>
            <w:tcW w:w="1416" w:type="dxa"/>
            <w:gridSpan w:val="2"/>
            <w:tcBorders>
              <w:top w:val="single" w:color="auto" w:sz="4" w:space="0"/>
            </w:tcBorders>
            <w:vAlign w:val="center"/>
          </w:tcPr>
          <w:p w14:paraId="6DF2FB65">
            <w:pPr>
              <w:snapToGrid w:val="0"/>
              <w:jc w:val="both"/>
              <w:rPr>
                <w:rFonts w:ascii="宋体" w:hAnsi="宋体"/>
                <w:sz w:val="16"/>
                <w:szCs w:val="16"/>
              </w:rPr>
            </w:pPr>
            <w:r>
              <w:rPr>
                <w:rFonts w:hint="eastAsia" w:ascii="宋体" w:hAnsi="宋体"/>
                <w:sz w:val="16"/>
                <w:szCs w:val="16"/>
              </w:rPr>
              <w:t>光纤交换机</w:t>
            </w:r>
          </w:p>
        </w:tc>
        <w:tc>
          <w:tcPr>
            <w:tcW w:w="5253" w:type="dxa"/>
            <w:vAlign w:val="center"/>
          </w:tcPr>
          <w:p w14:paraId="1DA34E60">
            <w:pPr>
              <w:snapToGrid w:val="0"/>
              <w:jc w:val="both"/>
              <w:rPr>
                <w:rFonts w:ascii="宋体" w:hAnsi="宋体"/>
                <w:sz w:val="16"/>
                <w:szCs w:val="16"/>
              </w:rPr>
            </w:pPr>
            <w:r>
              <w:rPr>
                <w:rFonts w:hint="eastAsia" w:ascii="宋体" w:hAnsi="宋体"/>
                <w:sz w:val="16"/>
                <w:szCs w:val="16"/>
              </w:rPr>
              <w:t>千兆光纤交换机，8电+2光，含SFP模块</w:t>
            </w:r>
          </w:p>
        </w:tc>
        <w:tc>
          <w:tcPr>
            <w:tcW w:w="367" w:type="dxa"/>
            <w:vAlign w:val="center"/>
          </w:tcPr>
          <w:p w14:paraId="7835C350">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4192C069">
            <w:pPr>
              <w:jc w:val="both"/>
              <w:textAlignment w:val="center"/>
              <w:rPr>
                <w:rFonts w:ascii="宋体" w:hAnsi="宋体"/>
                <w:sz w:val="16"/>
                <w:szCs w:val="16"/>
              </w:rPr>
            </w:pPr>
            <w:r>
              <w:rPr>
                <w:rFonts w:hint="eastAsia" w:ascii="宋体" w:hAnsi="宋体"/>
                <w:sz w:val="16"/>
                <w:szCs w:val="16"/>
              </w:rPr>
              <w:t>8</w:t>
            </w:r>
          </w:p>
        </w:tc>
        <w:tc>
          <w:tcPr>
            <w:tcW w:w="501" w:type="dxa"/>
            <w:shd w:val="clear" w:color="auto" w:fill="auto"/>
            <w:vAlign w:val="center"/>
          </w:tcPr>
          <w:p w14:paraId="7134A5D5">
            <w:pPr>
              <w:snapToGrid w:val="0"/>
              <w:jc w:val="both"/>
              <w:rPr>
                <w:rFonts w:ascii="宋体" w:hAnsi="宋体" w:cstheme="minorEastAsia"/>
                <w:bCs/>
                <w:sz w:val="16"/>
                <w:szCs w:val="16"/>
              </w:rPr>
            </w:pPr>
          </w:p>
        </w:tc>
      </w:tr>
      <w:tr w14:paraId="1DC8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7F469FD7">
            <w:pPr>
              <w:snapToGrid w:val="0"/>
              <w:jc w:val="both"/>
              <w:rPr>
                <w:rFonts w:ascii="宋体" w:hAnsi="宋体" w:cstheme="minorEastAsia"/>
                <w:bCs/>
                <w:sz w:val="16"/>
                <w:szCs w:val="16"/>
              </w:rPr>
            </w:pPr>
            <w:r>
              <w:rPr>
                <w:rFonts w:hint="eastAsia" w:ascii="宋体" w:hAnsi="宋体"/>
                <w:color w:val="000000"/>
                <w:sz w:val="16"/>
                <w:szCs w:val="16"/>
              </w:rPr>
              <w:t>1.7.4</w:t>
            </w:r>
          </w:p>
        </w:tc>
        <w:tc>
          <w:tcPr>
            <w:tcW w:w="1416" w:type="dxa"/>
            <w:gridSpan w:val="2"/>
            <w:tcBorders>
              <w:top w:val="single" w:color="auto" w:sz="4" w:space="0"/>
            </w:tcBorders>
            <w:vAlign w:val="center"/>
          </w:tcPr>
          <w:p w14:paraId="536EF28A">
            <w:pPr>
              <w:snapToGrid w:val="0"/>
              <w:jc w:val="both"/>
              <w:rPr>
                <w:rFonts w:ascii="宋体" w:hAnsi="宋体"/>
                <w:sz w:val="16"/>
                <w:szCs w:val="16"/>
              </w:rPr>
            </w:pPr>
            <w:r>
              <w:rPr>
                <w:rFonts w:hint="eastAsia" w:ascii="宋体" w:hAnsi="宋体"/>
                <w:sz w:val="16"/>
                <w:szCs w:val="16"/>
              </w:rPr>
              <w:t>数采箱</w:t>
            </w:r>
          </w:p>
        </w:tc>
        <w:tc>
          <w:tcPr>
            <w:tcW w:w="5253" w:type="dxa"/>
            <w:vAlign w:val="center"/>
          </w:tcPr>
          <w:p w14:paraId="625B86A6">
            <w:pPr>
              <w:snapToGrid w:val="0"/>
              <w:jc w:val="both"/>
              <w:rPr>
                <w:rFonts w:ascii="宋体" w:hAnsi="宋体"/>
                <w:sz w:val="16"/>
                <w:szCs w:val="16"/>
              </w:rPr>
            </w:pPr>
            <w:r>
              <w:rPr>
                <w:rFonts w:hint="eastAsia" w:ascii="宋体" w:hAnsi="宋体"/>
                <w:sz w:val="16"/>
                <w:szCs w:val="16"/>
              </w:rPr>
              <w:t>室外遮雨棚、导轨、柜内配电断路器、浪涌保护器、接线端子、电源等；</w:t>
            </w:r>
          </w:p>
        </w:tc>
        <w:tc>
          <w:tcPr>
            <w:tcW w:w="367" w:type="dxa"/>
            <w:vAlign w:val="center"/>
          </w:tcPr>
          <w:p w14:paraId="70E29BB2">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407BE098">
            <w:pPr>
              <w:jc w:val="both"/>
              <w:textAlignment w:val="center"/>
              <w:rPr>
                <w:rFonts w:ascii="宋体" w:hAnsi="宋体"/>
                <w:sz w:val="16"/>
                <w:szCs w:val="16"/>
              </w:rPr>
            </w:pPr>
            <w:r>
              <w:rPr>
                <w:rFonts w:hint="eastAsia" w:ascii="宋体" w:hAnsi="宋体"/>
                <w:sz w:val="16"/>
                <w:szCs w:val="16"/>
              </w:rPr>
              <w:t>8</w:t>
            </w:r>
          </w:p>
        </w:tc>
        <w:tc>
          <w:tcPr>
            <w:tcW w:w="501" w:type="dxa"/>
            <w:shd w:val="clear" w:color="auto" w:fill="auto"/>
            <w:vAlign w:val="center"/>
          </w:tcPr>
          <w:p w14:paraId="794316A4">
            <w:pPr>
              <w:snapToGrid w:val="0"/>
              <w:jc w:val="both"/>
              <w:rPr>
                <w:rFonts w:ascii="宋体" w:hAnsi="宋体" w:cstheme="minorEastAsia"/>
                <w:bCs/>
                <w:sz w:val="16"/>
                <w:szCs w:val="16"/>
              </w:rPr>
            </w:pPr>
          </w:p>
        </w:tc>
      </w:tr>
      <w:tr w14:paraId="4766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2AD160E">
            <w:pPr>
              <w:snapToGrid w:val="0"/>
              <w:jc w:val="both"/>
              <w:rPr>
                <w:rFonts w:ascii="宋体" w:hAnsi="宋体" w:cstheme="minorEastAsia"/>
                <w:bCs/>
                <w:sz w:val="16"/>
                <w:szCs w:val="16"/>
              </w:rPr>
            </w:pPr>
            <w:r>
              <w:rPr>
                <w:rFonts w:hint="eastAsia" w:ascii="宋体" w:hAnsi="宋体"/>
                <w:color w:val="000000"/>
                <w:sz w:val="16"/>
                <w:szCs w:val="16"/>
              </w:rPr>
              <w:t>1.7.5</w:t>
            </w:r>
          </w:p>
        </w:tc>
        <w:tc>
          <w:tcPr>
            <w:tcW w:w="1416" w:type="dxa"/>
            <w:gridSpan w:val="2"/>
            <w:tcBorders>
              <w:top w:val="single" w:color="auto" w:sz="4" w:space="0"/>
            </w:tcBorders>
            <w:vAlign w:val="center"/>
          </w:tcPr>
          <w:p w14:paraId="3533F772">
            <w:pPr>
              <w:snapToGrid w:val="0"/>
              <w:jc w:val="both"/>
              <w:rPr>
                <w:rFonts w:ascii="宋体" w:hAnsi="宋体"/>
                <w:sz w:val="16"/>
                <w:szCs w:val="16"/>
              </w:rPr>
            </w:pPr>
            <w:r>
              <w:rPr>
                <w:rFonts w:hint="eastAsia" w:ascii="宋体" w:hAnsi="宋体"/>
                <w:sz w:val="16"/>
                <w:szCs w:val="16"/>
              </w:rPr>
              <w:t>收发端不锈钢数采箱</w:t>
            </w:r>
          </w:p>
        </w:tc>
        <w:tc>
          <w:tcPr>
            <w:tcW w:w="5253" w:type="dxa"/>
            <w:vAlign w:val="center"/>
          </w:tcPr>
          <w:p w14:paraId="25A89A85">
            <w:pPr>
              <w:snapToGrid w:val="0"/>
              <w:jc w:val="both"/>
              <w:rPr>
                <w:rFonts w:ascii="宋体" w:hAnsi="宋体"/>
                <w:sz w:val="16"/>
                <w:szCs w:val="16"/>
              </w:rPr>
            </w:pPr>
            <w:r>
              <w:rPr>
                <w:rFonts w:hint="eastAsia" w:ascii="宋体" w:hAnsi="宋体"/>
                <w:sz w:val="16"/>
                <w:szCs w:val="16"/>
              </w:rPr>
              <w:t>室外不锈钢数采箱，室外遮雨棚、导轨、柜内配电断路器、浪涌保护器、接线端子、电源等；</w:t>
            </w:r>
          </w:p>
        </w:tc>
        <w:tc>
          <w:tcPr>
            <w:tcW w:w="367" w:type="dxa"/>
            <w:vAlign w:val="center"/>
          </w:tcPr>
          <w:p w14:paraId="4C36C946">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6CD46CD4">
            <w:pPr>
              <w:jc w:val="both"/>
              <w:textAlignment w:val="center"/>
              <w:rPr>
                <w:rFonts w:ascii="宋体" w:hAnsi="宋体"/>
                <w:sz w:val="16"/>
                <w:szCs w:val="16"/>
              </w:rPr>
            </w:pPr>
            <w:r>
              <w:rPr>
                <w:rFonts w:hint="eastAsia" w:ascii="宋体" w:hAnsi="宋体"/>
                <w:sz w:val="16"/>
                <w:szCs w:val="16"/>
              </w:rPr>
              <w:t>39</w:t>
            </w:r>
          </w:p>
        </w:tc>
        <w:tc>
          <w:tcPr>
            <w:tcW w:w="501" w:type="dxa"/>
            <w:shd w:val="clear" w:color="auto" w:fill="auto"/>
            <w:vAlign w:val="center"/>
          </w:tcPr>
          <w:p w14:paraId="17DE54C3">
            <w:pPr>
              <w:snapToGrid w:val="0"/>
              <w:jc w:val="both"/>
              <w:rPr>
                <w:rFonts w:ascii="宋体" w:hAnsi="宋体" w:cstheme="minorEastAsia"/>
                <w:bCs/>
                <w:sz w:val="16"/>
                <w:szCs w:val="16"/>
              </w:rPr>
            </w:pPr>
          </w:p>
        </w:tc>
      </w:tr>
      <w:tr w14:paraId="641A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97" w:type="dxa"/>
            <w:vAlign w:val="center"/>
          </w:tcPr>
          <w:p w14:paraId="07D6EDAE">
            <w:pPr>
              <w:snapToGrid w:val="0"/>
              <w:jc w:val="both"/>
              <w:rPr>
                <w:rFonts w:ascii="宋体" w:hAnsi="宋体" w:cstheme="minorEastAsia"/>
                <w:b/>
                <w:bCs/>
                <w:sz w:val="21"/>
                <w:szCs w:val="21"/>
              </w:rPr>
            </w:pPr>
            <w:r>
              <w:rPr>
                <w:rFonts w:ascii="宋体" w:hAnsi="宋体" w:cstheme="minorEastAsia"/>
                <w:b/>
                <w:bCs/>
                <w:sz w:val="21"/>
                <w:szCs w:val="21"/>
              </w:rPr>
              <w:t>1.8</w:t>
            </w:r>
          </w:p>
        </w:tc>
        <w:tc>
          <w:tcPr>
            <w:tcW w:w="8364" w:type="dxa"/>
            <w:gridSpan w:val="6"/>
            <w:shd w:val="clear" w:color="auto" w:fill="auto"/>
          </w:tcPr>
          <w:p w14:paraId="5B68F20B">
            <w:pPr>
              <w:spacing w:after="0" w:line="240" w:lineRule="auto"/>
              <w:rPr>
                <w:rFonts w:ascii="宋体" w:hAnsi="宋体"/>
                <w:b/>
                <w:sz w:val="16"/>
                <w:szCs w:val="16"/>
              </w:rPr>
            </w:pPr>
            <w:r>
              <w:rPr>
                <w:rFonts w:hint="eastAsia" w:ascii="宋体" w:hAnsi="宋体"/>
                <w:b/>
                <w:sz w:val="16"/>
                <w:szCs w:val="16"/>
              </w:rPr>
              <w:t>配电数采站</w:t>
            </w:r>
          </w:p>
        </w:tc>
      </w:tr>
      <w:tr w14:paraId="4AC6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362531A">
            <w:pPr>
              <w:snapToGrid w:val="0"/>
              <w:jc w:val="both"/>
              <w:rPr>
                <w:rFonts w:ascii="宋体" w:hAnsi="宋体" w:cstheme="minorEastAsia"/>
                <w:bCs/>
                <w:sz w:val="16"/>
                <w:szCs w:val="16"/>
              </w:rPr>
            </w:pPr>
            <w:r>
              <w:rPr>
                <w:rFonts w:hint="eastAsia" w:ascii="宋体" w:hAnsi="宋体"/>
                <w:color w:val="000000"/>
                <w:sz w:val="16"/>
                <w:szCs w:val="16"/>
              </w:rPr>
              <w:t>1.8.1</w:t>
            </w:r>
          </w:p>
        </w:tc>
        <w:tc>
          <w:tcPr>
            <w:tcW w:w="1416" w:type="dxa"/>
            <w:gridSpan w:val="2"/>
            <w:tcBorders>
              <w:top w:val="single" w:color="auto" w:sz="4" w:space="0"/>
            </w:tcBorders>
            <w:vAlign w:val="center"/>
          </w:tcPr>
          <w:p w14:paraId="2E1ADA39">
            <w:pPr>
              <w:snapToGrid w:val="0"/>
              <w:jc w:val="both"/>
              <w:rPr>
                <w:rFonts w:ascii="宋体" w:hAnsi="宋体"/>
                <w:sz w:val="16"/>
                <w:szCs w:val="16"/>
              </w:rPr>
            </w:pPr>
            <w:r>
              <w:rPr>
                <w:rFonts w:hint="eastAsia" w:ascii="宋体" w:hAnsi="宋体"/>
                <w:sz w:val="16"/>
                <w:szCs w:val="16"/>
              </w:rPr>
              <w:t>通信管理机</w:t>
            </w:r>
          </w:p>
        </w:tc>
        <w:tc>
          <w:tcPr>
            <w:tcW w:w="5253" w:type="dxa"/>
            <w:vAlign w:val="center"/>
          </w:tcPr>
          <w:p w14:paraId="57328503">
            <w:pPr>
              <w:snapToGrid w:val="0"/>
              <w:jc w:val="both"/>
              <w:rPr>
                <w:rFonts w:ascii="宋体" w:hAnsi="宋体"/>
                <w:sz w:val="16"/>
                <w:szCs w:val="16"/>
              </w:rPr>
            </w:pPr>
            <w:r>
              <w:rPr>
                <w:rFonts w:hint="eastAsia" w:ascii="宋体" w:hAnsi="宋体"/>
                <w:sz w:val="16"/>
                <w:szCs w:val="16"/>
              </w:rPr>
              <w:t>内置Ncomm通信软件 ARM9核心 128M内存  2个网口16个串口通信管理机 机架式安装 工作温度：-40~80℃，支持20000测点，16口通信管理机</w:t>
            </w:r>
          </w:p>
        </w:tc>
        <w:tc>
          <w:tcPr>
            <w:tcW w:w="367" w:type="dxa"/>
            <w:vAlign w:val="center"/>
          </w:tcPr>
          <w:p w14:paraId="53AEAEA6">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6F6EFC81">
            <w:pPr>
              <w:jc w:val="both"/>
              <w:textAlignment w:val="center"/>
              <w:rPr>
                <w:rFonts w:ascii="宋体" w:hAnsi="宋体"/>
                <w:sz w:val="16"/>
                <w:szCs w:val="16"/>
              </w:rPr>
            </w:pPr>
            <w:r>
              <w:rPr>
                <w:rFonts w:hint="eastAsia" w:ascii="宋体" w:hAnsi="宋体"/>
                <w:sz w:val="16"/>
                <w:szCs w:val="16"/>
              </w:rPr>
              <w:t>4</w:t>
            </w:r>
          </w:p>
        </w:tc>
        <w:tc>
          <w:tcPr>
            <w:tcW w:w="501" w:type="dxa"/>
            <w:shd w:val="clear" w:color="auto" w:fill="auto"/>
            <w:vAlign w:val="center"/>
          </w:tcPr>
          <w:p w14:paraId="7F9679AD">
            <w:pPr>
              <w:snapToGrid w:val="0"/>
              <w:jc w:val="both"/>
              <w:rPr>
                <w:rFonts w:ascii="宋体" w:hAnsi="宋体" w:cstheme="minorEastAsia"/>
                <w:bCs/>
                <w:sz w:val="16"/>
                <w:szCs w:val="16"/>
              </w:rPr>
            </w:pPr>
          </w:p>
        </w:tc>
      </w:tr>
      <w:tr w14:paraId="7E56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B031CA9">
            <w:pPr>
              <w:snapToGrid w:val="0"/>
              <w:jc w:val="both"/>
              <w:rPr>
                <w:rFonts w:ascii="宋体" w:hAnsi="宋体" w:cstheme="minorEastAsia"/>
                <w:bCs/>
                <w:sz w:val="16"/>
                <w:szCs w:val="16"/>
              </w:rPr>
            </w:pPr>
            <w:r>
              <w:rPr>
                <w:rFonts w:hint="eastAsia" w:ascii="宋体" w:hAnsi="宋体"/>
                <w:color w:val="000000"/>
                <w:sz w:val="16"/>
                <w:szCs w:val="16"/>
              </w:rPr>
              <w:t>1.8.2</w:t>
            </w:r>
          </w:p>
        </w:tc>
        <w:tc>
          <w:tcPr>
            <w:tcW w:w="1416" w:type="dxa"/>
            <w:gridSpan w:val="2"/>
            <w:tcBorders>
              <w:top w:val="single" w:color="auto" w:sz="4" w:space="0"/>
            </w:tcBorders>
            <w:vAlign w:val="center"/>
          </w:tcPr>
          <w:p w14:paraId="516F4C6C">
            <w:pPr>
              <w:snapToGrid w:val="0"/>
              <w:jc w:val="both"/>
              <w:rPr>
                <w:rFonts w:ascii="宋体" w:hAnsi="宋体"/>
                <w:sz w:val="16"/>
                <w:szCs w:val="16"/>
              </w:rPr>
            </w:pPr>
            <w:r>
              <w:rPr>
                <w:rFonts w:hint="eastAsia" w:ascii="宋体" w:hAnsi="宋体"/>
                <w:sz w:val="16"/>
                <w:szCs w:val="16"/>
              </w:rPr>
              <w:t>通信管理机</w:t>
            </w:r>
          </w:p>
        </w:tc>
        <w:tc>
          <w:tcPr>
            <w:tcW w:w="5253" w:type="dxa"/>
            <w:vAlign w:val="center"/>
          </w:tcPr>
          <w:p w14:paraId="35D39A96">
            <w:pPr>
              <w:snapToGrid w:val="0"/>
              <w:jc w:val="both"/>
              <w:rPr>
                <w:rFonts w:ascii="宋体" w:hAnsi="宋体"/>
                <w:sz w:val="16"/>
                <w:szCs w:val="16"/>
              </w:rPr>
            </w:pPr>
            <w:r>
              <w:rPr>
                <w:rFonts w:hint="eastAsia" w:ascii="宋体" w:hAnsi="宋体"/>
                <w:sz w:val="16"/>
                <w:szCs w:val="16"/>
              </w:rPr>
              <w:t>内置Ncomm通信软件 ARM9核心  128M内存 1个网口8个隔离的RS485串口 通信管理机 9~48V供电 导轨安装 工作温度：-40~80℃，支持20000测点，8口通信管理机；</w:t>
            </w:r>
          </w:p>
        </w:tc>
        <w:tc>
          <w:tcPr>
            <w:tcW w:w="367" w:type="dxa"/>
            <w:vAlign w:val="center"/>
          </w:tcPr>
          <w:p w14:paraId="0D72F08E">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0D8324B2">
            <w:pPr>
              <w:jc w:val="both"/>
              <w:textAlignment w:val="center"/>
              <w:rPr>
                <w:rFonts w:ascii="宋体" w:hAnsi="宋体"/>
                <w:sz w:val="16"/>
                <w:szCs w:val="16"/>
              </w:rPr>
            </w:pPr>
            <w:r>
              <w:rPr>
                <w:rFonts w:hint="eastAsia" w:ascii="宋体" w:hAnsi="宋体"/>
                <w:sz w:val="16"/>
                <w:szCs w:val="16"/>
              </w:rPr>
              <w:t>14</w:t>
            </w:r>
          </w:p>
        </w:tc>
        <w:tc>
          <w:tcPr>
            <w:tcW w:w="501" w:type="dxa"/>
            <w:shd w:val="clear" w:color="auto" w:fill="auto"/>
            <w:vAlign w:val="center"/>
          </w:tcPr>
          <w:p w14:paraId="25566466">
            <w:pPr>
              <w:snapToGrid w:val="0"/>
              <w:jc w:val="both"/>
              <w:rPr>
                <w:rFonts w:ascii="宋体" w:hAnsi="宋体" w:cstheme="minorEastAsia"/>
                <w:bCs/>
                <w:sz w:val="16"/>
                <w:szCs w:val="16"/>
              </w:rPr>
            </w:pPr>
          </w:p>
        </w:tc>
      </w:tr>
      <w:tr w14:paraId="3F3E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20B6FAE">
            <w:pPr>
              <w:snapToGrid w:val="0"/>
              <w:jc w:val="both"/>
              <w:rPr>
                <w:rFonts w:ascii="宋体" w:hAnsi="宋体" w:cstheme="minorEastAsia"/>
                <w:bCs/>
                <w:sz w:val="16"/>
                <w:szCs w:val="16"/>
              </w:rPr>
            </w:pPr>
            <w:r>
              <w:rPr>
                <w:rFonts w:hint="eastAsia" w:ascii="宋体" w:hAnsi="宋体"/>
                <w:color w:val="000000"/>
                <w:sz w:val="16"/>
                <w:szCs w:val="16"/>
              </w:rPr>
              <w:t>1.8.3</w:t>
            </w:r>
          </w:p>
        </w:tc>
        <w:tc>
          <w:tcPr>
            <w:tcW w:w="1416" w:type="dxa"/>
            <w:gridSpan w:val="2"/>
            <w:tcBorders>
              <w:top w:val="single" w:color="auto" w:sz="4" w:space="0"/>
            </w:tcBorders>
            <w:vAlign w:val="center"/>
          </w:tcPr>
          <w:p w14:paraId="1BC83B42">
            <w:pPr>
              <w:snapToGrid w:val="0"/>
              <w:jc w:val="both"/>
              <w:rPr>
                <w:rFonts w:ascii="宋体" w:hAnsi="宋体"/>
                <w:sz w:val="16"/>
                <w:szCs w:val="16"/>
              </w:rPr>
            </w:pPr>
            <w:r>
              <w:rPr>
                <w:rFonts w:hint="eastAsia" w:ascii="宋体" w:hAnsi="宋体"/>
                <w:sz w:val="16"/>
                <w:szCs w:val="16"/>
              </w:rPr>
              <w:t>光纤环网交换机</w:t>
            </w:r>
          </w:p>
        </w:tc>
        <w:tc>
          <w:tcPr>
            <w:tcW w:w="5253" w:type="dxa"/>
            <w:vAlign w:val="center"/>
          </w:tcPr>
          <w:p w14:paraId="6B960CAB">
            <w:pPr>
              <w:snapToGrid w:val="0"/>
              <w:jc w:val="both"/>
              <w:rPr>
                <w:rFonts w:ascii="宋体" w:hAnsi="宋体"/>
                <w:sz w:val="16"/>
                <w:szCs w:val="16"/>
              </w:rPr>
            </w:pPr>
            <w:r>
              <w:rPr>
                <w:rFonts w:hint="eastAsia" w:ascii="宋体" w:hAnsi="宋体"/>
                <w:sz w:val="16"/>
                <w:szCs w:val="16"/>
              </w:rPr>
              <w:t>光纤交换机，8电+2光，含SFP模块</w:t>
            </w:r>
          </w:p>
        </w:tc>
        <w:tc>
          <w:tcPr>
            <w:tcW w:w="367" w:type="dxa"/>
            <w:vAlign w:val="center"/>
          </w:tcPr>
          <w:p w14:paraId="4F575CCA">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658F89B9">
            <w:pPr>
              <w:jc w:val="both"/>
              <w:textAlignment w:val="center"/>
              <w:rPr>
                <w:rFonts w:ascii="宋体" w:hAnsi="宋体"/>
                <w:sz w:val="16"/>
                <w:szCs w:val="16"/>
              </w:rPr>
            </w:pPr>
            <w:r>
              <w:rPr>
                <w:rFonts w:hint="eastAsia" w:ascii="宋体" w:hAnsi="宋体"/>
                <w:sz w:val="16"/>
                <w:szCs w:val="16"/>
              </w:rPr>
              <w:t>4</w:t>
            </w:r>
          </w:p>
        </w:tc>
        <w:tc>
          <w:tcPr>
            <w:tcW w:w="501" w:type="dxa"/>
            <w:shd w:val="clear" w:color="auto" w:fill="auto"/>
            <w:vAlign w:val="center"/>
          </w:tcPr>
          <w:p w14:paraId="229813DB">
            <w:pPr>
              <w:snapToGrid w:val="0"/>
              <w:jc w:val="both"/>
              <w:rPr>
                <w:rFonts w:ascii="宋体" w:hAnsi="宋体" w:cstheme="minorEastAsia"/>
                <w:bCs/>
                <w:sz w:val="16"/>
                <w:szCs w:val="16"/>
              </w:rPr>
            </w:pPr>
          </w:p>
        </w:tc>
      </w:tr>
      <w:tr w14:paraId="1380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AF3EDB9">
            <w:pPr>
              <w:snapToGrid w:val="0"/>
              <w:jc w:val="both"/>
              <w:rPr>
                <w:rFonts w:ascii="宋体" w:hAnsi="宋体" w:cstheme="minorEastAsia"/>
                <w:bCs/>
                <w:sz w:val="16"/>
                <w:szCs w:val="16"/>
              </w:rPr>
            </w:pPr>
            <w:r>
              <w:rPr>
                <w:rFonts w:hint="eastAsia" w:ascii="宋体" w:hAnsi="宋体"/>
                <w:color w:val="000000"/>
                <w:sz w:val="16"/>
                <w:szCs w:val="16"/>
              </w:rPr>
              <w:t>1.8.4</w:t>
            </w:r>
          </w:p>
        </w:tc>
        <w:tc>
          <w:tcPr>
            <w:tcW w:w="1416" w:type="dxa"/>
            <w:gridSpan w:val="2"/>
            <w:tcBorders>
              <w:top w:val="single" w:color="auto" w:sz="4" w:space="0"/>
            </w:tcBorders>
            <w:vAlign w:val="center"/>
          </w:tcPr>
          <w:p w14:paraId="5AF3AD9E">
            <w:pPr>
              <w:snapToGrid w:val="0"/>
              <w:jc w:val="both"/>
              <w:rPr>
                <w:rFonts w:ascii="宋体" w:hAnsi="宋体"/>
                <w:sz w:val="16"/>
                <w:szCs w:val="16"/>
              </w:rPr>
            </w:pPr>
            <w:r>
              <w:rPr>
                <w:rFonts w:hint="eastAsia" w:ascii="宋体" w:hAnsi="宋体"/>
                <w:sz w:val="16"/>
                <w:szCs w:val="16"/>
              </w:rPr>
              <w:t>工控机</w:t>
            </w:r>
          </w:p>
        </w:tc>
        <w:tc>
          <w:tcPr>
            <w:tcW w:w="5253" w:type="dxa"/>
            <w:vAlign w:val="center"/>
          </w:tcPr>
          <w:p w14:paraId="51587751">
            <w:pPr>
              <w:snapToGrid w:val="0"/>
              <w:jc w:val="both"/>
              <w:rPr>
                <w:rFonts w:ascii="宋体" w:hAnsi="宋体"/>
                <w:sz w:val="16"/>
                <w:szCs w:val="16"/>
              </w:rPr>
            </w:pPr>
            <w:r>
              <w:rPr>
                <w:rFonts w:hint="eastAsia" w:ascii="宋体" w:hAnsi="宋体"/>
                <w:sz w:val="16"/>
                <w:szCs w:val="16"/>
              </w:rPr>
              <w:t>ITA-3650/I5-6500四核四线程3.2G/DDR 8G内存/SATA 1T机械硬盘/电源适配器(接口：2*Intel 10/100/1000Mbps网络接口，6*RS232串口，4*USB2.0 接口，2×USB3.0 接口，含操作系统）</w:t>
            </w:r>
          </w:p>
        </w:tc>
        <w:tc>
          <w:tcPr>
            <w:tcW w:w="367" w:type="dxa"/>
            <w:vAlign w:val="center"/>
          </w:tcPr>
          <w:p w14:paraId="6FD68926">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145858AA">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6FD32D5E">
            <w:pPr>
              <w:snapToGrid w:val="0"/>
              <w:jc w:val="both"/>
              <w:rPr>
                <w:rFonts w:ascii="宋体" w:hAnsi="宋体" w:cstheme="minorEastAsia"/>
                <w:bCs/>
                <w:sz w:val="16"/>
                <w:szCs w:val="16"/>
              </w:rPr>
            </w:pPr>
          </w:p>
        </w:tc>
      </w:tr>
      <w:tr w14:paraId="3697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C713897">
            <w:pPr>
              <w:snapToGrid w:val="0"/>
              <w:jc w:val="both"/>
              <w:rPr>
                <w:rFonts w:ascii="宋体" w:hAnsi="宋体" w:cstheme="minorEastAsia"/>
                <w:bCs/>
                <w:sz w:val="16"/>
                <w:szCs w:val="16"/>
              </w:rPr>
            </w:pPr>
            <w:r>
              <w:rPr>
                <w:rFonts w:hint="eastAsia" w:ascii="宋体" w:hAnsi="宋体"/>
                <w:color w:val="000000"/>
                <w:sz w:val="16"/>
                <w:szCs w:val="16"/>
              </w:rPr>
              <w:t>1.8.5</w:t>
            </w:r>
          </w:p>
        </w:tc>
        <w:tc>
          <w:tcPr>
            <w:tcW w:w="1416" w:type="dxa"/>
            <w:gridSpan w:val="2"/>
            <w:tcBorders>
              <w:top w:val="single" w:color="auto" w:sz="4" w:space="0"/>
            </w:tcBorders>
            <w:vAlign w:val="center"/>
          </w:tcPr>
          <w:p w14:paraId="5E94CD39">
            <w:pPr>
              <w:snapToGrid w:val="0"/>
              <w:jc w:val="both"/>
              <w:rPr>
                <w:rFonts w:ascii="宋体" w:hAnsi="宋体"/>
                <w:sz w:val="16"/>
                <w:szCs w:val="16"/>
              </w:rPr>
            </w:pPr>
            <w:r>
              <w:rPr>
                <w:rFonts w:hint="eastAsia" w:ascii="宋体" w:hAnsi="宋体"/>
                <w:sz w:val="16"/>
                <w:szCs w:val="16"/>
              </w:rPr>
              <w:t>数采网关</w:t>
            </w:r>
          </w:p>
        </w:tc>
        <w:tc>
          <w:tcPr>
            <w:tcW w:w="5253" w:type="dxa"/>
            <w:vAlign w:val="center"/>
          </w:tcPr>
          <w:p w14:paraId="0D91F1C8">
            <w:pPr>
              <w:snapToGrid w:val="0"/>
              <w:jc w:val="both"/>
              <w:rPr>
                <w:rFonts w:ascii="宋体" w:hAnsi="宋体"/>
                <w:sz w:val="16"/>
                <w:szCs w:val="16"/>
              </w:rPr>
            </w:pPr>
            <w:r>
              <w:rPr>
                <w:rFonts w:hint="eastAsia" w:ascii="宋体" w:hAnsi="宋体"/>
                <w:sz w:val="16"/>
                <w:szCs w:val="16"/>
              </w:rPr>
              <w:t>系统：LINUX</w:t>
            </w:r>
            <w:r>
              <w:rPr>
                <w:rFonts w:hint="eastAsia" w:ascii="宋体" w:hAnsi="宋体"/>
                <w:sz w:val="16"/>
                <w:szCs w:val="16"/>
              </w:rPr>
              <w:br w:type="textWrapping"/>
            </w:r>
            <w:r>
              <w:rPr>
                <w:rFonts w:hint="eastAsia" w:ascii="宋体" w:hAnsi="宋体"/>
                <w:sz w:val="16"/>
                <w:szCs w:val="16"/>
              </w:rPr>
              <w:t>内存：1G</w:t>
            </w:r>
            <w:r>
              <w:rPr>
                <w:rFonts w:hint="eastAsia" w:ascii="宋体" w:hAnsi="宋体"/>
                <w:sz w:val="16"/>
                <w:szCs w:val="16"/>
              </w:rPr>
              <w:br w:type="textWrapping"/>
            </w:r>
            <w:r>
              <w:rPr>
                <w:rFonts w:hint="eastAsia" w:ascii="宋体" w:hAnsi="宋体"/>
                <w:sz w:val="16"/>
                <w:szCs w:val="16"/>
              </w:rPr>
              <w:t>处理器：4核1.2GHz</w:t>
            </w:r>
            <w:r>
              <w:rPr>
                <w:rFonts w:hint="eastAsia" w:ascii="宋体" w:hAnsi="宋体"/>
                <w:sz w:val="16"/>
                <w:szCs w:val="16"/>
              </w:rPr>
              <w:br w:type="textWrapping"/>
            </w:r>
            <w:r>
              <w:rPr>
                <w:rFonts w:hint="eastAsia" w:ascii="宋体" w:hAnsi="宋体"/>
                <w:sz w:val="16"/>
                <w:szCs w:val="16"/>
              </w:rPr>
              <w:t>Flash：8G，</w:t>
            </w:r>
            <w:r>
              <w:rPr>
                <w:rFonts w:hint="eastAsia" w:ascii="宋体" w:hAnsi="宋体"/>
                <w:sz w:val="16"/>
                <w:szCs w:val="16"/>
              </w:rPr>
              <w:br w:type="textWrapping"/>
            </w:r>
            <w:r>
              <w:rPr>
                <w:rFonts w:hint="eastAsia" w:ascii="宋体" w:hAnsi="宋体"/>
                <w:sz w:val="16"/>
                <w:szCs w:val="16"/>
              </w:rPr>
              <w:t>安装方式：导轨式</w:t>
            </w:r>
            <w:r>
              <w:rPr>
                <w:rFonts w:hint="eastAsia" w:ascii="宋体" w:hAnsi="宋体"/>
                <w:sz w:val="16"/>
                <w:szCs w:val="16"/>
              </w:rPr>
              <w:br w:type="textWrapping"/>
            </w:r>
            <w:r>
              <w:rPr>
                <w:rFonts w:hint="eastAsia" w:ascii="宋体" w:hAnsi="宋体"/>
                <w:sz w:val="16"/>
                <w:szCs w:val="16"/>
              </w:rPr>
              <w:t>尺寸：147*95*35mm</w:t>
            </w:r>
            <w:r>
              <w:rPr>
                <w:rFonts w:hint="eastAsia" w:ascii="宋体" w:hAnsi="宋体"/>
                <w:sz w:val="16"/>
                <w:szCs w:val="16"/>
              </w:rPr>
              <w:br w:type="textWrapping"/>
            </w:r>
            <w:r>
              <w:rPr>
                <w:rFonts w:hint="eastAsia" w:ascii="宋体" w:hAnsi="宋体"/>
                <w:sz w:val="16"/>
                <w:szCs w:val="16"/>
              </w:rPr>
              <w:t>功耗：≤8W</w:t>
            </w:r>
            <w:r>
              <w:rPr>
                <w:rFonts w:hint="eastAsia" w:ascii="宋体" w:hAnsi="宋体"/>
                <w:sz w:val="16"/>
                <w:szCs w:val="16"/>
              </w:rPr>
              <w:br w:type="textWrapping"/>
            </w:r>
            <w:r>
              <w:rPr>
                <w:rFonts w:hint="eastAsia" w:ascii="宋体" w:hAnsi="宋体"/>
                <w:sz w:val="16"/>
                <w:szCs w:val="16"/>
              </w:rPr>
              <w:t>电源：AC/DC 12-24V</w:t>
            </w:r>
            <w:r>
              <w:rPr>
                <w:rFonts w:hint="eastAsia" w:ascii="宋体" w:hAnsi="宋体"/>
                <w:sz w:val="16"/>
                <w:szCs w:val="16"/>
              </w:rPr>
              <w:br w:type="textWrapping"/>
            </w:r>
            <w:r>
              <w:rPr>
                <w:rFonts w:hint="eastAsia" w:ascii="宋体" w:hAnsi="宋体"/>
                <w:sz w:val="16"/>
                <w:szCs w:val="16"/>
              </w:rPr>
              <w:t>串口：2个RS485串口、2个RS485/RS232串口</w:t>
            </w:r>
            <w:r>
              <w:rPr>
                <w:rFonts w:hint="eastAsia" w:ascii="宋体" w:hAnsi="宋体"/>
                <w:sz w:val="16"/>
                <w:szCs w:val="16"/>
              </w:rPr>
              <w:br w:type="textWrapping"/>
            </w:r>
            <w:r>
              <w:rPr>
                <w:rFonts w:hint="eastAsia" w:ascii="宋体" w:hAnsi="宋体"/>
                <w:sz w:val="16"/>
                <w:szCs w:val="16"/>
              </w:rPr>
              <w:t>网络：2个高性能100M/10M以太网接口，内置服务，支持转为BACnet、Modbus、OPC UA、MQTT/云服务器、IEC61850服务器；</w:t>
            </w:r>
            <w:r>
              <w:rPr>
                <w:rFonts w:hint="eastAsia" w:ascii="宋体" w:hAnsi="宋体"/>
                <w:sz w:val="16"/>
                <w:szCs w:val="16"/>
              </w:rPr>
              <w:br w:type="textWrapping"/>
            </w:r>
            <w:r>
              <w:rPr>
                <w:rFonts w:hint="eastAsia" w:ascii="宋体" w:hAnsi="宋体"/>
                <w:sz w:val="16"/>
                <w:szCs w:val="16"/>
              </w:rPr>
              <w:t>·支持短信平台、微信、钉钉、邮件报警；</w:t>
            </w:r>
          </w:p>
        </w:tc>
        <w:tc>
          <w:tcPr>
            <w:tcW w:w="367" w:type="dxa"/>
            <w:vAlign w:val="center"/>
          </w:tcPr>
          <w:p w14:paraId="79B0A79F">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091B705B">
            <w:pPr>
              <w:jc w:val="both"/>
              <w:textAlignment w:val="center"/>
              <w:rPr>
                <w:rFonts w:ascii="宋体" w:hAnsi="宋体"/>
                <w:sz w:val="16"/>
                <w:szCs w:val="16"/>
              </w:rPr>
            </w:pPr>
            <w:r>
              <w:rPr>
                <w:rFonts w:hint="eastAsia" w:ascii="宋体" w:hAnsi="宋体"/>
                <w:sz w:val="16"/>
                <w:szCs w:val="16"/>
              </w:rPr>
              <w:t>5</w:t>
            </w:r>
          </w:p>
        </w:tc>
        <w:tc>
          <w:tcPr>
            <w:tcW w:w="501" w:type="dxa"/>
            <w:shd w:val="clear" w:color="auto" w:fill="auto"/>
            <w:vAlign w:val="center"/>
          </w:tcPr>
          <w:p w14:paraId="15BE0A24">
            <w:pPr>
              <w:snapToGrid w:val="0"/>
              <w:jc w:val="both"/>
              <w:rPr>
                <w:rFonts w:ascii="宋体" w:hAnsi="宋体" w:cstheme="minorEastAsia"/>
                <w:bCs/>
                <w:sz w:val="16"/>
                <w:szCs w:val="16"/>
              </w:rPr>
            </w:pPr>
          </w:p>
        </w:tc>
      </w:tr>
      <w:tr w14:paraId="60D8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97" w:type="dxa"/>
            <w:vAlign w:val="center"/>
          </w:tcPr>
          <w:p w14:paraId="6CF88A86">
            <w:pPr>
              <w:snapToGrid w:val="0"/>
              <w:jc w:val="both"/>
              <w:rPr>
                <w:rFonts w:ascii="宋体" w:hAnsi="宋体" w:cstheme="minorEastAsia"/>
                <w:b/>
                <w:bCs/>
                <w:sz w:val="21"/>
                <w:szCs w:val="21"/>
              </w:rPr>
            </w:pPr>
            <w:r>
              <w:rPr>
                <w:rFonts w:ascii="宋体" w:hAnsi="宋体" w:cstheme="minorEastAsia"/>
                <w:b/>
                <w:bCs/>
                <w:sz w:val="21"/>
                <w:szCs w:val="21"/>
              </w:rPr>
              <w:t>1.9</w:t>
            </w:r>
          </w:p>
        </w:tc>
        <w:tc>
          <w:tcPr>
            <w:tcW w:w="8364" w:type="dxa"/>
            <w:gridSpan w:val="6"/>
            <w:shd w:val="clear" w:color="auto" w:fill="auto"/>
          </w:tcPr>
          <w:p w14:paraId="15E72DE5">
            <w:pPr>
              <w:spacing w:after="0" w:line="240" w:lineRule="auto"/>
              <w:rPr>
                <w:rFonts w:ascii="宋体" w:hAnsi="宋体"/>
                <w:b/>
                <w:sz w:val="16"/>
                <w:szCs w:val="16"/>
              </w:rPr>
            </w:pPr>
            <w:r>
              <w:rPr>
                <w:rFonts w:hint="eastAsia" w:ascii="宋体" w:hAnsi="宋体"/>
                <w:b/>
                <w:sz w:val="16"/>
                <w:szCs w:val="16"/>
              </w:rPr>
              <w:t>仪表数采站</w:t>
            </w:r>
          </w:p>
        </w:tc>
      </w:tr>
      <w:tr w14:paraId="6D12E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68A9AC2">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.9.1</w:t>
            </w:r>
          </w:p>
        </w:tc>
        <w:tc>
          <w:tcPr>
            <w:tcW w:w="1416" w:type="dxa"/>
            <w:gridSpan w:val="2"/>
            <w:tcBorders>
              <w:top w:val="single" w:color="auto" w:sz="4" w:space="0"/>
            </w:tcBorders>
            <w:vAlign w:val="center"/>
          </w:tcPr>
          <w:p w14:paraId="4E5FD912">
            <w:pPr>
              <w:snapToGrid w:val="0"/>
              <w:jc w:val="both"/>
              <w:rPr>
                <w:rFonts w:ascii="宋体" w:hAnsi="宋体"/>
                <w:sz w:val="16"/>
                <w:szCs w:val="16"/>
              </w:rPr>
            </w:pPr>
            <w:r>
              <w:rPr>
                <w:rFonts w:hint="eastAsia" w:ascii="宋体" w:hAnsi="宋体"/>
                <w:sz w:val="16"/>
                <w:szCs w:val="16"/>
              </w:rPr>
              <w:t>PLC系统</w:t>
            </w:r>
          </w:p>
        </w:tc>
        <w:tc>
          <w:tcPr>
            <w:tcW w:w="5253" w:type="dxa"/>
            <w:vAlign w:val="center"/>
          </w:tcPr>
          <w:p w14:paraId="4E176426">
            <w:pPr>
              <w:snapToGrid w:val="0"/>
              <w:jc w:val="both"/>
              <w:rPr>
                <w:rFonts w:ascii="宋体" w:hAnsi="宋体"/>
                <w:sz w:val="16"/>
                <w:szCs w:val="16"/>
              </w:rPr>
            </w:pPr>
            <w:r>
              <w:rPr>
                <w:rFonts w:hint="eastAsia" w:ascii="宋体" w:hAnsi="宋体"/>
                <w:sz w:val="16"/>
                <w:szCs w:val="16"/>
              </w:rPr>
              <w:t>每个仪表数采站：</w:t>
            </w:r>
            <w:r>
              <w:rPr>
                <w:rFonts w:hint="eastAsia" w:ascii="宋体" w:hAnsi="宋体"/>
                <w:sz w:val="16"/>
                <w:szCs w:val="16"/>
              </w:rPr>
              <w:br w:type="textWrapping"/>
            </w:r>
            <w:r>
              <w:rPr>
                <w:rFonts w:hint="eastAsia" w:ascii="宋体" w:hAnsi="宋体"/>
                <w:sz w:val="16"/>
                <w:szCs w:val="16"/>
              </w:rPr>
              <w:t>1、CPU需支持信号模块扩展不小于8个，输出PN协议；</w:t>
            </w:r>
            <w:r>
              <w:rPr>
                <w:rFonts w:hint="eastAsia" w:ascii="宋体" w:hAnsi="宋体"/>
                <w:sz w:val="16"/>
                <w:szCs w:val="16"/>
              </w:rPr>
              <w:br w:type="textWrapping"/>
            </w:r>
            <w:r>
              <w:rPr>
                <w:rFonts w:hint="eastAsia" w:ascii="宋体" w:hAnsi="宋体"/>
                <w:sz w:val="16"/>
                <w:szCs w:val="16"/>
              </w:rPr>
              <w:t>2、配置对应PLC导轨；</w:t>
            </w:r>
            <w:r>
              <w:rPr>
                <w:rFonts w:hint="eastAsia" w:ascii="宋体" w:hAnsi="宋体"/>
                <w:sz w:val="16"/>
                <w:szCs w:val="16"/>
              </w:rPr>
              <w:br w:type="textWrapping"/>
            </w:r>
            <w:r>
              <w:rPr>
                <w:rFonts w:hint="eastAsia" w:ascii="宋体" w:hAnsi="宋体"/>
                <w:sz w:val="16"/>
                <w:szCs w:val="16"/>
              </w:rPr>
              <w:t>3、配置CPU对应DP模块；</w:t>
            </w:r>
            <w:r>
              <w:rPr>
                <w:rFonts w:hint="eastAsia" w:ascii="宋体" w:hAnsi="宋体"/>
                <w:sz w:val="16"/>
                <w:szCs w:val="16"/>
              </w:rPr>
              <w:br w:type="textWrapping"/>
            </w:r>
            <w:r>
              <w:rPr>
                <w:rFonts w:hint="eastAsia" w:ascii="宋体" w:hAnsi="宋体"/>
                <w:sz w:val="16"/>
                <w:szCs w:val="16"/>
              </w:rPr>
              <w:t>4、配置不小于4MB存储卡；</w:t>
            </w:r>
            <w:r>
              <w:rPr>
                <w:rFonts w:hint="eastAsia" w:ascii="宋体" w:hAnsi="宋体"/>
                <w:sz w:val="16"/>
                <w:szCs w:val="16"/>
              </w:rPr>
              <w:br w:type="textWrapping"/>
            </w:r>
            <w:r>
              <w:rPr>
                <w:rFonts w:hint="eastAsia" w:ascii="宋体" w:hAnsi="宋体"/>
                <w:sz w:val="16"/>
                <w:szCs w:val="16"/>
              </w:rPr>
              <w:t>5、配置8AI 13位模块2块；</w:t>
            </w:r>
          </w:p>
        </w:tc>
        <w:tc>
          <w:tcPr>
            <w:tcW w:w="367" w:type="dxa"/>
            <w:vAlign w:val="center"/>
          </w:tcPr>
          <w:p w14:paraId="337DB649">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78C6D71F">
            <w:pPr>
              <w:jc w:val="both"/>
              <w:textAlignment w:val="center"/>
              <w:rPr>
                <w:rFonts w:ascii="宋体" w:hAnsi="宋体"/>
                <w:sz w:val="16"/>
                <w:szCs w:val="16"/>
              </w:rPr>
            </w:pPr>
            <w:r>
              <w:rPr>
                <w:rFonts w:hint="eastAsia" w:ascii="宋体" w:hAnsi="宋体"/>
                <w:sz w:val="16"/>
                <w:szCs w:val="16"/>
              </w:rPr>
              <w:t>16</w:t>
            </w:r>
          </w:p>
        </w:tc>
        <w:tc>
          <w:tcPr>
            <w:tcW w:w="501" w:type="dxa"/>
            <w:shd w:val="clear" w:color="auto" w:fill="auto"/>
            <w:vAlign w:val="center"/>
          </w:tcPr>
          <w:p w14:paraId="273666D0">
            <w:pPr>
              <w:snapToGrid w:val="0"/>
              <w:jc w:val="both"/>
              <w:rPr>
                <w:rFonts w:ascii="宋体" w:hAnsi="宋体" w:cstheme="minorEastAsia"/>
                <w:bCs/>
                <w:sz w:val="16"/>
                <w:szCs w:val="16"/>
              </w:rPr>
            </w:pPr>
          </w:p>
        </w:tc>
      </w:tr>
      <w:tr w14:paraId="1B53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97" w:type="dxa"/>
            <w:vAlign w:val="center"/>
          </w:tcPr>
          <w:p w14:paraId="0A83E5A7">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.9.2</w:t>
            </w:r>
          </w:p>
        </w:tc>
        <w:tc>
          <w:tcPr>
            <w:tcW w:w="1416" w:type="dxa"/>
            <w:gridSpan w:val="2"/>
            <w:tcBorders>
              <w:top w:val="single" w:color="auto" w:sz="4" w:space="0"/>
            </w:tcBorders>
            <w:vAlign w:val="center"/>
          </w:tcPr>
          <w:p w14:paraId="010DEFF1">
            <w:pPr>
              <w:snapToGrid w:val="0"/>
              <w:jc w:val="both"/>
              <w:rPr>
                <w:rFonts w:ascii="宋体" w:hAnsi="宋体"/>
                <w:sz w:val="16"/>
                <w:szCs w:val="16"/>
              </w:rPr>
            </w:pPr>
            <w:r>
              <w:rPr>
                <w:rFonts w:hint="eastAsia" w:ascii="宋体" w:hAnsi="宋体"/>
                <w:sz w:val="16"/>
                <w:szCs w:val="16"/>
              </w:rPr>
              <w:t>光纤环网交换机</w:t>
            </w:r>
          </w:p>
        </w:tc>
        <w:tc>
          <w:tcPr>
            <w:tcW w:w="5253" w:type="dxa"/>
            <w:vAlign w:val="center"/>
          </w:tcPr>
          <w:p w14:paraId="0EBAB3D7">
            <w:pPr>
              <w:snapToGrid w:val="0"/>
              <w:jc w:val="both"/>
              <w:rPr>
                <w:rFonts w:ascii="宋体" w:hAnsi="宋体"/>
                <w:sz w:val="16"/>
                <w:szCs w:val="16"/>
              </w:rPr>
            </w:pPr>
            <w:r>
              <w:rPr>
                <w:rFonts w:hint="eastAsia" w:ascii="宋体" w:hAnsi="宋体"/>
                <w:sz w:val="16"/>
                <w:szCs w:val="16"/>
              </w:rPr>
              <w:t>2对光口，2电口，含SFP模块</w:t>
            </w:r>
          </w:p>
        </w:tc>
        <w:tc>
          <w:tcPr>
            <w:tcW w:w="367" w:type="dxa"/>
            <w:vAlign w:val="center"/>
          </w:tcPr>
          <w:p w14:paraId="00DD0A7E">
            <w:pPr>
              <w:jc w:val="both"/>
              <w:textAlignment w:val="center"/>
              <w:rPr>
                <w:rFonts w:ascii="宋体" w:hAnsi="宋体"/>
                <w:sz w:val="16"/>
                <w:szCs w:val="16"/>
              </w:rPr>
            </w:pPr>
            <w:r>
              <w:rPr>
                <w:rFonts w:hint="eastAsia" w:ascii="宋体" w:hAnsi="宋体"/>
                <w:sz w:val="16"/>
                <w:szCs w:val="16"/>
              </w:rPr>
              <w:t>台</w:t>
            </w:r>
          </w:p>
        </w:tc>
        <w:tc>
          <w:tcPr>
            <w:tcW w:w="827" w:type="dxa"/>
            <w:vAlign w:val="center"/>
          </w:tcPr>
          <w:p w14:paraId="3AE82FDF">
            <w:pPr>
              <w:jc w:val="both"/>
              <w:textAlignment w:val="center"/>
              <w:rPr>
                <w:rFonts w:ascii="宋体" w:hAnsi="宋体"/>
                <w:sz w:val="16"/>
                <w:szCs w:val="16"/>
              </w:rPr>
            </w:pPr>
            <w:r>
              <w:rPr>
                <w:rFonts w:hint="eastAsia" w:ascii="宋体" w:hAnsi="宋体"/>
                <w:sz w:val="16"/>
                <w:szCs w:val="16"/>
              </w:rPr>
              <w:t>16</w:t>
            </w:r>
          </w:p>
        </w:tc>
        <w:tc>
          <w:tcPr>
            <w:tcW w:w="501" w:type="dxa"/>
            <w:shd w:val="clear" w:color="auto" w:fill="auto"/>
            <w:vAlign w:val="center"/>
          </w:tcPr>
          <w:p w14:paraId="4079CA52">
            <w:pPr>
              <w:snapToGrid w:val="0"/>
              <w:jc w:val="both"/>
              <w:rPr>
                <w:rFonts w:ascii="宋体" w:hAnsi="宋体" w:cstheme="minorEastAsia"/>
                <w:bCs/>
                <w:sz w:val="16"/>
                <w:szCs w:val="16"/>
              </w:rPr>
            </w:pPr>
          </w:p>
        </w:tc>
      </w:tr>
      <w:tr w14:paraId="66F1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97" w:type="dxa"/>
            <w:vAlign w:val="center"/>
          </w:tcPr>
          <w:p w14:paraId="5CEBD79F">
            <w:pPr>
              <w:snapToGrid w:val="0"/>
              <w:jc w:val="both"/>
              <w:rPr>
                <w:rFonts w:ascii="宋体" w:hAnsi="宋体" w:cstheme="minorEastAsia"/>
                <w:b/>
                <w:bCs/>
                <w:sz w:val="16"/>
                <w:szCs w:val="16"/>
              </w:rPr>
            </w:pPr>
            <w:r>
              <w:rPr>
                <w:rFonts w:hint="eastAsia" w:ascii="宋体" w:hAnsi="宋体" w:cstheme="minorEastAsia"/>
                <w:b/>
                <w:bCs/>
                <w:sz w:val="16"/>
                <w:szCs w:val="16"/>
              </w:rPr>
              <w:t>1.10</w:t>
            </w:r>
          </w:p>
        </w:tc>
        <w:tc>
          <w:tcPr>
            <w:tcW w:w="8364" w:type="dxa"/>
            <w:gridSpan w:val="6"/>
            <w:shd w:val="clear" w:color="auto" w:fill="auto"/>
          </w:tcPr>
          <w:p w14:paraId="5EBBD543">
            <w:pPr>
              <w:spacing w:after="0" w:line="240" w:lineRule="auto"/>
              <w:rPr>
                <w:rFonts w:ascii="宋体" w:hAnsi="宋体"/>
                <w:b/>
                <w:sz w:val="16"/>
                <w:szCs w:val="16"/>
              </w:rPr>
            </w:pPr>
            <w:r>
              <w:rPr>
                <w:rFonts w:hint="eastAsia" w:ascii="宋体" w:hAnsi="宋体"/>
                <w:b/>
                <w:sz w:val="16"/>
                <w:szCs w:val="16"/>
              </w:rPr>
              <w:t>室外气象站硬件（用于空调智能控制、能源需求预测）</w:t>
            </w:r>
          </w:p>
        </w:tc>
      </w:tr>
      <w:tr w14:paraId="7E23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527E068">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.10.1</w:t>
            </w:r>
          </w:p>
        </w:tc>
        <w:tc>
          <w:tcPr>
            <w:tcW w:w="1416" w:type="dxa"/>
            <w:gridSpan w:val="2"/>
            <w:tcBorders>
              <w:top w:val="single" w:color="auto" w:sz="4" w:space="0"/>
            </w:tcBorders>
            <w:vAlign w:val="center"/>
          </w:tcPr>
          <w:p w14:paraId="05D8AEA8">
            <w:pPr>
              <w:snapToGrid w:val="0"/>
              <w:jc w:val="both"/>
              <w:rPr>
                <w:rFonts w:ascii="宋体" w:hAnsi="宋体"/>
                <w:sz w:val="16"/>
                <w:szCs w:val="16"/>
              </w:rPr>
            </w:pPr>
            <w:r>
              <w:rPr>
                <w:rFonts w:hint="eastAsia" w:ascii="宋体" w:hAnsi="宋体"/>
                <w:sz w:val="16"/>
                <w:szCs w:val="16"/>
              </w:rPr>
              <w:t>室外气象站</w:t>
            </w:r>
          </w:p>
        </w:tc>
        <w:tc>
          <w:tcPr>
            <w:tcW w:w="5253" w:type="dxa"/>
            <w:vAlign w:val="center"/>
          </w:tcPr>
          <w:p w14:paraId="64B11156">
            <w:pPr>
              <w:snapToGrid w:val="0"/>
              <w:jc w:val="both"/>
              <w:rPr>
                <w:rFonts w:ascii="宋体" w:hAnsi="宋体"/>
                <w:sz w:val="16"/>
                <w:szCs w:val="16"/>
              </w:rPr>
            </w:pPr>
            <w:r>
              <w:rPr>
                <w:rFonts w:hint="eastAsia" w:ascii="宋体" w:hAnsi="宋体"/>
                <w:sz w:val="16"/>
                <w:szCs w:val="16"/>
              </w:rPr>
              <w:t>温度、湿度、气压、雨量、风速、风向、紫外线照度，具备RS485 modbus-RTU通讯接口等</w:t>
            </w:r>
          </w:p>
        </w:tc>
        <w:tc>
          <w:tcPr>
            <w:tcW w:w="367" w:type="dxa"/>
            <w:vAlign w:val="center"/>
          </w:tcPr>
          <w:p w14:paraId="0CDBF060">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6CA13ACF">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ECB73B8">
            <w:pPr>
              <w:snapToGrid w:val="0"/>
              <w:jc w:val="both"/>
              <w:rPr>
                <w:rFonts w:ascii="宋体" w:hAnsi="宋体" w:cstheme="minorEastAsia"/>
                <w:bCs/>
                <w:sz w:val="16"/>
                <w:szCs w:val="16"/>
              </w:rPr>
            </w:pPr>
          </w:p>
        </w:tc>
      </w:tr>
      <w:tr w14:paraId="7B6B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440F7C1">
            <w:pPr>
              <w:snapToGrid w:val="0"/>
              <w:jc w:val="both"/>
              <w:rPr>
                <w:rFonts w:ascii="宋体" w:hAnsi="宋体" w:cstheme="minorEastAsia"/>
                <w:bCs/>
                <w:sz w:val="16"/>
                <w:szCs w:val="16"/>
              </w:rPr>
            </w:pPr>
            <w:r>
              <w:rPr>
                <w:rFonts w:hint="eastAsia" w:ascii="宋体" w:hAnsi="宋体" w:cstheme="minorEastAsia"/>
                <w:bCs/>
                <w:sz w:val="16"/>
                <w:szCs w:val="16"/>
              </w:rPr>
              <w:t>1</w:t>
            </w:r>
            <w:r>
              <w:rPr>
                <w:rFonts w:ascii="宋体" w:hAnsi="宋体" w:cstheme="minorEastAsia"/>
                <w:bCs/>
                <w:sz w:val="16"/>
                <w:szCs w:val="16"/>
              </w:rPr>
              <w:t>.10.2</w:t>
            </w:r>
          </w:p>
        </w:tc>
        <w:tc>
          <w:tcPr>
            <w:tcW w:w="1416" w:type="dxa"/>
            <w:gridSpan w:val="2"/>
            <w:tcBorders>
              <w:top w:val="single" w:color="auto" w:sz="4" w:space="0"/>
            </w:tcBorders>
            <w:vAlign w:val="center"/>
          </w:tcPr>
          <w:p w14:paraId="6B6D5FFB">
            <w:pPr>
              <w:snapToGrid w:val="0"/>
              <w:jc w:val="both"/>
              <w:rPr>
                <w:rFonts w:ascii="宋体" w:hAnsi="宋体"/>
                <w:sz w:val="16"/>
                <w:szCs w:val="16"/>
              </w:rPr>
            </w:pPr>
            <w:r>
              <w:rPr>
                <w:rFonts w:hint="eastAsia" w:ascii="宋体" w:hAnsi="宋体"/>
                <w:sz w:val="16"/>
                <w:szCs w:val="16"/>
              </w:rPr>
              <w:t>PLC系统</w:t>
            </w:r>
          </w:p>
        </w:tc>
        <w:tc>
          <w:tcPr>
            <w:tcW w:w="5253" w:type="dxa"/>
            <w:vAlign w:val="center"/>
          </w:tcPr>
          <w:p w14:paraId="5E081B37">
            <w:pPr>
              <w:snapToGrid w:val="0"/>
              <w:jc w:val="both"/>
              <w:rPr>
                <w:rFonts w:ascii="宋体" w:hAnsi="宋体"/>
                <w:sz w:val="16"/>
                <w:szCs w:val="16"/>
              </w:rPr>
            </w:pPr>
            <w:r>
              <w:rPr>
                <w:rFonts w:hint="eastAsia" w:ascii="宋体" w:hAnsi="宋体"/>
                <w:sz w:val="16"/>
                <w:szCs w:val="16"/>
              </w:rPr>
              <w:t>1、CPU需支持信号模块扩展不小于8个，输出PN协议；</w:t>
            </w:r>
            <w:r>
              <w:rPr>
                <w:rFonts w:hint="eastAsia" w:ascii="宋体" w:hAnsi="宋体"/>
                <w:sz w:val="16"/>
                <w:szCs w:val="16"/>
              </w:rPr>
              <w:br w:type="textWrapping"/>
            </w:r>
            <w:r>
              <w:rPr>
                <w:rFonts w:hint="eastAsia" w:ascii="宋体" w:hAnsi="宋体"/>
                <w:sz w:val="16"/>
                <w:szCs w:val="16"/>
              </w:rPr>
              <w:t>2、配置对应PLC导轨；</w:t>
            </w:r>
            <w:r>
              <w:rPr>
                <w:rFonts w:hint="eastAsia" w:ascii="宋体" w:hAnsi="宋体"/>
                <w:sz w:val="16"/>
                <w:szCs w:val="16"/>
              </w:rPr>
              <w:br w:type="textWrapping"/>
            </w:r>
            <w:r>
              <w:rPr>
                <w:rFonts w:hint="eastAsia" w:ascii="宋体" w:hAnsi="宋体"/>
                <w:sz w:val="16"/>
                <w:szCs w:val="16"/>
              </w:rPr>
              <w:t>3、配置网络模块；</w:t>
            </w:r>
            <w:r>
              <w:rPr>
                <w:rFonts w:hint="eastAsia" w:ascii="宋体" w:hAnsi="宋体"/>
                <w:sz w:val="16"/>
                <w:szCs w:val="16"/>
              </w:rPr>
              <w:br w:type="textWrapping"/>
            </w:r>
            <w:r>
              <w:rPr>
                <w:rFonts w:hint="eastAsia" w:ascii="宋体" w:hAnsi="宋体"/>
                <w:sz w:val="16"/>
                <w:szCs w:val="16"/>
              </w:rPr>
              <w:t>4、配置不小于4MB存储卡；</w:t>
            </w:r>
          </w:p>
        </w:tc>
        <w:tc>
          <w:tcPr>
            <w:tcW w:w="367" w:type="dxa"/>
            <w:vAlign w:val="center"/>
          </w:tcPr>
          <w:p w14:paraId="6D22E835">
            <w:pPr>
              <w:jc w:val="both"/>
              <w:textAlignment w:val="center"/>
              <w:rPr>
                <w:rFonts w:ascii="宋体" w:hAnsi="宋体"/>
                <w:sz w:val="16"/>
                <w:szCs w:val="16"/>
              </w:rPr>
            </w:pPr>
            <w:r>
              <w:rPr>
                <w:rFonts w:hint="eastAsia" w:ascii="宋体" w:hAnsi="宋体"/>
                <w:sz w:val="16"/>
                <w:szCs w:val="16"/>
              </w:rPr>
              <w:t>套</w:t>
            </w:r>
          </w:p>
        </w:tc>
        <w:tc>
          <w:tcPr>
            <w:tcW w:w="827" w:type="dxa"/>
            <w:vAlign w:val="center"/>
          </w:tcPr>
          <w:p w14:paraId="6F331EA1">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309D637">
            <w:pPr>
              <w:snapToGrid w:val="0"/>
              <w:jc w:val="both"/>
              <w:rPr>
                <w:rFonts w:ascii="宋体" w:hAnsi="宋体" w:cstheme="minorEastAsia"/>
                <w:bCs/>
                <w:sz w:val="16"/>
                <w:szCs w:val="16"/>
              </w:rPr>
            </w:pPr>
          </w:p>
        </w:tc>
      </w:tr>
      <w:tr w14:paraId="67E9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97" w:type="dxa"/>
            <w:vAlign w:val="center"/>
          </w:tcPr>
          <w:p w14:paraId="4983288D">
            <w:pPr>
              <w:snapToGrid w:val="0"/>
              <w:jc w:val="both"/>
              <w:rPr>
                <w:rFonts w:ascii="宋体" w:hAnsi="宋体" w:cstheme="minorEastAsia"/>
                <w:b/>
                <w:bCs/>
                <w:sz w:val="21"/>
                <w:szCs w:val="21"/>
              </w:rPr>
            </w:pPr>
            <w:r>
              <w:rPr>
                <w:rFonts w:ascii="宋体" w:hAnsi="宋体" w:cstheme="minorEastAsia"/>
                <w:b/>
                <w:bCs/>
                <w:sz w:val="21"/>
                <w:szCs w:val="21"/>
              </w:rPr>
              <w:t>2</w:t>
            </w:r>
          </w:p>
        </w:tc>
        <w:tc>
          <w:tcPr>
            <w:tcW w:w="8364" w:type="dxa"/>
            <w:gridSpan w:val="6"/>
            <w:shd w:val="clear" w:color="auto" w:fill="auto"/>
          </w:tcPr>
          <w:p w14:paraId="47B78EAD">
            <w:pPr>
              <w:spacing w:after="0" w:line="240" w:lineRule="auto"/>
              <w:rPr>
                <w:rFonts w:ascii="宋体" w:hAnsi="宋体"/>
                <w:b/>
                <w:sz w:val="16"/>
                <w:szCs w:val="16"/>
              </w:rPr>
            </w:pPr>
            <w:r>
              <w:rPr>
                <w:rFonts w:hint="eastAsia" w:ascii="宋体" w:hAnsi="宋体"/>
                <w:b/>
                <w:sz w:val="16"/>
                <w:szCs w:val="16"/>
              </w:rPr>
              <w:t>能源管理系统</w:t>
            </w:r>
          </w:p>
        </w:tc>
      </w:tr>
      <w:tr w14:paraId="0EDD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D5BC517">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.1</w:t>
            </w:r>
          </w:p>
        </w:tc>
        <w:tc>
          <w:tcPr>
            <w:tcW w:w="1416" w:type="dxa"/>
            <w:gridSpan w:val="2"/>
            <w:tcBorders>
              <w:top w:val="single" w:color="auto" w:sz="4" w:space="0"/>
            </w:tcBorders>
            <w:vAlign w:val="center"/>
          </w:tcPr>
          <w:p w14:paraId="34A4DEFE">
            <w:pPr>
              <w:snapToGrid w:val="0"/>
              <w:jc w:val="both"/>
              <w:rPr>
                <w:rFonts w:ascii="宋体" w:hAnsi="宋体"/>
                <w:sz w:val="16"/>
                <w:szCs w:val="16"/>
              </w:rPr>
            </w:pPr>
            <w:r>
              <w:rPr>
                <w:rFonts w:hint="eastAsia" w:ascii="宋体" w:hAnsi="宋体"/>
                <w:sz w:val="16"/>
                <w:szCs w:val="16"/>
              </w:rPr>
              <w:t>配电数采站软件开发</w:t>
            </w:r>
          </w:p>
        </w:tc>
        <w:tc>
          <w:tcPr>
            <w:tcW w:w="5253" w:type="dxa"/>
            <w:vAlign w:val="center"/>
          </w:tcPr>
          <w:p w14:paraId="340B95BC">
            <w:pPr>
              <w:snapToGrid w:val="0"/>
              <w:jc w:val="both"/>
              <w:rPr>
                <w:rFonts w:ascii="宋体" w:hAnsi="宋体"/>
                <w:sz w:val="16"/>
                <w:szCs w:val="16"/>
              </w:rPr>
            </w:pPr>
            <w:r>
              <w:rPr>
                <w:rFonts w:hint="eastAsia" w:ascii="宋体" w:hAnsi="宋体"/>
                <w:sz w:val="16"/>
                <w:szCs w:val="16"/>
              </w:rPr>
              <w:t>数采网关设备数据采集配置、数采网关设备区域性能管、数采网关设备协议转换</w:t>
            </w:r>
          </w:p>
        </w:tc>
        <w:tc>
          <w:tcPr>
            <w:tcW w:w="367" w:type="dxa"/>
            <w:vAlign w:val="center"/>
          </w:tcPr>
          <w:p w14:paraId="7FFFBA0B">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109145FD">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4346D16F">
            <w:pPr>
              <w:snapToGrid w:val="0"/>
              <w:jc w:val="both"/>
              <w:rPr>
                <w:rFonts w:ascii="宋体" w:hAnsi="宋体" w:cstheme="minorEastAsia"/>
                <w:bCs/>
                <w:sz w:val="16"/>
                <w:szCs w:val="16"/>
              </w:rPr>
            </w:pPr>
          </w:p>
        </w:tc>
      </w:tr>
      <w:tr w14:paraId="5C50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D7A548D">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.2</w:t>
            </w:r>
          </w:p>
        </w:tc>
        <w:tc>
          <w:tcPr>
            <w:tcW w:w="1416" w:type="dxa"/>
            <w:gridSpan w:val="2"/>
            <w:tcBorders>
              <w:top w:val="single" w:color="auto" w:sz="4" w:space="0"/>
            </w:tcBorders>
            <w:vAlign w:val="center"/>
          </w:tcPr>
          <w:p w14:paraId="390A9098">
            <w:pPr>
              <w:snapToGrid w:val="0"/>
              <w:jc w:val="both"/>
              <w:rPr>
                <w:rFonts w:ascii="宋体" w:hAnsi="宋体"/>
                <w:sz w:val="16"/>
                <w:szCs w:val="16"/>
              </w:rPr>
            </w:pPr>
            <w:r>
              <w:rPr>
                <w:rFonts w:hint="eastAsia" w:ascii="宋体" w:hAnsi="宋体"/>
                <w:sz w:val="16"/>
                <w:szCs w:val="16"/>
              </w:rPr>
              <w:t>仪表数采站开发</w:t>
            </w:r>
          </w:p>
        </w:tc>
        <w:tc>
          <w:tcPr>
            <w:tcW w:w="5253" w:type="dxa"/>
            <w:vAlign w:val="center"/>
          </w:tcPr>
          <w:p w14:paraId="6559FC38">
            <w:pPr>
              <w:snapToGrid w:val="0"/>
              <w:jc w:val="both"/>
              <w:rPr>
                <w:rFonts w:ascii="宋体" w:hAnsi="宋体"/>
                <w:sz w:val="16"/>
                <w:szCs w:val="16"/>
              </w:rPr>
            </w:pPr>
            <w:r>
              <w:rPr>
                <w:rFonts w:hint="eastAsia" w:ascii="宋体" w:hAnsi="宋体"/>
                <w:sz w:val="16"/>
                <w:szCs w:val="16"/>
              </w:rPr>
              <w:t>PLC编程组态开发、数据同步软件开发、数采网络及设备工作状态监控开发、计量仪表通信状态监控</w:t>
            </w:r>
          </w:p>
        </w:tc>
        <w:tc>
          <w:tcPr>
            <w:tcW w:w="367" w:type="dxa"/>
            <w:vAlign w:val="center"/>
          </w:tcPr>
          <w:p w14:paraId="7BBC7EEC">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095E14F4">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24F03C7">
            <w:pPr>
              <w:snapToGrid w:val="0"/>
              <w:jc w:val="both"/>
              <w:rPr>
                <w:rFonts w:ascii="宋体" w:hAnsi="宋体" w:cstheme="minorEastAsia"/>
                <w:bCs/>
                <w:sz w:val="16"/>
                <w:szCs w:val="16"/>
              </w:rPr>
            </w:pPr>
          </w:p>
        </w:tc>
      </w:tr>
      <w:tr w14:paraId="3DA0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697" w:type="dxa"/>
            <w:vAlign w:val="center"/>
          </w:tcPr>
          <w:p w14:paraId="5EE8FB8A">
            <w:pPr>
              <w:snapToGrid w:val="0"/>
              <w:jc w:val="both"/>
              <w:rPr>
                <w:rFonts w:ascii="宋体" w:hAnsi="宋体" w:cstheme="minorEastAsia"/>
                <w:b/>
                <w:bCs/>
                <w:sz w:val="21"/>
                <w:szCs w:val="21"/>
              </w:rPr>
            </w:pPr>
            <w:r>
              <w:rPr>
                <w:rFonts w:ascii="宋体" w:hAnsi="宋体" w:cstheme="minorEastAsia"/>
                <w:b/>
                <w:bCs/>
                <w:sz w:val="21"/>
                <w:szCs w:val="21"/>
              </w:rPr>
              <w:t>2.3</w:t>
            </w:r>
          </w:p>
        </w:tc>
        <w:tc>
          <w:tcPr>
            <w:tcW w:w="8364" w:type="dxa"/>
            <w:gridSpan w:val="6"/>
            <w:shd w:val="clear" w:color="auto" w:fill="auto"/>
          </w:tcPr>
          <w:p w14:paraId="2B06C429">
            <w:pPr>
              <w:spacing w:after="0" w:line="240" w:lineRule="auto"/>
              <w:rPr>
                <w:rFonts w:ascii="宋体" w:hAnsi="宋体"/>
                <w:b/>
                <w:sz w:val="16"/>
                <w:szCs w:val="16"/>
              </w:rPr>
            </w:pPr>
            <w:r>
              <w:rPr>
                <w:rFonts w:hint="eastAsia" w:ascii="宋体" w:hAnsi="宋体"/>
                <w:b/>
                <w:sz w:val="16"/>
                <w:szCs w:val="16"/>
              </w:rPr>
              <w:t>系统功能需求</w:t>
            </w:r>
          </w:p>
        </w:tc>
      </w:tr>
      <w:tr w14:paraId="0B5D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3D7582B">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.3.1</w:t>
            </w:r>
          </w:p>
        </w:tc>
        <w:tc>
          <w:tcPr>
            <w:tcW w:w="1416" w:type="dxa"/>
            <w:gridSpan w:val="2"/>
            <w:tcBorders>
              <w:top w:val="single" w:color="auto" w:sz="4" w:space="0"/>
            </w:tcBorders>
            <w:vAlign w:val="center"/>
          </w:tcPr>
          <w:p w14:paraId="175E2C9C">
            <w:pPr>
              <w:snapToGrid w:val="0"/>
              <w:jc w:val="both"/>
              <w:rPr>
                <w:rFonts w:ascii="宋体" w:hAnsi="宋体"/>
                <w:sz w:val="16"/>
                <w:szCs w:val="16"/>
              </w:rPr>
            </w:pPr>
            <w:r>
              <w:rPr>
                <w:rFonts w:hint="eastAsia" w:ascii="宋体" w:hAnsi="宋体"/>
                <w:sz w:val="16"/>
                <w:szCs w:val="16"/>
              </w:rPr>
              <w:t>基础应用</w:t>
            </w:r>
          </w:p>
        </w:tc>
        <w:tc>
          <w:tcPr>
            <w:tcW w:w="5253" w:type="dxa"/>
            <w:vAlign w:val="center"/>
          </w:tcPr>
          <w:p w14:paraId="12E21EFD">
            <w:pPr>
              <w:snapToGrid w:val="0"/>
              <w:jc w:val="both"/>
              <w:rPr>
                <w:rFonts w:ascii="宋体" w:hAnsi="宋体"/>
                <w:sz w:val="16"/>
                <w:szCs w:val="16"/>
              </w:rPr>
            </w:pPr>
            <w:r>
              <w:rPr>
                <w:rFonts w:hint="eastAsia" w:ascii="宋体" w:hAnsi="宋体"/>
                <w:sz w:val="16"/>
                <w:szCs w:val="16"/>
              </w:rPr>
              <w:t>系统权限、系统日志、数据集成接口、移动端应用、系统预留接口、网络诊断配置、人工录入、基础信息编辑等；</w:t>
            </w:r>
          </w:p>
        </w:tc>
        <w:tc>
          <w:tcPr>
            <w:tcW w:w="367" w:type="dxa"/>
            <w:vAlign w:val="center"/>
          </w:tcPr>
          <w:p w14:paraId="47895AC8">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7B6C8FBB">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26D9C4BC">
            <w:pPr>
              <w:snapToGrid w:val="0"/>
              <w:jc w:val="both"/>
              <w:rPr>
                <w:rFonts w:ascii="宋体" w:hAnsi="宋体" w:cstheme="minorEastAsia"/>
                <w:bCs/>
                <w:sz w:val="16"/>
                <w:szCs w:val="16"/>
              </w:rPr>
            </w:pPr>
          </w:p>
        </w:tc>
      </w:tr>
      <w:tr w14:paraId="4B52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0D36BFD2">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.3.2</w:t>
            </w:r>
          </w:p>
        </w:tc>
        <w:tc>
          <w:tcPr>
            <w:tcW w:w="1416" w:type="dxa"/>
            <w:gridSpan w:val="2"/>
            <w:tcBorders>
              <w:top w:val="single" w:color="auto" w:sz="4" w:space="0"/>
            </w:tcBorders>
            <w:vAlign w:val="center"/>
          </w:tcPr>
          <w:p w14:paraId="08698F4B">
            <w:pPr>
              <w:snapToGrid w:val="0"/>
              <w:jc w:val="both"/>
              <w:rPr>
                <w:rFonts w:ascii="宋体" w:hAnsi="宋体"/>
                <w:sz w:val="16"/>
                <w:szCs w:val="16"/>
              </w:rPr>
            </w:pPr>
            <w:r>
              <w:rPr>
                <w:rFonts w:hint="eastAsia" w:ascii="宋体" w:hAnsi="宋体"/>
                <w:sz w:val="16"/>
                <w:szCs w:val="16"/>
              </w:rPr>
              <w:t>数据统计</w:t>
            </w:r>
            <w:r>
              <w:rPr>
                <w:rFonts w:hint="eastAsia" w:ascii="宋体" w:hAnsi="宋体"/>
                <w:sz w:val="16"/>
                <w:szCs w:val="16"/>
              </w:rPr>
              <w:br w:type="textWrapping"/>
            </w:r>
            <w:r>
              <w:rPr>
                <w:rFonts w:hint="eastAsia" w:ascii="宋体" w:hAnsi="宋体"/>
                <w:sz w:val="16"/>
                <w:szCs w:val="16"/>
              </w:rPr>
              <w:t>分析应用</w:t>
            </w:r>
          </w:p>
        </w:tc>
        <w:tc>
          <w:tcPr>
            <w:tcW w:w="5253" w:type="dxa"/>
            <w:vAlign w:val="center"/>
          </w:tcPr>
          <w:p w14:paraId="54AAE5F8">
            <w:pPr>
              <w:snapToGrid w:val="0"/>
              <w:jc w:val="both"/>
              <w:rPr>
                <w:rFonts w:ascii="宋体" w:hAnsi="宋体"/>
                <w:sz w:val="16"/>
                <w:szCs w:val="16"/>
              </w:rPr>
            </w:pPr>
            <w:r>
              <w:rPr>
                <w:rFonts w:hint="eastAsia" w:ascii="宋体" w:hAnsi="宋体"/>
                <w:sz w:val="16"/>
                <w:szCs w:val="16"/>
              </w:rPr>
              <w:t>工厂能耗报表、环境能源科业务报表、动力车间业务报表、制丝车间能耗报表、卷包车间能耗报表、滤棒成型车间能耗报表、物流科能耗报表、后勤管理科能耗报表、其他区域能耗报表、定额管控报表、输送管网线路损耗报表、能效对标报表、趋势分析等</w:t>
            </w:r>
          </w:p>
        </w:tc>
        <w:tc>
          <w:tcPr>
            <w:tcW w:w="367" w:type="dxa"/>
            <w:vAlign w:val="center"/>
          </w:tcPr>
          <w:p w14:paraId="73F0E4CD">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7B867A77">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63839E08">
            <w:pPr>
              <w:snapToGrid w:val="0"/>
              <w:jc w:val="both"/>
              <w:rPr>
                <w:rFonts w:ascii="宋体" w:hAnsi="宋体" w:cstheme="minorEastAsia"/>
                <w:bCs/>
                <w:sz w:val="16"/>
                <w:szCs w:val="16"/>
              </w:rPr>
            </w:pPr>
          </w:p>
        </w:tc>
      </w:tr>
      <w:tr w14:paraId="1246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355F172E">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.3.3</w:t>
            </w:r>
          </w:p>
        </w:tc>
        <w:tc>
          <w:tcPr>
            <w:tcW w:w="1416" w:type="dxa"/>
            <w:gridSpan w:val="2"/>
            <w:tcBorders>
              <w:top w:val="single" w:color="auto" w:sz="4" w:space="0"/>
            </w:tcBorders>
            <w:vAlign w:val="center"/>
          </w:tcPr>
          <w:p w14:paraId="1C091090">
            <w:pPr>
              <w:snapToGrid w:val="0"/>
              <w:jc w:val="both"/>
              <w:rPr>
                <w:rFonts w:ascii="宋体" w:hAnsi="宋体"/>
                <w:sz w:val="16"/>
                <w:szCs w:val="16"/>
              </w:rPr>
            </w:pPr>
            <w:r>
              <w:rPr>
                <w:rFonts w:hint="eastAsia" w:ascii="宋体" w:hAnsi="宋体"/>
                <w:sz w:val="16"/>
                <w:szCs w:val="16"/>
              </w:rPr>
              <w:t>能流可视化</w:t>
            </w:r>
          </w:p>
        </w:tc>
        <w:tc>
          <w:tcPr>
            <w:tcW w:w="5253" w:type="dxa"/>
            <w:vAlign w:val="center"/>
          </w:tcPr>
          <w:p w14:paraId="22CD176A">
            <w:pPr>
              <w:snapToGrid w:val="0"/>
              <w:jc w:val="both"/>
              <w:rPr>
                <w:rFonts w:ascii="宋体" w:hAnsi="宋体"/>
                <w:sz w:val="16"/>
                <w:szCs w:val="16"/>
              </w:rPr>
            </w:pPr>
            <w:r>
              <w:rPr>
                <w:rFonts w:hint="eastAsia" w:ascii="宋体" w:hAnsi="宋体"/>
                <w:sz w:val="16"/>
                <w:szCs w:val="16"/>
              </w:rPr>
              <w:t>产能设备及区域实时动态可视化、能源输送管网线路实时动态可视化、终端耗能设备\区域实时动态可视化、计量仪表数据可视化、管道、计量仪表规格型号信息等</w:t>
            </w:r>
          </w:p>
        </w:tc>
        <w:tc>
          <w:tcPr>
            <w:tcW w:w="367" w:type="dxa"/>
            <w:vAlign w:val="center"/>
          </w:tcPr>
          <w:p w14:paraId="3B72CBC4">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3E00047B">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1645E3EF">
            <w:pPr>
              <w:snapToGrid w:val="0"/>
              <w:jc w:val="both"/>
              <w:rPr>
                <w:rFonts w:ascii="宋体" w:hAnsi="宋体" w:cstheme="minorEastAsia"/>
                <w:bCs/>
                <w:sz w:val="16"/>
                <w:szCs w:val="16"/>
              </w:rPr>
            </w:pPr>
          </w:p>
        </w:tc>
      </w:tr>
      <w:tr w14:paraId="7804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2486CAF6">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.3.4</w:t>
            </w:r>
          </w:p>
        </w:tc>
        <w:tc>
          <w:tcPr>
            <w:tcW w:w="1416" w:type="dxa"/>
            <w:gridSpan w:val="2"/>
            <w:tcBorders>
              <w:top w:val="single" w:color="auto" w:sz="4" w:space="0"/>
            </w:tcBorders>
            <w:vAlign w:val="center"/>
          </w:tcPr>
          <w:p w14:paraId="62250C8B">
            <w:pPr>
              <w:snapToGrid w:val="0"/>
              <w:jc w:val="both"/>
              <w:rPr>
                <w:rFonts w:ascii="宋体" w:hAnsi="宋体"/>
                <w:sz w:val="16"/>
                <w:szCs w:val="16"/>
              </w:rPr>
            </w:pPr>
            <w:r>
              <w:rPr>
                <w:rFonts w:hint="eastAsia" w:ascii="宋体" w:hAnsi="宋体"/>
                <w:sz w:val="16"/>
                <w:szCs w:val="16"/>
              </w:rPr>
              <w:t>预警功能</w:t>
            </w:r>
          </w:p>
        </w:tc>
        <w:tc>
          <w:tcPr>
            <w:tcW w:w="5253" w:type="dxa"/>
            <w:vAlign w:val="center"/>
          </w:tcPr>
          <w:p w14:paraId="425F0DC8">
            <w:pPr>
              <w:snapToGrid w:val="0"/>
              <w:jc w:val="both"/>
              <w:rPr>
                <w:rFonts w:ascii="宋体" w:hAnsi="宋体"/>
                <w:sz w:val="16"/>
                <w:szCs w:val="16"/>
              </w:rPr>
            </w:pPr>
            <w:r>
              <w:rPr>
                <w:rFonts w:hint="eastAsia" w:ascii="宋体" w:hAnsi="宋体"/>
                <w:sz w:val="16"/>
                <w:szCs w:val="16"/>
              </w:rPr>
              <w:t>报表数据预警、仪表趋势分析预警、设备转换效率预警、输送线路损耗预警、定额管控预警、能耗指标异常预警、能源传输异常预警、预警链式追踪等；</w:t>
            </w:r>
          </w:p>
        </w:tc>
        <w:tc>
          <w:tcPr>
            <w:tcW w:w="367" w:type="dxa"/>
            <w:vAlign w:val="center"/>
          </w:tcPr>
          <w:p w14:paraId="43BB0BE2">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79C3B451">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CA0986E">
            <w:pPr>
              <w:snapToGrid w:val="0"/>
              <w:jc w:val="both"/>
              <w:rPr>
                <w:rFonts w:ascii="宋体" w:hAnsi="宋体" w:cstheme="minorEastAsia"/>
                <w:bCs/>
                <w:sz w:val="16"/>
                <w:szCs w:val="16"/>
              </w:rPr>
            </w:pPr>
          </w:p>
        </w:tc>
      </w:tr>
      <w:tr w14:paraId="0120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5E9347BE">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.3.5</w:t>
            </w:r>
          </w:p>
        </w:tc>
        <w:tc>
          <w:tcPr>
            <w:tcW w:w="1416" w:type="dxa"/>
            <w:gridSpan w:val="2"/>
            <w:tcBorders>
              <w:top w:val="single" w:color="auto" w:sz="4" w:space="0"/>
            </w:tcBorders>
            <w:vAlign w:val="center"/>
          </w:tcPr>
          <w:p w14:paraId="53342CD9">
            <w:pPr>
              <w:snapToGrid w:val="0"/>
              <w:jc w:val="both"/>
              <w:rPr>
                <w:rFonts w:ascii="宋体" w:hAnsi="宋体"/>
                <w:sz w:val="16"/>
                <w:szCs w:val="16"/>
              </w:rPr>
            </w:pPr>
            <w:r>
              <w:rPr>
                <w:rFonts w:hint="eastAsia" w:ascii="宋体" w:hAnsi="宋体"/>
                <w:sz w:val="16"/>
                <w:szCs w:val="16"/>
              </w:rPr>
              <w:t>能耗数据在线上传</w:t>
            </w:r>
          </w:p>
        </w:tc>
        <w:tc>
          <w:tcPr>
            <w:tcW w:w="5253" w:type="dxa"/>
            <w:vAlign w:val="center"/>
          </w:tcPr>
          <w:p w14:paraId="13A95F18">
            <w:pPr>
              <w:snapToGrid w:val="0"/>
              <w:jc w:val="both"/>
              <w:rPr>
                <w:rFonts w:ascii="宋体" w:hAnsi="宋体"/>
                <w:sz w:val="16"/>
                <w:szCs w:val="16"/>
              </w:rPr>
            </w:pPr>
            <w:r>
              <w:rPr>
                <w:rFonts w:hint="eastAsia" w:ascii="宋体" w:hAnsi="宋体"/>
                <w:sz w:val="16"/>
                <w:szCs w:val="16"/>
              </w:rPr>
              <w:t>能耗数据统计等</w:t>
            </w:r>
          </w:p>
        </w:tc>
        <w:tc>
          <w:tcPr>
            <w:tcW w:w="367" w:type="dxa"/>
            <w:vAlign w:val="center"/>
          </w:tcPr>
          <w:p w14:paraId="23A42BE4">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6C34A1B7">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4BB1DAB6">
            <w:pPr>
              <w:snapToGrid w:val="0"/>
              <w:jc w:val="both"/>
              <w:rPr>
                <w:rFonts w:ascii="宋体" w:hAnsi="宋体" w:cstheme="minorEastAsia"/>
                <w:bCs/>
                <w:sz w:val="16"/>
                <w:szCs w:val="16"/>
              </w:rPr>
            </w:pPr>
          </w:p>
        </w:tc>
      </w:tr>
      <w:tr w14:paraId="4930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97" w:type="dxa"/>
            <w:vAlign w:val="center"/>
          </w:tcPr>
          <w:p w14:paraId="4DAD6FEE">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.3.6</w:t>
            </w:r>
          </w:p>
        </w:tc>
        <w:tc>
          <w:tcPr>
            <w:tcW w:w="1416" w:type="dxa"/>
            <w:gridSpan w:val="2"/>
            <w:tcBorders>
              <w:top w:val="single" w:color="auto" w:sz="4" w:space="0"/>
            </w:tcBorders>
            <w:vAlign w:val="center"/>
          </w:tcPr>
          <w:p w14:paraId="11ABCF70">
            <w:pPr>
              <w:snapToGrid w:val="0"/>
              <w:jc w:val="both"/>
              <w:rPr>
                <w:rFonts w:ascii="宋体" w:hAnsi="宋体"/>
                <w:sz w:val="16"/>
                <w:szCs w:val="16"/>
              </w:rPr>
            </w:pPr>
            <w:r>
              <w:rPr>
                <w:rFonts w:hint="eastAsia" w:ascii="宋体" w:hAnsi="宋体"/>
                <w:sz w:val="16"/>
                <w:szCs w:val="16"/>
              </w:rPr>
              <w:t>智能模型</w:t>
            </w:r>
          </w:p>
        </w:tc>
        <w:tc>
          <w:tcPr>
            <w:tcW w:w="5253" w:type="dxa"/>
            <w:vAlign w:val="center"/>
          </w:tcPr>
          <w:p w14:paraId="0741AFB1">
            <w:pPr>
              <w:snapToGrid w:val="0"/>
              <w:jc w:val="both"/>
              <w:rPr>
                <w:rFonts w:ascii="宋体" w:hAnsi="宋体"/>
                <w:sz w:val="16"/>
                <w:szCs w:val="16"/>
              </w:rPr>
            </w:pPr>
            <w:r>
              <w:rPr>
                <w:rFonts w:hint="eastAsia" w:ascii="宋体" w:hAnsi="宋体"/>
                <w:sz w:val="16"/>
                <w:szCs w:val="16"/>
              </w:rPr>
              <w:t>能源需求预测、能源定额管控、能源生产优化排产、能源实时动态精准调度、空调智能控制等</w:t>
            </w:r>
          </w:p>
        </w:tc>
        <w:tc>
          <w:tcPr>
            <w:tcW w:w="367" w:type="dxa"/>
            <w:vAlign w:val="center"/>
          </w:tcPr>
          <w:p w14:paraId="13141993">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0525CB3D">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4826382">
            <w:pPr>
              <w:snapToGrid w:val="0"/>
              <w:jc w:val="both"/>
              <w:rPr>
                <w:rFonts w:ascii="宋体" w:hAnsi="宋体" w:cstheme="minorEastAsia"/>
                <w:bCs/>
                <w:sz w:val="16"/>
                <w:szCs w:val="16"/>
              </w:rPr>
            </w:pPr>
          </w:p>
        </w:tc>
      </w:tr>
      <w:tr w14:paraId="4385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97" w:type="dxa"/>
            <w:vAlign w:val="center"/>
          </w:tcPr>
          <w:p w14:paraId="62499BA4">
            <w:pPr>
              <w:snapToGrid w:val="0"/>
              <w:jc w:val="both"/>
              <w:rPr>
                <w:rFonts w:ascii="宋体" w:hAnsi="宋体" w:cstheme="minorEastAsia"/>
                <w:bCs/>
                <w:sz w:val="16"/>
                <w:szCs w:val="16"/>
              </w:rPr>
            </w:pPr>
            <w:r>
              <w:rPr>
                <w:rFonts w:hint="eastAsia" w:ascii="宋体" w:hAnsi="宋体" w:cstheme="minorEastAsia"/>
                <w:bCs/>
                <w:sz w:val="16"/>
                <w:szCs w:val="16"/>
              </w:rPr>
              <w:t>2</w:t>
            </w:r>
            <w:r>
              <w:rPr>
                <w:rFonts w:ascii="宋体" w:hAnsi="宋体" w:cstheme="minorEastAsia"/>
                <w:bCs/>
                <w:sz w:val="16"/>
                <w:szCs w:val="16"/>
              </w:rPr>
              <w:t>.3.7</w:t>
            </w:r>
          </w:p>
        </w:tc>
        <w:tc>
          <w:tcPr>
            <w:tcW w:w="1416" w:type="dxa"/>
            <w:gridSpan w:val="2"/>
            <w:tcBorders>
              <w:top w:val="single" w:color="auto" w:sz="4" w:space="0"/>
            </w:tcBorders>
            <w:vAlign w:val="center"/>
          </w:tcPr>
          <w:p w14:paraId="3CE4C8A2">
            <w:pPr>
              <w:snapToGrid w:val="0"/>
              <w:jc w:val="both"/>
              <w:rPr>
                <w:rFonts w:ascii="宋体" w:hAnsi="宋体"/>
                <w:sz w:val="16"/>
                <w:szCs w:val="16"/>
              </w:rPr>
            </w:pPr>
            <w:r>
              <w:rPr>
                <w:rFonts w:hint="eastAsia" w:ascii="宋体" w:hAnsi="宋体"/>
                <w:sz w:val="16"/>
                <w:szCs w:val="16"/>
              </w:rPr>
              <w:t>碳排放核算</w:t>
            </w:r>
          </w:p>
        </w:tc>
        <w:tc>
          <w:tcPr>
            <w:tcW w:w="5253" w:type="dxa"/>
            <w:vAlign w:val="center"/>
          </w:tcPr>
          <w:p w14:paraId="2FF1B177">
            <w:pPr>
              <w:snapToGrid w:val="0"/>
              <w:jc w:val="both"/>
              <w:rPr>
                <w:rFonts w:ascii="宋体" w:hAnsi="宋体"/>
                <w:sz w:val="16"/>
                <w:szCs w:val="16"/>
              </w:rPr>
            </w:pPr>
            <w:r>
              <w:rPr>
                <w:rFonts w:hint="eastAsia" w:ascii="宋体" w:hAnsi="宋体"/>
                <w:sz w:val="16"/>
                <w:szCs w:val="16"/>
              </w:rPr>
              <w:t>碳核算，碳排放量，减碳量等</w:t>
            </w:r>
          </w:p>
        </w:tc>
        <w:tc>
          <w:tcPr>
            <w:tcW w:w="367" w:type="dxa"/>
            <w:vAlign w:val="center"/>
          </w:tcPr>
          <w:p w14:paraId="0C5391D1">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7D0DB7DE">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35CE399E">
            <w:pPr>
              <w:snapToGrid w:val="0"/>
              <w:jc w:val="both"/>
              <w:rPr>
                <w:rFonts w:ascii="宋体" w:hAnsi="宋体" w:cstheme="minorEastAsia"/>
                <w:bCs/>
                <w:sz w:val="16"/>
                <w:szCs w:val="16"/>
              </w:rPr>
            </w:pPr>
          </w:p>
        </w:tc>
      </w:tr>
      <w:tr w14:paraId="6CF2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697" w:type="dxa"/>
            <w:vAlign w:val="center"/>
          </w:tcPr>
          <w:p w14:paraId="662BC6F2">
            <w:pPr>
              <w:snapToGrid w:val="0"/>
              <w:jc w:val="both"/>
              <w:rPr>
                <w:rFonts w:ascii="宋体" w:hAnsi="宋体" w:cstheme="minorEastAsia"/>
                <w:b/>
                <w:bCs/>
                <w:sz w:val="16"/>
                <w:szCs w:val="16"/>
              </w:rPr>
            </w:pPr>
            <w:r>
              <w:rPr>
                <w:rFonts w:hint="eastAsia" w:ascii="宋体" w:hAnsi="宋体" w:cstheme="minorEastAsia"/>
                <w:b/>
                <w:bCs/>
                <w:sz w:val="16"/>
                <w:szCs w:val="16"/>
              </w:rPr>
              <w:t>3</w:t>
            </w:r>
          </w:p>
        </w:tc>
        <w:tc>
          <w:tcPr>
            <w:tcW w:w="1416" w:type="dxa"/>
            <w:gridSpan w:val="2"/>
            <w:tcBorders>
              <w:top w:val="single" w:color="auto" w:sz="4" w:space="0"/>
            </w:tcBorders>
            <w:vAlign w:val="center"/>
          </w:tcPr>
          <w:p w14:paraId="387C2B26">
            <w:pPr>
              <w:snapToGrid w:val="0"/>
              <w:jc w:val="both"/>
              <w:rPr>
                <w:rFonts w:ascii="宋体" w:hAnsi="宋体"/>
                <w:b/>
                <w:sz w:val="16"/>
                <w:szCs w:val="16"/>
              </w:rPr>
            </w:pPr>
            <w:r>
              <w:rPr>
                <w:rFonts w:hint="eastAsia" w:ascii="宋体" w:hAnsi="宋体"/>
                <w:b/>
                <w:sz w:val="16"/>
                <w:szCs w:val="16"/>
              </w:rPr>
              <w:t>安装调试费</w:t>
            </w:r>
          </w:p>
        </w:tc>
        <w:tc>
          <w:tcPr>
            <w:tcW w:w="5253" w:type="dxa"/>
            <w:vAlign w:val="center"/>
          </w:tcPr>
          <w:p w14:paraId="0E90269A">
            <w:pPr>
              <w:snapToGrid w:val="0"/>
              <w:jc w:val="both"/>
              <w:rPr>
                <w:rFonts w:ascii="宋体" w:hAnsi="宋体"/>
                <w:sz w:val="16"/>
                <w:szCs w:val="16"/>
              </w:rPr>
            </w:pPr>
            <w:r>
              <w:rPr>
                <w:rFonts w:hint="eastAsia" w:ascii="宋体" w:hAnsi="宋体"/>
                <w:sz w:val="16"/>
                <w:szCs w:val="16"/>
              </w:rPr>
              <w:t>\</w:t>
            </w:r>
          </w:p>
        </w:tc>
        <w:tc>
          <w:tcPr>
            <w:tcW w:w="367" w:type="dxa"/>
            <w:vAlign w:val="center"/>
          </w:tcPr>
          <w:p w14:paraId="3E6214A1">
            <w:pPr>
              <w:jc w:val="both"/>
              <w:textAlignment w:val="center"/>
              <w:rPr>
                <w:rFonts w:ascii="宋体" w:hAnsi="宋体"/>
                <w:sz w:val="16"/>
                <w:szCs w:val="16"/>
              </w:rPr>
            </w:pPr>
            <w:r>
              <w:rPr>
                <w:rFonts w:hint="eastAsia" w:ascii="宋体" w:hAnsi="宋体"/>
                <w:sz w:val="16"/>
                <w:szCs w:val="16"/>
              </w:rPr>
              <w:t>项</w:t>
            </w:r>
          </w:p>
        </w:tc>
        <w:tc>
          <w:tcPr>
            <w:tcW w:w="827" w:type="dxa"/>
            <w:vAlign w:val="center"/>
          </w:tcPr>
          <w:p w14:paraId="53BE3EA0">
            <w:pPr>
              <w:jc w:val="both"/>
              <w:textAlignment w:val="center"/>
              <w:rPr>
                <w:rFonts w:ascii="宋体" w:hAnsi="宋体"/>
                <w:sz w:val="16"/>
                <w:szCs w:val="16"/>
              </w:rPr>
            </w:pPr>
            <w:r>
              <w:rPr>
                <w:rFonts w:hint="eastAsia" w:ascii="宋体" w:hAnsi="宋体"/>
                <w:sz w:val="16"/>
                <w:szCs w:val="16"/>
              </w:rPr>
              <w:t>1</w:t>
            </w:r>
          </w:p>
        </w:tc>
        <w:tc>
          <w:tcPr>
            <w:tcW w:w="501" w:type="dxa"/>
            <w:shd w:val="clear" w:color="auto" w:fill="auto"/>
            <w:vAlign w:val="center"/>
          </w:tcPr>
          <w:p w14:paraId="78BC5AC0">
            <w:pPr>
              <w:snapToGrid w:val="0"/>
              <w:jc w:val="both"/>
              <w:rPr>
                <w:rFonts w:ascii="宋体" w:hAnsi="宋体" w:cstheme="minorEastAsia"/>
                <w:bCs/>
                <w:sz w:val="16"/>
                <w:szCs w:val="16"/>
              </w:rPr>
            </w:pPr>
          </w:p>
        </w:tc>
      </w:tr>
    </w:tbl>
    <w:p w14:paraId="520F88B2">
      <w:pPr>
        <w:spacing w:after="0" w:line="360" w:lineRule="auto"/>
      </w:pPr>
    </w:p>
    <w:p w14:paraId="27823AA1">
      <w:pPr>
        <w:spacing w:after="0" w:line="360" w:lineRule="auto"/>
      </w:pPr>
    </w:p>
    <w:p w14:paraId="565ED3B0">
      <w:pPr>
        <w:spacing w:after="0" w:line="360" w:lineRule="auto"/>
      </w:pPr>
    </w:p>
    <w:p w14:paraId="66CEE4CB">
      <w:pPr>
        <w:spacing w:after="0" w:line="360" w:lineRule="auto"/>
        <w:rPr>
          <w:rFonts w:ascii="宋体" w:hAnsi="宋体" w:cs="宋体"/>
          <w:b/>
          <w:bCs/>
          <w:sz w:val="21"/>
          <w:szCs w:val="21"/>
        </w:rPr>
      </w:pPr>
      <w:r>
        <w:rPr>
          <w:rFonts w:hint="eastAsia" w:ascii="宋体" w:hAnsi="宋体" w:cs="宋体"/>
          <w:b/>
          <w:bCs/>
          <w:sz w:val="21"/>
          <w:szCs w:val="21"/>
        </w:rPr>
        <w:t>五、安装调试和验收</w:t>
      </w:r>
    </w:p>
    <w:p w14:paraId="2A2C1E75">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5.1投标人负责整个项目软件开发、相关设备的安装调试，对达到系统要求指标、达到验收条件负责。</w:t>
      </w:r>
    </w:p>
    <w:p w14:paraId="799938C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5.2上述主要设备表内未列明的配件和辅材，包含在相应设备内，由投标人自行负责，可以不在投标设备明细内单独列出。如电源、电源线、配电箱、网线、室内外光纤、接线盒、端子、电缆、控制箱、电控系统辅材、管道改造辅材等。</w:t>
      </w:r>
    </w:p>
    <w:p w14:paraId="0623448B">
      <w:pPr>
        <w:spacing w:after="0" w:line="360" w:lineRule="auto"/>
        <w:ind w:firstLine="420" w:firstLineChars="200"/>
        <w:jc w:val="both"/>
        <w:rPr>
          <w:rFonts w:ascii="宋体" w:hAnsi="宋体" w:cs="宋体"/>
          <w:sz w:val="21"/>
          <w:szCs w:val="21"/>
        </w:rPr>
      </w:pPr>
      <w:r>
        <w:rPr>
          <w:rFonts w:hint="eastAsia" w:ascii="宋体" w:hAnsi="宋体" w:cs="宋体"/>
          <w:sz w:val="21"/>
          <w:szCs w:val="21"/>
        </w:rPr>
        <w:t>5.3安装调试内容包括设备安调、网络部署、系统调试等，包括在新系统投入运行后对旧系统不用的设备、线缆等进行折除，以及部分设备根据现场使用需求的二次搬运、移位安装等，费用包含在投标报价内，由投标人负责。</w:t>
      </w:r>
    </w:p>
    <w:p w14:paraId="120948DD">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5.4货物送达招标人指定地点后，招投标人双方共同进行开箱验收。开箱验收仅为招标人对货物数量与外包装的确认，不代表对货物质量的验收。开箱验收符合招标人交货要求的，签署开箱验收单。投标人安装调试人员的食宿费用由乙方承担。</w:t>
      </w:r>
    </w:p>
    <w:p w14:paraId="093CFAE3">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5.5本项目的验收分初验、合同单项验收、</w:t>
      </w:r>
      <w:r>
        <w:rPr>
          <w:rFonts w:hint="eastAsia" w:ascii="宋体" w:hAnsi="宋体"/>
          <w:sz w:val="21"/>
          <w:szCs w:val="21"/>
        </w:rPr>
        <w:t>整体工程竣工验收三</w:t>
      </w:r>
      <w:r>
        <w:rPr>
          <w:rFonts w:hint="eastAsia" w:ascii="宋体" w:hAnsi="宋体" w:cs="宋体"/>
          <w:bCs/>
          <w:kern w:val="2"/>
          <w:sz w:val="21"/>
          <w:szCs w:val="21"/>
        </w:rPr>
        <w:t>个阶段实施。中标人需按照招标人的要求提供项目竣工资料及建设工程相关资料。</w:t>
      </w:r>
    </w:p>
    <w:p w14:paraId="03719D93">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5.5.1初验：是指信息化项目基本实施完毕（软、硬、平台等基本部署完毕）后，按合同要求进行项目初步验收的阶段程序，由甲方初验合格后可以上线试运行。</w:t>
      </w:r>
    </w:p>
    <w:p w14:paraId="38B6D257">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5.5.2合同单项验收：是指按合同约定开展项目试运行三个月后且不超过六个月，按合同要求进行单个合同验收的阶段程序，由甲方组织。</w:t>
      </w:r>
    </w:p>
    <w:p w14:paraId="113C06FC">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5.5.3整体工程竣工验收：是指项目已按设计要求建成，能够满足批复的生产、经营、科研等功能的使用要求，在各单项工程验收和各专项工程验收合格，并经工程审计的基础上，对整体工程项目进行综合验收，对建设项目、工程质量、参建单位等进行整体性综合评价，提出验收意见或验收结论，项目整体工程竣工验收由项目审批单位组织。</w:t>
      </w:r>
    </w:p>
    <w:p w14:paraId="58B02773">
      <w:pPr>
        <w:spacing w:after="0" w:line="360" w:lineRule="auto"/>
        <w:rPr>
          <w:rFonts w:ascii="宋体" w:hAnsi="宋体" w:cs="宋体"/>
          <w:b/>
          <w:bCs/>
          <w:sz w:val="21"/>
          <w:szCs w:val="21"/>
        </w:rPr>
      </w:pPr>
      <w:r>
        <w:rPr>
          <w:rFonts w:hint="eastAsia" w:ascii="宋体" w:hAnsi="宋体" w:cs="宋体"/>
          <w:b/>
          <w:bCs/>
          <w:sz w:val="21"/>
          <w:szCs w:val="21"/>
        </w:rPr>
        <w:t>六、质量保证</w:t>
      </w:r>
    </w:p>
    <w:p w14:paraId="78E64A6E">
      <w:pPr>
        <w:spacing w:after="0" w:line="360" w:lineRule="auto"/>
        <w:ind w:firstLine="420" w:firstLineChars="200"/>
        <w:rPr>
          <w:rFonts w:ascii="宋体" w:hAnsi="宋体" w:cs="宋体"/>
          <w:bCs/>
          <w:kern w:val="2"/>
          <w:sz w:val="21"/>
          <w:szCs w:val="21"/>
        </w:rPr>
      </w:pPr>
      <w:r>
        <w:rPr>
          <w:rFonts w:hint="eastAsia" w:ascii="宋体" w:hAnsi="宋体" w:cs="宋体"/>
          <w:bCs/>
          <w:kern w:val="2"/>
          <w:sz w:val="21"/>
          <w:szCs w:val="21"/>
        </w:rPr>
        <w:t>（1）提供质量承诺及保证措施，须按照第五章技术标准及要求提供产品的原厂服务承诺函、</w:t>
      </w:r>
      <w:r>
        <w:rPr>
          <w:rFonts w:hint="eastAsia" w:ascii="宋体" w:hAnsi="宋体" w:cs="宋体"/>
          <w:sz w:val="21"/>
          <w:szCs w:val="21"/>
        </w:rPr>
        <w:t>质量保证和产品合格证书</w:t>
      </w:r>
      <w:r>
        <w:rPr>
          <w:rFonts w:hint="eastAsia" w:ascii="宋体" w:hAnsi="宋体" w:cs="宋体"/>
          <w:bCs/>
          <w:kern w:val="2"/>
          <w:sz w:val="21"/>
          <w:szCs w:val="21"/>
        </w:rPr>
        <w:t>等证明材料，</w:t>
      </w:r>
      <w:r>
        <w:rPr>
          <w:rFonts w:hint="eastAsia" w:ascii="宋体" w:hAnsi="宋体" w:cs="宋体"/>
          <w:sz w:val="21"/>
          <w:szCs w:val="21"/>
        </w:rPr>
        <w:t>并对外购设备质量负责</w:t>
      </w:r>
      <w:r>
        <w:rPr>
          <w:rFonts w:hint="eastAsia" w:ascii="宋体" w:hAnsi="宋体" w:cs="宋体"/>
          <w:bCs/>
          <w:kern w:val="2"/>
          <w:sz w:val="21"/>
          <w:szCs w:val="21"/>
        </w:rPr>
        <w:t>；</w:t>
      </w:r>
    </w:p>
    <w:p w14:paraId="35C24E21">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（2）质量保证期间，乙方负责对系统、设备、仪器进行维护；</w:t>
      </w:r>
    </w:p>
    <w:p w14:paraId="7A3C1EAD">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（3）质量保证期内非操作原因出现软硬件故障/瘫痪，乙方确保在接到甲方通知4小时内到达甲方现场，予以排除故障，其间的费用由乙方承担；</w:t>
      </w:r>
    </w:p>
    <w:p w14:paraId="6F71D91E">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（4）质量保证期内因操作原因出现软硬件故障/瘫痪，乙方确保在接到甲方通知4小时内到达甲方现场，其间更换零部件费用由甲方承担；</w:t>
      </w:r>
    </w:p>
    <w:p w14:paraId="7DA340EA">
      <w:pPr>
        <w:spacing w:after="0" w:line="360" w:lineRule="auto"/>
        <w:ind w:firstLine="424" w:firstLineChars="202"/>
        <w:jc w:val="both"/>
        <w:rPr>
          <w:rFonts w:ascii="宋体" w:hAnsi="宋体" w:cs="宋体"/>
          <w:bCs/>
          <w:kern w:val="2"/>
          <w:sz w:val="21"/>
          <w:szCs w:val="21"/>
        </w:rPr>
      </w:pPr>
      <w:r>
        <w:rPr>
          <w:rFonts w:hint="eastAsia" w:ascii="宋体" w:hAnsi="宋体" w:cs="宋体"/>
          <w:bCs/>
          <w:kern w:val="2"/>
          <w:sz w:val="21"/>
          <w:szCs w:val="21"/>
        </w:rPr>
        <w:t>（5）故障修复后双方应共同确认。</w:t>
      </w:r>
    </w:p>
    <w:p w14:paraId="7AFE5C4C">
      <w:pPr>
        <w:pStyle w:val="2"/>
        <w:ind w:left="400" w:firstLine="400"/>
      </w:pPr>
      <w:r>
        <w:rPr>
          <w:rFonts w:hint="eastAsia"/>
        </w:rPr>
        <w:br w:type="page"/>
      </w:r>
    </w:p>
    <w:p w14:paraId="0B27C33A">
      <w:pPr>
        <w:pStyle w:val="4"/>
        <w:jc w:val="center"/>
        <w:rPr>
          <w:rFonts w:ascii="宋体" w:hAnsi="宋体"/>
          <w:sz w:val="36"/>
          <w:szCs w:val="36"/>
        </w:rPr>
      </w:pPr>
      <w:bookmarkStart w:id="197" w:name="_Toc18698"/>
      <w:r>
        <w:rPr>
          <w:rFonts w:hint="eastAsia" w:ascii="宋体" w:hAnsi="宋体"/>
          <w:sz w:val="36"/>
          <w:szCs w:val="36"/>
        </w:rPr>
        <w:t>第六章 投标文件格式</w:t>
      </w:r>
      <w:bookmarkEnd w:id="197"/>
      <w:bookmarkStart w:id="198" w:name="_Hlk38280631"/>
    </w:p>
    <w:p w14:paraId="0F79460A">
      <w:pPr>
        <w:jc w:val="center"/>
        <w:rPr>
          <w:rFonts w:ascii="宋体" w:hAnsi="宋体"/>
          <w:b/>
          <w:sz w:val="48"/>
          <w:szCs w:val="48"/>
        </w:rPr>
      </w:pPr>
      <w:r>
        <w:rPr>
          <w:rFonts w:hint="eastAsia" w:ascii="宋体" w:hAnsi="宋体"/>
          <w:b/>
          <w:sz w:val="48"/>
          <w:szCs w:val="48"/>
        </w:rPr>
        <w:t>曲靖卷烟厂智能工厂建设（智能生产、数字能源）项目</w:t>
      </w:r>
    </w:p>
    <w:p w14:paraId="3A80A96D">
      <w:pPr>
        <w:spacing w:line="540" w:lineRule="exact"/>
        <w:rPr>
          <w:rFonts w:ascii="宋体" w:hAnsi="宋体"/>
          <w:szCs w:val="21"/>
        </w:rPr>
      </w:pPr>
    </w:p>
    <w:p w14:paraId="74F0927C">
      <w:pPr>
        <w:jc w:val="center"/>
        <w:rPr>
          <w:rFonts w:ascii="宋体" w:hAnsi="宋体"/>
          <w:b/>
          <w:sz w:val="72"/>
          <w:szCs w:val="72"/>
        </w:rPr>
      </w:pPr>
    </w:p>
    <w:p w14:paraId="4C30A1B9">
      <w:pPr>
        <w:jc w:val="center"/>
        <w:rPr>
          <w:rFonts w:ascii="宋体" w:hAnsi="宋体"/>
          <w:b/>
          <w:sz w:val="72"/>
          <w:szCs w:val="72"/>
        </w:rPr>
      </w:pPr>
    </w:p>
    <w:p w14:paraId="00B907A9">
      <w:pPr>
        <w:jc w:val="center"/>
        <w:rPr>
          <w:rFonts w:ascii="宋体" w:hAnsi="宋体"/>
          <w:b/>
          <w:sz w:val="72"/>
          <w:szCs w:val="72"/>
        </w:rPr>
      </w:pPr>
      <w:r>
        <w:rPr>
          <w:rFonts w:hint="eastAsia" w:ascii="宋体" w:hAnsi="宋体"/>
          <w:b/>
          <w:sz w:val="72"/>
          <w:szCs w:val="72"/>
        </w:rPr>
        <w:t>投标文件</w:t>
      </w:r>
    </w:p>
    <w:p w14:paraId="55677C84">
      <w:pPr>
        <w:jc w:val="center"/>
        <w:rPr>
          <w:rFonts w:hint="eastAsia" w:ascii="宋体" w:hAnsi="宋体" w:eastAsia="宋体"/>
          <w:b/>
          <w:sz w:val="72"/>
          <w:szCs w:val="72"/>
          <w:lang w:eastAsia="zh-CN"/>
        </w:rPr>
      </w:pPr>
      <w:r>
        <w:rPr>
          <w:rFonts w:hint="eastAsia" w:ascii="宋体" w:hAnsi="宋体"/>
          <w:b/>
          <w:sz w:val="28"/>
          <w:szCs w:val="21"/>
        </w:rPr>
        <w:t>项目编号：</w:t>
      </w:r>
      <w:r>
        <w:rPr>
          <w:rFonts w:hint="eastAsia" w:ascii="宋体" w:hAnsi="宋体"/>
          <w:b/>
          <w:sz w:val="28"/>
          <w:szCs w:val="21"/>
          <w:lang w:eastAsia="zh-CN"/>
        </w:rPr>
        <w:t>C53A00525001005</w:t>
      </w:r>
    </w:p>
    <w:p w14:paraId="7E20AE8A">
      <w:pPr>
        <w:spacing w:line="540" w:lineRule="exact"/>
        <w:ind w:firstLine="437"/>
        <w:rPr>
          <w:rFonts w:ascii="宋体" w:hAnsi="宋体"/>
          <w:szCs w:val="21"/>
        </w:rPr>
      </w:pPr>
    </w:p>
    <w:p w14:paraId="46D4E097">
      <w:pPr>
        <w:spacing w:line="540" w:lineRule="exact"/>
        <w:ind w:firstLine="437"/>
        <w:rPr>
          <w:rFonts w:ascii="宋体" w:hAnsi="宋体"/>
          <w:szCs w:val="21"/>
        </w:rPr>
      </w:pPr>
    </w:p>
    <w:p w14:paraId="6FB8CF74">
      <w:pPr>
        <w:spacing w:line="540" w:lineRule="exact"/>
        <w:ind w:firstLine="437"/>
        <w:rPr>
          <w:rFonts w:ascii="宋体" w:hAnsi="宋体"/>
          <w:szCs w:val="21"/>
        </w:rPr>
      </w:pPr>
    </w:p>
    <w:p w14:paraId="1FFB83BD">
      <w:pPr>
        <w:spacing w:line="540" w:lineRule="exact"/>
        <w:ind w:firstLine="437"/>
        <w:rPr>
          <w:rFonts w:ascii="宋体" w:hAnsi="宋体"/>
          <w:szCs w:val="21"/>
        </w:rPr>
      </w:pPr>
    </w:p>
    <w:p w14:paraId="0EF9A109">
      <w:pPr>
        <w:spacing w:line="540" w:lineRule="exact"/>
        <w:ind w:firstLine="437"/>
        <w:rPr>
          <w:rFonts w:ascii="宋体" w:hAnsi="宋体"/>
          <w:szCs w:val="21"/>
        </w:rPr>
      </w:pPr>
    </w:p>
    <w:p w14:paraId="19A392AA">
      <w:pPr>
        <w:spacing w:line="360" w:lineRule="auto"/>
        <w:ind w:firstLine="437"/>
        <w:rPr>
          <w:rFonts w:ascii="宋体" w:hAnsi="宋体"/>
          <w:sz w:val="30"/>
          <w:szCs w:val="30"/>
        </w:rPr>
      </w:pPr>
      <w:r>
        <w:rPr>
          <w:rFonts w:hint="eastAsia" w:ascii="宋体" w:hAnsi="宋体"/>
          <w:sz w:val="30"/>
          <w:szCs w:val="30"/>
        </w:rPr>
        <w:t>投标人（盖章）</w:t>
      </w:r>
      <w:r>
        <w:rPr>
          <w:rFonts w:ascii="宋体" w:hAnsi="宋体"/>
          <w:sz w:val="30"/>
          <w:szCs w:val="30"/>
        </w:rPr>
        <w:t>:</w:t>
      </w:r>
      <w:r>
        <w:rPr>
          <w:rFonts w:ascii="宋体" w:hAnsi="宋体"/>
          <w:sz w:val="30"/>
          <w:szCs w:val="30"/>
          <w:u w:val="single"/>
        </w:rPr>
        <w:t xml:space="preserve">                                     </w:t>
      </w:r>
    </w:p>
    <w:p w14:paraId="333E46AB">
      <w:pPr>
        <w:spacing w:line="360" w:lineRule="auto"/>
        <w:ind w:firstLine="437"/>
        <w:rPr>
          <w:rFonts w:ascii="宋体" w:hAnsi="宋体"/>
          <w:b/>
          <w:sz w:val="32"/>
          <w:szCs w:val="32"/>
          <w:u w:val="single"/>
        </w:rPr>
      </w:pPr>
      <w:r>
        <w:rPr>
          <w:rFonts w:hint="eastAsia" w:ascii="宋体" w:hAnsi="宋体"/>
          <w:sz w:val="30"/>
          <w:szCs w:val="30"/>
        </w:rPr>
        <w:t>法定代表人或其委托代理人（签字或盖章）</w:t>
      </w:r>
      <w:r>
        <w:rPr>
          <w:rFonts w:ascii="宋体" w:hAnsi="宋体"/>
          <w:sz w:val="30"/>
          <w:szCs w:val="30"/>
        </w:rPr>
        <w:t>:</w:t>
      </w:r>
      <w:r>
        <w:rPr>
          <w:rFonts w:ascii="宋体" w:hAnsi="宋体"/>
          <w:sz w:val="30"/>
          <w:szCs w:val="30"/>
          <w:u w:val="single"/>
        </w:rPr>
        <w:t xml:space="preserve">       </w:t>
      </w:r>
      <w:r>
        <w:rPr>
          <w:rFonts w:hint="eastAsia" w:ascii="宋体" w:hAnsi="宋体"/>
          <w:sz w:val="30"/>
          <w:szCs w:val="30"/>
          <w:u w:val="single"/>
        </w:rPr>
        <w:t xml:space="preserve">      </w:t>
      </w:r>
    </w:p>
    <w:p w14:paraId="7729EFD3">
      <w:pPr>
        <w:spacing w:line="360" w:lineRule="auto"/>
        <w:ind w:firstLine="437"/>
        <w:rPr>
          <w:rFonts w:ascii="宋体" w:hAnsi="宋体"/>
          <w:b/>
          <w:sz w:val="32"/>
          <w:szCs w:val="32"/>
          <w:u w:val="single"/>
        </w:rPr>
      </w:pPr>
      <w:r>
        <w:rPr>
          <w:rFonts w:ascii="宋体" w:hAnsi="宋体"/>
          <w:sz w:val="32"/>
          <w:szCs w:val="32"/>
        </w:rPr>
        <w:t>日期</w:t>
      </w:r>
      <w:r>
        <w:rPr>
          <w:rFonts w:ascii="宋体" w:hAnsi="宋体"/>
          <w:sz w:val="32"/>
          <w:szCs w:val="32"/>
          <w:u w:val="single"/>
        </w:rPr>
        <w:t xml:space="preserve">          </w:t>
      </w:r>
      <w:r>
        <w:rPr>
          <w:rFonts w:hint="eastAsia" w:ascii="宋体" w:hAnsi="宋体"/>
          <w:sz w:val="32"/>
          <w:szCs w:val="32"/>
        </w:rPr>
        <w:t>年</w:t>
      </w:r>
      <w:r>
        <w:rPr>
          <w:rFonts w:ascii="宋体" w:hAnsi="宋体"/>
          <w:sz w:val="32"/>
          <w:szCs w:val="32"/>
          <w:u w:val="single"/>
        </w:rPr>
        <w:t xml:space="preserve">      </w:t>
      </w:r>
      <w:r>
        <w:rPr>
          <w:rFonts w:hint="eastAsia" w:ascii="宋体" w:hAnsi="宋体"/>
          <w:sz w:val="32"/>
          <w:szCs w:val="32"/>
        </w:rPr>
        <w:t>月</w:t>
      </w:r>
      <w:r>
        <w:rPr>
          <w:rFonts w:ascii="宋体" w:hAnsi="宋体"/>
          <w:sz w:val="32"/>
          <w:szCs w:val="32"/>
          <w:u w:val="single"/>
        </w:rPr>
        <w:t xml:space="preserve">      </w:t>
      </w:r>
      <w:r>
        <w:rPr>
          <w:rFonts w:hint="eastAsia" w:ascii="宋体" w:hAnsi="宋体"/>
          <w:sz w:val="32"/>
          <w:szCs w:val="32"/>
        </w:rPr>
        <w:t>日</w:t>
      </w:r>
    </w:p>
    <w:p w14:paraId="7948B890">
      <w:pPr>
        <w:pStyle w:val="5"/>
        <w:jc w:val="center"/>
        <w:rPr>
          <w:rFonts w:ascii="宋体" w:hAnsi="宋体" w:eastAsia="宋体"/>
          <w:sz w:val="30"/>
          <w:szCs w:val="30"/>
        </w:rPr>
      </w:pPr>
      <w:bookmarkStart w:id="199" w:name="_Toc29970"/>
      <w:bookmarkStart w:id="200" w:name="_Toc103248609"/>
      <w:r>
        <w:rPr>
          <w:rFonts w:hint="eastAsia" w:ascii="宋体" w:hAnsi="宋体" w:eastAsia="宋体"/>
          <w:sz w:val="30"/>
          <w:szCs w:val="30"/>
        </w:rPr>
        <w:t>一、投标报价（唱标）一览表</w:t>
      </w:r>
      <w:bookmarkEnd w:id="199"/>
    </w:p>
    <w:tbl>
      <w:tblPr>
        <w:tblStyle w:val="62"/>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662"/>
        <w:gridCol w:w="4820"/>
        <w:gridCol w:w="1653"/>
      </w:tblGrid>
      <w:tr w14:paraId="21A6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75DD6851">
            <w:pPr>
              <w:spacing w:line="360" w:lineRule="auto"/>
              <w:jc w:val="center"/>
              <w:rPr>
                <w:rFonts w:ascii="宋体" w:hAnsi="宋体"/>
                <w:sz w:val="21"/>
                <w:szCs w:val="21"/>
              </w:rPr>
            </w:pPr>
            <w:r>
              <w:rPr>
                <w:rFonts w:ascii="宋体" w:hAnsi="宋体"/>
                <w:sz w:val="21"/>
                <w:szCs w:val="21"/>
              </w:rPr>
              <w:t>序号</w:t>
            </w:r>
          </w:p>
        </w:tc>
        <w:tc>
          <w:tcPr>
            <w:tcW w:w="2662" w:type="dxa"/>
            <w:tcBorders>
              <w:top w:val="single" w:color="auto" w:sz="4" w:space="0"/>
              <w:left w:val="single" w:color="auto" w:sz="4" w:space="0"/>
              <w:bottom w:val="single" w:color="auto" w:sz="4" w:space="0"/>
              <w:right w:val="single" w:color="auto" w:sz="4" w:space="0"/>
            </w:tcBorders>
            <w:vAlign w:val="center"/>
          </w:tcPr>
          <w:p w14:paraId="49F7DCF1">
            <w:pPr>
              <w:spacing w:line="360" w:lineRule="auto"/>
              <w:jc w:val="center"/>
              <w:rPr>
                <w:rFonts w:ascii="宋体" w:hAnsi="宋体"/>
                <w:sz w:val="21"/>
                <w:szCs w:val="21"/>
              </w:rPr>
            </w:pPr>
            <w:r>
              <w:rPr>
                <w:rFonts w:ascii="宋体" w:hAnsi="宋体"/>
                <w:sz w:val="21"/>
                <w:szCs w:val="21"/>
              </w:rPr>
              <w:t>项目</w:t>
            </w:r>
          </w:p>
        </w:tc>
        <w:tc>
          <w:tcPr>
            <w:tcW w:w="4820" w:type="dxa"/>
            <w:tcBorders>
              <w:top w:val="single" w:color="auto" w:sz="4" w:space="0"/>
              <w:left w:val="single" w:color="auto" w:sz="4" w:space="0"/>
              <w:right w:val="single" w:color="auto" w:sz="4" w:space="0"/>
            </w:tcBorders>
            <w:vAlign w:val="center"/>
          </w:tcPr>
          <w:p w14:paraId="44E3EA95">
            <w:pPr>
              <w:spacing w:line="360" w:lineRule="auto"/>
              <w:jc w:val="center"/>
              <w:rPr>
                <w:rFonts w:ascii="宋体" w:hAnsi="宋体"/>
                <w:sz w:val="21"/>
                <w:szCs w:val="21"/>
              </w:rPr>
            </w:pPr>
            <w:r>
              <w:rPr>
                <w:rFonts w:hint="eastAsia" w:ascii="宋体" w:hAnsi="宋体"/>
                <w:sz w:val="21"/>
                <w:szCs w:val="21"/>
              </w:rPr>
              <w:t>内容</w:t>
            </w:r>
          </w:p>
        </w:tc>
        <w:tc>
          <w:tcPr>
            <w:tcW w:w="1653" w:type="dxa"/>
            <w:tcBorders>
              <w:top w:val="single" w:color="auto" w:sz="4" w:space="0"/>
              <w:left w:val="single" w:color="auto" w:sz="4" w:space="0"/>
              <w:right w:val="single" w:color="auto" w:sz="4" w:space="0"/>
            </w:tcBorders>
            <w:vAlign w:val="center"/>
          </w:tcPr>
          <w:p w14:paraId="76AB3895">
            <w:pPr>
              <w:spacing w:line="360" w:lineRule="auto"/>
              <w:jc w:val="center"/>
              <w:rPr>
                <w:rFonts w:ascii="宋体" w:hAnsi="宋体"/>
                <w:sz w:val="21"/>
                <w:szCs w:val="21"/>
              </w:rPr>
            </w:pPr>
            <w:r>
              <w:rPr>
                <w:rFonts w:hint="eastAsia" w:ascii="宋体" w:hAnsi="宋体"/>
                <w:sz w:val="21"/>
                <w:szCs w:val="21"/>
              </w:rPr>
              <w:t>备注</w:t>
            </w:r>
          </w:p>
        </w:tc>
      </w:tr>
      <w:tr w14:paraId="2235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1050E019">
            <w:pPr>
              <w:spacing w:line="360" w:lineRule="auto"/>
              <w:jc w:val="center"/>
              <w:rPr>
                <w:rFonts w:ascii="宋体" w:hAnsi="宋体"/>
                <w:sz w:val="21"/>
                <w:szCs w:val="21"/>
              </w:rPr>
            </w:pPr>
            <w:r>
              <w:rPr>
                <w:rFonts w:ascii="宋体" w:hAnsi="宋体"/>
                <w:sz w:val="21"/>
                <w:szCs w:val="21"/>
              </w:rPr>
              <w:t>1</w:t>
            </w:r>
          </w:p>
        </w:tc>
        <w:tc>
          <w:tcPr>
            <w:tcW w:w="2662" w:type="dxa"/>
            <w:tcBorders>
              <w:top w:val="single" w:color="auto" w:sz="4" w:space="0"/>
              <w:left w:val="single" w:color="auto" w:sz="4" w:space="0"/>
              <w:bottom w:val="single" w:color="auto" w:sz="4" w:space="0"/>
              <w:right w:val="single" w:color="auto" w:sz="4" w:space="0"/>
            </w:tcBorders>
            <w:vAlign w:val="center"/>
          </w:tcPr>
          <w:p w14:paraId="09B1D2A3">
            <w:pPr>
              <w:spacing w:line="360" w:lineRule="auto"/>
              <w:jc w:val="center"/>
              <w:rPr>
                <w:rFonts w:ascii="宋体" w:hAnsi="宋体"/>
                <w:sz w:val="21"/>
                <w:szCs w:val="21"/>
              </w:rPr>
            </w:pPr>
            <w:r>
              <w:rPr>
                <w:rFonts w:hint="eastAsia" w:ascii="宋体" w:hAnsi="宋体"/>
                <w:sz w:val="21"/>
                <w:szCs w:val="21"/>
              </w:rPr>
              <w:t>投标总报价（含税）</w:t>
            </w:r>
          </w:p>
          <w:p w14:paraId="05EA697F">
            <w:pPr>
              <w:spacing w:line="360" w:lineRule="auto"/>
              <w:jc w:val="center"/>
              <w:rPr>
                <w:sz w:val="21"/>
                <w:szCs w:val="21"/>
              </w:rPr>
            </w:pPr>
            <w:r>
              <w:rPr>
                <w:rFonts w:hint="eastAsia" w:ascii="宋体" w:hAnsi="宋体"/>
                <w:sz w:val="21"/>
                <w:szCs w:val="21"/>
              </w:rPr>
              <w:t>（元）</w:t>
            </w:r>
          </w:p>
        </w:tc>
        <w:tc>
          <w:tcPr>
            <w:tcW w:w="4820" w:type="dxa"/>
            <w:tcBorders>
              <w:top w:val="single" w:color="auto" w:sz="4" w:space="0"/>
              <w:left w:val="single" w:color="auto" w:sz="4" w:space="0"/>
              <w:bottom w:val="single" w:color="auto" w:sz="4" w:space="0"/>
              <w:right w:val="single" w:color="auto" w:sz="4" w:space="0"/>
            </w:tcBorders>
            <w:vAlign w:val="center"/>
          </w:tcPr>
          <w:p w14:paraId="0CDDDC0C">
            <w:pPr>
              <w:spacing w:line="360" w:lineRule="auto"/>
              <w:rPr>
                <w:rFonts w:ascii="宋体" w:hAnsi="宋体"/>
                <w:sz w:val="21"/>
                <w:szCs w:val="21"/>
                <w:u w:val="single"/>
              </w:rPr>
            </w:pPr>
            <w:r>
              <w:rPr>
                <w:rFonts w:hint="eastAsia" w:ascii="宋体" w:hAnsi="宋体"/>
                <w:sz w:val="21"/>
                <w:szCs w:val="21"/>
              </w:rPr>
              <w:t>小写：</w:t>
            </w:r>
            <w:r>
              <w:rPr>
                <w:rFonts w:hint="eastAsia" w:ascii="宋体" w:hAnsi="宋体"/>
                <w:sz w:val="21"/>
                <w:szCs w:val="21"/>
                <w:u w:val="single"/>
              </w:rPr>
              <w:t xml:space="preserve"> </w:t>
            </w:r>
            <w:r>
              <w:rPr>
                <w:rFonts w:ascii="宋体" w:hAnsi="宋体"/>
                <w:sz w:val="21"/>
                <w:szCs w:val="21"/>
                <w:u w:val="single"/>
              </w:rPr>
              <w:t xml:space="preserve">          </w:t>
            </w:r>
          </w:p>
          <w:p w14:paraId="364F6099">
            <w:pPr>
              <w:spacing w:line="360" w:lineRule="auto"/>
              <w:rPr>
                <w:rFonts w:ascii="宋体" w:hAnsi="宋体"/>
                <w:sz w:val="21"/>
                <w:szCs w:val="21"/>
                <w:u w:val="single"/>
              </w:rPr>
            </w:pPr>
            <w:r>
              <w:rPr>
                <w:rFonts w:hint="eastAsia" w:ascii="宋体" w:hAnsi="宋体"/>
                <w:sz w:val="21"/>
                <w:szCs w:val="21"/>
              </w:rPr>
              <w:t>大写：</w:t>
            </w:r>
            <w:r>
              <w:rPr>
                <w:rFonts w:hint="eastAsia" w:ascii="宋体" w:hAnsi="宋体"/>
                <w:sz w:val="21"/>
                <w:szCs w:val="21"/>
                <w:u w:val="single"/>
              </w:rPr>
              <w:t xml:space="preserve"> </w:t>
            </w:r>
            <w:r>
              <w:rPr>
                <w:rFonts w:ascii="宋体" w:hAnsi="宋体"/>
                <w:sz w:val="21"/>
                <w:szCs w:val="21"/>
                <w:u w:val="single"/>
              </w:rPr>
              <w:t xml:space="preserve">          </w:t>
            </w:r>
          </w:p>
        </w:tc>
        <w:tc>
          <w:tcPr>
            <w:tcW w:w="1653" w:type="dxa"/>
            <w:tcBorders>
              <w:top w:val="single" w:color="auto" w:sz="4" w:space="0"/>
              <w:left w:val="single" w:color="auto" w:sz="4" w:space="0"/>
              <w:bottom w:val="single" w:color="auto" w:sz="4" w:space="0"/>
              <w:right w:val="single" w:color="auto" w:sz="4" w:space="0"/>
            </w:tcBorders>
            <w:vAlign w:val="center"/>
          </w:tcPr>
          <w:p w14:paraId="1E3995D1">
            <w:pPr>
              <w:spacing w:line="360" w:lineRule="auto"/>
              <w:jc w:val="center"/>
              <w:rPr>
                <w:rFonts w:ascii="宋体" w:hAnsi="宋体"/>
                <w:sz w:val="21"/>
                <w:szCs w:val="21"/>
              </w:rPr>
            </w:pPr>
          </w:p>
        </w:tc>
      </w:tr>
      <w:tr w14:paraId="74D5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6CA4885D">
            <w:pPr>
              <w:spacing w:line="360" w:lineRule="auto"/>
              <w:jc w:val="center"/>
              <w:rPr>
                <w:rFonts w:ascii="宋体" w:hAnsi="宋体"/>
                <w:sz w:val="21"/>
                <w:szCs w:val="21"/>
              </w:rPr>
            </w:pPr>
            <w:r>
              <w:rPr>
                <w:rFonts w:hint="eastAsia" w:ascii="宋体" w:hAnsi="宋体"/>
                <w:sz w:val="21"/>
                <w:szCs w:val="21"/>
              </w:rPr>
              <w:t>2</w:t>
            </w:r>
          </w:p>
        </w:tc>
        <w:tc>
          <w:tcPr>
            <w:tcW w:w="2662" w:type="dxa"/>
            <w:tcBorders>
              <w:top w:val="single" w:color="auto" w:sz="4" w:space="0"/>
              <w:left w:val="single" w:color="auto" w:sz="4" w:space="0"/>
              <w:bottom w:val="single" w:color="auto" w:sz="4" w:space="0"/>
              <w:right w:val="single" w:color="auto" w:sz="4" w:space="0"/>
            </w:tcBorders>
            <w:vAlign w:val="center"/>
          </w:tcPr>
          <w:p w14:paraId="7F10410E">
            <w:pPr>
              <w:spacing w:line="360" w:lineRule="auto"/>
              <w:jc w:val="center"/>
              <w:rPr>
                <w:rFonts w:ascii="宋体" w:hAnsi="宋体"/>
                <w:sz w:val="21"/>
                <w:szCs w:val="21"/>
              </w:rPr>
            </w:pPr>
            <w:r>
              <w:rPr>
                <w:rFonts w:hint="eastAsia" w:ascii="宋体" w:hAnsi="宋体"/>
                <w:sz w:val="21"/>
                <w:szCs w:val="21"/>
              </w:rPr>
              <w:t>项目工期</w:t>
            </w:r>
          </w:p>
        </w:tc>
        <w:tc>
          <w:tcPr>
            <w:tcW w:w="4820" w:type="dxa"/>
            <w:tcBorders>
              <w:top w:val="single" w:color="auto" w:sz="4" w:space="0"/>
              <w:left w:val="single" w:color="auto" w:sz="4" w:space="0"/>
              <w:bottom w:val="single" w:color="auto" w:sz="4" w:space="0"/>
              <w:right w:val="single" w:color="auto" w:sz="4" w:space="0"/>
            </w:tcBorders>
            <w:vAlign w:val="center"/>
          </w:tcPr>
          <w:p w14:paraId="2D9CBE3B">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713AB8EB">
            <w:pPr>
              <w:spacing w:line="360" w:lineRule="auto"/>
              <w:jc w:val="center"/>
              <w:rPr>
                <w:rFonts w:ascii="宋体" w:hAnsi="宋体"/>
                <w:sz w:val="21"/>
                <w:szCs w:val="21"/>
              </w:rPr>
            </w:pPr>
          </w:p>
        </w:tc>
      </w:tr>
      <w:tr w14:paraId="05EA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2B843A6E">
            <w:pPr>
              <w:spacing w:line="360" w:lineRule="auto"/>
              <w:jc w:val="center"/>
              <w:rPr>
                <w:rFonts w:ascii="宋体" w:hAnsi="宋体"/>
                <w:sz w:val="21"/>
                <w:szCs w:val="21"/>
              </w:rPr>
            </w:pPr>
            <w:r>
              <w:rPr>
                <w:rFonts w:hint="eastAsia" w:ascii="宋体" w:hAnsi="宋体"/>
                <w:sz w:val="21"/>
                <w:szCs w:val="21"/>
              </w:rPr>
              <w:t>3</w:t>
            </w:r>
          </w:p>
        </w:tc>
        <w:tc>
          <w:tcPr>
            <w:tcW w:w="2662" w:type="dxa"/>
            <w:tcBorders>
              <w:top w:val="single" w:color="auto" w:sz="4" w:space="0"/>
              <w:left w:val="single" w:color="auto" w:sz="4" w:space="0"/>
              <w:bottom w:val="single" w:color="auto" w:sz="4" w:space="0"/>
              <w:right w:val="single" w:color="auto" w:sz="4" w:space="0"/>
            </w:tcBorders>
            <w:vAlign w:val="center"/>
          </w:tcPr>
          <w:p w14:paraId="0AC26482">
            <w:pPr>
              <w:spacing w:line="360" w:lineRule="auto"/>
              <w:jc w:val="center"/>
              <w:rPr>
                <w:rFonts w:ascii="宋体" w:hAnsi="宋体"/>
                <w:sz w:val="21"/>
                <w:szCs w:val="21"/>
              </w:rPr>
            </w:pPr>
            <w:r>
              <w:rPr>
                <w:rFonts w:hint="eastAsia" w:ascii="宋体" w:hAnsi="宋体"/>
                <w:sz w:val="21"/>
                <w:szCs w:val="21"/>
              </w:rPr>
              <w:t>质保期</w:t>
            </w:r>
          </w:p>
        </w:tc>
        <w:tc>
          <w:tcPr>
            <w:tcW w:w="4820" w:type="dxa"/>
            <w:tcBorders>
              <w:top w:val="single" w:color="auto" w:sz="4" w:space="0"/>
              <w:left w:val="single" w:color="auto" w:sz="4" w:space="0"/>
              <w:bottom w:val="single" w:color="auto" w:sz="4" w:space="0"/>
              <w:right w:val="single" w:color="auto" w:sz="4" w:space="0"/>
            </w:tcBorders>
            <w:vAlign w:val="center"/>
          </w:tcPr>
          <w:p w14:paraId="5E967AD5">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4DF332A4">
            <w:pPr>
              <w:spacing w:line="360" w:lineRule="auto"/>
              <w:jc w:val="center"/>
              <w:rPr>
                <w:rFonts w:ascii="宋体" w:hAnsi="宋体"/>
                <w:sz w:val="21"/>
                <w:szCs w:val="21"/>
              </w:rPr>
            </w:pPr>
          </w:p>
        </w:tc>
      </w:tr>
      <w:tr w14:paraId="7330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154983D4">
            <w:pPr>
              <w:spacing w:line="360" w:lineRule="auto"/>
              <w:jc w:val="center"/>
              <w:rPr>
                <w:rFonts w:ascii="宋体" w:hAnsi="宋体"/>
                <w:sz w:val="21"/>
                <w:szCs w:val="21"/>
              </w:rPr>
            </w:pPr>
            <w:r>
              <w:rPr>
                <w:rFonts w:hint="eastAsia" w:ascii="宋体" w:hAnsi="宋体"/>
                <w:sz w:val="21"/>
                <w:szCs w:val="21"/>
              </w:rPr>
              <w:t>4</w:t>
            </w:r>
          </w:p>
        </w:tc>
        <w:tc>
          <w:tcPr>
            <w:tcW w:w="2662" w:type="dxa"/>
            <w:tcBorders>
              <w:top w:val="single" w:color="auto" w:sz="4" w:space="0"/>
              <w:left w:val="single" w:color="auto" w:sz="4" w:space="0"/>
              <w:bottom w:val="single" w:color="auto" w:sz="4" w:space="0"/>
              <w:right w:val="single" w:color="auto" w:sz="4" w:space="0"/>
            </w:tcBorders>
            <w:vAlign w:val="center"/>
          </w:tcPr>
          <w:p w14:paraId="405319E8">
            <w:pPr>
              <w:spacing w:line="360" w:lineRule="auto"/>
              <w:jc w:val="center"/>
              <w:rPr>
                <w:rFonts w:ascii="宋体" w:hAnsi="宋体"/>
                <w:sz w:val="21"/>
                <w:szCs w:val="21"/>
              </w:rPr>
            </w:pPr>
            <w:r>
              <w:rPr>
                <w:rFonts w:hint="eastAsia" w:ascii="宋体" w:hAnsi="宋体"/>
                <w:sz w:val="21"/>
                <w:szCs w:val="21"/>
              </w:rPr>
              <w:t>投标保证金</w:t>
            </w:r>
          </w:p>
        </w:tc>
        <w:tc>
          <w:tcPr>
            <w:tcW w:w="4820" w:type="dxa"/>
            <w:tcBorders>
              <w:top w:val="single" w:color="auto" w:sz="4" w:space="0"/>
              <w:left w:val="single" w:color="auto" w:sz="4" w:space="0"/>
              <w:bottom w:val="single" w:color="auto" w:sz="4" w:space="0"/>
              <w:right w:val="single" w:color="auto" w:sz="4" w:space="0"/>
            </w:tcBorders>
            <w:vAlign w:val="center"/>
          </w:tcPr>
          <w:p w14:paraId="4F15B478">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0EB93B9C">
            <w:pPr>
              <w:spacing w:line="360" w:lineRule="auto"/>
              <w:jc w:val="center"/>
              <w:rPr>
                <w:rFonts w:ascii="宋体" w:hAnsi="宋体"/>
                <w:sz w:val="21"/>
                <w:szCs w:val="21"/>
              </w:rPr>
            </w:pPr>
          </w:p>
        </w:tc>
      </w:tr>
      <w:tr w14:paraId="5D31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277496DB">
            <w:pPr>
              <w:spacing w:line="360" w:lineRule="auto"/>
              <w:jc w:val="center"/>
              <w:rPr>
                <w:rFonts w:ascii="宋体" w:hAnsi="宋体"/>
                <w:sz w:val="21"/>
                <w:szCs w:val="21"/>
              </w:rPr>
            </w:pPr>
            <w:r>
              <w:rPr>
                <w:rFonts w:hint="eastAsia" w:ascii="宋体" w:hAnsi="宋体"/>
                <w:sz w:val="21"/>
                <w:szCs w:val="21"/>
              </w:rPr>
              <w:t>5</w:t>
            </w:r>
          </w:p>
        </w:tc>
        <w:tc>
          <w:tcPr>
            <w:tcW w:w="2662" w:type="dxa"/>
            <w:tcBorders>
              <w:top w:val="single" w:color="auto" w:sz="4" w:space="0"/>
              <w:left w:val="single" w:color="auto" w:sz="4" w:space="0"/>
              <w:bottom w:val="single" w:color="auto" w:sz="4" w:space="0"/>
              <w:right w:val="single" w:color="auto" w:sz="4" w:space="0"/>
            </w:tcBorders>
            <w:vAlign w:val="center"/>
          </w:tcPr>
          <w:p w14:paraId="3ECC28CC">
            <w:pPr>
              <w:spacing w:line="360" w:lineRule="auto"/>
              <w:jc w:val="center"/>
              <w:rPr>
                <w:rFonts w:ascii="宋体" w:hAnsi="宋体"/>
                <w:sz w:val="21"/>
                <w:szCs w:val="21"/>
              </w:rPr>
            </w:pPr>
            <w:r>
              <w:rPr>
                <w:rFonts w:hint="eastAsia" w:ascii="宋体" w:hAnsi="宋体"/>
                <w:sz w:val="21"/>
                <w:szCs w:val="21"/>
              </w:rPr>
              <w:t>其他说明</w:t>
            </w:r>
          </w:p>
        </w:tc>
        <w:tc>
          <w:tcPr>
            <w:tcW w:w="4820" w:type="dxa"/>
            <w:tcBorders>
              <w:top w:val="single" w:color="auto" w:sz="4" w:space="0"/>
              <w:left w:val="single" w:color="auto" w:sz="4" w:space="0"/>
              <w:bottom w:val="single" w:color="auto" w:sz="4" w:space="0"/>
              <w:right w:val="single" w:color="auto" w:sz="4" w:space="0"/>
            </w:tcBorders>
            <w:vAlign w:val="center"/>
          </w:tcPr>
          <w:p w14:paraId="394600C3">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4D980CD5">
            <w:pPr>
              <w:spacing w:line="360" w:lineRule="auto"/>
              <w:jc w:val="center"/>
              <w:rPr>
                <w:rFonts w:ascii="宋体" w:hAnsi="宋体"/>
                <w:sz w:val="21"/>
                <w:szCs w:val="21"/>
              </w:rPr>
            </w:pPr>
          </w:p>
        </w:tc>
      </w:tr>
    </w:tbl>
    <w:p w14:paraId="44636A05">
      <w:pPr>
        <w:pStyle w:val="294"/>
        <w:tabs>
          <w:tab w:val="left" w:pos="840"/>
        </w:tabs>
        <w:spacing w:line="276" w:lineRule="auto"/>
        <w:ind w:firstLine="420" w:firstLineChars="200"/>
        <w:rPr>
          <w:bCs/>
          <w:szCs w:val="21"/>
        </w:rPr>
      </w:pPr>
      <w:r>
        <w:rPr>
          <w:rFonts w:hint="eastAsia"/>
          <w:bCs/>
          <w:szCs w:val="21"/>
        </w:rPr>
        <w:t>注：</w:t>
      </w:r>
    </w:p>
    <w:p w14:paraId="34E7192F">
      <w:pPr>
        <w:pStyle w:val="294"/>
        <w:tabs>
          <w:tab w:val="left" w:pos="840"/>
        </w:tabs>
        <w:spacing w:line="276" w:lineRule="auto"/>
        <w:ind w:firstLine="422" w:firstLineChars="200"/>
        <w:rPr>
          <w:b/>
          <w:szCs w:val="21"/>
        </w:rPr>
      </w:pPr>
      <w:r>
        <w:rPr>
          <w:rFonts w:hint="eastAsia"/>
          <w:b/>
          <w:szCs w:val="21"/>
        </w:rPr>
        <w:t>1.此表装订在投标文件封面后第一页。</w:t>
      </w:r>
    </w:p>
    <w:p w14:paraId="20BDF1F9">
      <w:pPr>
        <w:pStyle w:val="294"/>
        <w:tabs>
          <w:tab w:val="left" w:pos="840"/>
        </w:tabs>
        <w:spacing w:line="276" w:lineRule="auto"/>
        <w:ind w:firstLine="420" w:firstLineChars="200"/>
        <w:rPr>
          <w:bCs/>
          <w:szCs w:val="21"/>
        </w:rPr>
      </w:pPr>
      <w:r>
        <w:rPr>
          <w:rFonts w:hint="eastAsia"/>
          <w:bCs/>
          <w:szCs w:val="21"/>
        </w:rPr>
        <w:t>2</w:t>
      </w:r>
      <w:r>
        <w:rPr>
          <w:bCs/>
          <w:szCs w:val="21"/>
        </w:rPr>
        <w:t>.</w:t>
      </w:r>
      <w:r>
        <w:rPr>
          <w:rFonts w:hint="eastAsia"/>
          <w:bCs/>
          <w:szCs w:val="21"/>
        </w:rPr>
        <w:t>投标报价保留小数点后两位，小数点后第两位“四舍五入”。</w:t>
      </w:r>
    </w:p>
    <w:p w14:paraId="31F8A564">
      <w:pPr>
        <w:pStyle w:val="294"/>
        <w:tabs>
          <w:tab w:val="left" w:pos="840"/>
        </w:tabs>
        <w:spacing w:line="276" w:lineRule="auto"/>
        <w:ind w:firstLine="420" w:firstLineChars="200"/>
        <w:rPr>
          <w:bCs/>
          <w:szCs w:val="21"/>
        </w:rPr>
      </w:pPr>
      <w:r>
        <w:rPr>
          <w:rFonts w:hint="eastAsia"/>
          <w:bCs/>
          <w:szCs w:val="21"/>
        </w:rPr>
        <w:t>3</w:t>
      </w:r>
      <w:r>
        <w:rPr>
          <w:bCs/>
          <w:szCs w:val="21"/>
        </w:rPr>
        <w:t>.</w:t>
      </w:r>
      <w:r>
        <w:rPr>
          <w:rFonts w:hint="eastAsia"/>
          <w:bCs/>
          <w:szCs w:val="21"/>
        </w:rPr>
        <w:t>本项目</w:t>
      </w:r>
      <w:r>
        <w:rPr>
          <w:bCs/>
          <w:szCs w:val="21"/>
        </w:rPr>
        <w:t>要求开具增值税专用发票，投标</w:t>
      </w:r>
      <w:r>
        <w:rPr>
          <w:rFonts w:hint="eastAsia"/>
          <w:bCs/>
          <w:szCs w:val="21"/>
        </w:rPr>
        <w:t>人</w:t>
      </w:r>
      <w:r>
        <w:rPr>
          <w:bCs/>
          <w:szCs w:val="21"/>
        </w:rPr>
        <w:t>按照国</w:t>
      </w:r>
      <w:r>
        <w:rPr>
          <w:rFonts w:hint="eastAsia"/>
          <w:bCs/>
          <w:szCs w:val="21"/>
        </w:rPr>
        <w:t>家</w:t>
      </w:r>
      <w:r>
        <w:rPr>
          <w:bCs/>
          <w:szCs w:val="21"/>
        </w:rPr>
        <w:t>税务总局的要求填报增值税税率。</w:t>
      </w:r>
    </w:p>
    <w:p w14:paraId="2AEDAF31">
      <w:pPr>
        <w:pStyle w:val="294"/>
        <w:tabs>
          <w:tab w:val="left" w:pos="840"/>
        </w:tabs>
        <w:spacing w:line="276" w:lineRule="auto"/>
        <w:ind w:firstLine="420" w:firstLineChars="200"/>
        <w:rPr>
          <w:bCs/>
          <w:szCs w:val="21"/>
        </w:rPr>
      </w:pPr>
      <w:r>
        <w:rPr>
          <w:bCs/>
          <w:szCs w:val="21"/>
        </w:rPr>
        <w:t>4</w:t>
      </w:r>
      <w:r>
        <w:rPr>
          <w:rFonts w:hint="eastAsia"/>
          <w:bCs/>
          <w:szCs w:val="21"/>
        </w:rPr>
        <w:t>.本项目要求投标人开具增值税专用发票。在合同执行中如遇国家对本项目所涉增值税税率进行调整的，招标人将以合同约定的税率计算不含增值税价，以不含增值税价及调整后的税率计算新的含增值税价格，自国家调整增值税税率政策生效之日起，双方按新的含增值税价格进行结算。</w:t>
      </w:r>
    </w:p>
    <w:p w14:paraId="7B66B7AD">
      <w:pPr>
        <w:pStyle w:val="48"/>
        <w:spacing w:line="360" w:lineRule="auto"/>
        <w:rPr>
          <w:rFonts w:ascii="宋体" w:hAnsi="宋体"/>
          <w:sz w:val="21"/>
          <w:szCs w:val="21"/>
        </w:rPr>
      </w:pPr>
    </w:p>
    <w:p w14:paraId="2EA14FA0">
      <w:pPr>
        <w:pStyle w:val="48"/>
        <w:spacing w:line="360" w:lineRule="auto"/>
        <w:rPr>
          <w:rFonts w:ascii="宋体" w:hAnsi="宋体"/>
          <w:sz w:val="21"/>
          <w:szCs w:val="21"/>
        </w:rPr>
      </w:pPr>
      <w:r>
        <w:rPr>
          <w:rFonts w:hint="eastAsia" w:ascii="宋体" w:hAnsi="宋体"/>
          <w:sz w:val="21"/>
          <w:szCs w:val="21"/>
        </w:rPr>
        <w:t>投标人（盖章）：</w:t>
      </w:r>
      <w:r>
        <w:rPr>
          <w:rFonts w:ascii="宋体" w:hAnsi="宋体"/>
          <w:sz w:val="21"/>
          <w:szCs w:val="21"/>
          <w:u w:val="single"/>
        </w:rPr>
        <w:t xml:space="preserve">                                    </w:t>
      </w:r>
    </w:p>
    <w:p w14:paraId="7D7876A0">
      <w:pPr>
        <w:pStyle w:val="48"/>
        <w:spacing w:line="360" w:lineRule="auto"/>
        <w:rPr>
          <w:rFonts w:ascii="宋体" w:hAnsi="宋体"/>
          <w:sz w:val="21"/>
          <w:szCs w:val="21"/>
        </w:rPr>
      </w:pPr>
      <w:r>
        <w:rPr>
          <w:rFonts w:hint="eastAsia" w:ascii="宋体" w:hAnsi="宋体"/>
          <w:sz w:val="21"/>
          <w:szCs w:val="21"/>
        </w:rPr>
        <w:t>法定代表人或委托代理人（签字或盖章）：</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p>
    <w:p w14:paraId="116BDF99">
      <w:pPr>
        <w:spacing w:line="360" w:lineRule="auto"/>
        <w:rPr>
          <w:rFonts w:ascii="宋体" w:hAnsi="宋体"/>
          <w:sz w:val="21"/>
          <w:szCs w:val="21"/>
        </w:rPr>
      </w:pPr>
      <w:r>
        <w:rPr>
          <w:rFonts w:hint="eastAsia" w:ascii="宋体" w:hAnsi="宋体"/>
          <w:sz w:val="21"/>
          <w:szCs w:val="21"/>
        </w:rPr>
        <w:t>日期：</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r>
        <w:rPr>
          <w:rFonts w:hint="eastAsia" w:ascii="宋体" w:hAnsi="宋体"/>
          <w:sz w:val="21"/>
          <w:szCs w:val="21"/>
        </w:rPr>
        <w:t>日</w:t>
      </w:r>
    </w:p>
    <w:p w14:paraId="726DB3A4">
      <w:pPr>
        <w:rPr>
          <w:rFonts w:ascii="宋体" w:hAnsi="宋体"/>
        </w:rPr>
      </w:pPr>
    </w:p>
    <w:p w14:paraId="75918A38">
      <w:pPr>
        <w:rPr>
          <w:rFonts w:ascii="宋体" w:hAnsi="宋体"/>
          <w:b/>
          <w:bCs/>
          <w:sz w:val="32"/>
          <w:szCs w:val="32"/>
        </w:rPr>
      </w:pPr>
      <w:r>
        <w:rPr>
          <w:rFonts w:ascii="宋体" w:hAnsi="宋体"/>
        </w:rPr>
        <w:br w:type="page"/>
      </w:r>
    </w:p>
    <w:p w14:paraId="6B70790F">
      <w:pPr>
        <w:pStyle w:val="5"/>
        <w:jc w:val="center"/>
        <w:rPr>
          <w:rFonts w:ascii="宋体" w:hAnsi="宋体" w:eastAsia="宋体"/>
        </w:rPr>
      </w:pPr>
      <w:bookmarkStart w:id="201" w:name="_Toc14486"/>
      <w:r>
        <w:rPr>
          <w:rFonts w:hint="eastAsia" w:ascii="宋体" w:hAnsi="宋体" w:eastAsia="宋体"/>
        </w:rPr>
        <w:t>二、投标文件资格审查部分格式</w:t>
      </w:r>
      <w:bookmarkEnd w:id="200"/>
      <w:bookmarkEnd w:id="201"/>
    </w:p>
    <w:p w14:paraId="54E111E2">
      <w:pPr>
        <w:pStyle w:val="5"/>
        <w:spacing w:line="415" w:lineRule="auto"/>
        <w:jc w:val="center"/>
        <w:rPr>
          <w:rFonts w:ascii="宋体" w:hAnsi="宋体" w:eastAsia="宋体"/>
          <w:sz w:val="30"/>
          <w:szCs w:val="30"/>
        </w:rPr>
      </w:pPr>
      <w:bookmarkStart w:id="202" w:name="_Toc7203"/>
      <w:bookmarkStart w:id="203" w:name="_Toc103248610"/>
      <w:r>
        <w:rPr>
          <w:rFonts w:hint="eastAsia" w:ascii="宋体" w:hAnsi="宋体" w:eastAsia="宋体"/>
          <w:sz w:val="30"/>
          <w:szCs w:val="30"/>
        </w:rPr>
        <w:t>（一）</w:t>
      </w:r>
      <w:r>
        <w:rPr>
          <w:rFonts w:ascii="宋体" w:hAnsi="宋体" w:eastAsia="宋体"/>
          <w:sz w:val="30"/>
          <w:szCs w:val="30"/>
        </w:rPr>
        <w:t>投标人基本情况表</w:t>
      </w:r>
      <w:bookmarkEnd w:id="202"/>
      <w:bookmarkEnd w:id="203"/>
    </w:p>
    <w:tbl>
      <w:tblPr>
        <w:tblStyle w:val="62"/>
        <w:tblW w:w="85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14:paraId="1D4FC6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977F86C">
            <w:pPr>
              <w:topLinePunct/>
              <w:spacing w:line="440" w:lineRule="exact"/>
              <w:jc w:val="center"/>
              <w:rPr>
                <w:rFonts w:ascii="宋体" w:hAnsi="宋体"/>
                <w:sz w:val="21"/>
                <w:szCs w:val="21"/>
              </w:rPr>
            </w:pPr>
            <w:r>
              <w:rPr>
                <w:rFonts w:ascii="宋体" w:hAnsi="宋体"/>
                <w:sz w:val="21"/>
                <w:szCs w:val="21"/>
              </w:rPr>
              <w:t>投标人名称</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6A822198">
            <w:pPr>
              <w:topLinePunct/>
              <w:spacing w:line="440" w:lineRule="exact"/>
              <w:jc w:val="center"/>
              <w:rPr>
                <w:rFonts w:ascii="宋体" w:hAnsi="宋体"/>
                <w:sz w:val="21"/>
                <w:szCs w:val="21"/>
              </w:rPr>
            </w:pPr>
          </w:p>
        </w:tc>
      </w:tr>
      <w:tr w14:paraId="7DD7F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18857107">
            <w:pPr>
              <w:topLinePunct/>
              <w:spacing w:line="440" w:lineRule="exact"/>
              <w:jc w:val="center"/>
              <w:rPr>
                <w:rFonts w:ascii="宋体" w:hAnsi="宋体"/>
                <w:sz w:val="21"/>
                <w:szCs w:val="21"/>
              </w:rPr>
            </w:pPr>
            <w:r>
              <w:rPr>
                <w:rFonts w:ascii="宋体" w:hAnsi="宋体"/>
                <w:sz w:val="21"/>
                <w:szCs w:val="21"/>
              </w:rPr>
              <w:t>注册地址</w:t>
            </w:r>
          </w:p>
        </w:tc>
        <w:tc>
          <w:tcPr>
            <w:tcW w:w="3420" w:type="dxa"/>
            <w:gridSpan w:val="5"/>
            <w:tcBorders>
              <w:top w:val="single" w:color="auto" w:sz="4" w:space="0"/>
              <w:left w:val="single" w:color="auto" w:sz="4" w:space="0"/>
              <w:bottom w:val="single" w:color="auto" w:sz="4" w:space="0"/>
              <w:right w:val="single" w:color="auto" w:sz="4" w:space="0"/>
            </w:tcBorders>
            <w:vAlign w:val="center"/>
          </w:tcPr>
          <w:p w14:paraId="524DEA64">
            <w:pPr>
              <w:topLinePunct/>
              <w:spacing w:line="440" w:lineRule="exact"/>
              <w:jc w:val="center"/>
              <w:rPr>
                <w:rFonts w:ascii="宋体" w:hAnsi="宋体"/>
                <w:sz w:val="21"/>
                <w:szCs w:val="21"/>
              </w:rPr>
            </w:pPr>
          </w:p>
        </w:tc>
        <w:tc>
          <w:tcPr>
            <w:tcW w:w="1078" w:type="dxa"/>
            <w:tcBorders>
              <w:top w:val="single" w:color="auto" w:sz="4" w:space="0"/>
              <w:left w:val="single" w:color="auto" w:sz="4" w:space="0"/>
              <w:bottom w:val="single" w:color="auto" w:sz="4" w:space="0"/>
              <w:right w:val="single" w:color="auto" w:sz="4" w:space="0"/>
            </w:tcBorders>
            <w:vAlign w:val="center"/>
          </w:tcPr>
          <w:p w14:paraId="1225D7CC">
            <w:pPr>
              <w:topLinePunct/>
              <w:spacing w:line="440" w:lineRule="exact"/>
              <w:jc w:val="center"/>
              <w:rPr>
                <w:rFonts w:ascii="宋体" w:hAnsi="宋体"/>
                <w:sz w:val="21"/>
                <w:szCs w:val="21"/>
              </w:rPr>
            </w:pPr>
            <w:r>
              <w:rPr>
                <w:rFonts w:ascii="宋体" w:hAnsi="宋体"/>
                <w:sz w:val="21"/>
                <w:szCs w:val="21"/>
              </w:rP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50D45BF0">
            <w:pPr>
              <w:topLinePunct/>
              <w:spacing w:line="440" w:lineRule="exact"/>
              <w:jc w:val="center"/>
              <w:rPr>
                <w:rFonts w:ascii="宋体" w:hAnsi="宋体"/>
                <w:sz w:val="21"/>
                <w:szCs w:val="21"/>
              </w:rPr>
            </w:pPr>
          </w:p>
        </w:tc>
      </w:tr>
      <w:tr w14:paraId="2EFF5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14:paraId="60BF7B6D">
            <w:pPr>
              <w:topLinePunct/>
              <w:spacing w:line="440" w:lineRule="exact"/>
              <w:jc w:val="center"/>
              <w:rPr>
                <w:rFonts w:ascii="宋体" w:hAnsi="宋体"/>
                <w:sz w:val="21"/>
                <w:szCs w:val="21"/>
              </w:rPr>
            </w:pPr>
            <w:r>
              <w:rPr>
                <w:rFonts w:ascii="宋体" w:hAnsi="宋体"/>
                <w:sz w:val="21"/>
                <w:szCs w:val="21"/>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14:paraId="2CEEE209">
            <w:pPr>
              <w:topLinePunct/>
              <w:spacing w:line="440" w:lineRule="exact"/>
              <w:jc w:val="center"/>
              <w:rPr>
                <w:rFonts w:ascii="宋体" w:hAnsi="宋体"/>
                <w:sz w:val="21"/>
                <w:szCs w:val="21"/>
              </w:rPr>
            </w:pPr>
            <w:r>
              <w:rPr>
                <w:rFonts w:ascii="宋体" w:hAnsi="宋体"/>
                <w:sz w:val="21"/>
                <w:szCs w:val="21"/>
              </w:rPr>
              <w:t>联系人</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63623A26">
            <w:pPr>
              <w:topLinePunct/>
              <w:spacing w:line="440" w:lineRule="exact"/>
              <w:jc w:val="center"/>
              <w:rPr>
                <w:rFonts w:ascii="宋体" w:hAnsi="宋体"/>
                <w:sz w:val="21"/>
                <w:szCs w:val="21"/>
              </w:rPr>
            </w:pPr>
          </w:p>
        </w:tc>
        <w:tc>
          <w:tcPr>
            <w:tcW w:w="1078" w:type="dxa"/>
            <w:tcBorders>
              <w:top w:val="single" w:color="auto" w:sz="4" w:space="0"/>
              <w:left w:val="single" w:color="auto" w:sz="4" w:space="0"/>
              <w:bottom w:val="single" w:color="auto" w:sz="4" w:space="0"/>
              <w:right w:val="single" w:color="auto" w:sz="4" w:space="0"/>
            </w:tcBorders>
            <w:vAlign w:val="center"/>
          </w:tcPr>
          <w:p w14:paraId="4A5DBD90">
            <w:pPr>
              <w:topLinePunct/>
              <w:spacing w:line="440" w:lineRule="exact"/>
              <w:jc w:val="center"/>
              <w:rPr>
                <w:rFonts w:ascii="宋体" w:hAnsi="宋体"/>
                <w:sz w:val="21"/>
                <w:szCs w:val="21"/>
              </w:rPr>
            </w:pPr>
            <w:r>
              <w:rPr>
                <w:rFonts w:ascii="宋体" w:hAnsi="宋体"/>
                <w:sz w:val="21"/>
                <w:szCs w:val="21"/>
              </w:rPr>
              <w:t>电话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093E1D86">
            <w:pPr>
              <w:topLinePunct/>
              <w:spacing w:line="440" w:lineRule="exact"/>
              <w:jc w:val="center"/>
              <w:rPr>
                <w:rFonts w:ascii="宋体" w:hAnsi="宋体"/>
                <w:sz w:val="21"/>
                <w:szCs w:val="21"/>
              </w:rPr>
            </w:pPr>
          </w:p>
        </w:tc>
      </w:tr>
      <w:tr w14:paraId="03E46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14:paraId="1526AE34">
            <w:pPr>
              <w:topLinePunct/>
              <w:spacing w:line="440" w:lineRule="exact"/>
              <w:jc w:val="center"/>
              <w:rPr>
                <w:rFonts w:ascii="宋体" w:hAnsi="宋体"/>
                <w:sz w:val="21"/>
                <w:szCs w:val="21"/>
              </w:rPr>
            </w:pPr>
          </w:p>
        </w:tc>
        <w:tc>
          <w:tcPr>
            <w:tcW w:w="898" w:type="dxa"/>
            <w:tcBorders>
              <w:top w:val="single" w:color="auto" w:sz="4" w:space="0"/>
              <w:left w:val="single" w:color="auto" w:sz="4" w:space="0"/>
              <w:bottom w:val="single" w:color="auto" w:sz="4" w:space="0"/>
              <w:right w:val="single" w:color="auto" w:sz="4" w:space="0"/>
            </w:tcBorders>
            <w:vAlign w:val="center"/>
          </w:tcPr>
          <w:p w14:paraId="07F5C89A">
            <w:pPr>
              <w:topLinePunct/>
              <w:spacing w:line="440" w:lineRule="exact"/>
              <w:jc w:val="center"/>
              <w:rPr>
                <w:rFonts w:ascii="宋体" w:hAnsi="宋体"/>
                <w:sz w:val="21"/>
                <w:szCs w:val="21"/>
              </w:rPr>
            </w:pPr>
            <w:r>
              <w:rPr>
                <w:rFonts w:ascii="宋体" w:hAnsi="宋体"/>
                <w:sz w:val="21"/>
                <w:szCs w:val="21"/>
              </w:rPr>
              <w:t>传真</w:t>
            </w:r>
          </w:p>
        </w:tc>
        <w:tc>
          <w:tcPr>
            <w:tcW w:w="2522" w:type="dxa"/>
            <w:gridSpan w:val="4"/>
            <w:tcBorders>
              <w:top w:val="single" w:color="auto" w:sz="4" w:space="0"/>
              <w:left w:val="single" w:color="auto" w:sz="4" w:space="0"/>
              <w:bottom w:val="single" w:color="auto" w:sz="4" w:space="0"/>
              <w:right w:val="single" w:color="auto" w:sz="4" w:space="0"/>
            </w:tcBorders>
            <w:vAlign w:val="center"/>
          </w:tcPr>
          <w:p w14:paraId="7B1D68E6">
            <w:pPr>
              <w:topLinePunct/>
              <w:spacing w:line="440" w:lineRule="exact"/>
              <w:jc w:val="center"/>
              <w:rPr>
                <w:rFonts w:ascii="宋体" w:hAnsi="宋体"/>
                <w:sz w:val="21"/>
                <w:szCs w:val="21"/>
              </w:rPr>
            </w:pPr>
          </w:p>
        </w:tc>
        <w:tc>
          <w:tcPr>
            <w:tcW w:w="1078" w:type="dxa"/>
            <w:tcBorders>
              <w:top w:val="single" w:color="auto" w:sz="4" w:space="0"/>
              <w:left w:val="single" w:color="auto" w:sz="4" w:space="0"/>
              <w:bottom w:val="single" w:color="auto" w:sz="4" w:space="0"/>
              <w:right w:val="single" w:color="auto" w:sz="4" w:space="0"/>
            </w:tcBorders>
            <w:vAlign w:val="center"/>
          </w:tcPr>
          <w:p w14:paraId="324E3F29">
            <w:pPr>
              <w:topLinePunct/>
              <w:spacing w:line="440" w:lineRule="exact"/>
              <w:jc w:val="center"/>
              <w:rPr>
                <w:rFonts w:ascii="宋体" w:hAnsi="宋体"/>
                <w:sz w:val="21"/>
                <w:szCs w:val="21"/>
              </w:rPr>
            </w:pPr>
            <w:r>
              <w:rPr>
                <w:rFonts w:ascii="宋体" w:hAnsi="宋体"/>
                <w:sz w:val="21"/>
                <w:szCs w:val="21"/>
              </w:rPr>
              <w:t>网址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14:paraId="7ED9C841">
            <w:pPr>
              <w:topLinePunct/>
              <w:spacing w:line="440" w:lineRule="exact"/>
              <w:jc w:val="center"/>
              <w:rPr>
                <w:rFonts w:ascii="宋体" w:hAnsi="宋体"/>
                <w:sz w:val="21"/>
                <w:szCs w:val="21"/>
              </w:rPr>
            </w:pPr>
          </w:p>
        </w:tc>
      </w:tr>
      <w:tr w14:paraId="1E7707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C4DF2CE">
            <w:pPr>
              <w:topLinePunct/>
              <w:spacing w:line="440" w:lineRule="exact"/>
              <w:jc w:val="center"/>
              <w:rPr>
                <w:rFonts w:ascii="宋体" w:hAnsi="宋体"/>
                <w:sz w:val="21"/>
                <w:szCs w:val="21"/>
              </w:rPr>
            </w:pPr>
            <w:r>
              <w:rPr>
                <w:rFonts w:ascii="宋体" w:hAnsi="宋体"/>
                <w:sz w:val="21"/>
                <w:szCs w:val="21"/>
              </w:rPr>
              <w:t>组织结构</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0568BF14">
            <w:pPr>
              <w:topLinePunct/>
              <w:spacing w:line="440" w:lineRule="exact"/>
              <w:jc w:val="center"/>
              <w:rPr>
                <w:rFonts w:ascii="宋体" w:hAnsi="宋体"/>
                <w:sz w:val="21"/>
                <w:szCs w:val="21"/>
              </w:rPr>
            </w:pPr>
          </w:p>
        </w:tc>
      </w:tr>
      <w:tr w14:paraId="1AA9D2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76D8402">
            <w:pPr>
              <w:topLinePunct/>
              <w:spacing w:line="440" w:lineRule="exact"/>
              <w:jc w:val="center"/>
              <w:rPr>
                <w:rFonts w:ascii="宋体" w:hAnsi="宋体"/>
                <w:sz w:val="21"/>
                <w:szCs w:val="21"/>
              </w:rPr>
            </w:pPr>
            <w:r>
              <w:rPr>
                <w:rFonts w:ascii="宋体" w:hAnsi="宋体"/>
                <w:sz w:val="21"/>
                <w:szCs w:val="21"/>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14:paraId="1F6E219C">
            <w:pPr>
              <w:topLinePunct/>
              <w:spacing w:line="440" w:lineRule="exact"/>
              <w:jc w:val="center"/>
              <w:rPr>
                <w:rFonts w:ascii="宋体" w:hAnsi="宋体"/>
                <w:sz w:val="21"/>
                <w:szCs w:val="21"/>
              </w:rPr>
            </w:pPr>
            <w:r>
              <w:rPr>
                <w:rFonts w:ascii="宋体" w:hAnsi="宋体"/>
                <w:sz w:val="21"/>
                <w:szCs w:val="21"/>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5F0C3230">
            <w:pPr>
              <w:topLinePunct/>
              <w:spacing w:line="440" w:lineRule="exact"/>
              <w:jc w:val="center"/>
              <w:rPr>
                <w:rFonts w:ascii="宋体" w:hAnsi="宋体"/>
                <w:sz w:val="21"/>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71EE5771">
            <w:pPr>
              <w:topLinePunct/>
              <w:spacing w:line="440" w:lineRule="exact"/>
              <w:jc w:val="center"/>
              <w:rPr>
                <w:rFonts w:ascii="宋体" w:hAnsi="宋体"/>
                <w:sz w:val="21"/>
                <w:szCs w:val="21"/>
              </w:rPr>
            </w:pPr>
            <w:r>
              <w:rPr>
                <w:rFonts w:ascii="宋体" w:hAnsi="宋体"/>
                <w:sz w:val="21"/>
                <w:szCs w:val="21"/>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5F9D7B7E">
            <w:pPr>
              <w:topLinePunct/>
              <w:spacing w:line="440" w:lineRule="exact"/>
              <w:jc w:val="center"/>
              <w:rPr>
                <w:rFonts w:ascii="宋体" w:hAnsi="宋体"/>
                <w:sz w:val="21"/>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7976AEA">
            <w:pPr>
              <w:topLinePunct/>
              <w:spacing w:line="440" w:lineRule="exact"/>
              <w:jc w:val="center"/>
              <w:rPr>
                <w:rFonts w:ascii="宋体" w:hAnsi="宋体"/>
                <w:sz w:val="21"/>
                <w:szCs w:val="21"/>
              </w:rPr>
            </w:pPr>
            <w:r>
              <w:rPr>
                <w:rFonts w:ascii="宋体" w:hAnsi="宋体"/>
                <w:sz w:val="21"/>
                <w:szCs w:val="21"/>
              </w:rPr>
              <w:t>电话</w:t>
            </w:r>
          </w:p>
        </w:tc>
        <w:tc>
          <w:tcPr>
            <w:tcW w:w="992" w:type="dxa"/>
            <w:tcBorders>
              <w:top w:val="single" w:color="auto" w:sz="4" w:space="0"/>
              <w:left w:val="single" w:color="auto" w:sz="4" w:space="0"/>
              <w:bottom w:val="single" w:color="auto" w:sz="4" w:space="0"/>
              <w:right w:val="single" w:color="auto" w:sz="4" w:space="0"/>
            </w:tcBorders>
            <w:vAlign w:val="center"/>
          </w:tcPr>
          <w:p w14:paraId="46ED5A31">
            <w:pPr>
              <w:topLinePunct/>
              <w:spacing w:line="440" w:lineRule="exact"/>
              <w:jc w:val="center"/>
              <w:rPr>
                <w:rFonts w:ascii="宋体" w:hAnsi="宋体"/>
                <w:sz w:val="21"/>
                <w:szCs w:val="21"/>
              </w:rPr>
            </w:pPr>
          </w:p>
        </w:tc>
      </w:tr>
      <w:tr w14:paraId="59CAB3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005397B">
            <w:pPr>
              <w:topLinePunct/>
              <w:spacing w:line="440" w:lineRule="exact"/>
              <w:jc w:val="center"/>
              <w:rPr>
                <w:rFonts w:ascii="宋体" w:hAnsi="宋体"/>
                <w:sz w:val="21"/>
                <w:szCs w:val="21"/>
              </w:rPr>
            </w:pPr>
            <w:r>
              <w:rPr>
                <w:rFonts w:ascii="宋体" w:hAnsi="宋体"/>
                <w:sz w:val="21"/>
                <w:szCs w:val="21"/>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14:paraId="637AE159">
            <w:pPr>
              <w:topLinePunct/>
              <w:spacing w:line="440" w:lineRule="exact"/>
              <w:jc w:val="center"/>
              <w:rPr>
                <w:rFonts w:ascii="宋体" w:hAnsi="宋体"/>
                <w:sz w:val="21"/>
                <w:szCs w:val="21"/>
              </w:rPr>
            </w:pPr>
            <w:r>
              <w:rPr>
                <w:rFonts w:ascii="宋体" w:hAnsi="宋体"/>
                <w:sz w:val="21"/>
                <w:szCs w:val="21"/>
              </w:rPr>
              <w:t>姓名</w:t>
            </w:r>
          </w:p>
        </w:tc>
        <w:tc>
          <w:tcPr>
            <w:tcW w:w="951" w:type="dxa"/>
            <w:tcBorders>
              <w:top w:val="single" w:color="auto" w:sz="4" w:space="0"/>
              <w:left w:val="single" w:color="auto" w:sz="4" w:space="0"/>
              <w:bottom w:val="single" w:color="auto" w:sz="4" w:space="0"/>
              <w:right w:val="single" w:color="auto" w:sz="4" w:space="0"/>
            </w:tcBorders>
            <w:vAlign w:val="center"/>
          </w:tcPr>
          <w:p w14:paraId="7C23FFFA">
            <w:pPr>
              <w:topLinePunct/>
              <w:spacing w:line="440" w:lineRule="exact"/>
              <w:jc w:val="center"/>
              <w:rPr>
                <w:rFonts w:ascii="宋体" w:hAnsi="宋体"/>
                <w:sz w:val="21"/>
                <w:szCs w:val="21"/>
              </w:rPr>
            </w:pPr>
          </w:p>
        </w:tc>
        <w:tc>
          <w:tcPr>
            <w:tcW w:w="1260" w:type="dxa"/>
            <w:gridSpan w:val="2"/>
            <w:tcBorders>
              <w:top w:val="single" w:color="auto" w:sz="4" w:space="0"/>
              <w:left w:val="single" w:color="auto" w:sz="4" w:space="0"/>
              <w:bottom w:val="single" w:color="auto" w:sz="4" w:space="0"/>
              <w:right w:val="single" w:color="auto" w:sz="4" w:space="0"/>
            </w:tcBorders>
            <w:vAlign w:val="center"/>
          </w:tcPr>
          <w:p w14:paraId="0C201010">
            <w:pPr>
              <w:topLinePunct/>
              <w:spacing w:line="440" w:lineRule="exact"/>
              <w:jc w:val="center"/>
              <w:rPr>
                <w:rFonts w:ascii="宋体" w:hAnsi="宋体"/>
                <w:sz w:val="21"/>
                <w:szCs w:val="21"/>
              </w:rPr>
            </w:pPr>
            <w:r>
              <w:rPr>
                <w:rFonts w:ascii="宋体" w:hAnsi="宋体"/>
                <w:sz w:val="21"/>
                <w:szCs w:val="21"/>
              </w:rP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14:paraId="4514DB34">
            <w:pPr>
              <w:topLinePunct/>
              <w:spacing w:line="440" w:lineRule="exact"/>
              <w:jc w:val="center"/>
              <w:rPr>
                <w:rFonts w:ascii="宋体" w:hAnsi="宋体"/>
                <w:sz w:val="21"/>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C2A25DE">
            <w:pPr>
              <w:topLinePunct/>
              <w:spacing w:line="440" w:lineRule="exact"/>
              <w:jc w:val="center"/>
              <w:rPr>
                <w:rFonts w:ascii="宋体" w:hAnsi="宋体"/>
                <w:sz w:val="21"/>
                <w:szCs w:val="21"/>
              </w:rPr>
            </w:pPr>
            <w:r>
              <w:rPr>
                <w:rFonts w:ascii="宋体" w:hAnsi="宋体"/>
                <w:sz w:val="21"/>
                <w:szCs w:val="21"/>
              </w:rPr>
              <w:t>电话</w:t>
            </w:r>
          </w:p>
        </w:tc>
        <w:tc>
          <w:tcPr>
            <w:tcW w:w="992" w:type="dxa"/>
            <w:tcBorders>
              <w:top w:val="single" w:color="auto" w:sz="4" w:space="0"/>
              <w:left w:val="single" w:color="auto" w:sz="4" w:space="0"/>
              <w:bottom w:val="single" w:color="auto" w:sz="4" w:space="0"/>
              <w:right w:val="single" w:color="auto" w:sz="4" w:space="0"/>
            </w:tcBorders>
            <w:vAlign w:val="center"/>
          </w:tcPr>
          <w:p w14:paraId="07FB9689">
            <w:pPr>
              <w:topLinePunct/>
              <w:spacing w:line="440" w:lineRule="exact"/>
              <w:jc w:val="center"/>
              <w:rPr>
                <w:rFonts w:ascii="宋体" w:hAnsi="宋体"/>
                <w:sz w:val="21"/>
                <w:szCs w:val="21"/>
              </w:rPr>
            </w:pPr>
          </w:p>
        </w:tc>
      </w:tr>
      <w:tr w14:paraId="58222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06560BD">
            <w:pPr>
              <w:topLinePunct/>
              <w:spacing w:line="440" w:lineRule="exact"/>
              <w:jc w:val="center"/>
              <w:rPr>
                <w:rFonts w:ascii="宋体" w:hAnsi="宋体"/>
                <w:sz w:val="21"/>
                <w:szCs w:val="21"/>
              </w:rPr>
            </w:pPr>
            <w:r>
              <w:rPr>
                <w:rFonts w:ascii="宋体" w:hAnsi="宋体"/>
                <w:sz w:val="21"/>
                <w:szCs w:val="21"/>
              </w:rP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5C3D241A">
            <w:pPr>
              <w:topLinePunct/>
              <w:spacing w:line="440" w:lineRule="exact"/>
              <w:jc w:val="center"/>
              <w:rPr>
                <w:rFonts w:ascii="宋体" w:hAnsi="宋体"/>
                <w:sz w:val="21"/>
                <w:szCs w:val="21"/>
              </w:rPr>
            </w:pPr>
          </w:p>
        </w:tc>
        <w:tc>
          <w:tcPr>
            <w:tcW w:w="4991" w:type="dxa"/>
            <w:gridSpan w:val="7"/>
            <w:tcBorders>
              <w:top w:val="single" w:color="auto" w:sz="4" w:space="0"/>
              <w:left w:val="single" w:color="auto" w:sz="4" w:space="0"/>
              <w:bottom w:val="single" w:color="auto" w:sz="4" w:space="0"/>
              <w:right w:val="single" w:color="auto" w:sz="4" w:space="0"/>
            </w:tcBorders>
            <w:vAlign w:val="center"/>
          </w:tcPr>
          <w:p w14:paraId="309ED36F">
            <w:pPr>
              <w:topLinePunct/>
              <w:spacing w:line="440" w:lineRule="exact"/>
              <w:ind w:firstLine="105" w:firstLineChars="50"/>
              <w:jc w:val="center"/>
              <w:rPr>
                <w:rFonts w:ascii="宋体" w:hAnsi="宋体"/>
                <w:sz w:val="21"/>
                <w:szCs w:val="21"/>
              </w:rPr>
            </w:pPr>
            <w:r>
              <w:rPr>
                <w:rFonts w:ascii="宋体" w:hAnsi="宋体"/>
                <w:sz w:val="21"/>
                <w:szCs w:val="21"/>
              </w:rPr>
              <w:t>员工总人数：</w:t>
            </w:r>
          </w:p>
        </w:tc>
      </w:tr>
      <w:tr w14:paraId="3410CD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318929F9">
            <w:pPr>
              <w:topLinePunct/>
              <w:spacing w:line="440" w:lineRule="exact"/>
              <w:jc w:val="center"/>
              <w:rPr>
                <w:rFonts w:ascii="宋体" w:hAnsi="宋体"/>
                <w:sz w:val="21"/>
                <w:szCs w:val="21"/>
              </w:rPr>
            </w:pPr>
            <w:r>
              <w:rPr>
                <w:rFonts w:ascii="宋体" w:hAnsi="宋体"/>
                <w:sz w:val="21"/>
                <w:szCs w:val="21"/>
              </w:rPr>
              <w:t>企业资质等级</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761C046E">
            <w:pPr>
              <w:topLinePunct/>
              <w:spacing w:line="440" w:lineRule="exact"/>
              <w:jc w:val="center"/>
              <w:rPr>
                <w:rFonts w:ascii="宋体" w:hAnsi="宋体"/>
                <w:sz w:val="21"/>
                <w:szCs w:val="21"/>
              </w:rPr>
            </w:pPr>
          </w:p>
        </w:tc>
        <w:tc>
          <w:tcPr>
            <w:tcW w:w="840" w:type="dxa"/>
            <w:vMerge w:val="restart"/>
            <w:tcBorders>
              <w:top w:val="single" w:color="auto" w:sz="4" w:space="0"/>
              <w:left w:val="single" w:color="auto" w:sz="4" w:space="0"/>
              <w:bottom w:val="single" w:color="auto" w:sz="4" w:space="0"/>
              <w:right w:val="single" w:color="auto" w:sz="4" w:space="0"/>
            </w:tcBorders>
            <w:vAlign w:val="center"/>
          </w:tcPr>
          <w:p w14:paraId="2BE2DB09">
            <w:pPr>
              <w:topLinePunct/>
              <w:spacing w:line="440" w:lineRule="exact"/>
              <w:jc w:val="center"/>
              <w:rPr>
                <w:rFonts w:ascii="宋体" w:hAnsi="宋体"/>
                <w:sz w:val="21"/>
                <w:szCs w:val="21"/>
              </w:rPr>
            </w:pPr>
            <w:r>
              <w:rPr>
                <w:rFonts w:ascii="宋体" w:hAnsi="宋体"/>
                <w:sz w:val="21"/>
                <w:szCs w:val="21"/>
              </w:rPr>
              <w:t>其中</w:t>
            </w: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38F9B17A">
            <w:pPr>
              <w:topLinePunct/>
              <w:spacing w:line="440" w:lineRule="exact"/>
              <w:jc w:val="center"/>
              <w:rPr>
                <w:rFonts w:ascii="宋体" w:hAnsi="宋体"/>
                <w:sz w:val="21"/>
                <w:szCs w:val="21"/>
              </w:rPr>
            </w:pPr>
            <w:r>
              <w:rPr>
                <w:rFonts w:ascii="宋体" w:hAnsi="宋体"/>
                <w:sz w:val="21"/>
                <w:szCs w:val="21"/>
              </w:rPr>
              <w:t>项目负责人</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5E1A5A8D">
            <w:pPr>
              <w:topLinePunct/>
              <w:spacing w:line="440" w:lineRule="exact"/>
              <w:jc w:val="center"/>
              <w:rPr>
                <w:rFonts w:ascii="宋体" w:hAnsi="宋体"/>
                <w:sz w:val="21"/>
                <w:szCs w:val="21"/>
              </w:rPr>
            </w:pPr>
          </w:p>
        </w:tc>
      </w:tr>
      <w:tr w14:paraId="3E1230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39A5923">
            <w:pPr>
              <w:topLinePunct/>
              <w:spacing w:line="440" w:lineRule="exact"/>
              <w:jc w:val="center"/>
              <w:rPr>
                <w:rFonts w:ascii="宋体" w:hAnsi="宋体"/>
                <w:sz w:val="21"/>
                <w:szCs w:val="21"/>
              </w:rPr>
            </w:pPr>
            <w:r>
              <w:rPr>
                <w:rFonts w:ascii="宋体" w:hAnsi="宋体"/>
                <w:sz w:val="21"/>
                <w:szCs w:val="21"/>
              </w:rPr>
              <w:t>营业执照号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535A47A4">
            <w:pPr>
              <w:topLinePunct/>
              <w:spacing w:line="440" w:lineRule="exact"/>
              <w:jc w:val="center"/>
              <w:rPr>
                <w:rFonts w:ascii="宋体" w:hAnsi="宋体"/>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497B33B2">
            <w:pPr>
              <w:topLinePunct/>
              <w:spacing w:line="440" w:lineRule="exact"/>
              <w:jc w:val="center"/>
              <w:rPr>
                <w:rFonts w:ascii="宋体" w:hAnsi="宋体"/>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167B1AB1">
            <w:pPr>
              <w:topLinePunct/>
              <w:spacing w:line="440" w:lineRule="exact"/>
              <w:jc w:val="center"/>
              <w:rPr>
                <w:rFonts w:ascii="宋体" w:hAnsi="宋体"/>
                <w:sz w:val="21"/>
                <w:szCs w:val="21"/>
              </w:rPr>
            </w:pPr>
            <w:r>
              <w:rPr>
                <w:rFonts w:ascii="宋体" w:hAnsi="宋体"/>
                <w:sz w:val="21"/>
                <w:szCs w:val="21"/>
              </w:rPr>
              <w:t>高级职称人员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0BBBC8C7">
            <w:pPr>
              <w:topLinePunct/>
              <w:spacing w:line="440" w:lineRule="exact"/>
              <w:jc w:val="center"/>
              <w:rPr>
                <w:rFonts w:ascii="宋体" w:hAnsi="宋体"/>
                <w:sz w:val="21"/>
                <w:szCs w:val="21"/>
              </w:rPr>
            </w:pPr>
          </w:p>
        </w:tc>
      </w:tr>
      <w:tr w14:paraId="758A16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AEB6ACE">
            <w:pPr>
              <w:topLinePunct/>
              <w:spacing w:line="440" w:lineRule="exact"/>
              <w:jc w:val="center"/>
              <w:rPr>
                <w:rFonts w:ascii="宋体" w:hAnsi="宋体"/>
                <w:sz w:val="21"/>
                <w:szCs w:val="21"/>
              </w:rPr>
            </w:pPr>
            <w:r>
              <w:rPr>
                <w:rFonts w:ascii="宋体" w:hAnsi="宋体"/>
                <w:sz w:val="21"/>
                <w:szCs w:val="21"/>
              </w:rPr>
              <w:t>注册资金</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146D4CF6">
            <w:pPr>
              <w:topLinePunct/>
              <w:spacing w:line="440" w:lineRule="exact"/>
              <w:jc w:val="center"/>
              <w:rPr>
                <w:rFonts w:ascii="宋体" w:hAnsi="宋体"/>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402E30F7">
            <w:pPr>
              <w:topLinePunct/>
              <w:spacing w:line="440" w:lineRule="exact"/>
              <w:jc w:val="center"/>
              <w:rPr>
                <w:rFonts w:ascii="宋体" w:hAnsi="宋体"/>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47194507">
            <w:pPr>
              <w:topLinePunct/>
              <w:spacing w:line="440" w:lineRule="exact"/>
              <w:jc w:val="center"/>
              <w:rPr>
                <w:rFonts w:ascii="宋体" w:hAnsi="宋体"/>
                <w:sz w:val="21"/>
                <w:szCs w:val="21"/>
              </w:rPr>
            </w:pPr>
            <w:r>
              <w:rPr>
                <w:rFonts w:ascii="宋体" w:hAnsi="宋体"/>
                <w:sz w:val="21"/>
                <w:szCs w:val="21"/>
              </w:rPr>
              <w:t>中级职称人员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2F79FA75">
            <w:pPr>
              <w:topLinePunct/>
              <w:spacing w:line="440" w:lineRule="exact"/>
              <w:jc w:val="center"/>
              <w:rPr>
                <w:rFonts w:ascii="宋体" w:hAnsi="宋体"/>
                <w:sz w:val="21"/>
                <w:szCs w:val="21"/>
              </w:rPr>
            </w:pPr>
          </w:p>
        </w:tc>
      </w:tr>
      <w:tr w14:paraId="580D17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DA01856">
            <w:pPr>
              <w:topLinePunct/>
              <w:spacing w:line="440" w:lineRule="exact"/>
              <w:jc w:val="center"/>
              <w:rPr>
                <w:rFonts w:ascii="宋体" w:hAnsi="宋体"/>
                <w:sz w:val="21"/>
                <w:szCs w:val="21"/>
              </w:rPr>
            </w:pPr>
            <w:r>
              <w:rPr>
                <w:rFonts w:ascii="宋体" w:hAnsi="宋体"/>
                <w:sz w:val="21"/>
                <w:szCs w:val="21"/>
              </w:rPr>
              <w:t>开户银行</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11D278FB">
            <w:pPr>
              <w:topLinePunct/>
              <w:spacing w:line="440" w:lineRule="exact"/>
              <w:jc w:val="center"/>
              <w:rPr>
                <w:rFonts w:ascii="宋体" w:hAnsi="宋体"/>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5277F193">
            <w:pPr>
              <w:topLinePunct/>
              <w:spacing w:line="440" w:lineRule="exact"/>
              <w:jc w:val="center"/>
              <w:rPr>
                <w:rFonts w:ascii="宋体" w:hAnsi="宋体"/>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5E7B7DAD">
            <w:pPr>
              <w:topLinePunct/>
              <w:spacing w:line="440" w:lineRule="exact"/>
              <w:jc w:val="center"/>
              <w:rPr>
                <w:rFonts w:ascii="宋体" w:hAnsi="宋体"/>
                <w:sz w:val="21"/>
                <w:szCs w:val="21"/>
              </w:rPr>
            </w:pPr>
            <w:r>
              <w:rPr>
                <w:rFonts w:ascii="宋体" w:hAnsi="宋体"/>
                <w:sz w:val="21"/>
                <w:szCs w:val="21"/>
              </w:rPr>
              <w:t>初级职称人员</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4291378E">
            <w:pPr>
              <w:topLinePunct/>
              <w:spacing w:line="440" w:lineRule="exact"/>
              <w:jc w:val="center"/>
              <w:rPr>
                <w:rFonts w:ascii="宋体" w:hAnsi="宋体"/>
                <w:sz w:val="21"/>
                <w:szCs w:val="21"/>
              </w:rPr>
            </w:pPr>
          </w:p>
        </w:tc>
      </w:tr>
      <w:tr w14:paraId="6EFE53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09395C96">
            <w:pPr>
              <w:topLinePunct/>
              <w:spacing w:line="440" w:lineRule="exact"/>
              <w:jc w:val="center"/>
              <w:rPr>
                <w:rFonts w:ascii="宋体" w:hAnsi="宋体"/>
                <w:sz w:val="21"/>
                <w:szCs w:val="21"/>
              </w:rPr>
            </w:pPr>
            <w:r>
              <w:rPr>
                <w:rFonts w:ascii="宋体" w:hAnsi="宋体"/>
                <w:sz w:val="21"/>
                <w:szCs w:val="21"/>
              </w:rPr>
              <w:t>账号</w:t>
            </w:r>
          </w:p>
        </w:tc>
        <w:tc>
          <w:tcPr>
            <w:tcW w:w="1849" w:type="dxa"/>
            <w:gridSpan w:val="2"/>
            <w:tcBorders>
              <w:top w:val="single" w:color="auto" w:sz="4" w:space="0"/>
              <w:left w:val="single" w:color="auto" w:sz="4" w:space="0"/>
              <w:bottom w:val="single" w:color="auto" w:sz="4" w:space="0"/>
              <w:right w:val="single" w:color="auto" w:sz="4" w:space="0"/>
            </w:tcBorders>
            <w:vAlign w:val="center"/>
          </w:tcPr>
          <w:p w14:paraId="78A18F53">
            <w:pPr>
              <w:topLinePunct/>
              <w:spacing w:line="440" w:lineRule="exact"/>
              <w:jc w:val="center"/>
              <w:rPr>
                <w:rFonts w:ascii="宋体" w:hAnsi="宋体"/>
                <w:sz w:val="21"/>
                <w:szCs w:val="21"/>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14:paraId="69046321">
            <w:pPr>
              <w:topLinePunct/>
              <w:spacing w:line="440" w:lineRule="exact"/>
              <w:jc w:val="center"/>
              <w:rPr>
                <w:rFonts w:ascii="宋体" w:hAnsi="宋体"/>
                <w:sz w:val="21"/>
                <w:szCs w:val="21"/>
              </w:rPr>
            </w:pPr>
          </w:p>
        </w:tc>
        <w:tc>
          <w:tcPr>
            <w:tcW w:w="2299" w:type="dxa"/>
            <w:gridSpan w:val="4"/>
            <w:tcBorders>
              <w:top w:val="single" w:color="auto" w:sz="4" w:space="0"/>
              <w:left w:val="single" w:color="auto" w:sz="4" w:space="0"/>
              <w:bottom w:val="single" w:color="auto" w:sz="4" w:space="0"/>
              <w:right w:val="single" w:color="auto" w:sz="4" w:space="0"/>
            </w:tcBorders>
            <w:vAlign w:val="center"/>
          </w:tcPr>
          <w:p w14:paraId="685BCC1E">
            <w:pPr>
              <w:topLinePunct/>
              <w:spacing w:line="440" w:lineRule="exact"/>
              <w:jc w:val="center"/>
              <w:rPr>
                <w:rFonts w:ascii="宋体" w:hAnsi="宋体"/>
                <w:sz w:val="21"/>
                <w:szCs w:val="21"/>
              </w:rPr>
            </w:pPr>
            <w:r>
              <w:rPr>
                <w:rFonts w:ascii="宋体" w:hAnsi="宋体"/>
                <w:sz w:val="21"/>
                <w:szCs w:val="21"/>
              </w:rPr>
              <w:t>技工</w:t>
            </w:r>
          </w:p>
        </w:tc>
        <w:tc>
          <w:tcPr>
            <w:tcW w:w="1852" w:type="dxa"/>
            <w:gridSpan w:val="2"/>
            <w:tcBorders>
              <w:top w:val="single" w:color="auto" w:sz="4" w:space="0"/>
              <w:left w:val="single" w:color="auto" w:sz="4" w:space="0"/>
              <w:bottom w:val="single" w:color="auto" w:sz="4" w:space="0"/>
              <w:right w:val="single" w:color="auto" w:sz="4" w:space="0"/>
            </w:tcBorders>
            <w:vAlign w:val="center"/>
          </w:tcPr>
          <w:p w14:paraId="24B280A7">
            <w:pPr>
              <w:topLinePunct/>
              <w:spacing w:line="440" w:lineRule="exact"/>
              <w:jc w:val="center"/>
              <w:rPr>
                <w:rFonts w:ascii="宋体" w:hAnsi="宋体"/>
                <w:sz w:val="21"/>
                <w:szCs w:val="21"/>
              </w:rPr>
            </w:pPr>
          </w:p>
        </w:tc>
      </w:tr>
      <w:tr w14:paraId="2F036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1728" w:type="dxa"/>
            <w:tcBorders>
              <w:top w:val="single" w:color="auto" w:sz="4" w:space="0"/>
              <w:left w:val="single" w:color="auto" w:sz="4" w:space="0"/>
              <w:right w:val="single" w:color="auto" w:sz="4" w:space="0"/>
            </w:tcBorders>
            <w:vAlign w:val="center"/>
          </w:tcPr>
          <w:p w14:paraId="2DE082E3">
            <w:pPr>
              <w:topLinePunct/>
              <w:spacing w:line="440" w:lineRule="exact"/>
              <w:ind w:firstLine="210" w:firstLineChars="100"/>
              <w:jc w:val="center"/>
              <w:rPr>
                <w:rFonts w:ascii="宋体" w:hAnsi="宋体"/>
                <w:sz w:val="21"/>
                <w:szCs w:val="21"/>
              </w:rPr>
            </w:pPr>
            <w:r>
              <w:rPr>
                <w:rFonts w:ascii="宋体" w:hAnsi="宋体"/>
                <w:sz w:val="21"/>
                <w:szCs w:val="21"/>
              </w:rPr>
              <w:t>经营范围</w:t>
            </w:r>
          </w:p>
        </w:tc>
        <w:tc>
          <w:tcPr>
            <w:tcW w:w="6840" w:type="dxa"/>
            <w:gridSpan w:val="9"/>
            <w:tcBorders>
              <w:top w:val="single" w:color="auto" w:sz="4" w:space="0"/>
              <w:left w:val="single" w:color="auto" w:sz="4" w:space="0"/>
              <w:right w:val="single" w:color="auto" w:sz="4" w:space="0"/>
            </w:tcBorders>
            <w:vAlign w:val="center"/>
          </w:tcPr>
          <w:p w14:paraId="1909FB89">
            <w:pPr>
              <w:topLinePunct/>
              <w:spacing w:line="440" w:lineRule="exact"/>
              <w:rPr>
                <w:rFonts w:ascii="宋体" w:hAnsi="宋体"/>
                <w:sz w:val="21"/>
                <w:szCs w:val="21"/>
              </w:rPr>
            </w:pPr>
          </w:p>
        </w:tc>
      </w:tr>
      <w:tr w14:paraId="30D67A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3146621A">
            <w:pPr>
              <w:topLinePunct/>
              <w:spacing w:line="440" w:lineRule="exact"/>
              <w:jc w:val="center"/>
              <w:rPr>
                <w:rFonts w:ascii="宋体" w:hAnsi="宋体"/>
                <w:sz w:val="21"/>
                <w:szCs w:val="21"/>
              </w:rPr>
            </w:pPr>
            <w:r>
              <w:rPr>
                <w:rFonts w:ascii="宋体" w:hAnsi="宋体"/>
                <w:sz w:val="21"/>
                <w:szCs w:val="21"/>
              </w:rPr>
              <w:t>备注</w:t>
            </w:r>
          </w:p>
        </w:tc>
        <w:tc>
          <w:tcPr>
            <w:tcW w:w="6840" w:type="dxa"/>
            <w:gridSpan w:val="9"/>
            <w:tcBorders>
              <w:top w:val="single" w:color="auto" w:sz="4" w:space="0"/>
              <w:left w:val="single" w:color="auto" w:sz="4" w:space="0"/>
              <w:bottom w:val="single" w:color="auto" w:sz="4" w:space="0"/>
              <w:right w:val="single" w:color="auto" w:sz="4" w:space="0"/>
            </w:tcBorders>
            <w:vAlign w:val="center"/>
          </w:tcPr>
          <w:p w14:paraId="742E5742">
            <w:pPr>
              <w:topLinePunct/>
              <w:spacing w:line="440" w:lineRule="exact"/>
              <w:jc w:val="center"/>
              <w:rPr>
                <w:rFonts w:ascii="宋体" w:hAnsi="宋体"/>
                <w:sz w:val="21"/>
                <w:szCs w:val="21"/>
              </w:rPr>
            </w:pPr>
          </w:p>
        </w:tc>
      </w:tr>
    </w:tbl>
    <w:p w14:paraId="2F2D6138">
      <w:pPr>
        <w:jc w:val="center"/>
        <w:rPr>
          <w:rFonts w:ascii="宋体" w:hAnsi="宋体"/>
          <w:sz w:val="30"/>
          <w:szCs w:val="30"/>
        </w:rPr>
      </w:pPr>
    </w:p>
    <w:p w14:paraId="7AF76C6B">
      <w:pPr>
        <w:rPr>
          <w:rFonts w:ascii="宋体" w:hAnsi="宋体"/>
          <w:b/>
          <w:bCs/>
          <w:sz w:val="30"/>
          <w:szCs w:val="30"/>
        </w:rPr>
      </w:pPr>
      <w:bookmarkStart w:id="204" w:name="_Toc103248611"/>
      <w:r>
        <w:rPr>
          <w:rFonts w:ascii="宋体" w:hAnsi="宋体"/>
          <w:sz w:val="30"/>
          <w:szCs w:val="30"/>
        </w:rPr>
        <w:br w:type="page"/>
      </w:r>
    </w:p>
    <w:p w14:paraId="0107453A">
      <w:pPr>
        <w:pStyle w:val="5"/>
        <w:spacing w:line="415" w:lineRule="auto"/>
        <w:jc w:val="center"/>
        <w:rPr>
          <w:rFonts w:ascii="宋体" w:hAnsi="宋体" w:eastAsia="宋体"/>
          <w:sz w:val="30"/>
          <w:szCs w:val="30"/>
        </w:rPr>
      </w:pPr>
      <w:bookmarkStart w:id="205" w:name="_Toc6238"/>
      <w:r>
        <w:rPr>
          <w:rFonts w:hint="eastAsia" w:ascii="宋体" w:hAnsi="宋体" w:eastAsia="宋体"/>
          <w:sz w:val="30"/>
          <w:szCs w:val="30"/>
        </w:rPr>
        <w:t>（二）营业执照</w:t>
      </w:r>
      <w:bookmarkEnd w:id="204"/>
      <w:bookmarkEnd w:id="205"/>
    </w:p>
    <w:p w14:paraId="0EF77B65">
      <w:pPr>
        <w:spacing w:line="360" w:lineRule="auto"/>
        <w:ind w:firstLine="420" w:firstLineChars="200"/>
        <w:jc w:val="center"/>
        <w:rPr>
          <w:rFonts w:ascii="宋体" w:hAnsi="宋体" w:cs="宋体"/>
          <w:sz w:val="21"/>
          <w:szCs w:val="21"/>
        </w:rPr>
      </w:pPr>
      <w:r>
        <w:rPr>
          <w:rFonts w:hint="eastAsia" w:ascii="宋体" w:hAnsi="宋体" w:cs="宋体"/>
          <w:sz w:val="21"/>
          <w:szCs w:val="21"/>
        </w:rPr>
        <w:t>提供有效的营业执照或相应的法定证照</w:t>
      </w:r>
      <w:r>
        <w:rPr>
          <w:rFonts w:ascii="宋体" w:hAnsi="宋体" w:cs="宋体"/>
          <w:sz w:val="21"/>
          <w:szCs w:val="21"/>
        </w:rPr>
        <w:t>。</w:t>
      </w:r>
    </w:p>
    <w:p w14:paraId="47458372"/>
    <w:p w14:paraId="50D082C5">
      <w:pPr>
        <w:pStyle w:val="5"/>
        <w:jc w:val="center"/>
        <w:rPr>
          <w:rFonts w:ascii="宋体" w:hAnsi="宋体" w:eastAsia="宋体"/>
          <w:sz w:val="30"/>
          <w:szCs w:val="30"/>
          <w:highlight w:val="yellow"/>
        </w:rPr>
      </w:pPr>
      <w:bookmarkStart w:id="206" w:name="_Toc103248613"/>
    </w:p>
    <w:p w14:paraId="6A359356">
      <w:pPr>
        <w:jc w:val="center"/>
        <w:rPr>
          <w:rFonts w:ascii="宋体" w:hAnsi="宋体"/>
          <w:sz w:val="30"/>
          <w:szCs w:val="30"/>
          <w:highlight w:val="yellow"/>
        </w:rPr>
      </w:pPr>
    </w:p>
    <w:p w14:paraId="246226EE">
      <w:pPr>
        <w:pStyle w:val="5"/>
        <w:spacing w:line="415" w:lineRule="auto"/>
        <w:jc w:val="center"/>
        <w:rPr>
          <w:rFonts w:ascii="宋体" w:hAnsi="宋体" w:eastAsia="宋体"/>
          <w:sz w:val="30"/>
          <w:szCs w:val="30"/>
          <w:highlight w:val="yellow"/>
        </w:rPr>
      </w:pPr>
      <w:bookmarkStart w:id="207" w:name="_Toc23418"/>
      <w:r>
        <w:rPr>
          <w:rFonts w:hint="eastAsia" w:ascii="宋体" w:hAnsi="宋体" w:eastAsia="宋体"/>
          <w:sz w:val="30"/>
          <w:szCs w:val="30"/>
        </w:rPr>
        <w:t>（三）财务要求</w:t>
      </w:r>
      <w:bookmarkEnd w:id="207"/>
    </w:p>
    <w:p w14:paraId="647C4662">
      <w:pPr>
        <w:spacing w:line="360" w:lineRule="auto"/>
        <w:ind w:firstLine="424" w:firstLineChars="202"/>
        <w:rPr>
          <w:rFonts w:ascii="宋体" w:hAnsi="宋体" w:cs="宋体"/>
          <w:sz w:val="21"/>
          <w:szCs w:val="21"/>
        </w:rPr>
      </w:pPr>
      <w:r>
        <w:rPr>
          <w:rFonts w:hint="eastAsia" w:ascii="宋体" w:hAnsi="宋体" w:cs="宋体"/>
          <w:sz w:val="21"/>
          <w:szCs w:val="21"/>
        </w:rPr>
        <w:t>提供2022～2024年经会计师事务所或第三方审计的审计报告及财务报表（至少包括资产负债表、现金流量表、利润表/损益表）（若2024年审计报告未出的则提供2021-2023年的）。【若成立不足3年的则提供成立至今的经会计师事务所或第三方审计的审计报告及财务报表（包括资产负债表、现金流量表、利润表/损益表）；若为2024年及以后新成立公司，可提供公司内部自行编制的财务报表或银行开具的资信证明文件或银行开具的资金证明文件】。</w:t>
      </w:r>
    </w:p>
    <w:p w14:paraId="0EA51A36">
      <w:pPr>
        <w:pStyle w:val="5"/>
        <w:spacing w:line="415" w:lineRule="auto"/>
        <w:jc w:val="center"/>
        <w:rPr>
          <w:rFonts w:ascii="宋体" w:hAnsi="宋体"/>
          <w:sz w:val="30"/>
          <w:szCs w:val="30"/>
        </w:rPr>
      </w:pPr>
      <w:bookmarkStart w:id="208" w:name="_Toc9579"/>
      <w:r>
        <w:rPr>
          <w:rFonts w:hint="eastAsia" w:ascii="宋体" w:hAnsi="宋体" w:eastAsia="宋体"/>
          <w:sz w:val="30"/>
          <w:szCs w:val="30"/>
        </w:rPr>
        <w:t>（四）投标保证金缴纳证明</w:t>
      </w:r>
      <w:bookmarkEnd w:id="208"/>
    </w:p>
    <w:p w14:paraId="6EEB3FB6">
      <w:pPr>
        <w:jc w:val="center"/>
        <w:rPr>
          <w:rFonts w:ascii="宋体" w:hAnsi="宋体"/>
          <w:sz w:val="21"/>
          <w:szCs w:val="21"/>
        </w:rPr>
      </w:pPr>
      <w:r>
        <w:rPr>
          <w:rFonts w:hint="eastAsia" w:ascii="宋体" w:hAnsi="宋体"/>
          <w:sz w:val="21"/>
          <w:szCs w:val="21"/>
        </w:rPr>
        <w:t>提供投标保证金缴纳凭证复印件或银行保函复印件或投标保证保险复印件。</w:t>
      </w:r>
    </w:p>
    <w:p w14:paraId="51F82EDD">
      <w:pPr>
        <w:jc w:val="center"/>
      </w:pPr>
    </w:p>
    <w:p w14:paraId="392AB6F7">
      <w:pPr>
        <w:jc w:val="center"/>
      </w:pPr>
    </w:p>
    <w:p w14:paraId="36BA040A">
      <w:pPr>
        <w:rPr>
          <w:rFonts w:ascii="宋体" w:hAnsi="宋体"/>
          <w:b/>
          <w:bCs/>
          <w:sz w:val="30"/>
          <w:szCs w:val="30"/>
        </w:rPr>
      </w:pPr>
      <w:r>
        <w:rPr>
          <w:rFonts w:ascii="宋体" w:hAnsi="宋体"/>
          <w:sz w:val="30"/>
          <w:szCs w:val="30"/>
        </w:rPr>
        <w:br w:type="page"/>
      </w:r>
    </w:p>
    <w:p w14:paraId="1939B31A">
      <w:pPr>
        <w:pStyle w:val="5"/>
        <w:spacing w:line="415" w:lineRule="auto"/>
        <w:jc w:val="center"/>
        <w:rPr>
          <w:rFonts w:ascii="宋体" w:hAnsi="宋体" w:eastAsia="宋体"/>
          <w:sz w:val="30"/>
          <w:szCs w:val="30"/>
        </w:rPr>
      </w:pPr>
      <w:bookmarkStart w:id="209" w:name="_Toc7612"/>
      <w:r>
        <w:rPr>
          <w:rFonts w:hint="eastAsia" w:ascii="宋体" w:hAnsi="宋体" w:eastAsia="宋体"/>
          <w:sz w:val="30"/>
          <w:szCs w:val="30"/>
        </w:rPr>
        <w:t>（五）投标人承诺书</w:t>
      </w:r>
      <w:bookmarkEnd w:id="209"/>
    </w:p>
    <w:p w14:paraId="55989A27">
      <w:pPr>
        <w:spacing w:line="360" w:lineRule="auto"/>
        <w:rPr>
          <w:rFonts w:ascii="宋体" w:hAnsi="宋体" w:cs="宋体"/>
          <w:snapToGrid w:val="0"/>
        </w:rPr>
      </w:pPr>
      <w:r>
        <w:rPr>
          <w:rFonts w:hint="eastAsia" w:ascii="宋体" w:hAnsi="宋体" w:cs="宋体"/>
        </w:rPr>
        <w:t>红云红河烟草（集团）有限责任公司</w:t>
      </w:r>
      <w:r>
        <w:rPr>
          <w:rFonts w:hint="eastAsia" w:ascii="宋体" w:hAnsi="宋体" w:cs="宋体"/>
          <w:snapToGrid w:val="0"/>
        </w:rPr>
        <w:t>：</w:t>
      </w:r>
    </w:p>
    <w:p w14:paraId="5A5E9C5D">
      <w:pPr>
        <w:spacing w:line="360" w:lineRule="auto"/>
        <w:ind w:firstLine="400" w:firstLineChars="200"/>
        <w:rPr>
          <w:rFonts w:ascii="宋体" w:hAnsi="宋体" w:cs="宋体"/>
          <w:snapToGrid w:val="0"/>
        </w:rPr>
      </w:pPr>
      <w:r>
        <w:rPr>
          <w:rFonts w:hint="eastAsia" w:ascii="宋体" w:hAnsi="宋体" w:cs="宋体"/>
          <w:snapToGrid w:val="0"/>
        </w:rPr>
        <w:t>本企业参与__________________________项目的投标，现作如下承诺：</w:t>
      </w:r>
    </w:p>
    <w:p w14:paraId="7AA17F96">
      <w:pPr>
        <w:spacing w:line="360" w:lineRule="auto"/>
        <w:ind w:firstLine="400" w:firstLineChars="200"/>
        <w:rPr>
          <w:rFonts w:ascii="宋体" w:hAnsi="宋体" w:cs="宋体"/>
          <w:snapToGrid w:val="0"/>
        </w:rPr>
      </w:pPr>
      <w:r>
        <w:rPr>
          <w:rFonts w:hint="eastAsia" w:ascii="宋体" w:hAnsi="宋体" w:cs="宋体"/>
          <w:snapToGrid w:val="0"/>
        </w:rPr>
        <w:t>1、我公司参与此次投标活动所提交的所有资料都是合法、真实、有效的。</w:t>
      </w:r>
    </w:p>
    <w:p w14:paraId="20A89B99">
      <w:pPr>
        <w:spacing w:line="360" w:lineRule="auto"/>
        <w:ind w:firstLine="400" w:firstLineChars="200"/>
        <w:rPr>
          <w:rFonts w:ascii="宋体" w:hAnsi="宋体" w:cs="宋体"/>
          <w:snapToGrid w:val="0"/>
        </w:rPr>
      </w:pPr>
      <w:r>
        <w:rPr>
          <w:rFonts w:hint="eastAsia" w:ascii="宋体" w:hAnsi="宋体" w:cs="宋体"/>
          <w:snapToGrid w:val="0"/>
        </w:rPr>
        <w:t>2、不与其他投标人串通投标、围标，依法、依规公平竞争，不损害招标人或其他投标人的合法权益。</w:t>
      </w:r>
    </w:p>
    <w:p w14:paraId="7F660B07">
      <w:pPr>
        <w:spacing w:line="360" w:lineRule="auto"/>
        <w:ind w:firstLine="400" w:firstLineChars="200"/>
        <w:rPr>
          <w:rFonts w:ascii="宋体" w:hAnsi="宋体" w:cs="宋体"/>
          <w:snapToGrid w:val="0"/>
        </w:rPr>
      </w:pPr>
      <w:r>
        <w:rPr>
          <w:rFonts w:hint="eastAsia" w:ascii="宋体" w:hAnsi="宋体" w:cs="宋体"/>
          <w:snapToGrid w:val="0"/>
        </w:rPr>
        <w:t>3、不与招标人或招标代理机构串通投标，不损害国家利益、社会公共利益或其他当事人的合法权益。</w:t>
      </w:r>
    </w:p>
    <w:p w14:paraId="08C21291">
      <w:pPr>
        <w:spacing w:line="360" w:lineRule="auto"/>
        <w:ind w:firstLine="400" w:firstLineChars="200"/>
        <w:rPr>
          <w:rFonts w:ascii="宋体" w:hAnsi="宋体" w:cs="宋体"/>
          <w:snapToGrid w:val="0"/>
        </w:rPr>
      </w:pPr>
      <w:r>
        <w:rPr>
          <w:rFonts w:ascii="宋体" w:hAnsi="宋体" w:cs="宋体"/>
          <w:snapToGrid w:val="0"/>
        </w:rPr>
        <w:t>4</w:t>
      </w:r>
      <w:r>
        <w:rPr>
          <w:rFonts w:hint="eastAsia" w:ascii="宋体" w:hAnsi="宋体" w:cs="宋体"/>
          <w:snapToGrid w:val="0"/>
        </w:rPr>
        <w:t>、不向招标人、评标委员会成员、监督人员行贿。不扰乱公共资源交易活动正常秩序。不进行虚假恶意投诉。</w:t>
      </w:r>
    </w:p>
    <w:p w14:paraId="184F0471">
      <w:pPr>
        <w:spacing w:line="360" w:lineRule="auto"/>
        <w:ind w:firstLine="400" w:firstLineChars="200"/>
        <w:rPr>
          <w:rFonts w:ascii="宋体" w:hAnsi="宋体" w:cs="宋体"/>
          <w:snapToGrid w:val="0"/>
        </w:rPr>
      </w:pPr>
      <w:r>
        <w:rPr>
          <w:rFonts w:ascii="宋体" w:hAnsi="宋体" w:cs="宋体"/>
          <w:snapToGrid w:val="0"/>
        </w:rPr>
        <w:t>5</w:t>
      </w:r>
      <w:r>
        <w:rPr>
          <w:rFonts w:hint="eastAsia" w:ascii="宋体" w:hAnsi="宋体" w:cs="宋体"/>
          <w:snapToGrid w:val="0"/>
        </w:rPr>
        <w:t>、因违反法律、法规或相关规定被查处的，不干预案件查处。如出现违法、违规或不良行为，甘愿接受监督管理部门、纪检监察机关或司法机关调查处理。违法、违规或不良行为事实成立的，本投标人不再要求退还投标时所提交的投标保证金，并承担相关责任。给招标人造成损失的，依法承担赔偿责任。</w:t>
      </w:r>
    </w:p>
    <w:p w14:paraId="2A6A2CA2">
      <w:pPr>
        <w:spacing w:line="360" w:lineRule="auto"/>
        <w:ind w:firstLine="400" w:firstLineChars="200"/>
        <w:rPr>
          <w:rFonts w:ascii="宋体" w:hAnsi="宋体" w:cs="宋体"/>
          <w:snapToGrid w:val="0"/>
        </w:rPr>
      </w:pPr>
      <w:r>
        <w:rPr>
          <w:rFonts w:ascii="宋体" w:hAnsi="宋体" w:cs="宋体"/>
          <w:snapToGrid w:val="0"/>
        </w:rPr>
        <w:t>6</w:t>
      </w:r>
      <w:r>
        <w:rPr>
          <w:rFonts w:hint="eastAsia" w:ascii="宋体" w:hAnsi="宋体" w:cs="宋体"/>
          <w:snapToGrid w:val="0"/>
        </w:rPr>
        <w:t>、在施工过程中，严格按安全管理条例及安全操作规程进行施工，如因我公司原因发生安全事故，所造成的一切损失由我公司全部负责。</w:t>
      </w:r>
    </w:p>
    <w:p w14:paraId="463F0490">
      <w:pPr>
        <w:spacing w:line="360" w:lineRule="auto"/>
        <w:ind w:firstLine="400" w:firstLineChars="200"/>
        <w:rPr>
          <w:rFonts w:ascii="宋体" w:hAnsi="宋体" w:cs="宋体"/>
          <w:snapToGrid w:val="0"/>
        </w:rPr>
      </w:pPr>
      <w:r>
        <w:rPr>
          <w:rFonts w:ascii="宋体" w:hAnsi="宋体" w:cs="宋体"/>
          <w:snapToGrid w:val="0"/>
        </w:rPr>
        <w:t>7</w:t>
      </w:r>
      <w:r>
        <w:rPr>
          <w:rFonts w:hint="eastAsia" w:ascii="宋体" w:hAnsi="宋体" w:cs="宋体"/>
          <w:snapToGrid w:val="0"/>
        </w:rPr>
        <w:t>、对我单位本项目过程中直接或间接获取资料、图纸以及在服务过程中了解到的有关信息和情况负有保密责任和义务。我单位愿意承担因我单位、我单位人员（包括但不限于股东、董事、管理人员、财务、技术、业务等任何人员）及为我单位服务的任何单位、人员的泄密行为（无论泄密行为是故意所为还是疏忽所为）而引起的一切法律和经济责任。</w:t>
      </w:r>
    </w:p>
    <w:p w14:paraId="7A9EED9D">
      <w:pPr>
        <w:spacing w:line="360" w:lineRule="auto"/>
        <w:ind w:firstLine="400" w:firstLineChars="200"/>
        <w:rPr>
          <w:rFonts w:ascii="宋体" w:hAnsi="宋体" w:cs="宋体"/>
          <w:snapToGrid w:val="0"/>
        </w:rPr>
      </w:pPr>
      <w:r>
        <w:rPr>
          <w:rFonts w:ascii="宋体" w:hAnsi="宋体" w:cs="宋体"/>
          <w:snapToGrid w:val="0"/>
        </w:rPr>
        <w:t>8</w:t>
      </w:r>
      <w:r>
        <w:rPr>
          <w:rFonts w:hint="eastAsia" w:ascii="宋体" w:hAnsi="宋体" w:cs="宋体"/>
          <w:snapToGrid w:val="0"/>
        </w:rPr>
        <w:t>、我公司向招标人保证，提供的服务或产品不会构成对任何第三方的专利、版权、商标权、商业秘密等知识产权或其他财产权利的侵犯。如有上述情况发生，则责任由投标人承担。</w:t>
      </w:r>
    </w:p>
    <w:p w14:paraId="3E0E900E">
      <w:pPr>
        <w:spacing w:line="360" w:lineRule="auto"/>
        <w:ind w:firstLine="400" w:firstLineChars="200"/>
        <w:rPr>
          <w:rFonts w:ascii="宋体" w:hAnsi="宋体" w:cs="宋体"/>
          <w:sz w:val="21"/>
          <w:szCs w:val="21"/>
        </w:rPr>
      </w:pPr>
      <w:r>
        <w:rPr>
          <w:rFonts w:hint="eastAsia" w:ascii="宋体" w:hAnsi="宋体" w:cs="宋体"/>
          <w:snapToGrid w:val="0"/>
        </w:rPr>
        <w:t>9、</w:t>
      </w:r>
      <w:r>
        <w:rPr>
          <w:rFonts w:hint="eastAsia" w:ascii="宋体" w:hAnsi="宋体" w:cs="宋体"/>
          <w:sz w:val="21"/>
          <w:szCs w:val="21"/>
        </w:rPr>
        <w:t>我公司</w:t>
      </w:r>
      <w:r>
        <w:rPr>
          <w:rFonts w:hint="eastAsia" w:ascii="宋体" w:hAnsi="宋体"/>
          <w:sz w:val="21"/>
          <w:szCs w:val="21"/>
        </w:rPr>
        <w:t>未为本项目提供过整体设计、规范编制或者项目管理、监理、检测等服务</w:t>
      </w:r>
      <w:r>
        <w:rPr>
          <w:rFonts w:hint="eastAsia" w:ascii="宋体" w:hAnsi="宋体" w:cs="宋体"/>
          <w:sz w:val="21"/>
          <w:szCs w:val="21"/>
        </w:rPr>
        <w:t>。</w:t>
      </w:r>
    </w:p>
    <w:p w14:paraId="4FB931D7">
      <w:pPr>
        <w:spacing w:line="360" w:lineRule="auto"/>
        <w:ind w:firstLine="424" w:firstLineChars="202"/>
        <w:jc w:val="both"/>
        <w:rPr>
          <w:rFonts w:ascii="宋体" w:hAnsi="宋体" w:cs="Calibri"/>
          <w:sz w:val="21"/>
          <w:szCs w:val="21"/>
        </w:rPr>
      </w:pPr>
      <w:r>
        <w:rPr>
          <w:rFonts w:hint="eastAsia" w:ascii="宋体" w:hAnsi="宋体" w:cs="宋体"/>
          <w:sz w:val="21"/>
          <w:szCs w:val="21"/>
        </w:rPr>
        <w:t>1</w:t>
      </w:r>
      <w:r>
        <w:rPr>
          <w:rFonts w:ascii="宋体" w:hAnsi="宋体" w:cs="宋体"/>
          <w:sz w:val="21"/>
          <w:szCs w:val="21"/>
        </w:rPr>
        <w:t>0</w:t>
      </w:r>
      <w:r>
        <w:rPr>
          <w:rFonts w:hint="eastAsia" w:ascii="宋体" w:hAnsi="宋体" w:cs="宋体"/>
          <w:sz w:val="21"/>
          <w:szCs w:val="21"/>
        </w:rPr>
        <w:t>、</w:t>
      </w:r>
      <w:r>
        <w:rPr>
          <w:rFonts w:ascii="宋体" w:hAnsi="宋体" w:cs="Calibri"/>
          <w:sz w:val="21"/>
          <w:szCs w:val="21"/>
        </w:rPr>
        <w:t>我单位</w:t>
      </w:r>
      <w:r>
        <w:rPr>
          <w:rFonts w:hint="eastAsia" w:ascii="宋体" w:hAnsi="宋体" w:cs="Calibri"/>
          <w:sz w:val="21"/>
          <w:szCs w:val="21"/>
        </w:rPr>
        <w:t>不存在“</w:t>
      </w:r>
      <w:r>
        <w:rPr>
          <w:rFonts w:hint="eastAsia" w:ascii="宋体" w:hAnsi="宋体"/>
          <w:sz w:val="21"/>
          <w:szCs w:val="21"/>
        </w:rPr>
        <w:t>投标单位及其法定代表人、主要负责人和行贿人被正式列入中国烟草总公司或中国烟草总公司转发的行业其他工商企业、云南中烟“存在行贿行为供应商名单”，在禁入期限内，上述人员担任法定代表人、主要负责人或实际控制人的其他企业，参加本项目投标”</w:t>
      </w:r>
      <w:r>
        <w:rPr>
          <w:rFonts w:hint="eastAsia" w:ascii="宋体" w:hAnsi="宋体" w:cs="Calibri"/>
          <w:sz w:val="21"/>
          <w:szCs w:val="21"/>
        </w:rPr>
        <w:t>的情形。</w:t>
      </w:r>
    </w:p>
    <w:p w14:paraId="0EB9ED42">
      <w:pPr>
        <w:spacing w:line="360" w:lineRule="auto"/>
        <w:ind w:firstLine="424" w:firstLineChars="202"/>
        <w:jc w:val="both"/>
        <w:rPr>
          <w:rFonts w:ascii="宋体" w:hAnsi="宋体"/>
          <w:sz w:val="21"/>
          <w:szCs w:val="21"/>
        </w:rPr>
      </w:pPr>
      <w:r>
        <w:rPr>
          <w:rFonts w:hint="eastAsia" w:ascii="宋体" w:hAnsi="宋体"/>
          <w:sz w:val="21"/>
          <w:szCs w:val="21"/>
        </w:rPr>
        <w:t>1</w:t>
      </w:r>
      <w:r>
        <w:rPr>
          <w:rFonts w:ascii="宋体" w:hAnsi="宋体"/>
          <w:sz w:val="21"/>
          <w:szCs w:val="21"/>
        </w:rPr>
        <w:t>1</w:t>
      </w:r>
      <w:r>
        <w:rPr>
          <w:rFonts w:hint="eastAsia" w:ascii="宋体" w:hAnsi="宋体"/>
          <w:sz w:val="21"/>
          <w:szCs w:val="21"/>
        </w:rPr>
        <w:t>、我单位在《国家企业信用信息公示系统》上未被列入严重违法失信名单（黑名单）信息；未被《信用中国》列入严重失信主体名单、重大税收违法失信主体；未被《中国执行信息公开网》列入失信被执行人。</w:t>
      </w:r>
    </w:p>
    <w:p w14:paraId="0DCFC2E3">
      <w:pPr>
        <w:spacing w:line="360" w:lineRule="auto"/>
        <w:ind w:firstLine="424" w:firstLineChars="202"/>
        <w:jc w:val="both"/>
        <w:rPr>
          <w:rFonts w:ascii="宋体" w:hAnsi="宋体"/>
          <w:sz w:val="21"/>
          <w:szCs w:val="21"/>
        </w:rPr>
      </w:pPr>
      <w:r>
        <w:rPr>
          <w:rFonts w:hint="eastAsia" w:ascii="宋体" w:hAnsi="宋体"/>
          <w:sz w:val="21"/>
          <w:szCs w:val="21"/>
        </w:rPr>
        <w:t>1</w:t>
      </w:r>
      <w:r>
        <w:rPr>
          <w:rFonts w:ascii="宋体" w:hAnsi="宋体"/>
          <w:sz w:val="21"/>
          <w:szCs w:val="21"/>
        </w:rPr>
        <w:t>2</w:t>
      </w:r>
      <w:r>
        <w:rPr>
          <w:rFonts w:hint="eastAsia" w:ascii="宋体" w:hAnsi="宋体"/>
          <w:sz w:val="21"/>
          <w:szCs w:val="21"/>
        </w:rPr>
        <w:t>、我单位自2022年1月1日至今未被依法暂停或者取消投标资格；未被责令停产停业、暂扣或者吊销许可证、暂扣或者吊销执照；未进入清算程序或被宣告破产或其他丧失履约能力的情形。</w:t>
      </w:r>
    </w:p>
    <w:p w14:paraId="767443FF">
      <w:pPr>
        <w:spacing w:line="360" w:lineRule="auto"/>
        <w:ind w:firstLine="424" w:firstLineChars="202"/>
        <w:jc w:val="both"/>
        <w:rPr>
          <w:rFonts w:ascii="宋体" w:hAnsi="宋体" w:cs="Calibri"/>
          <w:sz w:val="21"/>
          <w:szCs w:val="21"/>
        </w:rPr>
      </w:pPr>
      <w:r>
        <w:rPr>
          <w:rFonts w:hint="eastAsia" w:ascii="宋体" w:hAnsi="宋体" w:cs="Calibri"/>
          <w:sz w:val="21"/>
          <w:szCs w:val="21"/>
        </w:rPr>
        <w:t>1</w:t>
      </w:r>
      <w:r>
        <w:rPr>
          <w:rFonts w:ascii="宋体" w:hAnsi="宋体" w:cs="Calibri"/>
          <w:sz w:val="21"/>
          <w:szCs w:val="21"/>
        </w:rPr>
        <w:t>3</w:t>
      </w:r>
      <w:r>
        <w:rPr>
          <w:rFonts w:hint="eastAsia" w:ascii="宋体" w:hAnsi="宋体" w:cs="Calibri"/>
          <w:sz w:val="21"/>
          <w:szCs w:val="21"/>
        </w:rPr>
        <w:t>、</w:t>
      </w:r>
      <w:r>
        <w:rPr>
          <w:rFonts w:ascii="宋体" w:hAnsi="宋体" w:cs="Calibri"/>
          <w:sz w:val="21"/>
          <w:szCs w:val="21"/>
        </w:rPr>
        <w:t>我单位</w:t>
      </w:r>
      <w:r>
        <w:rPr>
          <w:rFonts w:hint="eastAsia" w:ascii="宋体" w:hAnsi="宋体" w:cs="Calibri"/>
          <w:spacing w:val="10"/>
          <w:sz w:val="21"/>
          <w:szCs w:val="21"/>
        </w:rPr>
        <w:t>满足</w:t>
      </w:r>
      <w:r>
        <w:rPr>
          <w:rFonts w:hint="eastAsia" w:ascii="宋体" w:hAnsi="宋体" w:cs="Calibri"/>
          <w:sz w:val="21"/>
          <w:szCs w:val="21"/>
        </w:rPr>
        <w:t>“</w:t>
      </w:r>
      <w:r>
        <w:rPr>
          <w:rFonts w:hint="eastAsia" w:ascii="宋体" w:hAnsi="宋体"/>
          <w:sz w:val="21"/>
          <w:szCs w:val="21"/>
        </w:rPr>
        <w:t>与招标人存在利害关系可能影响招标公正性的法人、其他组织或者个人，不得参加投标。投标单位负责人为同一人或者存在控股、管理关系的不同单位，不得参加同一标段投标或者未划分标段的同一招标项目投标”</w:t>
      </w:r>
      <w:r>
        <w:rPr>
          <w:rFonts w:hint="eastAsia" w:ascii="宋体" w:hAnsi="宋体" w:cs="Calibri"/>
          <w:spacing w:val="10"/>
          <w:sz w:val="21"/>
          <w:szCs w:val="21"/>
        </w:rPr>
        <w:t>的规定。</w:t>
      </w:r>
    </w:p>
    <w:p w14:paraId="65617D0E">
      <w:pPr>
        <w:spacing w:line="360" w:lineRule="auto"/>
        <w:ind w:firstLine="420" w:firstLineChars="200"/>
        <w:rPr>
          <w:rFonts w:ascii="宋体" w:hAnsi="宋体" w:cs="宋体"/>
          <w:sz w:val="21"/>
          <w:szCs w:val="21"/>
        </w:rPr>
      </w:pPr>
      <w:r>
        <w:rPr>
          <w:rFonts w:hint="eastAsia" w:ascii="宋体" w:hAnsi="宋体" w:cs="宋体"/>
          <w:sz w:val="21"/>
          <w:szCs w:val="21"/>
        </w:rPr>
        <w:t>1</w:t>
      </w:r>
      <w:r>
        <w:rPr>
          <w:rFonts w:ascii="宋体" w:hAnsi="宋体" w:cs="宋体"/>
          <w:sz w:val="21"/>
          <w:szCs w:val="21"/>
        </w:rPr>
        <w:t>4</w:t>
      </w:r>
      <w:r>
        <w:rPr>
          <w:rFonts w:hint="eastAsia" w:ascii="宋体" w:hAnsi="宋体" w:cs="宋体"/>
          <w:sz w:val="21"/>
          <w:szCs w:val="21"/>
        </w:rPr>
        <w:t>、我公司本次投标为非联合体投标。</w:t>
      </w:r>
    </w:p>
    <w:p w14:paraId="68075FD2">
      <w:pPr>
        <w:spacing w:line="360" w:lineRule="auto"/>
        <w:ind w:firstLine="420" w:firstLineChars="200"/>
        <w:rPr>
          <w:rFonts w:ascii="宋体" w:hAnsi="宋体" w:cs="宋体"/>
          <w:sz w:val="21"/>
          <w:szCs w:val="21"/>
        </w:rPr>
      </w:pPr>
      <w:r>
        <w:rPr>
          <w:rFonts w:hint="eastAsia" w:ascii="宋体" w:hAnsi="宋体" w:cs="宋体"/>
          <w:sz w:val="21"/>
          <w:szCs w:val="21"/>
        </w:rPr>
        <w:t>1</w:t>
      </w:r>
      <w:r>
        <w:rPr>
          <w:rFonts w:ascii="宋体" w:hAnsi="宋体" w:cs="宋体"/>
          <w:sz w:val="21"/>
          <w:szCs w:val="21"/>
        </w:rPr>
        <w:t>5</w:t>
      </w:r>
      <w:r>
        <w:rPr>
          <w:rFonts w:hint="eastAsia" w:ascii="宋体" w:hAnsi="宋体" w:cs="宋体"/>
          <w:sz w:val="21"/>
          <w:szCs w:val="21"/>
        </w:rPr>
        <w:t>、</w:t>
      </w:r>
      <w:r>
        <w:rPr>
          <w:rFonts w:ascii="宋体" w:hAnsi="宋体" w:cs="宋体"/>
          <w:sz w:val="21"/>
          <w:szCs w:val="21"/>
        </w:rPr>
        <w:t>若我公司中标</w:t>
      </w:r>
      <w:r>
        <w:rPr>
          <w:rFonts w:hint="eastAsia" w:ascii="宋体" w:hAnsi="宋体" w:cs="宋体"/>
          <w:sz w:val="21"/>
          <w:szCs w:val="21"/>
        </w:rPr>
        <w:t>，承诺不进行转包或分包。</w:t>
      </w:r>
    </w:p>
    <w:p w14:paraId="7DF3DE0B">
      <w:pPr>
        <w:spacing w:line="360" w:lineRule="auto"/>
        <w:ind w:firstLine="422" w:firstLineChars="200"/>
        <w:rPr>
          <w:rFonts w:ascii="宋体" w:hAnsi="宋体" w:cs="宋体"/>
          <w:b/>
          <w:bCs/>
          <w:sz w:val="21"/>
          <w:szCs w:val="21"/>
        </w:rPr>
      </w:pPr>
      <w:r>
        <w:rPr>
          <w:rFonts w:hint="eastAsia" w:ascii="宋体" w:hAnsi="宋体" w:cs="宋体"/>
          <w:b/>
          <w:bCs/>
          <w:sz w:val="21"/>
          <w:szCs w:val="21"/>
        </w:rPr>
        <w:t>此函作为我方的承诺，若我单位承诺不实，我方将承担完全法律责任，并愿意接受由此带来的一切后果（包括但不限于取消投标资格、中标资格、给招标人造成的损失依法追究和赔偿、涉嫌犯罪的依法移交司法机关等）。</w:t>
      </w:r>
    </w:p>
    <w:p w14:paraId="0F9A3546">
      <w:pPr>
        <w:spacing w:line="360" w:lineRule="auto"/>
        <w:ind w:firstLine="400" w:firstLineChars="200"/>
        <w:rPr>
          <w:rFonts w:ascii="宋体" w:hAnsi="宋体" w:cs="宋体"/>
          <w:snapToGrid w:val="0"/>
        </w:rPr>
      </w:pPr>
    </w:p>
    <w:p w14:paraId="29FA79D9">
      <w:pPr>
        <w:spacing w:line="360" w:lineRule="auto"/>
        <w:ind w:firstLine="400" w:firstLineChars="200"/>
        <w:jc w:val="right"/>
        <w:rPr>
          <w:rFonts w:ascii="宋体" w:hAnsi="宋体" w:cs="宋体"/>
          <w:bCs/>
        </w:rPr>
      </w:pPr>
      <w:r>
        <w:rPr>
          <w:rFonts w:hint="eastAsia" w:ascii="宋体" w:hAnsi="宋体" w:cs="宋体"/>
          <w:bCs/>
        </w:rPr>
        <w:t>投标人：</w:t>
      </w:r>
      <w:r>
        <w:rPr>
          <w:rFonts w:hint="eastAsia" w:ascii="宋体" w:hAnsi="宋体" w:cs="宋体"/>
          <w:bCs/>
          <w:u w:val="single"/>
        </w:rPr>
        <w:t xml:space="preserve">            </w:t>
      </w:r>
      <w:r>
        <w:rPr>
          <w:rFonts w:hint="eastAsia" w:ascii="宋体" w:hAnsi="宋体" w:cs="宋体"/>
          <w:bCs/>
          <w:u w:val="single"/>
        </w:rPr>
        <w:tab/>
      </w:r>
      <w:r>
        <w:rPr>
          <w:rFonts w:hint="eastAsia" w:ascii="宋体" w:hAnsi="宋体" w:cs="宋体"/>
          <w:bCs/>
          <w:u w:val="single"/>
        </w:rPr>
        <w:tab/>
      </w:r>
      <w:r>
        <w:rPr>
          <w:rFonts w:hint="eastAsia" w:ascii="宋体" w:hAnsi="宋体" w:cs="宋体"/>
          <w:bCs/>
          <w:u w:val="single"/>
        </w:rPr>
        <w:tab/>
      </w:r>
      <w:r>
        <w:rPr>
          <w:rFonts w:hint="eastAsia" w:ascii="宋体" w:hAnsi="宋体" w:cs="宋体"/>
          <w:bCs/>
          <w:u w:val="single"/>
        </w:rPr>
        <w:tab/>
      </w:r>
      <w:r>
        <w:rPr>
          <w:rFonts w:hint="eastAsia" w:ascii="宋体" w:hAnsi="宋体" w:cs="宋体"/>
          <w:bCs/>
          <w:u w:val="single"/>
        </w:rPr>
        <w:t xml:space="preserve">  </w:t>
      </w:r>
      <w:r>
        <w:rPr>
          <w:rFonts w:hint="eastAsia" w:ascii="宋体" w:hAnsi="宋体" w:cs="宋体"/>
          <w:bCs/>
        </w:rPr>
        <w:t>(盖章)</w:t>
      </w:r>
    </w:p>
    <w:p w14:paraId="09215540">
      <w:pPr>
        <w:spacing w:line="480" w:lineRule="auto"/>
        <w:ind w:firstLine="1082" w:firstLineChars="541"/>
        <w:jc w:val="right"/>
        <w:rPr>
          <w:rFonts w:ascii="宋体" w:hAnsi="宋体" w:cs="宋体"/>
          <w:bCs/>
        </w:rPr>
      </w:pPr>
      <w:r>
        <w:rPr>
          <w:rFonts w:hint="eastAsia" w:ascii="宋体" w:hAnsi="宋体" w:cs="宋体"/>
          <w:bCs/>
        </w:rPr>
        <w:t>法定代表人(单位负责人)或　其委托代理人：</w:t>
      </w:r>
      <w:r>
        <w:rPr>
          <w:rFonts w:hint="eastAsia" w:ascii="宋体" w:hAnsi="宋体" w:cs="宋体"/>
          <w:bCs/>
          <w:u w:val="single"/>
        </w:rPr>
        <w:t xml:space="preserve">      </w:t>
      </w:r>
      <w:r>
        <w:rPr>
          <w:rFonts w:hint="eastAsia" w:ascii="宋体" w:hAnsi="宋体" w:cs="宋体"/>
          <w:bCs/>
          <w:u w:val="single"/>
        </w:rPr>
        <w:tab/>
      </w:r>
      <w:r>
        <w:rPr>
          <w:rFonts w:hint="eastAsia" w:ascii="宋体" w:hAnsi="宋体" w:cs="宋体"/>
          <w:bCs/>
        </w:rPr>
        <w:t>(签字或盖章)</w:t>
      </w:r>
    </w:p>
    <w:p w14:paraId="5ED01C70">
      <w:pPr>
        <w:spacing w:line="440" w:lineRule="exact"/>
        <w:ind w:right="500" w:firstLine="6400" w:firstLineChars="3200"/>
        <w:rPr>
          <w:rFonts w:ascii="宋体" w:hAnsi="宋体" w:cs="宋体"/>
          <w:bCs/>
        </w:rPr>
      </w:pPr>
      <w:r>
        <w:rPr>
          <w:rFonts w:hint="eastAsia" w:ascii="宋体" w:hAnsi="宋体" w:cs="宋体"/>
          <w:bCs/>
        </w:rPr>
        <w:t>日期：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70DFEA9F">
      <w:pPr>
        <w:spacing w:line="360" w:lineRule="auto"/>
        <w:ind w:firstLine="400" w:firstLineChars="200"/>
        <w:rPr>
          <w:rFonts w:ascii="Courier New" w:hAnsi="Courier New" w:cs="Courier New"/>
          <w:szCs w:val="21"/>
        </w:rPr>
      </w:pPr>
    </w:p>
    <w:p w14:paraId="5938D237">
      <w:pPr>
        <w:spacing w:line="360" w:lineRule="auto"/>
        <w:ind w:firstLine="600" w:firstLineChars="200"/>
        <w:rPr>
          <w:rFonts w:ascii="Courier New" w:hAnsi="Courier New" w:cs="Courier New"/>
          <w:szCs w:val="21"/>
        </w:rPr>
      </w:pPr>
      <w:r>
        <w:rPr>
          <w:rFonts w:ascii="宋体" w:hAnsi="宋体"/>
          <w:sz w:val="30"/>
          <w:szCs w:val="30"/>
        </w:rPr>
        <w:br w:type="page"/>
      </w:r>
    </w:p>
    <w:p w14:paraId="73E57CF1">
      <w:pPr>
        <w:pStyle w:val="5"/>
        <w:spacing w:line="415" w:lineRule="auto"/>
        <w:jc w:val="center"/>
        <w:rPr>
          <w:rFonts w:ascii="宋体" w:hAnsi="宋体" w:cs="宋体"/>
          <w:b w:val="0"/>
          <w:bCs w:val="0"/>
          <w:sz w:val="30"/>
          <w:szCs w:val="30"/>
        </w:rPr>
      </w:pPr>
      <w:bookmarkStart w:id="210" w:name="_Toc17031"/>
      <w:bookmarkStart w:id="211" w:name="_Toc99524148"/>
      <w:r>
        <w:rPr>
          <w:rFonts w:hint="eastAsia" w:ascii="宋体" w:hAnsi="宋体" w:eastAsia="宋体"/>
          <w:sz w:val="30"/>
          <w:szCs w:val="30"/>
        </w:rPr>
        <w:t>（六）廉洁诚信承诺书</w:t>
      </w:r>
      <w:bookmarkEnd w:id="210"/>
    </w:p>
    <w:p w14:paraId="45F71825">
      <w:pPr>
        <w:adjustRightInd w:val="0"/>
        <w:contextualSpacing/>
        <w:rPr>
          <w:rFonts w:ascii="宋体" w:hAnsi="宋体" w:cs="宋体"/>
        </w:rPr>
      </w:pPr>
      <w:r>
        <w:rPr>
          <w:rFonts w:hint="eastAsia" w:ascii="宋体" w:hAnsi="宋体" w:cs="宋体"/>
        </w:rPr>
        <w:t>红云红河烟草（集团）有限责任公司：</w:t>
      </w:r>
    </w:p>
    <w:p w14:paraId="4A816EFB">
      <w:pPr>
        <w:adjustRightInd w:val="0"/>
        <w:contextualSpacing/>
        <w:jc w:val="both"/>
        <w:rPr>
          <w:rFonts w:ascii="宋体" w:hAnsi="宋体" w:cs="宋体"/>
        </w:rPr>
      </w:pPr>
      <w:r>
        <w:rPr>
          <w:rFonts w:hint="eastAsia" w:ascii="宋体" w:hAnsi="宋体" w:cs="宋体"/>
        </w:rPr>
        <w:t>我司自愿承诺如下：</w:t>
      </w:r>
    </w:p>
    <w:p w14:paraId="628B6288">
      <w:pPr>
        <w:adjustRightInd w:val="0"/>
        <w:ind w:firstLine="400" w:firstLineChars="200"/>
        <w:contextualSpacing/>
        <w:jc w:val="both"/>
        <w:rPr>
          <w:rFonts w:ascii="宋体" w:hAnsi="宋体" w:cs="宋体"/>
        </w:rPr>
      </w:pPr>
      <w:r>
        <w:rPr>
          <w:rFonts w:hint="eastAsia" w:ascii="宋体" w:hAnsi="宋体" w:cs="宋体"/>
        </w:rPr>
        <w:t>一、依法参与采购人采购活动，遵纪守法，诚信经营，公平竞争。</w:t>
      </w:r>
    </w:p>
    <w:p w14:paraId="184FE2F6">
      <w:pPr>
        <w:adjustRightInd w:val="0"/>
        <w:ind w:firstLine="400" w:firstLineChars="200"/>
        <w:contextualSpacing/>
        <w:jc w:val="both"/>
        <w:rPr>
          <w:rFonts w:ascii="宋体" w:hAnsi="宋体" w:cs="宋体"/>
        </w:rPr>
      </w:pPr>
      <w:r>
        <w:rPr>
          <w:rFonts w:hint="eastAsia" w:ascii="宋体" w:hAnsi="宋体" w:cs="宋体"/>
        </w:rPr>
        <w:t>二、不向任何可能影响项目采购的单位或个人，提供任何形式的贿赂或变相贿赂；不与任何可能影响项目采购的单位或者个人恶意串通，损害采购人、供应商或其他第三人的合法权益。</w:t>
      </w:r>
    </w:p>
    <w:p w14:paraId="4BC2ABE4">
      <w:pPr>
        <w:adjustRightInd w:val="0"/>
        <w:ind w:firstLine="400" w:firstLineChars="200"/>
        <w:contextualSpacing/>
        <w:jc w:val="both"/>
        <w:rPr>
          <w:rFonts w:ascii="宋体" w:hAnsi="宋体" w:cs="宋体"/>
        </w:rPr>
      </w:pPr>
      <w:r>
        <w:rPr>
          <w:rFonts w:hint="eastAsia" w:ascii="宋体" w:hAnsi="宋体" w:cs="宋体"/>
        </w:rPr>
        <w:t>三、不以虚假材料谋取中选或者成交；不协助其他单位或者个人以虚假材料谋取中选或者成交。</w:t>
      </w:r>
    </w:p>
    <w:p w14:paraId="06493055">
      <w:pPr>
        <w:adjustRightInd w:val="0"/>
        <w:ind w:firstLine="400" w:firstLineChars="200"/>
        <w:contextualSpacing/>
        <w:jc w:val="both"/>
        <w:rPr>
          <w:rFonts w:ascii="宋体" w:hAnsi="宋体" w:cs="宋体"/>
        </w:rPr>
      </w:pPr>
      <w:r>
        <w:rPr>
          <w:rFonts w:hint="eastAsia" w:ascii="宋体" w:hAnsi="宋体" w:cs="宋体"/>
        </w:rPr>
        <w:t>四、不采取不正当手段诋毁、排挤其他供应商；不采取任何形式的围标、串标、陪标等商业欺诈手段谋取成交。</w:t>
      </w:r>
    </w:p>
    <w:p w14:paraId="40CFF2F0">
      <w:pPr>
        <w:adjustRightInd w:val="0"/>
        <w:ind w:firstLine="400" w:firstLineChars="200"/>
        <w:contextualSpacing/>
        <w:jc w:val="both"/>
        <w:rPr>
          <w:rFonts w:ascii="宋体" w:hAnsi="宋体" w:cs="宋体"/>
        </w:rPr>
      </w:pPr>
      <w:r>
        <w:rPr>
          <w:rFonts w:hint="eastAsia" w:ascii="宋体" w:hAnsi="宋体" w:cs="宋体"/>
        </w:rPr>
        <w:t>五、如实申报存在可能影响公平竞争的情形，包括但不限于：</w:t>
      </w:r>
    </w:p>
    <w:p w14:paraId="04A7B4A9">
      <w:pPr>
        <w:adjustRightInd w:val="0"/>
        <w:ind w:firstLine="400" w:firstLineChars="200"/>
        <w:contextualSpacing/>
        <w:jc w:val="both"/>
        <w:rPr>
          <w:rFonts w:ascii="宋体" w:hAnsi="宋体" w:cs="宋体"/>
        </w:rPr>
      </w:pPr>
      <w:r>
        <w:rPr>
          <w:rFonts w:hint="eastAsia" w:ascii="宋体" w:hAnsi="宋体" w:cs="宋体"/>
        </w:rPr>
        <w:t>（一）本公司与任何采购人工作人员存在的关联关系；</w:t>
      </w:r>
    </w:p>
    <w:p w14:paraId="30CA7835">
      <w:pPr>
        <w:adjustRightInd w:val="0"/>
        <w:ind w:firstLine="400" w:firstLineChars="200"/>
        <w:contextualSpacing/>
        <w:jc w:val="both"/>
        <w:rPr>
          <w:rFonts w:ascii="宋体" w:hAnsi="宋体" w:cs="宋体"/>
        </w:rPr>
      </w:pPr>
      <w:r>
        <w:rPr>
          <w:rFonts w:hint="eastAsia" w:ascii="宋体" w:hAnsi="宋体" w:cs="宋体"/>
        </w:rPr>
        <w:t>（二）本公司与其他供应商存在的任何关联关系。</w:t>
      </w:r>
    </w:p>
    <w:p w14:paraId="627267A9">
      <w:pPr>
        <w:adjustRightInd w:val="0"/>
        <w:ind w:firstLine="400" w:firstLineChars="200"/>
        <w:contextualSpacing/>
        <w:jc w:val="both"/>
        <w:rPr>
          <w:rFonts w:ascii="宋体" w:hAnsi="宋体" w:cs="宋体"/>
        </w:rPr>
      </w:pPr>
      <w:r>
        <w:rPr>
          <w:rFonts w:hint="eastAsia" w:ascii="宋体" w:hAnsi="宋体" w:cs="宋体"/>
        </w:rPr>
        <w:t xml:space="preserve">六、如果中选，严格履行采购文件要求、响应文件承诺和合同约定的义务。在采购、执行、质保等全流程各节点，不以任何方式损害采购人的利益。 </w:t>
      </w:r>
    </w:p>
    <w:p w14:paraId="59FFB980">
      <w:pPr>
        <w:adjustRightInd w:val="0"/>
        <w:ind w:firstLine="400" w:firstLineChars="200"/>
        <w:contextualSpacing/>
        <w:jc w:val="both"/>
        <w:rPr>
          <w:rFonts w:ascii="宋体" w:hAnsi="宋体" w:cs="宋体"/>
        </w:rPr>
      </w:pPr>
      <w:r>
        <w:rPr>
          <w:rFonts w:hint="eastAsia" w:ascii="宋体" w:hAnsi="宋体" w:cs="宋体"/>
        </w:rPr>
        <w:t>七、自觉接受并积极配合各级监督检查，如实反映情况，及时提供有关证明材料。</w:t>
      </w:r>
    </w:p>
    <w:p w14:paraId="427C4E0C">
      <w:pPr>
        <w:adjustRightInd w:val="0"/>
        <w:ind w:firstLine="400" w:firstLineChars="200"/>
        <w:contextualSpacing/>
        <w:jc w:val="both"/>
        <w:rPr>
          <w:rFonts w:ascii="宋体" w:hAnsi="宋体" w:cs="宋体"/>
        </w:rPr>
      </w:pPr>
      <w:r>
        <w:rPr>
          <w:rFonts w:hint="eastAsia" w:ascii="宋体" w:hAnsi="宋体" w:cs="宋体"/>
        </w:rPr>
        <w:t>八、遵守采购人及其上级管理单位内部管理的相关制度。若出现违反相关制度的行为，自愿接受采购人依据相关制度进行的处理，并承担相应责任。给采购人造成损失的，将依法承担直接和间接赔偿责任。</w:t>
      </w:r>
    </w:p>
    <w:p w14:paraId="35CB0770">
      <w:pPr>
        <w:adjustRightInd w:val="0"/>
        <w:ind w:firstLine="400" w:firstLineChars="200"/>
        <w:contextualSpacing/>
        <w:jc w:val="both"/>
        <w:rPr>
          <w:rFonts w:ascii="宋体" w:hAnsi="宋体" w:cs="宋体"/>
        </w:rPr>
      </w:pPr>
      <w:r>
        <w:rPr>
          <w:rFonts w:hint="eastAsia" w:ascii="宋体" w:hAnsi="宋体" w:cs="宋体"/>
        </w:rPr>
        <w:t>九、自觉主动维护采购人采购活动公平竞争的良好秩序。对违反法律法规、采购人及其上级管理单位规范、采购职业道德的单位或者个人，及时向纪检监察机关、监督部门举报（采购人举报电话：087</w:t>
      </w:r>
      <w:r>
        <w:rPr>
          <w:rFonts w:hint="eastAsia" w:ascii="宋体" w:hAnsi="宋体" w:cs="宋体"/>
          <w:lang w:val="en-US" w:eastAsia="zh-CN"/>
        </w:rPr>
        <w:t>4</w:t>
      </w:r>
      <w:r>
        <w:rPr>
          <w:rFonts w:hint="eastAsia" w:ascii="宋体" w:hAnsi="宋体" w:cs="宋体"/>
        </w:rPr>
        <w:t>-</w:t>
      </w:r>
      <w:r>
        <w:rPr>
          <w:rFonts w:hint="eastAsia" w:ascii="宋体" w:hAnsi="宋体" w:cs="宋体"/>
          <w:lang w:val="en-US" w:eastAsia="zh-CN"/>
        </w:rPr>
        <w:t>3360473</w:t>
      </w:r>
      <w:r>
        <w:rPr>
          <w:rFonts w:hint="eastAsia" w:ascii="宋体" w:hAnsi="宋体" w:cs="宋体"/>
        </w:rPr>
        <w:t>）。</w:t>
      </w:r>
    </w:p>
    <w:p w14:paraId="48E92ECD">
      <w:pPr>
        <w:adjustRightInd w:val="0"/>
        <w:ind w:firstLine="400" w:firstLineChars="200"/>
        <w:contextualSpacing/>
        <w:jc w:val="both"/>
        <w:rPr>
          <w:rFonts w:ascii="宋体" w:hAnsi="宋体" w:cs="宋体"/>
        </w:rPr>
      </w:pPr>
      <w:r>
        <w:rPr>
          <w:rFonts w:hint="eastAsia" w:ascii="宋体" w:hAnsi="宋体" w:cs="宋体"/>
        </w:rPr>
        <w:t>十、在相关案件查办时，本公司将自觉履行配合提供证据、作证的义务，如果发生拒不配合监委调查工作的情形，采购人有权对本公司采取警示约谈、降低考核评价分数、降低供货份额、缩短服务期限、终止或解除合同等多种处理措施。</w:t>
      </w:r>
    </w:p>
    <w:p w14:paraId="34B54384">
      <w:pPr>
        <w:adjustRightInd w:val="0"/>
        <w:ind w:firstLine="400" w:firstLineChars="200"/>
        <w:contextualSpacing/>
        <w:jc w:val="both"/>
        <w:rPr>
          <w:rFonts w:ascii="宋体" w:hAnsi="宋体" w:cs="宋体"/>
        </w:rPr>
      </w:pPr>
      <w:r>
        <w:rPr>
          <w:rFonts w:hint="eastAsia" w:ascii="宋体" w:hAnsi="宋体" w:cs="宋体"/>
        </w:rPr>
        <w:t>十一、若本公司被列入“存在行贿行为供应商名单”，本公司自愿接受采购人根据采购人及其上级管理单位内部管理的相关制度，对本公司实施禁入措施、处理措施或进行严格资格审查。</w:t>
      </w:r>
    </w:p>
    <w:p w14:paraId="28EBFF03">
      <w:pPr>
        <w:adjustRightInd w:val="0"/>
        <w:ind w:firstLine="400" w:firstLineChars="200"/>
        <w:contextualSpacing/>
        <w:jc w:val="both"/>
        <w:rPr>
          <w:rFonts w:ascii="宋体" w:hAnsi="宋体" w:cs="宋体"/>
        </w:rPr>
      </w:pPr>
      <w:r>
        <w:rPr>
          <w:rFonts w:hint="eastAsia" w:ascii="宋体" w:hAnsi="宋体" w:cs="宋体"/>
        </w:rPr>
        <w:t>十二、同意将采购项目涉及真实的核心技术资料（香精香料配方、软件源代码等）铅封交给采购人委托的律师事务所保存，本公司保证技术资料的真实有效。若在履约期间发现本公司法定代表人、主要负责人或者其他相关人员向烟草行业干部职工行贿的，采购人有权单方解除合同并不负违约责任，并有权将铅封的技术资料交给其他供应商使用。</w:t>
      </w:r>
    </w:p>
    <w:p w14:paraId="00A2EAB0">
      <w:pPr>
        <w:adjustRightInd w:val="0"/>
        <w:ind w:firstLine="400" w:firstLineChars="200"/>
        <w:contextualSpacing/>
        <w:jc w:val="both"/>
        <w:rPr>
          <w:rFonts w:ascii="宋体" w:hAnsi="宋体" w:cs="宋体"/>
        </w:rPr>
      </w:pPr>
      <w:r>
        <w:rPr>
          <w:rFonts w:hint="eastAsia" w:ascii="宋体" w:hAnsi="宋体" w:cs="宋体"/>
        </w:rPr>
        <w:t>本公司法定代表人、实际控制人、主要责任人、项目负责人及相关工作人员的相关行为，均自愿接受上述承诺的约束。</w:t>
      </w:r>
    </w:p>
    <w:p w14:paraId="05121831">
      <w:pPr>
        <w:adjustRightInd w:val="0"/>
        <w:contextualSpacing/>
        <w:jc w:val="both"/>
        <w:rPr>
          <w:rFonts w:ascii="宋体" w:hAnsi="宋体" w:cs="宋体"/>
        </w:rPr>
      </w:pPr>
    </w:p>
    <w:p w14:paraId="2236B066">
      <w:pPr>
        <w:adjustRightInd w:val="0"/>
        <w:contextualSpacing/>
        <w:jc w:val="both"/>
        <w:rPr>
          <w:rFonts w:ascii="宋体" w:hAnsi="宋体" w:cs="宋体"/>
        </w:rPr>
      </w:pPr>
    </w:p>
    <w:p w14:paraId="2719F88E">
      <w:pPr>
        <w:adjustRightInd w:val="0"/>
        <w:contextualSpacing/>
        <w:jc w:val="both"/>
        <w:rPr>
          <w:rFonts w:ascii="宋体" w:hAnsi="宋体" w:cs="宋体"/>
        </w:rPr>
      </w:pPr>
    </w:p>
    <w:p w14:paraId="2A611C51">
      <w:pPr>
        <w:adjustRightInd w:val="0"/>
        <w:contextualSpacing/>
        <w:jc w:val="right"/>
        <w:rPr>
          <w:rFonts w:ascii="宋体" w:hAnsi="宋体" w:cs="宋体"/>
        </w:rPr>
      </w:pPr>
      <w:r>
        <w:rPr>
          <w:rFonts w:hint="eastAsia" w:ascii="宋体" w:hAnsi="宋体" w:cs="宋体"/>
        </w:rPr>
        <w:t xml:space="preserve">采购响应人：   （盖章）         </w:t>
      </w:r>
    </w:p>
    <w:p w14:paraId="6A881E83">
      <w:pPr>
        <w:adjustRightInd w:val="0"/>
        <w:contextualSpacing/>
        <w:jc w:val="right"/>
        <w:rPr>
          <w:rFonts w:ascii="宋体" w:hAnsi="宋体" w:cs="宋体"/>
        </w:rPr>
      </w:pPr>
      <w:r>
        <w:rPr>
          <w:rFonts w:hint="eastAsia" w:ascii="宋体" w:hAnsi="宋体" w:cs="宋体"/>
        </w:rPr>
        <w:t xml:space="preserve">法定代表人或其授权代表人：   （签字/签章）         </w:t>
      </w:r>
    </w:p>
    <w:p w14:paraId="429D1196">
      <w:pPr>
        <w:adjustRightInd w:val="0"/>
        <w:contextualSpacing/>
        <w:jc w:val="right"/>
        <w:rPr>
          <w:rFonts w:ascii="宋体" w:hAnsi="宋体" w:cs="宋体"/>
        </w:rPr>
      </w:pPr>
      <w:r>
        <w:rPr>
          <w:rFonts w:hint="eastAsia" w:ascii="宋体" w:hAnsi="宋体" w:cs="宋体"/>
        </w:rPr>
        <w:t xml:space="preserve">                             日期：  年  月  日</w:t>
      </w:r>
    </w:p>
    <w:p w14:paraId="1EB882C2">
      <w:pPr>
        <w:adjustRightInd w:val="0"/>
        <w:contextualSpacing/>
        <w:jc w:val="right"/>
        <w:rPr>
          <w:rFonts w:ascii="宋体" w:hAnsi="宋体" w:cs="宋体"/>
        </w:rPr>
      </w:pPr>
    </w:p>
    <w:p w14:paraId="277D0918">
      <w:pPr>
        <w:adjustRightInd w:val="0"/>
        <w:contextualSpacing/>
        <w:jc w:val="right"/>
        <w:rPr>
          <w:rFonts w:ascii="宋体" w:hAnsi="宋体" w:cs="宋体"/>
        </w:rPr>
      </w:pPr>
    </w:p>
    <w:bookmarkEnd w:id="211"/>
    <w:p w14:paraId="1443ABEA">
      <w:pPr>
        <w:pStyle w:val="6"/>
        <w:tabs>
          <w:tab w:val="left" w:pos="1260"/>
        </w:tabs>
        <w:spacing w:line="360" w:lineRule="auto"/>
        <w:jc w:val="center"/>
        <w:rPr>
          <w:rFonts w:ascii="方正小标宋简体" w:hAnsi="方正小标宋简体" w:eastAsia="方正小标宋简体" w:cs="方正小标宋简体"/>
          <w:b w:val="0"/>
          <w:bCs w:val="0"/>
        </w:rPr>
      </w:pPr>
      <w:r>
        <w:rPr>
          <w:rFonts w:hint="eastAsia" w:ascii="宋体" w:hAnsi="宋体"/>
          <w:sz w:val="30"/>
          <w:szCs w:val="30"/>
        </w:rPr>
        <w:t>（七）</w:t>
      </w:r>
      <w:r>
        <w:rPr>
          <w:rFonts w:hint="eastAsia" w:ascii="方正小标宋简体" w:hAnsi="方正小标宋简体" w:eastAsia="方正小标宋简体" w:cs="方正小标宋简体"/>
          <w:b w:val="0"/>
          <w:bCs w:val="0"/>
        </w:rPr>
        <w:t>与招标人/采购人干部职工不存在关联关系的承诺书</w:t>
      </w:r>
    </w:p>
    <w:p w14:paraId="688B1E1C">
      <w:pPr>
        <w:rPr>
          <w:rFonts w:ascii="宋体" w:hAnsi="宋体" w:cs="宋体"/>
        </w:rPr>
      </w:pPr>
    </w:p>
    <w:p w14:paraId="3C0F141B">
      <w:pPr>
        <w:spacing w:line="360" w:lineRule="auto"/>
        <w:rPr>
          <w:rFonts w:ascii="宋体" w:hAnsi="宋体" w:cs="宋体"/>
        </w:rPr>
      </w:pPr>
      <w:r>
        <w:rPr>
          <w:rFonts w:hint="eastAsia" w:ascii="宋体" w:hAnsi="宋体" w:cs="宋体"/>
        </w:rPr>
        <w:t>红云红河烟草（集团）有限责任公司：</w:t>
      </w:r>
    </w:p>
    <w:p w14:paraId="40C3F2D3">
      <w:pPr>
        <w:ind w:firstLine="400" w:firstLineChars="200"/>
        <w:rPr>
          <w:rFonts w:ascii="宋体" w:hAnsi="宋体" w:cs="宋体"/>
        </w:rPr>
      </w:pPr>
      <w:r>
        <w:rPr>
          <w:rFonts w:hint="eastAsia" w:ascii="宋体" w:hAnsi="宋体" w:cs="宋体"/>
        </w:rPr>
        <w:t>我司自愿承诺如下：我司不属于“红云红河烟草（集团）有限责任公司干部职工本人及干部亲属（本人的配偶、子女及其配偶）注册个体工商户、个人独资企业或者合伙企业，投资的非上市公司、企业”，与红云红河烟草（集团）有限责任公司干部职工本人及干部亲属不存在上述关联关系。</w:t>
      </w:r>
    </w:p>
    <w:p w14:paraId="384765F0">
      <w:pPr>
        <w:rPr>
          <w:rFonts w:ascii="宋体" w:hAnsi="宋体" w:cs="宋体"/>
        </w:rPr>
      </w:pPr>
    </w:p>
    <w:p w14:paraId="261E8780">
      <w:pPr>
        <w:rPr>
          <w:rFonts w:ascii="宋体" w:hAnsi="宋体" w:cs="宋体"/>
        </w:rPr>
      </w:pPr>
    </w:p>
    <w:p w14:paraId="7C40EEC5">
      <w:pPr>
        <w:rPr>
          <w:rFonts w:ascii="宋体" w:hAnsi="宋体" w:cs="宋体"/>
        </w:rPr>
      </w:pPr>
    </w:p>
    <w:p w14:paraId="62150163">
      <w:pPr>
        <w:rPr>
          <w:rFonts w:ascii="宋体" w:hAnsi="宋体" w:cs="宋体"/>
        </w:rPr>
      </w:pPr>
      <w:r>
        <w:rPr>
          <w:rFonts w:hint="eastAsia" w:ascii="宋体" w:hAnsi="宋体" w:cs="宋体"/>
        </w:rPr>
        <w:t>投 标 人：                     （盖单位章）</w:t>
      </w:r>
    </w:p>
    <w:p w14:paraId="5AE31CB0">
      <w:pPr>
        <w:rPr>
          <w:rFonts w:ascii="宋体" w:hAnsi="宋体" w:cs="宋体"/>
        </w:rPr>
      </w:pPr>
      <w:r>
        <w:rPr>
          <w:rFonts w:hint="eastAsia" w:ascii="宋体" w:hAnsi="宋体" w:cs="宋体"/>
        </w:rPr>
        <w:t>法定代表人或其委托代理人：         （签字或盖章）</w:t>
      </w:r>
    </w:p>
    <w:p w14:paraId="20974DB8">
      <w:pPr>
        <w:rPr>
          <w:rFonts w:ascii="宋体" w:hAnsi="宋体" w:cs="宋体"/>
          <w:b/>
          <w:bCs/>
          <w:sz w:val="30"/>
          <w:szCs w:val="30"/>
          <w:u w:val="single"/>
        </w:rPr>
      </w:pPr>
      <w:r>
        <w:rPr>
          <w:rFonts w:hint="eastAsia" w:ascii="宋体" w:hAnsi="宋体" w:cs="宋体"/>
        </w:rPr>
        <w:t>日期：      年      月      日</w:t>
      </w:r>
    </w:p>
    <w:p w14:paraId="678D4862">
      <w:pPr>
        <w:rPr>
          <w:rFonts w:ascii="宋体" w:hAnsi="宋体" w:cs="宋体"/>
          <w:b/>
          <w:bCs/>
          <w:sz w:val="30"/>
          <w:szCs w:val="30"/>
        </w:rPr>
      </w:pPr>
      <w:r>
        <w:rPr>
          <w:rFonts w:hint="eastAsia" w:ascii="宋体" w:hAnsi="宋体" w:cs="宋体"/>
          <w:b/>
          <w:bCs/>
          <w:sz w:val="30"/>
          <w:szCs w:val="30"/>
        </w:rPr>
        <w:br w:type="page"/>
      </w:r>
    </w:p>
    <w:p w14:paraId="321ECED0">
      <w:pPr>
        <w:pStyle w:val="5"/>
        <w:spacing w:line="415" w:lineRule="auto"/>
        <w:jc w:val="center"/>
        <w:rPr>
          <w:rFonts w:ascii="宋体" w:hAnsi="宋体" w:eastAsia="宋体"/>
          <w:sz w:val="30"/>
          <w:szCs w:val="30"/>
        </w:rPr>
      </w:pPr>
      <w:bookmarkStart w:id="212" w:name="_Toc14943"/>
      <w:r>
        <w:rPr>
          <w:rFonts w:hint="eastAsia" w:ascii="宋体" w:hAnsi="宋体" w:eastAsia="宋体"/>
          <w:sz w:val="30"/>
          <w:szCs w:val="30"/>
        </w:rPr>
        <w:t>（八）与招标人不存在利害关系承诺函</w:t>
      </w:r>
      <w:bookmarkEnd w:id="212"/>
    </w:p>
    <w:p w14:paraId="62F0DB06">
      <w:pPr>
        <w:overflowPunct w:val="0"/>
        <w:autoSpaceDE w:val="0"/>
        <w:autoSpaceDN w:val="0"/>
        <w:adjustRightInd w:val="0"/>
        <w:spacing w:line="360" w:lineRule="auto"/>
        <w:textAlignment w:val="baseline"/>
        <w:rPr>
          <w:rFonts w:ascii="宋体" w:hAnsi="宋体" w:cs="宋体"/>
        </w:rPr>
      </w:pPr>
      <w:r>
        <w:rPr>
          <w:rFonts w:hint="eastAsia" w:ascii="宋体" w:hAnsi="宋体" w:cs="宋体"/>
        </w:rPr>
        <w:t>红云红河烟草（集团）有限责任公司：</w:t>
      </w:r>
    </w:p>
    <w:p w14:paraId="4D0F70BC">
      <w:pPr>
        <w:overflowPunct w:val="0"/>
        <w:autoSpaceDE w:val="0"/>
        <w:autoSpaceDN w:val="0"/>
        <w:adjustRightInd w:val="0"/>
        <w:spacing w:line="360" w:lineRule="auto"/>
        <w:ind w:firstLine="400" w:firstLineChars="200"/>
        <w:textAlignment w:val="baseline"/>
        <w:rPr>
          <w:rFonts w:ascii="宋体" w:hAnsi="宋体" w:cs="宋体"/>
        </w:rPr>
      </w:pPr>
      <w:r>
        <w:rPr>
          <w:rFonts w:hint="eastAsia" w:ascii="宋体" w:hAnsi="宋体" w:cs="宋体"/>
        </w:rPr>
        <w:t>我单位不属于与招标人存在利害关系可能影响招标公正性的法人、其他组织或者个人；也不存在与其余投标人单位负责人为同一人或者存在控股、管理关系的不同单位。</w:t>
      </w:r>
    </w:p>
    <w:p w14:paraId="6464CA4A">
      <w:pPr>
        <w:pStyle w:val="33"/>
        <w:ind w:left="5000"/>
        <w:rPr>
          <w:rFonts w:hAnsi="宋体" w:cs="宋体"/>
        </w:rPr>
      </w:pPr>
    </w:p>
    <w:p w14:paraId="09B16B9A">
      <w:pPr>
        <w:pStyle w:val="33"/>
        <w:ind w:left="5000"/>
        <w:rPr>
          <w:rFonts w:hAnsi="宋体" w:cs="宋体"/>
        </w:rPr>
      </w:pPr>
    </w:p>
    <w:p w14:paraId="7679A9F1">
      <w:pPr>
        <w:pStyle w:val="33"/>
        <w:ind w:left="5000"/>
        <w:rPr>
          <w:rFonts w:hAnsi="宋体" w:cs="宋体"/>
        </w:rPr>
      </w:pPr>
    </w:p>
    <w:p w14:paraId="347968D4">
      <w:pPr>
        <w:rPr>
          <w:rFonts w:ascii="宋体" w:hAnsi="宋体" w:cs="宋体"/>
          <w:sz w:val="21"/>
        </w:rPr>
      </w:pPr>
    </w:p>
    <w:p w14:paraId="30B7649C">
      <w:pPr>
        <w:spacing w:line="480" w:lineRule="auto"/>
        <w:ind w:firstLine="1082" w:firstLineChars="541"/>
        <w:jc w:val="right"/>
        <w:rPr>
          <w:rFonts w:ascii="宋体" w:hAnsi="宋体" w:cs="宋体"/>
          <w:bCs/>
        </w:rPr>
      </w:pPr>
      <w:r>
        <w:rPr>
          <w:rFonts w:hint="eastAsia" w:ascii="宋体" w:hAnsi="宋体" w:cs="宋体"/>
          <w:bCs/>
        </w:rPr>
        <w:t>投标人：</w:t>
      </w:r>
      <w:r>
        <w:rPr>
          <w:rFonts w:hint="eastAsia" w:ascii="宋体" w:hAnsi="宋体" w:cs="宋体"/>
          <w:bCs/>
          <w:u w:val="single"/>
        </w:rPr>
        <w:t xml:space="preserve">            </w:t>
      </w:r>
      <w:r>
        <w:rPr>
          <w:rFonts w:hint="eastAsia" w:ascii="宋体" w:hAnsi="宋体" w:cs="宋体"/>
          <w:bCs/>
          <w:u w:val="single"/>
        </w:rPr>
        <w:tab/>
      </w:r>
      <w:r>
        <w:rPr>
          <w:rFonts w:hint="eastAsia" w:ascii="宋体" w:hAnsi="宋体" w:cs="宋体"/>
          <w:bCs/>
          <w:u w:val="single"/>
        </w:rPr>
        <w:tab/>
      </w:r>
      <w:r>
        <w:rPr>
          <w:rFonts w:hint="eastAsia" w:ascii="宋体" w:hAnsi="宋体" w:cs="宋体"/>
          <w:bCs/>
          <w:u w:val="single"/>
        </w:rPr>
        <w:tab/>
      </w:r>
      <w:r>
        <w:rPr>
          <w:rFonts w:hint="eastAsia" w:ascii="宋体" w:hAnsi="宋体" w:cs="宋体"/>
          <w:bCs/>
          <w:u w:val="single"/>
        </w:rPr>
        <w:tab/>
      </w:r>
      <w:r>
        <w:rPr>
          <w:rFonts w:hint="eastAsia" w:ascii="宋体" w:hAnsi="宋体" w:cs="宋体"/>
          <w:bCs/>
          <w:u w:val="single"/>
        </w:rPr>
        <w:t xml:space="preserve">  </w:t>
      </w:r>
      <w:r>
        <w:rPr>
          <w:rFonts w:hint="eastAsia" w:ascii="宋体" w:hAnsi="宋体" w:cs="宋体"/>
          <w:bCs/>
        </w:rPr>
        <w:t>(盖章)</w:t>
      </w:r>
    </w:p>
    <w:p w14:paraId="069B751D">
      <w:pPr>
        <w:spacing w:line="480" w:lineRule="auto"/>
        <w:ind w:firstLine="1082" w:firstLineChars="541"/>
        <w:jc w:val="right"/>
        <w:rPr>
          <w:rFonts w:ascii="宋体" w:hAnsi="宋体" w:cs="宋体"/>
          <w:bCs/>
        </w:rPr>
      </w:pPr>
      <w:r>
        <w:rPr>
          <w:rFonts w:hint="eastAsia" w:ascii="宋体" w:hAnsi="宋体" w:cs="宋体"/>
          <w:bCs/>
        </w:rPr>
        <w:t>法定代表人或其委托代理人：</w:t>
      </w:r>
      <w:r>
        <w:rPr>
          <w:rFonts w:hint="eastAsia" w:ascii="宋体" w:hAnsi="宋体" w:cs="宋体"/>
          <w:bCs/>
          <w:u w:val="single"/>
        </w:rPr>
        <w:t xml:space="preserve">      </w:t>
      </w:r>
      <w:r>
        <w:rPr>
          <w:rFonts w:hint="eastAsia" w:ascii="宋体" w:hAnsi="宋体" w:cs="宋体"/>
          <w:bCs/>
          <w:u w:val="single"/>
        </w:rPr>
        <w:tab/>
      </w:r>
      <w:r>
        <w:rPr>
          <w:rFonts w:hint="eastAsia" w:ascii="宋体" w:hAnsi="宋体" w:cs="宋体"/>
          <w:bCs/>
        </w:rPr>
        <w:t>(签字或盖章)</w:t>
      </w:r>
    </w:p>
    <w:p w14:paraId="14E8951B">
      <w:pPr>
        <w:spacing w:line="440" w:lineRule="exact"/>
        <w:jc w:val="right"/>
        <w:rPr>
          <w:rFonts w:ascii="宋体" w:hAnsi="宋体" w:cs="宋体"/>
          <w:sz w:val="21"/>
          <w:szCs w:val="21"/>
        </w:rPr>
      </w:pPr>
      <w:r>
        <w:rPr>
          <w:rFonts w:hint="eastAsia" w:ascii="宋体" w:hAnsi="宋体" w:cs="宋体"/>
          <w:bCs/>
        </w:rPr>
        <w:t>日期：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39ACEFCC">
      <w:pPr>
        <w:spacing w:line="440" w:lineRule="exact"/>
        <w:jc w:val="right"/>
        <w:rPr>
          <w:rFonts w:ascii="宋体" w:hAnsi="宋体" w:cs="宋体"/>
          <w:sz w:val="21"/>
          <w:szCs w:val="21"/>
        </w:rPr>
      </w:pPr>
    </w:p>
    <w:p w14:paraId="3A78276C">
      <w:pPr>
        <w:ind w:firstLine="400" w:firstLineChars="200"/>
        <w:jc w:val="center"/>
        <w:rPr>
          <w:rFonts w:ascii="宋体" w:hAnsi="宋体" w:cs="宋体"/>
          <w:sz w:val="21"/>
          <w:szCs w:val="21"/>
          <w:u w:val="single"/>
        </w:rPr>
      </w:pPr>
      <w:r>
        <w:rPr>
          <w:rFonts w:hint="eastAsia" w:ascii="宋体" w:hAnsi="宋体" w:cs="宋体"/>
        </w:rPr>
        <w:br w:type="page"/>
      </w:r>
    </w:p>
    <w:p w14:paraId="2E8D2A8F">
      <w:pPr>
        <w:pStyle w:val="5"/>
        <w:spacing w:line="415" w:lineRule="auto"/>
        <w:jc w:val="center"/>
        <w:rPr>
          <w:rFonts w:ascii="宋体" w:hAnsi="宋体" w:eastAsia="宋体"/>
          <w:sz w:val="30"/>
          <w:szCs w:val="30"/>
        </w:rPr>
      </w:pPr>
      <w:bookmarkStart w:id="213" w:name="_Toc177639528"/>
      <w:bookmarkStart w:id="214" w:name="_Toc12766"/>
      <w:r>
        <w:rPr>
          <w:rFonts w:hint="eastAsia" w:ascii="宋体" w:hAnsi="宋体" w:eastAsia="宋体"/>
          <w:sz w:val="30"/>
          <w:szCs w:val="30"/>
        </w:rPr>
        <w:t>（九）关联企业情况声明</w:t>
      </w:r>
      <w:bookmarkEnd w:id="213"/>
      <w:bookmarkEnd w:id="214"/>
    </w:p>
    <w:p w14:paraId="78A67EFF">
      <w:pPr>
        <w:spacing w:line="360" w:lineRule="auto"/>
        <w:rPr>
          <w:rFonts w:ascii="仿宋" w:hAnsi="仿宋" w:eastAsia="仿宋"/>
          <w:b/>
          <w:sz w:val="21"/>
          <w:szCs w:val="21"/>
        </w:rPr>
      </w:pPr>
    </w:p>
    <w:p w14:paraId="2662EEAE">
      <w:pPr>
        <w:overflowPunct w:val="0"/>
        <w:autoSpaceDE w:val="0"/>
        <w:autoSpaceDN w:val="0"/>
        <w:adjustRightInd w:val="0"/>
        <w:spacing w:line="360" w:lineRule="auto"/>
        <w:ind w:firstLine="420" w:firstLineChars="200"/>
        <w:textAlignment w:val="baseline"/>
        <w:rPr>
          <w:rFonts w:ascii="宋体" w:hAnsi="宋体" w:cs="宋体"/>
          <w:sz w:val="21"/>
          <w:szCs w:val="21"/>
        </w:rPr>
      </w:pPr>
      <w:r>
        <w:rPr>
          <w:rFonts w:hint="eastAsia" w:ascii="宋体" w:hAnsi="宋体" w:cs="宋体"/>
          <w:sz w:val="21"/>
          <w:szCs w:val="21"/>
        </w:rPr>
        <w:t xml:space="preserve">致：                    </w:t>
      </w:r>
    </w:p>
    <w:p w14:paraId="3C6B4E5F">
      <w:pPr>
        <w:overflowPunct w:val="0"/>
        <w:autoSpaceDE w:val="0"/>
        <w:autoSpaceDN w:val="0"/>
        <w:adjustRightInd w:val="0"/>
        <w:spacing w:after="0" w:line="360" w:lineRule="auto"/>
        <w:ind w:firstLine="420" w:firstLineChars="200"/>
        <w:textAlignment w:val="baseline"/>
        <w:rPr>
          <w:rFonts w:ascii="宋体" w:hAnsi="宋体" w:eastAsia="仿宋" w:cs="宋体"/>
          <w:sz w:val="21"/>
          <w:szCs w:val="21"/>
        </w:rPr>
      </w:pPr>
      <w:r>
        <w:rPr>
          <w:rFonts w:hint="eastAsia" w:ascii="宋体" w:hAnsi="宋体" w:eastAsia="仿宋" w:cs="宋体"/>
          <w:sz w:val="21"/>
          <w:szCs w:val="21"/>
        </w:rPr>
        <w:t>我公司郑重声明如下：</w:t>
      </w:r>
    </w:p>
    <w:p w14:paraId="7BAA5F16">
      <w:pPr>
        <w:overflowPunct w:val="0"/>
        <w:autoSpaceDE w:val="0"/>
        <w:autoSpaceDN w:val="0"/>
        <w:adjustRightInd w:val="0"/>
        <w:spacing w:after="0" w:line="360" w:lineRule="auto"/>
        <w:ind w:firstLine="420" w:firstLineChars="200"/>
        <w:textAlignment w:val="baseline"/>
        <w:rPr>
          <w:rFonts w:ascii="宋体" w:hAnsi="宋体" w:eastAsia="仿宋" w:cs="宋体"/>
          <w:sz w:val="21"/>
          <w:szCs w:val="21"/>
        </w:rPr>
      </w:pPr>
      <w:r>
        <w:rPr>
          <w:rFonts w:hint="eastAsia" w:ascii="宋体" w:hAnsi="宋体" w:eastAsia="仿宋" w:cs="宋体"/>
          <w:sz w:val="21"/>
          <w:szCs w:val="21"/>
        </w:rPr>
        <w:t>1．投标人名称：</w:t>
      </w:r>
      <w:r>
        <w:rPr>
          <w:rFonts w:hint="eastAsia" w:ascii="宋体" w:hAnsi="宋体" w:eastAsia="仿宋" w:cs="宋体"/>
          <w:sz w:val="21"/>
          <w:szCs w:val="21"/>
          <w:u w:val="single"/>
        </w:rPr>
        <w:t xml:space="preserve">      （按营业执照的全称填写）     </w:t>
      </w:r>
    </w:p>
    <w:p w14:paraId="520EC142">
      <w:pPr>
        <w:overflowPunct w:val="0"/>
        <w:autoSpaceDE w:val="0"/>
        <w:autoSpaceDN w:val="0"/>
        <w:adjustRightInd w:val="0"/>
        <w:spacing w:after="0" w:line="360" w:lineRule="auto"/>
        <w:ind w:firstLine="420" w:firstLineChars="200"/>
        <w:textAlignment w:val="baseline"/>
        <w:rPr>
          <w:rFonts w:ascii="宋体" w:hAnsi="宋体" w:eastAsia="仿宋" w:cs="宋体"/>
          <w:sz w:val="21"/>
          <w:szCs w:val="21"/>
        </w:rPr>
      </w:pPr>
      <w:r>
        <w:rPr>
          <w:rFonts w:hint="eastAsia" w:ascii="宋体" w:hAnsi="宋体" w:eastAsia="仿宋" w:cs="宋体"/>
          <w:sz w:val="21"/>
          <w:szCs w:val="21"/>
        </w:rPr>
        <w:t>2．本公司的直接上级控股/管理单位和直接下级控股/管理单位情况：</w:t>
      </w:r>
    </w:p>
    <w:tbl>
      <w:tblPr>
        <w:tblStyle w:val="62"/>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701"/>
        <w:gridCol w:w="1346"/>
        <w:gridCol w:w="1781"/>
        <w:gridCol w:w="1917"/>
      </w:tblGrid>
      <w:tr w14:paraId="33CB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8" w:type="dxa"/>
            <w:tcMar>
              <w:top w:w="28" w:type="dxa"/>
              <w:left w:w="28" w:type="dxa"/>
              <w:bottom w:w="28" w:type="dxa"/>
              <w:right w:w="28" w:type="dxa"/>
            </w:tcMar>
            <w:vAlign w:val="center"/>
          </w:tcPr>
          <w:p w14:paraId="1B18DAF8">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直接上级控股/管理单位名称</w:t>
            </w:r>
          </w:p>
        </w:tc>
        <w:tc>
          <w:tcPr>
            <w:tcW w:w="1701" w:type="dxa"/>
            <w:tcMar>
              <w:top w:w="28" w:type="dxa"/>
              <w:left w:w="28" w:type="dxa"/>
              <w:bottom w:w="28" w:type="dxa"/>
              <w:right w:w="28" w:type="dxa"/>
            </w:tcMar>
            <w:vAlign w:val="center"/>
          </w:tcPr>
          <w:p w14:paraId="23951557">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对本单位的控股</w:t>
            </w:r>
          </w:p>
          <w:p w14:paraId="29607BC1">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（出资）比例（%）</w:t>
            </w:r>
          </w:p>
        </w:tc>
        <w:tc>
          <w:tcPr>
            <w:tcW w:w="1346" w:type="dxa"/>
            <w:tcMar>
              <w:top w:w="28" w:type="dxa"/>
              <w:left w:w="28" w:type="dxa"/>
              <w:bottom w:w="28" w:type="dxa"/>
              <w:right w:w="28" w:type="dxa"/>
            </w:tcMar>
            <w:vAlign w:val="center"/>
          </w:tcPr>
          <w:p w14:paraId="75786A16">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单位负责人</w:t>
            </w:r>
          </w:p>
        </w:tc>
        <w:tc>
          <w:tcPr>
            <w:tcW w:w="1781" w:type="dxa"/>
            <w:tcMar>
              <w:top w:w="28" w:type="dxa"/>
              <w:left w:w="28" w:type="dxa"/>
              <w:bottom w:w="28" w:type="dxa"/>
              <w:right w:w="28" w:type="dxa"/>
            </w:tcMar>
            <w:vAlign w:val="center"/>
          </w:tcPr>
          <w:p w14:paraId="278AB911">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联系人及电话</w:t>
            </w:r>
          </w:p>
        </w:tc>
        <w:tc>
          <w:tcPr>
            <w:tcW w:w="1917" w:type="dxa"/>
            <w:tcMar>
              <w:top w:w="28" w:type="dxa"/>
              <w:left w:w="28" w:type="dxa"/>
              <w:bottom w:w="28" w:type="dxa"/>
              <w:right w:w="28" w:type="dxa"/>
            </w:tcMar>
            <w:vAlign w:val="center"/>
          </w:tcPr>
          <w:p w14:paraId="0FEA8A62">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单位地址</w:t>
            </w:r>
          </w:p>
        </w:tc>
      </w:tr>
      <w:tr w14:paraId="1C6D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8" w:type="dxa"/>
            <w:tcMar>
              <w:top w:w="28" w:type="dxa"/>
              <w:left w:w="28" w:type="dxa"/>
              <w:bottom w:w="28" w:type="dxa"/>
              <w:right w:w="28" w:type="dxa"/>
            </w:tcMar>
            <w:vAlign w:val="center"/>
          </w:tcPr>
          <w:p w14:paraId="2466634A">
            <w:pPr>
              <w:spacing w:line="240" w:lineRule="exact"/>
              <w:contextualSpacing/>
              <w:jc w:val="center"/>
              <w:rPr>
                <w:rFonts w:asciiTheme="minorEastAsia" w:hAnsiTheme="minorEastAsia" w:eastAsiaTheme="minorEastAsia"/>
                <w:sz w:val="21"/>
                <w:szCs w:val="21"/>
              </w:rPr>
            </w:pPr>
          </w:p>
        </w:tc>
        <w:tc>
          <w:tcPr>
            <w:tcW w:w="1701" w:type="dxa"/>
            <w:tcMar>
              <w:top w:w="28" w:type="dxa"/>
              <w:left w:w="28" w:type="dxa"/>
              <w:bottom w:w="28" w:type="dxa"/>
              <w:right w:w="28" w:type="dxa"/>
            </w:tcMar>
            <w:vAlign w:val="center"/>
          </w:tcPr>
          <w:p w14:paraId="06FBD5AB">
            <w:pPr>
              <w:spacing w:line="240" w:lineRule="exact"/>
              <w:contextualSpacing/>
              <w:jc w:val="center"/>
              <w:rPr>
                <w:rFonts w:asciiTheme="minorEastAsia" w:hAnsiTheme="minorEastAsia" w:eastAsiaTheme="minorEastAsia"/>
                <w:sz w:val="21"/>
                <w:szCs w:val="21"/>
              </w:rPr>
            </w:pPr>
          </w:p>
        </w:tc>
        <w:tc>
          <w:tcPr>
            <w:tcW w:w="1346" w:type="dxa"/>
            <w:tcMar>
              <w:top w:w="28" w:type="dxa"/>
              <w:left w:w="28" w:type="dxa"/>
              <w:bottom w:w="28" w:type="dxa"/>
              <w:right w:w="28" w:type="dxa"/>
            </w:tcMar>
            <w:vAlign w:val="center"/>
          </w:tcPr>
          <w:p w14:paraId="0640B50D">
            <w:pPr>
              <w:spacing w:line="240" w:lineRule="exact"/>
              <w:contextualSpacing/>
              <w:jc w:val="center"/>
              <w:rPr>
                <w:rFonts w:asciiTheme="minorEastAsia" w:hAnsiTheme="minorEastAsia" w:eastAsiaTheme="minorEastAsia"/>
                <w:sz w:val="21"/>
                <w:szCs w:val="21"/>
              </w:rPr>
            </w:pPr>
          </w:p>
        </w:tc>
        <w:tc>
          <w:tcPr>
            <w:tcW w:w="1781" w:type="dxa"/>
            <w:tcMar>
              <w:top w:w="28" w:type="dxa"/>
              <w:left w:w="28" w:type="dxa"/>
              <w:bottom w:w="28" w:type="dxa"/>
              <w:right w:w="28" w:type="dxa"/>
            </w:tcMar>
            <w:vAlign w:val="center"/>
          </w:tcPr>
          <w:p w14:paraId="7B6E627A">
            <w:pPr>
              <w:spacing w:line="240" w:lineRule="exact"/>
              <w:contextualSpacing/>
              <w:jc w:val="center"/>
              <w:rPr>
                <w:rFonts w:asciiTheme="minorEastAsia" w:hAnsiTheme="minorEastAsia" w:eastAsiaTheme="minorEastAsia"/>
                <w:sz w:val="21"/>
                <w:szCs w:val="21"/>
              </w:rPr>
            </w:pPr>
          </w:p>
        </w:tc>
        <w:tc>
          <w:tcPr>
            <w:tcW w:w="1917" w:type="dxa"/>
            <w:tcMar>
              <w:top w:w="28" w:type="dxa"/>
              <w:left w:w="28" w:type="dxa"/>
              <w:bottom w:w="28" w:type="dxa"/>
              <w:right w:w="28" w:type="dxa"/>
            </w:tcMar>
            <w:vAlign w:val="center"/>
          </w:tcPr>
          <w:p w14:paraId="54C4C959">
            <w:pPr>
              <w:spacing w:line="240" w:lineRule="exact"/>
              <w:contextualSpacing/>
              <w:jc w:val="center"/>
              <w:rPr>
                <w:rFonts w:asciiTheme="minorEastAsia" w:hAnsiTheme="minorEastAsia" w:eastAsiaTheme="minorEastAsia"/>
                <w:sz w:val="21"/>
                <w:szCs w:val="21"/>
              </w:rPr>
            </w:pPr>
          </w:p>
        </w:tc>
      </w:tr>
      <w:tr w14:paraId="3F7F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8" w:type="dxa"/>
            <w:tcMar>
              <w:top w:w="28" w:type="dxa"/>
              <w:left w:w="28" w:type="dxa"/>
              <w:bottom w:w="28" w:type="dxa"/>
              <w:right w:w="28" w:type="dxa"/>
            </w:tcMar>
            <w:vAlign w:val="center"/>
          </w:tcPr>
          <w:p w14:paraId="23393AB2">
            <w:pPr>
              <w:spacing w:line="240" w:lineRule="exact"/>
              <w:contextualSpacing/>
              <w:jc w:val="center"/>
              <w:rPr>
                <w:rFonts w:asciiTheme="minorEastAsia" w:hAnsiTheme="minorEastAsia" w:eastAsiaTheme="minorEastAsia"/>
                <w:sz w:val="21"/>
                <w:szCs w:val="21"/>
              </w:rPr>
            </w:pPr>
          </w:p>
        </w:tc>
        <w:tc>
          <w:tcPr>
            <w:tcW w:w="1701" w:type="dxa"/>
            <w:tcMar>
              <w:top w:w="28" w:type="dxa"/>
              <w:left w:w="28" w:type="dxa"/>
              <w:bottom w:w="28" w:type="dxa"/>
              <w:right w:w="28" w:type="dxa"/>
            </w:tcMar>
            <w:vAlign w:val="center"/>
          </w:tcPr>
          <w:p w14:paraId="658D7DFA">
            <w:pPr>
              <w:spacing w:line="240" w:lineRule="exact"/>
              <w:contextualSpacing/>
              <w:jc w:val="center"/>
              <w:rPr>
                <w:rFonts w:asciiTheme="minorEastAsia" w:hAnsiTheme="minorEastAsia" w:eastAsiaTheme="minorEastAsia"/>
                <w:sz w:val="21"/>
                <w:szCs w:val="21"/>
              </w:rPr>
            </w:pPr>
          </w:p>
        </w:tc>
        <w:tc>
          <w:tcPr>
            <w:tcW w:w="1346" w:type="dxa"/>
            <w:tcMar>
              <w:top w:w="28" w:type="dxa"/>
              <w:left w:w="28" w:type="dxa"/>
              <w:bottom w:w="28" w:type="dxa"/>
              <w:right w:w="28" w:type="dxa"/>
            </w:tcMar>
            <w:vAlign w:val="center"/>
          </w:tcPr>
          <w:p w14:paraId="0026CC52">
            <w:pPr>
              <w:spacing w:line="240" w:lineRule="exact"/>
              <w:contextualSpacing/>
              <w:jc w:val="center"/>
              <w:rPr>
                <w:rFonts w:asciiTheme="minorEastAsia" w:hAnsiTheme="minorEastAsia" w:eastAsiaTheme="minorEastAsia"/>
                <w:sz w:val="21"/>
                <w:szCs w:val="21"/>
              </w:rPr>
            </w:pPr>
          </w:p>
        </w:tc>
        <w:tc>
          <w:tcPr>
            <w:tcW w:w="1781" w:type="dxa"/>
            <w:tcMar>
              <w:top w:w="28" w:type="dxa"/>
              <w:left w:w="28" w:type="dxa"/>
              <w:bottom w:w="28" w:type="dxa"/>
              <w:right w:w="28" w:type="dxa"/>
            </w:tcMar>
            <w:vAlign w:val="center"/>
          </w:tcPr>
          <w:p w14:paraId="6B7919DD">
            <w:pPr>
              <w:spacing w:line="240" w:lineRule="exact"/>
              <w:contextualSpacing/>
              <w:jc w:val="center"/>
              <w:rPr>
                <w:rFonts w:asciiTheme="minorEastAsia" w:hAnsiTheme="minorEastAsia" w:eastAsiaTheme="minorEastAsia"/>
                <w:sz w:val="21"/>
                <w:szCs w:val="21"/>
              </w:rPr>
            </w:pPr>
          </w:p>
        </w:tc>
        <w:tc>
          <w:tcPr>
            <w:tcW w:w="1917" w:type="dxa"/>
            <w:tcMar>
              <w:top w:w="28" w:type="dxa"/>
              <w:left w:w="28" w:type="dxa"/>
              <w:bottom w:w="28" w:type="dxa"/>
              <w:right w:w="28" w:type="dxa"/>
            </w:tcMar>
            <w:vAlign w:val="center"/>
          </w:tcPr>
          <w:p w14:paraId="1FE21658">
            <w:pPr>
              <w:spacing w:line="240" w:lineRule="exact"/>
              <w:contextualSpacing/>
              <w:jc w:val="center"/>
              <w:rPr>
                <w:rFonts w:asciiTheme="minorEastAsia" w:hAnsiTheme="minorEastAsia" w:eastAsiaTheme="minorEastAsia"/>
                <w:sz w:val="21"/>
                <w:szCs w:val="21"/>
              </w:rPr>
            </w:pPr>
          </w:p>
        </w:tc>
      </w:tr>
      <w:tr w14:paraId="1512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8" w:type="dxa"/>
            <w:tcMar>
              <w:top w:w="28" w:type="dxa"/>
              <w:left w:w="28" w:type="dxa"/>
              <w:bottom w:w="28" w:type="dxa"/>
              <w:right w:w="28" w:type="dxa"/>
            </w:tcMar>
            <w:vAlign w:val="center"/>
          </w:tcPr>
          <w:p w14:paraId="2ADE42B9">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直接下级控股/管理单位名称</w:t>
            </w:r>
          </w:p>
        </w:tc>
        <w:tc>
          <w:tcPr>
            <w:tcW w:w="1701" w:type="dxa"/>
            <w:tcMar>
              <w:top w:w="28" w:type="dxa"/>
              <w:left w:w="28" w:type="dxa"/>
              <w:bottom w:w="28" w:type="dxa"/>
              <w:right w:w="28" w:type="dxa"/>
            </w:tcMar>
            <w:vAlign w:val="center"/>
          </w:tcPr>
          <w:p w14:paraId="2BB2712D">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本单位控股</w:t>
            </w:r>
          </w:p>
          <w:p w14:paraId="77AC8723">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（出资）比例（%）</w:t>
            </w:r>
          </w:p>
        </w:tc>
        <w:tc>
          <w:tcPr>
            <w:tcW w:w="1346" w:type="dxa"/>
            <w:tcMar>
              <w:top w:w="28" w:type="dxa"/>
              <w:left w:w="28" w:type="dxa"/>
              <w:bottom w:w="28" w:type="dxa"/>
              <w:right w:w="28" w:type="dxa"/>
            </w:tcMar>
            <w:vAlign w:val="center"/>
          </w:tcPr>
          <w:p w14:paraId="30C947F8">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单位负责人</w:t>
            </w:r>
          </w:p>
        </w:tc>
        <w:tc>
          <w:tcPr>
            <w:tcW w:w="1781" w:type="dxa"/>
            <w:tcMar>
              <w:top w:w="28" w:type="dxa"/>
              <w:left w:w="28" w:type="dxa"/>
              <w:bottom w:w="28" w:type="dxa"/>
              <w:right w:w="28" w:type="dxa"/>
            </w:tcMar>
            <w:vAlign w:val="center"/>
          </w:tcPr>
          <w:p w14:paraId="34DAD17B">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联系人及电话</w:t>
            </w:r>
          </w:p>
        </w:tc>
        <w:tc>
          <w:tcPr>
            <w:tcW w:w="1917" w:type="dxa"/>
            <w:tcMar>
              <w:top w:w="28" w:type="dxa"/>
              <w:left w:w="28" w:type="dxa"/>
              <w:bottom w:w="28" w:type="dxa"/>
              <w:right w:w="28" w:type="dxa"/>
            </w:tcMar>
            <w:vAlign w:val="center"/>
          </w:tcPr>
          <w:p w14:paraId="49A33419">
            <w:pPr>
              <w:spacing w:line="240" w:lineRule="exact"/>
              <w:contextualSpacing/>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单位地址</w:t>
            </w:r>
          </w:p>
        </w:tc>
      </w:tr>
      <w:tr w14:paraId="1568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8" w:type="dxa"/>
            <w:tcMar>
              <w:top w:w="28" w:type="dxa"/>
              <w:left w:w="28" w:type="dxa"/>
              <w:bottom w:w="28" w:type="dxa"/>
              <w:right w:w="28" w:type="dxa"/>
            </w:tcMar>
            <w:vAlign w:val="center"/>
          </w:tcPr>
          <w:p w14:paraId="033DA52B">
            <w:pPr>
              <w:spacing w:line="240" w:lineRule="exact"/>
              <w:contextualSpacing/>
              <w:jc w:val="center"/>
              <w:rPr>
                <w:rFonts w:asciiTheme="minorEastAsia" w:hAnsiTheme="minorEastAsia" w:eastAsiaTheme="minorEastAsia"/>
                <w:sz w:val="21"/>
                <w:szCs w:val="21"/>
              </w:rPr>
            </w:pPr>
          </w:p>
        </w:tc>
        <w:tc>
          <w:tcPr>
            <w:tcW w:w="1701" w:type="dxa"/>
            <w:tcMar>
              <w:top w:w="28" w:type="dxa"/>
              <w:left w:w="28" w:type="dxa"/>
              <w:bottom w:w="28" w:type="dxa"/>
              <w:right w:w="28" w:type="dxa"/>
            </w:tcMar>
            <w:vAlign w:val="center"/>
          </w:tcPr>
          <w:p w14:paraId="6EF6035D">
            <w:pPr>
              <w:spacing w:line="240" w:lineRule="exact"/>
              <w:contextualSpacing/>
              <w:jc w:val="center"/>
              <w:rPr>
                <w:rFonts w:asciiTheme="minorEastAsia" w:hAnsiTheme="minorEastAsia" w:eastAsiaTheme="minorEastAsia"/>
                <w:sz w:val="21"/>
                <w:szCs w:val="21"/>
              </w:rPr>
            </w:pPr>
          </w:p>
        </w:tc>
        <w:tc>
          <w:tcPr>
            <w:tcW w:w="1346" w:type="dxa"/>
            <w:tcMar>
              <w:top w:w="28" w:type="dxa"/>
              <w:left w:w="28" w:type="dxa"/>
              <w:bottom w:w="28" w:type="dxa"/>
              <w:right w:w="28" w:type="dxa"/>
            </w:tcMar>
            <w:vAlign w:val="center"/>
          </w:tcPr>
          <w:p w14:paraId="6EEBEF16">
            <w:pPr>
              <w:spacing w:line="240" w:lineRule="exact"/>
              <w:contextualSpacing/>
              <w:jc w:val="center"/>
              <w:rPr>
                <w:rFonts w:asciiTheme="minorEastAsia" w:hAnsiTheme="minorEastAsia" w:eastAsiaTheme="minorEastAsia"/>
                <w:sz w:val="21"/>
                <w:szCs w:val="21"/>
              </w:rPr>
            </w:pPr>
          </w:p>
        </w:tc>
        <w:tc>
          <w:tcPr>
            <w:tcW w:w="1781" w:type="dxa"/>
            <w:tcMar>
              <w:top w:w="28" w:type="dxa"/>
              <w:left w:w="28" w:type="dxa"/>
              <w:bottom w:w="28" w:type="dxa"/>
              <w:right w:w="28" w:type="dxa"/>
            </w:tcMar>
            <w:vAlign w:val="center"/>
          </w:tcPr>
          <w:p w14:paraId="6C4009EA">
            <w:pPr>
              <w:spacing w:line="240" w:lineRule="exact"/>
              <w:contextualSpacing/>
              <w:jc w:val="center"/>
              <w:rPr>
                <w:rFonts w:asciiTheme="minorEastAsia" w:hAnsiTheme="minorEastAsia" w:eastAsiaTheme="minorEastAsia"/>
                <w:sz w:val="21"/>
                <w:szCs w:val="21"/>
              </w:rPr>
            </w:pPr>
          </w:p>
        </w:tc>
        <w:tc>
          <w:tcPr>
            <w:tcW w:w="1917" w:type="dxa"/>
            <w:tcMar>
              <w:top w:w="28" w:type="dxa"/>
              <w:left w:w="28" w:type="dxa"/>
              <w:bottom w:w="28" w:type="dxa"/>
              <w:right w:w="28" w:type="dxa"/>
            </w:tcMar>
            <w:vAlign w:val="center"/>
          </w:tcPr>
          <w:p w14:paraId="6FC937A3">
            <w:pPr>
              <w:spacing w:line="240" w:lineRule="exact"/>
              <w:contextualSpacing/>
              <w:jc w:val="center"/>
              <w:rPr>
                <w:rFonts w:asciiTheme="minorEastAsia" w:hAnsiTheme="minorEastAsia" w:eastAsiaTheme="minorEastAsia"/>
                <w:sz w:val="21"/>
                <w:szCs w:val="21"/>
              </w:rPr>
            </w:pPr>
          </w:p>
        </w:tc>
      </w:tr>
      <w:tr w14:paraId="0A8E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28" w:type="dxa"/>
            <w:tcMar>
              <w:top w:w="28" w:type="dxa"/>
              <w:left w:w="28" w:type="dxa"/>
              <w:bottom w:w="28" w:type="dxa"/>
              <w:right w:w="28" w:type="dxa"/>
            </w:tcMar>
            <w:vAlign w:val="center"/>
          </w:tcPr>
          <w:p w14:paraId="5FA337D3">
            <w:pPr>
              <w:spacing w:line="240" w:lineRule="exact"/>
              <w:contextualSpacing/>
              <w:jc w:val="center"/>
              <w:rPr>
                <w:rFonts w:asciiTheme="minorEastAsia" w:hAnsiTheme="minorEastAsia" w:eastAsiaTheme="minorEastAsia"/>
                <w:sz w:val="21"/>
                <w:szCs w:val="21"/>
              </w:rPr>
            </w:pPr>
          </w:p>
        </w:tc>
        <w:tc>
          <w:tcPr>
            <w:tcW w:w="1701" w:type="dxa"/>
            <w:tcMar>
              <w:top w:w="28" w:type="dxa"/>
              <w:left w:w="28" w:type="dxa"/>
              <w:bottom w:w="28" w:type="dxa"/>
              <w:right w:w="28" w:type="dxa"/>
            </w:tcMar>
            <w:vAlign w:val="center"/>
          </w:tcPr>
          <w:p w14:paraId="13A191B1">
            <w:pPr>
              <w:spacing w:line="240" w:lineRule="exact"/>
              <w:contextualSpacing/>
              <w:jc w:val="center"/>
              <w:rPr>
                <w:rFonts w:asciiTheme="minorEastAsia" w:hAnsiTheme="minorEastAsia" w:eastAsiaTheme="minorEastAsia"/>
                <w:sz w:val="21"/>
                <w:szCs w:val="21"/>
              </w:rPr>
            </w:pPr>
          </w:p>
        </w:tc>
        <w:tc>
          <w:tcPr>
            <w:tcW w:w="1346" w:type="dxa"/>
            <w:tcMar>
              <w:top w:w="28" w:type="dxa"/>
              <w:left w:w="28" w:type="dxa"/>
              <w:bottom w:w="28" w:type="dxa"/>
              <w:right w:w="28" w:type="dxa"/>
            </w:tcMar>
            <w:vAlign w:val="center"/>
          </w:tcPr>
          <w:p w14:paraId="385EE654">
            <w:pPr>
              <w:spacing w:line="240" w:lineRule="exact"/>
              <w:contextualSpacing/>
              <w:jc w:val="center"/>
              <w:rPr>
                <w:rFonts w:asciiTheme="minorEastAsia" w:hAnsiTheme="minorEastAsia" w:eastAsiaTheme="minorEastAsia"/>
                <w:sz w:val="21"/>
                <w:szCs w:val="21"/>
              </w:rPr>
            </w:pPr>
          </w:p>
        </w:tc>
        <w:tc>
          <w:tcPr>
            <w:tcW w:w="1781" w:type="dxa"/>
            <w:tcMar>
              <w:top w:w="28" w:type="dxa"/>
              <w:left w:w="28" w:type="dxa"/>
              <w:bottom w:w="28" w:type="dxa"/>
              <w:right w:w="28" w:type="dxa"/>
            </w:tcMar>
            <w:vAlign w:val="center"/>
          </w:tcPr>
          <w:p w14:paraId="2BB6F2BE">
            <w:pPr>
              <w:spacing w:line="240" w:lineRule="exact"/>
              <w:contextualSpacing/>
              <w:jc w:val="center"/>
              <w:rPr>
                <w:rFonts w:asciiTheme="minorEastAsia" w:hAnsiTheme="minorEastAsia" w:eastAsiaTheme="minorEastAsia"/>
                <w:sz w:val="21"/>
                <w:szCs w:val="21"/>
              </w:rPr>
            </w:pPr>
          </w:p>
        </w:tc>
        <w:tc>
          <w:tcPr>
            <w:tcW w:w="1917" w:type="dxa"/>
            <w:tcMar>
              <w:top w:w="28" w:type="dxa"/>
              <w:left w:w="28" w:type="dxa"/>
              <w:bottom w:w="28" w:type="dxa"/>
              <w:right w:w="28" w:type="dxa"/>
            </w:tcMar>
            <w:vAlign w:val="center"/>
          </w:tcPr>
          <w:p w14:paraId="248B2EC7">
            <w:pPr>
              <w:spacing w:line="240" w:lineRule="exact"/>
              <w:contextualSpacing/>
              <w:jc w:val="center"/>
              <w:rPr>
                <w:rFonts w:asciiTheme="minorEastAsia" w:hAnsiTheme="minorEastAsia" w:eastAsiaTheme="minorEastAsia"/>
                <w:sz w:val="21"/>
                <w:szCs w:val="21"/>
              </w:rPr>
            </w:pPr>
          </w:p>
        </w:tc>
      </w:tr>
    </w:tbl>
    <w:p w14:paraId="1143BBF4">
      <w:pPr>
        <w:pStyle w:val="25"/>
        <w:spacing w:after="0"/>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注：若投标人不存在“直接上级控股/管理单位和直接下级控股/管理单位情况”，填写“无”。</w:t>
      </w:r>
    </w:p>
    <w:p w14:paraId="6E8E2DCB">
      <w:pPr>
        <w:pStyle w:val="25"/>
        <w:spacing w:after="0"/>
        <w:ind w:firstLine="422"/>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我公司承诺：如未真实填写直接上级控股/管理单位和直接下级控股/管理单位，愿意接受由此带来的一切不良后果。</w:t>
      </w:r>
    </w:p>
    <w:p w14:paraId="5F7FC0C0">
      <w:pPr>
        <w:pStyle w:val="25"/>
        <w:spacing w:after="0"/>
        <w:ind w:firstLine="480"/>
        <w:rPr>
          <w:rFonts w:asciiTheme="minorEastAsia" w:hAnsiTheme="minorEastAsia" w:eastAsiaTheme="minorEastAsia"/>
          <w:sz w:val="21"/>
          <w:szCs w:val="21"/>
        </w:rPr>
      </w:pPr>
    </w:p>
    <w:p w14:paraId="43127744">
      <w:pPr>
        <w:pStyle w:val="25"/>
        <w:spacing w:after="0"/>
        <w:ind w:firstLine="480"/>
        <w:rPr>
          <w:rFonts w:asciiTheme="minorEastAsia" w:hAnsiTheme="minorEastAsia" w:eastAsiaTheme="minorEastAsia"/>
          <w:sz w:val="21"/>
          <w:szCs w:val="21"/>
        </w:rPr>
      </w:pPr>
    </w:p>
    <w:p w14:paraId="36764CA9">
      <w:pPr>
        <w:tabs>
          <w:tab w:val="left" w:pos="3780"/>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投 标 人：</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（盖单位章）</w:t>
      </w:r>
    </w:p>
    <w:p w14:paraId="7367CAE1">
      <w:pPr>
        <w:tabs>
          <w:tab w:val="left" w:pos="3780"/>
        </w:tabs>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法定代表人或其委托代理人：</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（签字或盖章）</w:t>
      </w:r>
    </w:p>
    <w:p w14:paraId="6FDF119F">
      <w:pPr>
        <w:snapToGrid w:val="0"/>
        <w:spacing w:line="34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日期：</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年</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月</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日</w:t>
      </w:r>
    </w:p>
    <w:p w14:paraId="5BB3F294">
      <w:pPr>
        <w:rPr>
          <w:rFonts w:asciiTheme="minorEastAsia" w:hAnsiTheme="minorEastAsia" w:eastAsiaTheme="minorEastAsia"/>
          <w:b/>
          <w:sz w:val="30"/>
          <w:szCs w:val="30"/>
        </w:rPr>
      </w:pPr>
      <w:r>
        <w:rPr>
          <w:rFonts w:hint="eastAsia" w:asciiTheme="minorEastAsia" w:hAnsiTheme="minorEastAsia" w:eastAsiaTheme="minorEastAsia"/>
          <w:b/>
          <w:sz w:val="30"/>
          <w:szCs w:val="30"/>
        </w:rPr>
        <w:br w:type="page"/>
      </w:r>
    </w:p>
    <w:p w14:paraId="216DEE4F">
      <w:pPr>
        <w:pStyle w:val="5"/>
        <w:spacing w:line="415" w:lineRule="auto"/>
        <w:jc w:val="center"/>
        <w:rPr>
          <w:rFonts w:ascii="宋体" w:hAnsi="宋体"/>
          <w:b w:val="0"/>
          <w:sz w:val="30"/>
          <w:szCs w:val="30"/>
        </w:rPr>
      </w:pPr>
      <w:bookmarkStart w:id="215" w:name="_Toc14655"/>
      <w:r>
        <w:rPr>
          <w:rFonts w:hint="eastAsia" w:ascii="宋体" w:hAnsi="宋体"/>
          <w:sz w:val="30"/>
          <w:szCs w:val="30"/>
        </w:rPr>
        <w:t>（十）招标文件规定的其他材料</w:t>
      </w:r>
      <w:bookmarkEnd w:id="215"/>
    </w:p>
    <w:p w14:paraId="115C1EAD">
      <w:pPr>
        <w:spacing w:line="360" w:lineRule="auto"/>
        <w:ind w:firstLine="400" w:firstLineChars="200"/>
        <w:rPr>
          <w:rFonts w:ascii="宋体" w:hAnsi="宋体" w:cs="宋体"/>
        </w:rPr>
      </w:pPr>
    </w:p>
    <w:p w14:paraId="16117B63">
      <w:pPr>
        <w:spacing w:line="480" w:lineRule="auto"/>
        <w:ind w:firstLine="400" w:firstLineChars="200"/>
        <w:jc w:val="center"/>
        <w:rPr>
          <w:rFonts w:ascii="宋体" w:hAnsi="宋体" w:cs="宋体"/>
        </w:rPr>
      </w:pPr>
      <w:r>
        <w:rPr>
          <w:rFonts w:hint="eastAsia" w:ascii="宋体" w:hAnsi="宋体" w:cs="宋体"/>
        </w:rPr>
        <w:t>格式由投标人自拟。</w:t>
      </w:r>
    </w:p>
    <w:p w14:paraId="37B742B5">
      <w:pPr>
        <w:spacing w:line="440" w:lineRule="exact"/>
        <w:ind w:right="500"/>
        <w:rPr>
          <w:rFonts w:ascii="宋体" w:hAnsi="宋体" w:cs="宋体"/>
          <w:bCs/>
        </w:rPr>
      </w:pPr>
      <w:r>
        <w:rPr>
          <w:rFonts w:ascii="宋体" w:hAnsi="宋体" w:cs="宋体"/>
          <w:bCs/>
        </w:rPr>
        <w:t>注</w:t>
      </w:r>
      <w:r>
        <w:rPr>
          <w:rFonts w:hint="eastAsia" w:ascii="宋体" w:hAnsi="宋体" w:cs="宋体"/>
          <w:bCs/>
        </w:rPr>
        <w:t>：以下网站截图由招标代理查询并提交评标委员会，无须投标人查询：</w:t>
      </w:r>
    </w:p>
    <w:p w14:paraId="0C86E702">
      <w:pPr>
        <w:spacing w:line="440" w:lineRule="exact"/>
        <w:ind w:right="500" w:firstLine="420"/>
        <w:rPr>
          <w:rFonts w:ascii="宋体" w:hAnsi="宋体" w:cs="宋体"/>
          <w:bCs/>
        </w:rPr>
      </w:pPr>
      <w:r>
        <w:rPr>
          <w:rFonts w:hint="eastAsia" w:ascii="宋体" w:hAnsi="宋体" w:cs="宋体"/>
          <w:bCs/>
        </w:rPr>
        <w:t>1.“中国执行信息公开网”查询结果截图（注（查询步骤）：需在中国执行信息公开网站http://zxgk.court.gov.cn/点击“失信被执行人”——查询条件输入被执行人姓名/名称、身份证号码/组织机构代码、省份、验证码——点击“查询”——将搜索结果截图）。</w:t>
      </w:r>
    </w:p>
    <w:p w14:paraId="2E58F59E">
      <w:pPr>
        <w:spacing w:line="440" w:lineRule="exact"/>
        <w:ind w:right="500" w:firstLine="420"/>
        <w:rPr>
          <w:rFonts w:ascii="宋体" w:hAnsi="宋体" w:cs="宋体"/>
          <w:bCs/>
        </w:rPr>
      </w:pPr>
      <w:r>
        <w:rPr>
          <w:rFonts w:hint="eastAsia" w:ascii="宋体" w:hAnsi="宋体" w:cs="宋体"/>
          <w:bCs/>
        </w:rPr>
        <w:t>2.“国家企业信用信息公示系统”查询结果截图（注（查询步骤）：需在国家企业信用信息公示系统网站（http://www.gsxt.gov.cn/）输入投标人企业名称——点击查询——点击企业信息——点击“列入严重违法失信名单（黑名单）信息 ”链接——将搜索结果截图）</w:t>
      </w:r>
    </w:p>
    <w:p w14:paraId="25D38997">
      <w:pPr>
        <w:spacing w:line="440" w:lineRule="exact"/>
        <w:ind w:right="500" w:firstLine="420"/>
        <w:rPr>
          <w:rFonts w:ascii="宋体" w:hAnsi="宋体" w:cs="宋体"/>
          <w:bCs/>
        </w:rPr>
      </w:pPr>
      <w:r>
        <w:rPr>
          <w:rFonts w:hint="eastAsia" w:ascii="宋体" w:hAnsi="宋体" w:cs="宋体"/>
          <w:bCs/>
        </w:rPr>
        <w:t>3.“信用中国”查询结果截图（注（查询步骤）：需在信用中国网站（https://www.creditchina.gov.cn/）点击信用服务——分别点击严重失信主体名单、重大税收违法失信主体输入投标人企业名称——点击查询——将搜索结果截图）</w:t>
      </w:r>
    </w:p>
    <w:p w14:paraId="3F521B81">
      <w:pPr>
        <w:spacing w:line="440" w:lineRule="exact"/>
        <w:ind w:right="500" w:firstLine="420"/>
        <w:rPr>
          <w:rFonts w:ascii="宋体" w:hAnsi="宋体" w:cs="宋体"/>
          <w:bCs/>
        </w:rPr>
      </w:pPr>
      <w:r>
        <w:rPr>
          <w:rFonts w:ascii="宋体" w:hAnsi="宋体" w:cs="宋体"/>
          <w:bCs/>
        </w:rPr>
        <w:t>4.</w:t>
      </w:r>
      <w:r>
        <w:rPr>
          <w:rFonts w:hint="eastAsia" w:ascii="宋体" w:hAnsi="宋体" w:cs="宋体"/>
          <w:bCs/>
        </w:rPr>
        <w:t>“中国裁判文书网”</w:t>
      </w:r>
      <w:r>
        <w:rPr>
          <w:rFonts w:ascii="宋体" w:hAnsi="宋体" w:cs="宋体"/>
          <w:bCs/>
        </w:rPr>
        <w:t xml:space="preserve"> </w:t>
      </w:r>
      <w:r>
        <w:rPr>
          <w:rFonts w:hint="eastAsia" w:ascii="宋体" w:hAnsi="宋体" w:cs="宋体"/>
          <w:bCs/>
        </w:rPr>
        <w:t>查询结果截图（注（查询步骤）：需在中国裁判文书网站（</w:t>
      </w:r>
      <w:r>
        <w:rPr>
          <w:rFonts w:ascii="宋体" w:hAnsi="宋体" w:cs="宋体"/>
          <w:bCs/>
        </w:rPr>
        <w:t>https://wenshu.court.gov.cn/）点击“高级检索”——在“全文检索”处分别查询公司名称、法定代表人名字——案由（选择刑事案由、贪污贿赂罪、查询投标单位选择“单位行贿罪”、查询法定代表人选择“行贿罪”）——点击“检索”——将搜索结果截图）。</w:t>
      </w:r>
    </w:p>
    <w:p w14:paraId="4BF5FFCD">
      <w:pPr>
        <w:spacing w:line="440" w:lineRule="exact"/>
        <w:ind w:right="500" w:firstLine="420"/>
        <w:rPr>
          <w:rFonts w:ascii="宋体" w:hAnsi="宋体" w:cs="宋体"/>
          <w:bCs/>
        </w:rPr>
      </w:pPr>
      <w:r>
        <w:rPr>
          <w:rFonts w:hint="eastAsia" w:ascii="宋体" w:hAnsi="宋体" w:cs="宋体"/>
          <w:bCs/>
        </w:rPr>
        <w:t>注：由招标代理机构负责在“中国执行信息公开网”、“国家企业信用信息公示系统”、“信用中国”、 “中国裁判文书网” (“中国裁判文书网”查询结果依据 2017 年 10 月 15 日 (含) 以后起生效的各级人民法院刑事判决书、刑事裁定书或者各级党政纪处分决定书进行认定 )、“天眼查”等关联关系查询网站、软件进行关联关系相关信息查询，并将查询结果提交评标委员会进行评审。</w:t>
      </w:r>
    </w:p>
    <w:p w14:paraId="37633071">
      <w:pPr>
        <w:spacing w:line="480" w:lineRule="auto"/>
        <w:ind w:firstLine="400" w:firstLineChars="200"/>
        <w:jc w:val="center"/>
        <w:rPr>
          <w:rFonts w:ascii="宋体" w:hAnsi="宋体" w:cs="宋体"/>
        </w:rPr>
      </w:pPr>
    </w:p>
    <w:p w14:paraId="73463823"/>
    <w:p w14:paraId="67E495CB">
      <w:pPr>
        <w:jc w:val="center"/>
      </w:pPr>
    </w:p>
    <w:p w14:paraId="475368FC">
      <w:pPr>
        <w:jc w:val="center"/>
      </w:pPr>
      <w:bookmarkStart w:id="216" w:name="OLE_LINK2"/>
    </w:p>
    <w:bookmarkEnd w:id="216"/>
    <w:p w14:paraId="65EF5606">
      <w:pPr>
        <w:jc w:val="center"/>
      </w:pPr>
    </w:p>
    <w:p w14:paraId="29C41326">
      <w:pPr>
        <w:jc w:val="center"/>
      </w:pPr>
    </w:p>
    <w:bookmarkEnd w:id="206"/>
    <w:p w14:paraId="621F7304">
      <w:pPr>
        <w:rPr>
          <w:rFonts w:ascii="宋体" w:hAnsi="宋体"/>
          <w:b/>
          <w:bCs/>
          <w:sz w:val="30"/>
          <w:szCs w:val="30"/>
        </w:rPr>
      </w:pPr>
      <w:bookmarkStart w:id="217" w:name="_Toc103248615"/>
    </w:p>
    <w:bookmarkEnd w:id="217"/>
    <w:p w14:paraId="6B8C54F7">
      <w:pPr>
        <w:pStyle w:val="5"/>
        <w:jc w:val="center"/>
        <w:rPr>
          <w:rFonts w:ascii="宋体" w:hAnsi="宋体" w:eastAsia="宋体"/>
        </w:rPr>
      </w:pPr>
      <w:bookmarkStart w:id="218" w:name="_Toc507430328"/>
      <w:bookmarkStart w:id="219" w:name="_Toc350966309"/>
      <w:bookmarkStart w:id="220" w:name="_Toc103248620"/>
      <w:bookmarkStart w:id="221" w:name="_Toc443399233"/>
      <w:bookmarkStart w:id="222" w:name="_Toc30897"/>
      <w:bookmarkStart w:id="223" w:name="_Toc332642500"/>
      <w:bookmarkStart w:id="224" w:name="_Toc443399223"/>
      <w:r>
        <w:rPr>
          <w:rFonts w:ascii="宋体" w:hAnsi="宋体" w:eastAsia="宋体"/>
        </w:rPr>
        <w:t>三</w:t>
      </w:r>
      <w:r>
        <w:rPr>
          <w:rFonts w:hint="eastAsia" w:ascii="宋体" w:hAnsi="宋体" w:eastAsia="宋体"/>
        </w:rPr>
        <w:t>、</w:t>
      </w:r>
      <w:r>
        <w:rPr>
          <w:rFonts w:ascii="宋体" w:hAnsi="宋体" w:eastAsia="宋体"/>
        </w:rPr>
        <w:t>投标文件投标函部分格式</w:t>
      </w:r>
      <w:bookmarkEnd w:id="218"/>
      <w:bookmarkEnd w:id="219"/>
      <w:bookmarkEnd w:id="220"/>
      <w:bookmarkEnd w:id="221"/>
      <w:bookmarkEnd w:id="222"/>
      <w:bookmarkEnd w:id="223"/>
    </w:p>
    <w:p w14:paraId="01A472E2">
      <w:pPr>
        <w:pStyle w:val="5"/>
        <w:spacing w:line="415" w:lineRule="auto"/>
        <w:jc w:val="center"/>
        <w:rPr>
          <w:rFonts w:ascii="宋体" w:hAnsi="宋体" w:eastAsia="宋体"/>
          <w:sz w:val="30"/>
          <w:szCs w:val="30"/>
        </w:rPr>
      </w:pPr>
      <w:bookmarkStart w:id="225" w:name="_Toc507430329"/>
      <w:bookmarkStart w:id="226" w:name="_Toc443399234"/>
      <w:bookmarkStart w:id="227" w:name="_Toc350966310"/>
      <w:bookmarkStart w:id="228" w:name="_Toc7178"/>
      <w:bookmarkStart w:id="229" w:name="_Toc103248621"/>
      <w:bookmarkStart w:id="230" w:name="_Toc332642501"/>
      <w:r>
        <w:rPr>
          <w:rFonts w:hint="eastAsia" w:ascii="宋体" w:hAnsi="宋体" w:eastAsia="宋体"/>
          <w:sz w:val="30"/>
          <w:szCs w:val="30"/>
        </w:rPr>
        <w:t>（一）</w:t>
      </w:r>
      <w:r>
        <w:rPr>
          <w:rFonts w:ascii="宋体" w:hAnsi="宋体" w:eastAsia="宋体"/>
          <w:sz w:val="30"/>
          <w:szCs w:val="30"/>
        </w:rPr>
        <w:t>投标函</w:t>
      </w:r>
      <w:bookmarkEnd w:id="225"/>
      <w:bookmarkEnd w:id="226"/>
      <w:bookmarkEnd w:id="227"/>
      <w:bookmarkEnd w:id="228"/>
      <w:bookmarkEnd w:id="229"/>
      <w:bookmarkEnd w:id="230"/>
    </w:p>
    <w:p w14:paraId="1CD7F1FD">
      <w:pPr>
        <w:spacing w:line="420" w:lineRule="exact"/>
        <w:rPr>
          <w:rFonts w:ascii="宋体" w:hAnsi="宋体"/>
          <w:sz w:val="21"/>
          <w:szCs w:val="21"/>
        </w:rPr>
      </w:pPr>
      <w:r>
        <w:rPr>
          <w:rFonts w:hint="eastAsia" w:ascii="宋体" w:hAnsi="宋体"/>
          <w:sz w:val="21"/>
          <w:szCs w:val="21"/>
        </w:rPr>
        <w:t>致：</w:t>
      </w:r>
      <w:r>
        <w:rPr>
          <w:rFonts w:ascii="宋体" w:hAnsi="宋体"/>
          <w:sz w:val="21"/>
          <w:szCs w:val="21"/>
          <w:u w:val="single"/>
        </w:rPr>
        <w:t xml:space="preserve">                              </w:t>
      </w:r>
      <w:r>
        <w:rPr>
          <w:rFonts w:hint="eastAsia" w:ascii="宋体" w:hAnsi="宋体"/>
          <w:sz w:val="21"/>
          <w:szCs w:val="21"/>
        </w:rPr>
        <w:t>（招标人名称）</w:t>
      </w:r>
    </w:p>
    <w:p w14:paraId="236B3EFF">
      <w:pPr>
        <w:spacing w:line="420" w:lineRule="exact"/>
        <w:ind w:firstLine="405" w:firstLineChars="193"/>
        <w:rPr>
          <w:rFonts w:ascii="宋体" w:hAnsi="宋体"/>
          <w:sz w:val="21"/>
          <w:szCs w:val="21"/>
        </w:rPr>
      </w:pPr>
      <w:r>
        <w:rPr>
          <w:rFonts w:hint="eastAsia" w:ascii="宋体" w:hAnsi="宋体"/>
          <w:sz w:val="21"/>
          <w:szCs w:val="21"/>
        </w:rPr>
        <w:t>在充分研究</w:t>
      </w:r>
      <w:r>
        <w:rPr>
          <w:rFonts w:ascii="宋体" w:hAnsi="宋体"/>
          <w:sz w:val="21"/>
          <w:szCs w:val="21"/>
          <w:u w:val="single"/>
        </w:rPr>
        <w:t xml:space="preserve">           </w:t>
      </w:r>
      <w:r>
        <w:rPr>
          <w:rFonts w:hint="eastAsia" w:ascii="宋体" w:hAnsi="宋体"/>
          <w:sz w:val="21"/>
          <w:szCs w:val="21"/>
          <w:u w:val="single"/>
        </w:rPr>
        <w:t>（项目名称）</w:t>
      </w:r>
      <w:r>
        <w:rPr>
          <w:rFonts w:ascii="宋体" w:hAnsi="宋体"/>
          <w:sz w:val="21"/>
          <w:szCs w:val="21"/>
          <w:u w:val="single"/>
        </w:rPr>
        <w:t xml:space="preserve">             </w:t>
      </w:r>
      <w:r>
        <w:rPr>
          <w:rFonts w:hint="eastAsia" w:ascii="宋体" w:hAnsi="宋体"/>
          <w:sz w:val="21"/>
          <w:szCs w:val="21"/>
        </w:rPr>
        <w:t>（以下简称</w:t>
      </w:r>
      <w:r>
        <w:rPr>
          <w:rFonts w:ascii="宋体" w:hAnsi="宋体"/>
          <w:sz w:val="21"/>
          <w:szCs w:val="21"/>
        </w:rPr>
        <w:t>“</w:t>
      </w:r>
      <w:r>
        <w:rPr>
          <w:rFonts w:hint="eastAsia" w:ascii="宋体" w:hAnsi="宋体"/>
          <w:sz w:val="21"/>
          <w:szCs w:val="21"/>
        </w:rPr>
        <w:t>本项目</w:t>
      </w:r>
      <w:r>
        <w:rPr>
          <w:rFonts w:ascii="宋体" w:hAnsi="宋体"/>
          <w:sz w:val="21"/>
          <w:szCs w:val="21"/>
        </w:rPr>
        <w:t>”</w:t>
      </w:r>
      <w:r>
        <w:rPr>
          <w:rFonts w:hint="eastAsia" w:ascii="宋体" w:hAnsi="宋体"/>
          <w:sz w:val="21"/>
          <w:szCs w:val="21"/>
        </w:rPr>
        <w:t>）招标文件的全部内容后，我方兹以：含税</w:t>
      </w:r>
      <w:r>
        <w:rPr>
          <w:rFonts w:hint="eastAsia" w:ascii="宋体" w:hAnsi="宋体"/>
          <w:sz w:val="21"/>
          <w:szCs w:val="21"/>
          <w:u w:val="single"/>
        </w:rPr>
        <w:t>¥</w:t>
      </w:r>
      <w:r>
        <w:rPr>
          <w:rFonts w:ascii="宋体" w:hAnsi="宋体"/>
          <w:sz w:val="21"/>
          <w:szCs w:val="21"/>
          <w:u w:val="single"/>
        </w:rPr>
        <w:t xml:space="preserve">      元</w:t>
      </w:r>
      <w:r>
        <w:rPr>
          <w:rFonts w:hint="eastAsia" w:ascii="宋体" w:hAnsi="宋体"/>
          <w:sz w:val="21"/>
          <w:szCs w:val="21"/>
          <w:u w:val="single"/>
        </w:rPr>
        <w:t>（大写:    ）</w:t>
      </w:r>
      <w:r>
        <w:rPr>
          <w:rFonts w:hint="eastAsia" w:ascii="宋体" w:hAnsi="宋体"/>
          <w:sz w:val="21"/>
          <w:szCs w:val="21"/>
        </w:rPr>
        <w:t>的包干总价和按项目约定有权得到的其它金额，</w:t>
      </w:r>
      <w:r>
        <w:rPr>
          <w:rFonts w:ascii="宋体" w:hAnsi="宋体"/>
          <w:sz w:val="21"/>
          <w:szCs w:val="21"/>
        </w:rPr>
        <w:t>并严格按照</w:t>
      </w:r>
      <w:r>
        <w:rPr>
          <w:rFonts w:hint="eastAsia" w:ascii="宋体" w:hAnsi="宋体"/>
          <w:sz w:val="21"/>
          <w:szCs w:val="21"/>
        </w:rPr>
        <w:t>招标文件及</w:t>
      </w:r>
      <w:r>
        <w:rPr>
          <w:rFonts w:ascii="宋体" w:hAnsi="宋体"/>
          <w:sz w:val="21"/>
          <w:szCs w:val="21"/>
        </w:rPr>
        <w:t>合同约定</w:t>
      </w:r>
      <w:r>
        <w:rPr>
          <w:rFonts w:hint="eastAsia" w:ascii="宋体" w:hAnsi="宋体"/>
          <w:sz w:val="21"/>
          <w:szCs w:val="21"/>
        </w:rPr>
        <w:t>，完成本项目</w:t>
      </w:r>
      <w:r>
        <w:rPr>
          <w:rFonts w:ascii="宋体" w:hAnsi="宋体"/>
          <w:sz w:val="21"/>
          <w:szCs w:val="21"/>
        </w:rPr>
        <w:t>。</w:t>
      </w:r>
    </w:p>
    <w:p w14:paraId="645C7192">
      <w:pPr>
        <w:spacing w:line="360" w:lineRule="auto"/>
        <w:ind w:firstLine="420" w:firstLineChars="200"/>
        <w:rPr>
          <w:rFonts w:ascii="宋体" w:hAnsi="宋体"/>
          <w:sz w:val="21"/>
          <w:szCs w:val="21"/>
        </w:rPr>
      </w:pPr>
      <w:r>
        <w:rPr>
          <w:rFonts w:hint="eastAsia" w:ascii="宋体" w:hAnsi="宋体"/>
          <w:sz w:val="21"/>
          <w:szCs w:val="21"/>
        </w:rPr>
        <w:t xml:space="preserve">1. </w:t>
      </w:r>
      <w:r>
        <w:rPr>
          <w:rFonts w:ascii="宋体" w:hAnsi="宋体"/>
          <w:sz w:val="21"/>
          <w:szCs w:val="21"/>
        </w:rPr>
        <w:t>如果我方中标，我方保证按照项目约定的</w:t>
      </w:r>
      <w:r>
        <w:rPr>
          <w:rFonts w:hint="eastAsia" w:ascii="宋体" w:hAnsi="宋体"/>
          <w:sz w:val="21"/>
          <w:szCs w:val="21"/>
        </w:rPr>
        <w:t>项目工期</w:t>
      </w:r>
      <w:r>
        <w:rPr>
          <w:rFonts w:hint="eastAsia" w:ascii="宋体" w:hAnsi="宋体" w:cs="宋体"/>
          <w:sz w:val="21"/>
          <w:szCs w:val="21"/>
        </w:rPr>
        <w:t>：</w:t>
      </w:r>
      <w:r>
        <w:rPr>
          <w:rFonts w:hint="eastAsia" w:ascii="宋体" w:hAnsi="宋体" w:cs="宋体"/>
          <w:sz w:val="21"/>
          <w:szCs w:val="21"/>
          <w:u w:val="single"/>
        </w:rPr>
        <w:t xml:space="preserve"> </w:t>
      </w:r>
      <w:r>
        <w:rPr>
          <w:rFonts w:ascii="宋体" w:hAnsi="宋体" w:cs="宋体"/>
          <w:sz w:val="21"/>
          <w:szCs w:val="21"/>
          <w:u w:val="single"/>
        </w:rPr>
        <w:t xml:space="preserve">           </w:t>
      </w:r>
      <w:r>
        <w:rPr>
          <w:rFonts w:hint="eastAsia" w:ascii="宋体" w:hAnsi="宋体" w:cs="宋体"/>
          <w:sz w:val="21"/>
          <w:szCs w:val="21"/>
        </w:rPr>
        <w:t xml:space="preserve"> </w:t>
      </w:r>
      <w:r>
        <w:rPr>
          <w:rFonts w:hint="eastAsia" w:ascii="宋体" w:hAnsi="宋体"/>
          <w:sz w:val="21"/>
          <w:szCs w:val="21"/>
        </w:rPr>
        <w:t>。</w:t>
      </w:r>
      <w:r>
        <w:rPr>
          <w:rFonts w:ascii="宋体" w:hAnsi="宋体"/>
          <w:sz w:val="21"/>
          <w:szCs w:val="21"/>
        </w:rPr>
        <w:t>我方同意本投标函在招标文件规定的提交投标文件截止时间后，在招标文件规定的投标有效期期满前对我方具有约束力，且随时准备接受你方发出的中标通知书。</w:t>
      </w:r>
    </w:p>
    <w:p w14:paraId="497DE7AF">
      <w:pPr>
        <w:spacing w:line="360" w:lineRule="auto"/>
        <w:ind w:firstLine="420" w:firstLineChars="200"/>
        <w:rPr>
          <w:rFonts w:ascii="宋体" w:hAnsi="宋体"/>
          <w:sz w:val="21"/>
          <w:szCs w:val="21"/>
        </w:rPr>
      </w:pPr>
      <w:r>
        <w:rPr>
          <w:rFonts w:hint="eastAsia" w:ascii="宋体" w:hAnsi="宋体"/>
          <w:sz w:val="21"/>
          <w:szCs w:val="21"/>
        </w:rPr>
        <w:t>2. 我方同意所提交的投标文件在招标文件的投标须知中规定的投标有效期</w:t>
      </w:r>
      <w:r>
        <w:rPr>
          <w:rFonts w:ascii="宋体" w:hAnsi="宋体"/>
          <w:sz w:val="21"/>
          <w:szCs w:val="21"/>
          <w:u w:val="single"/>
        </w:rPr>
        <w:t>90</w:t>
      </w:r>
      <w:r>
        <w:rPr>
          <w:rFonts w:hint="eastAsia" w:ascii="宋体" w:hAnsi="宋体"/>
          <w:sz w:val="21"/>
          <w:szCs w:val="21"/>
        </w:rPr>
        <w:t>日历天有效，在此期间内如果中标，我方将受此约束。</w:t>
      </w:r>
    </w:p>
    <w:p w14:paraId="7E2E0D78">
      <w:pPr>
        <w:spacing w:line="360" w:lineRule="auto"/>
        <w:ind w:firstLine="420" w:firstLineChars="200"/>
        <w:rPr>
          <w:rFonts w:ascii="宋体" w:hAnsi="宋体"/>
          <w:sz w:val="21"/>
          <w:szCs w:val="21"/>
        </w:rPr>
      </w:pPr>
      <w:r>
        <w:rPr>
          <w:rFonts w:hint="eastAsia" w:ascii="宋体" w:hAnsi="宋体"/>
          <w:sz w:val="21"/>
          <w:szCs w:val="21"/>
        </w:rPr>
        <w:t xml:space="preserve">3. </w:t>
      </w:r>
      <w:r>
        <w:rPr>
          <w:rFonts w:ascii="宋体" w:hAnsi="宋体"/>
          <w:sz w:val="21"/>
          <w:szCs w:val="21"/>
        </w:rPr>
        <w:t>在签署协议书之前，你方的中标通知书连同本投标函，对双方具有约束力。</w:t>
      </w:r>
    </w:p>
    <w:p w14:paraId="47C7C02F">
      <w:pPr>
        <w:spacing w:line="360" w:lineRule="auto"/>
        <w:ind w:firstLine="420" w:firstLineChars="200"/>
        <w:rPr>
          <w:rFonts w:ascii="宋体" w:hAnsi="宋体"/>
          <w:sz w:val="21"/>
          <w:szCs w:val="21"/>
        </w:rPr>
      </w:pPr>
      <w:r>
        <w:rPr>
          <w:rFonts w:hint="eastAsia" w:ascii="宋体" w:hAnsi="宋体"/>
          <w:sz w:val="21"/>
          <w:szCs w:val="21"/>
        </w:rPr>
        <w:t>4. 如果我方中标，将按招标文件的规定时间及项目条款签订合同。</w:t>
      </w:r>
    </w:p>
    <w:p w14:paraId="5524B433">
      <w:pPr>
        <w:spacing w:line="360" w:lineRule="auto"/>
        <w:ind w:firstLine="420" w:firstLineChars="200"/>
        <w:rPr>
          <w:rFonts w:ascii="宋体" w:hAnsi="宋体"/>
          <w:sz w:val="21"/>
          <w:szCs w:val="21"/>
        </w:rPr>
      </w:pPr>
      <w:r>
        <w:rPr>
          <w:rFonts w:hint="eastAsia" w:ascii="宋体" w:hAnsi="宋体"/>
          <w:sz w:val="21"/>
          <w:szCs w:val="21"/>
        </w:rPr>
        <w:t>5. 我方已详细审核招标文件，我方对招标文件各项条款和评标办法无异议，知道必须放弃提出含糊不清或误解问题的权利。</w:t>
      </w:r>
    </w:p>
    <w:p w14:paraId="7C21DC4B">
      <w:pPr>
        <w:spacing w:line="360" w:lineRule="auto"/>
        <w:ind w:firstLine="420" w:firstLineChars="200"/>
        <w:rPr>
          <w:rFonts w:ascii="宋体" w:hAnsi="宋体"/>
          <w:sz w:val="21"/>
          <w:szCs w:val="21"/>
        </w:rPr>
      </w:pPr>
      <w:r>
        <w:rPr>
          <w:rFonts w:hint="eastAsia" w:ascii="宋体" w:hAnsi="宋体"/>
          <w:sz w:val="21"/>
          <w:szCs w:val="21"/>
        </w:rPr>
        <w:t>6. 如果在投标文件有效期内撤回投标或者有其他违约行为，我方的投标保证金可被贵方全部或部分没收。</w:t>
      </w:r>
    </w:p>
    <w:p w14:paraId="3A0D2C4C">
      <w:pPr>
        <w:spacing w:line="360" w:lineRule="auto"/>
        <w:ind w:firstLine="420" w:firstLineChars="200"/>
        <w:rPr>
          <w:rFonts w:ascii="宋体" w:hAnsi="宋体"/>
          <w:sz w:val="21"/>
          <w:szCs w:val="21"/>
        </w:rPr>
      </w:pPr>
      <w:r>
        <w:rPr>
          <w:rFonts w:hint="eastAsia" w:ascii="宋体" w:hAnsi="宋体"/>
          <w:sz w:val="21"/>
          <w:szCs w:val="21"/>
        </w:rPr>
        <w:t>7. 同意应贵方要求提供与本投标有关的任何数据和资料，并保证数据和资料的完整性和真实性，若有违反，我方愿意承担一切后果。</w:t>
      </w:r>
    </w:p>
    <w:p w14:paraId="26692D9D">
      <w:pPr>
        <w:spacing w:line="360" w:lineRule="auto"/>
        <w:ind w:firstLine="420" w:firstLineChars="200"/>
        <w:rPr>
          <w:rFonts w:ascii="宋体" w:hAnsi="宋体"/>
          <w:sz w:val="21"/>
          <w:szCs w:val="21"/>
        </w:rPr>
      </w:pPr>
      <w:r>
        <w:rPr>
          <w:rFonts w:hint="eastAsia" w:ascii="宋体" w:hAnsi="宋体"/>
          <w:sz w:val="21"/>
          <w:szCs w:val="21"/>
        </w:rPr>
        <w:t>8. 我方完全理解贵方不一定要接受最低报价的投标人为中标人的行为。</w:t>
      </w:r>
    </w:p>
    <w:p w14:paraId="2C0796E2">
      <w:pPr>
        <w:spacing w:line="360" w:lineRule="auto"/>
        <w:ind w:firstLine="420" w:firstLineChars="200"/>
        <w:rPr>
          <w:rFonts w:ascii="宋体" w:hAnsi="宋体"/>
          <w:sz w:val="21"/>
          <w:szCs w:val="21"/>
        </w:rPr>
      </w:pPr>
      <w:r>
        <w:rPr>
          <w:rFonts w:hint="eastAsia" w:ascii="宋体" w:hAnsi="宋体"/>
          <w:sz w:val="21"/>
          <w:szCs w:val="21"/>
        </w:rPr>
        <w:t>9. 若贵方需要，我方愿意提供我方作出的一切承诺的证明材料。</w:t>
      </w:r>
    </w:p>
    <w:p w14:paraId="3A343471">
      <w:pPr>
        <w:spacing w:line="360" w:lineRule="auto"/>
        <w:ind w:firstLine="420" w:firstLineChars="200"/>
        <w:rPr>
          <w:rFonts w:ascii="宋体" w:hAnsi="宋体"/>
          <w:sz w:val="21"/>
          <w:szCs w:val="21"/>
        </w:rPr>
      </w:pPr>
      <w:r>
        <w:rPr>
          <w:rFonts w:hint="eastAsia" w:ascii="宋体" w:hAnsi="宋体"/>
          <w:sz w:val="21"/>
          <w:szCs w:val="21"/>
        </w:rPr>
        <w:t>1</w:t>
      </w:r>
      <w:r>
        <w:rPr>
          <w:rFonts w:ascii="宋体" w:hAnsi="宋体"/>
          <w:sz w:val="21"/>
          <w:szCs w:val="21"/>
        </w:rPr>
        <w:t>0</w:t>
      </w:r>
      <w:r>
        <w:rPr>
          <w:rFonts w:hint="eastAsia" w:ascii="宋体" w:hAnsi="宋体"/>
          <w:sz w:val="21"/>
          <w:szCs w:val="21"/>
        </w:rPr>
        <w:t>、我方完全接受招标文件的所有条款。</w:t>
      </w:r>
    </w:p>
    <w:p w14:paraId="7FCCB2CE">
      <w:pPr>
        <w:spacing w:line="276" w:lineRule="auto"/>
        <w:ind w:firstLine="422" w:firstLineChars="200"/>
        <w:rPr>
          <w:rFonts w:ascii="宋体" w:hAnsi="宋体"/>
          <w:b/>
          <w:sz w:val="21"/>
          <w:szCs w:val="21"/>
        </w:rPr>
      </w:pPr>
      <w:r>
        <w:rPr>
          <w:rFonts w:hint="eastAsia" w:ascii="宋体" w:hAnsi="宋体"/>
          <w:b/>
          <w:sz w:val="21"/>
          <w:szCs w:val="21"/>
        </w:rPr>
        <w:t>此函及投标文件做为我方的承诺，若有违背，我方将承担完全法律责任，且招标人有权取消我方的投标或中标资格，并赔偿一切损失。</w:t>
      </w:r>
    </w:p>
    <w:p w14:paraId="6AF48E48">
      <w:pPr>
        <w:pStyle w:val="48"/>
        <w:spacing w:line="360" w:lineRule="auto"/>
        <w:rPr>
          <w:rFonts w:ascii="宋体" w:hAnsi="宋体"/>
          <w:sz w:val="21"/>
          <w:szCs w:val="21"/>
        </w:rPr>
      </w:pPr>
    </w:p>
    <w:p w14:paraId="43034D54">
      <w:pPr>
        <w:pStyle w:val="48"/>
        <w:spacing w:line="360" w:lineRule="auto"/>
        <w:rPr>
          <w:rFonts w:ascii="宋体" w:hAnsi="宋体"/>
          <w:sz w:val="21"/>
          <w:szCs w:val="21"/>
        </w:rPr>
      </w:pPr>
      <w:r>
        <w:rPr>
          <w:rFonts w:hint="eastAsia" w:ascii="宋体" w:hAnsi="宋体"/>
          <w:sz w:val="21"/>
          <w:szCs w:val="21"/>
        </w:rPr>
        <w:t>投标人（盖章）：</w:t>
      </w:r>
      <w:r>
        <w:rPr>
          <w:rFonts w:ascii="宋体" w:hAnsi="宋体"/>
          <w:sz w:val="21"/>
          <w:szCs w:val="21"/>
          <w:u w:val="single"/>
        </w:rPr>
        <w:t xml:space="preserve">                              </w:t>
      </w:r>
    </w:p>
    <w:p w14:paraId="70BA5C04">
      <w:pPr>
        <w:pStyle w:val="48"/>
        <w:spacing w:line="360" w:lineRule="auto"/>
        <w:rPr>
          <w:rFonts w:ascii="宋体" w:hAnsi="宋体"/>
          <w:sz w:val="21"/>
          <w:szCs w:val="21"/>
        </w:rPr>
      </w:pPr>
      <w:r>
        <w:rPr>
          <w:rFonts w:hint="eastAsia" w:ascii="宋体" w:hAnsi="宋体"/>
          <w:sz w:val="21"/>
          <w:szCs w:val="21"/>
        </w:rPr>
        <w:t>法定代表人或委托代理人（签字或盖章）：</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p>
    <w:p w14:paraId="3868F0C0">
      <w:pPr>
        <w:spacing w:line="360" w:lineRule="auto"/>
        <w:rPr>
          <w:rFonts w:ascii="宋体" w:hAnsi="宋体"/>
          <w:sz w:val="21"/>
          <w:szCs w:val="21"/>
        </w:rPr>
      </w:pPr>
      <w:r>
        <w:rPr>
          <w:rFonts w:hint="eastAsia" w:ascii="宋体" w:hAnsi="宋体"/>
          <w:sz w:val="21"/>
          <w:szCs w:val="21"/>
        </w:rPr>
        <w:t>日期：</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r>
        <w:rPr>
          <w:rFonts w:hint="eastAsia" w:ascii="宋体" w:hAnsi="宋体"/>
          <w:sz w:val="21"/>
          <w:szCs w:val="21"/>
        </w:rPr>
        <w:t>日</w:t>
      </w:r>
    </w:p>
    <w:p w14:paraId="2CE8D3C9">
      <w:pPr>
        <w:spacing w:line="360" w:lineRule="auto"/>
        <w:ind w:firstLine="600" w:firstLineChars="200"/>
        <w:rPr>
          <w:rFonts w:ascii="宋体" w:hAnsi="宋体"/>
          <w:sz w:val="30"/>
          <w:szCs w:val="30"/>
        </w:rPr>
      </w:pPr>
      <w:bookmarkStart w:id="231" w:name="_Toc507430331"/>
      <w:bookmarkStart w:id="232" w:name="_Toc350966312"/>
      <w:bookmarkStart w:id="233" w:name="_Toc443399236"/>
      <w:bookmarkStart w:id="234" w:name="_Toc103248622"/>
      <w:bookmarkStart w:id="235" w:name="_Toc332642503"/>
    </w:p>
    <w:p w14:paraId="7B119E48">
      <w:pPr>
        <w:pStyle w:val="5"/>
        <w:spacing w:line="415" w:lineRule="auto"/>
        <w:jc w:val="center"/>
        <w:rPr>
          <w:rFonts w:ascii="宋体" w:hAnsi="宋体" w:eastAsia="宋体"/>
          <w:sz w:val="30"/>
          <w:szCs w:val="30"/>
        </w:rPr>
      </w:pPr>
      <w:bookmarkStart w:id="236" w:name="_Toc9636"/>
      <w:r>
        <w:rPr>
          <w:rFonts w:hint="eastAsia" w:ascii="宋体" w:hAnsi="宋体" w:eastAsia="宋体"/>
          <w:sz w:val="30"/>
          <w:szCs w:val="30"/>
        </w:rPr>
        <w:t>（二）</w:t>
      </w:r>
      <w:r>
        <w:rPr>
          <w:rFonts w:ascii="宋体" w:hAnsi="宋体" w:eastAsia="宋体"/>
          <w:sz w:val="30"/>
          <w:szCs w:val="30"/>
        </w:rPr>
        <w:t>法定代表人身份证明</w:t>
      </w:r>
      <w:bookmarkEnd w:id="231"/>
      <w:bookmarkEnd w:id="232"/>
      <w:bookmarkEnd w:id="233"/>
      <w:bookmarkEnd w:id="234"/>
      <w:bookmarkEnd w:id="235"/>
      <w:bookmarkEnd w:id="236"/>
    </w:p>
    <w:p w14:paraId="6DF22F4F">
      <w:pPr>
        <w:spacing w:line="400" w:lineRule="exact"/>
        <w:rPr>
          <w:rFonts w:ascii="宋体" w:hAnsi="宋体"/>
          <w:sz w:val="21"/>
          <w:szCs w:val="21"/>
          <w:u w:val="single"/>
        </w:rPr>
      </w:pPr>
      <w:r>
        <w:rPr>
          <w:rFonts w:ascii="宋体" w:hAnsi="宋体"/>
          <w:sz w:val="21"/>
          <w:szCs w:val="21"/>
        </w:rPr>
        <w:t>投标人：</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p>
    <w:p w14:paraId="7F0DCCFA">
      <w:pPr>
        <w:spacing w:line="400" w:lineRule="exact"/>
        <w:rPr>
          <w:rFonts w:ascii="宋体" w:hAnsi="宋体"/>
          <w:sz w:val="21"/>
          <w:szCs w:val="21"/>
          <w:u w:val="single"/>
        </w:rPr>
      </w:pPr>
      <w:r>
        <w:rPr>
          <w:rFonts w:ascii="宋体" w:hAnsi="宋体"/>
          <w:sz w:val="21"/>
          <w:szCs w:val="21"/>
        </w:rPr>
        <w:t>单位性质：</w:t>
      </w:r>
      <w:r>
        <w:rPr>
          <w:rFonts w:hint="eastAsia" w:ascii="宋体" w:hAnsi="宋体"/>
          <w:sz w:val="21"/>
          <w:szCs w:val="21"/>
          <w:u w:val="single"/>
        </w:rPr>
        <w:t xml:space="preserve">        </w:t>
      </w:r>
      <w:r>
        <w:rPr>
          <w:rFonts w:ascii="宋体" w:hAnsi="宋体"/>
          <w:sz w:val="21"/>
          <w:szCs w:val="21"/>
          <w:u w:val="single"/>
        </w:rPr>
        <w:t xml:space="preserve">                      </w:t>
      </w:r>
    </w:p>
    <w:p w14:paraId="4F7D8695">
      <w:pPr>
        <w:spacing w:line="400" w:lineRule="exact"/>
        <w:rPr>
          <w:rFonts w:ascii="宋体" w:hAnsi="宋体"/>
          <w:sz w:val="21"/>
          <w:szCs w:val="21"/>
        </w:rPr>
      </w:pPr>
      <w:r>
        <w:rPr>
          <w:rFonts w:ascii="宋体" w:hAnsi="宋体"/>
          <w:sz w:val="21"/>
          <w:szCs w:val="21"/>
        </w:rPr>
        <w:t>地址：</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p>
    <w:p w14:paraId="1DA0F466">
      <w:pPr>
        <w:spacing w:line="400" w:lineRule="exact"/>
        <w:rPr>
          <w:rFonts w:ascii="宋体" w:hAnsi="宋体"/>
          <w:sz w:val="21"/>
          <w:szCs w:val="21"/>
          <w:u w:val="single"/>
        </w:rPr>
      </w:pPr>
      <w:r>
        <w:rPr>
          <w:rFonts w:ascii="宋体" w:hAnsi="宋体"/>
          <w:sz w:val="21"/>
          <w:szCs w:val="21"/>
        </w:rPr>
        <w:t>成立时间：</w:t>
      </w:r>
      <w:r>
        <w:rPr>
          <w:rFonts w:hint="eastAsia" w:ascii="宋体" w:hAnsi="宋体"/>
          <w:sz w:val="21"/>
          <w:szCs w:val="21"/>
          <w:u w:val="single"/>
        </w:rPr>
        <w:t xml:space="preserve">          </w:t>
      </w:r>
      <w:r>
        <w:rPr>
          <w:rFonts w:ascii="宋体" w:hAnsi="宋体"/>
          <w:sz w:val="21"/>
          <w:szCs w:val="21"/>
        </w:rPr>
        <w:t>年</w:t>
      </w:r>
      <w:r>
        <w:rPr>
          <w:rFonts w:hint="eastAsia" w:ascii="宋体" w:hAnsi="宋体"/>
          <w:sz w:val="21"/>
          <w:szCs w:val="21"/>
          <w:u w:val="single"/>
        </w:rPr>
        <w:t xml:space="preserve">   </w:t>
      </w:r>
      <w:r>
        <w:rPr>
          <w:rFonts w:ascii="宋体" w:hAnsi="宋体"/>
          <w:sz w:val="21"/>
          <w:szCs w:val="21"/>
        </w:rPr>
        <w:t>月</w:t>
      </w:r>
      <w:r>
        <w:rPr>
          <w:rFonts w:hint="eastAsia" w:ascii="宋体" w:hAnsi="宋体"/>
          <w:sz w:val="21"/>
          <w:szCs w:val="21"/>
          <w:u w:val="single"/>
        </w:rPr>
        <w:t xml:space="preserve">   </w:t>
      </w:r>
      <w:r>
        <w:rPr>
          <w:rFonts w:ascii="宋体" w:hAnsi="宋体"/>
          <w:sz w:val="21"/>
          <w:szCs w:val="21"/>
        </w:rPr>
        <w:t>日</w:t>
      </w:r>
      <w:r>
        <w:rPr>
          <w:rFonts w:hint="eastAsia" w:ascii="宋体" w:hAnsi="宋体"/>
          <w:sz w:val="21"/>
          <w:szCs w:val="21"/>
          <w:u w:val="single"/>
        </w:rPr>
        <w:t xml:space="preserve">   </w:t>
      </w:r>
    </w:p>
    <w:p w14:paraId="42CCA09B">
      <w:pPr>
        <w:spacing w:line="400" w:lineRule="exact"/>
        <w:rPr>
          <w:rFonts w:ascii="宋体" w:hAnsi="宋体"/>
          <w:sz w:val="21"/>
          <w:szCs w:val="21"/>
        </w:rPr>
      </w:pPr>
      <w:r>
        <w:rPr>
          <w:rFonts w:ascii="宋体" w:hAnsi="宋体"/>
          <w:sz w:val="21"/>
          <w:szCs w:val="21"/>
        </w:rPr>
        <w:t>经营期限：</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p>
    <w:p w14:paraId="3F3A32F3">
      <w:pPr>
        <w:spacing w:line="400" w:lineRule="exact"/>
        <w:rPr>
          <w:rFonts w:ascii="宋体" w:hAnsi="宋体"/>
          <w:sz w:val="21"/>
          <w:szCs w:val="21"/>
          <w:u w:val="single"/>
        </w:rPr>
      </w:pPr>
      <w:r>
        <w:rPr>
          <w:rFonts w:ascii="宋体" w:hAnsi="宋体"/>
          <w:sz w:val="21"/>
          <w:szCs w:val="21"/>
        </w:rPr>
        <w:t>姓名：</w:t>
      </w:r>
      <w:r>
        <w:rPr>
          <w:rFonts w:hint="eastAsia" w:ascii="宋体" w:hAnsi="宋体"/>
          <w:sz w:val="21"/>
          <w:szCs w:val="21"/>
          <w:u w:val="single"/>
        </w:rPr>
        <w:t xml:space="preserve">          </w:t>
      </w:r>
      <w:r>
        <w:rPr>
          <w:rFonts w:hint="eastAsia" w:ascii="宋体" w:hAnsi="宋体"/>
          <w:sz w:val="21"/>
          <w:szCs w:val="21"/>
        </w:rPr>
        <w:t xml:space="preserve"> </w:t>
      </w:r>
      <w:r>
        <w:rPr>
          <w:rFonts w:ascii="宋体" w:hAnsi="宋体"/>
          <w:sz w:val="21"/>
          <w:szCs w:val="21"/>
        </w:rPr>
        <w:t>性别：</w:t>
      </w:r>
      <w:r>
        <w:rPr>
          <w:rFonts w:hint="eastAsia" w:ascii="宋体" w:hAnsi="宋体"/>
          <w:sz w:val="21"/>
          <w:szCs w:val="21"/>
          <w:u w:val="single"/>
        </w:rPr>
        <w:t xml:space="preserve">             </w:t>
      </w:r>
    </w:p>
    <w:p w14:paraId="36C1698C">
      <w:pPr>
        <w:spacing w:line="400" w:lineRule="exact"/>
        <w:rPr>
          <w:rFonts w:ascii="宋体" w:hAnsi="宋体"/>
          <w:sz w:val="21"/>
          <w:szCs w:val="21"/>
        </w:rPr>
      </w:pPr>
      <w:r>
        <w:rPr>
          <w:rFonts w:ascii="宋体" w:hAnsi="宋体"/>
          <w:sz w:val="21"/>
          <w:szCs w:val="21"/>
        </w:rPr>
        <w:t>年龄：</w:t>
      </w:r>
      <w:r>
        <w:rPr>
          <w:rFonts w:hint="eastAsia" w:ascii="宋体" w:hAnsi="宋体"/>
          <w:sz w:val="21"/>
          <w:szCs w:val="21"/>
          <w:u w:val="single"/>
        </w:rPr>
        <w:t xml:space="preserve">          </w:t>
      </w:r>
      <w:r>
        <w:rPr>
          <w:rFonts w:ascii="宋体" w:hAnsi="宋体"/>
          <w:sz w:val="21"/>
          <w:szCs w:val="21"/>
        </w:rPr>
        <w:t>职务：</w:t>
      </w:r>
      <w:r>
        <w:rPr>
          <w:rFonts w:hint="eastAsia" w:ascii="宋体" w:hAnsi="宋体"/>
          <w:sz w:val="21"/>
          <w:szCs w:val="21"/>
          <w:u w:val="single"/>
        </w:rPr>
        <w:t xml:space="preserve">          </w:t>
      </w:r>
    </w:p>
    <w:p w14:paraId="34FAEE76">
      <w:pPr>
        <w:spacing w:line="400" w:lineRule="exact"/>
        <w:rPr>
          <w:rFonts w:ascii="宋体" w:hAnsi="宋体"/>
          <w:sz w:val="21"/>
          <w:szCs w:val="21"/>
        </w:rPr>
      </w:pPr>
      <w:r>
        <w:rPr>
          <w:rFonts w:ascii="宋体" w:hAnsi="宋体"/>
          <w:sz w:val="21"/>
          <w:szCs w:val="21"/>
        </w:rPr>
        <w:t>系</w:t>
      </w:r>
      <w:r>
        <w:rPr>
          <w:rFonts w:hint="eastAsia" w:ascii="宋体" w:hAnsi="宋体"/>
          <w:sz w:val="21"/>
          <w:szCs w:val="21"/>
          <w:u w:val="single"/>
        </w:rPr>
        <w:t xml:space="preserve">          </w:t>
      </w:r>
      <w:r>
        <w:rPr>
          <w:rFonts w:ascii="宋体" w:hAnsi="宋体"/>
          <w:sz w:val="21"/>
          <w:szCs w:val="21"/>
        </w:rPr>
        <w:t>（投标人名称）的法定代表人。</w:t>
      </w:r>
    </w:p>
    <w:p w14:paraId="199AED1A">
      <w:pPr>
        <w:spacing w:line="400" w:lineRule="exact"/>
        <w:rPr>
          <w:rFonts w:ascii="宋体" w:hAnsi="宋体"/>
          <w:sz w:val="21"/>
          <w:szCs w:val="21"/>
        </w:rPr>
      </w:pPr>
      <w:r>
        <w:rPr>
          <w:rFonts w:ascii="宋体" w:hAnsi="宋体"/>
          <w:sz w:val="21"/>
          <w:szCs w:val="21"/>
        </w:rPr>
        <w:t>特此证明。</w:t>
      </w:r>
    </w:p>
    <w:p w14:paraId="6786B5D1">
      <w:pPr>
        <w:spacing w:line="360" w:lineRule="exact"/>
        <w:rPr>
          <w:rFonts w:ascii="宋体" w:hAnsi="宋体"/>
          <w:sz w:val="21"/>
          <w:szCs w:val="21"/>
        </w:rPr>
      </w:pPr>
    </w:p>
    <w:p w14:paraId="35F9F5AF">
      <w:pPr>
        <w:spacing w:line="360" w:lineRule="exact"/>
        <w:rPr>
          <w:rFonts w:ascii="宋体" w:hAnsi="宋体"/>
          <w:sz w:val="21"/>
          <w:szCs w:val="21"/>
        </w:rPr>
      </w:pPr>
    </w:p>
    <w:p w14:paraId="5152FD7C">
      <w:pPr>
        <w:rPr>
          <w:rFonts w:ascii="宋体" w:hAnsi="宋体"/>
          <w:sz w:val="21"/>
          <w:szCs w:val="21"/>
        </w:rPr>
      </w:pPr>
    </w:p>
    <w:p w14:paraId="77D35FC0">
      <w:pPr>
        <w:rPr>
          <w:rFonts w:ascii="宋体" w:hAnsi="宋体"/>
          <w:sz w:val="21"/>
          <w:szCs w:val="21"/>
        </w:rPr>
      </w:pPr>
    </w:p>
    <w:p w14:paraId="030D4390">
      <w:pPr>
        <w:rPr>
          <w:rFonts w:ascii="宋体" w:hAnsi="宋体"/>
          <w:sz w:val="21"/>
          <w:szCs w:val="21"/>
        </w:rPr>
      </w:pPr>
    </w:p>
    <w:p w14:paraId="2EE593B3">
      <w:pPr>
        <w:pStyle w:val="48"/>
        <w:spacing w:line="360" w:lineRule="auto"/>
        <w:ind w:firstLine="4620" w:firstLineChars="2200"/>
        <w:jc w:val="both"/>
        <w:rPr>
          <w:rFonts w:ascii="宋体" w:hAnsi="宋体"/>
          <w:sz w:val="21"/>
          <w:szCs w:val="21"/>
        </w:rPr>
      </w:pPr>
      <w:r>
        <w:rPr>
          <w:rFonts w:hint="eastAsia" w:ascii="宋体" w:hAnsi="宋体"/>
          <w:sz w:val="21"/>
          <w:szCs w:val="21"/>
        </w:rPr>
        <w:t>投标人（盖章）：</w:t>
      </w:r>
      <w:r>
        <w:rPr>
          <w:rFonts w:ascii="宋体" w:hAnsi="宋体"/>
          <w:sz w:val="21"/>
          <w:szCs w:val="21"/>
          <w:u w:val="single"/>
        </w:rPr>
        <w:t xml:space="preserve">                              </w:t>
      </w:r>
    </w:p>
    <w:p w14:paraId="38601033">
      <w:pPr>
        <w:spacing w:line="360" w:lineRule="auto"/>
        <w:ind w:firstLine="4620" w:firstLineChars="2200"/>
        <w:jc w:val="both"/>
        <w:rPr>
          <w:rFonts w:ascii="宋体" w:hAnsi="宋体"/>
          <w:sz w:val="21"/>
          <w:szCs w:val="21"/>
        </w:rPr>
      </w:pPr>
      <w:r>
        <w:rPr>
          <w:rFonts w:hint="eastAsia" w:ascii="宋体" w:hAnsi="宋体"/>
          <w:sz w:val="21"/>
          <w:szCs w:val="21"/>
        </w:rPr>
        <w:t>日期：</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r>
        <w:rPr>
          <w:rFonts w:hint="eastAsia" w:ascii="宋体" w:hAnsi="宋体"/>
          <w:sz w:val="21"/>
          <w:szCs w:val="21"/>
        </w:rPr>
        <w:t>日</w:t>
      </w:r>
    </w:p>
    <w:p w14:paraId="585A3AA9">
      <w:pPr>
        <w:jc w:val="right"/>
        <w:rPr>
          <w:rFonts w:ascii="宋体" w:hAnsi="宋体"/>
          <w:sz w:val="21"/>
          <w:szCs w:val="21"/>
        </w:rPr>
      </w:pPr>
    </w:p>
    <w:p w14:paraId="18893FD6">
      <w:pPr>
        <w:jc w:val="right"/>
        <w:rPr>
          <w:rFonts w:ascii="宋体" w:hAnsi="宋体"/>
          <w:sz w:val="21"/>
          <w:szCs w:val="21"/>
        </w:rPr>
      </w:pPr>
    </w:p>
    <w:p w14:paraId="6462B16F">
      <w:pPr>
        <w:rPr>
          <w:rFonts w:ascii="宋体" w:hAnsi="宋体"/>
          <w:b/>
          <w:sz w:val="21"/>
          <w:szCs w:val="21"/>
        </w:rPr>
      </w:pPr>
      <w:r>
        <w:rPr>
          <w:rFonts w:hint="eastAsia" w:ascii="宋体" w:hAnsi="宋体"/>
          <w:b/>
          <w:sz w:val="21"/>
          <w:szCs w:val="21"/>
        </w:rPr>
        <w:t>注：附法定代表人身份证（正反面）复印件。</w:t>
      </w:r>
    </w:p>
    <w:p w14:paraId="393DCE1C">
      <w:pPr>
        <w:rPr>
          <w:rFonts w:ascii="宋体" w:hAnsi="宋体"/>
          <w:sz w:val="21"/>
          <w:szCs w:val="21"/>
        </w:rPr>
      </w:pPr>
    </w:p>
    <w:p w14:paraId="1318D966">
      <w:pPr>
        <w:jc w:val="right"/>
        <w:rPr>
          <w:rFonts w:ascii="宋体" w:hAnsi="宋体"/>
          <w:sz w:val="21"/>
          <w:szCs w:val="21"/>
        </w:rPr>
      </w:pPr>
    </w:p>
    <w:p w14:paraId="3B58CDA3">
      <w:pPr>
        <w:jc w:val="right"/>
        <w:rPr>
          <w:rFonts w:ascii="宋体" w:hAnsi="宋体"/>
          <w:sz w:val="21"/>
          <w:szCs w:val="21"/>
        </w:rPr>
      </w:pPr>
    </w:p>
    <w:p w14:paraId="58D5A6CD">
      <w:pPr>
        <w:jc w:val="right"/>
        <w:rPr>
          <w:rFonts w:ascii="宋体" w:hAnsi="宋体"/>
          <w:sz w:val="21"/>
          <w:szCs w:val="21"/>
        </w:rPr>
      </w:pPr>
    </w:p>
    <w:p w14:paraId="176CF658">
      <w:pPr>
        <w:jc w:val="right"/>
        <w:rPr>
          <w:rFonts w:ascii="宋体" w:hAnsi="宋体"/>
          <w:sz w:val="21"/>
          <w:szCs w:val="21"/>
        </w:rPr>
      </w:pPr>
    </w:p>
    <w:p w14:paraId="4A3348B6">
      <w:pPr>
        <w:jc w:val="right"/>
        <w:rPr>
          <w:rFonts w:ascii="宋体" w:hAnsi="宋体"/>
          <w:sz w:val="21"/>
          <w:szCs w:val="21"/>
        </w:rPr>
      </w:pPr>
    </w:p>
    <w:p w14:paraId="2C79578B">
      <w:pPr>
        <w:jc w:val="right"/>
        <w:rPr>
          <w:rFonts w:ascii="宋体" w:hAnsi="宋体"/>
          <w:sz w:val="21"/>
          <w:szCs w:val="21"/>
        </w:rPr>
      </w:pPr>
    </w:p>
    <w:p w14:paraId="462038C7">
      <w:pPr>
        <w:jc w:val="right"/>
        <w:rPr>
          <w:rFonts w:ascii="宋体" w:hAnsi="宋体"/>
          <w:sz w:val="21"/>
          <w:szCs w:val="21"/>
        </w:rPr>
      </w:pPr>
    </w:p>
    <w:p w14:paraId="5D2EF67E">
      <w:pPr>
        <w:jc w:val="right"/>
        <w:rPr>
          <w:rFonts w:ascii="宋体" w:hAnsi="宋体"/>
          <w:sz w:val="21"/>
          <w:szCs w:val="21"/>
        </w:rPr>
      </w:pPr>
    </w:p>
    <w:p w14:paraId="6DB3358F">
      <w:pPr>
        <w:jc w:val="right"/>
        <w:rPr>
          <w:rFonts w:ascii="宋体" w:hAnsi="宋体"/>
          <w:sz w:val="21"/>
          <w:szCs w:val="21"/>
        </w:rPr>
      </w:pPr>
    </w:p>
    <w:p w14:paraId="0F1A9D79">
      <w:pPr>
        <w:jc w:val="right"/>
        <w:rPr>
          <w:rFonts w:ascii="宋体" w:hAnsi="宋体"/>
          <w:sz w:val="21"/>
          <w:szCs w:val="21"/>
        </w:rPr>
      </w:pPr>
    </w:p>
    <w:p w14:paraId="0B17DB70">
      <w:pPr>
        <w:jc w:val="right"/>
        <w:rPr>
          <w:rFonts w:ascii="宋体" w:hAnsi="宋体"/>
          <w:sz w:val="21"/>
          <w:szCs w:val="21"/>
        </w:rPr>
      </w:pPr>
    </w:p>
    <w:p w14:paraId="2D4A1F2C">
      <w:pPr>
        <w:jc w:val="right"/>
        <w:rPr>
          <w:rFonts w:ascii="宋体" w:hAnsi="宋体"/>
          <w:sz w:val="21"/>
          <w:szCs w:val="21"/>
        </w:rPr>
      </w:pPr>
    </w:p>
    <w:p w14:paraId="0F9A9967">
      <w:pPr>
        <w:jc w:val="right"/>
        <w:rPr>
          <w:rFonts w:ascii="宋体" w:hAnsi="宋体"/>
          <w:sz w:val="21"/>
          <w:szCs w:val="21"/>
        </w:rPr>
      </w:pPr>
    </w:p>
    <w:p w14:paraId="38FBC3A9">
      <w:pPr>
        <w:jc w:val="right"/>
        <w:rPr>
          <w:rFonts w:ascii="宋体" w:hAnsi="宋体"/>
          <w:sz w:val="21"/>
          <w:szCs w:val="21"/>
        </w:rPr>
      </w:pPr>
    </w:p>
    <w:p w14:paraId="2D8DE98F">
      <w:pPr>
        <w:ind w:right="840"/>
        <w:rPr>
          <w:rFonts w:ascii="宋体" w:hAnsi="宋体"/>
          <w:sz w:val="21"/>
          <w:szCs w:val="21"/>
        </w:rPr>
      </w:pPr>
    </w:p>
    <w:p w14:paraId="3845F182">
      <w:pPr>
        <w:rPr>
          <w:rFonts w:ascii="宋体" w:hAnsi="宋体"/>
          <w:sz w:val="30"/>
          <w:szCs w:val="30"/>
        </w:rPr>
      </w:pPr>
      <w:bookmarkStart w:id="237" w:name="_Toc332642504"/>
      <w:bookmarkStart w:id="238" w:name="_Toc103248623"/>
      <w:bookmarkStart w:id="239" w:name="_Toc507430332"/>
      <w:bookmarkStart w:id="240" w:name="_Toc443399237"/>
      <w:bookmarkStart w:id="241" w:name="_Toc350966313"/>
      <w:r>
        <w:rPr>
          <w:rFonts w:hint="eastAsia" w:ascii="宋体" w:hAnsi="宋体"/>
          <w:sz w:val="30"/>
          <w:szCs w:val="30"/>
        </w:rPr>
        <w:br w:type="page"/>
      </w:r>
    </w:p>
    <w:p w14:paraId="6E4EEAE8">
      <w:pPr>
        <w:pStyle w:val="5"/>
        <w:spacing w:line="415" w:lineRule="auto"/>
        <w:jc w:val="center"/>
        <w:rPr>
          <w:rFonts w:ascii="宋体" w:hAnsi="宋体" w:eastAsia="宋体"/>
          <w:sz w:val="30"/>
          <w:szCs w:val="30"/>
        </w:rPr>
      </w:pPr>
      <w:bookmarkStart w:id="242" w:name="_Toc9175"/>
      <w:r>
        <w:rPr>
          <w:rFonts w:hint="eastAsia" w:ascii="宋体" w:hAnsi="宋体" w:eastAsia="宋体"/>
          <w:sz w:val="30"/>
          <w:szCs w:val="30"/>
        </w:rPr>
        <w:t>（三）</w:t>
      </w:r>
      <w:r>
        <w:rPr>
          <w:rFonts w:ascii="宋体" w:hAnsi="宋体" w:eastAsia="宋体"/>
          <w:sz w:val="30"/>
          <w:szCs w:val="30"/>
        </w:rPr>
        <w:t>授权委托书</w:t>
      </w:r>
      <w:bookmarkEnd w:id="237"/>
      <w:bookmarkEnd w:id="238"/>
      <w:bookmarkEnd w:id="239"/>
      <w:bookmarkEnd w:id="240"/>
      <w:bookmarkEnd w:id="241"/>
      <w:bookmarkEnd w:id="242"/>
    </w:p>
    <w:p w14:paraId="6496A896">
      <w:pPr>
        <w:spacing w:line="360" w:lineRule="auto"/>
        <w:ind w:firstLine="420" w:firstLineChars="200"/>
        <w:rPr>
          <w:rFonts w:ascii="宋体" w:hAnsi="宋体"/>
          <w:sz w:val="21"/>
          <w:szCs w:val="21"/>
        </w:rPr>
      </w:pPr>
      <w:r>
        <w:rPr>
          <w:rFonts w:ascii="宋体" w:hAnsi="宋体"/>
          <w:sz w:val="21"/>
          <w:szCs w:val="21"/>
        </w:rPr>
        <w:t>本人</w:t>
      </w:r>
      <w:r>
        <w:rPr>
          <w:rFonts w:hint="eastAsia" w:ascii="宋体" w:hAnsi="宋体"/>
          <w:sz w:val="21"/>
          <w:szCs w:val="21"/>
        </w:rPr>
        <w:t xml:space="preserve"> </w:t>
      </w:r>
      <w:r>
        <w:rPr>
          <w:rFonts w:hint="eastAsia" w:ascii="宋体" w:hAnsi="宋体"/>
          <w:sz w:val="21"/>
          <w:szCs w:val="21"/>
          <w:u w:val="single"/>
        </w:rPr>
        <w:t xml:space="preserve">     </w:t>
      </w:r>
      <w:r>
        <w:rPr>
          <w:rFonts w:ascii="宋体" w:hAnsi="宋体"/>
          <w:sz w:val="21"/>
          <w:szCs w:val="21"/>
        </w:rPr>
        <w:t>（姓名）系</w:t>
      </w:r>
      <w:r>
        <w:rPr>
          <w:rFonts w:hint="eastAsia" w:ascii="宋体" w:hAnsi="宋体"/>
          <w:sz w:val="21"/>
          <w:szCs w:val="21"/>
          <w:u w:val="single"/>
        </w:rPr>
        <w:t xml:space="preserve">     </w:t>
      </w:r>
      <w:r>
        <w:rPr>
          <w:rFonts w:ascii="宋体" w:hAnsi="宋体"/>
          <w:sz w:val="21"/>
          <w:szCs w:val="21"/>
        </w:rPr>
        <w:t>（投标人名称）的法定代表人，现委托</w:t>
      </w:r>
      <w:r>
        <w:rPr>
          <w:rFonts w:hint="eastAsia" w:ascii="宋体" w:hAnsi="宋体"/>
          <w:sz w:val="21"/>
          <w:szCs w:val="21"/>
          <w:u w:val="single"/>
        </w:rPr>
        <w:t xml:space="preserve">     </w:t>
      </w:r>
      <w:r>
        <w:rPr>
          <w:rFonts w:ascii="宋体" w:hAnsi="宋体"/>
          <w:sz w:val="21"/>
          <w:szCs w:val="21"/>
        </w:rPr>
        <w:t>（姓名）为我方代理人。代理人根据授权，以我方名义签署、澄清、说明、补正、递交、撤回、修改</w:t>
      </w:r>
      <w:r>
        <w:rPr>
          <w:rFonts w:hint="eastAsia" w:ascii="宋体" w:hAnsi="宋体"/>
          <w:sz w:val="21"/>
          <w:szCs w:val="21"/>
          <w:u w:val="single"/>
        </w:rPr>
        <w:t xml:space="preserve">     </w:t>
      </w:r>
      <w:r>
        <w:rPr>
          <w:rFonts w:ascii="宋体" w:hAnsi="宋体"/>
          <w:sz w:val="21"/>
          <w:szCs w:val="21"/>
          <w:u w:val="single"/>
        </w:rPr>
        <w:t>（项目名称）</w:t>
      </w:r>
      <w:r>
        <w:rPr>
          <w:rFonts w:ascii="宋体" w:hAnsi="宋体"/>
          <w:sz w:val="21"/>
          <w:szCs w:val="21"/>
        </w:rPr>
        <w:t>招标投标文件，其法律后果由我方承担。</w:t>
      </w:r>
    </w:p>
    <w:p w14:paraId="02CE6853">
      <w:pPr>
        <w:spacing w:line="360" w:lineRule="auto"/>
        <w:ind w:firstLine="420" w:firstLineChars="200"/>
        <w:rPr>
          <w:rFonts w:ascii="宋体" w:hAnsi="宋体"/>
          <w:sz w:val="21"/>
          <w:szCs w:val="21"/>
        </w:rPr>
      </w:pPr>
      <w:r>
        <w:rPr>
          <w:rFonts w:ascii="宋体" w:hAnsi="宋体"/>
          <w:sz w:val="21"/>
          <w:szCs w:val="21"/>
        </w:rPr>
        <w:t>委托期限：</w:t>
      </w:r>
    </w:p>
    <w:p w14:paraId="4384E5DC">
      <w:pPr>
        <w:spacing w:line="360" w:lineRule="auto"/>
        <w:ind w:firstLine="420" w:firstLineChars="200"/>
        <w:rPr>
          <w:rFonts w:ascii="宋体" w:hAnsi="宋体"/>
          <w:sz w:val="21"/>
          <w:szCs w:val="21"/>
        </w:rPr>
      </w:pPr>
    </w:p>
    <w:p w14:paraId="5C72FB1F">
      <w:pPr>
        <w:spacing w:line="360" w:lineRule="auto"/>
        <w:ind w:firstLine="420" w:firstLineChars="200"/>
        <w:rPr>
          <w:rFonts w:ascii="宋体" w:hAnsi="宋体"/>
          <w:sz w:val="21"/>
          <w:szCs w:val="21"/>
        </w:rPr>
      </w:pPr>
      <w:r>
        <w:rPr>
          <w:rFonts w:ascii="宋体" w:hAnsi="宋体"/>
          <w:sz w:val="21"/>
          <w:szCs w:val="21"/>
        </w:rPr>
        <w:t>代理人无转委托权。</w:t>
      </w:r>
    </w:p>
    <w:p w14:paraId="4218A8B5">
      <w:pPr>
        <w:spacing w:line="360" w:lineRule="auto"/>
        <w:ind w:firstLine="420" w:firstLineChars="200"/>
        <w:rPr>
          <w:rFonts w:ascii="宋体" w:hAnsi="宋体"/>
          <w:sz w:val="21"/>
          <w:szCs w:val="21"/>
        </w:rPr>
      </w:pPr>
    </w:p>
    <w:p w14:paraId="470CF66E">
      <w:pPr>
        <w:spacing w:line="360" w:lineRule="auto"/>
        <w:ind w:firstLine="420" w:firstLineChars="200"/>
        <w:rPr>
          <w:rFonts w:ascii="宋体" w:hAnsi="宋体"/>
          <w:sz w:val="21"/>
          <w:szCs w:val="21"/>
        </w:rPr>
      </w:pPr>
    </w:p>
    <w:p w14:paraId="5756A929">
      <w:pPr>
        <w:spacing w:line="360" w:lineRule="auto"/>
        <w:ind w:firstLine="420" w:firstLineChars="200"/>
        <w:rPr>
          <w:rFonts w:ascii="宋体" w:hAnsi="宋体"/>
          <w:sz w:val="21"/>
          <w:szCs w:val="21"/>
        </w:rPr>
      </w:pPr>
    </w:p>
    <w:p w14:paraId="32A46383">
      <w:pPr>
        <w:spacing w:line="360" w:lineRule="auto"/>
        <w:ind w:firstLine="420" w:firstLineChars="200"/>
        <w:rPr>
          <w:rFonts w:ascii="宋体" w:hAnsi="宋体"/>
          <w:sz w:val="21"/>
          <w:szCs w:val="21"/>
        </w:rPr>
      </w:pPr>
    </w:p>
    <w:p w14:paraId="678A555B">
      <w:pPr>
        <w:wordWrap w:val="0"/>
        <w:spacing w:line="360" w:lineRule="auto"/>
        <w:ind w:right="630" w:firstLine="420" w:firstLineChars="200"/>
        <w:jc w:val="right"/>
        <w:rPr>
          <w:rFonts w:ascii="宋体" w:hAnsi="宋体"/>
          <w:sz w:val="21"/>
          <w:szCs w:val="21"/>
        </w:rPr>
      </w:pPr>
      <w:r>
        <w:rPr>
          <w:rFonts w:ascii="宋体" w:hAnsi="宋体"/>
          <w:sz w:val="21"/>
          <w:szCs w:val="21"/>
        </w:rPr>
        <w:t>投标人：</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w:t>
      </w:r>
      <w:r>
        <w:rPr>
          <w:rFonts w:hint="eastAsia" w:ascii="宋体" w:hAnsi="宋体"/>
          <w:sz w:val="21"/>
          <w:szCs w:val="21"/>
          <w:u w:val="single"/>
        </w:rPr>
        <w:t>盖章</w:t>
      </w:r>
      <w:r>
        <w:rPr>
          <w:rFonts w:ascii="宋体" w:hAnsi="宋体"/>
          <w:sz w:val="21"/>
          <w:szCs w:val="21"/>
        </w:rPr>
        <w:t>）</w:t>
      </w:r>
    </w:p>
    <w:p w14:paraId="40F969D0">
      <w:pPr>
        <w:wordWrap w:val="0"/>
        <w:spacing w:line="360" w:lineRule="auto"/>
        <w:ind w:right="210" w:firstLine="420" w:firstLineChars="200"/>
        <w:jc w:val="right"/>
        <w:rPr>
          <w:rFonts w:ascii="宋体" w:hAnsi="宋体"/>
          <w:sz w:val="21"/>
          <w:szCs w:val="21"/>
        </w:rPr>
      </w:pPr>
      <w:r>
        <w:rPr>
          <w:rFonts w:ascii="宋体" w:hAnsi="宋体"/>
          <w:sz w:val="21"/>
          <w:szCs w:val="21"/>
        </w:rPr>
        <w:t>法定代表人：</w:t>
      </w:r>
      <w:r>
        <w:rPr>
          <w:rFonts w:hint="eastAsia" w:ascii="宋体" w:hAnsi="宋体"/>
          <w:sz w:val="21"/>
          <w:szCs w:val="21"/>
          <w:u w:val="single"/>
        </w:rPr>
        <w:t xml:space="preserve">         </w:t>
      </w:r>
      <w:r>
        <w:rPr>
          <w:rFonts w:ascii="宋体" w:hAnsi="宋体"/>
          <w:sz w:val="21"/>
          <w:szCs w:val="21"/>
          <w:u w:val="single"/>
        </w:rPr>
        <w:t>（</w:t>
      </w:r>
      <w:r>
        <w:rPr>
          <w:rFonts w:hint="eastAsia" w:ascii="宋体" w:hAnsi="宋体"/>
          <w:sz w:val="21"/>
          <w:szCs w:val="21"/>
          <w:u w:val="single"/>
        </w:rPr>
        <w:t>签字或盖章</w:t>
      </w:r>
      <w:r>
        <w:rPr>
          <w:rFonts w:ascii="宋体" w:hAnsi="宋体"/>
          <w:sz w:val="21"/>
          <w:szCs w:val="21"/>
        </w:rPr>
        <w:t>）</w:t>
      </w:r>
    </w:p>
    <w:p w14:paraId="3B5D1DAA">
      <w:pPr>
        <w:wordWrap w:val="0"/>
        <w:spacing w:line="360" w:lineRule="auto"/>
        <w:ind w:right="420" w:firstLine="420" w:firstLineChars="200"/>
        <w:jc w:val="right"/>
        <w:rPr>
          <w:rFonts w:ascii="宋体" w:hAnsi="宋体"/>
          <w:sz w:val="21"/>
          <w:szCs w:val="21"/>
        </w:rPr>
      </w:pPr>
      <w:r>
        <w:rPr>
          <w:rFonts w:ascii="宋体" w:hAnsi="宋体"/>
          <w:sz w:val="21"/>
          <w:szCs w:val="21"/>
        </w:rPr>
        <w:t>身份证号码：</w:t>
      </w:r>
      <w:r>
        <w:rPr>
          <w:rFonts w:hint="eastAsia" w:ascii="宋体" w:hAnsi="宋体"/>
          <w:sz w:val="21"/>
          <w:szCs w:val="21"/>
          <w:u w:val="single"/>
        </w:rPr>
        <w:t xml:space="preserve">                     </w:t>
      </w:r>
    </w:p>
    <w:p w14:paraId="7E47D912">
      <w:pPr>
        <w:wordWrap w:val="0"/>
        <w:spacing w:line="360" w:lineRule="auto"/>
        <w:ind w:right="420" w:firstLine="420" w:firstLineChars="200"/>
        <w:jc w:val="right"/>
        <w:rPr>
          <w:rFonts w:ascii="宋体" w:hAnsi="宋体"/>
          <w:sz w:val="21"/>
          <w:szCs w:val="21"/>
        </w:rPr>
      </w:pPr>
      <w:r>
        <w:rPr>
          <w:rFonts w:ascii="宋体" w:hAnsi="宋体"/>
          <w:sz w:val="21"/>
          <w:szCs w:val="21"/>
        </w:rPr>
        <w:t>委托代理人：</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rPr>
        <w:t xml:space="preserve"> </w:t>
      </w:r>
    </w:p>
    <w:p w14:paraId="255F9156">
      <w:pPr>
        <w:wordWrap w:val="0"/>
        <w:spacing w:line="360" w:lineRule="auto"/>
        <w:ind w:right="420" w:firstLine="420" w:firstLineChars="200"/>
        <w:jc w:val="right"/>
        <w:rPr>
          <w:rFonts w:ascii="宋体" w:hAnsi="宋体"/>
          <w:sz w:val="21"/>
          <w:szCs w:val="21"/>
          <w:u w:val="single"/>
        </w:rPr>
      </w:pPr>
      <w:r>
        <w:rPr>
          <w:rFonts w:ascii="宋体" w:hAnsi="宋体"/>
          <w:sz w:val="21"/>
          <w:szCs w:val="21"/>
        </w:rPr>
        <w:t>身份证号码：</w:t>
      </w:r>
      <w:r>
        <w:rPr>
          <w:rFonts w:hint="eastAsia" w:ascii="宋体" w:hAnsi="宋体"/>
          <w:sz w:val="21"/>
          <w:szCs w:val="21"/>
          <w:u w:val="single"/>
        </w:rPr>
        <w:t xml:space="preserve">                     </w:t>
      </w:r>
    </w:p>
    <w:p w14:paraId="5E574537">
      <w:pPr>
        <w:spacing w:line="360" w:lineRule="auto"/>
        <w:ind w:right="420" w:firstLine="5880" w:firstLineChars="2800"/>
        <w:rPr>
          <w:rFonts w:ascii="宋体" w:hAnsi="宋体"/>
          <w:sz w:val="21"/>
          <w:szCs w:val="21"/>
        </w:rPr>
      </w:pPr>
      <w:r>
        <w:rPr>
          <w:rFonts w:hint="eastAsia" w:ascii="宋体" w:hAnsi="宋体"/>
          <w:sz w:val="21"/>
          <w:szCs w:val="21"/>
          <w:u w:val="single"/>
        </w:rPr>
        <w:t xml:space="preserve">     </w:t>
      </w:r>
      <w:r>
        <w:rPr>
          <w:rFonts w:ascii="宋体" w:hAnsi="宋体"/>
          <w:sz w:val="21"/>
          <w:szCs w:val="21"/>
        </w:rPr>
        <w:t>年</w:t>
      </w:r>
      <w:r>
        <w:rPr>
          <w:rFonts w:hint="eastAsia" w:ascii="宋体" w:hAnsi="宋体"/>
          <w:sz w:val="21"/>
          <w:szCs w:val="21"/>
          <w:u w:val="single"/>
        </w:rPr>
        <w:t xml:space="preserve">    </w:t>
      </w:r>
      <w:r>
        <w:rPr>
          <w:rFonts w:ascii="宋体" w:hAnsi="宋体"/>
          <w:sz w:val="21"/>
          <w:szCs w:val="21"/>
        </w:rPr>
        <w:t>月</w:t>
      </w:r>
      <w:r>
        <w:rPr>
          <w:rFonts w:hint="eastAsia" w:ascii="宋体" w:hAnsi="宋体"/>
          <w:sz w:val="21"/>
          <w:szCs w:val="21"/>
          <w:u w:val="single"/>
        </w:rPr>
        <w:t xml:space="preserve">  </w:t>
      </w:r>
      <w:r>
        <w:rPr>
          <w:rFonts w:ascii="宋体" w:hAnsi="宋体"/>
          <w:sz w:val="21"/>
          <w:szCs w:val="21"/>
        </w:rPr>
        <w:t>日</w:t>
      </w:r>
    </w:p>
    <w:p w14:paraId="550738EE">
      <w:pPr>
        <w:spacing w:line="360" w:lineRule="auto"/>
        <w:ind w:right="420" w:firstLine="4725" w:firstLineChars="2250"/>
        <w:rPr>
          <w:rFonts w:ascii="宋体" w:hAnsi="宋体"/>
          <w:sz w:val="21"/>
          <w:szCs w:val="21"/>
        </w:rPr>
      </w:pPr>
    </w:p>
    <w:p w14:paraId="111FD629">
      <w:pPr>
        <w:spacing w:line="360" w:lineRule="auto"/>
        <w:ind w:right="420" w:firstLine="4725" w:firstLineChars="2250"/>
        <w:rPr>
          <w:rFonts w:ascii="宋体" w:hAnsi="宋体"/>
          <w:sz w:val="21"/>
          <w:szCs w:val="21"/>
        </w:rPr>
      </w:pPr>
    </w:p>
    <w:p w14:paraId="0D679241">
      <w:pPr>
        <w:spacing w:line="360" w:lineRule="auto"/>
        <w:ind w:right="420"/>
        <w:jc w:val="both"/>
        <w:rPr>
          <w:rFonts w:ascii="宋体" w:hAnsi="宋体"/>
          <w:b/>
          <w:sz w:val="21"/>
          <w:szCs w:val="21"/>
        </w:rPr>
      </w:pPr>
      <w:r>
        <w:rPr>
          <w:rFonts w:hint="eastAsia" w:ascii="宋体" w:hAnsi="宋体"/>
          <w:b/>
          <w:sz w:val="21"/>
          <w:szCs w:val="21"/>
        </w:rPr>
        <w:t>注：</w:t>
      </w:r>
      <w:r>
        <w:rPr>
          <w:rFonts w:ascii="宋体" w:hAnsi="宋体"/>
          <w:b/>
          <w:sz w:val="21"/>
          <w:szCs w:val="21"/>
        </w:rPr>
        <w:t>1</w:t>
      </w:r>
      <w:r>
        <w:rPr>
          <w:rFonts w:hint="eastAsia" w:ascii="宋体" w:hAnsi="宋体"/>
          <w:b/>
          <w:sz w:val="21"/>
          <w:szCs w:val="21"/>
        </w:rPr>
        <w:t>、附授权委托人身份证（正反面）复印件；</w:t>
      </w:r>
    </w:p>
    <w:p w14:paraId="5962734C">
      <w:pPr>
        <w:spacing w:line="360" w:lineRule="auto"/>
        <w:ind w:right="420" w:firstLine="358" w:firstLineChars="170"/>
        <w:jc w:val="both"/>
        <w:rPr>
          <w:rFonts w:ascii="宋体" w:hAnsi="宋体"/>
          <w:b/>
          <w:sz w:val="21"/>
          <w:szCs w:val="21"/>
        </w:rPr>
      </w:pPr>
      <w:r>
        <w:rPr>
          <w:rFonts w:ascii="宋体" w:hAnsi="宋体"/>
          <w:b/>
          <w:sz w:val="21"/>
          <w:szCs w:val="21"/>
        </w:rPr>
        <w:t>2</w:t>
      </w:r>
      <w:r>
        <w:rPr>
          <w:rFonts w:hint="eastAsia" w:ascii="宋体" w:hAnsi="宋体"/>
          <w:b/>
          <w:sz w:val="21"/>
          <w:szCs w:val="21"/>
        </w:rPr>
        <w:t>、如投标人由法定代表人亲自签署投标文件并参与相关活动，则不需要办理授权。如有被授权的代理人签署上述文件，则必须按本格式规定填报并提交授权书，否则被授权的代理人将不被认可。</w:t>
      </w:r>
    </w:p>
    <w:p w14:paraId="30EE007A">
      <w:pPr>
        <w:spacing w:line="360" w:lineRule="auto"/>
        <w:ind w:right="420" w:firstLine="358" w:firstLineChars="170"/>
        <w:jc w:val="both"/>
        <w:rPr>
          <w:rFonts w:ascii="宋体" w:hAnsi="宋体"/>
          <w:b/>
          <w:sz w:val="21"/>
          <w:szCs w:val="21"/>
        </w:rPr>
      </w:pPr>
      <w:r>
        <w:rPr>
          <w:rFonts w:ascii="宋体" w:hAnsi="宋体"/>
          <w:b/>
          <w:sz w:val="21"/>
          <w:szCs w:val="21"/>
        </w:rPr>
        <w:t>3</w:t>
      </w:r>
      <w:r>
        <w:rPr>
          <w:rFonts w:hint="eastAsia" w:ascii="宋体" w:hAnsi="宋体"/>
          <w:b/>
          <w:sz w:val="21"/>
          <w:szCs w:val="21"/>
        </w:rPr>
        <w:t>、本授权委托书配合法定代表人身份证明书使用方可生效。</w:t>
      </w:r>
    </w:p>
    <w:p w14:paraId="3595284E">
      <w:pPr>
        <w:spacing w:line="360" w:lineRule="auto"/>
        <w:ind w:right="420" w:firstLine="358" w:firstLineChars="170"/>
        <w:jc w:val="both"/>
        <w:rPr>
          <w:rFonts w:ascii="宋体" w:hAnsi="宋体"/>
          <w:b/>
          <w:sz w:val="21"/>
          <w:szCs w:val="21"/>
        </w:rPr>
      </w:pPr>
    </w:p>
    <w:p w14:paraId="363805F6">
      <w:pPr>
        <w:rPr>
          <w:rFonts w:ascii="宋体" w:hAnsi="宋体"/>
          <w:b/>
          <w:sz w:val="21"/>
          <w:szCs w:val="21"/>
        </w:rPr>
      </w:pPr>
      <w:bookmarkStart w:id="243" w:name="_Toc332642512"/>
      <w:bookmarkStart w:id="244" w:name="_Toc507430333"/>
      <w:bookmarkStart w:id="245" w:name="_Toc103248624"/>
      <w:bookmarkStart w:id="246" w:name="_Toc443399239"/>
      <w:bookmarkStart w:id="247" w:name="_Toc350966315"/>
    </w:p>
    <w:p w14:paraId="1E498F1A">
      <w:pPr>
        <w:pStyle w:val="5"/>
        <w:jc w:val="center"/>
        <w:rPr>
          <w:rFonts w:ascii="宋体" w:hAnsi="宋体" w:eastAsia="宋体"/>
        </w:rPr>
      </w:pPr>
      <w:bookmarkStart w:id="248" w:name="_Toc13929"/>
      <w:r>
        <w:rPr>
          <w:rFonts w:ascii="宋体" w:hAnsi="宋体" w:eastAsia="宋体"/>
        </w:rPr>
        <w:t>四</w:t>
      </w:r>
      <w:r>
        <w:rPr>
          <w:rFonts w:hint="eastAsia" w:ascii="宋体" w:hAnsi="宋体" w:eastAsia="宋体"/>
        </w:rPr>
        <w:t>、</w:t>
      </w:r>
      <w:r>
        <w:rPr>
          <w:rFonts w:ascii="宋体" w:hAnsi="宋体" w:eastAsia="宋体"/>
        </w:rPr>
        <w:t>投标文件商务部分格式</w:t>
      </w:r>
      <w:bookmarkEnd w:id="243"/>
      <w:bookmarkEnd w:id="244"/>
      <w:bookmarkEnd w:id="245"/>
      <w:bookmarkEnd w:id="246"/>
      <w:bookmarkEnd w:id="247"/>
      <w:bookmarkEnd w:id="248"/>
    </w:p>
    <w:p w14:paraId="07039F08">
      <w:pPr>
        <w:pStyle w:val="5"/>
        <w:spacing w:line="415" w:lineRule="auto"/>
        <w:jc w:val="center"/>
        <w:rPr>
          <w:rFonts w:ascii="宋体" w:hAnsi="宋体" w:eastAsia="宋体"/>
          <w:sz w:val="30"/>
          <w:szCs w:val="30"/>
        </w:rPr>
      </w:pPr>
      <w:bookmarkStart w:id="249" w:name="_Toc31906"/>
      <w:bookmarkStart w:id="250" w:name="_Toc103248625"/>
      <w:r>
        <w:rPr>
          <w:rFonts w:hint="eastAsia" w:ascii="宋体" w:hAnsi="宋体" w:eastAsia="宋体"/>
          <w:sz w:val="30"/>
          <w:szCs w:val="30"/>
        </w:rPr>
        <w:t>（一）投标报价（唱标）一览表</w:t>
      </w:r>
      <w:bookmarkEnd w:id="249"/>
    </w:p>
    <w:tbl>
      <w:tblPr>
        <w:tblStyle w:val="62"/>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662"/>
        <w:gridCol w:w="4820"/>
        <w:gridCol w:w="1653"/>
      </w:tblGrid>
      <w:tr w14:paraId="1AAA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30F8AD6E">
            <w:pPr>
              <w:spacing w:line="360" w:lineRule="auto"/>
              <w:jc w:val="center"/>
              <w:rPr>
                <w:rFonts w:ascii="宋体" w:hAnsi="宋体"/>
                <w:sz w:val="21"/>
                <w:szCs w:val="21"/>
              </w:rPr>
            </w:pPr>
            <w:r>
              <w:rPr>
                <w:rFonts w:ascii="宋体" w:hAnsi="宋体"/>
                <w:sz w:val="21"/>
                <w:szCs w:val="21"/>
              </w:rPr>
              <w:t>序号</w:t>
            </w:r>
          </w:p>
        </w:tc>
        <w:tc>
          <w:tcPr>
            <w:tcW w:w="2662" w:type="dxa"/>
            <w:tcBorders>
              <w:top w:val="single" w:color="auto" w:sz="4" w:space="0"/>
              <w:left w:val="single" w:color="auto" w:sz="4" w:space="0"/>
              <w:bottom w:val="single" w:color="auto" w:sz="4" w:space="0"/>
              <w:right w:val="single" w:color="auto" w:sz="4" w:space="0"/>
            </w:tcBorders>
            <w:vAlign w:val="center"/>
          </w:tcPr>
          <w:p w14:paraId="4F221F4A">
            <w:pPr>
              <w:spacing w:line="360" w:lineRule="auto"/>
              <w:jc w:val="center"/>
              <w:rPr>
                <w:rFonts w:ascii="宋体" w:hAnsi="宋体"/>
                <w:sz w:val="21"/>
                <w:szCs w:val="21"/>
              </w:rPr>
            </w:pPr>
            <w:r>
              <w:rPr>
                <w:rFonts w:ascii="宋体" w:hAnsi="宋体"/>
                <w:sz w:val="21"/>
                <w:szCs w:val="21"/>
              </w:rPr>
              <w:t>项目</w:t>
            </w:r>
          </w:p>
        </w:tc>
        <w:tc>
          <w:tcPr>
            <w:tcW w:w="4820" w:type="dxa"/>
            <w:tcBorders>
              <w:top w:val="single" w:color="auto" w:sz="4" w:space="0"/>
              <w:left w:val="single" w:color="auto" w:sz="4" w:space="0"/>
              <w:right w:val="single" w:color="auto" w:sz="4" w:space="0"/>
            </w:tcBorders>
            <w:vAlign w:val="center"/>
          </w:tcPr>
          <w:p w14:paraId="6B173AEA">
            <w:pPr>
              <w:spacing w:line="360" w:lineRule="auto"/>
              <w:jc w:val="center"/>
              <w:rPr>
                <w:rFonts w:ascii="宋体" w:hAnsi="宋体"/>
                <w:sz w:val="21"/>
                <w:szCs w:val="21"/>
              </w:rPr>
            </w:pPr>
            <w:r>
              <w:rPr>
                <w:rFonts w:hint="eastAsia" w:ascii="宋体" w:hAnsi="宋体"/>
                <w:sz w:val="21"/>
                <w:szCs w:val="21"/>
              </w:rPr>
              <w:t>内容</w:t>
            </w:r>
          </w:p>
        </w:tc>
        <w:tc>
          <w:tcPr>
            <w:tcW w:w="1653" w:type="dxa"/>
            <w:tcBorders>
              <w:top w:val="single" w:color="auto" w:sz="4" w:space="0"/>
              <w:left w:val="single" w:color="auto" w:sz="4" w:space="0"/>
              <w:right w:val="single" w:color="auto" w:sz="4" w:space="0"/>
            </w:tcBorders>
            <w:vAlign w:val="center"/>
          </w:tcPr>
          <w:p w14:paraId="753C0576">
            <w:pPr>
              <w:spacing w:line="360" w:lineRule="auto"/>
              <w:jc w:val="center"/>
              <w:rPr>
                <w:rFonts w:ascii="宋体" w:hAnsi="宋体"/>
                <w:sz w:val="21"/>
                <w:szCs w:val="21"/>
              </w:rPr>
            </w:pPr>
            <w:r>
              <w:rPr>
                <w:rFonts w:hint="eastAsia" w:ascii="宋体" w:hAnsi="宋体"/>
                <w:sz w:val="21"/>
                <w:szCs w:val="21"/>
              </w:rPr>
              <w:t>备注</w:t>
            </w:r>
          </w:p>
        </w:tc>
      </w:tr>
      <w:tr w14:paraId="1EFD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1828997F">
            <w:pPr>
              <w:spacing w:line="360" w:lineRule="auto"/>
              <w:jc w:val="center"/>
              <w:rPr>
                <w:rFonts w:ascii="宋体" w:hAnsi="宋体"/>
                <w:sz w:val="21"/>
                <w:szCs w:val="21"/>
              </w:rPr>
            </w:pPr>
            <w:r>
              <w:rPr>
                <w:rFonts w:ascii="宋体" w:hAnsi="宋体"/>
                <w:sz w:val="21"/>
                <w:szCs w:val="21"/>
              </w:rPr>
              <w:t>1</w:t>
            </w:r>
          </w:p>
        </w:tc>
        <w:tc>
          <w:tcPr>
            <w:tcW w:w="2662" w:type="dxa"/>
            <w:tcBorders>
              <w:top w:val="single" w:color="auto" w:sz="4" w:space="0"/>
              <w:left w:val="single" w:color="auto" w:sz="4" w:space="0"/>
              <w:bottom w:val="single" w:color="auto" w:sz="4" w:space="0"/>
              <w:right w:val="single" w:color="auto" w:sz="4" w:space="0"/>
            </w:tcBorders>
            <w:vAlign w:val="center"/>
          </w:tcPr>
          <w:p w14:paraId="68956ECE">
            <w:pPr>
              <w:spacing w:line="360" w:lineRule="auto"/>
              <w:jc w:val="center"/>
              <w:rPr>
                <w:rFonts w:ascii="宋体" w:hAnsi="宋体"/>
                <w:sz w:val="21"/>
                <w:szCs w:val="21"/>
              </w:rPr>
            </w:pPr>
            <w:r>
              <w:rPr>
                <w:rFonts w:hint="eastAsia" w:ascii="宋体" w:hAnsi="宋体"/>
                <w:sz w:val="21"/>
                <w:szCs w:val="21"/>
              </w:rPr>
              <w:t>投标总报价（含税）</w:t>
            </w:r>
          </w:p>
        </w:tc>
        <w:tc>
          <w:tcPr>
            <w:tcW w:w="4820" w:type="dxa"/>
            <w:tcBorders>
              <w:top w:val="single" w:color="auto" w:sz="4" w:space="0"/>
              <w:left w:val="single" w:color="auto" w:sz="4" w:space="0"/>
              <w:bottom w:val="single" w:color="auto" w:sz="4" w:space="0"/>
              <w:right w:val="single" w:color="auto" w:sz="4" w:space="0"/>
            </w:tcBorders>
            <w:vAlign w:val="center"/>
          </w:tcPr>
          <w:p w14:paraId="47C8D497">
            <w:pPr>
              <w:spacing w:line="360" w:lineRule="auto"/>
              <w:rPr>
                <w:rFonts w:ascii="宋体" w:hAnsi="宋体"/>
                <w:sz w:val="21"/>
                <w:szCs w:val="21"/>
                <w:u w:val="single"/>
              </w:rPr>
            </w:pPr>
            <w:r>
              <w:rPr>
                <w:rFonts w:hint="eastAsia" w:ascii="宋体" w:hAnsi="宋体"/>
                <w:sz w:val="21"/>
                <w:szCs w:val="21"/>
              </w:rPr>
              <w:t>小写：</w:t>
            </w:r>
            <w:r>
              <w:rPr>
                <w:rFonts w:hint="eastAsia" w:ascii="宋体" w:hAnsi="宋体"/>
                <w:sz w:val="21"/>
                <w:szCs w:val="21"/>
                <w:u w:val="single"/>
              </w:rPr>
              <w:t xml:space="preserve"> </w:t>
            </w:r>
            <w:r>
              <w:rPr>
                <w:rFonts w:ascii="宋体" w:hAnsi="宋体"/>
                <w:sz w:val="21"/>
                <w:szCs w:val="21"/>
                <w:u w:val="single"/>
              </w:rPr>
              <w:t xml:space="preserve">          </w:t>
            </w:r>
          </w:p>
          <w:p w14:paraId="7E907314">
            <w:pPr>
              <w:spacing w:line="360" w:lineRule="auto"/>
              <w:rPr>
                <w:rFonts w:ascii="宋体" w:hAnsi="宋体"/>
                <w:sz w:val="21"/>
                <w:szCs w:val="21"/>
                <w:u w:val="single"/>
              </w:rPr>
            </w:pPr>
            <w:r>
              <w:rPr>
                <w:rFonts w:hint="eastAsia" w:ascii="宋体" w:hAnsi="宋体"/>
                <w:sz w:val="21"/>
                <w:szCs w:val="21"/>
              </w:rPr>
              <w:t>大写：</w:t>
            </w:r>
            <w:r>
              <w:rPr>
                <w:rFonts w:hint="eastAsia" w:ascii="宋体" w:hAnsi="宋体"/>
                <w:sz w:val="21"/>
                <w:szCs w:val="21"/>
                <w:u w:val="single"/>
              </w:rPr>
              <w:t xml:space="preserve"> </w:t>
            </w:r>
            <w:r>
              <w:rPr>
                <w:rFonts w:ascii="宋体" w:hAnsi="宋体"/>
                <w:sz w:val="21"/>
                <w:szCs w:val="21"/>
                <w:u w:val="single"/>
              </w:rPr>
              <w:t xml:space="preserve">          </w:t>
            </w:r>
          </w:p>
        </w:tc>
        <w:tc>
          <w:tcPr>
            <w:tcW w:w="1653" w:type="dxa"/>
            <w:tcBorders>
              <w:top w:val="single" w:color="auto" w:sz="4" w:space="0"/>
              <w:left w:val="single" w:color="auto" w:sz="4" w:space="0"/>
              <w:bottom w:val="single" w:color="auto" w:sz="4" w:space="0"/>
              <w:right w:val="single" w:color="auto" w:sz="4" w:space="0"/>
            </w:tcBorders>
            <w:vAlign w:val="center"/>
          </w:tcPr>
          <w:p w14:paraId="069BB863">
            <w:pPr>
              <w:spacing w:line="360" w:lineRule="auto"/>
              <w:jc w:val="center"/>
              <w:rPr>
                <w:rFonts w:ascii="宋体" w:hAnsi="宋体"/>
                <w:sz w:val="21"/>
                <w:szCs w:val="21"/>
              </w:rPr>
            </w:pPr>
          </w:p>
        </w:tc>
      </w:tr>
      <w:tr w14:paraId="7212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777F1584">
            <w:pPr>
              <w:spacing w:line="360" w:lineRule="auto"/>
              <w:jc w:val="center"/>
              <w:rPr>
                <w:rFonts w:ascii="宋体" w:hAnsi="宋体"/>
                <w:sz w:val="21"/>
                <w:szCs w:val="21"/>
              </w:rPr>
            </w:pPr>
            <w:r>
              <w:rPr>
                <w:rFonts w:hint="eastAsia" w:ascii="宋体" w:hAnsi="宋体"/>
                <w:sz w:val="21"/>
                <w:szCs w:val="21"/>
              </w:rPr>
              <w:t>2</w:t>
            </w:r>
          </w:p>
        </w:tc>
        <w:tc>
          <w:tcPr>
            <w:tcW w:w="2662" w:type="dxa"/>
            <w:tcBorders>
              <w:top w:val="single" w:color="auto" w:sz="4" w:space="0"/>
              <w:left w:val="single" w:color="auto" w:sz="4" w:space="0"/>
              <w:bottom w:val="single" w:color="auto" w:sz="4" w:space="0"/>
              <w:right w:val="single" w:color="auto" w:sz="4" w:space="0"/>
            </w:tcBorders>
            <w:vAlign w:val="center"/>
          </w:tcPr>
          <w:p w14:paraId="61695FB6">
            <w:pPr>
              <w:spacing w:line="360" w:lineRule="auto"/>
              <w:jc w:val="center"/>
              <w:rPr>
                <w:rFonts w:ascii="宋体" w:hAnsi="宋体"/>
                <w:sz w:val="21"/>
                <w:szCs w:val="21"/>
              </w:rPr>
            </w:pPr>
            <w:r>
              <w:rPr>
                <w:rFonts w:hint="eastAsia" w:ascii="宋体" w:hAnsi="宋体"/>
                <w:sz w:val="21"/>
                <w:szCs w:val="21"/>
              </w:rPr>
              <w:t>项目工期</w:t>
            </w:r>
          </w:p>
        </w:tc>
        <w:tc>
          <w:tcPr>
            <w:tcW w:w="4820" w:type="dxa"/>
            <w:tcBorders>
              <w:top w:val="single" w:color="auto" w:sz="4" w:space="0"/>
              <w:left w:val="single" w:color="auto" w:sz="4" w:space="0"/>
              <w:bottom w:val="single" w:color="auto" w:sz="4" w:space="0"/>
              <w:right w:val="single" w:color="auto" w:sz="4" w:space="0"/>
            </w:tcBorders>
            <w:vAlign w:val="center"/>
          </w:tcPr>
          <w:p w14:paraId="2289C593">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1A6D66EE">
            <w:pPr>
              <w:spacing w:line="360" w:lineRule="auto"/>
              <w:jc w:val="center"/>
              <w:rPr>
                <w:rFonts w:ascii="宋体" w:hAnsi="宋体"/>
                <w:sz w:val="21"/>
                <w:szCs w:val="21"/>
              </w:rPr>
            </w:pPr>
          </w:p>
        </w:tc>
      </w:tr>
      <w:tr w14:paraId="5CEC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49D49010">
            <w:pPr>
              <w:spacing w:line="360" w:lineRule="auto"/>
              <w:jc w:val="center"/>
              <w:rPr>
                <w:rFonts w:ascii="宋体" w:hAnsi="宋体"/>
                <w:sz w:val="21"/>
                <w:szCs w:val="21"/>
              </w:rPr>
            </w:pPr>
            <w:r>
              <w:rPr>
                <w:rFonts w:hint="eastAsia" w:ascii="宋体" w:hAnsi="宋体"/>
                <w:sz w:val="21"/>
                <w:szCs w:val="21"/>
              </w:rPr>
              <w:t>3</w:t>
            </w:r>
          </w:p>
        </w:tc>
        <w:tc>
          <w:tcPr>
            <w:tcW w:w="2662" w:type="dxa"/>
            <w:tcBorders>
              <w:top w:val="single" w:color="auto" w:sz="4" w:space="0"/>
              <w:left w:val="single" w:color="auto" w:sz="4" w:space="0"/>
              <w:bottom w:val="single" w:color="auto" w:sz="4" w:space="0"/>
              <w:right w:val="single" w:color="auto" w:sz="4" w:space="0"/>
            </w:tcBorders>
            <w:vAlign w:val="center"/>
          </w:tcPr>
          <w:p w14:paraId="7AA79857">
            <w:pPr>
              <w:spacing w:line="360" w:lineRule="auto"/>
              <w:jc w:val="center"/>
              <w:rPr>
                <w:rFonts w:ascii="宋体" w:hAnsi="宋体"/>
                <w:sz w:val="21"/>
                <w:szCs w:val="21"/>
              </w:rPr>
            </w:pPr>
            <w:r>
              <w:rPr>
                <w:rFonts w:hint="eastAsia" w:ascii="宋体" w:hAnsi="宋体"/>
                <w:sz w:val="21"/>
                <w:szCs w:val="21"/>
              </w:rPr>
              <w:t>质保期</w:t>
            </w:r>
          </w:p>
        </w:tc>
        <w:tc>
          <w:tcPr>
            <w:tcW w:w="4820" w:type="dxa"/>
            <w:tcBorders>
              <w:top w:val="single" w:color="auto" w:sz="4" w:space="0"/>
              <w:left w:val="single" w:color="auto" w:sz="4" w:space="0"/>
              <w:bottom w:val="single" w:color="auto" w:sz="4" w:space="0"/>
              <w:right w:val="single" w:color="auto" w:sz="4" w:space="0"/>
            </w:tcBorders>
            <w:vAlign w:val="center"/>
          </w:tcPr>
          <w:p w14:paraId="0A8C3C57">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40F39D76">
            <w:pPr>
              <w:spacing w:line="360" w:lineRule="auto"/>
              <w:jc w:val="center"/>
              <w:rPr>
                <w:rFonts w:ascii="宋体" w:hAnsi="宋体"/>
                <w:sz w:val="21"/>
                <w:szCs w:val="21"/>
              </w:rPr>
            </w:pPr>
          </w:p>
        </w:tc>
      </w:tr>
      <w:tr w14:paraId="1CF1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7BBB319F">
            <w:pPr>
              <w:spacing w:line="360" w:lineRule="auto"/>
              <w:jc w:val="center"/>
              <w:rPr>
                <w:rFonts w:ascii="宋体" w:hAnsi="宋体"/>
                <w:sz w:val="21"/>
                <w:szCs w:val="21"/>
              </w:rPr>
            </w:pPr>
            <w:r>
              <w:rPr>
                <w:rFonts w:hint="eastAsia" w:ascii="宋体" w:hAnsi="宋体"/>
                <w:sz w:val="21"/>
                <w:szCs w:val="21"/>
              </w:rPr>
              <w:t>4</w:t>
            </w:r>
          </w:p>
        </w:tc>
        <w:tc>
          <w:tcPr>
            <w:tcW w:w="2662" w:type="dxa"/>
            <w:tcBorders>
              <w:top w:val="single" w:color="auto" w:sz="4" w:space="0"/>
              <w:left w:val="single" w:color="auto" w:sz="4" w:space="0"/>
              <w:bottom w:val="single" w:color="auto" w:sz="4" w:space="0"/>
              <w:right w:val="single" w:color="auto" w:sz="4" w:space="0"/>
            </w:tcBorders>
            <w:vAlign w:val="center"/>
          </w:tcPr>
          <w:p w14:paraId="576B8829">
            <w:pPr>
              <w:spacing w:line="360" w:lineRule="auto"/>
              <w:jc w:val="center"/>
              <w:rPr>
                <w:rFonts w:ascii="宋体" w:hAnsi="宋体"/>
                <w:sz w:val="21"/>
                <w:szCs w:val="21"/>
              </w:rPr>
            </w:pPr>
            <w:r>
              <w:rPr>
                <w:rFonts w:hint="eastAsia" w:ascii="宋体" w:hAnsi="宋体"/>
                <w:sz w:val="21"/>
                <w:szCs w:val="21"/>
              </w:rPr>
              <w:t>投标保证金</w:t>
            </w:r>
          </w:p>
        </w:tc>
        <w:tc>
          <w:tcPr>
            <w:tcW w:w="4820" w:type="dxa"/>
            <w:tcBorders>
              <w:top w:val="single" w:color="auto" w:sz="4" w:space="0"/>
              <w:left w:val="single" w:color="auto" w:sz="4" w:space="0"/>
              <w:bottom w:val="single" w:color="auto" w:sz="4" w:space="0"/>
              <w:right w:val="single" w:color="auto" w:sz="4" w:space="0"/>
            </w:tcBorders>
            <w:vAlign w:val="center"/>
          </w:tcPr>
          <w:p w14:paraId="53538035">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456A5FFF">
            <w:pPr>
              <w:spacing w:line="360" w:lineRule="auto"/>
              <w:jc w:val="center"/>
              <w:rPr>
                <w:rFonts w:ascii="宋体" w:hAnsi="宋体"/>
                <w:sz w:val="21"/>
                <w:szCs w:val="21"/>
              </w:rPr>
            </w:pPr>
          </w:p>
        </w:tc>
      </w:tr>
      <w:tr w14:paraId="0593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14:paraId="7D5FA236">
            <w:pPr>
              <w:spacing w:line="360" w:lineRule="auto"/>
              <w:jc w:val="center"/>
              <w:rPr>
                <w:rFonts w:ascii="宋体" w:hAnsi="宋体"/>
                <w:sz w:val="21"/>
                <w:szCs w:val="21"/>
              </w:rPr>
            </w:pPr>
            <w:r>
              <w:rPr>
                <w:rFonts w:hint="eastAsia" w:ascii="宋体" w:hAnsi="宋体"/>
                <w:sz w:val="21"/>
                <w:szCs w:val="21"/>
              </w:rPr>
              <w:t>5</w:t>
            </w:r>
          </w:p>
        </w:tc>
        <w:tc>
          <w:tcPr>
            <w:tcW w:w="2662" w:type="dxa"/>
            <w:tcBorders>
              <w:top w:val="single" w:color="auto" w:sz="4" w:space="0"/>
              <w:left w:val="single" w:color="auto" w:sz="4" w:space="0"/>
              <w:bottom w:val="single" w:color="auto" w:sz="4" w:space="0"/>
              <w:right w:val="single" w:color="auto" w:sz="4" w:space="0"/>
            </w:tcBorders>
            <w:vAlign w:val="center"/>
          </w:tcPr>
          <w:p w14:paraId="58DEDBA4">
            <w:pPr>
              <w:spacing w:line="360" w:lineRule="auto"/>
              <w:jc w:val="center"/>
              <w:rPr>
                <w:rFonts w:ascii="宋体" w:hAnsi="宋体"/>
                <w:sz w:val="21"/>
                <w:szCs w:val="21"/>
              </w:rPr>
            </w:pPr>
            <w:r>
              <w:rPr>
                <w:rFonts w:hint="eastAsia" w:ascii="宋体" w:hAnsi="宋体"/>
                <w:sz w:val="21"/>
                <w:szCs w:val="21"/>
              </w:rPr>
              <w:t>其他说明</w:t>
            </w:r>
          </w:p>
        </w:tc>
        <w:tc>
          <w:tcPr>
            <w:tcW w:w="4820" w:type="dxa"/>
            <w:tcBorders>
              <w:top w:val="single" w:color="auto" w:sz="4" w:space="0"/>
              <w:left w:val="single" w:color="auto" w:sz="4" w:space="0"/>
              <w:bottom w:val="single" w:color="auto" w:sz="4" w:space="0"/>
              <w:right w:val="single" w:color="auto" w:sz="4" w:space="0"/>
            </w:tcBorders>
            <w:vAlign w:val="center"/>
          </w:tcPr>
          <w:p w14:paraId="789CFD50">
            <w:pPr>
              <w:spacing w:line="360" w:lineRule="auto"/>
              <w:jc w:val="center"/>
              <w:rPr>
                <w:rFonts w:ascii="宋体" w:hAnsi="宋体"/>
                <w:sz w:val="21"/>
                <w:szCs w:val="21"/>
              </w:rPr>
            </w:pPr>
          </w:p>
        </w:tc>
        <w:tc>
          <w:tcPr>
            <w:tcW w:w="1653" w:type="dxa"/>
            <w:tcBorders>
              <w:top w:val="single" w:color="auto" w:sz="4" w:space="0"/>
              <w:left w:val="single" w:color="auto" w:sz="4" w:space="0"/>
              <w:bottom w:val="single" w:color="auto" w:sz="4" w:space="0"/>
              <w:right w:val="single" w:color="auto" w:sz="4" w:space="0"/>
            </w:tcBorders>
            <w:vAlign w:val="center"/>
          </w:tcPr>
          <w:p w14:paraId="39AEE4FE">
            <w:pPr>
              <w:spacing w:line="360" w:lineRule="auto"/>
              <w:jc w:val="center"/>
              <w:rPr>
                <w:rFonts w:ascii="宋体" w:hAnsi="宋体"/>
                <w:sz w:val="21"/>
                <w:szCs w:val="21"/>
              </w:rPr>
            </w:pPr>
          </w:p>
        </w:tc>
      </w:tr>
    </w:tbl>
    <w:p w14:paraId="0E3C43DE">
      <w:pPr>
        <w:pStyle w:val="294"/>
        <w:tabs>
          <w:tab w:val="left" w:pos="840"/>
        </w:tabs>
        <w:spacing w:line="276" w:lineRule="auto"/>
        <w:ind w:firstLine="420" w:firstLineChars="200"/>
        <w:rPr>
          <w:bCs/>
          <w:szCs w:val="21"/>
        </w:rPr>
      </w:pPr>
      <w:r>
        <w:rPr>
          <w:rFonts w:hint="eastAsia"/>
          <w:bCs/>
          <w:szCs w:val="21"/>
        </w:rPr>
        <w:t>注：</w:t>
      </w:r>
    </w:p>
    <w:p w14:paraId="39045B43">
      <w:pPr>
        <w:pStyle w:val="294"/>
        <w:tabs>
          <w:tab w:val="left" w:pos="840"/>
        </w:tabs>
        <w:spacing w:line="276" w:lineRule="auto"/>
        <w:ind w:firstLine="422" w:firstLineChars="200"/>
        <w:rPr>
          <w:b/>
          <w:szCs w:val="21"/>
        </w:rPr>
      </w:pPr>
      <w:r>
        <w:rPr>
          <w:rFonts w:hint="eastAsia"/>
          <w:b/>
          <w:szCs w:val="21"/>
        </w:rPr>
        <w:t>1.此表装订在投标文件封面后第一页。</w:t>
      </w:r>
    </w:p>
    <w:p w14:paraId="772DFB58">
      <w:pPr>
        <w:pStyle w:val="294"/>
        <w:tabs>
          <w:tab w:val="left" w:pos="840"/>
        </w:tabs>
        <w:spacing w:line="276" w:lineRule="auto"/>
        <w:ind w:firstLine="420" w:firstLineChars="200"/>
        <w:rPr>
          <w:bCs/>
          <w:szCs w:val="21"/>
        </w:rPr>
      </w:pPr>
      <w:r>
        <w:rPr>
          <w:rFonts w:hint="eastAsia"/>
          <w:bCs/>
          <w:szCs w:val="21"/>
        </w:rPr>
        <w:t>2</w:t>
      </w:r>
      <w:r>
        <w:rPr>
          <w:bCs/>
          <w:szCs w:val="21"/>
        </w:rPr>
        <w:t>.</w:t>
      </w:r>
      <w:r>
        <w:rPr>
          <w:rFonts w:hint="eastAsia"/>
          <w:bCs/>
          <w:szCs w:val="21"/>
        </w:rPr>
        <w:t>投标报价保留小数点后两位，小数点后第两位“四舍五入”。</w:t>
      </w:r>
    </w:p>
    <w:p w14:paraId="3A104F49">
      <w:pPr>
        <w:pStyle w:val="294"/>
        <w:tabs>
          <w:tab w:val="left" w:pos="840"/>
        </w:tabs>
        <w:spacing w:line="276" w:lineRule="auto"/>
        <w:ind w:firstLine="420" w:firstLineChars="200"/>
        <w:rPr>
          <w:bCs/>
          <w:szCs w:val="21"/>
        </w:rPr>
      </w:pPr>
      <w:r>
        <w:rPr>
          <w:rFonts w:hint="eastAsia"/>
          <w:bCs/>
          <w:szCs w:val="21"/>
        </w:rPr>
        <w:t>3.本项目要求开具增值税专用发票，投标人按照国家税务总局的要求填报增值税税率。</w:t>
      </w:r>
    </w:p>
    <w:p w14:paraId="1EBE8827">
      <w:pPr>
        <w:pStyle w:val="294"/>
        <w:tabs>
          <w:tab w:val="left" w:pos="840"/>
        </w:tabs>
        <w:spacing w:line="276" w:lineRule="auto"/>
        <w:ind w:firstLine="420" w:firstLineChars="200"/>
        <w:rPr>
          <w:bCs/>
          <w:szCs w:val="21"/>
        </w:rPr>
      </w:pPr>
      <w:r>
        <w:rPr>
          <w:rFonts w:hint="eastAsia"/>
          <w:bCs/>
          <w:szCs w:val="21"/>
        </w:rPr>
        <w:t>4.本项目要求投标人开具增值税专用发票。在合同执行中如遇国家对本项目所涉增值税税率进行调整的，招标人将以合同约定的税率计算不含增值税价，以不含增值税价及调整后的税率计算新的含增值税价格，自国家调整增值税税率政策生效之日起，双方按新的含增值税价格进行结算。</w:t>
      </w:r>
    </w:p>
    <w:p w14:paraId="0E79F179">
      <w:pPr>
        <w:pStyle w:val="294"/>
        <w:tabs>
          <w:tab w:val="left" w:pos="840"/>
        </w:tabs>
        <w:spacing w:line="276" w:lineRule="auto"/>
        <w:ind w:firstLine="422" w:firstLineChars="200"/>
        <w:rPr>
          <w:b/>
          <w:bCs/>
          <w:szCs w:val="21"/>
        </w:rPr>
      </w:pPr>
    </w:p>
    <w:p w14:paraId="7731765C">
      <w:pPr>
        <w:pStyle w:val="48"/>
        <w:spacing w:line="360" w:lineRule="auto"/>
        <w:rPr>
          <w:rFonts w:ascii="宋体" w:hAnsi="宋体"/>
          <w:sz w:val="21"/>
          <w:szCs w:val="21"/>
        </w:rPr>
      </w:pPr>
      <w:r>
        <w:rPr>
          <w:rFonts w:hint="eastAsia" w:ascii="宋体" w:hAnsi="宋体"/>
          <w:sz w:val="21"/>
          <w:szCs w:val="21"/>
        </w:rPr>
        <w:t>投标人（盖章）：</w:t>
      </w:r>
      <w:r>
        <w:rPr>
          <w:rFonts w:ascii="宋体" w:hAnsi="宋体"/>
          <w:sz w:val="21"/>
          <w:szCs w:val="21"/>
          <w:u w:val="single"/>
        </w:rPr>
        <w:t xml:space="preserve">                                    </w:t>
      </w:r>
    </w:p>
    <w:p w14:paraId="3F96AB99">
      <w:pPr>
        <w:pStyle w:val="48"/>
        <w:spacing w:line="360" w:lineRule="auto"/>
        <w:rPr>
          <w:rFonts w:ascii="宋体" w:hAnsi="宋体"/>
          <w:sz w:val="21"/>
          <w:szCs w:val="21"/>
        </w:rPr>
      </w:pPr>
      <w:r>
        <w:rPr>
          <w:rFonts w:hint="eastAsia" w:ascii="宋体" w:hAnsi="宋体"/>
          <w:sz w:val="21"/>
          <w:szCs w:val="21"/>
        </w:rPr>
        <w:t>法定代表人或委托代理人（签字或盖章）：</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p>
    <w:p w14:paraId="0CD5C5B3">
      <w:pPr>
        <w:spacing w:line="360" w:lineRule="auto"/>
        <w:rPr>
          <w:rFonts w:ascii="宋体" w:hAnsi="宋体"/>
          <w:sz w:val="21"/>
          <w:szCs w:val="21"/>
        </w:rPr>
        <w:sectPr>
          <w:pgSz w:w="11905" w:h="16838"/>
          <w:pgMar w:top="1417" w:right="1417" w:bottom="1417" w:left="1417" w:header="850" w:footer="850" w:gutter="0"/>
          <w:cols w:space="720" w:num="1"/>
          <w:titlePg/>
          <w:docGrid w:linePitch="312" w:charSpace="0"/>
        </w:sectPr>
      </w:pPr>
      <w:r>
        <w:rPr>
          <w:rFonts w:hint="eastAsia" w:ascii="宋体" w:hAnsi="宋体"/>
          <w:sz w:val="21"/>
          <w:szCs w:val="21"/>
        </w:rPr>
        <w:t>日期：</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p>
    <w:bookmarkEnd w:id="250"/>
    <w:p w14:paraId="01D335B5">
      <w:pPr>
        <w:pStyle w:val="5"/>
        <w:spacing w:line="415" w:lineRule="auto"/>
        <w:jc w:val="center"/>
        <w:rPr>
          <w:rFonts w:ascii="宋体" w:hAnsi="宋体" w:eastAsia="宋体"/>
          <w:sz w:val="30"/>
          <w:szCs w:val="30"/>
        </w:rPr>
      </w:pPr>
      <w:bookmarkStart w:id="251" w:name="_Toc32728"/>
      <w:r>
        <w:rPr>
          <w:rFonts w:hint="eastAsia" w:ascii="宋体" w:hAnsi="宋体" w:eastAsia="宋体"/>
          <w:sz w:val="30"/>
          <w:szCs w:val="30"/>
        </w:rPr>
        <w:t>（二）分项报价一览表</w:t>
      </w:r>
      <w:bookmarkEnd w:id="251"/>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484"/>
        <w:gridCol w:w="4601"/>
        <w:gridCol w:w="2022"/>
        <w:gridCol w:w="446"/>
        <w:gridCol w:w="446"/>
        <w:gridCol w:w="1096"/>
        <w:gridCol w:w="609"/>
        <w:gridCol w:w="452"/>
        <w:gridCol w:w="874"/>
        <w:gridCol w:w="874"/>
        <w:gridCol w:w="460"/>
      </w:tblGrid>
      <w:tr w14:paraId="119F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19B37881">
            <w:pPr>
              <w:snapToGrid w:val="0"/>
              <w:jc w:val="both"/>
              <w:rPr>
                <w:rFonts w:ascii="宋体" w:hAnsi="宋体" w:cstheme="minorEastAsia"/>
                <w:b/>
                <w:bCs/>
                <w:sz w:val="21"/>
                <w:szCs w:val="21"/>
              </w:rPr>
            </w:pPr>
            <w:r>
              <w:rPr>
                <w:rFonts w:hint="eastAsia" w:ascii="宋体" w:hAnsi="宋体" w:cstheme="minorEastAsia"/>
                <w:b/>
                <w:bCs/>
                <w:sz w:val="21"/>
                <w:szCs w:val="21"/>
              </w:rPr>
              <w:t>序号</w:t>
            </w:r>
          </w:p>
        </w:tc>
        <w:tc>
          <w:tcPr>
            <w:tcW w:w="1484" w:type="dxa"/>
            <w:vAlign w:val="center"/>
          </w:tcPr>
          <w:p w14:paraId="1522A390">
            <w:pPr>
              <w:snapToGrid w:val="0"/>
              <w:jc w:val="both"/>
              <w:rPr>
                <w:rFonts w:ascii="宋体" w:hAnsi="宋体" w:cstheme="minorEastAsia"/>
                <w:b/>
                <w:bCs/>
                <w:sz w:val="21"/>
                <w:szCs w:val="21"/>
              </w:rPr>
            </w:pPr>
            <w:r>
              <w:rPr>
                <w:rFonts w:hint="eastAsia" w:ascii="宋体" w:hAnsi="宋体" w:cstheme="minorEastAsia"/>
                <w:b/>
                <w:bCs/>
                <w:sz w:val="21"/>
                <w:szCs w:val="21"/>
              </w:rPr>
              <w:t>名称</w:t>
            </w:r>
          </w:p>
        </w:tc>
        <w:tc>
          <w:tcPr>
            <w:tcW w:w="4601" w:type="dxa"/>
            <w:vAlign w:val="center"/>
          </w:tcPr>
          <w:p w14:paraId="6CE995B7">
            <w:pPr>
              <w:snapToGrid w:val="0"/>
              <w:jc w:val="both"/>
              <w:rPr>
                <w:rFonts w:ascii="宋体" w:hAnsi="宋体" w:cstheme="minorEastAsia"/>
                <w:b/>
                <w:bCs/>
                <w:sz w:val="21"/>
                <w:szCs w:val="21"/>
              </w:rPr>
            </w:pPr>
            <w:r>
              <w:rPr>
                <w:rFonts w:hint="eastAsia" w:ascii="宋体" w:hAnsi="宋体" w:cstheme="minorEastAsia"/>
                <w:b/>
                <w:bCs/>
                <w:sz w:val="21"/>
                <w:szCs w:val="21"/>
              </w:rPr>
              <w:t>技术参数要求</w:t>
            </w:r>
          </w:p>
        </w:tc>
        <w:tc>
          <w:tcPr>
            <w:tcW w:w="2022" w:type="dxa"/>
            <w:vAlign w:val="center"/>
          </w:tcPr>
          <w:p w14:paraId="5821757B">
            <w:pPr>
              <w:snapToGrid w:val="0"/>
              <w:jc w:val="both"/>
              <w:rPr>
                <w:rFonts w:ascii="宋体" w:hAnsi="宋体" w:cstheme="minorEastAsia"/>
                <w:b/>
                <w:bCs/>
                <w:sz w:val="21"/>
                <w:szCs w:val="21"/>
              </w:rPr>
            </w:pPr>
            <w:r>
              <w:rPr>
                <w:rFonts w:hint="eastAsia" w:ascii="宋体" w:hAnsi="宋体" w:cstheme="minorEastAsia"/>
                <w:b/>
                <w:bCs/>
                <w:sz w:val="21"/>
                <w:szCs w:val="21"/>
              </w:rPr>
              <w:t>拟投产品技术参数</w:t>
            </w:r>
          </w:p>
        </w:tc>
        <w:tc>
          <w:tcPr>
            <w:tcW w:w="0" w:type="auto"/>
            <w:vAlign w:val="center"/>
          </w:tcPr>
          <w:p w14:paraId="16A4CE05">
            <w:pPr>
              <w:snapToGrid w:val="0"/>
              <w:jc w:val="both"/>
              <w:rPr>
                <w:rFonts w:ascii="宋体" w:hAnsi="宋体" w:cstheme="minorEastAsia"/>
                <w:b/>
                <w:bCs/>
                <w:sz w:val="21"/>
                <w:szCs w:val="21"/>
              </w:rPr>
            </w:pPr>
            <w:r>
              <w:rPr>
                <w:rFonts w:hint="eastAsia" w:ascii="宋体" w:hAnsi="宋体" w:cstheme="minorEastAsia"/>
                <w:b/>
                <w:bCs/>
                <w:sz w:val="21"/>
                <w:szCs w:val="21"/>
              </w:rPr>
              <w:t>拟投品牌</w:t>
            </w:r>
          </w:p>
        </w:tc>
        <w:tc>
          <w:tcPr>
            <w:tcW w:w="0" w:type="auto"/>
            <w:vAlign w:val="center"/>
          </w:tcPr>
          <w:p w14:paraId="4B806397">
            <w:pPr>
              <w:snapToGrid w:val="0"/>
              <w:jc w:val="both"/>
              <w:rPr>
                <w:rFonts w:ascii="宋体" w:hAnsi="宋体" w:cstheme="minorEastAsia"/>
                <w:b/>
                <w:bCs/>
                <w:sz w:val="21"/>
                <w:szCs w:val="21"/>
              </w:rPr>
            </w:pPr>
            <w:r>
              <w:rPr>
                <w:rFonts w:hint="eastAsia" w:ascii="宋体" w:hAnsi="宋体" w:cstheme="minorEastAsia"/>
                <w:b/>
                <w:bCs/>
                <w:sz w:val="21"/>
                <w:szCs w:val="21"/>
              </w:rPr>
              <w:t>规格型号</w:t>
            </w:r>
          </w:p>
        </w:tc>
        <w:tc>
          <w:tcPr>
            <w:tcW w:w="1016" w:type="dxa"/>
            <w:vAlign w:val="center"/>
          </w:tcPr>
          <w:p w14:paraId="17798687">
            <w:pPr>
              <w:snapToGrid w:val="0"/>
              <w:jc w:val="both"/>
              <w:rPr>
                <w:rFonts w:ascii="宋体" w:hAnsi="宋体" w:cstheme="minorEastAsia"/>
                <w:b/>
                <w:bCs/>
                <w:sz w:val="21"/>
                <w:szCs w:val="21"/>
              </w:rPr>
            </w:pPr>
            <w:r>
              <w:rPr>
                <w:rFonts w:hint="eastAsia" w:ascii="宋体" w:hAnsi="宋体" w:cstheme="minorEastAsia"/>
                <w:b/>
                <w:bCs/>
                <w:sz w:val="21"/>
                <w:szCs w:val="21"/>
              </w:rPr>
              <w:t>单位</w:t>
            </w:r>
          </w:p>
        </w:tc>
        <w:tc>
          <w:tcPr>
            <w:tcW w:w="609" w:type="dxa"/>
            <w:vAlign w:val="center"/>
          </w:tcPr>
          <w:p w14:paraId="2C2AA763">
            <w:pPr>
              <w:snapToGrid w:val="0"/>
              <w:jc w:val="both"/>
              <w:rPr>
                <w:rFonts w:ascii="宋体" w:hAnsi="宋体" w:cstheme="minorEastAsia"/>
                <w:b/>
                <w:bCs/>
                <w:sz w:val="21"/>
                <w:szCs w:val="21"/>
              </w:rPr>
            </w:pPr>
            <w:r>
              <w:rPr>
                <w:rFonts w:hint="eastAsia" w:ascii="宋体" w:hAnsi="宋体" w:cstheme="minorEastAsia"/>
                <w:b/>
                <w:bCs/>
                <w:sz w:val="21"/>
                <w:szCs w:val="21"/>
              </w:rPr>
              <w:t>数量</w:t>
            </w:r>
          </w:p>
        </w:tc>
        <w:tc>
          <w:tcPr>
            <w:tcW w:w="0" w:type="auto"/>
            <w:vAlign w:val="center"/>
          </w:tcPr>
          <w:p w14:paraId="7B64393C">
            <w:pPr>
              <w:snapToGrid w:val="0"/>
              <w:jc w:val="both"/>
              <w:rPr>
                <w:rFonts w:ascii="宋体" w:hAnsi="宋体" w:cstheme="minorEastAsia"/>
                <w:b/>
                <w:bCs/>
                <w:sz w:val="21"/>
                <w:szCs w:val="21"/>
              </w:rPr>
            </w:pPr>
            <w:r>
              <w:rPr>
                <w:rFonts w:hint="eastAsia" w:ascii="宋体" w:hAnsi="宋体" w:cstheme="minorEastAsia"/>
                <w:b/>
                <w:bCs/>
                <w:sz w:val="21"/>
                <w:szCs w:val="21"/>
              </w:rPr>
              <w:t>增值税税率</w:t>
            </w:r>
          </w:p>
        </w:tc>
        <w:tc>
          <w:tcPr>
            <w:tcW w:w="0" w:type="auto"/>
            <w:vAlign w:val="center"/>
          </w:tcPr>
          <w:p w14:paraId="4EF49C72">
            <w:pPr>
              <w:snapToGrid w:val="0"/>
              <w:jc w:val="both"/>
              <w:rPr>
                <w:rFonts w:ascii="宋体" w:hAnsi="宋体" w:cstheme="minorEastAsia"/>
                <w:b/>
                <w:bCs/>
                <w:sz w:val="21"/>
                <w:szCs w:val="21"/>
              </w:rPr>
            </w:pPr>
            <w:r>
              <w:rPr>
                <w:rFonts w:hint="eastAsia" w:ascii="宋体" w:hAnsi="宋体" w:cstheme="minorEastAsia"/>
                <w:b/>
                <w:bCs/>
                <w:sz w:val="21"/>
                <w:szCs w:val="21"/>
              </w:rPr>
              <w:t>含税单价（元）</w:t>
            </w:r>
          </w:p>
        </w:tc>
        <w:tc>
          <w:tcPr>
            <w:tcW w:w="0" w:type="auto"/>
            <w:vAlign w:val="center"/>
          </w:tcPr>
          <w:p w14:paraId="19229FC0">
            <w:pPr>
              <w:snapToGrid w:val="0"/>
              <w:jc w:val="both"/>
              <w:rPr>
                <w:rFonts w:ascii="宋体" w:hAnsi="宋体" w:cstheme="minorEastAsia"/>
                <w:b/>
                <w:bCs/>
                <w:sz w:val="21"/>
                <w:szCs w:val="21"/>
              </w:rPr>
            </w:pPr>
            <w:r>
              <w:rPr>
                <w:rFonts w:hint="eastAsia" w:ascii="宋体" w:hAnsi="宋体" w:cstheme="minorEastAsia"/>
                <w:b/>
                <w:bCs/>
                <w:sz w:val="21"/>
                <w:szCs w:val="21"/>
              </w:rPr>
              <w:t>含税合价（元）</w:t>
            </w:r>
          </w:p>
        </w:tc>
        <w:tc>
          <w:tcPr>
            <w:tcW w:w="0" w:type="auto"/>
            <w:shd w:val="clear" w:color="auto" w:fill="auto"/>
            <w:vAlign w:val="center"/>
          </w:tcPr>
          <w:p w14:paraId="60575686">
            <w:pPr>
              <w:snapToGrid w:val="0"/>
              <w:jc w:val="both"/>
              <w:rPr>
                <w:rFonts w:ascii="宋体" w:hAnsi="宋体" w:cstheme="minorEastAsia"/>
                <w:b/>
                <w:bCs/>
                <w:sz w:val="21"/>
                <w:szCs w:val="21"/>
              </w:rPr>
            </w:pPr>
            <w:r>
              <w:rPr>
                <w:rFonts w:hint="eastAsia" w:ascii="宋体" w:hAnsi="宋体" w:cstheme="minorEastAsia"/>
                <w:b/>
                <w:bCs/>
                <w:sz w:val="21"/>
                <w:szCs w:val="21"/>
              </w:rPr>
              <w:t>备注</w:t>
            </w:r>
          </w:p>
        </w:tc>
      </w:tr>
      <w:tr w14:paraId="2458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56" w:type="dxa"/>
            <w:vAlign w:val="center"/>
          </w:tcPr>
          <w:p w14:paraId="29BF20C4">
            <w:pPr>
              <w:snapToGrid w:val="0"/>
              <w:jc w:val="both"/>
              <w:rPr>
                <w:rFonts w:ascii="宋体" w:hAnsi="宋体" w:cstheme="minorEastAsia"/>
                <w:b/>
                <w:bCs/>
                <w:sz w:val="21"/>
                <w:szCs w:val="21"/>
              </w:rPr>
            </w:pPr>
            <w:r>
              <w:rPr>
                <w:rFonts w:hint="eastAsia" w:ascii="宋体" w:hAnsi="宋体" w:cstheme="minorEastAsia"/>
                <w:b/>
                <w:bCs/>
                <w:sz w:val="21"/>
                <w:szCs w:val="21"/>
              </w:rPr>
              <w:t>一</w:t>
            </w:r>
          </w:p>
        </w:tc>
        <w:tc>
          <w:tcPr>
            <w:tcW w:w="13138" w:type="dxa"/>
            <w:gridSpan w:val="11"/>
            <w:vAlign w:val="center"/>
          </w:tcPr>
          <w:p w14:paraId="10E7A7AC">
            <w:pPr>
              <w:snapToGrid w:val="0"/>
              <w:jc w:val="both"/>
              <w:rPr>
                <w:rFonts w:ascii="宋体" w:hAnsi="宋体" w:cstheme="minorEastAsia"/>
                <w:b/>
                <w:bCs/>
                <w:sz w:val="21"/>
                <w:szCs w:val="21"/>
              </w:rPr>
            </w:pPr>
            <w:r>
              <w:rPr>
                <w:rFonts w:hint="eastAsia" w:ascii="宋体" w:hAnsi="宋体" w:cstheme="minorEastAsia"/>
                <w:b/>
                <w:bCs/>
                <w:sz w:val="21"/>
                <w:szCs w:val="21"/>
              </w:rPr>
              <w:t>技术工具升级</w:t>
            </w:r>
          </w:p>
        </w:tc>
      </w:tr>
      <w:tr w14:paraId="685A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405EAFE7">
            <w:pPr>
              <w:snapToGrid w:val="0"/>
              <w:jc w:val="both"/>
              <w:rPr>
                <w:rFonts w:ascii="宋体" w:hAnsi="宋体" w:cstheme="minorEastAsia"/>
                <w:bCs/>
                <w:sz w:val="16"/>
                <w:szCs w:val="16"/>
              </w:rPr>
            </w:pPr>
            <w:r>
              <w:rPr>
                <w:rFonts w:ascii="宋体" w:hAnsi="宋体"/>
                <w:sz w:val="16"/>
                <w:szCs w:val="16"/>
              </w:rPr>
              <w:t>1</w:t>
            </w:r>
          </w:p>
        </w:tc>
        <w:tc>
          <w:tcPr>
            <w:tcW w:w="1484" w:type="dxa"/>
            <w:vAlign w:val="center"/>
          </w:tcPr>
          <w:p w14:paraId="0B8F1A92">
            <w:pPr>
              <w:snapToGrid w:val="0"/>
              <w:jc w:val="both"/>
              <w:rPr>
                <w:rFonts w:ascii="宋体" w:hAnsi="宋体" w:cs="宋体"/>
                <w:sz w:val="16"/>
                <w:szCs w:val="16"/>
              </w:rPr>
            </w:pPr>
            <w:r>
              <w:rPr>
                <w:rFonts w:hint="eastAsia" w:ascii="宋体" w:hAnsi="宋体"/>
                <w:sz w:val="16"/>
                <w:szCs w:val="16"/>
              </w:rPr>
              <w:t>视觉算法软件</w:t>
            </w:r>
          </w:p>
        </w:tc>
        <w:tc>
          <w:tcPr>
            <w:tcW w:w="4601" w:type="dxa"/>
            <w:vAlign w:val="center"/>
          </w:tcPr>
          <w:p w14:paraId="0BFB0ADD">
            <w:pPr>
              <w:snapToGrid w:val="0"/>
              <w:jc w:val="both"/>
              <w:rPr>
                <w:rFonts w:ascii="宋体" w:hAnsi="宋体" w:cs="宋体"/>
                <w:sz w:val="16"/>
                <w:szCs w:val="16"/>
              </w:rPr>
            </w:pPr>
            <w:r>
              <w:rPr>
                <w:rFonts w:ascii="宋体" w:hAnsi="宋体"/>
                <w:sz w:val="16"/>
                <w:szCs w:val="16"/>
              </w:rPr>
              <w:t>1</w:t>
            </w:r>
            <w:r>
              <w:rPr>
                <w:rFonts w:hint="eastAsia" w:ascii="宋体" w:hAnsi="宋体"/>
                <w:sz w:val="16"/>
                <w:szCs w:val="16"/>
              </w:rPr>
              <w:t>、</w:t>
            </w:r>
            <w:r>
              <w:rPr>
                <w:rFonts w:hint="eastAsia"/>
                <w:sz w:val="16"/>
              </w:rPr>
              <w:t>开发训练用版本</w:t>
            </w:r>
            <w:r>
              <w:rPr>
                <w:rFonts w:hint="eastAsia" w:ascii="宋体" w:hAnsi="宋体"/>
                <w:sz w:val="16"/>
                <w:szCs w:val="16"/>
              </w:rPr>
              <w:t>（</w:t>
            </w:r>
            <w:r>
              <w:rPr>
                <w:rFonts w:ascii="宋体" w:hAnsi="宋体"/>
                <w:sz w:val="16"/>
                <w:szCs w:val="16"/>
              </w:rPr>
              <w:t>1</w:t>
            </w:r>
            <w:r>
              <w:rPr>
                <w:rFonts w:hint="eastAsia" w:ascii="宋体" w:hAnsi="宋体"/>
                <w:sz w:val="16"/>
                <w:szCs w:val="16"/>
              </w:rPr>
              <w:t>套）</w:t>
            </w:r>
            <w:r>
              <w:rPr>
                <w:rFonts w:ascii="宋体" w:hAnsi="宋体"/>
                <w:sz w:val="16"/>
                <w:szCs w:val="16"/>
              </w:rPr>
              <w:t xml:space="preserve">: </w:t>
            </w:r>
            <w:r>
              <w:rPr>
                <w:rFonts w:hint="eastAsia" w:ascii="宋体" w:hAnsi="宋体"/>
                <w:sz w:val="16"/>
                <w:szCs w:val="16"/>
              </w:rPr>
              <w:t>性能相当于或不低于</w:t>
            </w:r>
            <w:r>
              <w:rPr>
                <w:rFonts w:ascii="宋体" w:hAnsi="宋体"/>
                <w:sz w:val="16"/>
                <w:szCs w:val="16"/>
              </w:rPr>
              <w:t>HALCON</w:t>
            </w:r>
            <w:r>
              <w:rPr>
                <w:rFonts w:hint="eastAsia" w:ascii="宋体" w:hAnsi="宋体"/>
                <w:sz w:val="16"/>
                <w:szCs w:val="16"/>
              </w:rPr>
              <w:t>、</w:t>
            </w:r>
            <w:r>
              <w:rPr>
                <w:rFonts w:ascii="宋体" w:hAnsi="宋体"/>
                <w:sz w:val="16"/>
                <w:szCs w:val="16"/>
              </w:rPr>
              <w:t>AIDI</w:t>
            </w:r>
            <w:r>
              <w:rPr>
                <w:rFonts w:hint="eastAsia" w:ascii="宋体" w:hAnsi="宋体"/>
                <w:sz w:val="16"/>
                <w:szCs w:val="16"/>
              </w:rPr>
              <w:t>、</w:t>
            </w:r>
            <w:r>
              <w:rPr>
                <w:rFonts w:ascii="宋体" w:hAnsi="宋体"/>
                <w:sz w:val="16"/>
                <w:szCs w:val="16"/>
              </w:rPr>
              <w:t>VIDI</w:t>
            </w:r>
            <w:r>
              <w:rPr>
                <w:rFonts w:hint="eastAsia" w:ascii="宋体" w:hAnsi="宋体"/>
                <w:sz w:val="16"/>
                <w:szCs w:val="16"/>
              </w:rPr>
              <w:t>品牌最新版（物体检测特征、分类、语义分割、分类评估、快速标记、全文编辑器、鲁棒性应用、深度学习及其它功能的改进和提速）。</w:t>
            </w:r>
            <w:r>
              <w:rPr>
                <w:rFonts w:ascii="宋体" w:hAnsi="宋体"/>
                <w:sz w:val="16"/>
                <w:szCs w:val="16"/>
              </w:rPr>
              <w:br w:type="textWrapping"/>
            </w:r>
            <w:r>
              <w:rPr>
                <w:rFonts w:ascii="宋体" w:hAnsi="宋体"/>
                <w:sz w:val="16"/>
                <w:szCs w:val="16"/>
              </w:rPr>
              <w:t>2</w:t>
            </w:r>
            <w:r>
              <w:rPr>
                <w:rFonts w:hint="eastAsia" w:ascii="宋体" w:hAnsi="宋体"/>
                <w:sz w:val="16"/>
                <w:szCs w:val="16"/>
              </w:rPr>
              <w:t>、现场部署运行版本（</w:t>
            </w:r>
            <w:r>
              <w:rPr>
                <w:rFonts w:ascii="宋体" w:hAnsi="宋体"/>
                <w:sz w:val="16"/>
                <w:szCs w:val="16"/>
              </w:rPr>
              <w:t>2</w:t>
            </w:r>
            <w:r>
              <w:rPr>
                <w:rFonts w:hint="eastAsia" w:ascii="宋体" w:hAnsi="宋体"/>
                <w:sz w:val="16"/>
                <w:szCs w:val="16"/>
              </w:rPr>
              <w:t>套）</w:t>
            </w:r>
            <w:r>
              <w:rPr>
                <w:rFonts w:ascii="宋体" w:hAnsi="宋体"/>
                <w:sz w:val="16"/>
                <w:szCs w:val="16"/>
              </w:rPr>
              <w:t xml:space="preserve">: </w:t>
            </w:r>
            <w:r>
              <w:rPr>
                <w:rFonts w:hint="eastAsia" w:ascii="宋体" w:hAnsi="宋体"/>
                <w:sz w:val="16"/>
                <w:szCs w:val="16"/>
              </w:rPr>
              <w:t>性能相当于或不低于</w:t>
            </w:r>
            <w:r>
              <w:rPr>
                <w:rFonts w:ascii="宋体" w:hAnsi="宋体"/>
                <w:sz w:val="16"/>
                <w:szCs w:val="16"/>
              </w:rPr>
              <w:t>HALCON</w:t>
            </w:r>
            <w:r>
              <w:rPr>
                <w:rFonts w:hint="eastAsia" w:ascii="宋体" w:hAnsi="宋体"/>
                <w:sz w:val="16"/>
                <w:szCs w:val="16"/>
              </w:rPr>
              <w:t>、</w:t>
            </w:r>
            <w:r>
              <w:rPr>
                <w:rFonts w:ascii="宋体" w:hAnsi="宋体"/>
                <w:sz w:val="16"/>
                <w:szCs w:val="16"/>
              </w:rPr>
              <w:t>AIDI</w:t>
            </w:r>
            <w:r>
              <w:rPr>
                <w:rFonts w:hint="eastAsia" w:ascii="宋体" w:hAnsi="宋体"/>
                <w:sz w:val="16"/>
                <w:szCs w:val="16"/>
              </w:rPr>
              <w:t>、</w:t>
            </w:r>
            <w:r>
              <w:rPr>
                <w:rFonts w:ascii="宋体" w:hAnsi="宋体"/>
                <w:sz w:val="16"/>
                <w:szCs w:val="16"/>
              </w:rPr>
              <w:t>VIDI</w:t>
            </w:r>
            <w:r>
              <w:rPr>
                <w:rFonts w:hint="eastAsia" w:ascii="宋体" w:hAnsi="宋体"/>
                <w:sz w:val="16"/>
                <w:szCs w:val="16"/>
              </w:rPr>
              <w:t>品牌最新版（加速因子、算子自动并行化、代码共享、深度学习及并行化编程）</w:t>
            </w:r>
          </w:p>
        </w:tc>
        <w:tc>
          <w:tcPr>
            <w:tcW w:w="2022" w:type="dxa"/>
            <w:vAlign w:val="center"/>
          </w:tcPr>
          <w:p w14:paraId="38DC8020">
            <w:pPr>
              <w:snapToGrid w:val="0"/>
              <w:jc w:val="both"/>
              <w:rPr>
                <w:rFonts w:ascii="宋体" w:hAnsi="宋体" w:cstheme="minorEastAsia"/>
                <w:bCs/>
                <w:sz w:val="16"/>
                <w:szCs w:val="16"/>
              </w:rPr>
            </w:pPr>
          </w:p>
        </w:tc>
        <w:tc>
          <w:tcPr>
            <w:tcW w:w="0" w:type="auto"/>
            <w:vAlign w:val="center"/>
          </w:tcPr>
          <w:p w14:paraId="7E2C1C2B">
            <w:pPr>
              <w:jc w:val="both"/>
              <w:textAlignment w:val="center"/>
              <w:rPr>
                <w:rFonts w:ascii="宋体" w:hAnsi="宋体" w:cstheme="minorEastAsia"/>
                <w:bCs/>
                <w:sz w:val="16"/>
                <w:szCs w:val="16"/>
              </w:rPr>
            </w:pPr>
          </w:p>
        </w:tc>
        <w:tc>
          <w:tcPr>
            <w:tcW w:w="0" w:type="auto"/>
            <w:vAlign w:val="center"/>
          </w:tcPr>
          <w:p w14:paraId="7D41A7EF">
            <w:pPr>
              <w:jc w:val="both"/>
              <w:textAlignment w:val="center"/>
              <w:rPr>
                <w:rFonts w:ascii="宋体" w:hAnsi="宋体" w:cstheme="minorEastAsia"/>
                <w:bCs/>
                <w:sz w:val="16"/>
                <w:szCs w:val="16"/>
              </w:rPr>
            </w:pPr>
          </w:p>
        </w:tc>
        <w:tc>
          <w:tcPr>
            <w:tcW w:w="1016" w:type="dxa"/>
            <w:vAlign w:val="center"/>
          </w:tcPr>
          <w:p w14:paraId="5AD48804">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2672D599">
            <w:pPr>
              <w:jc w:val="both"/>
              <w:textAlignment w:val="center"/>
              <w:rPr>
                <w:rFonts w:ascii="宋体" w:hAnsi="宋体" w:cstheme="minorEastAsia"/>
                <w:bCs/>
                <w:sz w:val="16"/>
                <w:szCs w:val="16"/>
                <w:highlight w:val="yellow"/>
              </w:rPr>
            </w:pPr>
            <w:r>
              <w:rPr>
                <w:rFonts w:ascii="宋体" w:hAnsi="宋体"/>
                <w:sz w:val="16"/>
                <w:szCs w:val="16"/>
              </w:rPr>
              <w:t>1</w:t>
            </w:r>
          </w:p>
        </w:tc>
        <w:tc>
          <w:tcPr>
            <w:tcW w:w="0" w:type="auto"/>
            <w:vAlign w:val="center"/>
          </w:tcPr>
          <w:p w14:paraId="1E7927C0">
            <w:pPr>
              <w:jc w:val="both"/>
              <w:textAlignment w:val="center"/>
              <w:rPr>
                <w:rFonts w:ascii="宋体" w:hAnsi="宋体" w:cstheme="minorEastAsia"/>
                <w:bCs/>
                <w:sz w:val="16"/>
                <w:szCs w:val="16"/>
              </w:rPr>
            </w:pPr>
          </w:p>
        </w:tc>
        <w:tc>
          <w:tcPr>
            <w:tcW w:w="0" w:type="auto"/>
            <w:vAlign w:val="center"/>
          </w:tcPr>
          <w:p w14:paraId="28F6AA12">
            <w:pPr>
              <w:jc w:val="both"/>
              <w:textAlignment w:val="center"/>
              <w:rPr>
                <w:rFonts w:ascii="宋体" w:hAnsi="宋体" w:cstheme="minorEastAsia"/>
                <w:bCs/>
                <w:sz w:val="16"/>
                <w:szCs w:val="16"/>
              </w:rPr>
            </w:pPr>
          </w:p>
        </w:tc>
        <w:tc>
          <w:tcPr>
            <w:tcW w:w="0" w:type="auto"/>
            <w:vAlign w:val="center"/>
          </w:tcPr>
          <w:p w14:paraId="19E74CA8">
            <w:pPr>
              <w:jc w:val="both"/>
              <w:textAlignment w:val="center"/>
              <w:rPr>
                <w:rFonts w:ascii="宋体" w:hAnsi="宋体" w:cstheme="minorEastAsia"/>
                <w:bCs/>
                <w:sz w:val="16"/>
                <w:szCs w:val="16"/>
              </w:rPr>
            </w:pPr>
          </w:p>
        </w:tc>
        <w:tc>
          <w:tcPr>
            <w:tcW w:w="0" w:type="auto"/>
            <w:shd w:val="clear" w:color="auto" w:fill="auto"/>
            <w:vAlign w:val="center"/>
          </w:tcPr>
          <w:p w14:paraId="597493E2">
            <w:pPr>
              <w:snapToGrid w:val="0"/>
              <w:jc w:val="both"/>
              <w:rPr>
                <w:rFonts w:ascii="宋体" w:hAnsi="宋体" w:cs="宋体"/>
                <w:sz w:val="16"/>
                <w:szCs w:val="16"/>
              </w:rPr>
            </w:pPr>
            <w:r>
              <w:rPr>
                <w:rFonts w:hint="eastAsia" w:ascii="宋体" w:hAnsi="宋体" w:cstheme="minorEastAsia"/>
                <w:bCs/>
                <w:sz w:val="16"/>
                <w:szCs w:val="16"/>
              </w:rPr>
              <w:t>含辅材及安装调试</w:t>
            </w:r>
          </w:p>
        </w:tc>
      </w:tr>
      <w:tr w14:paraId="2FDA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56" w:type="dxa"/>
            <w:vAlign w:val="center"/>
          </w:tcPr>
          <w:p w14:paraId="3F801609">
            <w:pPr>
              <w:snapToGrid w:val="0"/>
              <w:jc w:val="both"/>
              <w:rPr>
                <w:rFonts w:ascii="宋体" w:hAnsi="宋体" w:cstheme="minorEastAsia"/>
                <w:b/>
                <w:bCs/>
                <w:sz w:val="21"/>
                <w:szCs w:val="21"/>
              </w:rPr>
            </w:pPr>
            <w:r>
              <w:rPr>
                <w:rFonts w:hint="eastAsia" w:ascii="宋体" w:hAnsi="宋体" w:cstheme="minorEastAsia"/>
                <w:b/>
                <w:bCs/>
                <w:sz w:val="21"/>
                <w:szCs w:val="21"/>
              </w:rPr>
              <w:t>二</w:t>
            </w:r>
          </w:p>
        </w:tc>
        <w:tc>
          <w:tcPr>
            <w:tcW w:w="13138" w:type="dxa"/>
            <w:gridSpan w:val="11"/>
            <w:vAlign w:val="center"/>
          </w:tcPr>
          <w:p w14:paraId="5EA810BB">
            <w:pPr>
              <w:snapToGrid w:val="0"/>
              <w:jc w:val="both"/>
              <w:rPr>
                <w:rFonts w:ascii="宋体" w:hAnsi="宋体" w:cstheme="minorEastAsia"/>
                <w:b/>
                <w:bCs/>
                <w:sz w:val="21"/>
                <w:szCs w:val="21"/>
              </w:rPr>
            </w:pPr>
            <w:r>
              <w:rPr>
                <w:rFonts w:hint="eastAsia" w:ascii="宋体" w:hAnsi="宋体" w:cstheme="minorEastAsia"/>
                <w:b/>
                <w:bCs/>
                <w:sz w:val="21"/>
                <w:szCs w:val="21"/>
              </w:rPr>
              <w:t>基于二维码的创新应用</w:t>
            </w:r>
          </w:p>
        </w:tc>
      </w:tr>
      <w:tr w14:paraId="3871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856" w:type="dxa"/>
            <w:vAlign w:val="center"/>
          </w:tcPr>
          <w:p w14:paraId="602BB3E1">
            <w:pPr>
              <w:snapToGrid w:val="0"/>
              <w:jc w:val="both"/>
              <w:rPr>
                <w:rFonts w:ascii="宋体" w:hAnsi="宋体" w:cstheme="minorEastAsia"/>
                <w:b/>
                <w:bCs/>
                <w:sz w:val="21"/>
                <w:szCs w:val="21"/>
              </w:rPr>
            </w:pPr>
            <w:r>
              <w:rPr>
                <w:rFonts w:hint="eastAsia" w:ascii="宋体" w:hAnsi="宋体" w:cstheme="minorEastAsia"/>
                <w:b/>
                <w:bCs/>
                <w:sz w:val="16"/>
                <w:szCs w:val="21"/>
              </w:rPr>
              <w:t>1</w:t>
            </w:r>
          </w:p>
        </w:tc>
        <w:tc>
          <w:tcPr>
            <w:tcW w:w="13138" w:type="dxa"/>
            <w:gridSpan w:val="11"/>
            <w:vAlign w:val="center"/>
          </w:tcPr>
          <w:p w14:paraId="07A0A1F2">
            <w:pPr>
              <w:snapToGrid w:val="0"/>
              <w:jc w:val="both"/>
              <w:rPr>
                <w:rFonts w:ascii="宋体" w:hAnsi="宋体" w:cstheme="minorEastAsia"/>
                <w:b/>
                <w:bCs/>
                <w:sz w:val="21"/>
                <w:szCs w:val="21"/>
              </w:rPr>
            </w:pPr>
            <w:r>
              <w:rPr>
                <w:rFonts w:hint="eastAsia" w:ascii="宋体" w:hAnsi="宋体" w:cstheme="minorEastAsia"/>
                <w:b/>
                <w:bCs/>
                <w:sz w:val="16"/>
                <w:szCs w:val="16"/>
              </w:rPr>
              <w:t>基于二维码的涉烟废弃物监管应用硬件购置</w:t>
            </w:r>
          </w:p>
        </w:tc>
      </w:tr>
      <w:tr w14:paraId="0CC0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56" w:type="dxa"/>
            <w:vAlign w:val="center"/>
          </w:tcPr>
          <w:p w14:paraId="52E0F967">
            <w:pPr>
              <w:snapToGrid w:val="0"/>
              <w:jc w:val="both"/>
              <w:rPr>
                <w:rFonts w:ascii="宋体" w:hAnsi="宋体" w:cstheme="minorEastAsia"/>
                <w:bCs/>
                <w:sz w:val="16"/>
                <w:szCs w:val="16"/>
              </w:rPr>
            </w:pPr>
            <w:r>
              <w:rPr>
                <w:rFonts w:ascii="宋体" w:hAnsi="宋体"/>
                <w:sz w:val="16"/>
                <w:szCs w:val="16"/>
              </w:rPr>
              <w:t>1.1</w:t>
            </w:r>
          </w:p>
        </w:tc>
        <w:tc>
          <w:tcPr>
            <w:tcW w:w="1484" w:type="dxa"/>
            <w:vAlign w:val="center"/>
          </w:tcPr>
          <w:p w14:paraId="1BCCBDF6">
            <w:pPr>
              <w:snapToGrid w:val="0"/>
              <w:jc w:val="both"/>
              <w:rPr>
                <w:rFonts w:ascii="宋体" w:hAnsi="宋体" w:cs="宋体"/>
                <w:sz w:val="16"/>
                <w:szCs w:val="16"/>
              </w:rPr>
            </w:pPr>
            <w:r>
              <w:rPr>
                <w:rFonts w:hint="eastAsia" w:ascii="宋体" w:hAnsi="宋体"/>
                <w:sz w:val="16"/>
                <w:szCs w:val="16"/>
              </w:rPr>
              <w:t>电子称重仪表</w:t>
            </w:r>
            <w:r>
              <w:rPr>
                <w:rFonts w:ascii="宋体" w:hAnsi="宋体"/>
                <w:sz w:val="16"/>
                <w:szCs w:val="16"/>
              </w:rPr>
              <w:t xml:space="preserve">WIFI </w:t>
            </w:r>
            <w:r>
              <w:rPr>
                <w:rFonts w:hint="eastAsia" w:ascii="宋体" w:hAnsi="宋体"/>
                <w:sz w:val="16"/>
                <w:szCs w:val="16"/>
              </w:rPr>
              <w:t>数字网络</w:t>
            </w:r>
          </w:p>
        </w:tc>
        <w:tc>
          <w:tcPr>
            <w:tcW w:w="4601" w:type="dxa"/>
            <w:vAlign w:val="center"/>
          </w:tcPr>
          <w:p w14:paraId="18A03C2B">
            <w:pPr>
              <w:snapToGrid w:val="0"/>
              <w:jc w:val="both"/>
              <w:rPr>
                <w:rFonts w:ascii="宋体" w:hAnsi="宋体" w:cs="宋体"/>
                <w:sz w:val="16"/>
                <w:szCs w:val="16"/>
              </w:rPr>
            </w:pPr>
            <w:r>
              <w:rPr>
                <w:rFonts w:hint="eastAsia" w:ascii="宋体" w:hAnsi="宋体"/>
                <w:sz w:val="16"/>
                <w:szCs w:val="16"/>
              </w:rPr>
              <w:t>对卷包车间现有</w:t>
            </w:r>
            <w:r>
              <w:rPr>
                <w:rFonts w:ascii="宋体" w:hAnsi="宋体"/>
                <w:sz w:val="16"/>
                <w:szCs w:val="16"/>
              </w:rPr>
              <w:t>6</w:t>
            </w:r>
            <w:r>
              <w:rPr>
                <w:rFonts w:hint="eastAsia" w:ascii="宋体" w:hAnsi="宋体"/>
                <w:sz w:val="16"/>
                <w:szCs w:val="16"/>
              </w:rPr>
              <w:t>台电子秤（梅特勒</w:t>
            </w:r>
            <w:r>
              <w:rPr>
                <w:rFonts w:ascii="宋体" w:hAnsi="宋体"/>
                <w:sz w:val="16"/>
                <w:szCs w:val="16"/>
              </w:rPr>
              <w:t>-</w:t>
            </w:r>
            <w:r>
              <w:rPr>
                <w:rFonts w:hint="eastAsia" w:ascii="宋体" w:hAnsi="宋体"/>
                <w:sz w:val="16"/>
                <w:szCs w:val="16"/>
              </w:rPr>
              <w:t>托利多），进行可</w:t>
            </w:r>
            <w:r>
              <w:rPr>
                <w:rFonts w:ascii="宋体" w:hAnsi="宋体"/>
                <w:sz w:val="16"/>
                <w:szCs w:val="16"/>
              </w:rPr>
              <w:t>wifi</w:t>
            </w:r>
            <w:r>
              <w:rPr>
                <w:rFonts w:hint="eastAsia" w:ascii="宋体" w:hAnsi="宋体"/>
                <w:sz w:val="16"/>
                <w:szCs w:val="16"/>
              </w:rPr>
              <w:t>数采改造</w:t>
            </w:r>
          </w:p>
        </w:tc>
        <w:tc>
          <w:tcPr>
            <w:tcW w:w="2022" w:type="dxa"/>
            <w:vAlign w:val="center"/>
          </w:tcPr>
          <w:p w14:paraId="56310121">
            <w:pPr>
              <w:snapToGrid w:val="0"/>
              <w:jc w:val="both"/>
              <w:rPr>
                <w:rFonts w:ascii="宋体" w:hAnsi="宋体" w:cstheme="minorEastAsia"/>
                <w:bCs/>
                <w:sz w:val="16"/>
                <w:szCs w:val="16"/>
              </w:rPr>
            </w:pPr>
          </w:p>
        </w:tc>
        <w:tc>
          <w:tcPr>
            <w:tcW w:w="0" w:type="auto"/>
            <w:vAlign w:val="center"/>
          </w:tcPr>
          <w:p w14:paraId="31054214">
            <w:pPr>
              <w:jc w:val="both"/>
              <w:textAlignment w:val="center"/>
              <w:rPr>
                <w:rFonts w:ascii="宋体" w:hAnsi="宋体" w:cstheme="minorEastAsia"/>
                <w:bCs/>
                <w:sz w:val="16"/>
                <w:szCs w:val="16"/>
              </w:rPr>
            </w:pPr>
          </w:p>
        </w:tc>
        <w:tc>
          <w:tcPr>
            <w:tcW w:w="0" w:type="auto"/>
            <w:vAlign w:val="center"/>
          </w:tcPr>
          <w:p w14:paraId="31C4D31B">
            <w:pPr>
              <w:jc w:val="both"/>
              <w:textAlignment w:val="center"/>
              <w:rPr>
                <w:rFonts w:ascii="宋体" w:hAnsi="宋体" w:cstheme="minorEastAsia"/>
                <w:bCs/>
                <w:sz w:val="16"/>
                <w:szCs w:val="16"/>
              </w:rPr>
            </w:pPr>
          </w:p>
        </w:tc>
        <w:tc>
          <w:tcPr>
            <w:tcW w:w="1016" w:type="dxa"/>
            <w:vAlign w:val="center"/>
          </w:tcPr>
          <w:p w14:paraId="66E3847A">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415E3C13">
            <w:pPr>
              <w:jc w:val="both"/>
              <w:textAlignment w:val="center"/>
              <w:rPr>
                <w:rFonts w:ascii="宋体" w:hAnsi="宋体" w:cstheme="minorEastAsia"/>
                <w:bCs/>
                <w:sz w:val="16"/>
                <w:szCs w:val="16"/>
                <w:highlight w:val="yellow"/>
              </w:rPr>
            </w:pPr>
            <w:r>
              <w:rPr>
                <w:rFonts w:ascii="宋体" w:hAnsi="宋体"/>
                <w:sz w:val="16"/>
                <w:szCs w:val="16"/>
              </w:rPr>
              <w:t>6</w:t>
            </w:r>
          </w:p>
        </w:tc>
        <w:tc>
          <w:tcPr>
            <w:tcW w:w="0" w:type="auto"/>
            <w:vAlign w:val="center"/>
          </w:tcPr>
          <w:p w14:paraId="57337320">
            <w:pPr>
              <w:jc w:val="both"/>
              <w:textAlignment w:val="center"/>
              <w:rPr>
                <w:rFonts w:ascii="宋体" w:hAnsi="宋体" w:cstheme="minorEastAsia"/>
                <w:bCs/>
                <w:sz w:val="16"/>
                <w:szCs w:val="16"/>
              </w:rPr>
            </w:pPr>
          </w:p>
        </w:tc>
        <w:tc>
          <w:tcPr>
            <w:tcW w:w="0" w:type="auto"/>
            <w:vAlign w:val="center"/>
          </w:tcPr>
          <w:p w14:paraId="6BD484BD">
            <w:pPr>
              <w:jc w:val="both"/>
              <w:textAlignment w:val="center"/>
              <w:rPr>
                <w:rFonts w:ascii="宋体" w:hAnsi="宋体" w:cstheme="minorEastAsia"/>
                <w:bCs/>
                <w:sz w:val="16"/>
                <w:szCs w:val="16"/>
              </w:rPr>
            </w:pPr>
          </w:p>
        </w:tc>
        <w:tc>
          <w:tcPr>
            <w:tcW w:w="0" w:type="auto"/>
            <w:vAlign w:val="center"/>
          </w:tcPr>
          <w:p w14:paraId="52F53900">
            <w:pPr>
              <w:jc w:val="both"/>
              <w:textAlignment w:val="center"/>
              <w:rPr>
                <w:rFonts w:ascii="宋体" w:hAnsi="宋体" w:cstheme="minorEastAsia"/>
                <w:bCs/>
                <w:sz w:val="16"/>
                <w:szCs w:val="16"/>
              </w:rPr>
            </w:pPr>
          </w:p>
        </w:tc>
        <w:tc>
          <w:tcPr>
            <w:tcW w:w="0" w:type="auto"/>
            <w:shd w:val="clear" w:color="auto" w:fill="auto"/>
            <w:vAlign w:val="center"/>
          </w:tcPr>
          <w:p w14:paraId="24989609">
            <w:pPr>
              <w:snapToGrid w:val="0"/>
              <w:jc w:val="both"/>
              <w:rPr>
                <w:rFonts w:ascii="宋体" w:hAnsi="宋体" w:cstheme="minorEastAsia"/>
                <w:bCs/>
                <w:sz w:val="16"/>
                <w:szCs w:val="16"/>
              </w:rPr>
            </w:pPr>
          </w:p>
        </w:tc>
      </w:tr>
      <w:tr w14:paraId="3242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0559BE1B">
            <w:pPr>
              <w:snapToGrid w:val="0"/>
              <w:jc w:val="both"/>
              <w:rPr>
                <w:rFonts w:ascii="宋体" w:hAnsi="宋体"/>
                <w:sz w:val="16"/>
                <w:szCs w:val="16"/>
              </w:rPr>
            </w:pPr>
            <w:r>
              <w:rPr>
                <w:rFonts w:ascii="宋体" w:hAnsi="宋体"/>
                <w:sz w:val="16"/>
                <w:szCs w:val="16"/>
              </w:rPr>
              <w:t>1.2</w:t>
            </w:r>
          </w:p>
        </w:tc>
        <w:tc>
          <w:tcPr>
            <w:tcW w:w="1484" w:type="dxa"/>
            <w:vAlign w:val="center"/>
          </w:tcPr>
          <w:p w14:paraId="5EDEB21A">
            <w:pPr>
              <w:snapToGrid w:val="0"/>
              <w:jc w:val="both"/>
              <w:rPr>
                <w:rFonts w:ascii="宋体" w:hAnsi="宋体" w:cstheme="minorEastAsia"/>
                <w:bCs/>
                <w:sz w:val="16"/>
                <w:szCs w:val="16"/>
              </w:rPr>
            </w:pPr>
            <w:r>
              <w:rPr>
                <w:rFonts w:hint="eastAsia" w:ascii="宋体" w:hAnsi="宋体"/>
                <w:sz w:val="16"/>
                <w:szCs w:val="16"/>
              </w:rPr>
              <w:t>无线</w:t>
            </w:r>
            <w:r>
              <w:rPr>
                <w:rFonts w:ascii="宋体" w:hAnsi="宋体"/>
                <w:sz w:val="16"/>
                <w:szCs w:val="16"/>
              </w:rPr>
              <w:t xml:space="preserve">WIFI  </w:t>
            </w:r>
            <w:r>
              <w:rPr>
                <w:rFonts w:ascii="宋体" w:hAnsi="宋体"/>
                <w:sz w:val="16"/>
                <w:szCs w:val="16"/>
              </w:rPr>
              <w:br w:type="textWrapping"/>
            </w:r>
            <w:r>
              <w:rPr>
                <w:rFonts w:hint="eastAsia" w:ascii="宋体" w:hAnsi="宋体"/>
                <w:sz w:val="16"/>
                <w:szCs w:val="16"/>
              </w:rPr>
              <w:t>电子秤</w:t>
            </w:r>
          </w:p>
        </w:tc>
        <w:tc>
          <w:tcPr>
            <w:tcW w:w="4601" w:type="dxa"/>
            <w:vAlign w:val="center"/>
          </w:tcPr>
          <w:p w14:paraId="2063744D">
            <w:pPr>
              <w:snapToGrid w:val="0"/>
              <w:jc w:val="both"/>
              <w:rPr>
                <w:rFonts w:ascii="宋体" w:hAnsi="宋体"/>
                <w:sz w:val="16"/>
                <w:szCs w:val="16"/>
              </w:rPr>
            </w:pPr>
            <w:r>
              <w:rPr>
                <w:rFonts w:hint="eastAsia" w:ascii="宋体" w:hAnsi="宋体"/>
                <w:sz w:val="16"/>
                <w:szCs w:val="16"/>
              </w:rPr>
              <w:t>最大秤量</w:t>
            </w:r>
            <w:r>
              <w:rPr>
                <w:rFonts w:ascii="宋体" w:hAnsi="宋体"/>
                <w:sz w:val="16"/>
                <w:szCs w:val="16"/>
              </w:rPr>
              <w:t>: 300kg</w:t>
            </w:r>
            <w:r>
              <w:rPr>
                <w:rFonts w:hint="eastAsia" w:ascii="宋体" w:hAnsi="宋体"/>
                <w:sz w:val="16"/>
                <w:szCs w:val="16"/>
              </w:rPr>
              <w:t>；检定分度值：</w:t>
            </w:r>
            <w:r>
              <w:rPr>
                <w:rFonts w:ascii="宋体" w:hAnsi="宋体"/>
                <w:sz w:val="16"/>
                <w:szCs w:val="16"/>
              </w:rPr>
              <w:t>100g</w:t>
            </w:r>
            <w:r>
              <w:rPr>
                <w:rFonts w:hint="eastAsia" w:ascii="宋体" w:hAnsi="宋体"/>
                <w:sz w:val="16"/>
                <w:szCs w:val="16"/>
              </w:rPr>
              <w:t>；秤台规格</w:t>
            </w:r>
            <w:r>
              <w:rPr>
                <w:rFonts w:ascii="宋体" w:hAnsi="宋体"/>
                <w:sz w:val="16"/>
                <w:szCs w:val="16"/>
              </w:rPr>
              <w:t>: 600*800mm</w:t>
            </w:r>
            <w:r>
              <w:rPr>
                <w:rFonts w:hint="eastAsia" w:ascii="宋体" w:hAnsi="宋体"/>
                <w:sz w:val="16"/>
                <w:szCs w:val="16"/>
              </w:rPr>
              <w:t>；通讯：</w:t>
            </w:r>
            <w:r>
              <w:rPr>
                <w:rFonts w:ascii="宋体" w:hAnsi="宋体"/>
                <w:sz w:val="16"/>
                <w:szCs w:val="16"/>
              </w:rPr>
              <w:t xml:space="preserve">WIFI </w:t>
            </w:r>
            <w:r>
              <w:rPr>
                <w:rFonts w:hint="eastAsia" w:ascii="宋体" w:hAnsi="宋体"/>
                <w:sz w:val="16"/>
                <w:szCs w:val="16"/>
              </w:rPr>
              <w:t>接口；材质：秤体碳钢，台面不锈钢。</w:t>
            </w:r>
            <w:r>
              <w:rPr>
                <w:rFonts w:ascii="宋体" w:hAnsi="宋体"/>
                <w:sz w:val="16"/>
                <w:szCs w:val="16"/>
              </w:rPr>
              <w:br w:type="textWrapping"/>
            </w:r>
            <w:r>
              <w:rPr>
                <w:rFonts w:hint="eastAsia" w:ascii="宋体" w:hAnsi="宋体"/>
                <w:sz w:val="16"/>
                <w:szCs w:val="16"/>
              </w:rPr>
              <w:t>电子秤秤体和台面</w:t>
            </w:r>
            <w:r>
              <w:rPr>
                <w:rFonts w:ascii="宋体" w:hAnsi="宋体"/>
                <w:sz w:val="16"/>
                <w:szCs w:val="16"/>
              </w:rPr>
              <w:t>*1</w:t>
            </w:r>
            <w:r>
              <w:rPr>
                <w:rFonts w:hint="eastAsia" w:ascii="宋体" w:hAnsi="宋体"/>
                <w:sz w:val="16"/>
                <w:szCs w:val="16"/>
              </w:rPr>
              <w:t>，安装立柱</w:t>
            </w:r>
            <w:r>
              <w:rPr>
                <w:rFonts w:ascii="宋体" w:hAnsi="宋体"/>
                <w:sz w:val="16"/>
                <w:szCs w:val="16"/>
              </w:rPr>
              <w:t>*1</w:t>
            </w:r>
            <w:r>
              <w:rPr>
                <w:rFonts w:hint="eastAsia" w:ascii="宋体" w:hAnsi="宋体"/>
                <w:sz w:val="16"/>
                <w:szCs w:val="16"/>
              </w:rPr>
              <w:t>，称重传感器</w:t>
            </w:r>
            <w:r>
              <w:rPr>
                <w:rFonts w:ascii="宋体" w:hAnsi="宋体"/>
                <w:sz w:val="16"/>
                <w:szCs w:val="16"/>
              </w:rPr>
              <w:t>*1</w:t>
            </w:r>
            <w:r>
              <w:rPr>
                <w:rFonts w:hint="eastAsia" w:ascii="宋体" w:hAnsi="宋体"/>
                <w:sz w:val="16"/>
                <w:szCs w:val="16"/>
              </w:rPr>
              <w:t>，称重仪表</w:t>
            </w:r>
            <w:r>
              <w:rPr>
                <w:rFonts w:ascii="宋体" w:hAnsi="宋体"/>
                <w:sz w:val="16"/>
                <w:szCs w:val="16"/>
              </w:rPr>
              <w:t>*1</w:t>
            </w:r>
            <w:r>
              <w:rPr>
                <w:rFonts w:hint="eastAsia" w:ascii="宋体" w:hAnsi="宋体"/>
                <w:sz w:val="16"/>
                <w:szCs w:val="16"/>
              </w:rPr>
              <w:t>，称重信号电缆</w:t>
            </w:r>
            <w:r>
              <w:rPr>
                <w:rFonts w:ascii="宋体" w:hAnsi="宋体"/>
                <w:sz w:val="16"/>
                <w:szCs w:val="16"/>
              </w:rPr>
              <w:t>*1</w:t>
            </w:r>
            <w:r>
              <w:rPr>
                <w:rFonts w:hint="eastAsia" w:ascii="宋体" w:hAnsi="宋体"/>
                <w:sz w:val="16"/>
                <w:szCs w:val="16"/>
              </w:rPr>
              <w:t>，</w:t>
            </w:r>
            <w:r>
              <w:rPr>
                <w:rFonts w:ascii="宋体" w:hAnsi="宋体"/>
                <w:sz w:val="16"/>
                <w:szCs w:val="16"/>
              </w:rPr>
              <w:t xml:space="preserve">WIFI </w:t>
            </w:r>
            <w:r>
              <w:rPr>
                <w:rFonts w:hint="eastAsia" w:ascii="宋体" w:hAnsi="宋体"/>
                <w:sz w:val="16"/>
                <w:szCs w:val="16"/>
              </w:rPr>
              <w:t>通讯卡</w:t>
            </w:r>
            <w:r>
              <w:rPr>
                <w:rFonts w:ascii="宋体" w:hAnsi="宋体"/>
                <w:sz w:val="16"/>
                <w:szCs w:val="16"/>
              </w:rPr>
              <w:t>*1</w:t>
            </w:r>
            <w:r>
              <w:rPr>
                <w:rFonts w:hint="eastAsia" w:ascii="宋体" w:hAnsi="宋体"/>
                <w:sz w:val="16"/>
                <w:szCs w:val="16"/>
              </w:rPr>
              <w:t>。</w:t>
            </w:r>
          </w:p>
        </w:tc>
        <w:tc>
          <w:tcPr>
            <w:tcW w:w="2022" w:type="dxa"/>
            <w:vAlign w:val="center"/>
          </w:tcPr>
          <w:p w14:paraId="2271742F">
            <w:pPr>
              <w:snapToGrid w:val="0"/>
              <w:jc w:val="both"/>
              <w:rPr>
                <w:rFonts w:ascii="宋体" w:hAnsi="宋体" w:cstheme="minorEastAsia"/>
                <w:bCs/>
                <w:sz w:val="16"/>
                <w:szCs w:val="16"/>
              </w:rPr>
            </w:pPr>
          </w:p>
        </w:tc>
        <w:tc>
          <w:tcPr>
            <w:tcW w:w="0" w:type="auto"/>
            <w:vAlign w:val="center"/>
          </w:tcPr>
          <w:p w14:paraId="7582EA1D">
            <w:pPr>
              <w:jc w:val="both"/>
              <w:textAlignment w:val="center"/>
              <w:rPr>
                <w:rFonts w:ascii="宋体" w:hAnsi="宋体" w:cstheme="minorEastAsia"/>
                <w:bCs/>
                <w:sz w:val="16"/>
                <w:szCs w:val="16"/>
              </w:rPr>
            </w:pPr>
          </w:p>
        </w:tc>
        <w:tc>
          <w:tcPr>
            <w:tcW w:w="0" w:type="auto"/>
            <w:vAlign w:val="center"/>
          </w:tcPr>
          <w:p w14:paraId="3A5C5FD5">
            <w:pPr>
              <w:jc w:val="both"/>
              <w:textAlignment w:val="center"/>
              <w:rPr>
                <w:rFonts w:ascii="宋体" w:hAnsi="宋体" w:cstheme="minorEastAsia"/>
                <w:bCs/>
                <w:sz w:val="16"/>
                <w:szCs w:val="16"/>
              </w:rPr>
            </w:pPr>
          </w:p>
        </w:tc>
        <w:tc>
          <w:tcPr>
            <w:tcW w:w="1016" w:type="dxa"/>
            <w:vAlign w:val="center"/>
          </w:tcPr>
          <w:p w14:paraId="04D54D9E">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060F54B5">
            <w:pPr>
              <w:jc w:val="both"/>
              <w:textAlignment w:val="center"/>
              <w:rPr>
                <w:rFonts w:ascii="宋体" w:hAnsi="宋体"/>
                <w:sz w:val="16"/>
                <w:szCs w:val="16"/>
              </w:rPr>
            </w:pPr>
            <w:r>
              <w:rPr>
                <w:rFonts w:ascii="宋体" w:hAnsi="宋体"/>
                <w:sz w:val="16"/>
                <w:szCs w:val="16"/>
              </w:rPr>
              <w:t>2</w:t>
            </w:r>
          </w:p>
        </w:tc>
        <w:tc>
          <w:tcPr>
            <w:tcW w:w="0" w:type="auto"/>
            <w:vAlign w:val="center"/>
          </w:tcPr>
          <w:p w14:paraId="153160F9">
            <w:pPr>
              <w:jc w:val="both"/>
              <w:textAlignment w:val="center"/>
              <w:rPr>
                <w:rFonts w:ascii="宋体" w:hAnsi="宋体" w:cstheme="minorEastAsia"/>
                <w:bCs/>
                <w:sz w:val="16"/>
                <w:szCs w:val="16"/>
              </w:rPr>
            </w:pPr>
          </w:p>
        </w:tc>
        <w:tc>
          <w:tcPr>
            <w:tcW w:w="0" w:type="auto"/>
            <w:vAlign w:val="center"/>
          </w:tcPr>
          <w:p w14:paraId="2261F34C">
            <w:pPr>
              <w:jc w:val="both"/>
              <w:textAlignment w:val="center"/>
              <w:rPr>
                <w:rFonts w:ascii="宋体" w:hAnsi="宋体" w:cstheme="minorEastAsia"/>
                <w:bCs/>
                <w:sz w:val="16"/>
                <w:szCs w:val="16"/>
              </w:rPr>
            </w:pPr>
          </w:p>
        </w:tc>
        <w:tc>
          <w:tcPr>
            <w:tcW w:w="0" w:type="auto"/>
            <w:vAlign w:val="center"/>
          </w:tcPr>
          <w:p w14:paraId="22BF5EFD">
            <w:pPr>
              <w:jc w:val="both"/>
              <w:textAlignment w:val="center"/>
              <w:rPr>
                <w:rFonts w:ascii="宋体" w:hAnsi="宋体" w:cstheme="minorEastAsia"/>
                <w:bCs/>
                <w:sz w:val="16"/>
                <w:szCs w:val="16"/>
              </w:rPr>
            </w:pPr>
          </w:p>
        </w:tc>
        <w:tc>
          <w:tcPr>
            <w:tcW w:w="0" w:type="auto"/>
            <w:shd w:val="clear" w:color="auto" w:fill="auto"/>
            <w:vAlign w:val="center"/>
          </w:tcPr>
          <w:p w14:paraId="22ABC21D">
            <w:pPr>
              <w:snapToGrid w:val="0"/>
              <w:jc w:val="both"/>
              <w:rPr>
                <w:rFonts w:ascii="宋体" w:hAnsi="宋体" w:cstheme="minorEastAsia"/>
                <w:bCs/>
                <w:sz w:val="16"/>
                <w:szCs w:val="16"/>
              </w:rPr>
            </w:pPr>
          </w:p>
        </w:tc>
      </w:tr>
      <w:tr w14:paraId="13E0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610F5277">
            <w:pPr>
              <w:snapToGrid w:val="0"/>
              <w:jc w:val="both"/>
              <w:rPr>
                <w:rFonts w:ascii="宋体" w:hAnsi="宋体"/>
                <w:sz w:val="16"/>
                <w:szCs w:val="16"/>
              </w:rPr>
            </w:pPr>
            <w:r>
              <w:rPr>
                <w:rFonts w:ascii="宋体" w:hAnsi="宋体"/>
                <w:sz w:val="16"/>
                <w:szCs w:val="16"/>
              </w:rPr>
              <w:t>1.3</w:t>
            </w:r>
          </w:p>
        </w:tc>
        <w:tc>
          <w:tcPr>
            <w:tcW w:w="1484" w:type="dxa"/>
            <w:vAlign w:val="center"/>
          </w:tcPr>
          <w:p w14:paraId="23DB7DB8">
            <w:pPr>
              <w:snapToGrid w:val="0"/>
              <w:jc w:val="both"/>
              <w:rPr>
                <w:rFonts w:ascii="宋体" w:hAnsi="宋体"/>
                <w:sz w:val="16"/>
                <w:szCs w:val="16"/>
              </w:rPr>
            </w:pPr>
            <w:r>
              <w:rPr>
                <w:rFonts w:hint="eastAsia" w:ascii="宋体" w:hAnsi="宋体"/>
                <w:sz w:val="16"/>
                <w:szCs w:val="16"/>
              </w:rPr>
              <w:t>无线</w:t>
            </w:r>
            <w:r>
              <w:rPr>
                <w:rFonts w:ascii="宋体" w:hAnsi="宋体"/>
                <w:sz w:val="16"/>
                <w:szCs w:val="16"/>
              </w:rPr>
              <w:t xml:space="preserve">WIFI </w:t>
            </w:r>
            <w:r>
              <w:rPr>
                <w:rFonts w:ascii="宋体" w:hAnsi="宋体"/>
                <w:sz w:val="16"/>
                <w:szCs w:val="16"/>
              </w:rPr>
              <w:br w:type="textWrapping"/>
            </w:r>
            <w:r>
              <w:rPr>
                <w:rFonts w:hint="eastAsia" w:ascii="宋体" w:hAnsi="宋体"/>
                <w:sz w:val="16"/>
                <w:szCs w:val="16"/>
              </w:rPr>
              <w:t>电子地上衡</w:t>
            </w:r>
          </w:p>
        </w:tc>
        <w:tc>
          <w:tcPr>
            <w:tcW w:w="4601" w:type="dxa"/>
            <w:vAlign w:val="center"/>
          </w:tcPr>
          <w:p w14:paraId="3672B132">
            <w:pPr>
              <w:snapToGrid w:val="0"/>
              <w:jc w:val="both"/>
              <w:rPr>
                <w:rFonts w:ascii="宋体" w:hAnsi="宋体"/>
                <w:sz w:val="16"/>
                <w:szCs w:val="16"/>
              </w:rPr>
            </w:pPr>
            <w:r>
              <w:rPr>
                <w:rFonts w:hint="eastAsia" w:ascii="宋体" w:hAnsi="宋体"/>
                <w:sz w:val="16"/>
                <w:szCs w:val="16"/>
              </w:rPr>
              <w:t>最大秤量</w:t>
            </w:r>
            <w:r>
              <w:rPr>
                <w:rFonts w:ascii="宋体" w:hAnsi="宋体"/>
                <w:sz w:val="16"/>
                <w:szCs w:val="16"/>
              </w:rPr>
              <w:t>: 1500kg</w:t>
            </w:r>
            <w:r>
              <w:rPr>
                <w:rFonts w:hint="eastAsia" w:ascii="宋体" w:hAnsi="宋体"/>
                <w:sz w:val="16"/>
                <w:szCs w:val="16"/>
              </w:rPr>
              <w:t>；检定分度值：</w:t>
            </w:r>
            <w:r>
              <w:rPr>
                <w:rFonts w:ascii="宋体" w:hAnsi="宋体"/>
                <w:sz w:val="16"/>
                <w:szCs w:val="16"/>
              </w:rPr>
              <w:t>500g</w:t>
            </w:r>
            <w:r>
              <w:rPr>
                <w:rFonts w:hint="eastAsia" w:ascii="宋体" w:hAnsi="宋体"/>
                <w:sz w:val="16"/>
                <w:szCs w:val="16"/>
              </w:rPr>
              <w:t>；秤台规格</w:t>
            </w:r>
            <w:r>
              <w:rPr>
                <w:rFonts w:ascii="宋体" w:hAnsi="宋体"/>
                <w:sz w:val="16"/>
                <w:szCs w:val="16"/>
              </w:rPr>
              <w:t>: 1500*1500mm</w:t>
            </w:r>
            <w:r>
              <w:rPr>
                <w:rFonts w:hint="eastAsia" w:ascii="宋体" w:hAnsi="宋体"/>
                <w:sz w:val="16"/>
                <w:szCs w:val="16"/>
              </w:rPr>
              <w:t>；通讯：</w:t>
            </w:r>
            <w:r>
              <w:rPr>
                <w:rFonts w:ascii="宋体" w:hAnsi="宋体"/>
                <w:sz w:val="16"/>
                <w:szCs w:val="16"/>
              </w:rPr>
              <w:t xml:space="preserve">WIFI </w:t>
            </w:r>
            <w:r>
              <w:rPr>
                <w:rFonts w:hint="eastAsia" w:ascii="宋体" w:hAnsi="宋体"/>
                <w:sz w:val="16"/>
                <w:szCs w:val="16"/>
              </w:rPr>
              <w:t>接口；材质：碳钢（表面花纹钢板）。</w:t>
            </w:r>
            <w:r>
              <w:rPr>
                <w:rFonts w:ascii="宋体" w:hAnsi="宋体"/>
                <w:sz w:val="16"/>
                <w:szCs w:val="16"/>
              </w:rPr>
              <w:br w:type="textWrapping"/>
            </w:r>
            <w:r>
              <w:rPr>
                <w:rFonts w:hint="eastAsia" w:ascii="宋体" w:hAnsi="宋体"/>
                <w:sz w:val="16"/>
                <w:szCs w:val="16"/>
              </w:rPr>
              <w:t>电子秤秤体和框架</w:t>
            </w:r>
            <w:r>
              <w:rPr>
                <w:rFonts w:ascii="宋体" w:hAnsi="宋体"/>
                <w:sz w:val="16"/>
                <w:szCs w:val="16"/>
              </w:rPr>
              <w:t>*1</w:t>
            </w:r>
            <w:r>
              <w:rPr>
                <w:rFonts w:hint="eastAsia" w:ascii="宋体" w:hAnsi="宋体"/>
                <w:sz w:val="16"/>
                <w:szCs w:val="16"/>
              </w:rPr>
              <w:t>，称重传感器</w:t>
            </w:r>
            <w:r>
              <w:rPr>
                <w:rFonts w:ascii="宋体" w:hAnsi="宋体"/>
                <w:sz w:val="16"/>
                <w:szCs w:val="16"/>
              </w:rPr>
              <w:t>*4</w:t>
            </w:r>
            <w:r>
              <w:rPr>
                <w:rFonts w:hint="eastAsia" w:ascii="宋体" w:hAnsi="宋体"/>
                <w:sz w:val="16"/>
                <w:szCs w:val="16"/>
              </w:rPr>
              <w:t>，连接套件</w:t>
            </w:r>
            <w:r>
              <w:rPr>
                <w:rFonts w:ascii="宋体" w:hAnsi="宋体"/>
                <w:sz w:val="16"/>
                <w:szCs w:val="16"/>
              </w:rPr>
              <w:t>*4</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称重仪表</w:t>
            </w:r>
            <w:r>
              <w:rPr>
                <w:rFonts w:ascii="宋体" w:hAnsi="宋体"/>
                <w:sz w:val="16"/>
                <w:szCs w:val="16"/>
              </w:rPr>
              <w:t>*1</w:t>
            </w:r>
            <w:r>
              <w:rPr>
                <w:rFonts w:hint="eastAsia" w:ascii="宋体" w:hAnsi="宋体"/>
                <w:sz w:val="16"/>
                <w:szCs w:val="16"/>
              </w:rPr>
              <w:t>，称重信号电缆</w:t>
            </w:r>
            <w:r>
              <w:rPr>
                <w:rFonts w:ascii="宋体" w:hAnsi="宋体"/>
                <w:sz w:val="16"/>
                <w:szCs w:val="16"/>
              </w:rPr>
              <w:t>*1</w:t>
            </w:r>
            <w:r>
              <w:rPr>
                <w:rFonts w:hint="eastAsia" w:ascii="宋体" w:hAnsi="宋体"/>
                <w:sz w:val="16"/>
                <w:szCs w:val="16"/>
              </w:rPr>
              <w:t>，</w:t>
            </w:r>
            <w:r>
              <w:rPr>
                <w:rFonts w:ascii="宋体" w:hAnsi="宋体"/>
                <w:sz w:val="16"/>
                <w:szCs w:val="16"/>
              </w:rPr>
              <w:t xml:space="preserve">WIFI </w:t>
            </w:r>
            <w:r>
              <w:rPr>
                <w:rFonts w:hint="eastAsia" w:ascii="宋体" w:hAnsi="宋体"/>
                <w:sz w:val="16"/>
                <w:szCs w:val="16"/>
              </w:rPr>
              <w:t>通讯卡</w:t>
            </w:r>
            <w:r>
              <w:rPr>
                <w:rFonts w:ascii="宋体" w:hAnsi="宋体"/>
                <w:sz w:val="16"/>
                <w:szCs w:val="16"/>
              </w:rPr>
              <w:t>*1</w:t>
            </w:r>
          </w:p>
        </w:tc>
        <w:tc>
          <w:tcPr>
            <w:tcW w:w="2022" w:type="dxa"/>
            <w:vAlign w:val="center"/>
          </w:tcPr>
          <w:p w14:paraId="69048B3A">
            <w:pPr>
              <w:snapToGrid w:val="0"/>
              <w:jc w:val="both"/>
              <w:rPr>
                <w:rFonts w:ascii="宋体" w:hAnsi="宋体" w:cstheme="minorEastAsia"/>
                <w:bCs/>
                <w:sz w:val="16"/>
                <w:szCs w:val="16"/>
              </w:rPr>
            </w:pPr>
          </w:p>
        </w:tc>
        <w:tc>
          <w:tcPr>
            <w:tcW w:w="0" w:type="auto"/>
            <w:vAlign w:val="center"/>
          </w:tcPr>
          <w:p w14:paraId="6E5E1585">
            <w:pPr>
              <w:jc w:val="both"/>
              <w:textAlignment w:val="center"/>
              <w:rPr>
                <w:rFonts w:ascii="宋体" w:hAnsi="宋体" w:cstheme="minorEastAsia"/>
                <w:bCs/>
                <w:sz w:val="16"/>
                <w:szCs w:val="16"/>
              </w:rPr>
            </w:pPr>
          </w:p>
        </w:tc>
        <w:tc>
          <w:tcPr>
            <w:tcW w:w="0" w:type="auto"/>
            <w:vAlign w:val="center"/>
          </w:tcPr>
          <w:p w14:paraId="2A6C8D46">
            <w:pPr>
              <w:jc w:val="both"/>
              <w:textAlignment w:val="center"/>
              <w:rPr>
                <w:rFonts w:ascii="宋体" w:hAnsi="宋体" w:cstheme="minorEastAsia"/>
                <w:bCs/>
                <w:sz w:val="16"/>
                <w:szCs w:val="16"/>
              </w:rPr>
            </w:pPr>
          </w:p>
        </w:tc>
        <w:tc>
          <w:tcPr>
            <w:tcW w:w="1016" w:type="dxa"/>
            <w:vAlign w:val="center"/>
          </w:tcPr>
          <w:p w14:paraId="217476F2">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0C03E474">
            <w:pPr>
              <w:jc w:val="both"/>
              <w:textAlignment w:val="center"/>
              <w:rPr>
                <w:rFonts w:ascii="宋体" w:hAnsi="宋体"/>
                <w:sz w:val="16"/>
                <w:szCs w:val="16"/>
              </w:rPr>
            </w:pPr>
            <w:r>
              <w:rPr>
                <w:rFonts w:ascii="宋体" w:hAnsi="宋体"/>
                <w:sz w:val="16"/>
                <w:szCs w:val="16"/>
              </w:rPr>
              <w:t>1</w:t>
            </w:r>
          </w:p>
        </w:tc>
        <w:tc>
          <w:tcPr>
            <w:tcW w:w="0" w:type="auto"/>
            <w:vAlign w:val="center"/>
          </w:tcPr>
          <w:p w14:paraId="0C5FF502">
            <w:pPr>
              <w:jc w:val="both"/>
              <w:textAlignment w:val="center"/>
              <w:rPr>
                <w:rFonts w:ascii="宋体" w:hAnsi="宋体" w:cstheme="minorEastAsia"/>
                <w:bCs/>
                <w:sz w:val="16"/>
                <w:szCs w:val="16"/>
              </w:rPr>
            </w:pPr>
          </w:p>
        </w:tc>
        <w:tc>
          <w:tcPr>
            <w:tcW w:w="0" w:type="auto"/>
            <w:vAlign w:val="center"/>
          </w:tcPr>
          <w:p w14:paraId="58471069">
            <w:pPr>
              <w:jc w:val="both"/>
              <w:textAlignment w:val="center"/>
              <w:rPr>
                <w:rFonts w:ascii="宋体" w:hAnsi="宋体" w:cstheme="minorEastAsia"/>
                <w:bCs/>
                <w:sz w:val="16"/>
                <w:szCs w:val="16"/>
              </w:rPr>
            </w:pPr>
          </w:p>
        </w:tc>
        <w:tc>
          <w:tcPr>
            <w:tcW w:w="0" w:type="auto"/>
            <w:vAlign w:val="center"/>
          </w:tcPr>
          <w:p w14:paraId="394D7F4F">
            <w:pPr>
              <w:jc w:val="both"/>
              <w:textAlignment w:val="center"/>
              <w:rPr>
                <w:rFonts w:ascii="宋体" w:hAnsi="宋体" w:cstheme="minorEastAsia"/>
                <w:bCs/>
                <w:sz w:val="16"/>
                <w:szCs w:val="16"/>
              </w:rPr>
            </w:pPr>
          </w:p>
        </w:tc>
        <w:tc>
          <w:tcPr>
            <w:tcW w:w="0" w:type="auto"/>
            <w:shd w:val="clear" w:color="auto" w:fill="auto"/>
            <w:vAlign w:val="center"/>
          </w:tcPr>
          <w:p w14:paraId="6D19DA81">
            <w:pPr>
              <w:snapToGrid w:val="0"/>
              <w:jc w:val="both"/>
              <w:rPr>
                <w:rFonts w:ascii="宋体" w:hAnsi="宋体" w:cstheme="minorEastAsia"/>
                <w:bCs/>
                <w:sz w:val="16"/>
                <w:szCs w:val="16"/>
              </w:rPr>
            </w:pPr>
          </w:p>
        </w:tc>
      </w:tr>
      <w:tr w14:paraId="5A0B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3FDFCCA6">
            <w:pPr>
              <w:snapToGrid w:val="0"/>
              <w:jc w:val="both"/>
              <w:rPr>
                <w:rFonts w:ascii="宋体" w:hAnsi="宋体"/>
                <w:sz w:val="16"/>
                <w:szCs w:val="16"/>
              </w:rPr>
            </w:pPr>
            <w:r>
              <w:rPr>
                <w:rFonts w:ascii="宋体" w:hAnsi="宋体"/>
                <w:sz w:val="16"/>
                <w:szCs w:val="16"/>
              </w:rPr>
              <w:t>1.4</w:t>
            </w:r>
          </w:p>
        </w:tc>
        <w:tc>
          <w:tcPr>
            <w:tcW w:w="1484" w:type="dxa"/>
            <w:vAlign w:val="center"/>
          </w:tcPr>
          <w:p w14:paraId="07BAD4F3">
            <w:pPr>
              <w:snapToGrid w:val="0"/>
              <w:jc w:val="both"/>
              <w:rPr>
                <w:rFonts w:ascii="宋体" w:hAnsi="宋体" w:cstheme="minorEastAsia"/>
                <w:bCs/>
                <w:sz w:val="16"/>
                <w:szCs w:val="16"/>
              </w:rPr>
            </w:pPr>
            <w:r>
              <w:rPr>
                <w:rFonts w:hint="eastAsia" w:ascii="宋体" w:hAnsi="宋体"/>
                <w:sz w:val="16"/>
                <w:szCs w:val="16"/>
              </w:rPr>
              <w:t>不干胶打码机</w:t>
            </w:r>
          </w:p>
        </w:tc>
        <w:tc>
          <w:tcPr>
            <w:tcW w:w="4601" w:type="dxa"/>
            <w:vAlign w:val="center"/>
          </w:tcPr>
          <w:p w14:paraId="25881D2F">
            <w:pPr>
              <w:snapToGrid w:val="0"/>
              <w:jc w:val="both"/>
              <w:rPr>
                <w:rFonts w:ascii="宋体" w:hAnsi="宋体"/>
                <w:sz w:val="16"/>
                <w:szCs w:val="16"/>
              </w:rPr>
            </w:pPr>
            <w:r>
              <w:rPr>
                <w:rFonts w:hint="eastAsia" w:ascii="宋体" w:hAnsi="宋体"/>
                <w:sz w:val="16"/>
                <w:szCs w:val="16"/>
              </w:rPr>
              <w:t>支持有线网络链接；支持标签打印、标牌打印；纸张探测方式支持穿透式，热敏不干胶条码，支持一维码</w:t>
            </w:r>
            <w:r>
              <w:rPr>
                <w:rFonts w:ascii="宋体" w:hAnsi="宋体"/>
                <w:sz w:val="16"/>
                <w:szCs w:val="16"/>
              </w:rPr>
              <w:t>/</w:t>
            </w:r>
            <w:r>
              <w:rPr>
                <w:rFonts w:hint="eastAsia" w:ascii="宋体" w:hAnsi="宋体"/>
                <w:sz w:val="16"/>
                <w:szCs w:val="16"/>
              </w:rPr>
              <w:t>二维码；打印宽度满足</w:t>
            </w:r>
            <w:r>
              <w:rPr>
                <w:rFonts w:ascii="宋体" w:hAnsi="宋体"/>
                <w:sz w:val="16"/>
                <w:szCs w:val="16"/>
              </w:rPr>
              <w:t>40-104mm</w:t>
            </w:r>
            <w:r>
              <w:rPr>
                <w:rFonts w:hint="eastAsia" w:ascii="宋体" w:hAnsi="宋体"/>
                <w:sz w:val="16"/>
                <w:szCs w:val="16"/>
              </w:rPr>
              <w:t>之间，高度大于</w:t>
            </w:r>
            <w:r>
              <w:rPr>
                <w:rFonts w:ascii="宋体" w:hAnsi="宋体"/>
                <w:sz w:val="16"/>
                <w:szCs w:val="16"/>
              </w:rPr>
              <w:t>30mm</w:t>
            </w:r>
            <w:r>
              <w:rPr>
                <w:rFonts w:hint="eastAsia" w:ascii="宋体" w:hAnsi="宋体"/>
                <w:sz w:val="16"/>
                <w:szCs w:val="16"/>
              </w:rPr>
              <w:t>。卷包、制丝、成型各</w:t>
            </w:r>
            <w:r>
              <w:rPr>
                <w:rFonts w:ascii="宋体" w:hAnsi="宋体"/>
                <w:sz w:val="16"/>
                <w:szCs w:val="16"/>
              </w:rPr>
              <w:t>2</w:t>
            </w:r>
            <w:r>
              <w:rPr>
                <w:rFonts w:hint="eastAsia" w:ascii="宋体" w:hAnsi="宋体"/>
                <w:sz w:val="16"/>
                <w:szCs w:val="16"/>
              </w:rPr>
              <w:t>套。</w:t>
            </w:r>
          </w:p>
        </w:tc>
        <w:tc>
          <w:tcPr>
            <w:tcW w:w="2022" w:type="dxa"/>
            <w:vAlign w:val="center"/>
          </w:tcPr>
          <w:p w14:paraId="71D462AC">
            <w:pPr>
              <w:snapToGrid w:val="0"/>
              <w:jc w:val="both"/>
              <w:rPr>
                <w:rFonts w:ascii="宋体" w:hAnsi="宋体" w:cstheme="minorEastAsia"/>
                <w:bCs/>
                <w:sz w:val="16"/>
                <w:szCs w:val="16"/>
              </w:rPr>
            </w:pPr>
          </w:p>
        </w:tc>
        <w:tc>
          <w:tcPr>
            <w:tcW w:w="0" w:type="auto"/>
            <w:vAlign w:val="center"/>
          </w:tcPr>
          <w:p w14:paraId="7BDA4F13">
            <w:pPr>
              <w:jc w:val="both"/>
              <w:textAlignment w:val="center"/>
              <w:rPr>
                <w:rFonts w:ascii="宋体" w:hAnsi="宋体" w:cstheme="minorEastAsia"/>
                <w:bCs/>
                <w:sz w:val="16"/>
                <w:szCs w:val="16"/>
              </w:rPr>
            </w:pPr>
          </w:p>
        </w:tc>
        <w:tc>
          <w:tcPr>
            <w:tcW w:w="0" w:type="auto"/>
            <w:vAlign w:val="center"/>
          </w:tcPr>
          <w:p w14:paraId="01189001">
            <w:pPr>
              <w:jc w:val="both"/>
              <w:textAlignment w:val="center"/>
              <w:rPr>
                <w:rFonts w:ascii="宋体" w:hAnsi="宋体" w:cstheme="minorEastAsia"/>
                <w:bCs/>
                <w:sz w:val="16"/>
                <w:szCs w:val="16"/>
              </w:rPr>
            </w:pPr>
          </w:p>
        </w:tc>
        <w:tc>
          <w:tcPr>
            <w:tcW w:w="1016" w:type="dxa"/>
            <w:vAlign w:val="center"/>
          </w:tcPr>
          <w:p w14:paraId="265932D5">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46FFDF42">
            <w:pPr>
              <w:jc w:val="both"/>
              <w:textAlignment w:val="center"/>
              <w:rPr>
                <w:rFonts w:ascii="宋体" w:hAnsi="宋体"/>
                <w:sz w:val="16"/>
                <w:szCs w:val="16"/>
              </w:rPr>
            </w:pPr>
            <w:r>
              <w:rPr>
                <w:rFonts w:ascii="宋体" w:hAnsi="宋体"/>
                <w:sz w:val="16"/>
                <w:szCs w:val="16"/>
              </w:rPr>
              <w:t>6</w:t>
            </w:r>
          </w:p>
        </w:tc>
        <w:tc>
          <w:tcPr>
            <w:tcW w:w="0" w:type="auto"/>
            <w:vAlign w:val="center"/>
          </w:tcPr>
          <w:p w14:paraId="6124D010">
            <w:pPr>
              <w:jc w:val="both"/>
              <w:textAlignment w:val="center"/>
              <w:rPr>
                <w:rFonts w:ascii="宋体" w:hAnsi="宋体" w:cstheme="minorEastAsia"/>
                <w:bCs/>
                <w:sz w:val="16"/>
                <w:szCs w:val="16"/>
              </w:rPr>
            </w:pPr>
          </w:p>
        </w:tc>
        <w:tc>
          <w:tcPr>
            <w:tcW w:w="0" w:type="auto"/>
            <w:vAlign w:val="center"/>
          </w:tcPr>
          <w:p w14:paraId="5C4ED951">
            <w:pPr>
              <w:jc w:val="both"/>
              <w:textAlignment w:val="center"/>
              <w:rPr>
                <w:rFonts w:ascii="宋体" w:hAnsi="宋体" w:cstheme="minorEastAsia"/>
                <w:bCs/>
                <w:sz w:val="16"/>
                <w:szCs w:val="16"/>
              </w:rPr>
            </w:pPr>
          </w:p>
        </w:tc>
        <w:tc>
          <w:tcPr>
            <w:tcW w:w="0" w:type="auto"/>
            <w:vAlign w:val="center"/>
          </w:tcPr>
          <w:p w14:paraId="57F3DAA8">
            <w:pPr>
              <w:jc w:val="both"/>
              <w:textAlignment w:val="center"/>
              <w:rPr>
                <w:rFonts w:ascii="宋体" w:hAnsi="宋体" w:cstheme="minorEastAsia"/>
                <w:bCs/>
                <w:sz w:val="16"/>
                <w:szCs w:val="16"/>
              </w:rPr>
            </w:pPr>
          </w:p>
        </w:tc>
        <w:tc>
          <w:tcPr>
            <w:tcW w:w="0" w:type="auto"/>
            <w:shd w:val="clear" w:color="auto" w:fill="auto"/>
            <w:vAlign w:val="center"/>
          </w:tcPr>
          <w:p w14:paraId="41183DE4">
            <w:pPr>
              <w:snapToGrid w:val="0"/>
              <w:jc w:val="both"/>
              <w:rPr>
                <w:rFonts w:ascii="宋体" w:hAnsi="宋体" w:cstheme="minorEastAsia"/>
                <w:bCs/>
                <w:sz w:val="16"/>
                <w:szCs w:val="16"/>
              </w:rPr>
            </w:pPr>
          </w:p>
        </w:tc>
      </w:tr>
      <w:tr w14:paraId="32008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56" w:type="dxa"/>
            <w:tcBorders>
              <w:top w:val="single" w:color="auto" w:sz="4" w:space="0"/>
            </w:tcBorders>
            <w:vAlign w:val="center"/>
          </w:tcPr>
          <w:p w14:paraId="077F1977">
            <w:pPr>
              <w:snapToGrid w:val="0"/>
              <w:jc w:val="both"/>
              <w:rPr>
                <w:rFonts w:ascii="宋体" w:hAnsi="宋体" w:cstheme="minorEastAsia"/>
                <w:b/>
                <w:bCs/>
                <w:sz w:val="16"/>
                <w:szCs w:val="16"/>
              </w:rPr>
            </w:pPr>
            <w:r>
              <w:rPr>
                <w:rFonts w:hint="eastAsia" w:ascii="宋体" w:hAnsi="宋体" w:cstheme="minorEastAsia"/>
                <w:b/>
                <w:bCs/>
                <w:sz w:val="16"/>
                <w:szCs w:val="16"/>
              </w:rPr>
              <w:t>2</w:t>
            </w:r>
          </w:p>
        </w:tc>
        <w:tc>
          <w:tcPr>
            <w:tcW w:w="13138" w:type="dxa"/>
            <w:gridSpan w:val="11"/>
            <w:tcBorders>
              <w:top w:val="nil"/>
            </w:tcBorders>
            <w:vAlign w:val="center"/>
          </w:tcPr>
          <w:p w14:paraId="475C2C11">
            <w:pPr>
              <w:snapToGrid w:val="0"/>
              <w:jc w:val="both"/>
              <w:rPr>
                <w:rFonts w:ascii="宋体" w:hAnsi="宋体" w:cstheme="minorEastAsia"/>
                <w:b/>
                <w:bCs/>
                <w:sz w:val="16"/>
                <w:szCs w:val="16"/>
              </w:rPr>
            </w:pPr>
            <w:r>
              <w:rPr>
                <w:rFonts w:hint="eastAsia" w:ascii="宋体" w:hAnsi="宋体" w:cstheme="minorEastAsia"/>
                <w:b/>
                <w:bCs/>
                <w:sz w:val="16"/>
                <w:szCs w:val="16"/>
              </w:rPr>
              <w:t>烟叶平台拓展应用软件开发</w:t>
            </w:r>
          </w:p>
        </w:tc>
      </w:tr>
      <w:tr w14:paraId="7877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tcBorders>
              <w:top w:val="nil"/>
            </w:tcBorders>
            <w:vAlign w:val="center"/>
          </w:tcPr>
          <w:p w14:paraId="38455154">
            <w:pPr>
              <w:snapToGrid w:val="0"/>
              <w:jc w:val="both"/>
              <w:rPr>
                <w:rFonts w:ascii="宋体" w:hAnsi="宋体" w:cstheme="minorEastAsia"/>
                <w:bCs/>
                <w:sz w:val="16"/>
                <w:szCs w:val="16"/>
              </w:rPr>
            </w:pPr>
            <w:r>
              <w:rPr>
                <w:rFonts w:hint="eastAsia" w:ascii="宋体" w:hAnsi="宋体" w:cstheme="minorEastAsia"/>
                <w:bCs/>
                <w:sz w:val="16"/>
                <w:szCs w:val="16"/>
              </w:rPr>
              <w:t>2.1</w:t>
            </w:r>
          </w:p>
        </w:tc>
        <w:tc>
          <w:tcPr>
            <w:tcW w:w="1484" w:type="dxa"/>
            <w:vAlign w:val="center"/>
          </w:tcPr>
          <w:p w14:paraId="564DE393">
            <w:pPr>
              <w:snapToGrid w:val="0"/>
              <w:jc w:val="both"/>
              <w:rPr>
                <w:rFonts w:ascii="宋体" w:hAnsi="宋体" w:cs="宋体"/>
                <w:sz w:val="16"/>
                <w:szCs w:val="16"/>
              </w:rPr>
            </w:pPr>
            <w:r>
              <w:rPr>
                <w:rFonts w:ascii="宋体" w:hAnsi="宋体"/>
                <w:sz w:val="16"/>
                <w:szCs w:val="16"/>
              </w:rPr>
              <w:t>WMS</w:t>
            </w:r>
            <w:r>
              <w:rPr>
                <w:rFonts w:hint="eastAsia" w:ascii="宋体" w:hAnsi="宋体"/>
                <w:sz w:val="16"/>
                <w:szCs w:val="16"/>
              </w:rPr>
              <w:t>模块改造</w:t>
            </w:r>
          </w:p>
        </w:tc>
        <w:tc>
          <w:tcPr>
            <w:tcW w:w="4601" w:type="dxa"/>
            <w:vAlign w:val="center"/>
          </w:tcPr>
          <w:p w14:paraId="05205300">
            <w:pPr>
              <w:snapToGrid w:val="0"/>
              <w:jc w:val="both"/>
              <w:rPr>
                <w:rFonts w:ascii="宋体" w:hAnsi="宋体" w:cs="宋体"/>
                <w:sz w:val="16"/>
                <w:szCs w:val="16"/>
              </w:rPr>
            </w:pPr>
            <w:r>
              <w:rPr>
                <w:rFonts w:hint="eastAsia" w:ascii="宋体" w:hAnsi="宋体"/>
                <w:sz w:val="16"/>
                <w:szCs w:val="16"/>
              </w:rPr>
              <w:t>打叶复烤车间凉包高架库出入库扫码：</w:t>
            </w:r>
            <w:r>
              <w:rPr>
                <w:rFonts w:ascii="宋体" w:hAnsi="宋体"/>
                <w:sz w:val="16"/>
                <w:szCs w:val="16"/>
              </w:rPr>
              <w:br w:type="textWrapping"/>
            </w:r>
            <w:r>
              <w:rPr>
                <w:rFonts w:ascii="宋体" w:hAnsi="宋体"/>
                <w:sz w:val="16"/>
                <w:szCs w:val="16"/>
              </w:rPr>
              <w:t>WMS</w:t>
            </w:r>
            <w:r>
              <w:rPr>
                <w:rFonts w:hint="eastAsia" w:ascii="宋体" w:hAnsi="宋体"/>
                <w:sz w:val="16"/>
                <w:szCs w:val="16"/>
              </w:rPr>
              <w:t>后台数据改造</w:t>
            </w:r>
            <w:r>
              <w:rPr>
                <w:rFonts w:ascii="宋体" w:hAnsi="宋体"/>
                <w:sz w:val="16"/>
                <w:szCs w:val="16"/>
              </w:rPr>
              <w:br w:type="textWrapping"/>
            </w:r>
            <w:r>
              <w:rPr>
                <w:rFonts w:ascii="宋体" w:hAnsi="宋体"/>
                <w:sz w:val="16"/>
                <w:szCs w:val="16"/>
              </w:rPr>
              <w:t>WMS</w:t>
            </w:r>
            <w:r>
              <w:rPr>
                <w:rFonts w:hint="eastAsia" w:ascii="宋体" w:hAnsi="宋体"/>
                <w:sz w:val="16"/>
                <w:szCs w:val="16"/>
              </w:rPr>
              <w:t>后台程序改造</w:t>
            </w:r>
            <w:r>
              <w:rPr>
                <w:rFonts w:ascii="宋体" w:hAnsi="宋体"/>
                <w:sz w:val="16"/>
                <w:szCs w:val="16"/>
              </w:rPr>
              <w:br w:type="textWrapping"/>
            </w:r>
            <w:r>
              <w:rPr>
                <w:rFonts w:ascii="宋体" w:hAnsi="宋体"/>
                <w:sz w:val="16"/>
                <w:szCs w:val="16"/>
              </w:rPr>
              <w:t>WMS</w:t>
            </w:r>
            <w:r>
              <w:rPr>
                <w:rFonts w:hint="eastAsia" w:ascii="宋体" w:hAnsi="宋体"/>
                <w:sz w:val="16"/>
                <w:szCs w:val="16"/>
              </w:rPr>
              <w:t>界面程序改造</w:t>
            </w:r>
            <w:r>
              <w:rPr>
                <w:rFonts w:ascii="宋体" w:hAnsi="宋体"/>
                <w:sz w:val="16"/>
                <w:szCs w:val="16"/>
              </w:rPr>
              <w:br w:type="textWrapping"/>
            </w:r>
            <w:r>
              <w:rPr>
                <w:rFonts w:ascii="宋体" w:hAnsi="宋体"/>
                <w:sz w:val="16"/>
                <w:szCs w:val="16"/>
              </w:rPr>
              <w:t>WMS</w:t>
            </w:r>
            <w:r>
              <w:rPr>
                <w:rFonts w:hint="eastAsia" w:ascii="宋体" w:hAnsi="宋体"/>
                <w:sz w:val="16"/>
                <w:szCs w:val="16"/>
              </w:rPr>
              <w:t>后台接口改造</w:t>
            </w:r>
          </w:p>
        </w:tc>
        <w:tc>
          <w:tcPr>
            <w:tcW w:w="2022" w:type="dxa"/>
            <w:vAlign w:val="center"/>
          </w:tcPr>
          <w:p w14:paraId="441CDD40">
            <w:pPr>
              <w:snapToGrid w:val="0"/>
              <w:jc w:val="both"/>
              <w:rPr>
                <w:rFonts w:ascii="宋体" w:hAnsi="宋体" w:cstheme="minorEastAsia"/>
                <w:bCs/>
                <w:sz w:val="16"/>
                <w:szCs w:val="16"/>
              </w:rPr>
            </w:pPr>
          </w:p>
        </w:tc>
        <w:tc>
          <w:tcPr>
            <w:tcW w:w="0" w:type="auto"/>
            <w:vAlign w:val="center"/>
          </w:tcPr>
          <w:p w14:paraId="2260A736">
            <w:pPr>
              <w:jc w:val="both"/>
              <w:textAlignment w:val="center"/>
              <w:rPr>
                <w:rFonts w:ascii="宋体" w:hAnsi="宋体" w:cstheme="minorEastAsia"/>
                <w:bCs/>
                <w:sz w:val="16"/>
                <w:szCs w:val="16"/>
              </w:rPr>
            </w:pPr>
          </w:p>
        </w:tc>
        <w:tc>
          <w:tcPr>
            <w:tcW w:w="0" w:type="auto"/>
            <w:vAlign w:val="center"/>
          </w:tcPr>
          <w:p w14:paraId="70FB769D">
            <w:pPr>
              <w:jc w:val="both"/>
              <w:textAlignment w:val="center"/>
              <w:rPr>
                <w:rFonts w:ascii="宋体" w:hAnsi="宋体" w:cstheme="minorEastAsia"/>
                <w:bCs/>
                <w:sz w:val="16"/>
                <w:szCs w:val="16"/>
              </w:rPr>
            </w:pPr>
          </w:p>
        </w:tc>
        <w:tc>
          <w:tcPr>
            <w:tcW w:w="1016" w:type="dxa"/>
            <w:vAlign w:val="center"/>
          </w:tcPr>
          <w:p w14:paraId="7A02677B">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4948E307">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0C3A5B70">
            <w:pPr>
              <w:jc w:val="both"/>
              <w:textAlignment w:val="center"/>
              <w:rPr>
                <w:rFonts w:ascii="宋体" w:hAnsi="宋体" w:cstheme="minorEastAsia"/>
                <w:bCs/>
                <w:sz w:val="16"/>
                <w:szCs w:val="16"/>
              </w:rPr>
            </w:pPr>
          </w:p>
        </w:tc>
        <w:tc>
          <w:tcPr>
            <w:tcW w:w="0" w:type="auto"/>
            <w:vAlign w:val="center"/>
          </w:tcPr>
          <w:p w14:paraId="35D28DA3">
            <w:pPr>
              <w:jc w:val="both"/>
              <w:textAlignment w:val="center"/>
              <w:rPr>
                <w:rFonts w:ascii="宋体" w:hAnsi="宋体" w:cstheme="minorEastAsia"/>
                <w:bCs/>
                <w:sz w:val="16"/>
                <w:szCs w:val="16"/>
              </w:rPr>
            </w:pPr>
          </w:p>
        </w:tc>
        <w:tc>
          <w:tcPr>
            <w:tcW w:w="0" w:type="auto"/>
            <w:vAlign w:val="center"/>
          </w:tcPr>
          <w:p w14:paraId="699077A9">
            <w:pPr>
              <w:jc w:val="both"/>
              <w:textAlignment w:val="center"/>
              <w:rPr>
                <w:rFonts w:ascii="宋体" w:hAnsi="宋体" w:cstheme="minorEastAsia"/>
                <w:bCs/>
                <w:sz w:val="16"/>
                <w:szCs w:val="16"/>
              </w:rPr>
            </w:pPr>
          </w:p>
        </w:tc>
        <w:tc>
          <w:tcPr>
            <w:tcW w:w="0" w:type="auto"/>
            <w:shd w:val="clear" w:color="auto" w:fill="auto"/>
            <w:vAlign w:val="center"/>
          </w:tcPr>
          <w:p w14:paraId="664B793E">
            <w:pPr>
              <w:snapToGrid w:val="0"/>
              <w:jc w:val="both"/>
              <w:rPr>
                <w:rFonts w:ascii="宋体" w:hAnsi="宋体" w:cstheme="minorEastAsia"/>
                <w:bCs/>
                <w:sz w:val="16"/>
                <w:szCs w:val="16"/>
              </w:rPr>
            </w:pPr>
          </w:p>
        </w:tc>
      </w:tr>
      <w:tr w14:paraId="3E78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653442CC">
            <w:pPr>
              <w:snapToGrid w:val="0"/>
              <w:jc w:val="both"/>
              <w:rPr>
                <w:rFonts w:ascii="宋体" w:hAnsi="宋体" w:cstheme="minorEastAsia"/>
                <w:bCs/>
                <w:sz w:val="16"/>
                <w:szCs w:val="16"/>
              </w:rPr>
            </w:pPr>
            <w:r>
              <w:rPr>
                <w:rFonts w:hint="eastAsia" w:ascii="宋体" w:hAnsi="宋体" w:cstheme="minorEastAsia"/>
                <w:bCs/>
                <w:sz w:val="16"/>
                <w:szCs w:val="16"/>
              </w:rPr>
              <w:t>2.2</w:t>
            </w:r>
          </w:p>
        </w:tc>
        <w:tc>
          <w:tcPr>
            <w:tcW w:w="1484" w:type="dxa"/>
            <w:vAlign w:val="center"/>
          </w:tcPr>
          <w:p w14:paraId="20F38472">
            <w:pPr>
              <w:snapToGrid w:val="0"/>
              <w:jc w:val="both"/>
              <w:rPr>
                <w:rFonts w:ascii="宋体" w:hAnsi="宋体" w:cs="宋体"/>
                <w:sz w:val="16"/>
                <w:szCs w:val="16"/>
              </w:rPr>
            </w:pPr>
            <w:r>
              <w:rPr>
                <w:rFonts w:hint="eastAsia" w:ascii="宋体" w:hAnsi="宋体"/>
                <w:sz w:val="16"/>
                <w:szCs w:val="16"/>
              </w:rPr>
              <w:t>凉包高架库</w:t>
            </w:r>
            <w:r>
              <w:rPr>
                <w:rFonts w:ascii="宋体" w:hAnsi="宋体"/>
                <w:sz w:val="16"/>
                <w:szCs w:val="16"/>
              </w:rPr>
              <w:t>TINF</w:t>
            </w:r>
            <w:r>
              <w:rPr>
                <w:rFonts w:hint="eastAsia" w:ascii="宋体" w:hAnsi="宋体"/>
                <w:sz w:val="16"/>
                <w:szCs w:val="16"/>
              </w:rPr>
              <w:t>模块改造</w:t>
            </w:r>
          </w:p>
        </w:tc>
        <w:tc>
          <w:tcPr>
            <w:tcW w:w="4601" w:type="dxa"/>
            <w:vAlign w:val="center"/>
          </w:tcPr>
          <w:p w14:paraId="392CD850">
            <w:pPr>
              <w:snapToGrid w:val="0"/>
              <w:jc w:val="both"/>
              <w:rPr>
                <w:rFonts w:ascii="宋体" w:hAnsi="宋体" w:cs="宋体"/>
                <w:sz w:val="16"/>
                <w:szCs w:val="16"/>
              </w:rPr>
            </w:pPr>
            <w:r>
              <w:rPr>
                <w:rFonts w:hint="eastAsia" w:ascii="宋体" w:hAnsi="宋体"/>
                <w:sz w:val="16"/>
                <w:szCs w:val="16"/>
              </w:rPr>
              <w:t>打叶复烤车间凉包高架库出入库扫码：</w:t>
            </w:r>
            <w:r>
              <w:rPr>
                <w:rFonts w:ascii="宋体" w:hAnsi="宋体"/>
                <w:sz w:val="16"/>
                <w:szCs w:val="16"/>
              </w:rPr>
              <w:br w:type="textWrapping"/>
            </w:r>
            <w:r>
              <w:rPr>
                <w:rFonts w:ascii="宋体" w:hAnsi="宋体"/>
                <w:sz w:val="16"/>
                <w:szCs w:val="16"/>
              </w:rPr>
              <w:t>WMS</w:t>
            </w:r>
            <w:r>
              <w:rPr>
                <w:rFonts w:hint="eastAsia" w:ascii="宋体" w:hAnsi="宋体"/>
                <w:sz w:val="16"/>
                <w:szCs w:val="16"/>
              </w:rPr>
              <w:t>对外接口后台程序改造</w:t>
            </w:r>
            <w:r>
              <w:rPr>
                <w:rFonts w:ascii="宋体" w:hAnsi="宋体"/>
                <w:sz w:val="16"/>
                <w:szCs w:val="16"/>
              </w:rPr>
              <w:br w:type="textWrapping"/>
            </w:r>
            <w:r>
              <w:rPr>
                <w:rFonts w:ascii="宋体" w:hAnsi="宋体"/>
                <w:sz w:val="16"/>
                <w:szCs w:val="16"/>
              </w:rPr>
              <w:t>WMS</w:t>
            </w:r>
            <w:r>
              <w:rPr>
                <w:rFonts w:hint="eastAsia" w:ascii="宋体" w:hAnsi="宋体"/>
                <w:sz w:val="16"/>
                <w:szCs w:val="16"/>
              </w:rPr>
              <w:t>对外发布接口改造</w:t>
            </w:r>
          </w:p>
        </w:tc>
        <w:tc>
          <w:tcPr>
            <w:tcW w:w="2022" w:type="dxa"/>
            <w:vAlign w:val="center"/>
          </w:tcPr>
          <w:p w14:paraId="0873592C">
            <w:pPr>
              <w:snapToGrid w:val="0"/>
              <w:jc w:val="both"/>
              <w:rPr>
                <w:rFonts w:ascii="宋体" w:hAnsi="宋体" w:cstheme="minorEastAsia"/>
                <w:bCs/>
                <w:sz w:val="16"/>
                <w:szCs w:val="16"/>
              </w:rPr>
            </w:pPr>
          </w:p>
        </w:tc>
        <w:tc>
          <w:tcPr>
            <w:tcW w:w="0" w:type="auto"/>
            <w:vAlign w:val="center"/>
          </w:tcPr>
          <w:p w14:paraId="4C3093DF">
            <w:pPr>
              <w:jc w:val="both"/>
              <w:textAlignment w:val="center"/>
              <w:rPr>
                <w:rFonts w:ascii="宋体" w:hAnsi="宋体" w:cstheme="minorEastAsia"/>
                <w:bCs/>
                <w:sz w:val="16"/>
                <w:szCs w:val="16"/>
              </w:rPr>
            </w:pPr>
          </w:p>
        </w:tc>
        <w:tc>
          <w:tcPr>
            <w:tcW w:w="0" w:type="auto"/>
            <w:vAlign w:val="center"/>
          </w:tcPr>
          <w:p w14:paraId="7EA5B643">
            <w:pPr>
              <w:jc w:val="both"/>
              <w:textAlignment w:val="center"/>
              <w:rPr>
                <w:rFonts w:ascii="宋体" w:hAnsi="宋体" w:cstheme="minorEastAsia"/>
                <w:bCs/>
                <w:sz w:val="16"/>
                <w:szCs w:val="16"/>
              </w:rPr>
            </w:pPr>
          </w:p>
        </w:tc>
        <w:tc>
          <w:tcPr>
            <w:tcW w:w="1016" w:type="dxa"/>
            <w:vAlign w:val="center"/>
          </w:tcPr>
          <w:p w14:paraId="364E29E4">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6FA9EBEA">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64CC52E9">
            <w:pPr>
              <w:jc w:val="both"/>
              <w:textAlignment w:val="center"/>
              <w:rPr>
                <w:rFonts w:ascii="宋体" w:hAnsi="宋体" w:cstheme="minorEastAsia"/>
                <w:bCs/>
                <w:sz w:val="16"/>
                <w:szCs w:val="16"/>
              </w:rPr>
            </w:pPr>
          </w:p>
        </w:tc>
        <w:tc>
          <w:tcPr>
            <w:tcW w:w="0" w:type="auto"/>
            <w:vAlign w:val="center"/>
          </w:tcPr>
          <w:p w14:paraId="0D95ABDC">
            <w:pPr>
              <w:jc w:val="both"/>
              <w:textAlignment w:val="center"/>
              <w:rPr>
                <w:rFonts w:ascii="宋体" w:hAnsi="宋体" w:cstheme="minorEastAsia"/>
                <w:bCs/>
                <w:sz w:val="16"/>
                <w:szCs w:val="16"/>
              </w:rPr>
            </w:pPr>
          </w:p>
        </w:tc>
        <w:tc>
          <w:tcPr>
            <w:tcW w:w="0" w:type="auto"/>
            <w:vAlign w:val="center"/>
          </w:tcPr>
          <w:p w14:paraId="41EECA06">
            <w:pPr>
              <w:jc w:val="both"/>
              <w:textAlignment w:val="center"/>
              <w:rPr>
                <w:rFonts w:ascii="宋体" w:hAnsi="宋体" w:cstheme="minorEastAsia"/>
                <w:bCs/>
                <w:sz w:val="16"/>
                <w:szCs w:val="16"/>
              </w:rPr>
            </w:pPr>
          </w:p>
        </w:tc>
        <w:tc>
          <w:tcPr>
            <w:tcW w:w="0" w:type="auto"/>
            <w:shd w:val="clear" w:color="auto" w:fill="auto"/>
            <w:vAlign w:val="center"/>
          </w:tcPr>
          <w:p w14:paraId="00C91D61">
            <w:pPr>
              <w:snapToGrid w:val="0"/>
              <w:jc w:val="both"/>
              <w:rPr>
                <w:rFonts w:ascii="宋体" w:hAnsi="宋体" w:cstheme="minorEastAsia"/>
                <w:bCs/>
                <w:sz w:val="16"/>
                <w:szCs w:val="16"/>
              </w:rPr>
            </w:pPr>
          </w:p>
        </w:tc>
      </w:tr>
      <w:tr w14:paraId="0927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856" w:type="dxa"/>
            <w:vAlign w:val="center"/>
          </w:tcPr>
          <w:p w14:paraId="76526C96">
            <w:pPr>
              <w:snapToGrid w:val="0"/>
              <w:jc w:val="both"/>
              <w:rPr>
                <w:rFonts w:ascii="宋体" w:hAnsi="宋体" w:cstheme="minorEastAsia"/>
                <w:bCs/>
                <w:sz w:val="16"/>
                <w:szCs w:val="16"/>
              </w:rPr>
            </w:pPr>
            <w:r>
              <w:rPr>
                <w:rFonts w:hint="eastAsia" w:ascii="宋体" w:hAnsi="宋体" w:cstheme="minorEastAsia"/>
                <w:bCs/>
                <w:sz w:val="16"/>
                <w:szCs w:val="16"/>
              </w:rPr>
              <w:t>2.3</w:t>
            </w:r>
          </w:p>
        </w:tc>
        <w:tc>
          <w:tcPr>
            <w:tcW w:w="1484" w:type="dxa"/>
            <w:vAlign w:val="center"/>
          </w:tcPr>
          <w:p w14:paraId="531CBB1D">
            <w:pPr>
              <w:snapToGrid w:val="0"/>
              <w:jc w:val="both"/>
              <w:rPr>
                <w:rFonts w:ascii="宋体" w:hAnsi="宋体" w:cs="宋体"/>
                <w:sz w:val="16"/>
                <w:szCs w:val="16"/>
              </w:rPr>
            </w:pPr>
            <w:r>
              <w:rPr>
                <w:rFonts w:ascii="宋体" w:hAnsi="宋体"/>
                <w:sz w:val="16"/>
                <w:szCs w:val="16"/>
              </w:rPr>
              <w:t>WCS</w:t>
            </w:r>
            <w:r>
              <w:rPr>
                <w:rFonts w:hint="eastAsia" w:ascii="宋体" w:hAnsi="宋体"/>
                <w:sz w:val="16"/>
                <w:szCs w:val="16"/>
              </w:rPr>
              <w:t>系统改造</w:t>
            </w:r>
          </w:p>
        </w:tc>
        <w:tc>
          <w:tcPr>
            <w:tcW w:w="4601" w:type="dxa"/>
            <w:vAlign w:val="center"/>
          </w:tcPr>
          <w:p w14:paraId="104334DC">
            <w:pPr>
              <w:snapToGrid w:val="0"/>
              <w:jc w:val="both"/>
              <w:rPr>
                <w:rFonts w:ascii="宋体" w:hAnsi="宋体" w:cs="宋体"/>
                <w:sz w:val="16"/>
                <w:szCs w:val="16"/>
              </w:rPr>
            </w:pPr>
            <w:r>
              <w:rPr>
                <w:rFonts w:hint="eastAsia" w:ascii="宋体" w:hAnsi="宋体"/>
                <w:sz w:val="16"/>
                <w:szCs w:val="16"/>
              </w:rPr>
              <w:t>曲靖卷烟厂配方库入库扫码：</w:t>
            </w:r>
            <w:r>
              <w:rPr>
                <w:rFonts w:ascii="宋体" w:hAnsi="宋体"/>
                <w:sz w:val="16"/>
                <w:szCs w:val="16"/>
              </w:rPr>
              <w:br w:type="textWrapping"/>
            </w:r>
            <w:r>
              <w:rPr>
                <w:rFonts w:ascii="宋体" w:hAnsi="宋体"/>
                <w:sz w:val="16"/>
                <w:szCs w:val="16"/>
              </w:rPr>
              <w:t>1</w:t>
            </w:r>
            <w:r>
              <w:rPr>
                <w:rFonts w:hint="eastAsia" w:ascii="宋体" w:hAnsi="宋体"/>
                <w:sz w:val="16"/>
                <w:szCs w:val="16"/>
              </w:rPr>
              <w:t>、</w:t>
            </w:r>
            <w:r>
              <w:rPr>
                <w:rFonts w:ascii="宋体" w:hAnsi="宋体"/>
                <w:sz w:val="16"/>
                <w:szCs w:val="16"/>
              </w:rPr>
              <w:t xml:space="preserve"> </w:t>
            </w:r>
            <w:r>
              <w:rPr>
                <w:rFonts w:hint="eastAsia" w:ascii="宋体" w:hAnsi="宋体"/>
                <w:sz w:val="16"/>
                <w:szCs w:val="16"/>
              </w:rPr>
              <w:t>新、旧码扫码读取校验。</w:t>
            </w:r>
            <w:r>
              <w:rPr>
                <w:rFonts w:ascii="宋体" w:hAnsi="宋体"/>
                <w:sz w:val="16"/>
                <w:szCs w:val="16"/>
              </w:rPr>
              <w:br w:type="textWrapping"/>
            </w:r>
            <w:r>
              <w:rPr>
                <w:rFonts w:ascii="宋体" w:hAnsi="宋体"/>
                <w:sz w:val="16"/>
                <w:szCs w:val="16"/>
              </w:rPr>
              <w:t>2</w:t>
            </w:r>
            <w:r>
              <w:rPr>
                <w:rFonts w:hint="eastAsia" w:ascii="宋体" w:hAnsi="宋体"/>
                <w:sz w:val="16"/>
                <w:szCs w:val="16"/>
              </w:rPr>
              <w:t>、</w:t>
            </w:r>
            <w:r>
              <w:rPr>
                <w:rFonts w:ascii="宋体" w:hAnsi="宋体"/>
                <w:sz w:val="16"/>
                <w:szCs w:val="16"/>
              </w:rPr>
              <w:t xml:space="preserve"> RFID</w:t>
            </w:r>
            <w:r>
              <w:rPr>
                <w:rFonts w:hint="eastAsia" w:ascii="宋体" w:hAnsi="宋体"/>
                <w:sz w:val="16"/>
                <w:szCs w:val="16"/>
              </w:rPr>
              <w:t>读取、解析校验。</w:t>
            </w:r>
            <w:r>
              <w:rPr>
                <w:rFonts w:ascii="宋体" w:hAnsi="宋体"/>
                <w:sz w:val="16"/>
                <w:szCs w:val="16"/>
              </w:rPr>
              <w:br w:type="textWrapping"/>
            </w:r>
            <w:r>
              <w:rPr>
                <w:rFonts w:ascii="宋体" w:hAnsi="宋体"/>
                <w:sz w:val="16"/>
                <w:szCs w:val="16"/>
              </w:rPr>
              <w:t>3</w:t>
            </w:r>
            <w:r>
              <w:rPr>
                <w:rFonts w:hint="eastAsia" w:ascii="宋体" w:hAnsi="宋体"/>
                <w:sz w:val="16"/>
                <w:szCs w:val="16"/>
              </w:rPr>
              <w:t>、</w:t>
            </w:r>
            <w:r>
              <w:rPr>
                <w:rFonts w:ascii="宋体" w:hAnsi="宋体"/>
                <w:sz w:val="16"/>
                <w:szCs w:val="16"/>
              </w:rPr>
              <w:t xml:space="preserve"> </w:t>
            </w:r>
            <w:r>
              <w:rPr>
                <w:rFonts w:hint="eastAsia" w:ascii="宋体" w:hAnsi="宋体"/>
                <w:sz w:val="16"/>
                <w:szCs w:val="16"/>
              </w:rPr>
              <w:t>两种模式入库任务调度。</w:t>
            </w:r>
            <w:r>
              <w:rPr>
                <w:rFonts w:ascii="宋体" w:hAnsi="宋体"/>
                <w:sz w:val="16"/>
                <w:szCs w:val="16"/>
              </w:rPr>
              <w:br w:type="textWrapping"/>
            </w:r>
            <w:r>
              <w:rPr>
                <w:rFonts w:ascii="宋体" w:hAnsi="宋体"/>
                <w:sz w:val="16"/>
                <w:szCs w:val="16"/>
              </w:rPr>
              <w:t>4</w:t>
            </w:r>
            <w:r>
              <w:rPr>
                <w:rFonts w:hint="eastAsia" w:ascii="宋体" w:hAnsi="宋体"/>
                <w:sz w:val="16"/>
                <w:szCs w:val="16"/>
              </w:rPr>
              <w:t>、</w:t>
            </w:r>
            <w:r>
              <w:rPr>
                <w:rFonts w:ascii="宋体" w:hAnsi="宋体"/>
                <w:sz w:val="16"/>
                <w:szCs w:val="16"/>
              </w:rPr>
              <w:t xml:space="preserve"> </w:t>
            </w:r>
            <w:r>
              <w:rPr>
                <w:rFonts w:hint="eastAsia" w:ascii="宋体" w:hAnsi="宋体"/>
                <w:sz w:val="16"/>
                <w:szCs w:val="16"/>
              </w:rPr>
              <w:t>异常剔除调度监控。</w:t>
            </w:r>
            <w:r>
              <w:rPr>
                <w:rFonts w:ascii="宋体" w:hAnsi="宋体"/>
                <w:sz w:val="16"/>
                <w:szCs w:val="16"/>
              </w:rPr>
              <w:br w:type="textWrapping"/>
            </w:r>
            <w:r>
              <w:rPr>
                <w:rFonts w:ascii="宋体" w:hAnsi="宋体"/>
                <w:sz w:val="16"/>
                <w:szCs w:val="16"/>
              </w:rPr>
              <w:t>5</w:t>
            </w:r>
            <w:r>
              <w:rPr>
                <w:rFonts w:hint="eastAsia" w:ascii="宋体" w:hAnsi="宋体"/>
                <w:sz w:val="16"/>
                <w:szCs w:val="16"/>
              </w:rPr>
              <w:t>、</w:t>
            </w:r>
            <w:r>
              <w:rPr>
                <w:rFonts w:ascii="宋体" w:hAnsi="宋体"/>
                <w:sz w:val="16"/>
                <w:szCs w:val="16"/>
              </w:rPr>
              <w:t xml:space="preserve"> </w:t>
            </w:r>
            <w:r>
              <w:rPr>
                <w:rFonts w:hint="eastAsia" w:ascii="宋体" w:hAnsi="宋体"/>
                <w:sz w:val="16"/>
                <w:szCs w:val="16"/>
              </w:rPr>
              <w:t>异常处理站台监控调度。</w:t>
            </w:r>
          </w:p>
        </w:tc>
        <w:tc>
          <w:tcPr>
            <w:tcW w:w="2022" w:type="dxa"/>
            <w:vAlign w:val="center"/>
          </w:tcPr>
          <w:p w14:paraId="7D4F8FEB">
            <w:pPr>
              <w:snapToGrid w:val="0"/>
              <w:jc w:val="both"/>
              <w:rPr>
                <w:rFonts w:ascii="宋体" w:hAnsi="宋体" w:cstheme="minorEastAsia"/>
                <w:bCs/>
                <w:sz w:val="16"/>
                <w:szCs w:val="16"/>
              </w:rPr>
            </w:pPr>
          </w:p>
        </w:tc>
        <w:tc>
          <w:tcPr>
            <w:tcW w:w="0" w:type="auto"/>
            <w:vAlign w:val="center"/>
          </w:tcPr>
          <w:p w14:paraId="70512CD2">
            <w:pPr>
              <w:jc w:val="both"/>
              <w:textAlignment w:val="center"/>
              <w:rPr>
                <w:rFonts w:ascii="宋体" w:hAnsi="宋体" w:cstheme="minorEastAsia"/>
                <w:bCs/>
                <w:sz w:val="16"/>
                <w:szCs w:val="16"/>
              </w:rPr>
            </w:pPr>
          </w:p>
        </w:tc>
        <w:tc>
          <w:tcPr>
            <w:tcW w:w="0" w:type="auto"/>
            <w:vAlign w:val="center"/>
          </w:tcPr>
          <w:p w14:paraId="75315744">
            <w:pPr>
              <w:jc w:val="both"/>
              <w:textAlignment w:val="center"/>
              <w:rPr>
                <w:rFonts w:ascii="宋体" w:hAnsi="宋体" w:cstheme="minorEastAsia"/>
                <w:bCs/>
                <w:sz w:val="16"/>
                <w:szCs w:val="16"/>
              </w:rPr>
            </w:pPr>
          </w:p>
        </w:tc>
        <w:tc>
          <w:tcPr>
            <w:tcW w:w="1016" w:type="dxa"/>
            <w:vAlign w:val="center"/>
          </w:tcPr>
          <w:p w14:paraId="00EDC9F6">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3D699864">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17080CBF">
            <w:pPr>
              <w:jc w:val="both"/>
              <w:textAlignment w:val="center"/>
              <w:rPr>
                <w:rFonts w:ascii="宋体" w:hAnsi="宋体" w:cstheme="minorEastAsia"/>
                <w:bCs/>
                <w:sz w:val="16"/>
                <w:szCs w:val="16"/>
              </w:rPr>
            </w:pPr>
          </w:p>
        </w:tc>
        <w:tc>
          <w:tcPr>
            <w:tcW w:w="0" w:type="auto"/>
            <w:vAlign w:val="center"/>
          </w:tcPr>
          <w:p w14:paraId="2ADDC737">
            <w:pPr>
              <w:jc w:val="both"/>
              <w:textAlignment w:val="center"/>
              <w:rPr>
                <w:rFonts w:ascii="宋体" w:hAnsi="宋体" w:cstheme="minorEastAsia"/>
                <w:bCs/>
                <w:sz w:val="16"/>
                <w:szCs w:val="16"/>
              </w:rPr>
            </w:pPr>
          </w:p>
        </w:tc>
        <w:tc>
          <w:tcPr>
            <w:tcW w:w="0" w:type="auto"/>
            <w:vAlign w:val="center"/>
          </w:tcPr>
          <w:p w14:paraId="19305BEE">
            <w:pPr>
              <w:jc w:val="both"/>
              <w:textAlignment w:val="center"/>
              <w:rPr>
                <w:rFonts w:ascii="宋体" w:hAnsi="宋体" w:cstheme="minorEastAsia"/>
                <w:bCs/>
                <w:sz w:val="16"/>
                <w:szCs w:val="16"/>
              </w:rPr>
            </w:pPr>
          </w:p>
        </w:tc>
        <w:tc>
          <w:tcPr>
            <w:tcW w:w="0" w:type="auto"/>
            <w:shd w:val="clear" w:color="auto" w:fill="auto"/>
            <w:vAlign w:val="center"/>
          </w:tcPr>
          <w:p w14:paraId="6F436FDB">
            <w:pPr>
              <w:snapToGrid w:val="0"/>
              <w:jc w:val="both"/>
              <w:rPr>
                <w:rFonts w:ascii="宋体" w:hAnsi="宋体" w:cstheme="minorEastAsia"/>
                <w:bCs/>
                <w:sz w:val="16"/>
                <w:szCs w:val="16"/>
              </w:rPr>
            </w:pPr>
          </w:p>
        </w:tc>
      </w:tr>
      <w:tr w14:paraId="405E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3A0CF411">
            <w:pPr>
              <w:snapToGrid w:val="0"/>
              <w:jc w:val="both"/>
              <w:rPr>
                <w:rFonts w:ascii="宋体" w:hAnsi="宋体" w:cstheme="minorEastAsia"/>
                <w:bCs/>
                <w:sz w:val="16"/>
                <w:szCs w:val="16"/>
              </w:rPr>
            </w:pPr>
            <w:r>
              <w:rPr>
                <w:rFonts w:hint="eastAsia" w:ascii="宋体" w:hAnsi="宋体" w:cstheme="minorEastAsia"/>
                <w:bCs/>
                <w:sz w:val="16"/>
                <w:szCs w:val="16"/>
              </w:rPr>
              <w:t>2.4</w:t>
            </w:r>
          </w:p>
        </w:tc>
        <w:tc>
          <w:tcPr>
            <w:tcW w:w="1484" w:type="dxa"/>
            <w:tcBorders>
              <w:top w:val="single" w:color="auto" w:sz="4" w:space="0"/>
            </w:tcBorders>
            <w:vAlign w:val="center"/>
          </w:tcPr>
          <w:p w14:paraId="1DFC07EB">
            <w:pPr>
              <w:snapToGrid w:val="0"/>
              <w:jc w:val="both"/>
              <w:rPr>
                <w:rFonts w:ascii="宋体" w:hAnsi="宋体" w:cs="宋体"/>
                <w:sz w:val="16"/>
                <w:szCs w:val="16"/>
              </w:rPr>
            </w:pPr>
            <w:r>
              <w:rPr>
                <w:rFonts w:ascii="宋体" w:hAnsi="宋体"/>
                <w:sz w:val="16"/>
                <w:szCs w:val="16"/>
              </w:rPr>
              <w:t>WMS</w:t>
            </w:r>
            <w:r>
              <w:rPr>
                <w:rFonts w:hint="eastAsia" w:ascii="宋体" w:hAnsi="宋体"/>
                <w:sz w:val="16"/>
                <w:szCs w:val="16"/>
              </w:rPr>
              <w:t>系统改造</w:t>
            </w:r>
          </w:p>
        </w:tc>
        <w:tc>
          <w:tcPr>
            <w:tcW w:w="4601" w:type="dxa"/>
            <w:vAlign w:val="center"/>
          </w:tcPr>
          <w:p w14:paraId="68C890BE">
            <w:pPr>
              <w:snapToGrid w:val="0"/>
              <w:jc w:val="both"/>
              <w:rPr>
                <w:rFonts w:ascii="宋体" w:hAnsi="宋体" w:cs="宋体"/>
                <w:sz w:val="16"/>
                <w:szCs w:val="16"/>
              </w:rPr>
            </w:pPr>
            <w:r>
              <w:rPr>
                <w:rFonts w:ascii="宋体" w:hAnsi="宋体"/>
                <w:sz w:val="16"/>
                <w:szCs w:val="16"/>
              </w:rPr>
              <w:t>1</w:t>
            </w:r>
            <w:r>
              <w:rPr>
                <w:rFonts w:hint="eastAsia" w:ascii="宋体" w:hAnsi="宋体"/>
                <w:sz w:val="16"/>
                <w:szCs w:val="16"/>
              </w:rPr>
              <w:t>、入库计划单据导入执行。</w:t>
            </w:r>
            <w:r>
              <w:rPr>
                <w:rFonts w:ascii="宋体" w:hAnsi="宋体"/>
                <w:sz w:val="16"/>
                <w:szCs w:val="16"/>
              </w:rPr>
              <w:br w:type="textWrapping"/>
            </w:r>
            <w:r>
              <w:rPr>
                <w:rFonts w:ascii="宋体" w:hAnsi="宋体"/>
                <w:sz w:val="16"/>
                <w:szCs w:val="16"/>
              </w:rPr>
              <w:t>2</w:t>
            </w:r>
            <w:r>
              <w:rPr>
                <w:rFonts w:hint="eastAsia" w:ascii="宋体" w:hAnsi="宋体"/>
                <w:sz w:val="16"/>
                <w:szCs w:val="16"/>
              </w:rPr>
              <w:t>、异常处理站台人工入库管理功能。</w:t>
            </w:r>
            <w:r>
              <w:rPr>
                <w:rFonts w:ascii="宋体" w:hAnsi="宋体"/>
                <w:sz w:val="16"/>
                <w:szCs w:val="16"/>
              </w:rPr>
              <w:br w:type="textWrapping"/>
            </w:r>
            <w:r>
              <w:rPr>
                <w:rFonts w:ascii="宋体" w:hAnsi="宋体"/>
                <w:sz w:val="16"/>
                <w:szCs w:val="16"/>
              </w:rPr>
              <w:t>3</w:t>
            </w:r>
            <w:r>
              <w:rPr>
                <w:rFonts w:hint="eastAsia" w:ascii="宋体" w:hAnsi="宋体"/>
                <w:sz w:val="16"/>
                <w:szCs w:val="16"/>
              </w:rPr>
              <w:t>、原料基础数据查询优化。</w:t>
            </w:r>
            <w:r>
              <w:rPr>
                <w:rFonts w:ascii="宋体" w:hAnsi="宋体"/>
                <w:sz w:val="16"/>
                <w:szCs w:val="16"/>
              </w:rPr>
              <w:br w:type="textWrapping"/>
            </w:r>
            <w:r>
              <w:rPr>
                <w:rFonts w:ascii="宋体" w:hAnsi="宋体"/>
                <w:sz w:val="16"/>
                <w:szCs w:val="16"/>
              </w:rPr>
              <w:t>4</w:t>
            </w:r>
            <w:r>
              <w:rPr>
                <w:rFonts w:hint="eastAsia" w:ascii="宋体" w:hAnsi="宋体"/>
                <w:sz w:val="16"/>
                <w:szCs w:val="16"/>
              </w:rPr>
              <w:t>、入库任务查询统计更新。</w:t>
            </w:r>
          </w:p>
        </w:tc>
        <w:tc>
          <w:tcPr>
            <w:tcW w:w="2022" w:type="dxa"/>
            <w:vAlign w:val="center"/>
          </w:tcPr>
          <w:p w14:paraId="7165C913">
            <w:pPr>
              <w:snapToGrid w:val="0"/>
              <w:jc w:val="both"/>
              <w:rPr>
                <w:rFonts w:ascii="宋体" w:hAnsi="宋体" w:cstheme="minorEastAsia"/>
                <w:bCs/>
                <w:sz w:val="16"/>
                <w:szCs w:val="16"/>
              </w:rPr>
            </w:pPr>
          </w:p>
        </w:tc>
        <w:tc>
          <w:tcPr>
            <w:tcW w:w="0" w:type="auto"/>
            <w:vAlign w:val="center"/>
          </w:tcPr>
          <w:p w14:paraId="68DFC800">
            <w:pPr>
              <w:jc w:val="both"/>
              <w:textAlignment w:val="center"/>
              <w:rPr>
                <w:rFonts w:ascii="宋体" w:hAnsi="宋体" w:cstheme="minorEastAsia"/>
                <w:bCs/>
                <w:sz w:val="16"/>
                <w:szCs w:val="16"/>
              </w:rPr>
            </w:pPr>
          </w:p>
        </w:tc>
        <w:tc>
          <w:tcPr>
            <w:tcW w:w="0" w:type="auto"/>
            <w:vAlign w:val="center"/>
          </w:tcPr>
          <w:p w14:paraId="6C0889A1">
            <w:pPr>
              <w:jc w:val="both"/>
              <w:textAlignment w:val="center"/>
              <w:rPr>
                <w:rFonts w:ascii="宋体" w:hAnsi="宋体" w:cstheme="minorEastAsia"/>
                <w:bCs/>
                <w:sz w:val="16"/>
                <w:szCs w:val="16"/>
              </w:rPr>
            </w:pPr>
          </w:p>
        </w:tc>
        <w:tc>
          <w:tcPr>
            <w:tcW w:w="1016" w:type="dxa"/>
            <w:vAlign w:val="center"/>
          </w:tcPr>
          <w:p w14:paraId="1E94D954">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4F623E76">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070311A2">
            <w:pPr>
              <w:jc w:val="both"/>
              <w:textAlignment w:val="center"/>
              <w:rPr>
                <w:rFonts w:ascii="宋体" w:hAnsi="宋体" w:cstheme="minorEastAsia"/>
                <w:bCs/>
                <w:sz w:val="16"/>
                <w:szCs w:val="16"/>
              </w:rPr>
            </w:pPr>
          </w:p>
        </w:tc>
        <w:tc>
          <w:tcPr>
            <w:tcW w:w="0" w:type="auto"/>
            <w:vAlign w:val="center"/>
          </w:tcPr>
          <w:p w14:paraId="1BC82262">
            <w:pPr>
              <w:jc w:val="both"/>
              <w:textAlignment w:val="center"/>
              <w:rPr>
                <w:rFonts w:ascii="宋体" w:hAnsi="宋体" w:cstheme="minorEastAsia"/>
                <w:bCs/>
                <w:sz w:val="16"/>
                <w:szCs w:val="16"/>
              </w:rPr>
            </w:pPr>
          </w:p>
        </w:tc>
        <w:tc>
          <w:tcPr>
            <w:tcW w:w="0" w:type="auto"/>
            <w:vAlign w:val="center"/>
          </w:tcPr>
          <w:p w14:paraId="67DBDBB9">
            <w:pPr>
              <w:jc w:val="both"/>
              <w:textAlignment w:val="center"/>
              <w:rPr>
                <w:rFonts w:ascii="宋体" w:hAnsi="宋体" w:cstheme="minorEastAsia"/>
                <w:bCs/>
                <w:sz w:val="16"/>
                <w:szCs w:val="16"/>
              </w:rPr>
            </w:pPr>
          </w:p>
        </w:tc>
        <w:tc>
          <w:tcPr>
            <w:tcW w:w="0" w:type="auto"/>
            <w:shd w:val="clear" w:color="auto" w:fill="auto"/>
            <w:vAlign w:val="center"/>
          </w:tcPr>
          <w:p w14:paraId="7889250A">
            <w:pPr>
              <w:snapToGrid w:val="0"/>
              <w:jc w:val="both"/>
              <w:rPr>
                <w:rFonts w:ascii="宋体" w:hAnsi="宋体" w:cstheme="minorEastAsia"/>
                <w:bCs/>
                <w:sz w:val="16"/>
                <w:szCs w:val="16"/>
              </w:rPr>
            </w:pPr>
          </w:p>
        </w:tc>
      </w:tr>
      <w:tr w14:paraId="576A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6" w:type="dxa"/>
            <w:tcBorders>
              <w:top w:val="single" w:color="auto" w:sz="4" w:space="0"/>
            </w:tcBorders>
            <w:vAlign w:val="center"/>
          </w:tcPr>
          <w:p w14:paraId="20076994">
            <w:pPr>
              <w:snapToGrid w:val="0"/>
              <w:jc w:val="both"/>
              <w:rPr>
                <w:rFonts w:ascii="宋体" w:hAnsi="宋体" w:cstheme="minorEastAsia"/>
                <w:b/>
                <w:bCs/>
                <w:sz w:val="16"/>
                <w:szCs w:val="16"/>
              </w:rPr>
            </w:pPr>
            <w:r>
              <w:rPr>
                <w:rFonts w:hint="eastAsia" w:ascii="宋体" w:hAnsi="宋体" w:cstheme="minorEastAsia"/>
                <w:b/>
                <w:bCs/>
                <w:sz w:val="16"/>
                <w:szCs w:val="16"/>
              </w:rPr>
              <w:t>3</w:t>
            </w:r>
          </w:p>
        </w:tc>
        <w:tc>
          <w:tcPr>
            <w:tcW w:w="13138" w:type="dxa"/>
            <w:gridSpan w:val="11"/>
            <w:tcBorders>
              <w:top w:val="single" w:color="auto" w:sz="4" w:space="0"/>
            </w:tcBorders>
            <w:vAlign w:val="center"/>
          </w:tcPr>
          <w:p w14:paraId="53D2BC02">
            <w:pPr>
              <w:snapToGrid w:val="0"/>
              <w:jc w:val="both"/>
              <w:rPr>
                <w:rFonts w:ascii="宋体" w:hAnsi="宋体" w:cstheme="minorEastAsia"/>
                <w:b/>
                <w:bCs/>
                <w:sz w:val="16"/>
                <w:szCs w:val="16"/>
              </w:rPr>
            </w:pPr>
            <w:r>
              <w:rPr>
                <w:rFonts w:hint="eastAsia" w:ascii="宋体" w:hAnsi="宋体" w:cstheme="minorEastAsia"/>
                <w:b/>
                <w:bCs/>
                <w:sz w:val="16"/>
                <w:szCs w:val="16"/>
              </w:rPr>
              <w:t>基于二维码的涉烟废弃物监管应用软件开发</w:t>
            </w:r>
          </w:p>
        </w:tc>
      </w:tr>
      <w:tr w14:paraId="1D6A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tcBorders>
              <w:top w:val="single" w:color="auto" w:sz="4" w:space="0"/>
            </w:tcBorders>
            <w:vAlign w:val="center"/>
          </w:tcPr>
          <w:p w14:paraId="774A8DAF">
            <w:pPr>
              <w:snapToGrid w:val="0"/>
              <w:jc w:val="both"/>
              <w:rPr>
                <w:rFonts w:ascii="宋体" w:hAnsi="宋体" w:cstheme="minorEastAsia"/>
                <w:bCs/>
                <w:sz w:val="16"/>
                <w:szCs w:val="16"/>
              </w:rPr>
            </w:pPr>
            <w:r>
              <w:rPr>
                <w:rFonts w:hint="eastAsia" w:ascii="宋体" w:hAnsi="宋体" w:cstheme="minorEastAsia"/>
                <w:bCs/>
                <w:sz w:val="16"/>
                <w:szCs w:val="16"/>
              </w:rPr>
              <w:t>3.1</w:t>
            </w:r>
          </w:p>
        </w:tc>
        <w:tc>
          <w:tcPr>
            <w:tcW w:w="1484" w:type="dxa"/>
            <w:vAlign w:val="center"/>
          </w:tcPr>
          <w:p w14:paraId="022A690A">
            <w:pPr>
              <w:snapToGrid w:val="0"/>
              <w:jc w:val="both"/>
              <w:rPr>
                <w:rFonts w:ascii="宋体" w:hAnsi="宋体" w:cs="宋体"/>
                <w:sz w:val="16"/>
                <w:szCs w:val="16"/>
              </w:rPr>
            </w:pPr>
            <w:r>
              <w:rPr>
                <w:rFonts w:hint="eastAsia" w:ascii="宋体" w:hAnsi="宋体"/>
                <w:sz w:val="16"/>
                <w:szCs w:val="16"/>
              </w:rPr>
              <w:t>基于二维码的涉烟废弃物监管应用</w:t>
            </w:r>
          </w:p>
        </w:tc>
        <w:tc>
          <w:tcPr>
            <w:tcW w:w="4601" w:type="dxa"/>
            <w:vAlign w:val="center"/>
          </w:tcPr>
          <w:p w14:paraId="300C5EDA">
            <w:pPr>
              <w:snapToGrid w:val="0"/>
              <w:jc w:val="both"/>
              <w:rPr>
                <w:rFonts w:ascii="宋体" w:hAnsi="宋体" w:cs="宋体"/>
                <w:sz w:val="16"/>
                <w:szCs w:val="16"/>
              </w:rPr>
            </w:pPr>
            <w:r>
              <w:rPr>
                <w:rFonts w:hint="eastAsia" w:ascii="宋体" w:hAnsi="宋体"/>
                <w:sz w:val="16"/>
                <w:szCs w:val="16"/>
              </w:rPr>
              <w:t>实现废弃烟草专卖品和涉烟废弃物实时数据采集，在卷包</w:t>
            </w:r>
            <w:r>
              <w:rPr>
                <w:rFonts w:ascii="宋体" w:hAnsi="宋体"/>
                <w:sz w:val="16"/>
                <w:szCs w:val="16"/>
              </w:rPr>
              <w:t>-</w:t>
            </w:r>
            <w:r>
              <w:rPr>
                <w:rFonts w:hint="eastAsia" w:ascii="宋体" w:hAnsi="宋体"/>
                <w:sz w:val="16"/>
                <w:szCs w:val="16"/>
              </w:rPr>
              <w:t>后勤、成型</w:t>
            </w:r>
            <w:r>
              <w:rPr>
                <w:rFonts w:ascii="宋体" w:hAnsi="宋体"/>
                <w:sz w:val="16"/>
                <w:szCs w:val="16"/>
              </w:rPr>
              <w:t>-</w:t>
            </w:r>
            <w:r>
              <w:rPr>
                <w:rFonts w:hint="eastAsia" w:ascii="宋体" w:hAnsi="宋体"/>
                <w:sz w:val="16"/>
                <w:szCs w:val="16"/>
              </w:rPr>
              <w:t>后勤，制丝</w:t>
            </w:r>
            <w:r>
              <w:rPr>
                <w:rFonts w:ascii="宋体" w:hAnsi="宋体"/>
                <w:sz w:val="16"/>
                <w:szCs w:val="16"/>
              </w:rPr>
              <w:t>-</w:t>
            </w:r>
            <w:r>
              <w:rPr>
                <w:rFonts w:hint="eastAsia" w:ascii="宋体" w:hAnsi="宋体"/>
                <w:sz w:val="16"/>
                <w:szCs w:val="16"/>
              </w:rPr>
              <w:t>后勤、成型</w:t>
            </w:r>
            <w:r>
              <w:rPr>
                <w:rFonts w:ascii="宋体" w:hAnsi="宋体"/>
                <w:sz w:val="16"/>
                <w:szCs w:val="16"/>
              </w:rPr>
              <w:t>-</w:t>
            </w:r>
            <w:r>
              <w:rPr>
                <w:rFonts w:hint="eastAsia" w:ascii="宋体" w:hAnsi="宋体"/>
                <w:sz w:val="16"/>
                <w:szCs w:val="16"/>
              </w:rPr>
              <w:t>制丝四个移交称重关键环节生成包含重量、牌号</w:t>
            </w:r>
            <w:r>
              <w:rPr>
                <w:rFonts w:ascii="宋体" w:hAnsi="宋体"/>
                <w:sz w:val="16"/>
                <w:szCs w:val="16"/>
              </w:rPr>
              <w:t>/</w:t>
            </w:r>
            <w:r>
              <w:rPr>
                <w:rFonts w:hint="eastAsia" w:ascii="宋体" w:hAnsi="宋体"/>
                <w:sz w:val="16"/>
                <w:szCs w:val="16"/>
              </w:rPr>
              <w:t>品类、产生日期等关键信息的二维码，并将数据传送至废弃烟草专卖品和涉烟废弃物数据系统，作为原始数据凭证，确保数据来源的真实性及可追溯性。</w:t>
            </w:r>
          </w:p>
        </w:tc>
        <w:tc>
          <w:tcPr>
            <w:tcW w:w="2022" w:type="dxa"/>
            <w:vAlign w:val="center"/>
          </w:tcPr>
          <w:p w14:paraId="659FB034">
            <w:pPr>
              <w:snapToGrid w:val="0"/>
              <w:jc w:val="both"/>
              <w:rPr>
                <w:rFonts w:ascii="宋体" w:hAnsi="宋体" w:cstheme="minorEastAsia"/>
                <w:bCs/>
                <w:sz w:val="16"/>
                <w:szCs w:val="16"/>
              </w:rPr>
            </w:pPr>
          </w:p>
        </w:tc>
        <w:tc>
          <w:tcPr>
            <w:tcW w:w="0" w:type="auto"/>
            <w:vAlign w:val="center"/>
          </w:tcPr>
          <w:p w14:paraId="3A37B806">
            <w:pPr>
              <w:jc w:val="both"/>
              <w:textAlignment w:val="center"/>
              <w:rPr>
                <w:rFonts w:ascii="宋体" w:hAnsi="宋体" w:cstheme="minorEastAsia"/>
                <w:bCs/>
                <w:sz w:val="16"/>
                <w:szCs w:val="16"/>
              </w:rPr>
            </w:pPr>
          </w:p>
        </w:tc>
        <w:tc>
          <w:tcPr>
            <w:tcW w:w="0" w:type="auto"/>
            <w:vAlign w:val="center"/>
          </w:tcPr>
          <w:p w14:paraId="069B7EB2">
            <w:pPr>
              <w:jc w:val="both"/>
              <w:textAlignment w:val="center"/>
              <w:rPr>
                <w:rFonts w:ascii="宋体" w:hAnsi="宋体" w:cstheme="minorEastAsia"/>
                <w:bCs/>
                <w:sz w:val="16"/>
                <w:szCs w:val="16"/>
              </w:rPr>
            </w:pPr>
          </w:p>
        </w:tc>
        <w:tc>
          <w:tcPr>
            <w:tcW w:w="1016" w:type="dxa"/>
            <w:vAlign w:val="center"/>
          </w:tcPr>
          <w:p w14:paraId="16583534">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50FDCAC1">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3358372A">
            <w:pPr>
              <w:jc w:val="both"/>
              <w:textAlignment w:val="center"/>
              <w:rPr>
                <w:rFonts w:ascii="宋体" w:hAnsi="宋体" w:cstheme="minorEastAsia"/>
                <w:bCs/>
                <w:sz w:val="16"/>
                <w:szCs w:val="16"/>
              </w:rPr>
            </w:pPr>
          </w:p>
        </w:tc>
        <w:tc>
          <w:tcPr>
            <w:tcW w:w="0" w:type="auto"/>
            <w:vAlign w:val="center"/>
          </w:tcPr>
          <w:p w14:paraId="5A49130F">
            <w:pPr>
              <w:jc w:val="both"/>
              <w:textAlignment w:val="center"/>
              <w:rPr>
                <w:rFonts w:ascii="宋体" w:hAnsi="宋体" w:cstheme="minorEastAsia"/>
                <w:bCs/>
                <w:sz w:val="16"/>
                <w:szCs w:val="16"/>
              </w:rPr>
            </w:pPr>
          </w:p>
        </w:tc>
        <w:tc>
          <w:tcPr>
            <w:tcW w:w="0" w:type="auto"/>
            <w:vAlign w:val="center"/>
          </w:tcPr>
          <w:p w14:paraId="406D0742">
            <w:pPr>
              <w:jc w:val="both"/>
              <w:textAlignment w:val="center"/>
              <w:rPr>
                <w:rFonts w:ascii="宋体" w:hAnsi="宋体" w:cstheme="minorEastAsia"/>
                <w:bCs/>
                <w:sz w:val="16"/>
                <w:szCs w:val="16"/>
              </w:rPr>
            </w:pPr>
          </w:p>
        </w:tc>
        <w:tc>
          <w:tcPr>
            <w:tcW w:w="0" w:type="auto"/>
            <w:shd w:val="clear" w:color="auto" w:fill="auto"/>
            <w:vAlign w:val="center"/>
          </w:tcPr>
          <w:p w14:paraId="31BC3C87">
            <w:pPr>
              <w:snapToGrid w:val="0"/>
              <w:jc w:val="both"/>
              <w:rPr>
                <w:rFonts w:ascii="宋体" w:hAnsi="宋体" w:cstheme="minorEastAsia"/>
                <w:bCs/>
                <w:sz w:val="16"/>
                <w:szCs w:val="16"/>
              </w:rPr>
            </w:pPr>
          </w:p>
        </w:tc>
      </w:tr>
      <w:tr w14:paraId="187B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56" w:type="dxa"/>
            <w:tcBorders>
              <w:top w:val="single" w:color="auto" w:sz="4" w:space="0"/>
            </w:tcBorders>
            <w:vAlign w:val="center"/>
          </w:tcPr>
          <w:p w14:paraId="283F2FE8">
            <w:pPr>
              <w:snapToGrid w:val="0"/>
              <w:jc w:val="both"/>
              <w:rPr>
                <w:rFonts w:ascii="宋体" w:hAnsi="宋体"/>
                <w:b/>
                <w:sz w:val="16"/>
                <w:szCs w:val="16"/>
              </w:rPr>
            </w:pPr>
            <w:r>
              <w:rPr>
                <w:rFonts w:hint="eastAsia" w:ascii="宋体" w:hAnsi="宋体" w:cstheme="minorEastAsia"/>
                <w:b/>
                <w:bCs/>
                <w:sz w:val="16"/>
                <w:szCs w:val="16"/>
              </w:rPr>
              <w:t>4</w:t>
            </w:r>
          </w:p>
        </w:tc>
        <w:tc>
          <w:tcPr>
            <w:tcW w:w="1484" w:type="dxa"/>
            <w:tcBorders>
              <w:top w:val="single" w:color="auto" w:sz="4" w:space="0"/>
            </w:tcBorders>
            <w:vAlign w:val="center"/>
          </w:tcPr>
          <w:p w14:paraId="0F32B112">
            <w:pPr>
              <w:snapToGrid w:val="0"/>
              <w:jc w:val="both"/>
              <w:rPr>
                <w:rFonts w:ascii="宋体" w:hAnsi="宋体"/>
                <w:b/>
                <w:sz w:val="16"/>
                <w:szCs w:val="16"/>
              </w:rPr>
            </w:pPr>
            <w:r>
              <w:rPr>
                <w:rFonts w:hint="eastAsia" w:ascii="宋体" w:hAnsi="宋体" w:cstheme="minorEastAsia"/>
                <w:b/>
                <w:bCs/>
                <w:sz w:val="16"/>
                <w:szCs w:val="16"/>
              </w:rPr>
              <w:t>安装调试费</w:t>
            </w:r>
          </w:p>
        </w:tc>
        <w:tc>
          <w:tcPr>
            <w:tcW w:w="4601" w:type="dxa"/>
            <w:vAlign w:val="center"/>
          </w:tcPr>
          <w:p w14:paraId="1B1D8E6E">
            <w:pPr>
              <w:snapToGrid w:val="0"/>
              <w:jc w:val="both"/>
              <w:rPr>
                <w:rFonts w:ascii="宋体" w:hAnsi="宋体"/>
                <w:sz w:val="16"/>
                <w:szCs w:val="16"/>
              </w:rPr>
            </w:pPr>
            <w:r>
              <w:rPr>
                <w:rFonts w:ascii="宋体" w:hAnsi="宋体"/>
                <w:sz w:val="16"/>
                <w:szCs w:val="16"/>
              </w:rPr>
              <w:t xml:space="preserve">\ </w:t>
            </w:r>
          </w:p>
        </w:tc>
        <w:tc>
          <w:tcPr>
            <w:tcW w:w="2022" w:type="dxa"/>
            <w:vAlign w:val="center"/>
          </w:tcPr>
          <w:p w14:paraId="57EDDFCF">
            <w:pPr>
              <w:snapToGrid w:val="0"/>
              <w:jc w:val="both"/>
              <w:rPr>
                <w:rFonts w:ascii="宋体" w:hAnsi="宋体" w:cstheme="minorEastAsia"/>
                <w:bCs/>
                <w:sz w:val="16"/>
                <w:szCs w:val="16"/>
              </w:rPr>
            </w:pPr>
          </w:p>
        </w:tc>
        <w:tc>
          <w:tcPr>
            <w:tcW w:w="0" w:type="auto"/>
            <w:vAlign w:val="center"/>
          </w:tcPr>
          <w:p w14:paraId="5BAFFDD6">
            <w:pPr>
              <w:jc w:val="both"/>
              <w:textAlignment w:val="center"/>
              <w:rPr>
                <w:rFonts w:ascii="宋体" w:hAnsi="宋体" w:cstheme="minorEastAsia"/>
                <w:bCs/>
                <w:sz w:val="16"/>
                <w:szCs w:val="16"/>
              </w:rPr>
            </w:pPr>
          </w:p>
        </w:tc>
        <w:tc>
          <w:tcPr>
            <w:tcW w:w="0" w:type="auto"/>
            <w:vAlign w:val="center"/>
          </w:tcPr>
          <w:p w14:paraId="09A9DB54">
            <w:pPr>
              <w:jc w:val="both"/>
              <w:textAlignment w:val="center"/>
              <w:rPr>
                <w:rFonts w:ascii="宋体" w:hAnsi="宋体" w:cstheme="minorEastAsia"/>
                <w:bCs/>
                <w:sz w:val="16"/>
                <w:szCs w:val="16"/>
              </w:rPr>
            </w:pPr>
          </w:p>
        </w:tc>
        <w:tc>
          <w:tcPr>
            <w:tcW w:w="1016" w:type="dxa"/>
            <w:vAlign w:val="center"/>
          </w:tcPr>
          <w:p w14:paraId="544FDE29">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170AB106">
            <w:pPr>
              <w:jc w:val="both"/>
              <w:textAlignment w:val="center"/>
              <w:rPr>
                <w:rFonts w:ascii="宋体" w:hAnsi="宋体"/>
                <w:sz w:val="16"/>
                <w:szCs w:val="16"/>
              </w:rPr>
            </w:pPr>
            <w:r>
              <w:rPr>
                <w:rFonts w:ascii="宋体" w:hAnsi="宋体"/>
                <w:sz w:val="16"/>
                <w:szCs w:val="16"/>
              </w:rPr>
              <w:t>1</w:t>
            </w:r>
          </w:p>
        </w:tc>
        <w:tc>
          <w:tcPr>
            <w:tcW w:w="0" w:type="auto"/>
            <w:vAlign w:val="center"/>
          </w:tcPr>
          <w:p w14:paraId="1035FCC3">
            <w:pPr>
              <w:jc w:val="both"/>
              <w:textAlignment w:val="center"/>
              <w:rPr>
                <w:rFonts w:ascii="宋体" w:hAnsi="宋体" w:cstheme="minorEastAsia"/>
                <w:bCs/>
                <w:sz w:val="16"/>
                <w:szCs w:val="16"/>
              </w:rPr>
            </w:pPr>
          </w:p>
        </w:tc>
        <w:tc>
          <w:tcPr>
            <w:tcW w:w="0" w:type="auto"/>
            <w:vAlign w:val="center"/>
          </w:tcPr>
          <w:p w14:paraId="022E868E">
            <w:pPr>
              <w:jc w:val="both"/>
              <w:textAlignment w:val="center"/>
              <w:rPr>
                <w:rFonts w:ascii="宋体" w:hAnsi="宋体" w:cstheme="minorEastAsia"/>
                <w:bCs/>
                <w:sz w:val="16"/>
                <w:szCs w:val="16"/>
              </w:rPr>
            </w:pPr>
          </w:p>
        </w:tc>
        <w:tc>
          <w:tcPr>
            <w:tcW w:w="0" w:type="auto"/>
            <w:vAlign w:val="center"/>
          </w:tcPr>
          <w:p w14:paraId="4DECB486">
            <w:pPr>
              <w:jc w:val="both"/>
              <w:textAlignment w:val="center"/>
              <w:rPr>
                <w:rFonts w:ascii="宋体" w:hAnsi="宋体" w:cstheme="minorEastAsia"/>
                <w:bCs/>
                <w:sz w:val="16"/>
                <w:szCs w:val="16"/>
              </w:rPr>
            </w:pPr>
          </w:p>
        </w:tc>
        <w:tc>
          <w:tcPr>
            <w:tcW w:w="0" w:type="auto"/>
            <w:shd w:val="clear" w:color="auto" w:fill="auto"/>
            <w:vAlign w:val="center"/>
          </w:tcPr>
          <w:p w14:paraId="0CD668B4">
            <w:pPr>
              <w:snapToGrid w:val="0"/>
              <w:jc w:val="both"/>
              <w:rPr>
                <w:rFonts w:ascii="宋体" w:hAnsi="宋体" w:cstheme="minorEastAsia"/>
                <w:bCs/>
                <w:sz w:val="16"/>
                <w:szCs w:val="16"/>
              </w:rPr>
            </w:pPr>
          </w:p>
        </w:tc>
      </w:tr>
      <w:tr w14:paraId="2D43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56" w:type="dxa"/>
            <w:vAlign w:val="center"/>
          </w:tcPr>
          <w:p w14:paraId="4E124091">
            <w:pPr>
              <w:snapToGrid w:val="0"/>
              <w:jc w:val="both"/>
              <w:rPr>
                <w:rFonts w:ascii="宋体" w:hAnsi="宋体" w:cstheme="minorEastAsia"/>
                <w:b/>
                <w:bCs/>
                <w:sz w:val="21"/>
                <w:szCs w:val="21"/>
              </w:rPr>
            </w:pPr>
            <w:r>
              <w:rPr>
                <w:rFonts w:hint="eastAsia" w:ascii="宋体" w:hAnsi="宋体" w:cstheme="minorEastAsia"/>
                <w:b/>
                <w:bCs/>
                <w:sz w:val="21"/>
                <w:szCs w:val="21"/>
              </w:rPr>
              <w:t>三</w:t>
            </w:r>
          </w:p>
        </w:tc>
        <w:tc>
          <w:tcPr>
            <w:tcW w:w="13138" w:type="dxa"/>
            <w:gridSpan w:val="11"/>
            <w:vAlign w:val="center"/>
          </w:tcPr>
          <w:p w14:paraId="0F0FF509">
            <w:pPr>
              <w:snapToGrid w:val="0"/>
              <w:jc w:val="both"/>
              <w:rPr>
                <w:rFonts w:ascii="宋体" w:hAnsi="宋体" w:cstheme="minorEastAsia"/>
                <w:b/>
                <w:bCs/>
                <w:sz w:val="21"/>
                <w:szCs w:val="21"/>
              </w:rPr>
            </w:pPr>
            <w:r>
              <w:rPr>
                <w:rFonts w:hint="eastAsia" w:ascii="宋体" w:hAnsi="宋体" w:cstheme="minorEastAsia"/>
                <w:b/>
                <w:bCs/>
                <w:sz w:val="21"/>
                <w:szCs w:val="21"/>
              </w:rPr>
              <w:t>制丝车间一条智能产线优化升级</w:t>
            </w:r>
          </w:p>
        </w:tc>
      </w:tr>
      <w:tr w14:paraId="4AEC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7710647E">
            <w:pPr>
              <w:snapToGrid w:val="0"/>
              <w:jc w:val="both"/>
              <w:rPr>
                <w:rFonts w:ascii="宋体" w:hAnsi="宋体" w:cstheme="minorEastAsia"/>
                <w:b/>
                <w:bCs/>
                <w:sz w:val="16"/>
                <w:szCs w:val="16"/>
              </w:rPr>
            </w:pPr>
            <w:r>
              <w:rPr>
                <w:rFonts w:hint="eastAsia" w:ascii="宋体" w:hAnsi="宋体" w:cstheme="minorEastAsia"/>
                <w:b/>
                <w:bCs/>
                <w:sz w:val="16"/>
                <w:szCs w:val="16"/>
              </w:rPr>
              <w:t>1</w:t>
            </w:r>
          </w:p>
        </w:tc>
        <w:tc>
          <w:tcPr>
            <w:tcW w:w="13138" w:type="dxa"/>
            <w:gridSpan w:val="11"/>
            <w:vAlign w:val="center"/>
          </w:tcPr>
          <w:p w14:paraId="36FD69F0">
            <w:pPr>
              <w:snapToGrid w:val="0"/>
              <w:jc w:val="both"/>
              <w:rPr>
                <w:rFonts w:ascii="宋体" w:hAnsi="宋体" w:cstheme="minorEastAsia"/>
                <w:b/>
                <w:bCs/>
                <w:sz w:val="16"/>
                <w:szCs w:val="16"/>
              </w:rPr>
            </w:pPr>
            <w:r>
              <w:rPr>
                <w:rFonts w:hint="eastAsia" w:ascii="宋体" w:hAnsi="宋体" w:cstheme="minorEastAsia"/>
                <w:b/>
                <w:bCs/>
                <w:sz w:val="16"/>
                <w:szCs w:val="16"/>
              </w:rPr>
              <w:t>基于视觉的制丝质量管控应用</w:t>
            </w:r>
          </w:p>
        </w:tc>
      </w:tr>
      <w:tr w14:paraId="23E6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02FFA192">
            <w:pPr>
              <w:snapToGrid w:val="0"/>
              <w:jc w:val="both"/>
              <w:rPr>
                <w:rFonts w:ascii="宋体" w:hAnsi="宋体" w:cstheme="minorEastAsia"/>
                <w:b/>
                <w:bCs/>
                <w:sz w:val="16"/>
                <w:szCs w:val="16"/>
              </w:rPr>
            </w:pPr>
            <w:bookmarkStart w:id="252" w:name="_Hlk187676917"/>
            <w:r>
              <w:rPr>
                <w:rFonts w:hint="eastAsia" w:ascii="宋体" w:hAnsi="宋体" w:cstheme="minorEastAsia"/>
                <w:b/>
                <w:bCs/>
                <w:sz w:val="16"/>
                <w:szCs w:val="16"/>
              </w:rPr>
              <w:t>1.1</w:t>
            </w:r>
          </w:p>
        </w:tc>
        <w:tc>
          <w:tcPr>
            <w:tcW w:w="13138" w:type="dxa"/>
            <w:gridSpan w:val="11"/>
            <w:vAlign w:val="center"/>
          </w:tcPr>
          <w:p w14:paraId="523097B2">
            <w:pPr>
              <w:snapToGrid w:val="0"/>
              <w:jc w:val="both"/>
              <w:rPr>
                <w:rFonts w:ascii="宋体" w:hAnsi="宋体" w:cstheme="minorEastAsia"/>
                <w:b/>
                <w:bCs/>
                <w:sz w:val="16"/>
                <w:szCs w:val="16"/>
              </w:rPr>
            </w:pPr>
            <w:r>
              <w:rPr>
                <w:rFonts w:hint="eastAsia" w:ascii="宋体" w:hAnsi="宋体" w:cstheme="minorEastAsia"/>
                <w:b/>
                <w:bCs/>
                <w:sz w:val="16"/>
                <w:szCs w:val="16"/>
              </w:rPr>
              <w:t>烟草异物防控信息集成模块硬件</w:t>
            </w:r>
          </w:p>
        </w:tc>
      </w:tr>
      <w:bookmarkEnd w:id="252"/>
      <w:tr w14:paraId="275A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552178A6">
            <w:pPr>
              <w:snapToGrid w:val="0"/>
              <w:jc w:val="both"/>
              <w:rPr>
                <w:rFonts w:ascii="宋体" w:hAnsi="宋体" w:cstheme="minorEastAsia"/>
                <w:bCs/>
                <w:sz w:val="16"/>
                <w:szCs w:val="16"/>
              </w:rPr>
            </w:pPr>
            <w:r>
              <w:rPr>
                <w:rFonts w:ascii="宋体" w:hAnsi="宋体"/>
                <w:sz w:val="16"/>
                <w:szCs w:val="16"/>
              </w:rPr>
              <w:t>1.1.1</w:t>
            </w:r>
          </w:p>
        </w:tc>
        <w:tc>
          <w:tcPr>
            <w:tcW w:w="1484" w:type="dxa"/>
            <w:vAlign w:val="center"/>
          </w:tcPr>
          <w:p w14:paraId="001E63C2">
            <w:pPr>
              <w:snapToGrid w:val="0"/>
              <w:jc w:val="both"/>
              <w:rPr>
                <w:rFonts w:ascii="宋体" w:hAnsi="宋体" w:cs="宋体"/>
                <w:sz w:val="16"/>
                <w:szCs w:val="16"/>
              </w:rPr>
            </w:pPr>
            <w:r>
              <w:rPr>
                <w:rFonts w:hint="eastAsia" w:ascii="宋体" w:hAnsi="宋体"/>
                <w:sz w:val="16"/>
                <w:szCs w:val="16"/>
              </w:rPr>
              <w:t>图像工作站</w:t>
            </w:r>
          </w:p>
        </w:tc>
        <w:tc>
          <w:tcPr>
            <w:tcW w:w="4601" w:type="dxa"/>
            <w:vAlign w:val="center"/>
          </w:tcPr>
          <w:p w14:paraId="28E5A8B9">
            <w:pPr>
              <w:snapToGrid w:val="0"/>
              <w:jc w:val="both"/>
              <w:rPr>
                <w:rFonts w:ascii="宋体" w:hAnsi="宋体" w:cs="宋体"/>
                <w:sz w:val="16"/>
                <w:szCs w:val="16"/>
              </w:rPr>
            </w:pPr>
            <w:r>
              <w:rPr>
                <w:rFonts w:ascii="宋体" w:hAnsi="宋体"/>
                <w:sz w:val="16"/>
                <w:szCs w:val="16"/>
              </w:rPr>
              <w:t>1</w:t>
            </w:r>
            <w:r>
              <w:rPr>
                <w:rFonts w:hint="eastAsia" w:ascii="宋体" w:hAnsi="宋体"/>
                <w:sz w:val="16"/>
                <w:szCs w:val="16"/>
              </w:rPr>
              <w:t>、</w:t>
            </w:r>
            <w:r>
              <w:rPr>
                <w:rFonts w:ascii="宋体" w:hAnsi="宋体"/>
                <w:sz w:val="16"/>
                <w:szCs w:val="16"/>
              </w:rPr>
              <w:t>CPU</w:t>
            </w:r>
            <w:r>
              <w:rPr>
                <w:rFonts w:hint="eastAsia" w:ascii="宋体" w:hAnsi="宋体"/>
                <w:sz w:val="16"/>
                <w:szCs w:val="16"/>
              </w:rPr>
              <w:t>：</w:t>
            </w:r>
            <w:r>
              <w:rPr>
                <w:rFonts w:ascii="宋体" w:hAnsi="宋体"/>
                <w:sz w:val="16"/>
                <w:szCs w:val="16"/>
              </w:rPr>
              <w:t xml:space="preserve">Intel Xeon </w:t>
            </w:r>
            <w:r>
              <w:rPr>
                <w:rFonts w:hint="eastAsia" w:ascii="宋体" w:hAnsi="宋体"/>
                <w:sz w:val="16"/>
                <w:szCs w:val="16"/>
              </w:rPr>
              <w:t>银牌</w:t>
            </w:r>
            <w:r>
              <w:rPr>
                <w:rFonts w:ascii="宋体" w:hAnsi="宋体"/>
                <w:sz w:val="16"/>
                <w:szCs w:val="16"/>
              </w:rPr>
              <w:t>4214R   12</w:t>
            </w:r>
            <w:r>
              <w:rPr>
                <w:rFonts w:hint="eastAsia" w:ascii="宋体" w:hAnsi="宋体"/>
                <w:sz w:val="16"/>
                <w:szCs w:val="16"/>
              </w:rPr>
              <w:t>核</w:t>
            </w:r>
            <w:r>
              <w:rPr>
                <w:rFonts w:ascii="宋体" w:hAnsi="宋体"/>
                <w:sz w:val="16"/>
                <w:szCs w:val="16"/>
              </w:rPr>
              <w:t>24</w:t>
            </w:r>
            <w:r>
              <w:rPr>
                <w:rFonts w:hint="eastAsia" w:ascii="宋体" w:hAnsi="宋体"/>
                <w:sz w:val="16"/>
                <w:szCs w:val="16"/>
              </w:rPr>
              <w:t>线程</w:t>
            </w:r>
            <w:r>
              <w:rPr>
                <w:rFonts w:ascii="宋体" w:hAnsi="宋体"/>
                <w:sz w:val="16"/>
                <w:szCs w:val="16"/>
              </w:rPr>
              <w:t>2.1G</w:t>
            </w:r>
            <w:r>
              <w:rPr>
                <w:rFonts w:hint="eastAsia" w:ascii="宋体" w:hAnsi="宋体"/>
                <w:sz w:val="16"/>
                <w:szCs w:val="16"/>
              </w:rPr>
              <w:t>主频×</w:t>
            </w:r>
            <w:r>
              <w:rPr>
                <w:rFonts w:ascii="宋体" w:hAnsi="宋体"/>
                <w:sz w:val="16"/>
                <w:szCs w:val="16"/>
              </w:rPr>
              <w:t>1</w:t>
            </w:r>
            <w:r>
              <w:rPr>
                <w:rFonts w:ascii="宋体" w:hAnsi="宋体"/>
                <w:sz w:val="16"/>
                <w:szCs w:val="16"/>
              </w:rPr>
              <w:br w:type="textWrapping"/>
            </w:r>
            <w:r>
              <w:rPr>
                <w:rFonts w:ascii="宋体" w:hAnsi="宋体"/>
                <w:sz w:val="16"/>
                <w:szCs w:val="16"/>
              </w:rPr>
              <w:t>2</w:t>
            </w:r>
            <w:r>
              <w:rPr>
                <w:rFonts w:hint="eastAsia" w:ascii="宋体" w:hAnsi="宋体"/>
                <w:sz w:val="16"/>
                <w:szCs w:val="16"/>
              </w:rPr>
              <w:t>、内存：</w:t>
            </w:r>
            <w:r>
              <w:rPr>
                <w:rFonts w:ascii="宋体" w:hAnsi="宋体"/>
                <w:sz w:val="16"/>
                <w:szCs w:val="16"/>
              </w:rPr>
              <w:t>DDR4  32GB</w:t>
            </w:r>
            <w:r>
              <w:rPr>
                <w:rFonts w:hint="eastAsia" w:ascii="宋体" w:hAnsi="宋体"/>
                <w:sz w:val="16"/>
                <w:szCs w:val="16"/>
              </w:rPr>
              <w:t>×</w:t>
            </w:r>
            <w:r>
              <w:rPr>
                <w:rFonts w:ascii="宋体" w:hAnsi="宋体"/>
                <w:sz w:val="16"/>
                <w:szCs w:val="16"/>
              </w:rPr>
              <w:t xml:space="preserve">2 </w:t>
            </w:r>
            <w:r>
              <w:rPr>
                <w:rFonts w:hint="eastAsia" w:ascii="宋体" w:hAnsi="宋体"/>
                <w:sz w:val="16"/>
                <w:szCs w:val="16"/>
              </w:rPr>
              <w:t>；</w:t>
            </w:r>
            <w:r>
              <w:rPr>
                <w:rFonts w:ascii="宋体" w:hAnsi="宋体"/>
                <w:sz w:val="16"/>
                <w:szCs w:val="16"/>
              </w:rPr>
              <w:br w:type="textWrapping"/>
            </w:r>
            <w:r>
              <w:rPr>
                <w:rFonts w:ascii="宋体" w:hAnsi="宋体"/>
                <w:sz w:val="16"/>
                <w:szCs w:val="16"/>
              </w:rPr>
              <w:t>3</w:t>
            </w:r>
            <w:r>
              <w:rPr>
                <w:rFonts w:hint="eastAsia" w:ascii="宋体" w:hAnsi="宋体"/>
                <w:sz w:val="16"/>
                <w:szCs w:val="16"/>
              </w:rPr>
              <w:t>、</w:t>
            </w:r>
            <w:r>
              <w:rPr>
                <w:rFonts w:ascii="宋体" w:hAnsi="宋体"/>
                <w:sz w:val="16"/>
                <w:szCs w:val="16"/>
              </w:rPr>
              <w:t>GPU</w:t>
            </w:r>
            <w:r>
              <w:rPr>
                <w:rFonts w:hint="eastAsia" w:ascii="宋体" w:hAnsi="宋体"/>
                <w:sz w:val="16"/>
                <w:szCs w:val="16"/>
              </w:rPr>
              <w:t>：</w:t>
            </w:r>
            <w:r>
              <w:rPr>
                <w:rFonts w:ascii="宋体" w:hAnsi="宋体"/>
                <w:sz w:val="16"/>
                <w:szCs w:val="16"/>
              </w:rPr>
              <w:t xml:space="preserve">16G </w:t>
            </w:r>
            <w:r>
              <w:rPr>
                <w:rFonts w:hint="eastAsia" w:ascii="宋体" w:hAnsi="宋体"/>
                <w:sz w:val="16"/>
                <w:szCs w:val="16"/>
              </w:rPr>
              <w:t>×</w:t>
            </w:r>
            <w:r>
              <w:rPr>
                <w:rFonts w:ascii="宋体" w:hAnsi="宋体"/>
                <w:sz w:val="16"/>
                <w:szCs w:val="16"/>
              </w:rPr>
              <w:t>4</w:t>
            </w:r>
            <w:r>
              <w:rPr>
                <w:rFonts w:hint="eastAsia" w:ascii="宋体" w:hAnsi="宋体"/>
                <w:sz w:val="16"/>
                <w:szCs w:val="16"/>
              </w:rPr>
              <w:t>；</w:t>
            </w:r>
            <w:r>
              <w:rPr>
                <w:rFonts w:ascii="宋体" w:hAnsi="宋体"/>
                <w:sz w:val="16"/>
                <w:szCs w:val="16"/>
              </w:rPr>
              <w:br w:type="textWrapping"/>
            </w:r>
            <w:r>
              <w:rPr>
                <w:rFonts w:ascii="宋体" w:hAnsi="宋体"/>
                <w:sz w:val="16"/>
                <w:szCs w:val="16"/>
              </w:rPr>
              <w:t>4</w:t>
            </w:r>
            <w:r>
              <w:rPr>
                <w:rFonts w:hint="eastAsia" w:ascii="宋体" w:hAnsi="宋体"/>
                <w:sz w:val="16"/>
                <w:szCs w:val="16"/>
              </w:rPr>
              <w:t>、网口：万兆网口×</w:t>
            </w:r>
            <w:r>
              <w:rPr>
                <w:rFonts w:ascii="宋体" w:hAnsi="宋体"/>
                <w:sz w:val="16"/>
                <w:szCs w:val="16"/>
              </w:rPr>
              <w:t>2</w:t>
            </w:r>
            <w:r>
              <w:rPr>
                <w:rFonts w:hint="eastAsia" w:ascii="宋体" w:hAnsi="宋体"/>
                <w:sz w:val="16"/>
                <w:szCs w:val="16"/>
              </w:rPr>
              <w:t>；</w:t>
            </w:r>
            <w:r>
              <w:rPr>
                <w:rFonts w:ascii="宋体" w:hAnsi="宋体"/>
                <w:sz w:val="16"/>
                <w:szCs w:val="16"/>
              </w:rPr>
              <w:br w:type="textWrapping"/>
            </w:r>
            <w:r>
              <w:rPr>
                <w:rFonts w:ascii="宋体" w:hAnsi="宋体"/>
                <w:sz w:val="16"/>
                <w:szCs w:val="16"/>
              </w:rPr>
              <w:t>5</w:t>
            </w:r>
            <w:r>
              <w:rPr>
                <w:rFonts w:hint="eastAsia" w:ascii="宋体" w:hAnsi="宋体"/>
                <w:sz w:val="16"/>
                <w:szCs w:val="16"/>
              </w:rPr>
              <w:t>、光模块：万兆多模模块×</w:t>
            </w:r>
            <w:r>
              <w:rPr>
                <w:rFonts w:ascii="宋体" w:hAnsi="宋体"/>
                <w:sz w:val="16"/>
                <w:szCs w:val="16"/>
              </w:rPr>
              <w:t>2</w:t>
            </w:r>
            <w:r>
              <w:rPr>
                <w:rFonts w:hint="eastAsia" w:ascii="宋体" w:hAnsi="宋体"/>
                <w:sz w:val="16"/>
                <w:szCs w:val="16"/>
              </w:rPr>
              <w:t>；</w:t>
            </w:r>
            <w:r>
              <w:rPr>
                <w:rFonts w:ascii="宋体" w:hAnsi="宋体"/>
                <w:sz w:val="16"/>
                <w:szCs w:val="16"/>
              </w:rPr>
              <w:br w:type="textWrapping"/>
            </w:r>
            <w:r>
              <w:rPr>
                <w:rFonts w:ascii="宋体" w:hAnsi="宋体"/>
                <w:sz w:val="16"/>
                <w:szCs w:val="16"/>
              </w:rPr>
              <w:t>6</w:t>
            </w:r>
            <w:r>
              <w:rPr>
                <w:rFonts w:hint="eastAsia" w:ascii="宋体" w:hAnsi="宋体"/>
                <w:sz w:val="16"/>
                <w:szCs w:val="16"/>
              </w:rPr>
              <w:t>、存储：</w:t>
            </w:r>
            <w:r>
              <w:rPr>
                <w:rFonts w:ascii="宋体" w:hAnsi="宋体"/>
                <w:sz w:val="16"/>
                <w:szCs w:val="16"/>
              </w:rPr>
              <w:t xml:space="preserve"> SATA  4T 3.5"  </w:t>
            </w:r>
            <w:r>
              <w:rPr>
                <w:rFonts w:hint="eastAsia" w:ascii="宋体" w:hAnsi="宋体"/>
                <w:sz w:val="16"/>
                <w:szCs w:val="16"/>
              </w:rPr>
              <w:t>数据盘×</w:t>
            </w:r>
            <w:r>
              <w:rPr>
                <w:rFonts w:ascii="宋体" w:hAnsi="宋体"/>
                <w:sz w:val="16"/>
                <w:szCs w:val="16"/>
              </w:rPr>
              <w:t>1</w:t>
            </w:r>
            <w:r>
              <w:rPr>
                <w:rFonts w:hint="eastAsia" w:ascii="宋体" w:hAnsi="宋体"/>
                <w:sz w:val="16"/>
                <w:szCs w:val="16"/>
              </w:rPr>
              <w:t>；系统盘</w:t>
            </w:r>
            <w:r>
              <w:rPr>
                <w:rFonts w:ascii="宋体" w:hAnsi="宋体"/>
                <w:sz w:val="16"/>
                <w:szCs w:val="16"/>
              </w:rPr>
              <w:t xml:space="preserve"> 1T</w:t>
            </w:r>
            <w:r>
              <w:rPr>
                <w:rFonts w:hint="eastAsia" w:ascii="宋体" w:hAnsi="宋体"/>
                <w:sz w:val="16"/>
                <w:szCs w:val="16"/>
              </w:rPr>
              <w:t>×</w:t>
            </w:r>
            <w:r>
              <w:rPr>
                <w:rFonts w:ascii="宋体" w:hAnsi="宋体"/>
                <w:sz w:val="16"/>
                <w:szCs w:val="16"/>
              </w:rPr>
              <w:t xml:space="preserve">1 NVME; </w:t>
            </w:r>
          </w:p>
        </w:tc>
        <w:tc>
          <w:tcPr>
            <w:tcW w:w="2022" w:type="dxa"/>
            <w:vAlign w:val="center"/>
          </w:tcPr>
          <w:p w14:paraId="0D86913C">
            <w:pPr>
              <w:snapToGrid w:val="0"/>
              <w:jc w:val="both"/>
              <w:rPr>
                <w:rFonts w:ascii="宋体" w:hAnsi="宋体" w:cstheme="minorEastAsia"/>
                <w:bCs/>
                <w:sz w:val="16"/>
                <w:szCs w:val="16"/>
              </w:rPr>
            </w:pPr>
          </w:p>
        </w:tc>
        <w:tc>
          <w:tcPr>
            <w:tcW w:w="0" w:type="auto"/>
            <w:vAlign w:val="center"/>
          </w:tcPr>
          <w:p w14:paraId="7E7E6C5B">
            <w:pPr>
              <w:jc w:val="both"/>
              <w:textAlignment w:val="center"/>
              <w:rPr>
                <w:rFonts w:ascii="宋体" w:hAnsi="宋体" w:cstheme="minorEastAsia"/>
                <w:bCs/>
                <w:sz w:val="16"/>
                <w:szCs w:val="16"/>
              </w:rPr>
            </w:pPr>
          </w:p>
        </w:tc>
        <w:tc>
          <w:tcPr>
            <w:tcW w:w="0" w:type="auto"/>
            <w:vAlign w:val="center"/>
          </w:tcPr>
          <w:p w14:paraId="530FDCCA">
            <w:pPr>
              <w:jc w:val="both"/>
              <w:textAlignment w:val="center"/>
              <w:rPr>
                <w:rFonts w:ascii="宋体" w:hAnsi="宋体" w:cstheme="minorEastAsia"/>
                <w:bCs/>
                <w:sz w:val="16"/>
                <w:szCs w:val="16"/>
              </w:rPr>
            </w:pPr>
          </w:p>
        </w:tc>
        <w:tc>
          <w:tcPr>
            <w:tcW w:w="1016" w:type="dxa"/>
            <w:vAlign w:val="center"/>
          </w:tcPr>
          <w:p w14:paraId="2296036E">
            <w:pPr>
              <w:jc w:val="both"/>
              <w:textAlignment w:val="center"/>
              <w:rPr>
                <w:rFonts w:ascii="宋体" w:hAnsi="宋体" w:cstheme="minorEastAsia"/>
                <w:bCs/>
                <w:sz w:val="16"/>
                <w:szCs w:val="16"/>
              </w:rPr>
            </w:pPr>
            <w:r>
              <w:rPr>
                <w:rFonts w:hint="eastAsia" w:ascii="宋体" w:hAnsi="宋体"/>
                <w:sz w:val="16"/>
                <w:szCs w:val="16"/>
              </w:rPr>
              <w:t>台</w:t>
            </w:r>
          </w:p>
        </w:tc>
        <w:tc>
          <w:tcPr>
            <w:tcW w:w="609" w:type="dxa"/>
            <w:vAlign w:val="center"/>
          </w:tcPr>
          <w:p w14:paraId="700E68D3">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73D86CFF">
            <w:pPr>
              <w:jc w:val="both"/>
              <w:textAlignment w:val="center"/>
              <w:rPr>
                <w:rFonts w:ascii="宋体" w:hAnsi="宋体" w:cstheme="minorEastAsia"/>
                <w:bCs/>
                <w:sz w:val="16"/>
                <w:szCs w:val="16"/>
              </w:rPr>
            </w:pPr>
          </w:p>
        </w:tc>
        <w:tc>
          <w:tcPr>
            <w:tcW w:w="0" w:type="auto"/>
            <w:vAlign w:val="center"/>
          </w:tcPr>
          <w:p w14:paraId="50DA66B3">
            <w:pPr>
              <w:jc w:val="both"/>
              <w:textAlignment w:val="center"/>
              <w:rPr>
                <w:rFonts w:ascii="宋体" w:hAnsi="宋体" w:cstheme="minorEastAsia"/>
                <w:bCs/>
                <w:sz w:val="16"/>
                <w:szCs w:val="16"/>
              </w:rPr>
            </w:pPr>
          </w:p>
        </w:tc>
        <w:tc>
          <w:tcPr>
            <w:tcW w:w="0" w:type="auto"/>
            <w:vAlign w:val="center"/>
          </w:tcPr>
          <w:p w14:paraId="65A2C8CD">
            <w:pPr>
              <w:jc w:val="both"/>
              <w:textAlignment w:val="center"/>
              <w:rPr>
                <w:rFonts w:ascii="宋体" w:hAnsi="宋体" w:cstheme="minorEastAsia"/>
                <w:bCs/>
                <w:sz w:val="16"/>
                <w:szCs w:val="16"/>
              </w:rPr>
            </w:pPr>
          </w:p>
        </w:tc>
        <w:tc>
          <w:tcPr>
            <w:tcW w:w="0" w:type="auto"/>
            <w:shd w:val="clear" w:color="auto" w:fill="auto"/>
            <w:vAlign w:val="center"/>
          </w:tcPr>
          <w:p w14:paraId="30FE5044">
            <w:pPr>
              <w:snapToGrid w:val="0"/>
              <w:jc w:val="both"/>
              <w:rPr>
                <w:rFonts w:ascii="宋体" w:hAnsi="宋体" w:cstheme="minorEastAsia"/>
                <w:bCs/>
                <w:sz w:val="16"/>
                <w:szCs w:val="16"/>
              </w:rPr>
            </w:pPr>
          </w:p>
        </w:tc>
      </w:tr>
      <w:tr w14:paraId="26A1A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7EFAAA92">
            <w:pPr>
              <w:snapToGrid w:val="0"/>
              <w:jc w:val="both"/>
              <w:rPr>
                <w:rFonts w:ascii="宋体" w:hAnsi="宋体" w:cstheme="minorEastAsia"/>
                <w:bCs/>
                <w:sz w:val="16"/>
                <w:szCs w:val="16"/>
              </w:rPr>
            </w:pPr>
            <w:r>
              <w:rPr>
                <w:rFonts w:hint="eastAsia" w:ascii="宋体" w:hAnsi="宋体" w:cstheme="minorEastAsia"/>
                <w:bCs/>
                <w:sz w:val="16"/>
                <w:szCs w:val="16"/>
              </w:rPr>
              <w:t>1.1.2</w:t>
            </w:r>
          </w:p>
        </w:tc>
        <w:tc>
          <w:tcPr>
            <w:tcW w:w="1484" w:type="dxa"/>
            <w:vAlign w:val="center"/>
          </w:tcPr>
          <w:p w14:paraId="716E9920">
            <w:pPr>
              <w:snapToGrid w:val="0"/>
              <w:jc w:val="both"/>
              <w:rPr>
                <w:rFonts w:ascii="宋体" w:hAnsi="宋体" w:cs="宋体"/>
                <w:sz w:val="16"/>
                <w:szCs w:val="16"/>
              </w:rPr>
            </w:pPr>
            <w:r>
              <w:rPr>
                <w:rFonts w:hint="eastAsia" w:ascii="宋体" w:hAnsi="宋体"/>
                <w:sz w:val="16"/>
                <w:szCs w:val="16"/>
              </w:rPr>
              <w:t>交换机</w:t>
            </w:r>
          </w:p>
        </w:tc>
        <w:tc>
          <w:tcPr>
            <w:tcW w:w="4601" w:type="dxa"/>
            <w:vAlign w:val="center"/>
          </w:tcPr>
          <w:p w14:paraId="3AF544A8">
            <w:pPr>
              <w:snapToGrid w:val="0"/>
              <w:jc w:val="both"/>
              <w:rPr>
                <w:rFonts w:ascii="宋体" w:hAnsi="宋体" w:cs="宋体"/>
                <w:sz w:val="16"/>
                <w:szCs w:val="16"/>
              </w:rPr>
            </w:pPr>
            <w:r>
              <w:rPr>
                <w:rFonts w:ascii="宋体" w:hAnsi="宋体"/>
                <w:sz w:val="16"/>
                <w:szCs w:val="16"/>
              </w:rPr>
              <w:t>18</w:t>
            </w:r>
            <w:r>
              <w:rPr>
                <w:rFonts w:hint="eastAsia" w:ascii="宋体" w:hAnsi="宋体"/>
                <w:sz w:val="16"/>
                <w:szCs w:val="16"/>
              </w:rPr>
              <w:t>口</w:t>
            </w:r>
            <w:r>
              <w:rPr>
                <w:rFonts w:ascii="宋体" w:hAnsi="宋体"/>
                <w:sz w:val="16"/>
                <w:szCs w:val="16"/>
              </w:rPr>
              <w:t>POE</w:t>
            </w:r>
            <w:r>
              <w:rPr>
                <w:rFonts w:hint="eastAsia" w:ascii="宋体" w:hAnsi="宋体"/>
                <w:sz w:val="16"/>
                <w:szCs w:val="16"/>
              </w:rPr>
              <w:t>供电交换机千兆</w:t>
            </w:r>
          </w:p>
        </w:tc>
        <w:tc>
          <w:tcPr>
            <w:tcW w:w="2022" w:type="dxa"/>
            <w:vAlign w:val="center"/>
          </w:tcPr>
          <w:p w14:paraId="6E57A763">
            <w:pPr>
              <w:snapToGrid w:val="0"/>
              <w:jc w:val="both"/>
              <w:rPr>
                <w:rFonts w:ascii="宋体" w:hAnsi="宋体" w:cstheme="minorEastAsia"/>
                <w:bCs/>
                <w:sz w:val="16"/>
                <w:szCs w:val="16"/>
              </w:rPr>
            </w:pPr>
          </w:p>
        </w:tc>
        <w:tc>
          <w:tcPr>
            <w:tcW w:w="0" w:type="auto"/>
            <w:vAlign w:val="center"/>
          </w:tcPr>
          <w:p w14:paraId="33BD704F">
            <w:pPr>
              <w:jc w:val="both"/>
              <w:textAlignment w:val="center"/>
              <w:rPr>
                <w:rFonts w:ascii="宋体" w:hAnsi="宋体" w:cstheme="minorEastAsia"/>
                <w:bCs/>
                <w:sz w:val="16"/>
                <w:szCs w:val="16"/>
              </w:rPr>
            </w:pPr>
          </w:p>
        </w:tc>
        <w:tc>
          <w:tcPr>
            <w:tcW w:w="0" w:type="auto"/>
            <w:vAlign w:val="center"/>
          </w:tcPr>
          <w:p w14:paraId="058A5D8C">
            <w:pPr>
              <w:jc w:val="both"/>
              <w:textAlignment w:val="center"/>
              <w:rPr>
                <w:rFonts w:ascii="宋体" w:hAnsi="宋体" w:cstheme="minorEastAsia"/>
                <w:bCs/>
                <w:sz w:val="16"/>
                <w:szCs w:val="16"/>
              </w:rPr>
            </w:pPr>
          </w:p>
        </w:tc>
        <w:tc>
          <w:tcPr>
            <w:tcW w:w="1016" w:type="dxa"/>
            <w:vAlign w:val="center"/>
          </w:tcPr>
          <w:p w14:paraId="283364FB">
            <w:pPr>
              <w:jc w:val="both"/>
              <w:textAlignment w:val="center"/>
              <w:rPr>
                <w:rFonts w:ascii="宋体" w:hAnsi="宋体" w:cstheme="minorEastAsia"/>
                <w:bCs/>
                <w:sz w:val="16"/>
                <w:szCs w:val="16"/>
              </w:rPr>
            </w:pPr>
            <w:r>
              <w:rPr>
                <w:rFonts w:hint="eastAsia" w:ascii="宋体" w:hAnsi="宋体"/>
                <w:sz w:val="16"/>
                <w:szCs w:val="16"/>
              </w:rPr>
              <w:t>台</w:t>
            </w:r>
          </w:p>
        </w:tc>
        <w:tc>
          <w:tcPr>
            <w:tcW w:w="609" w:type="dxa"/>
            <w:vAlign w:val="center"/>
          </w:tcPr>
          <w:p w14:paraId="56B5AF99">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131E6630">
            <w:pPr>
              <w:jc w:val="both"/>
              <w:textAlignment w:val="center"/>
              <w:rPr>
                <w:rFonts w:ascii="宋体" w:hAnsi="宋体" w:cstheme="minorEastAsia"/>
                <w:bCs/>
                <w:sz w:val="16"/>
                <w:szCs w:val="16"/>
              </w:rPr>
            </w:pPr>
          </w:p>
        </w:tc>
        <w:tc>
          <w:tcPr>
            <w:tcW w:w="0" w:type="auto"/>
            <w:vAlign w:val="center"/>
          </w:tcPr>
          <w:p w14:paraId="1042FE9B">
            <w:pPr>
              <w:jc w:val="both"/>
              <w:textAlignment w:val="center"/>
              <w:rPr>
                <w:rFonts w:ascii="宋体" w:hAnsi="宋体" w:cstheme="minorEastAsia"/>
                <w:bCs/>
                <w:sz w:val="16"/>
                <w:szCs w:val="16"/>
              </w:rPr>
            </w:pPr>
          </w:p>
        </w:tc>
        <w:tc>
          <w:tcPr>
            <w:tcW w:w="0" w:type="auto"/>
            <w:vAlign w:val="center"/>
          </w:tcPr>
          <w:p w14:paraId="752E3880">
            <w:pPr>
              <w:jc w:val="both"/>
              <w:textAlignment w:val="center"/>
              <w:rPr>
                <w:rFonts w:ascii="宋体" w:hAnsi="宋体" w:cstheme="minorEastAsia"/>
                <w:bCs/>
                <w:sz w:val="16"/>
                <w:szCs w:val="16"/>
              </w:rPr>
            </w:pPr>
          </w:p>
        </w:tc>
        <w:tc>
          <w:tcPr>
            <w:tcW w:w="0" w:type="auto"/>
            <w:shd w:val="clear" w:color="auto" w:fill="auto"/>
            <w:vAlign w:val="center"/>
          </w:tcPr>
          <w:p w14:paraId="093A8F8C">
            <w:pPr>
              <w:snapToGrid w:val="0"/>
              <w:jc w:val="both"/>
              <w:rPr>
                <w:rFonts w:ascii="宋体" w:hAnsi="宋体" w:cstheme="minorEastAsia"/>
                <w:bCs/>
                <w:sz w:val="16"/>
                <w:szCs w:val="16"/>
              </w:rPr>
            </w:pPr>
          </w:p>
        </w:tc>
      </w:tr>
      <w:tr w14:paraId="7C19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856" w:type="dxa"/>
            <w:vAlign w:val="center"/>
          </w:tcPr>
          <w:p w14:paraId="275DDEEF">
            <w:pPr>
              <w:snapToGrid w:val="0"/>
              <w:jc w:val="both"/>
              <w:rPr>
                <w:rFonts w:ascii="宋体" w:hAnsi="宋体" w:cstheme="minorEastAsia"/>
                <w:bCs/>
                <w:sz w:val="16"/>
                <w:szCs w:val="16"/>
              </w:rPr>
            </w:pPr>
            <w:r>
              <w:rPr>
                <w:rFonts w:hint="eastAsia" w:ascii="宋体" w:hAnsi="宋体" w:cstheme="minorEastAsia"/>
                <w:bCs/>
                <w:sz w:val="16"/>
                <w:szCs w:val="16"/>
              </w:rPr>
              <w:t>1.1.3</w:t>
            </w:r>
          </w:p>
        </w:tc>
        <w:tc>
          <w:tcPr>
            <w:tcW w:w="1484" w:type="dxa"/>
            <w:vAlign w:val="center"/>
          </w:tcPr>
          <w:p w14:paraId="573E4965">
            <w:pPr>
              <w:snapToGrid w:val="0"/>
              <w:jc w:val="both"/>
              <w:rPr>
                <w:rFonts w:ascii="宋体" w:hAnsi="宋体" w:cs="宋体"/>
                <w:sz w:val="16"/>
                <w:szCs w:val="16"/>
              </w:rPr>
            </w:pPr>
            <w:r>
              <w:rPr>
                <w:rFonts w:hint="eastAsia" w:ascii="宋体" w:hAnsi="宋体"/>
                <w:sz w:val="16"/>
                <w:szCs w:val="16"/>
              </w:rPr>
              <w:t>平台终端</w:t>
            </w:r>
          </w:p>
        </w:tc>
        <w:tc>
          <w:tcPr>
            <w:tcW w:w="4601" w:type="dxa"/>
            <w:vAlign w:val="center"/>
          </w:tcPr>
          <w:p w14:paraId="0B9287FA">
            <w:pPr>
              <w:snapToGrid w:val="0"/>
              <w:jc w:val="both"/>
              <w:rPr>
                <w:rFonts w:ascii="宋体" w:hAnsi="宋体" w:cs="宋体"/>
                <w:sz w:val="16"/>
                <w:szCs w:val="16"/>
              </w:rPr>
            </w:pPr>
            <w:r>
              <w:rPr>
                <w:rFonts w:hint="eastAsia" w:ascii="宋体" w:hAnsi="宋体"/>
                <w:sz w:val="16"/>
                <w:szCs w:val="16"/>
              </w:rPr>
              <w:t>Intel B系列 主板，cpu：i5 ，10核16线程，4.7GHZ，内存：16G ， 1000Mbps 以太网卡，硬盘：1TB SSD 23英寸显示器分辨率 1920×1080，功率180W。</w:t>
            </w:r>
          </w:p>
        </w:tc>
        <w:tc>
          <w:tcPr>
            <w:tcW w:w="2022" w:type="dxa"/>
            <w:vAlign w:val="center"/>
          </w:tcPr>
          <w:p w14:paraId="0F7744F6">
            <w:pPr>
              <w:snapToGrid w:val="0"/>
              <w:jc w:val="both"/>
              <w:rPr>
                <w:rFonts w:ascii="宋体" w:hAnsi="宋体" w:cstheme="minorEastAsia"/>
                <w:bCs/>
                <w:sz w:val="16"/>
                <w:szCs w:val="16"/>
              </w:rPr>
            </w:pPr>
          </w:p>
        </w:tc>
        <w:tc>
          <w:tcPr>
            <w:tcW w:w="0" w:type="auto"/>
            <w:vAlign w:val="center"/>
          </w:tcPr>
          <w:p w14:paraId="6D9D3B40">
            <w:pPr>
              <w:jc w:val="both"/>
              <w:textAlignment w:val="center"/>
              <w:rPr>
                <w:rFonts w:ascii="宋体" w:hAnsi="宋体" w:cstheme="minorEastAsia"/>
                <w:bCs/>
                <w:sz w:val="16"/>
                <w:szCs w:val="16"/>
              </w:rPr>
            </w:pPr>
          </w:p>
        </w:tc>
        <w:tc>
          <w:tcPr>
            <w:tcW w:w="0" w:type="auto"/>
            <w:vAlign w:val="center"/>
          </w:tcPr>
          <w:p w14:paraId="43F6F4B2">
            <w:pPr>
              <w:jc w:val="both"/>
              <w:textAlignment w:val="center"/>
              <w:rPr>
                <w:rFonts w:ascii="宋体" w:hAnsi="宋体" w:cstheme="minorEastAsia"/>
                <w:bCs/>
                <w:sz w:val="16"/>
                <w:szCs w:val="16"/>
              </w:rPr>
            </w:pPr>
          </w:p>
        </w:tc>
        <w:tc>
          <w:tcPr>
            <w:tcW w:w="1016" w:type="dxa"/>
            <w:vAlign w:val="center"/>
          </w:tcPr>
          <w:p w14:paraId="7416209C">
            <w:pPr>
              <w:jc w:val="both"/>
              <w:textAlignment w:val="center"/>
              <w:rPr>
                <w:rFonts w:ascii="宋体" w:hAnsi="宋体" w:cstheme="minorEastAsia"/>
                <w:bCs/>
                <w:sz w:val="16"/>
                <w:szCs w:val="16"/>
              </w:rPr>
            </w:pPr>
            <w:r>
              <w:rPr>
                <w:rFonts w:hint="eastAsia" w:ascii="宋体" w:hAnsi="宋体"/>
                <w:sz w:val="16"/>
                <w:szCs w:val="16"/>
              </w:rPr>
              <w:t>台</w:t>
            </w:r>
          </w:p>
        </w:tc>
        <w:tc>
          <w:tcPr>
            <w:tcW w:w="609" w:type="dxa"/>
            <w:vAlign w:val="center"/>
          </w:tcPr>
          <w:p w14:paraId="0FEDF99C">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378D8FBE">
            <w:pPr>
              <w:jc w:val="both"/>
              <w:textAlignment w:val="center"/>
              <w:rPr>
                <w:rFonts w:ascii="宋体" w:hAnsi="宋体" w:cstheme="minorEastAsia"/>
                <w:bCs/>
                <w:sz w:val="16"/>
                <w:szCs w:val="16"/>
              </w:rPr>
            </w:pPr>
          </w:p>
        </w:tc>
        <w:tc>
          <w:tcPr>
            <w:tcW w:w="0" w:type="auto"/>
            <w:vAlign w:val="center"/>
          </w:tcPr>
          <w:p w14:paraId="4CD03D18">
            <w:pPr>
              <w:jc w:val="both"/>
              <w:textAlignment w:val="center"/>
              <w:rPr>
                <w:rFonts w:ascii="宋体" w:hAnsi="宋体" w:cstheme="minorEastAsia"/>
                <w:bCs/>
                <w:sz w:val="16"/>
                <w:szCs w:val="16"/>
              </w:rPr>
            </w:pPr>
          </w:p>
        </w:tc>
        <w:tc>
          <w:tcPr>
            <w:tcW w:w="0" w:type="auto"/>
            <w:vAlign w:val="center"/>
          </w:tcPr>
          <w:p w14:paraId="6BC4B016">
            <w:pPr>
              <w:jc w:val="both"/>
              <w:textAlignment w:val="center"/>
              <w:rPr>
                <w:rFonts w:ascii="宋体" w:hAnsi="宋体" w:cstheme="minorEastAsia"/>
                <w:bCs/>
                <w:sz w:val="16"/>
                <w:szCs w:val="16"/>
              </w:rPr>
            </w:pPr>
          </w:p>
        </w:tc>
        <w:tc>
          <w:tcPr>
            <w:tcW w:w="0" w:type="auto"/>
            <w:shd w:val="clear" w:color="auto" w:fill="auto"/>
            <w:vAlign w:val="center"/>
          </w:tcPr>
          <w:p w14:paraId="73A42B2F">
            <w:pPr>
              <w:snapToGrid w:val="0"/>
              <w:jc w:val="both"/>
              <w:rPr>
                <w:rFonts w:ascii="宋体" w:hAnsi="宋体" w:cstheme="minorEastAsia"/>
                <w:bCs/>
                <w:sz w:val="16"/>
                <w:szCs w:val="16"/>
              </w:rPr>
            </w:pPr>
          </w:p>
        </w:tc>
      </w:tr>
      <w:tr w14:paraId="2CA7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4B8676A6">
            <w:pPr>
              <w:snapToGrid w:val="0"/>
              <w:jc w:val="both"/>
              <w:rPr>
                <w:rFonts w:ascii="宋体" w:hAnsi="宋体" w:cstheme="minorEastAsia"/>
                <w:b/>
                <w:bCs/>
                <w:sz w:val="16"/>
                <w:szCs w:val="16"/>
              </w:rPr>
            </w:pPr>
            <w:r>
              <w:rPr>
                <w:rFonts w:hint="eastAsia" w:ascii="宋体" w:hAnsi="宋体" w:cstheme="minorEastAsia"/>
                <w:b/>
                <w:bCs/>
                <w:sz w:val="16"/>
                <w:szCs w:val="16"/>
              </w:rPr>
              <w:t>1.2</w:t>
            </w:r>
          </w:p>
        </w:tc>
        <w:tc>
          <w:tcPr>
            <w:tcW w:w="13138" w:type="dxa"/>
            <w:gridSpan w:val="11"/>
            <w:vAlign w:val="center"/>
          </w:tcPr>
          <w:p w14:paraId="00829557">
            <w:pPr>
              <w:snapToGrid w:val="0"/>
              <w:jc w:val="both"/>
              <w:rPr>
                <w:rFonts w:ascii="宋体" w:hAnsi="宋体" w:cstheme="minorEastAsia"/>
                <w:b/>
                <w:bCs/>
                <w:sz w:val="16"/>
                <w:szCs w:val="16"/>
              </w:rPr>
            </w:pPr>
            <w:r>
              <w:rPr>
                <w:rFonts w:hint="eastAsia" w:ascii="宋体" w:hAnsi="宋体" w:cstheme="minorEastAsia"/>
                <w:b/>
                <w:bCs/>
                <w:sz w:val="16"/>
                <w:szCs w:val="16"/>
              </w:rPr>
              <w:t>切丝机前大异物检测装置</w:t>
            </w:r>
          </w:p>
        </w:tc>
      </w:tr>
      <w:tr w14:paraId="491E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7A8BE297">
            <w:pPr>
              <w:snapToGrid w:val="0"/>
              <w:jc w:val="both"/>
              <w:rPr>
                <w:rFonts w:ascii="宋体" w:hAnsi="宋体" w:cstheme="minorEastAsia"/>
                <w:bCs/>
                <w:sz w:val="16"/>
                <w:szCs w:val="16"/>
              </w:rPr>
            </w:pPr>
            <w:r>
              <w:rPr>
                <w:rFonts w:hint="eastAsia" w:ascii="宋体" w:hAnsi="宋体" w:cstheme="minorEastAsia"/>
                <w:bCs/>
                <w:sz w:val="16"/>
                <w:szCs w:val="16"/>
              </w:rPr>
              <w:t>1.2.1</w:t>
            </w:r>
          </w:p>
        </w:tc>
        <w:tc>
          <w:tcPr>
            <w:tcW w:w="1484" w:type="dxa"/>
            <w:tcBorders>
              <w:top w:val="single" w:color="auto" w:sz="4" w:space="0"/>
            </w:tcBorders>
            <w:vAlign w:val="center"/>
          </w:tcPr>
          <w:p w14:paraId="6380AD92">
            <w:pPr>
              <w:snapToGrid w:val="0"/>
              <w:jc w:val="both"/>
              <w:rPr>
                <w:rFonts w:ascii="宋体" w:hAnsi="宋体" w:cs="宋体"/>
                <w:b/>
                <w:sz w:val="16"/>
                <w:szCs w:val="16"/>
              </w:rPr>
            </w:pPr>
            <w:r>
              <w:rPr>
                <w:rFonts w:hint="eastAsia" w:ascii="宋体" w:hAnsi="宋体"/>
                <w:sz w:val="16"/>
                <w:szCs w:val="16"/>
              </w:rPr>
              <w:t>视觉控制器</w:t>
            </w:r>
          </w:p>
        </w:tc>
        <w:tc>
          <w:tcPr>
            <w:tcW w:w="4601" w:type="dxa"/>
            <w:vAlign w:val="center"/>
          </w:tcPr>
          <w:p w14:paraId="6FB1B7AA">
            <w:pPr>
              <w:snapToGrid w:val="0"/>
              <w:jc w:val="both"/>
              <w:rPr>
                <w:rFonts w:ascii="宋体" w:hAnsi="宋体"/>
                <w:sz w:val="16"/>
                <w:szCs w:val="16"/>
              </w:rPr>
            </w:pPr>
            <w:r>
              <w:rPr>
                <w:rFonts w:hint="eastAsia" w:ascii="宋体" w:hAnsi="宋体"/>
                <w:sz w:val="16"/>
                <w:szCs w:val="16"/>
              </w:rPr>
              <w:t>１.I5 8500/内存4G/128Gssd/1PCIEX16 *1/350W/GPU GTX1650/Win10操作系统</w:t>
            </w:r>
          </w:p>
          <w:p w14:paraId="5A8F9779">
            <w:pPr>
              <w:snapToGrid w:val="0"/>
              <w:jc w:val="both"/>
              <w:rPr>
                <w:rFonts w:ascii="宋体" w:hAnsi="宋体" w:cs="宋体"/>
                <w:sz w:val="16"/>
                <w:szCs w:val="16"/>
              </w:rPr>
            </w:pPr>
            <w:r>
              <w:rPr>
                <w:rFonts w:ascii="宋体" w:hAnsi="宋体"/>
                <w:sz w:val="16"/>
                <w:szCs w:val="16"/>
              </w:rPr>
              <w:t>2.</w:t>
            </w:r>
            <w:r>
              <w:rPr>
                <w:rFonts w:hint="eastAsia" w:ascii="宋体" w:hAnsi="宋体"/>
                <w:sz w:val="16"/>
                <w:szCs w:val="16"/>
              </w:rPr>
              <w:t>智能</w:t>
            </w:r>
            <w:r>
              <w:rPr>
                <w:rFonts w:ascii="宋体" w:hAnsi="宋体"/>
                <w:sz w:val="16"/>
                <w:szCs w:val="16"/>
              </w:rPr>
              <w:t>IO</w:t>
            </w:r>
            <w:r>
              <w:rPr>
                <w:rFonts w:hint="eastAsia" w:ascii="宋体" w:hAnsi="宋体"/>
                <w:sz w:val="16"/>
                <w:szCs w:val="16"/>
              </w:rPr>
              <w:t>控制板：高速</w:t>
            </w:r>
            <w:r>
              <w:rPr>
                <w:rFonts w:ascii="宋体" w:hAnsi="宋体"/>
                <w:sz w:val="16"/>
                <w:szCs w:val="16"/>
              </w:rPr>
              <w:t>1</w:t>
            </w:r>
            <w:r>
              <w:rPr>
                <w:rFonts w:hint="eastAsia" w:ascii="宋体" w:hAnsi="宋体"/>
                <w:sz w:val="16"/>
                <w:szCs w:val="16"/>
              </w:rPr>
              <w:t>μ</w:t>
            </w:r>
            <w:r>
              <w:rPr>
                <w:rFonts w:ascii="宋体" w:hAnsi="宋体"/>
                <w:sz w:val="16"/>
                <w:szCs w:val="16"/>
              </w:rPr>
              <w:t>s</w:t>
            </w:r>
            <w:r>
              <w:rPr>
                <w:rFonts w:hint="eastAsia" w:ascii="宋体" w:hAnsi="宋体"/>
                <w:sz w:val="16"/>
                <w:szCs w:val="16"/>
              </w:rPr>
              <w:t>信号控制能力、输入信号端≥</w:t>
            </w:r>
            <w:r>
              <w:rPr>
                <w:rFonts w:ascii="宋体" w:hAnsi="宋体"/>
                <w:sz w:val="16"/>
                <w:szCs w:val="16"/>
              </w:rPr>
              <w:t>8</w:t>
            </w:r>
            <w:r>
              <w:rPr>
                <w:rFonts w:hint="eastAsia" w:ascii="宋体" w:hAnsi="宋体"/>
                <w:sz w:val="16"/>
                <w:szCs w:val="16"/>
              </w:rPr>
              <w:t>、输出信号端≥</w:t>
            </w:r>
            <w:r>
              <w:rPr>
                <w:rFonts w:ascii="宋体" w:hAnsi="宋体"/>
                <w:sz w:val="16"/>
                <w:szCs w:val="16"/>
              </w:rPr>
              <w:t>8</w:t>
            </w:r>
            <w:r>
              <w:rPr>
                <w:rFonts w:hint="eastAsia" w:ascii="宋体" w:hAnsi="宋体"/>
                <w:sz w:val="16"/>
                <w:szCs w:val="16"/>
              </w:rPr>
              <w:t>。</w:t>
            </w:r>
            <w:r>
              <w:rPr>
                <w:rFonts w:ascii="宋体" w:hAnsi="宋体"/>
                <w:sz w:val="16"/>
                <w:szCs w:val="16"/>
              </w:rPr>
              <w:br w:type="textWrapping"/>
            </w:r>
            <w:r>
              <w:rPr>
                <w:rFonts w:ascii="宋体" w:hAnsi="宋体"/>
                <w:sz w:val="16"/>
                <w:szCs w:val="16"/>
              </w:rPr>
              <w:br w:type="textWrapping"/>
            </w:r>
            <w:r>
              <w:rPr>
                <w:rFonts w:ascii="宋体" w:hAnsi="宋体"/>
                <w:sz w:val="16"/>
                <w:szCs w:val="16"/>
              </w:rPr>
              <w:t>3.</w:t>
            </w:r>
            <w:r>
              <w:rPr>
                <w:rFonts w:hint="eastAsia" w:ascii="宋体" w:hAnsi="宋体"/>
                <w:sz w:val="16"/>
                <w:szCs w:val="16"/>
              </w:rPr>
              <w:t>光源控制器。</w:t>
            </w:r>
          </w:p>
        </w:tc>
        <w:tc>
          <w:tcPr>
            <w:tcW w:w="2022" w:type="dxa"/>
            <w:vAlign w:val="center"/>
          </w:tcPr>
          <w:p w14:paraId="51B2EA34">
            <w:pPr>
              <w:snapToGrid w:val="0"/>
              <w:jc w:val="both"/>
              <w:rPr>
                <w:rFonts w:ascii="宋体" w:hAnsi="宋体" w:cstheme="minorEastAsia"/>
                <w:bCs/>
                <w:sz w:val="16"/>
                <w:szCs w:val="16"/>
              </w:rPr>
            </w:pPr>
          </w:p>
        </w:tc>
        <w:tc>
          <w:tcPr>
            <w:tcW w:w="0" w:type="auto"/>
            <w:vAlign w:val="center"/>
          </w:tcPr>
          <w:p w14:paraId="57CFA049">
            <w:pPr>
              <w:jc w:val="both"/>
              <w:textAlignment w:val="center"/>
              <w:rPr>
                <w:rFonts w:ascii="宋体" w:hAnsi="宋体" w:cstheme="minorEastAsia"/>
                <w:bCs/>
                <w:sz w:val="16"/>
                <w:szCs w:val="16"/>
              </w:rPr>
            </w:pPr>
          </w:p>
        </w:tc>
        <w:tc>
          <w:tcPr>
            <w:tcW w:w="0" w:type="auto"/>
            <w:vAlign w:val="center"/>
          </w:tcPr>
          <w:p w14:paraId="5344F0BA">
            <w:pPr>
              <w:jc w:val="both"/>
              <w:textAlignment w:val="center"/>
              <w:rPr>
                <w:rFonts w:ascii="宋体" w:hAnsi="宋体" w:cstheme="minorEastAsia"/>
                <w:bCs/>
                <w:sz w:val="16"/>
                <w:szCs w:val="16"/>
              </w:rPr>
            </w:pPr>
          </w:p>
        </w:tc>
        <w:tc>
          <w:tcPr>
            <w:tcW w:w="1016" w:type="dxa"/>
            <w:vAlign w:val="center"/>
          </w:tcPr>
          <w:p w14:paraId="16D3F21B">
            <w:pPr>
              <w:jc w:val="both"/>
              <w:textAlignment w:val="center"/>
              <w:rPr>
                <w:rFonts w:ascii="宋体" w:hAnsi="宋体" w:cstheme="minorEastAsia"/>
                <w:b/>
                <w:bCs/>
                <w:sz w:val="16"/>
                <w:szCs w:val="16"/>
              </w:rPr>
            </w:pPr>
            <w:r>
              <w:rPr>
                <w:rFonts w:hint="eastAsia" w:ascii="宋体" w:hAnsi="宋体"/>
                <w:sz w:val="16"/>
                <w:szCs w:val="16"/>
              </w:rPr>
              <w:t>套</w:t>
            </w:r>
          </w:p>
        </w:tc>
        <w:tc>
          <w:tcPr>
            <w:tcW w:w="609" w:type="dxa"/>
            <w:vAlign w:val="center"/>
          </w:tcPr>
          <w:p w14:paraId="5BFBA3D0">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5FC850A1">
            <w:pPr>
              <w:jc w:val="both"/>
              <w:textAlignment w:val="center"/>
              <w:rPr>
                <w:rFonts w:ascii="宋体" w:hAnsi="宋体" w:cstheme="minorEastAsia"/>
                <w:bCs/>
                <w:sz w:val="16"/>
                <w:szCs w:val="16"/>
              </w:rPr>
            </w:pPr>
          </w:p>
        </w:tc>
        <w:tc>
          <w:tcPr>
            <w:tcW w:w="0" w:type="auto"/>
            <w:vAlign w:val="center"/>
          </w:tcPr>
          <w:p w14:paraId="22CA2A2D">
            <w:pPr>
              <w:jc w:val="both"/>
              <w:textAlignment w:val="center"/>
              <w:rPr>
                <w:rFonts w:ascii="宋体" w:hAnsi="宋体" w:cstheme="minorEastAsia"/>
                <w:bCs/>
                <w:sz w:val="16"/>
                <w:szCs w:val="16"/>
              </w:rPr>
            </w:pPr>
          </w:p>
        </w:tc>
        <w:tc>
          <w:tcPr>
            <w:tcW w:w="0" w:type="auto"/>
            <w:vAlign w:val="center"/>
          </w:tcPr>
          <w:p w14:paraId="40C0B339">
            <w:pPr>
              <w:jc w:val="both"/>
              <w:textAlignment w:val="center"/>
              <w:rPr>
                <w:rFonts w:ascii="宋体" w:hAnsi="宋体" w:cstheme="minorEastAsia"/>
                <w:bCs/>
                <w:sz w:val="16"/>
                <w:szCs w:val="16"/>
              </w:rPr>
            </w:pPr>
          </w:p>
        </w:tc>
        <w:tc>
          <w:tcPr>
            <w:tcW w:w="0" w:type="auto"/>
            <w:shd w:val="clear" w:color="auto" w:fill="auto"/>
            <w:vAlign w:val="center"/>
          </w:tcPr>
          <w:p w14:paraId="3BA8785C">
            <w:pPr>
              <w:snapToGrid w:val="0"/>
              <w:jc w:val="both"/>
              <w:rPr>
                <w:rFonts w:ascii="宋体" w:hAnsi="宋体" w:cstheme="minorEastAsia"/>
                <w:bCs/>
                <w:sz w:val="16"/>
                <w:szCs w:val="16"/>
              </w:rPr>
            </w:pPr>
          </w:p>
        </w:tc>
      </w:tr>
      <w:tr w14:paraId="1577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7CDA4801">
            <w:pPr>
              <w:snapToGrid w:val="0"/>
              <w:jc w:val="both"/>
              <w:rPr>
                <w:rFonts w:ascii="宋体" w:hAnsi="宋体" w:cstheme="minorEastAsia"/>
                <w:bCs/>
                <w:sz w:val="16"/>
                <w:szCs w:val="16"/>
              </w:rPr>
            </w:pPr>
            <w:r>
              <w:rPr>
                <w:rFonts w:hint="eastAsia" w:ascii="宋体" w:hAnsi="宋体" w:cstheme="minorEastAsia"/>
                <w:bCs/>
                <w:sz w:val="16"/>
                <w:szCs w:val="16"/>
              </w:rPr>
              <w:t>1.2.2</w:t>
            </w:r>
          </w:p>
        </w:tc>
        <w:tc>
          <w:tcPr>
            <w:tcW w:w="1484" w:type="dxa"/>
            <w:tcBorders>
              <w:top w:val="single" w:color="auto" w:sz="4" w:space="0"/>
            </w:tcBorders>
            <w:vAlign w:val="center"/>
          </w:tcPr>
          <w:p w14:paraId="5D094C17">
            <w:pPr>
              <w:snapToGrid w:val="0"/>
              <w:jc w:val="both"/>
              <w:rPr>
                <w:rFonts w:ascii="宋体" w:hAnsi="宋体" w:cs="宋体"/>
                <w:sz w:val="16"/>
                <w:szCs w:val="16"/>
              </w:rPr>
            </w:pPr>
            <w:r>
              <w:rPr>
                <w:rFonts w:hint="eastAsia" w:ascii="宋体" w:hAnsi="宋体"/>
                <w:sz w:val="16"/>
                <w:szCs w:val="16"/>
              </w:rPr>
              <w:t>显示一体机</w:t>
            </w:r>
          </w:p>
        </w:tc>
        <w:tc>
          <w:tcPr>
            <w:tcW w:w="4601" w:type="dxa"/>
            <w:vAlign w:val="center"/>
          </w:tcPr>
          <w:p w14:paraId="48B906C4">
            <w:pPr>
              <w:snapToGrid w:val="0"/>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2022" w:type="dxa"/>
            <w:vAlign w:val="center"/>
          </w:tcPr>
          <w:p w14:paraId="7D456311">
            <w:pPr>
              <w:snapToGrid w:val="0"/>
              <w:jc w:val="both"/>
              <w:rPr>
                <w:rFonts w:ascii="宋体" w:hAnsi="宋体" w:cstheme="minorEastAsia"/>
                <w:bCs/>
                <w:sz w:val="16"/>
                <w:szCs w:val="16"/>
              </w:rPr>
            </w:pPr>
          </w:p>
        </w:tc>
        <w:tc>
          <w:tcPr>
            <w:tcW w:w="0" w:type="auto"/>
            <w:vAlign w:val="center"/>
          </w:tcPr>
          <w:p w14:paraId="69F68985">
            <w:pPr>
              <w:jc w:val="both"/>
              <w:textAlignment w:val="center"/>
              <w:rPr>
                <w:rFonts w:ascii="宋体" w:hAnsi="宋体" w:cstheme="minorEastAsia"/>
                <w:bCs/>
                <w:sz w:val="16"/>
                <w:szCs w:val="16"/>
              </w:rPr>
            </w:pPr>
          </w:p>
        </w:tc>
        <w:tc>
          <w:tcPr>
            <w:tcW w:w="0" w:type="auto"/>
            <w:vAlign w:val="center"/>
          </w:tcPr>
          <w:p w14:paraId="3206A762">
            <w:pPr>
              <w:jc w:val="both"/>
              <w:textAlignment w:val="center"/>
              <w:rPr>
                <w:rFonts w:ascii="宋体" w:hAnsi="宋体" w:cstheme="minorEastAsia"/>
                <w:bCs/>
                <w:sz w:val="16"/>
                <w:szCs w:val="16"/>
              </w:rPr>
            </w:pPr>
          </w:p>
        </w:tc>
        <w:tc>
          <w:tcPr>
            <w:tcW w:w="1016" w:type="dxa"/>
            <w:vAlign w:val="center"/>
          </w:tcPr>
          <w:p w14:paraId="44501BF0">
            <w:pPr>
              <w:jc w:val="both"/>
              <w:textAlignment w:val="center"/>
              <w:rPr>
                <w:rFonts w:ascii="宋体" w:hAnsi="宋体" w:cstheme="minorEastAsia"/>
                <w:bCs/>
                <w:sz w:val="16"/>
                <w:szCs w:val="16"/>
              </w:rPr>
            </w:pPr>
            <w:r>
              <w:rPr>
                <w:rFonts w:hint="eastAsia" w:ascii="宋体" w:hAnsi="宋体"/>
                <w:sz w:val="16"/>
                <w:szCs w:val="16"/>
              </w:rPr>
              <w:t>台</w:t>
            </w:r>
          </w:p>
        </w:tc>
        <w:tc>
          <w:tcPr>
            <w:tcW w:w="609" w:type="dxa"/>
            <w:vAlign w:val="center"/>
          </w:tcPr>
          <w:p w14:paraId="504CAF03">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28E2E45A">
            <w:pPr>
              <w:jc w:val="both"/>
              <w:textAlignment w:val="center"/>
              <w:rPr>
                <w:rFonts w:ascii="宋体" w:hAnsi="宋体" w:cstheme="minorEastAsia"/>
                <w:bCs/>
                <w:sz w:val="16"/>
                <w:szCs w:val="16"/>
                <w:highlight w:val="yellow"/>
              </w:rPr>
            </w:pPr>
          </w:p>
        </w:tc>
        <w:tc>
          <w:tcPr>
            <w:tcW w:w="0" w:type="auto"/>
            <w:vAlign w:val="center"/>
          </w:tcPr>
          <w:p w14:paraId="235F1781">
            <w:pPr>
              <w:jc w:val="both"/>
              <w:textAlignment w:val="center"/>
              <w:rPr>
                <w:rFonts w:ascii="宋体" w:hAnsi="宋体" w:cstheme="minorEastAsia"/>
                <w:bCs/>
                <w:sz w:val="16"/>
                <w:szCs w:val="16"/>
                <w:highlight w:val="yellow"/>
              </w:rPr>
            </w:pPr>
          </w:p>
        </w:tc>
        <w:tc>
          <w:tcPr>
            <w:tcW w:w="0" w:type="auto"/>
            <w:vAlign w:val="center"/>
          </w:tcPr>
          <w:p w14:paraId="12157C4B">
            <w:pPr>
              <w:jc w:val="both"/>
              <w:textAlignment w:val="center"/>
              <w:rPr>
                <w:rFonts w:ascii="宋体" w:hAnsi="宋体" w:cstheme="minorEastAsia"/>
                <w:bCs/>
                <w:sz w:val="16"/>
                <w:szCs w:val="16"/>
                <w:highlight w:val="yellow"/>
              </w:rPr>
            </w:pPr>
          </w:p>
        </w:tc>
        <w:tc>
          <w:tcPr>
            <w:tcW w:w="0" w:type="auto"/>
            <w:shd w:val="clear" w:color="auto" w:fill="auto"/>
            <w:vAlign w:val="center"/>
          </w:tcPr>
          <w:p w14:paraId="5D4E0736">
            <w:pPr>
              <w:snapToGrid w:val="0"/>
              <w:jc w:val="both"/>
              <w:rPr>
                <w:rFonts w:ascii="宋体" w:hAnsi="宋体" w:cstheme="minorEastAsia"/>
                <w:bCs/>
                <w:sz w:val="16"/>
                <w:szCs w:val="16"/>
              </w:rPr>
            </w:pPr>
          </w:p>
        </w:tc>
      </w:tr>
      <w:tr w14:paraId="438B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56" w:type="dxa"/>
            <w:vAlign w:val="center"/>
          </w:tcPr>
          <w:p w14:paraId="5C5A8F99">
            <w:pPr>
              <w:snapToGrid w:val="0"/>
              <w:jc w:val="both"/>
              <w:rPr>
                <w:rFonts w:ascii="宋体" w:hAnsi="宋体" w:cstheme="minorEastAsia"/>
                <w:bCs/>
                <w:sz w:val="16"/>
                <w:szCs w:val="16"/>
              </w:rPr>
            </w:pPr>
            <w:r>
              <w:rPr>
                <w:rFonts w:hint="eastAsia" w:ascii="宋体" w:hAnsi="宋体" w:cstheme="minorEastAsia"/>
                <w:bCs/>
                <w:sz w:val="16"/>
                <w:szCs w:val="16"/>
              </w:rPr>
              <w:t>1.2.3</w:t>
            </w:r>
          </w:p>
        </w:tc>
        <w:tc>
          <w:tcPr>
            <w:tcW w:w="1484" w:type="dxa"/>
            <w:tcBorders>
              <w:top w:val="single" w:color="auto" w:sz="4" w:space="0"/>
            </w:tcBorders>
            <w:vAlign w:val="center"/>
          </w:tcPr>
          <w:p w14:paraId="1943D865">
            <w:pPr>
              <w:snapToGrid w:val="0"/>
              <w:jc w:val="both"/>
              <w:rPr>
                <w:rFonts w:ascii="宋体" w:hAnsi="宋体" w:cs="宋体"/>
                <w:sz w:val="16"/>
                <w:szCs w:val="16"/>
              </w:rPr>
            </w:pPr>
            <w:r>
              <w:rPr>
                <w:rFonts w:hint="eastAsia" w:ascii="宋体" w:hAnsi="宋体"/>
                <w:sz w:val="16"/>
                <w:szCs w:val="16"/>
              </w:rPr>
              <w:t>工业面阵相机</w:t>
            </w:r>
          </w:p>
        </w:tc>
        <w:tc>
          <w:tcPr>
            <w:tcW w:w="4601" w:type="dxa"/>
            <w:vAlign w:val="center"/>
          </w:tcPr>
          <w:p w14:paraId="5AD15F2D">
            <w:pPr>
              <w:snapToGrid w:val="0"/>
              <w:jc w:val="both"/>
              <w:rPr>
                <w:rFonts w:ascii="宋体" w:hAnsi="宋体" w:cs="宋体"/>
                <w:sz w:val="16"/>
                <w:szCs w:val="16"/>
              </w:rPr>
            </w:pPr>
            <w:r>
              <w:rPr>
                <w:rFonts w:ascii="宋体" w:hAnsi="宋体"/>
                <w:sz w:val="16"/>
                <w:szCs w:val="16"/>
              </w:rPr>
              <w:t>1</w:t>
            </w:r>
            <w:r>
              <w:rPr>
                <w:rFonts w:hint="eastAsia" w:ascii="宋体" w:hAnsi="宋体"/>
                <w:sz w:val="16"/>
                <w:szCs w:val="16"/>
              </w:rPr>
              <w:t>、工业面阵相机：</w:t>
            </w:r>
            <w:r>
              <w:rPr>
                <w:rFonts w:ascii="宋体" w:hAnsi="宋体"/>
                <w:sz w:val="16"/>
                <w:szCs w:val="16"/>
              </w:rPr>
              <w:t>160</w:t>
            </w:r>
            <w:r>
              <w:rPr>
                <w:rFonts w:hint="eastAsia" w:ascii="宋体" w:hAnsi="宋体"/>
                <w:sz w:val="16"/>
                <w:szCs w:val="16"/>
              </w:rPr>
              <w:t>万彩色，</w:t>
            </w:r>
            <w:r>
              <w:rPr>
                <w:rFonts w:ascii="宋体" w:hAnsi="宋体"/>
                <w:sz w:val="16"/>
                <w:szCs w:val="16"/>
              </w:rPr>
              <w:t>C</w:t>
            </w:r>
            <w:r>
              <w:rPr>
                <w:rFonts w:hint="eastAsia" w:ascii="宋体" w:hAnsi="宋体"/>
                <w:sz w:val="16"/>
                <w:szCs w:val="16"/>
              </w:rPr>
              <w:t>口，</w:t>
            </w:r>
            <w:r>
              <w:rPr>
                <w:rFonts w:ascii="宋体" w:hAnsi="宋体"/>
                <w:sz w:val="16"/>
                <w:szCs w:val="16"/>
              </w:rPr>
              <w:t>GigE</w:t>
            </w:r>
            <w:r>
              <w:rPr>
                <w:rFonts w:hint="eastAsia" w:ascii="宋体" w:hAnsi="宋体"/>
                <w:sz w:val="16"/>
                <w:szCs w:val="16"/>
              </w:rPr>
              <w:t>接口，电压</w:t>
            </w:r>
            <w:r>
              <w:rPr>
                <w:rFonts w:ascii="宋体" w:hAnsi="宋体"/>
                <w:sz w:val="16"/>
                <w:szCs w:val="16"/>
              </w:rPr>
              <w:t>12V</w:t>
            </w:r>
            <w:r>
              <w:rPr>
                <w:rFonts w:hint="eastAsia" w:ascii="宋体" w:hAnsi="宋体"/>
                <w:sz w:val="16"/>
                <w:szCs w:val="16"/>
              </w:rPr>
              <w:t>，工作稳定</w:t>
            </w:r>
            <w:r>
              <w:rPr>
                <w:rFonts w:ascii="宋体" w:hAnsi="宋体"/>
                <w:sz w:val="16"/>
                <w:szCs w:val="16"/>
              </w:rPr>
              <w:t xml:space="preserve">0 </w:t>
            </w:r>
            <w:r>
              <w:rPr>
                <w:rFonts w:hint="eastAsia" w:ascii="宋体" w:hAnsi="宋体"/>
                <w:sz w:val="16"/>
                <w:szCs w:val="16"/>
              </w:rPr>
              <w:t>°</w:t>
            </w:r>
            <w:r>
              <w:rPr>
                <w:rFonts w:ascii="宋体" w:hAnsi="宋体"/>
                <w:sz w:val="16"/>
                <w:szCs w:val="16"/>
              </w:rPr>
              <w:t xml:space="preserve">C - 50 </w:t>
            </w:r>
            <w:r>
              <w:rPr>
                <w:rFonts w:hint="eastAsia" w:ascii="宋体" w:hAnsi="宋体"/>
                <w:sz w:val="16"/>
                <w:szCs w:val="16"/>
              </w:rPr>
              <w:t>°</w:t>
            </w:r>
            <w:r>
              <w:rPr>
                <w:rFonts w:ascii="宋体" w:hAnsi="宋体"/>
                <w:sz w:val="16"/>
                <w:szCs w:val="16"/>
              </w:rPr>
              <w:t>C</w:t>
            </w:r>
            <w:r>
              <w:rPr>
                <w:rFonts w:hint="eastAsia" w:ascii="宋体" w:hAnsi="宋体"/>
                <w:sz w:val="16"/>
                <w:szCs w:val="16"/>
              </w:rPr>
              <w:t>。支持自动或手动调节增益、曝光时间、白平衡、</w:t>
            </w:r>
            <w:r>
              <w:rPr>
                <w:rFonts w:ascii="宋体" w:hAnsi="宋体"/>
                <w:sz w:val="16"/>
                <w:szCs w:val="16"/>
              </w:rPr>
              <w:t>LUT</w:t>
            </w:r>
            <w:r>
              <w:rPr>
                <w:rFonts w:hint="eastAsia" w:ascii="宋体" w:hAnsi="宋体"/>
                <w:sz w:val="16"/>
                <w:szCs w:val="16"/>
              </w:rPr>
              <w:t>、</w:t>
            </w:r>
            <w:r>
              <w:rPr>
                <w:rFonts w:ascii="宋体" w:hAnsi="宋体"/>
                <w:sz w:val="16"/>
                <w:szCs w:val="16"/>
              </w:rPr>
              <w:t>Gamma</w:t>
            </w:r>
            <w:r>
              <w:rPr>
                <w:rFonts w:hint="eastAsia" w:ascii="宋体" w:hAnsi="宋体"/>
                <w:sz w:val="16"/>
                <w:szCs w:val="16"/>
              </w:rPr>
              <w:t>校正等。</w:t>
            </w:r>
            <w:r>
              <w:rPr>
                <w:rFonts w:ascii="宋体" w:hAnsi="宋体"/>
                <w:sz w:val="16"/>
                <w:szCs w:val="16"/>
              </w:rPr>
              <w:br w:type="textWrapping"/>
            </w:r>
            <w:r>
              <w:rPr>
                <w:rFonts w:ascii="宋体" w:hAnsi="宋体"/>
                <w:sz w:val="16"/>
                <w:szCs w:val="16"/>
              </w:rPr>
              <w:t>2</w:t>
            </w:r>
            <w:r>
              <w:rPr>
                <w:rFonts w:hint="eastAsia" w:ascii="宋体" w:hAnsi="宋体"/>
                <w:sz w:val="16"/>
                <w:szCs w:val="16"/>
              </w:rPr>
              <w:t>、工业面阵镜头：</w:t>
            </w:r>
            <w:r>
              <w:rPr>
                <w:rFonts w:ascii="宋体" w:hAnsi="宋体"/>
                <w:sz w:val="16"/>
                <w:szCs w:val="16"/>
              </w:rPr>
              <w:t>8mm</w:t>
            </w:r>
            <w:r>
              <w:rPr>
                <w:rFonts w:hint="eastAsia" w:ascii="宋体" w:hAnsi="宋体"/>
                <w:sz w:val="16"/>
                <w:szCs w:val="16"/>
              </w:rPr>
              <w:t>，</w:t>
            </w:r>
            <w:r>
              <w:rPr>
                <w:rFonts w:ascii="宋体" w:hAnsi="宋体"/>
                <w:sz w:val="16"/>
                <w:szCs w:val="16"/>
              </w:rPr>
              <w:t>C</w:t>
            </w:r>
            <w:r>
              <w:rPr>
                <w:rFonts w:hint="eastAsia" w:ascii="宋体" w:hAnsi="宋体"/>
                <w:sz w:val="16"/>
                <w:szCs w:val="16"/>
              </w:rPr>
              <w:t>口，支持工作温度范围</w:t>
            </w:r>
            <w:r>
              <w:rPr>
                <w:rFonts w:ascii="宋体" w:hAnsi="宋体"/>
                <w:sz w:val="16"/>
                <w:szCs w:val="16"/>
              </w:rPr>
              <w:t>-20</w:t>
            </w:r>
            <w:r>
              <w:rPr>
                <w:rFonts w:hint="eastAsia" w:ascii="宋体" w:hAnsi="宋体"/>
                <w:sz w:val="16"/>
                <w:szCs w:val="16"/>
              </w:rPr>
              <w:t>℃</w:t>
            </w:r>
            <w:r>
              <w:rPr>
                <w:rFonts w:ascii="宋体" w:hAnsi="宋体"/>
                <w:sz w:val="16"/>
                <w:szCs w:val="16"/>
              </w:rPr>
              <w:t>~50</w:t>
            </w:r>
            <w:r>
              <w:rPr>
                <w:rFonts w:hint="eastAsia" w:ascii="宋体" w:hAnsi="宋体"/>
                <w:sz w:val="16"/>
                <w:szCs w:val="16"/>
              </w:rPr>
              <w:t>℃，超低畸变设计，色差优化设计，成像清晰度稳定。</w:t>
            </w:r>
            <w:r>
              <w:rPr>
                <w:rFonts w:ascii="宋体" w:hAnsi="宋体"/>
                <w:sz w:val="16"/>
                <w:szCs w:val="16"/>
              </w:rPr>
              <w:br w:type="textWrapping"/>
            </w:r>
            <w:r>
              <w:rPr>
                <w:rFonts w:ascii="宋体" w:hAnsi="宋体"/>
                <w:sz w:val="16"/>
                <w:szCs w:val="16"/>
              </w:rPr>
              <w:t>3</w:t>
            </w:r>
            <w:r>
              <w:rPr>
                <w:rFonts w:hint="eastAsia" w:ascii="宋体" w:hAnsi="宋体"/>
                <w:sz w:val="16"/>
                <w:szCs w:val="16"/>
              </w:rPr>
              <w:t>、单套相机含工业光源</w:t>
            </w:r>
            <w:r>
              <w:rPr>
                <w:rFonts w:ascii="宋体" w:hAnsi="宋体"/>
                <w:sz w:val="16"/>
                <w:szCs w:val="16"/>
              </w:rPr>
              <w:t>2</w:t>
            </w:r>
            <w:r>
              <w:rPr>
                <w:rFonts w:hint="eastAsia" w:ascii="宋体" w:hAnsi="宋体"/>
                <w:sz w:val="16"/>
                <w:szCs w:val="16"/>
              </w:rPr>
              <w:t>套：定制白色高亮光源，</w:t>
            </w:r>
            <w:r>
              <w:rPr>
                <w:rFonts w:ascii="宋体" w:hAnsi="宋体"/>
                <w:sz w:val="16"/>
                <w:szCs w:val="16"/>
              </w:rPr>
              <w:t>1000mmX29mm</w:t>
            </w:r>
            <w:r>
              <w:rPr>
                <w:rFonts w:hint="eastAsia" w:ascii="宋体" w:hAnsi="宋体"/>
                <w:sz w:val="16"/>
                <w:szCs w:val="16"/>
              </w:rPr>
              <w:t>。</w:t>
            </w:r>
          </w:p>
        </w:tc>
        <w:tc>
          <w:tcPr>
            <w:tcW w:w="2022" w:type="dxa"/>
            <w:vAlign w:val="center"/>
          </w:tcPr>
          <w:p w14:paraId="2D3D1BF0">
            <w:pPr>
              <w:snapToGrid w:val="0"/>
              <w:jc w:val="both"/>
              <w:rPr>
                <w:rFonts w:ascii="宋体" w:hAnsi="宋体" w:cstheme="minorEastAsia"/>
                <w:bCs/>
                <w:sz w:val="16"/>
                <w:szCs w:val="16"/>
              </w:rPr>
            </w:pPr>
          </w:p>
        </w:tc>
        <w:tc>
          <w:tcPr>
            <w:tcW w:w="0" w:type="auto"/>
            <w:vAlign w:val="center"/>
          </w:tcPr>
          <w:p w14:paraId="1C6590D2">
            <w:pPr>
              <w:jc w:val="both"/>
              <w:textAlignment w:val="center"/>
              <w:rPr>
                <w:rFonts w:ascii="宋体" w:hAnsi="宋体" w:cstheme="minorEastAsia"/>
                <w:bCs/>
                <w:sz w:val="16"/>
                <w:szCs w:val="16"/>
              </w:rPr>
            </w:pPr>
          </w:p>
        </w:tc>
        <w:tc>
          <w:tcPr>
            <w:tcW w:w="0" w:type="auto"/>
            <w:vAlign w:val="center"/>
          </w:tcPr>
          <w:p w14:paraId="7F717877">
            <w:pPr>
              <w:jc w:val="both"/>
              <w:textAlignment w:val="center"/>
              <w:rPr>
                <w:rFonts w:ascii="宋体" w:hAnsi="宋体" w:cstheme="minorEastAsia"/>
                <w:bCs/>
                <w:sz w:val="16"/>
                <w:szCs w:val="16"/>
              </w:rPr>
            </w:pPr>
          </w:p>
        </w:tc>
        <w:tc>
          <w:tcPr>
            <w:tcW w:w="1016" w:type="dxa"/>
            <w:vAlign w:val="center"/>
          </w:tcPr>
          <w:p w14:paraId="3F276591">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65703AB9">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1D89BD40">
            <w:pPr>
              <w:jc w:val="both"/>
              <w:textAlignment w:val="center"/>
              <w:rPr>
                <w:rFonts w:ascii="宋体" w:hAnsi="宋体" w:cstheme="minorEastAsia"/>
                <w:bCs/>
                <w:sz w:val="16"/>
                <w:szCs w:val="16"/>
                <w:highlight w:val="yellow"/>
              </w:rPr>
            </w:pPr>
          </w:p>
        </w:tc>
        <w:tc>
          <w:tcPr>
            <w:tcW w:w="0" w:type="auto"/>
            <w:vAlign w:val="center"/>
          </w:tcPr>
          <w:p w14:paraId="482E0542">
            <w:pPr>
              <w:jc w:val="both"/>
              <w:textAlignment w:val="center"/>
              <w:rPr>
                <w:rFonts w:ascii="宋体" w:hAnsi="宋体" w:cstheme="minorEastAsia"/>
                <w:bCs/>
                <w:sz w:val="16"/>
                <w:szCs w:val="16"/>
                <w:highlight w:val="yellow"/>
              </w:rPr>
            </w:pPr>
          </w:p>
        </w:tc>
        <w:tc>
          <w:tcPr>
            <w:tcW w:w="0" w:type="auto"/>
            <w:vAlign w:val="center"/>
          </w:tcPr>
          <w:p w14:paraId="288C99FB">
            <w:pPr>
              <w:jc w:val="both"/>
              <w:textAlignment w:val="center"/>
              <w:rPr>
                <w:rFonts w:ascii="宋体" w:hAnsi="宋体" w:cstheme="minorEastAsia"/>
                <w:bCs/>
                <w:sz w:val="16"/>
                <w:szCs w:val="16"/>
                <w:highlight w:val="yellow"/>
              </w:rPr>
            </w:pPr>
          </w:p>
        </w:tc>
        <w:tc>
          <w:tcPr>
            <w:tcW w:w="0" w:type="auto"/>
            <w:shd w:val="clear" w:color="auto" w:fill="auto"/>
            <w:vAlign w:val="center"/>
          </w:tcPr>
          <w:p w14:paraId="34FC0654">
            <w:pPr>
              <w:snapToGrid w:val="0"/>
              <w:jc w:val="both"/>
              <w:rPr>
                <w:rFonts w:ascii="宋体" w:hAnsi="宋体" w:cstheme="minorEastAsia"/>
                <w:bCs/>
                <w:sz w:val="16"/>
                <w:szCs w:val="16"/>
              </w:rPr>
            </w:pPr>
          </w:p>
        </w:tc>
      </w:tr>
      <w:tr w14:paraId="042F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78C9F96C">
            <w:pPr>
              <w:snapToGrid w:val="0"/>
              <w:jc w:val="both"/>
              <w:rPr>
                <w:rFonts w:ascii="宋体" w:hAnsi="宋体" w:cstheme="minorEastAsia"/>
                <w:b/>
                <w:bCs/>
                <w:sz w:val="16"/>
                <w:szCs w:val="16"/>
              </w:rPr>
            </w:pPr>
            <w:r>
              <w:rPr>
                <w:rFonts w:hint="eastAsia" w:ascii="宋体" w:hAnsi="宋体" w:cstheme="minorEastAsia"/>
                <w:b/>
                <w:bCs/>
                <w:sz w:val="16"/>
                <w:szCs w:val="16"/>
              </w:rPr>
              <w:t>1.3</w:t>
            </w:r>
          </w:p>
        </w:tc>
        <w:tc>
          <w:tcPr>
            <w:tcW w:w="13138" w:type="dxa"/>
            <w:gridSpan w:val="11"/>
            <w:vAlign w:val="center"/>
          </w:tcPr>
          <w:p w14:paraId="7772A4F5">
            <w:pPr>
              <w:snapToGrid w:val="0"/>
              <w:jc w:val="both"/>
              <w:rPr>
                <w:rFonts w:ascii="宋体" w:hAnsi="宋体" w:cstheme="minorEastAsia"/>
                <w:b/>
                <w:bCs/>
                <w:sz w:val="16"/>
                <w:szCs w:val="16"/>
              </w:rPr>
            </w:pPr>
            <w:r>
              <w:rPr>
                <w:rFonts w:hint="eastAsia" w:ascii="宋体" w:hAnsi="宋体" w:cstheme="minorEastAsia"/>
                <w:b/>
                <w:bCs/>
                <w:sz w:val="16"/>
                <w:szCs w:val="16"/>
              </w:rPr>
              <w:t>霉变烟、虫烟检测系统</w:t>
            </w:r>
          </w:p>
        </w:tc>
      </w:tr>
      <w:tr w14:paraId="058C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856" w:type="dxa"/>
            <w:tcBorders>
              <w:bottom w:val="single" w:color="auto" w:sz="4" w:space="0"/>
            </w:tcBorders>
            <w:vAlign w:val="center"/>
          </w:tcPr>
          <w:p w14:paraId="7EC8584E">
            <w:pPr>
              <w:snapToGrid w:val="0"/>
              <w:jc w:val="both"/>
              <w:rPr>
                <w:rFonts w:ascii="宋体" w:hAnsi="宋体" w:cstheme="minorEastAsia"/>
                <w:bCs/>
                <w:sz w:val="16"/>
                <w:szCs w:val="16"/>
              </w:rPr>
            </w:pPr>
            <w:r>
              <w:rPr>
                <w:rFonts w:hint="eastAsia" w:ascii="宋体" w:hAnsi="宋体" w:cstheme="minorEastAsia"/>
                <w:bCs/>
                <w:sz w:val="16"/>
                <w:szCs w:val="16"/>
              </w:rPr>
              <w:t>1.3.1</w:t>
            </w:r>
          </w:p>
        </w:tc>
        <w:tc>
          <w:tcPr>
            <w:tcW w:w="1484" w:type="dxa"/>
            <w:tcBorders>
              <w:bottom w:val="single" w:color="auto" w:sz="4" w:space="0"/>
            </w:tcBorders>
            <w:vAlign w:val="center"/>
          </w:tcPr>
          <w:p w14:paraId="66F0998D">
            <w:pPr>
              <w:snapToGrid w:val="0"/>
              <w:jc w:val="both"/>
              <w:rPr>
                <w:rFonts w:ascii="宋体" w:hAnsi="宋体" w:cs="宋体"/>
                <w:b/>
                <w:sz w:val="16"/>
                <w:szCs w:val="16"/>
              </w:rPr>
            </w:pPr>
            <w:r>
              <w:rPr>
                <w:rFonts w:hint="eastAsia" w:ascii="宋体" w:hAnsi="宋体"/>
                <w:sz w:val="16"/>
                <w:szCs w:val="16"/>
              </w:rPr>
              <w:t>工业面阵相机</w:t>
            </w:r>
          </w:p>
        </w:tc>
        <w:tc>
          <w:tcPr>
            <w:tcW w:w="4601" w:type="dxa"/>
            <w:tcBorders>
              <w:bottom w:val="single" w:color="auto" w:sz="4" w:space="0"/>
            </w:tcBorders>
            <w:vAlign w:val="center"/>
          </w:tcPr>
          <w:p w14:paraId="61A0240D">
            <w:pPr>
              <w:snapToGrid w:val="0"/>
              <w:jc w:val="both"/>
              <w:rPr>
                <w:rFonts w:ascii="宋体" w:hAnsi="宋体"/>
                <w:sz w:val="16"/>
                <w:szCs w:val="16"/>
              </w:rPr>
            </w:pPr>
            <w:r>
              <w:rPr>
                <w:rFonts w:ascii="宋体" w:hAnsi="宋体"/>
                <w:sz w:val="16"/>
                <w:szCs w:val="16"/>
              </w:rPr>
              <w:t>1</w:t>
            </w:r>
            <w:r>
              <w:rPr>
                <w:rFonts w:hint="eastAsia" w:ascii="宋体" w:hAnsi="宋体"/>
                <w:sz w:val="16"/>
                <w:szCs w:val="16"/>
              </w:rPr>
              <w:t>、工业面阵相机：</w:t>
            </w:r>
            <w:r>
              <w:rPr>
                <w:rFonts w:ascii="宋体" w:hAnsi="宋体"/>
                <w:sz w:val="16"/>
                <w:szCs w:val="16"/>
              </w:rPr>
              <w:t>2000</w:t>
            </w:r>
            <w:r>
              <w:rPr>
                <w:rFonts w:hint="eastAsia" w:ascii="宋体" w:hAnsi="宋体"/>
                <w:sz w:val="16"/>
                <w:szCs w:val="16"/>
              </w:rPr>
              <w:t>万像素彩色相机，千兆以太网接口。</w:t>
            </w:r>
            <w:r>
              <w:rPr>
                <w:rFonts w:ascii="宋体" w:hAnsi="宋体"/>
                <w:sz w:val="16"/>
                <w:szCs w:val="16"/>
              </w:rPr>
              <w:br w:type="textWrapping"/>
            </w:r>
            <w:r>
              <w:rPr>
                <w:rFonts w:ascii="宋体" w:hAnsi="宋体"/>
                <w:sz w:val="16"/>
                <w:szCs w:val="16"/>
              </w:rPr>
              <w:t>2</w:t>
            </w:r>
            <w:r>
              <w:rPr>
                <w:rFonts w:hint="eastAsia" w:ascii="宋体" w:hAnsi="宋体"/>
                <w:sz w:val="16"/>
                <w:szCs w:val="16"/>
              </w:rPr>
              <w:t>、工业面阵镜头：</w:t>
            </w:r>
            <w:r>
              <w:rPr>
                <w:rFonts w:ascii="宋体" w:hAnsi="宋体"/>
                <w:sz w:val="16"/>
                <w:szCs w:val="16"/>
              </w:rPr>
              <w:t>12mm</w:t>
            </w:r>
            <w:r>
              <w:rPr>
                <w:rFonts w:hint="eastAsia" w:ascii="宋体" w:hAnsi="宋体"/>
                <w:sz w:val="16"/>
                <w:szCs w:val="16"/>
              </w:rPr>
              <w:t>，</w:t>
            </w:r>
            <w:r>
              <w:rPr>
                <w:rFonts w:ascii="宋体" w:hAnsi="宋体"/>
                <w:sz w:val="16"/>
                <w:szCs w:val="16"/>
              </w:rPr>
              <w:t>C</w:t>
            </w:r>
            <w:r>
              <w:rPr>
                <w:rFonts w:hint="eastAsia" w:ascii="宋体" w:hAnsi="宋体"/>
                <w:sz w:val="16"/>
                <w:szCs w:val="16"/>
              </w:rPr>
              <w:t>口镜头，分辨率</w:t>
            </w:r>
            <w:r>
              <w:rPr>
                <w:rFonts w:ascii="宋体" w:hAnsi="宋体"/>
                <w:sz w:val="16"/>
                <w:szCs w:val="16"/>
              </w:rPr>
              <w:t>2500</w:t>
            </w:r>
            <w:r>
              <w:rPr>
                <w:rFonts w:hint="eastAsia" w:ascii="宋体" w:hAnsi="宋体"/>
                <w:sz w:val="16"/>
                <w:szCs w:val="16"/>
              </w:rPr>
              <w:t>万。支持工作温度范围</w:t>
            </w:r>
            <w:r>
              <w:rPr>
                <w:rFonts w:ascii="宋体" w:hAnsi="宋体"/>
                <w:sz w:val="16"/>
                <w:szCs w:val="16"/>
              </w:rPr>
              <w:t>-20</w:t>
            </w:r>
            <w:r>
              <w:rPr>
                <w:rFonts w:hint="eastAsia" w:ascii="宋体" w:hAnsi="宋体"/>
                <w:sz w:val="16"/>
                <w:szCs w:val="16"/>
              </w:rPr>
              <w:t>℃</w:t>
            </w:r>
            <w:r>
              <w:rPr>
                <w:rFonts w:ascii="宋体" w:hAnsi="宋体"/>
                <w:sz w:val="16"/>
                <w:szCs w:val="16"/>
              </w:rPr>
              <w:t>~50</w:t>
            </w:r>
            <w:r>
              <w:rPr>
                <w:rFonts w:hint="eastAsia" w:ascii="宋体" w:hAnsi="宋体"/>
                <w:sz w:val="16"/>
                <w:szCs w:val="16"/>
              </w:rPr>
              <w:t>℃，超低畸变设计，色差优化设计，成像清晰度稳定。</w:t>
            </w:r>
          </w:p>
          <w:p w14:paraId="373FA1BF">
            <w:pPr>
              <w:snapToGrid w:val="0"/>
              <w:jc w:val="both"/>
              <w:rPr>
                <w:rFonts w:ascii="宋体" w:hAnsi="宋体" w:cs="宋体"/>
                <w:sz w:val="16"/>
                <w:szCs w:val="16"/>
              </w:rPr>
            </w:pPr>
            <w:r>
              <w:rPr>
                <w:rFonts w:ascii="宋体" w:hAnsi="宋体"/>
                <w:sz w:val="16"/>
                <w:szCs w:val="16"/>
              </w:rPr>
              <w:t>3</w:t>
            </w:r>
            <w:r>
              <w:rPr>
                <w:rFonts w:hint="eastAsia" w:ascii="宋体" w:hAnsi="宋体"/>
                <w:sz w:val="16"/>
                <w:szCs w:val="16"/>
              </w:rPr>
              <w:t>、单套相机含高亮光源</w:t>
            </w:r>
            <w:r>
              <w:rPr>
                <w:rFonts w:ascii="宋体" w:hAnsi="宋体"/>
                <w:sz w:val="16"/>
                <w:szCs w:val="16"/>
              </w:rPr>
              <w:t>2</w:t>
            </w:r>
            <w:r>
              <w:rPr>
                <w:rFonts w:hint="eastAsia" w:ascii="宋体" w:hAnsi="宋体"/>
                <w:sz w:val="16"/>
                <w:szCs w:val="16"/>
              </w:rPr>
              <w:t>套：定制高亮光源，照射角度可灵活调节</w:t>
            </w:r>
            <w:r>
              <w:rPr>
                <w:rFonts w:ascii="宋体" w:hAnsi="宋体"/>
                <w:sz w:val="16"/>
                <w:szCs w:val="16"/>
              </w:rPr>
              <w:t>1000X29mm</w:t>
            </w:r>
            <w:r>
              <w:rPr>
                <w:rFonts w:hint="eastAsia" w:ascii="宋体" w:hAnsi="宋体"/>
                <w:sz w:val="16"/>
                <w:szCs w:val="16"/>
              </w:rPr>
              <w:t>。</w:t>
            </w:r>
          </w:p>
        </w:tc>
        <w:tc>
          <w:tcPr>
            <w:tcW w:w="2022" w:type="dxa"/>
            <w:tcBorders>
              <w:bottom w:val="single" w:color="auto" w:sz="4" w:space="0"/>
            </w:tcBorders>
            <w:vAlign w:val="center"/>
          </w:tcPr>
          <w:p w14:paraId="1F2CE8F7">
            <w:pPr>
              <w:snapToGrid w:val="0"/>
              <w:jc w:val="both"/>
              <w:rPr>
                <w:rFonts w:ascii="宋体" w:hAnsi="宋体" w:cstheme="minorEastAsia"/>
                <w:bCs/>
                <w:sz w:val="16"/>
                <w:szCs w:val="16"/>
              </w:rPr>
            </w:pPr>
          </w:p>
        </w:tc>
        <w:tc>
          <w:tcPr>
            <w:tcW w:w="0" w:type="auto"/>
            <w:tcBorders>
              <w:bottom w:val="single" w:color="auto" w:sz="4" w:space="0"/>
            </w:tcBorders>
            <w:vAlign w:val="center"/>
          </w:tcPr>
          <w:p w14:paraId="18F217A3">
            <w:pPr>
              <w:jc w:val="both"/>
              <w:textAlignment w:val="center"/>
              <w:rPr>
                <w:rFonts w:ascii="宋体" w:hAnsi="宋体" w:cstheme="minorEastAsia"/>
                <w:bCs/>
                <w:sz w:val="16"/>
                <w:szCs w:val="16"/>
              </w:rPr>
            </w:pPr>
          </w:p>
        </w:tc>
        <w:tc>
          <w:tcPr>
            <w:tcW w:w="0" w:type="auto"/>
            <w:tcBorders>
              <w:bottom w:val="single" w:color="auto" w:sz="4" w:space="0"/>
            </w:tcBorders>
            <w:vAlign w:val="center"/>
          </w:tcPr>
          <w:p w14:paraId="1A817BC5">
            <w:pPr>
              <w:jc w:val="both"/>
              <w:textAlignment w:val="center"/>
              <w:rPr>
                <w:rFonts w:ascii="宋体" w:hAnsi="宋体" w:cstheme="minorEastAsia"/>
                <w:bCs/>
                <w:sz w:val="16"/>
                <w:szCs w:val="16"/>
              </w:rPr>
            </w:pPr>
          </w:p>
        </w:tc>
        <w:tc>
          <w:tcPr>
            <w:tcW w:w="1016" w:type="dxa"/>
            <w:tcBorders>
              <w:bottom w:val="single" w:color="auto" w:sz="4" w:space="0"/>
            </w:tcBorders>
            <w:vAlign w:val="center"/>
          </w:tcPr>
          <w:p w14:paraId="7475E6D7">
            <w:pPr>
              <w:jc w:val="both"/>
              <w:textAlignment w:val="center"/>
              <w:rPr>
                <w:rFonts w:ascii="宋体" w:hAnsi="宋体" w:cstheme="minorEastAsia"/>
                <w:bCs/>
                <w:sz w:val="16"/>
                <w:szCs w:val="16"/>
              </w:rPr>
            </w:pPr>
            <w:r>
              <w:rPr>
                <w:rFonts w:hint="eastAsia" w:ascii="宋体" w:hAnsi="宋体"/>
                <w:sz w:val="16"/>
                <w:szCs w:val="16"/>
              </w:rPr>
              <w:t>套</w:t>
            </w:r>
          </w:p>
        </w:tc>
        <w:tc>
          <w:tcPr>
            <w:tcW w:w="609" w:type="dxa"/>
            <w:tcBorders>
              <w:bottom w:val="single" w:color="auto" w:sz="4" w:space="0"/>
            </w:tcBorders>
            <w:vAlign w:val="center"/>
          </w:tcPr>
          <w:p w14:paraId="6A25C1BC">
            <w:pPr>
              <w:jc w:val="both"/>
              <w:textAlignment w:val="center"/>
              <w:rPr>
                <w:rFonts w:ascii="宋体" w:hAnsi="宋体" w:cstheme="minorEastAsia"/>
                <w:bCs/>
                <w:sz w:val="16"/>
                <w:szCs w:val="16"/>
              </w:rPr>
            </w:pPr>
            <w:r>
              <w:rPr>
                <w:rFonts w:ascii="宋体" w:hAnsi="宋体"/>
                <w:sz w:val="16"/>
                <w:szCs w:val="16"/>
              </w:rPr>
              <w:t>4</w:t>
            </w:r>
          </w:p>
        </w:tc>
        <w:tc>
          <w:tcPr>
            <w:tcW w:w="0" w:type="auto"/>
            <w:tcBorders>
              <w:bottom w:val="single" w:color="auto" w:sz="4" w:space="0"/>
            </w:tcBorders>
            <w:vAlign w:val="center"/>
          </w:tcPr>
          <w:p w14:paraId="45863E69">
            <w:pPr>
              <w:jc w:val="both"/>
              <w:textAlignment w:val="center"/>
              <w:rPr>
                <w:rFonts w:ascii="宋体" w:hAnsi="宋体" w:cstheme="minorEastAsia"/>
                <w:bCs/>
                <w:sz w:val="16"/>
                <w:szCs w:val="16"/>
                <w:highlight w:val="yellow"/>
              </w:rPr>
            </w:pPr>
          </w:p>
        </w:tc>
        <w:tc>
          <w:tcPr>
            <w:tcW w:w="0" w:type="auto"/>
            <w:tcBorders>
              <w:bottom w:val="single" w:color="auto" w:sz="4" w:space="0"/>
            </w:tcBorders>
            <w:vAlign w:val="center"/>
          </w:tcPr>
          <w:p w14:paraId="4A151850">
            <w:pPr>
              <w:jc w:val="both"/>
              <w:textAlignment w:val="center"/>
              <w:rPr>
                <w:rFonts w:ascii="宋体" w:hAnsi="宋体" w:cstheme="minorEastAsia"/>
                <w:bCs/>
                <w:sz w:val="16"/>
                <w:szCs w:val="16"/>
                <w:highlight w:val="yellow"/>
              </w:rPr>
            </w:pPr>
          </w:p>
        </w:tc>
        <w:tc>
          <w:tcPr>
            <w:tcW w:w="0" w:type="auto"/>
            <w:tcBorders>
              <w:bottom w:val="single" w:color="auto" w:sz="4" w:space="0"/>
            </w:tcBorders>
            <w:vAlign w:val="center"/>
          </w:tcPr>
          <w:p w14:paraId="26528A8F">
            <w:pPr>
              <w:jc w:val="both"/>
              <w:textAlignment w:val="center"/>
              <w:rPr>
                <w:rFonts w:ascii="宋体" w:hAnsi="宋体" w:cstheme="minorEastAsia"/>
                <w:bCs/>
                <w:sz w:val="16"/>
                <w:szCs w:val="16"/>
                <w:highlight w:val="yellow"/>
              </w:rPr>
            </w:pPr>
          </w:p>
        </w:tc>
        <w:tc>
          <w:tcPr>
            <w:tcW w:w="0" w:type="auto"/>
            <w:tcBorders>
              <w:bottom w:val="single" w:color="auto" w:sz="4" w:space="0"/>
            </w:tcBorders>
            <w:shd w:val="clear" w:color="auto" w:fill="auto"/>
            <w:vAlign w:val="center"/>
          </w:tcPr>
          <w:p w14:paraId="479A4D17">
            <w:pPr>
              <w:snapToGrid w:val="0"/>
              <w:jc w:val="both"/>
              <w:rPr>
                <w:rFonts w:ascii="宋体" w:hAnsi="宋体" w:cstheme="minorEastAsia"/>
                <w:bCs/>
                <w:sz w:val="16"/>
                <w:szCs w:val="16"/>
              </w:rPr>
            </w:pPr>
          </w:p>
        </w:tc>
      </w:tr>
      <w:tr w14:paraId="67FB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56" w:type="dxa"/>
            <w:tcBorders>
              <w:bottom w:val="single" w:color="auto" w:sz="4" w:space="0"/>
            </w:tcBorders>
            <w:vAlign w:val="center"/>
          </w:tcPr>
          <w:p w14:paraId="19291EE3">
            <w:pPr>
              <w:snapToGrid w:val="0"/>
              <w:jc w:val="both"/>
              <w:rPr>
                <w:rFonts w:ascii="宋体" w:hAnsi="宋体" w:cstheme="minorEastAsia"/>
                <w:bCs/>
                <w:sz w:val="16"/>
                <w:szCs w:val="16"/>
              </w:rPr>
            </w:pPr>
            <w:r>
              <w:rPr>
                <w:rFonts w:hint="eastAsia" w:ascii="宋体" w:hAnsi="宋体" w:cstheme="minorEastAsia"/>
                <w:bCs/>
                <w:sz w:val="16"/>
                <w:szCs w:val="16"/>
              </w:rPr>
              <w:t>1.3.2</w:t>
            </w:r>
          </w:p>
        </w:tc>
        <w:tc>
          <w:tcPr>
            <w:tcW w:w="1484" w:type="dxa"/>
            <w:tcBorders>
              <w:top w:val="single" w:color="auto" w:sz="4" w:space="0"/>
            </w:tcBorders>
            <w:vAlign w:val="center"/>
          </w:tcPr>
          <w:p w14:paraId="5992BC5C">
            <w:pPr>
              <w:jc w:val="both"/>
              <w:rPr>
                <w:rFonts w:ascii="宋体" w:hAnsi="宋体" w:cs="宋体"/>
                <w:sz w:val="16"/>
                <w:szCs w:val="16"/>
              </w:rPr>
            </w:pPr>
            <w:r>
              <w:rPr>
                <w:rFonts w:hint="eastAsia" w:ascii="宋体" w:hAnsi="宋体"/>
                <w:sz w:val="16"/>
                <w:szCs w:val="16"/>
              </w:rPr>
              <w:t>视觉控制</w:t>
            </w:r>
          </w:p>
          <w:p w14:paraId="6D5103B7">
            <w:pPr>
              <w:jc w:val="both"/>
              <w:rPr>
                <w:rFonts w:ascii="宋体" w:hAnsi="宋体" w:cs="宋体"/>
                <w:sz w:val="16"/>
                <w:szCs w:val="16"/>
              </w:rPr>
            </w:pPr>
            <w:r>
              <w:rPr>
                <w:rFonts w:hint="eastAsia" w:ascii="宋体" w:hAnsi="宋体"/>
                <w:sz w:val="16"/>
                <w:szCs w:val="16"/>
              </w:rPr>
              <w:t>器</w:t>
            </w:r>
          </w:p>
        </w:tc>
        <w:tc>
          <w:tcPr>
            <w:tcW w:w="4601" w:type="dxa"/>
            <w:vAlign w:val="center"/>
          </w:tcPr>
          <w:p w14:paraId="72A44F44">
            <w:pPr>
              <w:jc w:val="both"/>
              <w:rPr>
                <w:rFonts w:ascii="宋体" w:hAnsi="宋体"/>
                <w:sz w:val="16"/>
                <w:szCs w:val="16"/>
              </w:rPr>
            </w:pPr>
            <w:r>
              <w:rPr>
                <w:rFonts w:hint="eastAsia" w:ascii="宋体" w:hAnsi="宋体"/>
                <w:sz w:val="16"/>
                <w:szCs w:val="16"/>
              </w:rPr>
              <w:t>1.I7 9700/内存16G/128gssd+1T机械/1PCIEX16 *1/600W/GPU RTX4060/Win10操作系统</w:t>
            </w:r>
          </w:p>
          <w:p w14:paraId="58086BB4">
            <w:pPr>
              <w:jc w:val="both"/>
              <w:rPr>
                <w:rFonts w:ascii="宋体" w:hAnsi="宋体" w:cs="宋体"/>
                <w:sz w:val="16"/>
                <w:szCs w:val="16"/>
              </w:rPr>
            </w:pPr>
            <w:r>
              <w:rPr>
                <w:rFonts w:ascii="宋体" w:hAnsi="宋体"/>
                <w:sz w:val="16"/>
                <w:szCs w:val="16"/>
              </w:rPr>
              <w:t>2.</w:t>
            </w:r>
            <w:r>
              <w:rPr>
                <w:rFonts w:hint="eastAsia" w:ascii="宋体" w:hAnsi="宋体"/>
                <w:sz w:val="16"/>
                <w:szCs w:val="16"/>
              </w:rPr>
              <w:t>智能</w:t>
            </w:r>
            <w:r>
              <w:rPr>
                <w:rFonts w:ascii="宋体" w:hAnsi="宋体"/>
                <w:sz w:val="16"/>
                <w:szCs w:val="16"/>
              </w:rPr>
              <w:t>IO</w:t>
            </w:r>
            <w:r>
              <w:rPr>
                <w:rFonts w:hint="eastAsia" w:ascii="宋体" w:hAnsi="宋体"/>
                <w:sz w:val="16"/>
                <w:szCs w:val="16"/>
              </w:rPr>
              <w:t>控制板：高速</w:t>
            </w:r>
            <w:r>
              <w:rPr>
                <w:rFonts w:ascii="宋体" w:hAnsi="宋体"/>
                <w:sz w:val="16"/>
                <w:szCs w:val="16"/>
              </w:rPr>
              <w:t>1</w:t>
            </w:r>
            <w:r>
              <w:rPr>
                <w:rFonts w:hint="eastAsia" w:ascii="宋体" w:hAnsi="宋体"/>
                <w:sz w:val="16"/>
                <w:szCs w:val="16"/>
              </w:rPr>
              <w:t>μ</w:t>
            </w:r>
            <w:r>
              <w:rPr>
                <w:rFonts w:ascii="宋体" w:hAnsi="宋体"/>
                <w:sz w:val="16"/>
                <w:szCs w:val="16"/>
              </w:rPr>
              <w:t>s</w:t>
            </w:r>
            <w:r>
              <w:rPr>
                <w:rFonts w:hint="eastAsia" w:ascii="宋体" w:hAnsi="宋体"/>
                <w:sz w:val="16"/>
                <w:szCs w:val="16"/>
              </w:rPr>
              <w:t>信号控制能力、输入信号端≥</w:t>
            </w:r>
            <w:r>
              <w:rPr>
                <w:rFonts w:ascii="宋体" w:hAnsi="宋体"/>
                <w:sz w:val="16"/>
                <w:szCs w:val="16"/>
              </w:rPr>
              <w:t>8</w:t>
            </w:r>
            <w:r>
              <w:rPr>
                <w:rFonts w:hint="eastAsia" w:ascii="宋体" w:hAnsi="宋体"/>
                <w:sz w:val="16"/>
                <w:szCs w:val="16"/>
              </w:rPr>
              <w:t>、输出信号端≥</w:t>
            </w:r>
            <w:r>
              <w:rPr>
                <w:rFonts w:ascii="宋体" w:hAnsi="宋体"/>
                <w:sz w:val="16"/>
                <w:szCs w:val="16"/>
              </w:rPr>
              <w:t>8</w:t>
            </w:r>
            <w:r>
              <w:rPr>
                <w:rFonts w:hint="eastAsia" w:ascii="宋体" w:hAnsi="宋体"/>
                <w:sz w:val="16"/>
                <w:szCs w:val="16"/>
              </w:rPr>
              <w:t>。</w:t>
            </w:r>
            <w:r>
              <w:rPr>
                <w:rFonts w:ascii="宋体" w:hAnsi="宋体"/>
                <w:sz w:val="16"/>
                <w:szCs w:val="16"/>
              </w:rPr>
              <w:br w:type="textWrapping"/>
            </w:r>
            <w:r>
              <w:rPr>
                <w:rFonts w:ascii="宋体" w:hAnsi="宋体"/>
                <w:sz w:val="16"/>
                <w:szCs w:val="16"/>
              </w:rPr>
              <w:br w:type="textWrapping"/>
            </w:r>
            <w:r>
              <w:rPr>
                <w:rFonts w:ascii="宋体" w:hAnsi="宋体"/>
                <w:sz w:val="16"/>
                <w:szCs w:val="16"/>
              </w:rPr>
              <w:t>3.</w:t>
            </w:r>
            <w:r>
              <w:rPr>
                <w:rFonts w:hint="eastAsia" w:ascii="宋体" w:hAnsi="宋体"/>
                <w:sz w:val="16"/>
                <w:szCs w:val="16"/>
              </w:rPr>
              <w:t>光源控制器。</w:t>
            </w:r>
          </w:p>
        </w:tc>
        <w:tc>
          <w:tcPr>
            <w:tcW w:w="2022" w:type="dxa"/>
            <w:vAlign w:val="center"/>
          </w:tcPr>
          <w:p w14:paraId="5618CBB4">
            <w:pPr>
              <w:snapToGrid w:val="0"/>
              <w:jc w:val="both"/>
              <w:rPr>
                <w:rFonts w:ascii="宋体" w:hAnsi="宋体" w:cstheme="minorEastAsia"/>
                <w:bCs/>
                <w:sz w:val="16"/>
                <w:szCs w:val="16"/>
              </w:rPr>
            </w:pPr>
          </w:p>
        </w:tc>
        <w:tc>
          <w:tcPr>
            <w:tcW w:w="0" w:type="auto"/>
            <w:vAlign w:val="center"/>
          </w:tcPr>
          <w:p w14:paraId="104BA723">
            <w:pPr>
              <w:jc w:val="both"/>
              <w:textAlignment w:val="center"/>
              <w:rPr>
                <w:rFonts w:ascii="宋体" w:hAnsi="宋体" w:cstheme="minorEastAsia"/>
                <w:bCs/>
                <w:sz w:val="16"/>
                <w:szCs w:val="16"/>
              </w:rPr>
            </w:pPr>
          </w:p>
        </w:tc>
        <w:tc>
          <w:tcPr>
            <w:tcW w:w="0" w:type="auto"/>
            <w:vAlign w:val="center"/>
          </w:tcPr>
          <w:p w14:paraId="4157AF06">
            <w:pPr>
              <w:jc w:val="both"/>
              <w:textAlignment w:val="center"/>
              <w:rPr>
                <w:rFonts w:ascii="宋体" w:hAnsi="宋体" w:cstheme="minorEastAsia"/>
                <w:bCs/>
                <w:sz w:val="16"/>
                <w:szCs w:val="16"/>
              </w:rPr>
            </w:pPr>
          </w:p>
        </w:tc>
        <w:tc>
          <w:tcPr>
            <w:tcW w:w="1016" w:type="dxa"/>
            <w:vAlign w:val="center"/>
          </w:tcPr>
          <w:p w14:paraId="5BE253B1">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14B19754">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7C0725D0">
            <w:pPr>
              <w:jc w:val="both"/>
              <w:textAlignment w:val="center"/>
              <w:rPr>
                <w:rFonts w:ascii="宋体" w:hAnsi="宋体" w:cstheme="minorEastAsia"/>
                <w:bCs/>
                <w:sz w:val="16"/>
                <w:szCs w:val="16"/>
                <w:highlight w:val="yellow"/>
              </w:rPr>
            </w:pPr>
          </w:p>
        </w:tc>
        <w:tc>
          <w:tcPr>
            <w:tcW w:w="0" w:type="auto"/>
            <w:vAlign w:val="center"/>
          </w:tcPr>
          <w:p w14:paraId="39429486">
            <w:pPr>
              <w:jc w:val="both"/>
              <w:textAlignment w:val="center"/>
              <w:rPr>
                <w:rFonts w:ascii="宋体" w:hAnsi="宋体" w:cstheme="minorEastAsia"/>
                <w:bCs/>
                <w:sz w:val="16"/>
                <w:szCs w:val="16"/>
                <w:highlight w:val="yellow"/>
              </w:rPr>
            </w:pPr>
          </w:p>
        </w:tc>
        <w:tc>
          <w:tcPr>
            <w:tcW w:w="0" w:type="auto"/>
            <w:vAlign w:val="center"/>
          </w:tcPr>
          <w:p w14:paraId="4A48AB2D">
            <w:pPr>
              <w:jc w:val="both"/>
              <w:textAlignment w:val="center"/>
              <w:rPr>
                <w:rFonts w:ascii="宋体" w:hAnsi="宋体" w:cstheme="minorEastAsia"/>
                <w:bCs/>
                <w:sz w:val="16"/>
                <w:szCs w:val="16"/>
                <w:highlight w:val="yellow"/>
              </w:rPr>
            </w:pPr>
          </w:p>
        </w:tc>
        <w:tc>
          <w:tcPr>
            <w:tcW w:w="0" w:type="auto"/>
            <w:shd w:val="clear" w:color="auto" w:fill="auto"/>
            <w:vAlign w:val="center"/>
          </w:tcPr>
          <w:p w14:paraId="60DBB6A9">
            <w:pPr>
              <w:snapToGrid w:val="0"/>
              <w:jc w:val="both"/>
              <w:rPr>
                <w:rFonts w:ascii="宋体" w:hAnsi="宋体" w:cstheme="minorEastAsia"/>
                <w:bCs/>
                <w:sz w:val="16"/>
                <w:szCs w:val="16"/>
              </w:rPr>
            </w:pPr>
          </w:p>
        </w:tc>
      </w:tr>
      <w:tr w14:paraId="6F25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56" w:type="dxa"/>
            <w:tcBorders>
              <w:bottom w:val="nil"/>
            </w:tcBorders>
            <w:vAlign w:val="center"/>
          </w:tcPr>
          <w:p w14:paraId="070F1E1F">
            <w:pPr>
              <w:snapToGrid w:val="0"/>
              <w:jc w:val="both"/>
              <w:rPr>
                <w:rFonts w:ascii="宋体" w:hAnsi="宋体" w:cstheme="minorEastAsia"/>
                <w:bCs/>
                <w:sz w:val="16"/>
                <w:szCs w:val="16"/>
              </w:rPr>
            </w:pPr>
            <w:r>
              <w:rPr>
                <w:rFonts w:hint="eastAsia" w:ascii="宋体" w:hAnsi="宋体" w:cstheme="minorEastAsia"/>
                <w:bCs/>
                <w:sz w:val="16"/>
                <w:szCs w:val="16"/>
              </w:rPr>
              <w:t>1.3.3</w:t>
            </w:r>
          </w:p>
        </w:tc>
        <w:tc>
          <w:tcPr>
            <w:tcW w:w="1484" w:type="dxa"/>
            <w:tcBorders>
              <w:top w:val="single" w:color="auto" w:sz="4" w:space="0"/>
            </w:tcBorders>
            <w:vAlign w:val="center"/>
          </w:tcPr>
          <w:p w14:paraId="6A03494D">
            <w:pPr>
              <w:jc w:val="both"/>
              <w:rPr>
                <w:rFonts w:ascii="宋体" w:hAnsi="宋体" w:cs="宋体"/>
                <w:sz w:val="16"/>
                <w:szCs w:val="16"/>
              </w:rPr>
            </w:pPr>
            <w:r>
              <w:rPr>
                <w:rFonts w:hint="eastAsia" w:ascii="宋体" w:hAnsi="宋体"/>
                <w:sz w:val="16"/>
                <w:szCs w:val="16"/>
              </w:rPr>
              <w:t>显示一体机</w:t>
            </w:r>
          </w:p>
        </w:tc>
        <w:tc>
          <w:tcPr>
            <w:tcW w:w="4601" w:type="dxa"/>
            <w:vAlign w:val="center"/>
          </w:tcPr>
          <w:p w14:paraId="1B1FF81A">
            <w:pPr>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2022" w:type="dxa"/>
            <w:vAlign w:val="center"/>
          </w:tcPr>
          <w:p w14:paraId="347DAADA">
            <w:pPr>
              <w:snapToGrid w:val="0"/>
              <w:jc w:val="both"/>
              <w:rPr>
                <w:rFonts w:ascii="宋体" w:hAnsi="宋体" w:cstheme="minorEastAsia"/>
                <w:bCs/>
                <w:sz w:val="16"/>
                <w:szCs w:val="16"/>
              </w:rPr>
            </w:pPr>
          </w:p>
        </w:tc>
        <w:tc>
          <w:tcPr>
            <w:tcW w:w="0" w:type="auto"/>
            <w:vAlign w:val="center"/>
          </w:tcPr>
          <w:p w14:paraId="541049E1">
            <w:pPr>
              <w:jc w:val="both"/>
              <w:textAlignment w:val="center"/>
              <w:rPr>
                <w:rFonts w:ascii="宋体" w:hAnsi="宋体" w:cstheme="minorEastAsia"/>
                <w:bCs/>
                <w:sz w:val="16"/>
                <w:szCs w:val="16"/>
              </w:rPr>
            </w:pPr>
          </w:p>
        </w:tc>
        <w:tc>
          <w:tcPr>
            <w:tcW w:w="0" w:type="auto"/>
            <w:vAlign w:val="center"/>
          </w:tcPr>
          <w:p w14:paraId="0FEF3108">
            <w:pPr>
              <w:jc w:val="both"/>
              <w:textAlignment w:val="center"/>
              <w:rPr>
                <w:rFonts w:ascii="宋体" w:hAnsi="宋体" w:cstheme="minorEastAsia"/>
                <w:bCs/>
                <w:sz w:val="16"/>
                <w:szCs w:val="16"/>
              </w:rPr>
            </w:pPr>
          </w:p>
        </w:tc>
        <w:tc>
          <w:tcPr>
            <w:tcW w:w="1016" w:type="dxa"/>
            <w:vAlign w:val="center"/>
          </w:tcPr>
          <w:p w14:paraId="6638AFC9">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27BC8E7C">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07B2E412">
            <w:pPr>
              <w:jc w:val="both"/>
              <w:textAlignment w:val="center"/>
              <w:rPr>
                <w:rFonts w:ascii="宋体" w:hAnsi="宋体" w:cstheme="minorEastAsia"/>
                <w:bCs/>
                <w:sz w:val="16"/>
                <w:szCs w:val="16"/>
                <w:highlight w:val="yellow"/>
              </w:rPr>
            </w:pPr>
          </w:p>
        </w:tc>
        <w:tc>
          <w:tcPr>
            <w:tcW w:w="0" w:type="auto"/>
            <w:vAlign w:val="center"/>
          </w:tcPr>
          <w:p w14:paraId="74E442C7">
            <w:pPr>
              <w:jc w:val="both"/>
              <w:textAlignment w:val="center"/>
              <w:rPr>
                <w:rFonts w:ascii="宋体" w:hAnsi="宋体" w:cstheme="minorEastAsia"/>
                <w:bCs/>
                <w:sz w:val="16"/>
                <w:szCs w:val="16"/>
                <w:highlight w:val="yellow"/>
              </w:rPr>
            </w:pPr>
          </w:p>
        </w:tc>
        <w:tc>
          <w:tcPr>
            <w:tcW w:w="0" w:type="auto"/>
            <w:vAlign w:val="center"/>
          </w:tcPr>
          <w:p w14:paraId="73E2CDFE">
            <w:pPr>
              <w:jc w:val="both"/>
              <w:textAlignment w:val="center"/>
              <w:rPr>
                <w:rFonts w:ascii="宋体" w:hAnsi="宋体" w:cstheme="minorEastAsia"/>
                <w:bCs/>
                <w:sz w:val="16"/>
                <w:szCs w:val="16"/>
                <w:highlight w:val="yellow"/>
              </w:rPr>
            </w:pPr>
          </w:p>
        </w:tc>
        <w:tc>
          <w:tcPr>
            <w:tcW w:w="0" w:type="auto"/>
            <w:shd w:val="clear" w:color="auto" w:fill="auto"/>
            <w:vAlign w:val="center"/>
          </w:tcPr>
          <w:p w14:paraId="5F05734C">
            <w:pPr>
              <w:snapToGrid w:val="0"/>
              <w:jc w:val="both"/>
              <w:rPr>
                <w:rFonts w:ascii="宋体" w:hAnsi="宋体" w:cstheme="minorEastAsia"/>
                <w:bCs/>
                <w:sz w:val="16"/>
                <w:szCs w:val="16"/>
              </w:rPr>
            </w:pPr>
          </w:p>
        </w:tc>
      </w:tr>
      <w:tr w14:paraId="63A6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trPr>
        <w:tc>
          <w:tcPr>
            <w:tcW w:w="856" w:type="dxa"/>
            <w:vAlign w:val="center"/>
          </w:tcPr>
          <w:p w14:paraId="420FA517">
            <w:pPr>
              <w:snapToGrid w:val="0"/>
              <w:jc w:val="both"/>
              <w:rPr>
                <w:rFonts w:ascii="宋体" w:hAnsi="宋体" w:cstheme="minorEastAsia"/>
                <w:b/>
                <w:bCs/>
                <w:sz w:val="16"/>
                <w:szCs w:val="16"/>
              </w:rPr>
            </w:pPr>
            <w:r>
              <w:rPr>
                <w:rFonts w:hint="eastAsia" w:ascii="宋体" w:hAnsi="宋体" w:cstheme="minorEastAsia"/>
                <w:b/>
                <w:bCs/>
                <w:sz w:val="16"/>
                <w:szCs w:val="16"/>
              </w:rPr>
              <w:t>1.4</w:t>
            </w:r>
          </w:p>
        </w:tc>
        <w:tc>
          <w:tcPr>
            <w:tcW w:w="13138" w:type="dxa"/>
            <w:gridSpan w:val="11"/>
            <w:vAlign w:val="center"/>
          </w:tcPr>
          <w:p w14:paraId="6D3D4C54">
            <w:pPr>
              <w:snapToGrid w:val="0"/>
              <w:jc w:val="both"/>
              <w:rPr>
                <w:rFonts w:ascii="宋体" w:hAnsi="宋体" w:cstheme="minorEastAsia"/>
                <w:b/>
                <w:bCs/>
                <w:sz w:val="16"/>
                <w:szCs w:val="16"/>
              </w:rPr>
            </w:pPr>
            <w:r>
              <w:rPr>
                <w:rFonts w:hint="eastAsia" w:ascii="宋体" w:hAnsi="宋体" w:cstheme="minorEastAsia"/>
                <w:b/>
                <w:bCs/>
                <w:sz w:val="16"/>
                <w:szCs w:val="16"/>
              </w:rPr>
              <w:t>烟丝填充值检测系统</w:t>
            </w:r>
          </w:p>
        </w:tc>
      </w:tr>
      <w:tr w14:paraId="00B4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56" w:type="dxa"/>
            <w:vAlign w:val="center"/>
          </w:tcPr>
          <w:p w14:paraId="2A47E902">
            <w:pPr>
              <w:snapToGrid w:val="0"/>
              <w:jc w:val="both"/>
              <w:rPr>
                <w:rFonts w:ascii="宋体" w:hAnsi="宋体" w:cstheme="minorEastAsia"/>
                <w:bCs/>
                <w:sz w:val="16"/>
                <w:szCs w:val="16"/>
              </w:rPr>
            </w:pPr>
            <w:r>
              <w:rPr>
                <w:rFonts w:hint="eastAsia" w:ascii="宋体" w:hAnsi="宋体" w:cstheme="minorEastAsia"/>
                <w:bCs/>
                <w:sz w:val="16"/>
                <w:szCs w:val="16"/>
              </w:rPr>
              <w:t>1.4.1</w:t>
            </w:r>
          </w:p>
        </w:tc>
        <w:tc>
          <w:tcPr>
            <w:tcW w:w="1484" w:type="dxa"/>
            <w:vAlign w:val="center"/>
          </w:tcPr>
          <w:p w14:paraId="23C2AC19">
            <w:pPr>
              <w:jc w:val="both"/>
              <w:rPr>
                <w:rFonts w:ascii="宋体" w:hAnsi="宋体"/>
                <w:sz w:val="16"/>
                <w:szCs w:val="16"/>
              </w:rPr>
            </w:pPr>
            <w:r>
              <w:rPr>
                <w:rFonts w:hint="eastAsia" w:ascii="宋体" w:hAnsi="宋体"/>
                <w:sz w:val="16"/>
                <w:szCs w:val="16"/>
              </w:rPr>
              <w:t>工业</w:t>
            </w:r>
            <w:r>
              <w:rPr>
                <w:rFonts w:ascii="宋体" w:hAnsi="宋体"/>
                <w:sz w:val="16"/>
                <w:szCs w:val="16"/>
              </w:rPr>
              <w:t>3D</w:t>
            </w:r>
            <w:r>
              <w:rPr>
                <w:rFonts w:hint="eastAsia" w:ascii="宋体" w:hAnsi="宋体"/>
                <w:sz w:val="16"/>
                <w:szCs w:val="16"/>
              </w:rPr>
              <w:t>相机</w:t>
            </w:r>
          </w:p>
        </w:tc>
        <w:tc>
          <w:tcPr>
            <w:tcW w:w="4601" w:type="dxa"/>
            <w:vAlign w:val="center"/>
          </w:tcPr>
          <w:p w14:paraId="7E5101A9">
            <w:pPr>
              <w:jc w:val="both"/>
              <w:rPr>
                <w:rFonts w:ascii="宋体" w:hAnsi="宋体"/>
                <w:sz w:val="16"/>
                <w:szCs w:val="16"/>
              </w:rPr>
            </w:pPr>
            <w:r>
              <w:rPr>
                <w:rFonts w:hint="eastAsia" w:ascii="宋体" w:hAnsi="宋体"/>
                <w:sz w:val="16"/>
                <w:szCs w:val="16"/>
              </w:rPr>
              <w:t>工业</w:t>
            </w:r>
            <w:r>
              <w:rPr>
                <w:rFonts w:ascii="宋体" w:hAnsi="宋体"/>
                <w:sz w:val="16"/>
                <w:szCs w:val="16"/>
              </w:rPr>
              <w:t>3D</w:t>
            </w:r>
            <w:r>
              <w:rPr>
                <w:rFonts w:hint="eastAsia" w:ascii="宋体" w:hAnsi="宋体"/>
                <w:sz w:val="16"/>
                <w:szCs w:val="16"/>
              </w:rPr>
              <w:t>相机</w:t>
            </w:r>
            <w:r>
              <w:rPr>
                <w:rFonts w:ascii="宋体" w:hAnsi="宋体"/>
                <w:sz w:val="16"/>
                <w:szCs w:val="16"/>
              </w:rPr>
              <w:t>1</w:t>
            </w:r>
            <w:r>
              <w:rPr>
                <w:rFonts w:hint="eastAsia" w:ascii="宋体" w:hAnsi="宋体"/>
                <w:sz w:val="16"/>
                <w:szCs w:val="16"/>
              </w:rPr>
              <w:t>组，</w:t>
            </w:r>
            <w:r>
              <w:rPr>
                <w:rFonts w:ascii="宋体" w:hAnsi="宋体"/>
                <w:sz w:val="16"/>
                <w:szCs w:val="16"/>
              </w:rPr>
              <w:t>X</w:t>
            </w:r>
            <w:r>
              <w:rPr>
                <w:rFonts w:hint="eastAsia" w:ascii="宋体" w:hAnsi="宋体"/>
                <w:sz w:val="16"/>
                <w:szCs w:val="16"/>
              </w:rPr>
              <w:t>轴视野范围</w:t>
            </w:r>
            <w:r>
              <w:rPr>
                <w:rFonts w:ascii="宋体" w:hAnsi="宋体"/>
                <w:sz w:val="16"/>
                <w:szCs w:val="16"/>
              </w:rPr>
              <w:t>&gt;700mm,Z</w:t>
            </w:r>
            <w:r>
              <w:rPr>
                <w:rFonts w:hint="eastAsia" w:ascii="宋体" w:hAnsi="宋体"/>
                <w:sz w:val="16"/>
                <w:szCs w:val="16"/>
              </w:rPr>
              <w:t>轴视野范围</w:t>
            </w:r>
            <w:r>
              <w:rPr>
                <w:rFonts w:ascii="宋体" w:hAnsi="宋体"/>
                <w:sz w:val="16"/>
                <w:szCs w:val="16"/>
              </w:rPr>
              <w:t>&gt;300mm</w:t>
            </w:r>
            <w:r>
              <w:rPr>
                <w:rFonts w:hint="eastAsia" w:ascii="宋体" w:hAnsi="宋体"/>
                <w:sz w:val="16"/>
                <w:szCs w:val="16"/>
              </w:rPr>
              <w:t>，</w:t>
            </w:r>
            <w:r>
              <w:rPr>
                <w:rFonts w:ascii="宋体" w:hAnsi="宋体"/>
                <w:sz w:val="16"/>
                <w:szCs w:val="16"/>
              </w:rPr>
              <w:t>X</w:t>
            </w:r>
            <w:r>
              <w:rPr>
                <w:rFonts w:hint="eastAsia" w:ascii="宋体" w:hAnsi="宋体"/>
                <w:sz w:val="16"/>
                <w:szCs w:val="16"/>
              </w:rPr>
              <w:t>轴分辨率小于</w:t>
            </w:r>
            <w:r>
              <w:rPr>
                <w:rFonts w:ascii="宋体" w:hAnsi="宋体"/>
                <w:sz w:val="16"/>
                <w:szCs w:val="16"/>
              </w:rPr>
              <w:t>0.3mm</w:t>
            </w:r>
            <w:r>
              <w:rPr>
                <w:rFonts w:hint="eastAsia" w:ascii="宋体" w:hAnsi="宋体"/>
                <w:sz w:val="16"/>
                <w:szCs w:val="16"/>
              </w:rPr>
              <w:t>，</w:t>
            </w:r>
            <w:r>
              <w:rPr>
                <w:rFonts w:ascii="宋体" w:hAnsi="宋体"/>
                <w:sz w:val="16"/>
                <w:szCs w:val="16"/>
              </w:rPr>
              <w:t>Z</w:t>
            </w:r>
            <w:r>
              <w:rPr>
                <w:rFonts w:hint="eastAsia" w:ascii="宋体" w:hAnsi="宋体"/>
                <w:sz w:val="16"/>
                <w:szCs w:val="16"/>
              </w:rPr>
              <w:t>轴分辨率小于</w:t>
            </w:r>
            <w:r>
              <w:rPr>
                <w:rFonts w:ascii="宋体" w:hAnsi="宋体"/>
                <w:sz w:val="16"/>
                <w:szCs w:val="16"/>
              </w:rPr>
              <w:t>0.2mm</w:t>
            </w:r>
            <w:r>
              <w:rPr>
                <w:rFonts w:hint="eastAsia" w:ascii="宋体" w:hAnsi="宋体"/>
                <w:sz w:val="16"/>
                <w:szCs w:val="16"/>
              </w:rPr>
              <w:t>。</w:t>
            </w:r>
          </w:p>
        </w:tc>
        <w:tc>
          <w:tcPr>
            <w:tcW w:w="2022" w:type="dxa"/>
            <w:vAlign w:val="center"/>
          </w:tcPr>
          <w:p w14:paraId="04B9B4A6">
            <w:pPr>
              <w:snapToGrid w:val="0"/>
              <w:jc w:val="both"/>
              <w:rPr>
                <w:rFonts w:ascii="宋体" w:hAnsi="宋体" w:cstheme="minorEastAsia"/>
                <w:bCs/>
                <w:sz w:val="16"/>
                <w:szCs w:val="16"/>
              </w:rPr>
            </w:pPr>
          </w:p>
        </w:tc>
        <w:tc>
          <w:tcPr>
            <w:tcW w:w="0" w:type="auto"/>
            <w:vAlign w:val="center"/>
          </w:tcPr>
          <w:p w14:paraId="6353E858">
            <w:pPr>
              <w:jc w:val="both"/>
              <w:textAlignment w:val="center"/>
              <w:rPr>
                <w:rFonts w:ascii="宋体" w:hAnsi="宋体" w:cstheme="minorEastAsia"/>
                <w:bCs/>
                <w:sz w:val="16"/>
                <w:szCs w:val="16"/>
              </w:rPr>
            </w:pPr>
          </w:p>
        </w:tc>
        <w:tc>
          <w:tcPr>
            <w:tcW w:w="0" w:type="auto"/>
            <w:vAlign w:val="center"/>
          </w:tcPr>
          <w:p w14:paraId="25055FF9">
            <w:pPr>
              <w:jc w:val="both"/>
              <w:textAlignment w:val="center"/>
              <w:rPr>
                <w:rFonts w:ascii="宋体" w:hAnsi="宋体" w:cstheme="minorEastAsia"/>
                <w:bCs/>
                <w:sz w:val="16"/>
                <w:szCs w:val="16"/>
              </w:rPr>
            </w:pPr>
          </w:p>
        </w:tc>
        <w:tc>
          <w:tcPr>
            <w:tcW w:w="1016" w:type="dxa"/>
            <w:vAlign w:val="center"/>
          </w:tcPr>
          <w:p w14:paraId="5A3F8B6D">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52D4C8BC">
            <w:pPr>
              <w:jc w:val="both"/>
              <w:textAlignment w:val="center"/>
              <w:rPr>
                <w:rFonts w:ascii="宋体" w:hAnsi="宋体"/>
                <w:sz w:val="16"/>
                <w:szCs w:val="16"/>
              </w:rPr>
            </w:pPr>
            <w:r>
              <w:rPr>
                <w:rFonts w:ascii="宋体" w:hAnsi="宋体"/>
                <w:sz w:val="16"/>
                <w:szCs w:val="16"/>
              </w:rPr>
              <w:t>2</w:t>
            </w:r>
          </w:p>
        </w:tc>
        <w:tc>
          <w:tcPr>
            <w:tcW w:w="0" w:type="auto"/>
            <w:vAlign w:val="center"/>
          </w:tcPr>
          <w:p w14:paraId="4825C2F7">
            <w:pPr>
              <w:jc w:val="both"/>
              <w:textAlignment w:val="center"/>
              <w:rPr>
                <w:rFonts w:ascii="宋体" w:hAnsi="宋体" w:cstheme="minorEastAsia"/>
                <w:bCs/>
                <w:sz w:val="16"/>
                <w:szCs w:val="16"/>
                <w:highlight w:val="yellow"/>
              </w:rPr>
            </w:pPr>
          </w:p>
        </w:tc>
        <w:tc>
          <w:tcPr>
            <w:tcW w:w="0" w:type="auto"/>
            <w:vAlign w:val="center"/>
          </w:tcPr>
          <w:p w14:paraId="6BB5626F">
            <w:pPr>
              <w:jc w:val="both"/>
              <w:textAlignment w:val="center"/>
              <w:rPr>
                <w:rFonts w:ascii="宋体" w:hAnsi="宋体" w:cstheme="minorEastAsia"/>
                <w:bCs/>
                <w:sz w:val="16"/>
                <w:szCs w:val="16"/>
                <w:highlight w:val="yellow"/>
              </w:rPr>
            </w:pPr>
          </w:p>
        </w:tc>
        <w:tc>
          <w:tcPr>
            <w:tcW w:w="0" w:type="auto"/>
            <w:vAlign w:val="center"/>
          </w:tcPr>
          <w:p w14:paraId="288E1AF6">
            <w:pPr>
              <w:jc w:val="both"/>
              <w:textAlignment w:val="center"/>
              <w:rPr>
                <w:rFonts w:ascii="宋体" w:hAnsi="宋体" w:cstheme="minorEastAsia"/>
                <w:bCs/>
                <w:sz w:val="16"/>
                <w:szCs w:val="16"/>
                <w:highlight w:val="yellow"/>
              </w:rPr>
            </w:pPr>
          </w:p>
        </w:tc>
        <w:tc>
          <w:tcPr>
            <w:tcW w:w="0" w:type="auto"/>
            <w:shd w:val="clear" w:color="auto" w:fill="auto"/>
            <w:vAlign w:val="center"/>
          </w:tcPr>
          <w:p w14:paraId="6EAD12BA">
            <w:pPr>
              <w:snapToGrid w:val="0"/>
              <w:jc w:val="both"/>
              <w:rPr>
                <w:rFonts w:ascii="宋体" w:hAnsi="宋体" w:cstheme="minorEastAsia"/>
                <w:bCs/>
                <w:sz w:val="16"/>
                <w:szCs w:val="16"/>
              </w:rPr>
            </w:pPr>
          </w:p>
        </w:tc>
      </w:tr>
      <w:tr w14:paraId="0C0E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trPr>
        <w:tc>
          <w:tcPr>
            <w:tcW w:w="856" w:type="dxa"/>
            <w:vAlign w:val="center"/>
          </w:tcPr>
          <w:p w14:paraId="5D07348C">
            <w:pPr>
              <w:snapToGrid w:val="0"/>
              <w:jc w:val="both"/>
              <w:rPr>
                <w:rFonts w:ascii="宋体" w:hAnsi="宋体" w:cstheme="minorEastAsia"/>
                <w:bCs/>
                <w:sz w:val="16"/>
                <w:szCs w:val="16"/>
              </w:rPr>
            </w:pPr>
            <w:r>
              <w:rPr>
                <w:rFonts w:hint="eastAsia" w:ascii="宋体" w:hAnsi="宋体" w:cstheme="minorEastAsia"/>
                <w:bCs/>
                <w:sz w:val="16"/>
                <w:szCs w:val="16"/>
              </w:rPr>
              <w:t>1.4.2</w:t>
            </w:r>
          </w:p>
        </w:tc>
        <w:tc>
          <w:tcPr>
            <w:tcW w:w="1484" w:type="dxa"/>
            <w:tcBorders>
              <w:top w:val="single" w:color="auto" w:sz="4" w:space="0"/>
            </w:tcBorders>
            <w:vAlign w:val="center"/>
          </w:tcPr>
          <w:p w14:paraId="7877C28C">
            <w:pPr>
              <w:snapToGrid w:val="0"/>
              <w:jc w:val="both"/>
              <w:rPr>
                <w:rFonts w:ascii="宋体" w:hAnsi="宋体" w:cs="宋体"/>
                <w:sz w:val="16"/>
                <w:szCs w:val="16"/>
              </w:rPr>
            </w:pPr>
            <w:r>
              <w:rPr>
                <w:rFonts w:hint="eastAsia" w:ascii="宋体" w:hAnsi="宋体"/>
                <w:sz w:val="16"/>
                <w:szCs w:val="16"/>
              </w:rPr>
              <w:t>视觉控制器</w:t>
            </w:r>
          </w:p>
        </w:tc>
        <w:tc>
          <w:tcPr>
            <w:tcW w:w="4601" w:type="dxa"/>
            <w:vAlign w:val="center"/>
          </w:tcPr>
          <w:p w14:paraId="4B2A04BF">
            <w:pPr>
              <w:snapToGrid w:val="0"/>
              <w:jc w:val="both"/>
              <w:rPr>
                <w:rFonts w:ascii="宋体" w:hAnsi="宋体"/>
                <w:sz w:val="16"/>
                <w:szCs w:val="16"/>
              </w:rPr>
            </w:pPr>
            <w:r>
              <w:rPr>
                <w:rFonts w:hint="eastAsia" w:ascii="宋体" w:hAnsi="宋体"/>
                <w:sz w:val="16"/>
                <w:szCs w:val="16"/>
              </w:rPr>
              <w:t>1.I5 8500/内存4G/128Gssd/双千兆网口/Win10操作系统</w:t>
            </w:r>
          </w:p>
          <w:p w14:paraId="256F7BBB">
            <w:pPr>
              <w:snapToGrid w:val="0"/>
              <w:jc w:val="both"/>
              <w:rPr>
                <w:rFonts w:ascii="宋体" w:hAnsi="宋体" w:cs="宋体"/>
                <w:sz w:val="16"/>
                <w:szCs w:val="16"/>
              </w:rPr>
            </w:pPr>
            <w:r>
              <w:rPr>
                <w:rFonts w:ascii="宋体" w:hAnsi="宋体"/>
                <w:sz w:val="16"/>
                <w:szCs w:val="16"/>
              </w:rPr>
              <w:t>2.</w:t>
            </w:r>
            <w:r>
              <w:rPr>
                <w:rFonts w:hint="eastAsia" w:ascii="宋体" w:hAnsi="宋体"/>
                <w:sz w:val="16"/>
                <w:szCs w:val="16"/>
              </w:rPr>
              <w:t>智能</w:t>
            </w:r>
            <w:r>
              <w:rPr>
                <w:rFonts w:ascii="宋体" w:hAnsi="宋体"/>
                <w:sz w:val="16"/>
                <w:szCs w:val="16"/>
              </w:rPr>
              <w:t>IO</w:t>
            </w:r>
            <w:r>
              <w:rPr>
                <w:rFonts w:hint="eastAsia" w:ascii="宋体" w:hAnsi="宋体"/>
                <w:sz w:val="16"/>
                <w:szCs w:val="16"/>
              </w:rPr>
              <w:t>控制板：高速</w:t>
            </w:r>
            <w:r>
              <w:rPr>
                <w:rFonts w:ascii="宋体" w:hAnsi="宋体"/>
                <w:sz w:val="16"/>
                <w:szCs w:val="16"/>
              </w:rPr>
              <w:t>1</w:t>
            </w:r>
            <w:r>
              <w:rPr>
                <w:rFonts w:hint="eastAsia" w:ascii="宋体" w:hAnsi="宋体"/>
                <w:sz w:val="16"/>
                <w:szCs w:val="16"/>
              </w:rPr>
              <w:t>μ</w:t>
            </w:r>
            <w:r>
              <w:rPr>
                <w:rFonts w:ascii="宋体" w:hAnsi="宋体"/>
                <w:sz w:val="16"/>
                <w:szCs w:val="16"/>
              </w:rPr>
              <w:t>s</w:t>
            </w:r>
            <w:r>
              <w:rPr>
                <w:rFonts w:hint="eastAsia" w:ascii="宋体" w:hAnsi="宋体"/>
                <w:sz w:val="16"/>
                <w:szCs w:val="16"/>
              </w:rPr>
              <w:t>信号控制能力、输入信号端≥</w:t>
            </w:r>
            <w:r>
              <w:rPr>
                <w:rFonts w:ascii="宋体" w:hAnsi="宋体"/>
                <w:sz w:val="16"/>
                <w:szCs w:val="16"/>
              </w:rPr>
              <w:t>8</w:t>
            </w:r>
            <w:r>
              <w:rPr>
                <w:rFonts w:hint="eastAsia" w:ascii="宋体" w:hAnsi="宋体"/>
                <w:sz w:val="16"/>
                <w:szCs w:val="16"/>
              </w:rPr>
              <w:t>、输出信号端≥</w:t>
            </w:r>
            <w:r>
              <w:rPr>
                <w:rFonts w:ascii="宋体" w:hAnsi="宋体"/>
                <w:sz w:val="16"/>
                <w:szCs w:val="16"/>
              </w:rPr>
              <w:t>8</w:t>
            </w:r>
            <w:r>
              <w:rPr>
                <w:rFonts w:hint="eastAsia" w:ascii="宋体" w:hAnsi="宋体"/>
                <w:sz w:val="16"/>
                <w:szCs w:val="16"/>
              </w:rPr>
              <w:t>。</w:t>
            </w:r>
            <w:r>
              <w:rPr>
                <w:rFonts w:ascii="宋体" w:hAnsi="宋体"/>
                <w:sz w:val="16"/>
                <w:szCs w:val="16"/>
              </w:rPr>
              <w:br w:type="textWrapping"/>
            </w:r>
            <w:r>
              <w:rPr>
                <w:rFonts w:ascii="宋体" w:hAnsi="宋体"/>
                <w:sz w:val="16"/>
                <w:szCs w:val="16"/>
              </w:rPr>
              <w:br w:type="textWrapping"/>
            </w:r>
            <w:r>
              <w:rPr>
                <w:rFonts w:ascii="宋体" w:hAnsi="宋体"/>
                <w:sz w:val="16"/>
                <w:szCs w:val="16"/>
              </w:rPr>
              <w:t>3.</w:t>
            </w:r>
            <w:r>
              <w:rPr>
                <w:rFonts w:hint="eastAsia" w:ascii="宋体" w:hAnsi="宋体"/>
                <w:sz w:val="16"/>
                <w:szCs w:val="16"/>
              </w:rPr>
              <w:t>光源控制器。</w:t>
            </w:r>
            <w:r>
              <w:rPr>
                <w:rFonts w:ascii="宋体" w:hAnsi="宋体"/>
                <w:sz w:val="16"/>
                <w:szCs w:val="16"/>
              </w:rPr>
              <w:br w:type="textWrapping"/>
            </w:r>
            <w:r>
              <w:rPr>
                <w:rFonts w:ascii="宋体" w:hAnsi="宋体"/>
                <w:sz w:val="16"/>
                <w:szCs w:val="16"/>
              </w:rPr>
              <w:t>4.</w:t>
            </w:r>
            <w:r>
              <w:rPr>
                <w:rFonts w:hint="eastAsia" w:ascii="宋体" w:hAnsi="宋体"/>
                <w:sz w:val="16"/>
                <w:szCs w:val="16"/>
              </w:rPr>
              <w:t>电源、声光报警器</w:t>
            </w:r>
            <w:r>
              <w:rPr>
                <w:rFonts w:ascii="宋体" w:hAnsi="宋体"/>
                <w:sz w:val="16"/>
                <w:szCs w:val="16"/>
              </w:rPr>
              <w:t>2</w:t>
            </w:r>
            <w:r>
              <w:rPr>
                <w:rFonts w:hint="eastAsia" w:ascii="宋体" w:hAnsi="宋体"/>
                <w:sz w:val="16"/>
                <w:szCs w:val="16"/>
              </w:rPr>
              <w:t>套、机械定制件</w:t>
            </w:r>
            <w:r>
              <w:rPr>
                <w:rFonts w:ascii="宋体" w:hAnsi="宋体"/>
                <w:sz w:val="16"/>
                <w:szCs w:val="16"/>
              </w:rPr>
              <w:t>2</w:t>
            </w:r>
            <w:r>
              <w:rPr>
                <w:rFonts w:hint="eastAsia" w:ascii="宋体" w:hAnsi="宋体"/>
                <w:sz w:val="16"/>
                <w:szCs w:val="16"/>
              </w:rPr>
              <w:t>套（视相机主支架、相机调节支架、工位防护外壳、相机防尘外壳、电控柜等非标设计、加工制造等）、相机网线、连接线、线槽、波纹管、缠绕管等辅材。</w:t>
            </w:r>
          </w:p>
        </w:tc>
        <w:tc>
          <w:tcPr>
            <w:tcW w:w="2022" w:type="dxa"/>
            <w:vAlign w:val="center"/>
          </w:tcPr>
          <w:p w14:paraId="40EA8CF9">
            <w:pPr>
              <w:snapToGrid w:val="0"/>
              <w:jc w:val="both"/>
              <w:rPr>
                <w:rFonts w:ascii="宋体" w:hAnsi="宋体" w:cstheme="minorEastAsia"/>
                <w:bCs/>
                <w:sz w:val="16"/>
                <w:szCs w:val="16"/>
              </w:rPr>
            </w:pPr>
          </w:p>
        </w:tc>
        <w:tc>
          <w:tcPr>
            <w:tcW w:w="0" w:type="auto"/>
            <w:vAlign w:val="center"/>
          </w:tcPr>
          <w:p w14:paraId="012F16B6">
            <w:pPr>
              <w:jc w:val="both"/>
              <w:textAlignment w:val="center"/>
              <w:rPr>
                <w:rFonts w:ascii="宋体" w:hAnsi="宋体" w:cstheme="minorEastAsia"/>
                <w:bCs/>
                <w:sz w:val="16"/>
                <w:szCs w:val="16"/>
              </w:rPr>
            </w:pPr>
          </w:p>
        </w:tc>
        <w:tc>
          <w:tcPr>
            <w:tcW w:w="0" w:type="auto"/>
            <w:vAlign w:val="center"/>
          </w:tcPr>
          <w:p w14:paraId="0686E6F6">
            <w:pPr>
              <w:jc w:val="both"/>
              <w:textAlignment w:val="center"/>
              <w:rPr>
                <w:rFonts w:ascii="宋体" w:hAnsi="宋体" w:cstheme="minorEastAsia"/>
                <w:bCs/>
                <w:sz w:val="16"/>
                <w:szCs w:val="16"/>
              </w:rPr>
            </w:pPr>
          </w:p>
        </w:tc>
        <w:tc>
          <w:tcPr>
            <w:tcW w:w="1016" w:type="dxa"/>
            <w:vAlign w:val="center"/>
          </w:tcPr>
          <w:p w14:paraId="0057309B">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2BF062FD">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401252B7">
            <w:pPr>
              <w:jc w:val="both"/>
              <w:textAlignment w:val="center"/>
              <w:rPr>
                <w:rFonts w:ascii="宋体" w:hAnsi="宋体" w:cstheme="minorEastAsia"/>
                <w:bCs/>
                <w:sz w:val="16"/>
                <w:szCs w:val="16"/>
                <w:highlight w:val="yellow"/>
              </w:rPr>
            </w:pPr>
          </w:p>
        </w:tc>
        <w:tc>
          <w:tcPr>
            <w:tcW w:w="0" w:type="auto"/>
            <w:vAlign w:val="center"/>
          </w:tcPr>
          <w:p w14:paraId="19FBFBDE">
            <w:pPr>
              <w:jc w:val="both"/>
              <w:textAlignment w:val="center"/>
              <w:rPr>
                <w:rFonts w:ascii="宋体" w:hAnsi="宋体" w:cstheme="minorEastAsia"/>
                <w:bCs/>
                <w:sz w:val="16"/>
                <w:szCs w:val="16"/>
                <w:highlight w:val="yellow"/>
              </w:rPr>
            </w:pPr>
          </w:p>
        </w:tc>
        <w:tc>
          <w:tcPr>
            <w:tcW w:w="0" w:type="auto"/>
            <w:vAlign w:val="center"/>
          </w:tcPr>
          <w:p w14:paraId="72FA2EC4">
            <w:pPr>
              <w:jc w:val="both"/>
              <w:textAlignment w:val="center"/>
              <w:rPr>
                <w:rFonts w:ascii="宋体" w:hAnsi="宋体" w:cstheme="minorEastAsia"/>
                <w:bCs/>
                <w:sz w:val="16"/>
                <w:szCs w:val="16"/>
                <w:highlight w:val="yellow"/>
              </w:rPr>
            </w:pPr>
          </w:p>
        </w:tc>
        <w:tc>
          <w:tcPr>
            <w:tcW w:w="0" w:type="auto"/>
            <w:shd w:val="clear" w:color="auto" w:fill="auto"/>
            <w:vAlign w:val="center"/>
          </w:tcPr>
          <w:p w14:paraId="02E0FB1C">
            <w:pPr>
              <w:snapToGrid w:val="0"/>
              <w:jc w:val="both"/>
              <w:rPr>
                <w:rFonts w:ascii="宋体" w:hAnsi="宋体" w:cstheme="minorEastAsia"/>
                <w:bCs/>
                <w:sz w:val="16"/>
                <w:szCs w:val="16"/>
              </w:rPr>
            </w:pPr>
          </w:p>
        </w:tc>
      </w:tr>
      <w:tr w14:paraId="72E8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56" w:type="dxa"/>
            <w:vAlign w:val="center"/>
          </w:tcPr>
          <w:p w14:paraId="3C620674">
            <w:pPr>
              <w:snapToGrid w:val="0"/>
              <w:jc w:val="both"/>
              <w:rPr>
                <w:rFonts w:ascii="宋体" w:hAnsi="宋体" w:cstheme="minorEastAsia"/>
                <w:bCs/>
                <w:sz w:val="16"/>
                <w:szCs w:val="16"/>
              </w:rPr>
            </w:pPr>
            <w:r>
              <w:rPr>
                <w:rFonts w:hint="eastAsia" w:ascii="宋体" w:hAnsi="宋体" w:cstheme="minorEastAsia"/>
                <w:bCs/>
                <w:sz w:val="16"/>
                <w:szCs w:val="16"/>
              </w:rPr>
              <w:t>1.4.3</w:t>
            </w:r>
          </w:p>
        </w:tc>
        <w:tc>
          <w:tcPr>
            <w:tcW w:w="1484" w:type="dxa"/>
            <w:tcBorders>
              <w:top w:val="single" w:color="auto" w:sz="4" w:space="0"/>
            </w:tcBorders>
            <w:vAlign w:val="center"/>
          </w:tcPr>
          <w:p w14:paraId="179E7269">
            <w:pPr>
              <w:snapToGrid w:val="0"/>
              <w:jc w:val="both"/>
              <w:rPr>
                <w:rFonts w:ascii="宋体" w:hAnsi="宋体" w:cs="宋体"/>
                <w:sz w:val="16"/>
                <w:szCs w:val="16"/>
              </w:rPr>
            </w:pPr>
            <w:r>
              <w:rPr>
                <w:rFonts w:hint="eastAsia" w:ascii="宋体" w:hAnsi="宋体"/>
                <w:sz w:val="16"/>
                <w:szCs w:val="16"/>
              </w:rPr>
              <w:t>显示一体机</w:t>
            </w:r>
          </w:p>
        </w:tc>
        <w:tc>
          <w:tcPr>
            <w:tcW w:w="4601" w:type="dxa"/>
            <w:vAlign w:val="center"/>
          </w:tcPr>
          <w:p w14:paraId="3497F545">
            <w:pPr>
              <w:snapToGrid w:val="0"/>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2022" w:type="dxa"/>
            <w:vAlign w:val="center"/>
          </w:tcPr>
          <w:p w14:paraId="44A92AB6">
            <w:pPr>
              <w:snapToGrid w:val="0"/>
              <w:jc w:val="both"/>
              <w:rPr>
                <w:rFonts w:ascii="宋体" w:hAnsi="宋体" w:cstheme="minorEastAsia"/>
                <w:bCs/>
                <w:sz w:val="16"/>
                <w:szCs w:val="16"/>
              </w:rPr>
            </w:pPr>
          </w:p>
        </w:tc>
        <w:tc>
          <w:tcPr>
            <w:tcW w:w="0" w:type="auto"/>
            <w:vAlign w:val="center"/>
          </w:tcPr>
          <w:p w14:paraId="28D86F5F">
            <w:pPr>
              <w:jc w:val="both"/>
              <w:textAlignment w:val="center"/>
              <w:rPr>
                <w:rFonts w:ascii="宋体" w:hAnsi="宋体" w:cstheme="minorEastAsia"/>
                <w:bCs/>
                <w:sz w:val="16"/>
                <w:szCs w:val="16"/>
              </w:rPr>
            </w:pPr>
          </w:p>
        </w:tc>
        <w:tc>
          <w:tcPr>
            <w:tcW w:w="0" w:type="auto"/>
            <w:vAlign w:val="center"/>
          </w:tcPr>
          <w:p w14:paraId="12354E88">
            <w:pPr>
              <w:jc w:val="both"/>
              <w:textAlignment w:val="center"/>
              <w:rPr>
                <w:rFonts w:ascii="宋体" w:hAnsi="宋体" w:cstheme="minorEastAsia"/>
                <w:bCs/>
                <w:sz w:val="16"/>
                <w:szCs w:val="16"/>
              </w:rPr>
            </w:pPr>
          </w:p>
        </w:tc>
        <w:tc>
          <w:tcPr>
            <w:tcW w:w="1016" w:type="dxa"/>
            <w:vAlign w:val="center"/>
          </w:tcPr>
          <w:p w14:paraId="221261AB">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3639A1AE">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5BFC71C4">
            <w:pPr>
              <w:jc w:val="both"/>
              <w:textAlignment w:val="center"/>
              <w:rPr>
                <w:rFonts w:ascii="宋体" w:hAnsi="宋体" w:cstheme="minorEastAsia"/>
                <w:bCs/>
                <w:sz w:val="16"/>
                <w:szCs w:val="16"/>
                <w:highlight w:val="yellow"/>
              </w:rPr>
            </w:pPr>
          </w:p>
        </w:tc>
        <w:tc>
          <w:tcPr>
            <w:tcW w:w="0" w:type="auto"/>
            <w:vAlign w:val="center"/>
          </w:tcPr>
          <w:p w14:paraId="7EA55912">
            <w:pPr>
              <w:jc w:val="both"/>
              <w:textAlignment w:val="center"/>
              <w:rPr>
                <w:rFonts w:ascii="宋体" w:hAnsi="宋体" w:cstheme="minorEastAsia"/>
                <w:bCs/>
                <w:sz w:val="16"/>
                <w:szCs w:val="16"/>
                <w:highlight w:val="yellow"/>
              </w:rPr>
            </w:pPr>
          </w:p>
        </w:tc>
        <w:tc>
          <w:tcPr>
            <w:tcW w:w="0" w:type="auto"/>
            <w:vAlign w:val="center"/>
          </w:tcPr>
          <w:p w14:paraId="285704D2">
            <w:pPr>
              <w:jc w:val="both"/>
              <w:textAlignment w:val="center"/>
              <w:rPr>
                <w:rFonts w:ascii="宋体" w:hAnsi="宋体" w:cstheme="minorEastAsia"/>
                <w:bCs/>
                <w:sz w:val="16"/>
                <w:szCs w:val="16"/>
                <w:highlight w:val="yellow"/>
              </w:rPr>
            </w:pPr>
          </w:p>
        </w:tc>
        <w:tc>
          <w:tcPr>
            <w:tcW w:w="0" w:type="auto"/>
            <w:shd w:val="clear" w:color="auto" w:fill="auto"/>
            <w:vAlign w:val="center"/>
          </w:tcPr>
          <w:p w14:paraId="2D60BABE">
            <w:pPr>
              <w:snapToGrid w:val="0"/>
              <w:jc w:val="both"/>
              <w:rPr>
                <w:rFonts w:ascii="宋体" w:hAnsi="宋体" w:cstheme="minorEastAsia"/>
                <w:bCs/>
                <w:sz w:val="16"/>
                <w:szCs w:val="16"/>
              </w:rPr>
            </w:pPr>
          </w:p>
        </w:tc>
      </w:tr>
      <w:tr w14:paraId="4B2A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643E7F25">
            <w:pPr>
              <w:snapToGrid w:val="0"/>
              <w:jc w:val="both"/>
              <w:rPr>
                <w:rFonts w:ascii="宋体" w:hAnsi="宋体" w:cstheme="minorEastAsia"/>
                <w:b/>
                <w:bCs/>
                <w:sz w:val="16"/>
                <w:szCs w:val="16"/>
              </w:rPr>
            </w:pPr>
            <w:r>
              <w:rPr>
                <w:rFonts w:hint="eastAsia" w:ascii="宋体" w:hAnsi="宋体" w:cstheme="minorEastAsia"/>
                <w:b/>
                <w:bCs/>
                <w:sz w:val="16"/>
                <w:szCs w:val="16"/>
              </w:rPr>
              <w:t>1.5</w:t>
            </w:r>
          </w:p>
        </w:tc>
        <w:tc>
          <w:tcPr>
            <w:tcW w:w="13138" w:type="dxa"/>
            <w:gridSpan w:val="11"/>
            <w:vAlign w:val="center"/>
          </w:tcPr>
          <w:p w14:paraId="4CA0AD72">
            <w:pPr>
              <w:snapToGrid w:val="0"/>
              <w:jc w:val="both"/>
              <w:rPr>
                <w:rFonts w:ascii="宋体" w:hAnsi="宋体" w:cstheme="minorEastAsia"/>
                <w:b/>
                <w:bCs/>
                <w:sz w:val="16"/>
                <w:szCs w:val="16"/>
              </w:rPr>
            </w:pPr>
            <w:r>
              <w:rPr>
                <w:rFonts w:hint="eastAsia" w:ascii="宋体" w:hAnsi="宋体" w:cstheme="minorEastAsia"/>
                <w:b/>
                <w:bCs/>
                <w:sz w:val="16"/>
                <w:szCs w:val="16"/>
              </w:rPr>
              <w:t>烘丝机前贮柜烟丝流量在线监测系统</w:t>
            </w:r>
          </w:p>
        </w:tc>
      </w:tr>
      <w:tr w14:paraId="2ECF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56" w:type="dxa"/>
            <w:vAlign w:val="center"/>
          </w:tcPr>
          <w:p w14:paraId="37BE4380">
            <w:pPr>
              <w:snapToGrid w:val="0"/>
              <w:jc w:val="both"/>
              <w:rPr>
                <w:rFonts w:ascii="宋体" w:hAnsi="宋体" w:cstheme="minorEastAsia"/>
                <w:bCs/>
                <w:sz w:val="16"/>
                <w:szCs w:val="16"/>
              </w:rPr>
            </w:pPr>
            <w:r>
              <w:rPr>
                <w:rFonts w:hint="eastAsia" w:ascii="宋体" w:hAnsi="宋体" w:cstheme="minorEastAsia"/>
                <w:bCs/>
                <w:sz w:val="16"/>
                <w:szCs w:val="16"/>
              </w:rPr>
              <w:t>1.5.1</w:t>
            </w:r>
          </w:p>
        </w:tc>
        <w:tc>
          <w:tcPr>
            <w:tcW w:w="1484" w:type="dxa"/>
            <w:tcBorders>
              <w:top w:val="single" w:color="auto" w:sz="4" w:space="0"/>
            </w:tcBorders>
            <w:vAlign w:val="center"/>
          </w:tcPr>
          <w:p w14:paraId="1930566D">
            <w:pPr>
              <w:snapToGrid w:val="0"/>
              <w:jc w:val="both"/>
              <w:rPr>
                <w:rFonts w:ascii="宋体" w:hAnsi="宋体" w:cs="宋体"/>
                <w:sz w:val="16"/>
                <w:szCs w:val="16"/>
              </w:rPr>
            </w:pPr>
            <w:r>
              <w:rPr>
                <w:rFonts w:hint="eastAsia" w:ascii="宋体" w:hAnsi="宋体"/>
                <w:sz w:val="16"/>
                <w:szCs w:val="16"/>
              </w:rPr>
              <w:t>工业</w:t>
            </w:r>
            <w:r>
              <w:rPr>
                <w:rFonts w:ascii="宋体" w:hAnsi="宋体"/>
                <w:sz w:val="16"/>
                <w:szCs w:val="16"/>
              </w:rPr>
              <w:t>3D</w:t>
            </w:r>
            <w:r>
              <w:rPr>
                <w:rFonts w:hint="eastAsia" w:ascii="宋体" w:hAnsi="宋体"/>
                <w:sz w:val="16"/>
                <w:szCs w:val="16"/>
              </w:rPr>
              <w:t>相机</w:t>
            </w:r>
          </w:p>
        </w:tc>
        <w:tc>
          <w:tcPr>
            <w:tcW w:w="4601" w:type="dxa"/>
            <w:vAlign w:val="center"/>
          </w:tcPr>
          <w:p w14:paraId="6E704DAA">
            <w:pPr>
              <w:snapToGrid w:val="0"/>
              <w:jc w:val="both"/>
              <w:rPr>
                <w:rFonts w:ascii="宋体" w:hAnsi="宋体" w:cs="宋体"/>
                <w:sz w:val="16"/>
                <w:szCs w:val="16"/>
              </w:rPr>
            </w:pPr>
            <w:r>
              <w:rPr>
                <w:rFonts w:hint="eastAsia" w:ascii="宋体" w:hAnsi="宋体"/>
                <w:sz w:val="16"/>
                <w:szCs w:val="16"/>
              </w:rPr>
              <w:t>工业</w:t>
            </w:r>
            <w:r>
              <w:rPr>
                <w:rFonts w:ascii="宋体" w:hAnsi="宋体"/>
                <w:sz w:val="16"/>
                <w:szCs w:val="16"/>
              </w:rPr>
              <w:t>3D</w:t>
            </w:r>
            <w:r>
              <w:rPr>
                <w:rFonts w:hint="eastAsia" w:ascii="宋体" w:hAnsi="宋体"/>
                <w:sz w:val="16"/>
                <w:szCs w:val="16"/>
              </w:rPr>
              <w:t>相机</w:t>
            </w:r>
            <w:r>
              <w:rPr>
                <w:rFonts w:ascii="宋体" w:hAnsi="宋体"/>
                <w:sz w:val="16"/>
                <w:szCs w:val="16"/>
              </w:rPr>
              <w:t>1</w:t>
            </w:r>
            <w:r>
              <w:rPr>
                <w:rFonts w:hint="eastAsia" w:ascii="宋体" w:hAnsi="宋体"/>
                <w:sz w:val="16"/>
                <w:szCs w:val="16"/>
              </w:rPr>
              <w:t>组，</w:t>
            </w:r>
            <w:r>
              <w:rPr>
                <w:rFonts w:ascii="宋体" w:hAnsi="宋体"/>
                <w:sz w:val="16"/>
                <w:szCs w:val="16"/>
              </w:rPr>
              <w:t>X</w:t>
            </w:r>
            <w:r>
              <w:rPr>
                <w:rFonts w:hint="eastAsia" w:ascii="宋体" w:hAnsi="宋体"/>
                <w:sz w:val="16"/>
                <w:szCs w:val="16"/>
              </w:rPr>
              <w:t>轴视野范围</w:t>
            </w:r>
            <w:r>
              <w:rPr>
                <w:rFonts w:ascii="宋体" w:hAnsi="宋体"/>
                <w:sz w:val="16"/>
                <w:szCs w:val="16"/>
              </w:rPr>
              <w:t>&gt;1600mm</w:t>
            </w:r>
            <w:r>
              <w:rPr>
                <w:rFonts w:hint="eastAsia" w:ascii="宋体" w:hAnsi="宋体"/>
                <w:sz w:val="16"/>
                <w:szCs w:val="16"/>
              </w:rPr>
              <w:t>，</w:t>
            </w:r>
            <w:r>
              <w:rPr>
                <w:rFonts w:ascii="宋体" w:hAnsi="宋体"/>
                <w:sz w:val="16"/>
                <w:szCs w:val="16"/>
              </w:rPr>
              <w:t>Z</w:t>
            </w:r>
            <w:r>
              <w:rPr>
                <w:rFonts w:hint="eastAsia" w:ascii="宋体" w:hAnsi="宋体"/>
                <w:sz w:val="16"/>
                <w:szCs w:val="16"/>
              </w:rPr>
              <w:t>轴视野范围</w:t>
            </w:r>
            <w:r>
              <w:rPr>
                <w:rFonts w:ascii="宋体" w:hAnsi="宋体"/>
                <w:sz w:val="16"/>
                <w:szCs w:val="16"/>
              </w:rPr>
              <w:t>&gt;800mm</w:t>
            </w:r>
            <w:r>
              <w:rPr>
                <w:rFonts w:hint="eastAsia" w:ascii="宋体" w:hAnsi="宋体"/>
                <w:sz w:val="16"/>
                <w:szCs w:val="16"/>
              </w:rPr>
              <w:t>，</w:t>
            </w:r>
            <w:r>
              <w:rPr>
                <w:rFonts w:ascii="宋体" w:hAnsi="宋体"/>
                <w:sz w:val="16"/>
                <w:szCs w:val="16"/>
              </w:rPr>
              <w:t>X</w:t>
            </w:r>
            <w:r>
              <w:rPr>
                <w:rFonts w:hint="eastAsia" w:ascii="宋体" w:hAnsi="宋体"/>
                <w:sz w:val="16"/>
                <w:szCs w:val="16"/>
              </w:rPr>
              <w:t>、</w:t>
            </w:r>
            <w:r>
              <w:rPr>
                <w:rFonts w:ascii="宋体" w:hAnsi="宋体"/>
                <w:sz w:val="16"/>
                <w:szCs w:val="16"/>
              </w:rPr>
              <w:t>Y</w:t>
            </w:r>
            <w:r>
              <w:rPr>
                <w:rFonts w:hint="eastAsia" w:ascii="宋体" w:hAnsi="宋体"/>
                <w:sz w:val="16"/>
                <w:szCs w:val="16"/>
              </w:rPr>
              <w:t>轴分辨率</w:t>
            </w:r>
            <w:r>
              <w:rPr>
                <w:rFonts w:ascii="宋体" w:hAnsi="宋体"/>
                <w:sz w:val="16"/>
                <w:szCs w:val="16"/>
              </w:rPr>
              <w:t>&lt;10mm</w:t>
            </w:r>
            <w:r>
              <w:rPr>
                <w:rFonts w:hint="eastAsia" w:ascii="宋体" w:hAnsi="宋体"/>
                <w:sz w:val="16"/>
                <w:szCs w:val="16"/>
              </w:rPr>
              <w:t>，</w:t>
            </w:r>
            <w:r>
              <w:rPr>
                <w:rFonts w:ascii="宋体" w:hAnsi="宋体"/>
                <w:sz w:val="16"/>
                <w:szCs w:val="16"/>
              </w:rPr>
              <w:t>Z</w:t>
            </w:r>
            <w:r>
              <w:rPr>
                <w:rFonts w:hint="eastAsia" w:ascii="宋体" w:hAnsi="宋体"/>
                <w:sz w:val="16"/>
                <w:szCs w:val="16"/>
              </w:rPr>
              <w:t>轴分辨率</w:t>
            </w:r>
            <w:r>
              <w:rPr>
                <w:rFonts w:ascii="宋体" w:hAnsi="宋体"/>
                <w:sz w:val="16"/>
                <w:szCs w:val="16"/>
              </w:rPr>
              <w:t>&lt;3mm</w:t>
            </w:r>
            <w:r>
              <w:rPr>
                <w:rFonts w:hint="eastAsia" w:ascii="宋体" w:hAnsi="宋体"/>
                <w:sz w:val="16"/>
                <w:szCs w:val="16"/>
              </w:rPr>
              <w:t>。</w:t>
            </w:r>
          </w:p>
        </w:tc>
        <w:tc>
          <w:tcPr>
            <w:tcW w:w="2022" w:type="dxa"/>
            <w:vAlign w:val="center"/>
          </w:tcPr>
          <w:p w14:paraId="65606A31">
            <w:pPr>
              <w:snapToGrid w:val="0"/>
              <w:jc w:val="both"/>
              <w:rPr>
                <w:rFonts w:ascii="宋体" w:hAnsi="宋体" w:cstheme="minorEastAsia"/>
                <w:bCs/>
                <w:sz w:val="16"/>
                <w:szCs w:val="16"/>
              </w:rPr>
            </w:pPr>
          </w:p>
        </w:tc>
        <w:tc>
          <w:tcPr>
            <w:tcW w:w="0" w:type="auto"/>
            <w:vAlign w:val="center"/>
          </w:tcPr>
          <w:p w14:paraId="3ED6C852">
            <w:pPr>
              <w:jc w:val="both"/>
              <w:textAlignment w:val="center"/>
              <w:rPr>
                <w:rFonts w:ascii="宋体" w:hAnsi="宋体" w:cstheme="minorEastAsia"/>
                <w:bCs/>
                <w:sz w:val="16"/>
                <w:szCs w:val="16"/>
              </w:rPr>
            </w:pPr>
          </w:p>
        </w:tc>
        <w:tc>
          <w:tcPr>
            <w:tcW w:w="0" w:type="auto"/>
            <w:vAlign w:val="center"/>
          </w:tcPr>
          <w:p w14:paraId="50CFC88E">
            <w:pPr>
              <w:jc w:val="both"/>
              <w:textAlignment w:val="center"/>
              <w:rPr>
                <w:rFonts w:ascii="宋体" w:hAnsi="宋体" w:cstheme="minorEastAsia"/>
                <w:bCs/>
                <w:sz w:val="16"/>
                <w:szCs w:val="16"/>
              </w:rPr>
            </w:pPr>
          </w:p>
        </w:tc>
        <w:tc>
          <w:tcPr>
            <w:tcW w:w="1016" w:type="dxa"/>
            <w:vAlign w:val="center"/>
          </w:tcPr>
          <w:p w14:paraId="4E4DD676">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1B2955C5">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1BCC256F">
            <w:pPr>
              <w:jc w:val="both"/>
              <w:textAlignment w:val="center"/>
              <w:rPr>
                <w:rFonts w:ascii="宋体" w:hAnsi="宋体" w:cstheme="minorEastAsia"/>
                <w:bCs/>
                <w:sz w:val="16"/>
                <w:szCs w:val="16"/>
                <w:highlight w:val="yellow"/>
              </w:rPr>
            </w:pPr>
          </w:p>
        </w:tc>
        <w:tc>
          <w:tcPr>
            <w:tcW w:w="0" w:type="auto"/>
            <w:vAlign w:val="center"/>
          </w:tcPr>
          <w:p w14:paraId="01C4D604">
            <w:pPr>
              <w:jc w:val="both"/>
              <w:textAlignment w:val="center"/>
              <w:rPr>
                <w:rFonts w:ascii="宋体" w:hAnsi="宋体" w:cstheme="minorEastAsia"/>
                <w:bCs/>
                <w:sz w:val="16"/>
                <w:szCs w:val="16"/>
                <w:highlight w:val="yellow"/>
              </w:rPr>
            </w:pPr>
          </w:p>
        </w:tc>
        <w:tc>
          <w:tcPr>
            <w:tcW w:w="0" w:type="auto"/>
            <w:vAlign w:val="center"/>
          </w:tcPr>
          <w:p w14:paraId="7752FDE3">
            <w:pPr>
              <w:jc w:val="both"/>
              <w:textAlignment w:val="center"/>
              <w:rPr>
                <w:rFonts w:ascii="宋体" w:hAnsi="宋体" w:cstheme="minorEastAsia"/>
                <w:bCs/>
                <w:sz w:val="16"/>
                <w:szCs w:val="16"/>
                <w:highlight w:val="yellow"/>
              </w:rPr>
            </w:pPr>
          </w:p>
        </w:tc>
        <w:tc>
          <w:tcPr>
            <w:tcW w:w="0" w:type="auto"/>
            <w:shd w:val="clear" w:color="auto" w:fill="auto"/>
            <w:vAlign w:val="center"/>
          </w:tcPr>
          <w:p w14:paraId="45E2F4A3">
            <w:pPr>
              <w:snapToGrid w:val="0"/>
              <w:jc w:val="both"/>
              <w:rPr>
                <w:rFonts w:ascii="宋体" w:hAnsi="宋体" w:cstheme="minorEastAsia"/>
                <w:bCs/>
                <w:sz w:val="16"/>
                <w:szCs w:val="16"/>
              </w:rPr>
            </w:pPr>
          </w:p>
        </w:tc>
      </w:tr>
      <w:tr w14:paraId="30CA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856" w:type="dxa"/>
            <w:vAlign w:val="center"/>
          </w:tcPr>
          <w:p w14:paraId="44AB011F">
            <w:pPr>
              <w:snapToGrid w:val="0"/>
              <w:jc w:val="both"/>
              <w:rPr>
                <w:rFonts w:ascii="宋体" w:hAnsi="宋体" w:cstheme="minorEastAsia"/>
                <w:bCs/>
                <w:sz w:val="16"/>
                <w:szCs w:val="16"/>
              </w:rPr>
            </w:pPr>
            <w:r>
              <w:rPr>
                <w:rFonts w:hint="eastAsia" w:ascii="宋体" w:hAnsi="宋体" w:cstheme="minorEastAsia"/>
                <w:bCs/>
                <w:sz w:val="16"/>
                <w:szCs w:val="16"/>
              </w:rPr>
              <w:t>1.5.2</w:t>
            </w:r>
          </w:p>
        </w:tc>
        <w:tc>
          <w:tcPr>
            <w:tcW w:w="1484" w:type="dxa"/>
            <w:tcBorders>
              <w:top w:val="single" w:color="auto" w:sz="4" w:space="0"/>
            </w:tcBorders>
            <w:vAlign w:val="center"/>
          </w:tcPr>
          <w:p w14:paraId="6F56E025">
            <w:pPr>
              <w:snapToGrid w:val="0"/>
              <w:jc w:val="both"/>
              <w:rPr>
                <w:rFonts w:ascii="宋体" w:hAnsi="宋体" w:cs="宋体"/>
                <w:sz w:val="16"/>
                <w:szCs w:val="16"/>
              </w:rPr>
            </w:pPr>
            <w:r>
              <w:rPr>
                <w:rFonts w:hint="eastAsia" w:ascii="宋体" w:hAnsi="宋体"/>
                <w:sz w:val="16"/>
                <w:szCs w:val="16"/>
              </w:rPr>
              <w:t>工业面阵相机</w:t>
            </w:r>
          </w:p>
        </w:tc>
        <w:tc>
          <w:tcPr>
            <w:tcW w:w="4601" w:type="dxa"/>
            <w:vAlign w:val="center"/>
          </w:tcPr>
          <w:p w14:paraId="72E1DC21">
            <w:pPr>
              <w:snapToGrid w:val="0"/>
              <w:jc w:val="both"/>
              <w:rPr>
                <w:rFonts w:ascii="宋体" w:hAnsi="宋体" w:cs="宋体"/>
                <w:sz w:val="16"/>
                <w:szCs w:val="16"/>
              </w:rPr>
            </w:pPr>
            <w:r>
              <w:rPr>
                <w:rFonts w:ascii="宋体" w:hAnsi="宋体"/>
                <w:sz w:val="16"/>
                <w:szCs w:val="16"/>
              </w:rPr>
              <w:t>1</w:t>
            </w:r>
            <w:r>
              <w:rPr>
                <w:rFonts w:hint="eastAsia" w:ascii="宋体" w:hAnsi="宋体"/>
                <w:sz w:val="16"/>
                <w:szCs w:val="16"/>
              </w:rPr>
              <w:t>、工业面阵相机：</w:t>
            </w:r>
            <w:r>
              <w:rPr>
                <w:rFonts w:ascii="宋体" w:hAnsi="宋体"/>
                <w:sz w:val="16"/>
                <w:szCs w:val="16"/>
              </w:rPr>
              <w:t>160</w:t>
            </w:r>
            <w:r>
              <w:rPr>
                <w:rFonts w:hint="eastAsia" w:ascii="宋体" w:hAnsi="宋体"/>
                <w:sz w:val="16"/>
                <w:szCs w:val="16"/>
              </w:rPr>
              <w:t>万像素全局快门彩色相机，千兆以太网接口。</w:t>
            </w:r>
            <w:r>
              <w:rPr>
                <w:rFonts w:ascii="宋体" w:hAnsi="宋体"/>
                <w:sz w:val="16"/>
                <w:szCs w:val="16"/>
              </w:rPr>
              <w:br w:type="textWrapping"/>
            </w:r>
            <w:r>
              <w:rPr>
                <w:rFonts w:ascii="宋体" w:hAnsi="宋体"/>
                <w:sz w:val="16"/>
                <w:szCs w:val="16"/>
              </w:rPr>
              <w:t>2</w:t>
            </w:r>
            <w:r>
              <w:rPr>
                <w:rFonts w:hint="eastAsia" w:ascii="宋体" w:hAnsi="宋体"/>
                <w:sz w:val="16"/>
                <w:szCs w:val="16"/>
              </w:rPr>
              <w:t>、工业镜头：</w:t>
            </w:r>
            <w:r>
              <w:rPr>
                <w:rFonts w:ascii="宋体" w:hAnsi="宋体"/>
                <w:sz w:val="16"/>
                <w:szCs w:val="16"/>
              </w:rPr>
              <w:t>8mm</w:t>
            </w:r>
            <w:r>
              <w:rPr>
                <w:rFonts w:hint="eastAsia" w:ascii="宋体" w:hAnsi="宋体"/>
                <w:sz w:val="16"/>
                <w:szCs w:val="16"/>
              </w:rPr>
              <w:t>焦距，</w:t>
            </w:r>
            <w:r>
              <w:rPr>
                <w:rFonts w:ascii="宋体" w:hAnsi="宋体"/>
                <w:sz w:val="16"/>
                <w:szCs w:val="16"/>
              </w:rPr>
              <w:t>600</w:t>
            </w:r>
            <w:r>
              <w:rPr>
                <w:rFonts w:hint="eastAsia" w:ascii="宋体" w:hAnsi="宋体"/>
                <w:sz w:val="16"/>
                <w:szCs w:val="16"/>
              </w:rPr>
              <w:t>万辨率，</w:t>
            </w:r>
            <w:r>
              <w:rPr>
                <w:rFonts w:ascii="宋体" w:hAnsi="宋体"/>
                <w:sz w:val="16"/>
                <w:szCs w:val="16"/>
              </w:rPr>
              <w:t>C</w:t>
            </w:r>
            <w:r>
              <w:rPr>
                <w:rFonts w:hint="eastAsia" w:ascii="宋体" w:hAnsi="宋体"/>
                <w:sz w:val="16"/>
                <w:szCs w:val="16"/>
              </w:rPr>
              <w:t>口。</w:t>
            </w:r>
            <w:r>
              <w:rPr>
                <w:rFonts w:ascii="宋体" w:hAnsi="宋体"/>
                <w:sz w:val="16"/>
                <w:szCs w:val="16"/>
              </w:rPr>
              <w:br w:type="textWrapping"/>
            </w:r>
            <w:r>
              <w:rPr>
                <w:rFonts w:ascii="宋体" w:hAnsi="宋体"/>
                <w:sz w:val="16"/>
                <w:szCs w:val="16"/>
              </w:rPr>
              <w:t>3</w:t>
            </w:r>
            <w:r>
              <w:rPr>
                <w:rFonts w:hint="eastAsia" w:ascii="宋体" w:hAnsi="宋体"/>
                <w:sz w:val="16"/>
                <w:szCs w:val="16"/>
              </w:rPr>
              <w:t>、红外光源：定制红外条光源，长</w:t>
            </w:r>
            <w:r>
              <w:rPr>
                <w:rFonts w:ascii="宋体" w:hAnsi="宋体"/>
                <w:sz w:val="16"/>
                <w:szCs w:val="16"/>
              </w:rPr>
              <w:t>500mm</w:t>
            </w:r>
            <w:r>
              <w:rPr>
                <w:rFonts w:hint="eastAsia" w:ascii="宋体" w:hAnsi="宋体"/>
                <w:sz w:val="16"/>
                <w:szCs w:val="16"/>
              </w:rPr>
              <w:t>，带安装滑槽，可任意调节角度进口红外灯珠，</w:t>
            </w:r>
            <w:r>
              <w:rPr>
                <w:rFonts w:ascii="宋体" w:hAnsi="宋体"/>
                <w:sz w:val="16"/>
                <w:szCs w:val="16"/>
              </w:rPr>
              <w:t>850nm</w:t>
            </w:r>
            <w:r>
              <w:rPr>
                <w:rFonts w:hint="eastAsia" w:ascii="宋体" w:hAnsi="宋体"/>
                <w:sz w:val="16"/>
                <w:szCs w:val="16"/>
              </w:rPr>
              <w:t>波长，光线穿透力强。</w:t>
            </w:r>
          </w:p>
        </w:tc>
        <w:tc>
          <w:tcPr>
            <w:tcW w:w="2022" w:type="dxa"/>
            <w:vAlign w:val="center"/>
          </w:tcPr>
          <w:p w14:paraId="5DC6E562">
            <w:pPr>
              <w:snapToGrid w:val="0"/>
              <w:jc w:val="both"/>
              <w:rPr>
                <w:rFonts w:ascii="宋体" w:hAnsi="宋体" w:cstheme="minorEastAsia"/>
                <w:bCs/>
                <w:sz w:val="16"/>
                <w:szCs w:val="16"/>
              </w:rPr>
            </w:pPr>
          </w:p>
        </w:tc>
        <w:tc>
          <w:tcPr>
            <w:tcW w:w="0" w:type="auto"/>
            <w:vAlign w:val="center"/>
          </w:tcPr>
          <w:p w14:paraId="325AC322">
            <w:pPr>
              <w:jc w:val="both"/>
              <w:textAlignment w:val="center"/>
              <w:rPr>
                <w:rFonts w:ascii="宋体" w:hAnsi="宋体" w:cstheme="minorEastAsia"/>
                <w:bCs/>
                <w:sz w:val="16"/>
                <w:szCs w:val="16"/>
              </w:rPr>
            </w:pPr>
          </w:p>
        </w:tc>
        <w:tc>
          <w:tcPr>
            <w:tcW w:w="0" w:type="auto"/>
            <w:vAlign w:val="center"/>
          </w:tcPr>
          <w:p w14:paraId="5EFCC3B8">
            <w:pPr>
              <w:jc w:val="both"/>
              <w:textAlignment w:val="center"/>
              <w:rPr>
                <w:rFonts w:ascii="宋体" w:hAnsi="宋体" w:cstheme="minorEastAsia"/>
                <w:bCs/>
                <w:sz w:val="16"/>
                <w:szCs w:val="16"/>
              </w:rPr>
            </w:pPr>
          </w:p>
        </w:tc>
        <w:tc>
          <w:tcPr>
            <w:tcW w:w="1016" w:type="dxa"/>
            <w:vAlign w:val="center"/>
          </w:tcPr>
          <w:p w14:paraId="21ED57EA">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29527F54">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5CEB92C1">
            <w:pPr>
              <w:jc w:val="both"/>
              <w:textAlignment w:val="center"/>
              <w:rPr>
                <w:rFonts w:ascii="宋体" w:hAnsi="宋体" w:cstheme="minorEastAsia"/>
                <w:bCs/>
                <w:sz w:val="16"/>
                <w:szCs w:val="16"/>
                <w:highlight w:val="yellow"/>
              </w:rPr>
            </w:pPr>
          </w:p>
        </w:tc>
        <w:tc>
          <w:tcPr>
            <w:tcW w:w="0" w:type="auto"/>
            <w:vAlign w:val="center"/>
          </w:tcPr>
          <w:p w14:paraId="5469DCC4">
            <w:pPr>
              <w:jc w:val="both"/>
              <w:textAlignment w:val="center"/>
              <w:rPr>
                <w:rFonts w:ascii="宋体" w:hAnsi="宋体" w:cstheme="minorEastAsia"/>
                <w:bCs/>
                <w:sz w:val="16"/>
                <w:szCs w:val="16"/>
                <w:highlight w:val="yellow"/>
              </w:rPr>
            </w:pPr>
          </w:p>
        </w:tc>
        <w:tc>
          <w:tcPr>
            <w:tcW w:w="0" w:type="auto"/>
            <w:vAlign w:val="center"/>
          </w:tcPr>
          <w:p w14:paraId="7C471F32">
            <w:pPr>
              <w:jc w:val="both"/>
              <w:textAlignment w:val="center"/>
              <w:rPr>
                <w:rFonts w:ascii="宋体" w:hAnsi="宋体" w:cstheme="minorEastAsia"/>
                <w:bCs/>
                <w:sz w:val="16"/>
                <w:szCs w:val="16"/>
                <w:highlight w:val="yellow"/>
              </w:rPr>
            </w:pPr>
          </w:p>
        </w:tc>
        <w:tc>
          <w:tcPr>
            <w:tcW w:w="0" w:type="auto"/>
            <w:shd w:val="clear" w:color="auto" w:fill="auto"/>
            <w:vAlign w:val="center"/>
          </w:tcPr>
          <w:p w14:paraId="4F84B2C1">
            <w:pPr>
              <w:snapToGrid w:val="0"/>
              <w:jc w:val="both"/>
              <w:rPr>
                <w:rFonts w:ascii="宋体" w:hAnsi="宋体" w:cstheme="minorEastAsia"/>
                <w:bCs/>
                <w:sz w:val="16"/>
                <w:szCs w:val="16"/>
              </w:rPr>
            </w:pPr>
          </w:p>
        </w:tc>
      </w:tr>
      <w:tr w14:paraId="74A0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602F5AE5">
            <w:pPr>
              <w:snapToGrid w:val="0"/>
              <w:jc w:val="both"/>
              <w:rPr>
                <w:rFonts w:ascii="宋体" w:hAnsi="宋体" w:cstheme="minorEastAsia"/>
                <w:bCs/>
                <w:sz w:val="16"/>
                <w:szCs w:val="16"/>
              </w:rPr>
            </w:pPr>
            <w:r>
              <w:rPr>
                <w:rFonts w:hint="eastAsia" w:ascii="宋体" w:hAnsi="宋体" w:cstheme="minorEastAsia"/>
                <w:bCs/>
                <w:sz w:val="16"/>
                <w:szCs w:val="16"/>
              </w:rPr>
              <w:t>1.5.3</w:t>
            </w:r>
          </w:p>
        </w:tc>
        <w:tc>
          <w:tcPr>
            <w:tcW w:w="1484" w:type="dxa"/>
            <w:tcBorders>
              <w:top w:val="single" w:color="auto" w:sz="4" w:space="0"/>
            </w:tcBorders>
            <w:vAlign w:val="center"/>
          </w:tcPr>
          <w:p w14:paraId="13BEF17D">
            <w:pPr>
              <w:snapToGrid w:val="0"/>
              <w:jc w:val="both"/>
              <w:rPr>
                <w:rFonts w:ascii="宋体" w:hAnsi="宋体" w:cs="宋体"/>
                <w:sz w:val="16"/>
                <w:szCs w:val="16"/>
              </w:rPr>
            </w:pPr>
            <w:r>
              <w:rPr>
                <w:rFonts w:hint="eastAsia" w:ascii="宋体" w:hAnsi="宋体"/>
                <w:sz w:val="16"/>
                <w:szCs w:val="16"/>
              </w:rPr>
              <w:t>视觉控制器</w:t>
            </w:r>
          </w:p>
        </w:tc>
        <w:tc>
          <w:tcPr>
            <w:tcW w:w="4601" w:type="dxa"/>
            <w:vAlign w:val="center"/>
          </w:tcPr>
          <w:p w14:paraId="3C6FDAE8">
            <w:pPr>
              <w:pStyle w:val="335"/>
              <w:numPr>
                <w:ilvl w:val="0"/>
                <w:numId w:val="18"/>
              </w:numPr>
              <w:snapToGrid w:val="0"/>
              <w:rPr>
                <w:rFonts w:hAnsi="宋体"/>
                <w:sz w:val="16"/>
                <w:szCs w:val="16"/>
              </w:rPr>
            </w:pPr>
            <w:r>
              <w:rPr>
                <w:rFonts w:hint="eastAsia" w:hAnsi="宋体"/>
                <w:sz w:val="16"/>
                <w:szCs w:val="16"/>
              </w:rPr>
              <w:t>I5 8500/内存4G/128Gssd/双千兆网口/Win10操作系统</w:t>
            </w:r>
          </w:p>
          <w:p w14:paraId="3BD2490E">
            <w:pPr>
              <w:pStyle w:val="335"/>
              <w:numPr>
                <w:ilvl w:val="0"/>
                <w:numId w:val="18"/>
              </w:numPr>
              <w:snapToGrid w:val="0"/>
              <w:rPr>
                <w:rFonts w:hAnsi="宋体"/>
                <w:sz w:val="16"/>
                <w:szCs w:val="16"/>
              </w:rPr>
            </w:pPr>
            <w:r>
              <w:rPr>
                <w:rFonts w:hint="eastAsia" w:hAnsi="宋体"/>
                <w:sz w:val="16"/>
                <w:szCs w:val="16"/>
              </w:rPr>
              <w:t>智能</w:t>
            </w:r>
            <w:r>
              <w:rPr>
                <w:rFonts w:hAnsi="宋体"/>
                <w:sz w:val="16"/>
                <w:szCs w:val="16"/>
              </w:rPr>
              <w:t>IO</w:t>
            </w:r>
            <w:r>
              <w:rPr>
                <w:rFonts w:hint="eastAsia" w:hAnsi="宋体"/>
                <w:sz w:val="16"/>
                <w:szCs w:val="16"/>
              </w:rPr>
              <w:t>控制板：高速</w:t>
            </w:r>
            <w:r>
              <w:rPr>
                <w:rFonts w:hAnsi="宋体"/>
                <w:sz w:val="16"/>
                <w:szCs w:val="16"/>
              </w:rPr>
              <w:t>1</w:t>
            </w:r>
            <w:r>
              <w:rPr>
                <w:rFonts w:hint="eastAsia" w:hAnsi="宋体"/>
                <w:sz w:val="16"/>
                <w:szCs w:val="16"/>
              </w:rPr>
              <w:t>μ</w:t>
            </w:r>
            <w:r>
              <w:rPr>
                <w:rFonts w:hAnsi="宋体"/>
                <w:sz w:val="16"/>
                <w:szCs w:val="16"/>
              </w:rPr>
              <w:t>s</w:t>
            </w:r>
            <w:r>
              <w:rPr>
                <w:rFonts w:hint="eastAsia" w:hAnsi="宋体"/>
                <w:sz w:val="16"/>
                <w:szCs w:val="16"/>
              </w:rPr>
              <w:t>信号控制能力、输入信号端≥</w:t>
            </w:r>
            <w:r>
              <w:rPr>
                <w:rFonts w:hAnsi="宋体"/>
                <w:sz w:val="16"/>
                <w:szCs w:val="16"/>
              </w:rPr>
              <w:t>8</w:t>
            </w:r>
            <w:r>
              <w:rPr>
                <w:rFonts w:hint="eastAsia" w:hAnsi="宋体"/>
                <w:sz w:val="16"/>
                <w:szCs w:val="16"/>
              </w:rPr>
              <w:t>、输出信号端≥</w:t>
            </w:r>
            <w:r>
              <w:rPr>
                <w:rFonts w:hAnsi="宋体"/>
                <w:sz w:val="16"/>
                <w:szCs w:val="16"/>
              </w:rPr>
              <w:t>8</w:t>
            </w:r>
            <w:r>
              <w:rPr>
                <w:rFonts w:hint="eastAsia" w:hAnsi="宋体"/>
                <w:sz w:val="16"/>
                <w:szCs w:val="16"/>
              </w:rPr>
              <w:t>。</w:t>
            </w:r>
          </w:p>
          <w:p w14:paraId="1F430A46">
            <w:pPr>
              <w:pStyle w:val="335"/>
              <w:numPr>
                <w:ilvl w:val="0"/>
                <w:numId w:val="18"/>
              </w:numPr>
              <w:snapToGrid w:val="0"/>
              <w:rPr>
                <w:rFonts w:hAnsi="宋体"/>
                <w:sz w:val="16"/>
                <w:szCs w:val="16"/>
              </w:rPr>
            </w:pPr>
            <w:r>
              <w:rPr>
                <w:rFonts w:hint="eastAsia" w:hAnsi="宋体"/>
                <w:sz w:val="16"/>
                <w:szCs w:val="16"/>
              </w:rPr>
              <w:t>光源控制器</w:t>
            </w:r>
            <w:r>
              <w:rPr>
                <w:rFonts w:hAnsi="宋体"/>
                <w:sz w:val="16"/>
                <w:szCs w:val="16"/>
              </w:rPr>
              <w:t>;</w:t>
            </w:r>
          </w:p>
        </w:tc>
        <w:tc>
          <w:tcPr>
            <w:tcW w:w="2022" w:type="dxa"/>
            <w:vAlign w:val="center"/>
          </w:tcPr>
          <w:p w14:paraId="69EDEC4E">
            <w:pPr>
              <w:snapToGrid w:val="0"/>
              <w:jc w:val="both"/>
              <w:rPr>
                <w:rFonts w:ascii="宋体" w:hAnsi="宋体" w:cstheme="minorEastAsia"/>
                <w:bCs/>
                <w:sz w:val="16"/>
                <w:szCs w:val="16"/>
              </w:rPr>
            </w:pPr>
          </w:p>
        </w:tc>
        <w:tc>
          <w:tcPr>
            <w:tcW w:w="0" w:type="auto"/>
            <w:vAlign w:val="center"/>
          </w:tcPr>
          <w:p w14:paraId="678F541C">
            <w:pPr>
              <w:jc w:val="both"/>
              <w:textAlignment w:val="center"/>
              <w:rPr>
                <w:rFonts w:ascii="宋体" w:hAnsi="宋体" w:cstheme="minorEastAsia"/>
                <w:bCs/>
                <w:sz w:val="16"/>
                <w:szCs w:val="16"/>
              </w:rPr>
            </w:pPr>
          </w:p>
        </w:tc>
        <w:tc>
          <w:tcPr>
            <w:tcW w:w="0" w:type="auto"/>
            <w:vAlign w:val="center"/>
          </w:tcPr>
          <w:p w14:paraId="009AA5F8">
            <w:pPr>
              <w:jc w:val="both"/>
              <w:textAlignment w:val="center"/>
              <w:rPr>
                <w:rFonts w:ascii="宋体" w:hAnsi="宋体" w:cstheme="minorEastAsia"/>
                <w:bCs/>
                <w:sz w:val="16"/>
                <w:szCs w:val="16"/>
              </w:rPr>
            </w:pPr>
          </w:p>
        </w:tc>
        <w:tc>
          <w:tcPr>
            <w:tcW w:w="1016" w:type="dxa"/>
            <w:vAlign w:val="center"/>
          </w:tcPr>
          <w:p w14:paraId="47DDCEDE">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23560832">
            <w:pPr>
              <w:jc w:val="both"/>
              <w:textAlignment w:val="center"/>
              <w:rPr>
                <w:rFonts w:ascii="宋体" w:hAnsi="宋体" w:cstheme="minorEastAsia"/>
                <w:bCs/>
                <w:sz w:val="16"/>
                <w:szCs w:val="16"/>
              </w:rPr>
            </w:pPr>
            <w:r>
              <w:rPr>
                <w:rFonts w:ascii="宋体" w:hAnsi="宋体"/>
                <w:sz w:val="16"/>
                <w:szCs w:val="16"/>
              </w:rPr>
              <w:t>2</w:t>
            </w:r>
          </w:p>
        </w:tc>
        <w:tc>
          <w:tcPr>
            <w:tcW w:w="0" w:type="auto"/>
            <w:vAlign w:val="center"/>
          </w:tcPr>
          <w:p w14:paraId="36853A89">
            <w:pPr>
              <w:jc w:val="both"/>
              <w:textAlignment w:val="center"/>
              <w:rPr>
                <w:rFonts w:ascii="宋体" w:hAnsi="宋体" w:cstheme="minorEastAsia"/>
                <w:bCs/>
                <w:sz w:val="16"/>
                <w:szCs w:val="16"/>
                <w:highlight w:val="yellow"/>
              </w:rPr>
            </w:pPr>
          </w:p>
        </w:tc>
        <w:tc>
          <w:tcPr>
            <w:tcW w:w="0" w:type="auto"/>
            <w:vAlign w:val="center"/>
          </w:tcPr>
          <w:p w14:paraId="3023617A">
            <w:pPr>
              <w:jc w:val="both"/>
              <w:textAlignment w:val="center"/>
              <w:rPr>
                <w:rFonts w:ascii="宋体" w:hAnsi="宋体" w:cstheme="minorEastAsia"/>
                <w:bCs/>
                <w:sz w:val="16"/>
                <w:szCs w:val="16"/>
                <w:highlight w:val="yellow"/>
              </w:rPr>
            </w:pPr>
          </w:p>
        </w:tc>
        <w:tc>
          <w:tcPr>
            <w:tcW w:w="0" w:type="auto"/>
            <w:vAlign w:val="center"/>
          </w:tcPr>
          <w:p w14:paraId="585F58A4">
            <w:pPr>
              <w:jc w:val="both"/>
              <w:textAlignment w:val="center"/>
              <w:rPr>
                <w:rFonts w:ascii="宋体" w:hAnsi="宋体" w:cstheme="minorEastAsia"/>
                <w:bCs/>
                <w:sz w:val="16"/>
                <w:szCs w:val="16"/>
                <w:highlight w:val="yellow"/>
              </w:rPr>
            </w:pPr>
          </w:p>
        </w:tc>
        <w:tc>
          <w:tcPr>
            <w:tcW w:w="0" w:type="auto"/>
            <w:shd w:val="clear" w:color="auto" w:fill="auto"/>
            <w:vAlign w:val="center"/>
          </w:tcPr>
          <w:p w14:paraId="5CD864D1">
            <w:pPr>
              <w:snapToGrid w:val="0"/>
              <w:jc w:val="both"/>
              <w:rPr>
                <w:rFonts w:ascii="宋体" w:hAnsi="宋体" w:cstheme="minorEastAsia"/>
                <w:bCs/>
                <w:sz w:val="16"/>
                <w:szCs w:val="16"/>
              </w:rPr>
            </w:pPr>
          </w:p>
        </w:tc>
      </w:tr>
      <w:tr w14:paraId="698D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56" w:type="dxa"/>
            <w:vAlign w:val="center"/>
          </w:tcPr>
          <w:p w14:paraId="36714D25">
            <w:pPr>
              <w:snapToGrid w:val="0"/>
              <w:jc w:val="both"/>
              <w:rPr>
                <w:rFonts w:ascii="宋体" w:hAnsi="宋体" w:cstheme="minorEastAsia"/>
                <w:bCs/>
                <w:sz w:val="16"/>
                <w:szCs w:val="16"/>
              </w:rPr>
            </w:pPr>
            <w:r>
              <w:rPr>
                <w:rFonts w:hint="eastAsia" w:ascii="宋体" w:hAnsi="宋体" w:cstheme="minorEastAsia"/>
                <w:bCs/>
                <w:sz w:val="16"/>
                <w:szCs w:val="16"/>
              </w:rPr>
              <w:t>1.5.4</w:t>
            </w:r>
          </w:p>
        </w:tc>
        <w:tc>
          <w:tcPr>
            <w:tcW w:w="1484" w:type="dxa"/>
            <w:tcBorders>
              <w:top w:val="single" w:color="auto" w:sz="4" w:space="0"/>
              <w:bottom w:val="single" w:color="auto" w:sz="4" w:space="0"/>
            </w:tcBorders>
            <w:vAlign w:val="center"/>
          </w:tcPr>
          <w:p w14:paraId="33A94CF9">
            <w:pPr>
              <w:snapToGrid w:val="0"/>
              <w:jc w:val="both"/>
              <w:rPr>
                <w:rFonts w:ascii="宋体" w:hAnsi="宋体" w:cs="宋体"/>
                <w:sz w:val="16"/>
                <w:szCs w:val="16"/>
              </w:rPr>
            </w:pPr>
            <w:r>
              <w:rPr>
                <w:rFonts w:hint="eastAsia" w:ascii="宋体" w:hAnsi="宋体"/>
                <w:sz w:val="16"/>
                <w:szCs w:val="16"/>
              </w:rPr>
              <w:t>显示一体机</w:t>
            </w:r>
          </w:p>
        </w:tc>
        <w:tc>
          <w:tcPr>
            <w:tcW w:w="4601" w:type="dxa"/>
            <w:tcBorders>
              <w:bottom w:val="single" w:color="auto" w:sz="4" w:space="0"/>
            </w:tcBorders>
            <w:vAlign w:val="center"/>
          </w:tcPr>
          <w:p w14:paraId="00FABFB5">
            <w:pPr>
              <w:snapToGrid w:val="0"/>
              <w:jc w:val="both"/>
              <w:rPr>
                <w:rFonts w:ascii="宋体" w:hAnsi="宋体" w:cs="宋体"/>
                <w:sz w:val="16"/>
                <w:szCs w:val="16"/>
              </w:rPr>
            </w:pPr>
            <w:r>
              <w:rPr>
                <w:rFonts w:hint="eastAsia" w:ascii="宋体" w:hAnsi="宋体"/>
                <w:sz w:val="16"/>
                <w:szCs w:val="16"/>
              </w:rPr>
              <w:t>一体机，</w:t>
            </w:r>
            <w:r>
              <w:rPr>
                <w:rFonts w:ascii="宋体" w:hAnsi="宋体"/>
                <w:sz w:val="16"/>
                <w:szCs w:val="16"/>
              </w:rPr>
              <w:t>17</w:t>
            </w:r>
            <w:r>
              <w:rPr>
                <w:rFonts w:hint="eastAsia" w:ascii="宋体" w:hAnsi="宋体"/>
                <w:sz w:val="16"/>
                <w:szCs w:val="16"/>
              </w:rPr>
              <w:t>寸、触摸式</w:t>
            </w:r>
            <w:r>
              <w:rPr>
                <w:rFonts w:ascii="宋体" w:hAnsi="宋体"/>
                <w:sz w:val="16"/>
                <w:szCs w:val="16"/>
              </w:rPr>
              <w:t>SVGA TFT-LCD</w:t>
            </w:r>
            <w:r>
              <w:rPr>
                <w:rFonts w:hint="eastAsia" w:ascii="宋体" w:hAnsi="宋体"/>
                <w:sz w:val="16"/>
                <w:szCs w:val="16"/>
              </w:rPr>
              <w:t>、彩色液晶屏，分辨率1280 x 1024、亮度250cd/m2、支持多点触控、驱动支持Windows XP, Windows 7, Winows8, Windows 10, Linux、IP65防护。</w:t>
            </w:r>
          </w:p>
        </w:tc>
        <w:tc>
          <w:tcPr>
            <w:tcW w:w="2022" w:type="dxa"/>
            <w:tcBorders>
              <w:bottom w:val="single" w:color="auto" w:sz="4" w:space="0"/>
            </w:tcBorders>
            <w:vAlign w:val="center"/>
          </w:tcPr>
          <w:p w14:paraId="2E992EAA">
            <w:pPr>
              <w:snapToGrid w:val="0"/>
              <w:jc w:val="both"/>
              <w:rPr>
                <w:rFonts w:ascii="宋体" w:hAnsi="宋体" w:cstheme="minorEastAsia"/>
                <w:bCs/>
                <w:sz w:val="16"/>
                <w:szCs w:val="16"/>
              </w:rPr>
            </w:pPr>
          </w:p>
        </w:tc>
        <w:tc>
          <w:tcPr>
            <w:tcW w:w="0" w:type="auto"/>
            <w:tcBorders>
              <w:bottom w:val="single" w:color="auto" w:sz="4" w:space="0"/>
            </w:tcBorders>
            <w:vAlign w:val="center"/>
          </w:tcPr>
          <w:p w14:paraId="459FF42B">
            <w:pPr>
              <w:jc w:val="both"/>
              <w:textAlignment w:val="center"/>
              <w:rPr>
                <w:rFonts w:ascii="宋体" w:hAnsi="宋体" w:cstheme="minorEastAsia"/>
                <w:bCs/>
                <w:sz w:val="16"/>
                <w:szCs w:val="16"/>
              </w:rPr>
            </w:pPr>
          </w:p>
        </w:tc>
        <w:tc>
          <w:tcPr>
            <w:tcW w:w="0" w:type="auto"/>
            <w:tcBorders>
              <w:bottom w:val="single" w:color="auto" w:sz="4" w:space="0"/>
            </w:tcBorders>
            <w:vAlign w:val="center"/>
          </w:tcPr>
          <w:p w14:paraId="2466F4BF">
            <w:pPr>
              <w:jc w:val="both"/>
              <w:textAlignment w:val="center"/>
              <w:rPr>
                <w:rFonts w:ascii="宋体" w:hAnsi="宋体" w:cstheme="minorEastAsia"/>
                <w:bCs/>
                <w:sz w:val="16"/>
                <w:szCs w:val="16"/>
              </w:rPr>
            </w:pPr>
          </w:p>
        </w:tc>
        <w:tc>
          <w:tcPr>
            <w:tcW w:w="1016" w:type="dxa"/>
            <w:tcBorders>
              <w:bottom w:val="single" w:color="auto" w:sz="4" w:space="0"/>
            </w:tcBorders>
            <w:vAlign w:val="center"/>
          </w:tcPr>
          <w:p w14:paraId="1CC7FA63">
            <w:pPr>
              <w:jc w:val="both"/>
              <w:textAlignment w:val="center"/>
              <w:rPr>
                <w:rFonts w:ascii="宋体" w:hAnsi="宋体" w:cstheme="minorEastAsia"/>
                <w:bCs/>
                <w:sz w:val="16"/>
                <w:szCs w:val="16"/>
              </w:rPr>
            </w:pPr>
            <w:r>
              <w:rPr>
                <w:rFonts w:hint="eastAsia" w:ascii="宋体" w:hAnsi="宋体"/>
                <w:sz w:val="16"/>
                <w:szCs w:val="16"/>
              </w:rPr>
              <w:t>台</w:t>
            </w:r>
          </w:p>
        </w:tc>
        <w:tc>
          <w:tcPr>
            <w:tcW w:w="609" w:type="dxa"/>
            <w:tcBorders>
              <w:bottom w:val="single" w:color="auto" w:sz="4" w:space="0"/>
            </w:tcBorders>
            <w:vAlign w:val="center"/>
          </w:tcPr>
          <w:p w14:paraId="3EDD67E1">
            <w:pPr>
              <w:jc w:val="both"/>
              <w:textAlignment w:val="center"/>
              <w:rPr>
                <w:rFonts w:ascii="宋体" w:hAnsi="宋体" w:cstheme="minorEastAsia"/>
                <w:bCs/>
                <w:sz w:val="16"/>
                <w:szCs w:val="16"/>
              </w:rPr>
            </w:pPr>
            <w:r>
              <w:rPr>
                <w:rFonts w:ascii="宋体" w:hAnsi="宋体"/>
                <w:sz w:val="16"/>
                <w:szCs w:val="16"/>
              </w:rPr>
              <w:t>1</w:t>
            </w:r>
          </w:p>
        </w:tc>
        <w:tc>
          <w:tcPr>
            <w:tcW w:w="0" w:type="auto"/>
            <w:tcBorders>
              <w:bottom w:val="single" w:color="auto" w:sz="4" w:space="0"/>
            </w:tcBorders>
            <w:vAlign w:val="center"/>
          </w:tcPr>
          <w:p w14:paraId="4EE6FA41">
            <w:pPr>
              <w:jc w:val="both"/>
              <w:textAlignment w:val="center"/>
              <w:rPr>
                <w:rFonts w:ascii="宋体" w:hAnsi="宋体" w:cstheme="minorEastAsia"/>
                <w:bCs/>
                <w:sz w:val="16"/>
                <w:szCs w:val="16"/>
                <w:highlight w:val="yellow"/>
              </w:rPr>
            </w:pPr>
          </w:p>
        </w:tc>
        <w:tc>
          <w:tcPr>
            <w:tcW w:w="0" w:type="auto"/>
            <w:tcBorders>
              <w:bottom w:val="single" w:color="auto" w:sz="4" w:space="0"/>
            </w:tcBorders>
            <w:vAlign w:val="center"/>
          </w:tcPr>
          <w:p w14:paraId="0E1B6F73">
            <w:pPr>
              <w:jc w:val="both"/>
              <w:textAlignment w:val="center"/>
              <w:rPr>
                <w:rFonts w:ascii="宋体" w:hAnsi="宋体" w:cstheme="minorEastAsia"/>
                <w:bCs/>
                <w:sz w:val="16"/>
                <w:szCs w:val="16"/>
                <w:highlight w:val="yellow"/>
              </w:rPr>
            </w:pPr>
          </w:p>
        </w:tc>
        <w:tc>
          <w:tcPr>
            <w:tcW w:w="0" w:type="auto"/>
            <w:tcBorders>
              <w:bottom w:val="single" w:color="auto" w:sz="4" w:space="0"/>
            </w:tcBorders>
            <w:vAlign w:val="center"/>
          </w:tcPr>
          <w:p w14:paraId="4D8F4E77">
            <w:pPr>
              <w:jc w:val="both"/>
              <w:textAlignment w:val="center"/>
              <w:rPr>
                <w:rFonts w:ascii="宋体" w:hAnsi="宋体" w:cstheme="minorEastAsia"/>
                <w:bCs/>
                <w:sz w:val="16"/>
                <w:szCs w:val="16"/>
                <w:highlight w:val="yellow"/>
              </w:rPr>
            </w:pPr>
          </w:p>
        </w:tc>
        <w:tc>
          <w:tcPr>
            <w:tcW w:w="0" w:type="auto"/>
            <w:tcBorders>
              <w:bottom w:val="single" w:color="auto" w:sz="4" w:space="0"/>
            </w:tcBorders>
            <w:shd w:val="clear" w:color="auto" w:fill="auto"/>
            <w:vAlign w:val="center"/>
          </w:tcPr>
          <w:p w14:paraId="0DC21435">
            <w:pPr>
              <w:snapToGrid w:val="0"/>
              <w:jc w:val="both"/>
              <w:rPr>
                <w:rFonts w:ascii="宋体" w:hAnsi="宋体" w:cstheme="minorEastAsia"/>
                <w:bCs/>
                <w:sz w:val="16"/>
                <w:szCs w:val="16"/>
              </w:rPr>
            </w:pPr>
          </w:p>
        </w:tc>
      </w:tr>
      <w:tr w14:paraId="7398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856" w:type="dxa"/>
            <w:vAlign w:val="center"/>
          </w:tcPr>
          <w:p w14:paraId="618F92F8">
            <w:pPr>
              <w:snapToGrid w:val="0"/>
              <w:jc w:val="both"/>
              <w:rPr>
                <w:rFonts w:ascii="宋体" w:hAnsi="宋体" w:cstheme="minorEastAsia"/>
                <w:b/>
                <w:bCs/>
                <w:sz w:val="16"/>
                <w:szCs w:val="16"/>
              </w:rPr>
            </w:pPr>
            <w:r>
              <w:rPr>
                <w:rFonts w:hint="eastAsia" w:ascii="宋体" w:hAnsi="宋体" w:cstheme="minorEastAsia"/>
                <w:b/>
                <w:bCs/>
                <w:sz w:val="16"/>
                <w:szCs w:val="16"/>
              </w:rPr>
              <w:t>1.6</w:t>
            </w:r>
          </w:p>
        </w:tc>
        <w:tc>
          <w:tcPr>
            <w:tcW w:w="13138" w:type="dxa"/>
            <w:gridSpan w:val="11"/>
            <w:vAlign w:val="center"/>
          </w:tcPr>
          <w:p w14:paraId="5C062A7B">
            <w:pPr>
              <w:snapToGrid w:val="0"/>
              <w:jc w:val="both"/>
              <w:rPr>
                <w:rFonts w:ascii="宋体" w:hAnsi="宋体" w:cstheme="minorEastAsia"/>
                <w:b/>
                <w:bCs/>
                <w:sz w:val="16"/>
                <w:szCs w:val="16"/>
              </w:rPr>
            </w:pPr>
            <w:r>
              <w:rPr>
                <w:rFonts w:hint="eastAsia" w:ascii="宋体" w:hAnsi="宋体" w:cstheme="minorEastAsia"/>
                <w:b/>
                <w:bCs/>
                <w:sz w:val="16"/>
                <w:szCs w:val="16"/>
              </w:rPr>
              <w:t>原有烟丝杂物检测装置改造</w:t>
            </w:r>
          </w:p>
        </w:tc>
      </w:tr>
      <w:tr w14:paraId="313E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vAlign w:val="center"/>
          </w:tcPr>
          <w:p w14:paraId="4EFAADE9">
            <w:pPr>
              <w:snapToGrid w:val="0"/>
              <w:jc w:val="both"/>
              <w:rPr>
                <w:rFonts w:ascii="宋体" w:hAnsi="宋体" w:cstheme="minorEastAsia"/>
                <w:bCs/>
                <w:sz w:val="16"/>
                <w:szCs w:val="16"/>
              </w:rPr>
            </w:pPr>
            <w:r>
              <w:rPr>
                <w:rFonts w:hint="eastAsia" w:ascii="宋体" w:hAnsi="宋体" w:cstheme="minorEastAsia"/>
                <w:bCs/>
                <w:sz w:val="16"/>
                <w:szCs w:val="16"/>
              </w:rPr>
              <w:t>1.6.1</w:t>
            </w:r>
          </w:p>
        </w:tc>
        <w:tc>
          <w:tcPr>
            <w:tcW w:w="1484" w:type="dxa"/>
            <w:tcBorders>
              <w:top w:val="nil"/>
            </w:tcBorders>
            <w:vAlign w:val="center"/>
          </w:tcPr>
          <w:p w14:paraId="01EEA0EF">
            <w:pPr>
              <w:snapToGrid w:val="0"/>
              <w:jc w:val="both"/>
              <w:rPr>
                <w:rFonts w:ascii="宋体" w:hAnsi="宋体" w:cs="宋体"/>
                <w:sz w:val="16"/>
                <w:szCs w:val="16"/>
              </w:rPr>
            </w:pPr>
            <w:r>
              <w:rPr>
                <w:rFonts w:hint="eastAsia" w:ascii="宋体" w:hAnsi="宋体"/>
                <w:sz w:val="16"/>
                <w:szCs w:val="16"/>
              </w:rPr>
              <w:t>视觉控制器</w:t>
            </w:r>
          </w:p>
        </w:tc>
        <w:tc>
          <w:tcPr>
            <w:tcW w:w="4601" w:type="dxa"/>
            <w:vAlign w:val="center"/>
          </w:tcPr>
          <w:p w14:paraId="3AA0A9C5">
            <w:pPr>
              <w:snapToGrid w:val="0"/>
              <w:jc w:val="both"/>
              <w:rPr>
                <w:rFonts w:ascii="宋体" w:hAnsi="宋体" w:cs="宋体"/>
                <w:sz w:val="16"/>
                <w:szCs w:val="16"/>
              </w:rPr>
            </w:pPr>
            <w:r>
              <w:rPr>
                <w:rFonts w:ascii="宋体" w:hAnsi="宋体"/>
                <w:sz w:val="16"/>
                <w:szCs w:val="16"/>
              </w:rPr>
              <w:t>1.AI</w:t>
            </w:r>
            <w:r>
              <w:rPr>
                <w:rFonts w:hint="eastAsia" w:ascii="宋体" w:hAnsi="宋体"/>
                <w:sz w:val="16"/>
                <w:szCs w:val="16"/>
              </w:rPr>
              <w:t>工控机</w:t>
            </w:r>
            <w:r>
              <w:rPr>
                <w:rFonts w:ascii="宋体" w:hAnsi="宋体"/>
                <w:sz w:val="16"/>
                <w:szCs w:val="16"/>
              </w:rPr>
              <w:t>I5 8500/</w:t>
            </w:r>
            <w:r>
              <w:rPr>
                <w:rFonts w:hint="eastAsia" w:ascii="宋体" w:hAnsi="宋体"/>
                <w:sz w:val="16"/>
                <w:szCs w:val="16"/>
              </w:rPr>
              <w:t>内存</w:t>
            </w:r>
            <w:r>
              <w:rPr>
                <w:rFonts w:ascii="宋体" w:hAnsi="宋体"/>
                <w:sz w:val="16"/>
                <w:szCs w:val="16"/>
              </w:rPr>
              <w:t>8G/128Gssd/1PCIEX16 *1/350W/5</w:t>
            </w:r>
            <w:r>
              <w:rPr>
                <w:rFonts w:hint="eastAsia" w:ascii="宋体" w:hAnsi="宋体"/>
                <w:sz w:val="16"/>
                <w:szCs w:val="16"/>
              </w:rPr>
              <w:t>网口</w:t>
            </w:r>
            <w:r>
              <w:rPr>
                <w:rFonts w:ascii="宋体" w:hAnsi="宋体"/>
                <w:sz w:val="16"/>
                <w:szCs w:val="16"/>
              </w:rPr>
              <w:t>/GPU GTX1650</w:t>
            </w:r>
            <w:r>
              <w:rPr>
                <w:rFonts w:hint="eastAsia" w:ascii="宋体" w:hAnsi="宋体"/>
                <w:sz w:val="16"/>
                <w:szCs w:val="16"/>
              </w:rPr>
              <w:t>，win</w:t>
            </w:r>
            <w:r>
              <w:rPr>
                <w:rFonts w:ascii="宋体" w:hAnsi="宋体"/>
                <w:sz w:val="16"/>
                <w:szCs w:val="16"/>
              </w:rPr>
              <w:t>10</w:t>
            </w:r>
            <w:r>
              <w:rPr>
                <w:rFonts w:hint="eastAsia" w:ascii="宋体" w:hAnsi="宋体"/>
                <w:sz w:val="16"/>
                <w:szCs w:val="16"/>
              </w:rPr>
              <w:t>操作系统。</w:t>
            </w:r>
            <w:r>
              <w:rPr>
                <w:rFonts w:ascii="宋体" w:hAnsi="宋体"/>
                <w:sz w:val="16"/>
                <w:szCs w:val="16"/>
              </w:rPr>
              <w:br w:type="textWrapping"/>
            </w:r>
            <w:r>
              <w:rPr>
                <w:rFonts w:ascii="宋体" w:hAnsi="宋体"/>
                <w:sz w:val="16"/>
                <w:szCs w:val="16"/>
              </w:rPr>
              <w:t>2.</w:t>
            </w:r>
            <w:r>
              <w:rPr>
                <w:rFonts w:hint="eastAsia" w:ascii="宋体" w:hAnsi="宋体"/>
                <w:sz w:val="16"/>
                <w:szCs w:val="16"/>
              </w:rPr>
              <w:t>光源控制器等。</w:t>
            </w:r>
          </w:p>
        </w:tc>
        <w:tc>
          <w:tcPr>
            <w:tcW w:w="2022" w:type="dxa"/>
            <w:vAlign w:val="center"/>
          </w:tcPr>
          <w:p w14:paraId="409DC635">
            <w:pPr>
              <w:snapToGrid w:val="0"/>
              <w:jc w:val="both"/>
              <w:rPr>
                <w:rFonts w:ascii="宋体" w:hAnsi="宋体" w:cstheme="minorEastAsia"/>
                <w:bCs/>
                <w:sz w:val="16"/>
                <w:szCs w:val="16"/>
              </w:rPr>
            </w:pPr>
          </w:p>
        </w:tc>
        <w:tc>
          <w:tcPr>
            <w:tcW w:w="0" w:type="auto"/>
            <w:vAlign w:val="center"/>
          </w:tcPr>
          <w:p w14:paraId="7FC9AF59">
            <w:pPr>
              <w:jc w:val="both"/>
              <w:textAlignment w:val="center"/>
              <w:rPr>
                <w:rFonts w:ascii="宋体" w:hAnsi="宋体" w:cstheme="minorEastAsia"/>
                <w:bCs/>
                <w:sz w:val="16"/>
                <w:szCs w:val="16"/>
              </w:rPr>
            </w:pPr>
          </w:p>
        </w:tc>
        <w:tc>
          <w:tcPr>
            <w:tcW w:w="0" w:type="auto"/>
            <w:vAlign w:val="center"/>
          </w:tcPr>
          <w:p w14:paraId="7758F033">
            <w:pPr>
              <w:jc w:val="both"/>
              <w:textAlignment w:val="center"/>
              <w:rPr>
                <w:rFonts w:ascii="宋体" w:hAnsi="宋体" w:cstheme="minorEastAsia"/>
                <w:bCs/>
                <w:sz w:val="16"/>
                <w:szCs w:val="16"/>
              </w:rPr>
            </w:pPr>
          </w:p>
        </w:tc>
        <w:tc>
          <w:tcPr>
            <w:tcW w:w="1016" w:type="dxa"/>
            <w:vAlign w:val="center"/>
          </w:tcPr>
          <w:p w14:paraId="2A03D2EF">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6FBFDEC8">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2ED29532">
            <w:pPr>
              <w:jc w:val="both"/>
              <w:textAlignment w:val="center"/>
              <w:rPr>
                <w:rFonts w:ascii="宋体" w:hAnsi="宋体" w:cstheme="minorEastAsia"/>
                <w:bCs/>
                <w:sz w:val="16"/>
                <w:szCs w:val="16"/>
                <w:highlight w:val="yellow"/>
              </w:rPr>
            </w:pPr>
          </w:p>
        </w:tc>
        <w:tc>
          <w:tcPr>
            <w:tcW w:w="0" w:type="auto"/>
            <w:vAlign w:val="center"/>
          </w:tcPr>
          <w:p w14:paraId="5FB2606D">
            <w:pPr>
              <w:jc w:val="both"/>
              <w:textAlignment w:val="center"/>
              <w:rPr>
                <w:rFonts w:ascii="宋体" w:hAnsi="宋体" w:cstheme="minorEastAsia"/>
                <w:bCs/>
                <w:sz w:val="16"/>
                <w:szCs w:val="16"/>
                <w:highlight w:val="yellow"/>
              </w:rPr>
            </w:pPr>
          </w:p>
        </w:tc>
        <w:tc>
          <w:tcPr>
            <w:tcW w:w="0" w:type="auto"/>
            <w:vAlign w:val="center"/>
          </w:tcPr>
          <w:p w14:paraId="592A1774">
            <w:pPr>
              <w:jc w:val="both"/>
              <w:textAlignment w:val="center"/>
              <w:rPr>
                <w:rFonts w:ascii="宋体" w:hAnsi="宋体" w:cstheme="minorEastAsia"/>
                <w:bCs/>
                <w:sz w:val="16"/>
                <w:szCs w:val="16"/>
                <w:highlight w:val="yellow"/>
              </w:rPr>
            </w:pPr>
          </w:p>
        </w:tc>
        <w:tc>
          <w:tcPr>
            <w:tcW w:w="0" w:type="auto"/>
            <w:shd w:val="clear" w:color="auto" w:fill="auto"/>
            <w:vAlign w:val="center"/>
          </w:tcPr>
          <w:p w14:paraId="3ED29F86">
            <w:pPr>
              <w:snapToGrid w:val="0"/>
              <w:jc w:val="both"/>
              <w:rPr>
                <w:rFonts w:ascii="宋体" w:hAnsi="宋体" w:cstheme="minorEastAsia"/>
                <w:bCs/>
                <w:sz w:val="16"/>
                <w:szCs w:val="16"/>
              </w:rPr>
            </w:pPr>
          </w:p>
        </w:tc>
      </w:tr>
      <w:tr w14:paraId="5F3A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CD6ED7E">
            <w:pPr>
              <w:snapToGrid w:val="0"/>
              <w:jc w:val="both"/>
              <w:rPr>
                <w:rFonts w:ascii="宋体" w:hAnsi="宋体" w:cstheme="minorEastAsia"/>
                <w:b/>
                <w:bCs/>
                <w:sz w:val="16"/>
                <w:szCs w:val="16"/>
              </w:rPr>
            </w:pPr>
            <w:r>
              <w:rPr>
                <w:rFonts w:hint="eastAsia" w:ascii="宋体" w:hAnsi="宋体" w:cstheme="minorEastAsia"/>
                <w:b/>
                <w:bCs/>
                <w:sz w:val="16"/>
                <w:szCs w:val="16"/>
              </w:rPr>
              <w:t>1.7</w:t>
            </w:r>
          </w:p>
        </w:tc>
        <w:tc>
          <w:tcPr>
            <w:tcW w:w="13138" w:type="dxa"/>
            <w:gridSpan w:val="11"/>
            <w:vAlign w:val="center"/>
          </w:tcPr>
          <w:p w14:paraId="4C61CE78">
            <w:pPr>
              <w:snapToGrid w:val="0"/>
              <w:jc w:val="both"/>
              <w:rPr>
                <w:rFonts w:ascii="宋体" w:hAnsi="宋体" w:cstheme="minorEastAsia"/>
                <w:b/>
                <w:bCs/>
                <w:sz w:val="16"/>
                <w:szCs w:val="16"/>
              </w:rPr>
            </w:pPr>
            <w:r>
              <w:rPr>
                <w:rFonts w:hint="eastAsia" w:ascii="宋体" w:hAnsi="宋体" w:cstheme="minorEastAsia"/>
                <w:b/>
                <w:bCs/>
                <w:sz w:val="16"/>
                <w:szCs w:val="16"/>
              </w:rPr>
              <w:t>软件功能</w:t>
            </w:r>
          </w:p>
        </w:tc>
      </w:tr>
      <w:tr w14:paraId="35D5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856" w:type="dxa"/>
            <w:vAlign w:val="center"/>
          </w:tcPr>
          <w:p w14:paraId="431AFD9E">
            <w:pPr>
              <w:snapToGrid w:val="0"/>
              <w:jc w:val="both"/>
              <w:rPr>
                <w:rFonts w:ascii="宋体" w:hAnsi="宋体" w:cstheme="minorEastAsia"/>
                <w:bCs/>
                <w:sz w:val="16"/>
                <w:szCs w:val="16"/>
              </w:rPr>
            </w:pPr>
            <w:r>
              <w:rPr>
                <w:rFonts w:hint="eastAsia" w:ascii="宋体" w:hAnsi="宋体" w:cstheme="minorEastAsia"/>
                <w:bCs/>
                <w:sz w:val="16"/>
                <w:szCs w:val="16"/>
              </w:rPr>
              <w:t>1.7.1</w:t>
            </w:r>
          </w:p>
        </w:tc>
        <w:tc>
          <w:tcPr>
            <w:tcW w:w="1484" w:type="dxa"/>
            <w:tcBorders>
              <w:top w:val="nil"/>
            </w:tcBorders>
            <w:vAlign w:val="center"/>
          </w:tcPr>
          <w:p w14:paraId="7D8076AE">
            <w:pPr>
              <w:snapToGrid w:val="0"/>
              <w:jc w:val="both"/>
              <w:rPr>
                <w:rFonts w:ascii="宋体" w:hAnsi="宋体" w:cs="宋体"/>
                <w:sz w:val="16"/>
                <w:szCs w:val="16"/>
              </w:rPr>
            </w:pPr>
            <w:r>
              <w:rPr>
                <w:rFonts w:hint="eastAsia" w:ascii="宋体" w:hAnsi="宋体"/>
                <w:sz w:val="16"/>
                <w:szCs w:val="16"/>
              </w:rPr>
              <w:t>烟草异物防控信息集成模块软件开发</w:t>
            </w:r>
          </w:p>
        </w:tc>
        <w:tc>
          <w:tcPr>
            <w:tcW w:w="4601" w:type="dxa"/>
            <w:vAlign w:val="center"/>
          </w:tcPr>
          <w:p w14:paraId="4455DAB6">
            <w:pPr>
              <w:snapToGrid w:val="0"/>
              <w:jc w:val="both"/>
              <w:rPr>
                <w:rFonts w:ascii="宋体" w:hAnsi="宋体" w:cs="宋体"/>
                <w:sz w:val="16"/>
                <w:szCs w:val="16"/>
              </w:rPr>
            </w:pPr>
            <w:r>
              <w:rPr>
                <w:rFonts w:hint="eastAsia" w:ascii="宋体" w:hAnsi="宋体"/>
                <w:sz w:val="16"/>
                <w:szCs w:val="16"/>
              </w:rPr>
              <w:t>定制开发软件、界面、功能、算法等</w:t>
            </w:r>
            <w:r>
              <w:rPr>
                <w:rFonts w:ascii="宋体" w:hAnsi="宋体"/>
                <w:sz w:val="16"/>
                <w:szCs w:val="16"/>
              </w:rPr>
              <w:br w:type="textWrapping"/>
            </w:r>
            <w:r>
              <w:rPr>
                <w:rFonts w:hint="eastAsia" w:ascii="宋体" w:hAnsi="宋体"/>
                <w:sz w:val="16"/>
                <w:szCs w:val="16"/>
              </w:rPr>
              <w:t>（</w:t>
            </w:r>
            <w:r>
              <w:rPr>
                <w:rFonts w:ascii="宋体" w:hAnsi="宋体"/>
                <w:sz w:val="16"/>
                <w:szCs w:val="16"/>
              </w:rPr>
              <w:t>1</w:t>
            </w:r>
            <w:r>
              <w:rPr>
                <w:rFonts w:hint="eastAsia" w:ascii="宋体" w:hAnsi="宋体"/>
                <w:sz w:val="16"/>
                <w:szCs w:val="16"/>
              </w:rPr>
              <w:t>）数据采集统计：含异常剔除图片，数量，批次信息归档等。</w:t>
            </w:r>
            <w:r>
              <w:rPr>
                <w:rFonts w:ascii="宋体" w:hAnsi="宋体"/>
                <w:sz w:val="16"/>
                <w:szCs w:val="16"/>
              </w:rPr>
              <w:br w:type="textWrapping"/>
            </w:r>
            <w:r>
              <w:rPr>
                <w:rFonts w:hint="eastAsia" w:ascii="宋体" w:hAnsi="宋体"/>
                <w:sz w:val="16"/>
                <w:szCs w:val="16"/>
              </w:rPr>
              <w:t>（</w:t>
            </w:r>
            <w:r>
              <w:rPr>
                <w:rFonts w:ascii="宋体" w:hAnsi="宋体"/>
                <w:sz w:val="16"/>
                <w:szCs w:val="16"/>
              </w:rPr>
              <w:t>2</w:t>
            </w:r>
            <w:r>
              <w:rPr>
                <w:rFonts w:hint="eastAsia" w:ascii="宋体" w:hAnsi="宋体"/>
                <w:sz w:val="16"/>
                <w:szCs w:val="16"/>
              </w:rPr>
              <w:t>）数据综合展示：异常预警，子系统工作状态监测。</w:t>
            </w:r>
          </w:p>
        </w:tc>
        <w:tc>
          <w:tcPr>
            <w:tcW w:w="2022" w:type="dxa"/>
            <w:vAlign w:val="center"/>
          </w:tcPr>
          <w:p w14:paraId="2CB4485E">
            <w:pPr>
              <w:snapToGrid w:val="0"/>
              <w:jc w:val="both"/>
              <w:rPr>
                <w:rFonts w:ascii="宋体" w:hAnsi="宋体" w:cstheme="minorEastAsia"/>
                <w:bCs/>
                <w:sz w:val="16"/>
                <w:szCs w:val="16"/>
              </w:rPr>
            </w:pPr>
          </w:p>
        </w:tc>
        <w:tc>
          <w:tcPr>
            <w:tcW w:w="0" w:type="auto"/>
            <w:vAlign w:val="center"/>
          </w:tcPr>
          <w:p w14:paraId="1B49063B">
            <w:pPr>
              <w:jc w:val="both"/>
              <w:textAlignment w:val="center"/>
              <w:rPr>
                <w:rFonts w:ascii="宋体" w:hAnsi="宋体" w:cstheme="minorEastAsia"/>
                <w:bCs/>
                <w:sz w:val="16"/>
                <w:szCs w:val="16"/>
              </w:rPr>
            </w:pPr>
          </w:p>
        </w:tc>
        <w:tc>
          <w:tcPr>
            <w:tcW w:w="0" w:type="auto"/>
            <w:vAlign w:val="center"/>
          </w:tcPr>
          <w:p w14:paraId="5B80D53B">
            <w:pPr>
              <w:jc w:val="both"/>
              <w:textAlignment w:val="center"/>
              <w:rPr>
                <w:rFonts w:ascii="宋体" w:hAnsi="宋体" w:cstheme="minorEastAsia"/>
                <w:bCs/>
                <w:sz w:val="16"/>
                <w:szCs w:val="16"/>
              </w:rPr>
            </w:pPr>
          </w:p>
        </w:tc>
        <w:tc>
          <w:tcPr>
            <w:tcW w:w="1016" w:type="dxa"/>
            <w:vAlign w:val="center"/>
          </w:tcPr>
          <w:p w14:paraId="7881236E">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0D391B7D">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62E04CDF">
            <w:pPr>
              <w:jc w:val="both"/>
              <w:textAlignment w:val="center"/>
              <w:rPr>
                <w:rFonts w:ascii="宋体" w:hAnsi="宋体" w:cstheme="minorEastAsia"/>
                <w:bCs/>
                <w:sz w:val="16"/>
                <w:szCs w:val="16"/>
                <w:highlight w:val="yellow"/>
              </w:rPr>
            </w:pPr>
          </w:p>
        </w:tc>
        <w:tc>
          <w:tcPr>
            <w:tcW w:w="0" w:type="auto"/>
            <w:vAlign w:val="center"/>
          </w:tcPr>
          <w:p w14:paraId="51F1E545">
            <w:pPr>
              <w:jc w:val="both"/>
              <w:textAlignment w:val="center"/>
              <w:rPr>
                <w:rFonts w:ascii="宋体" w:hAnsi="宋体" w:cstheme="minorEastAsia"/>
                <w:bCs/>
                <w:sz w:val="16"/>
                <w:szCs w:val="16"/>
                <w:highlight w:val="yellow"/>
              </w:rPr>
            </w:pPr>
          </w:p>
        </w:tc>
        <w:tc>
          <w:tcPr>
            <w:tcW w:w="0" w:type="auto"/>
            <w:vAlign w:val="center"/>
          </w:tcPr>
          <w:p w14:paraId="47F5753D">
            <w:pPr>
              <w:jc w:val="both"/>
              <w:textAlignment w:val="center"/>
              <w:rPr>
                <w:rFonts w:ascii="宋体" w:hAnsi="宋体" w:cstheme="minorEastAsia"/>
                <w:bCs/>
                <w:sz w:val="16"/>
                <w:szCs w:val="16"/>
                <w:highlight w:val="yellow"/>
              </w:rPr>
            </w:pPr>
          </w:p>
        </w:tc>
        <w:tc>
          <w:tcPr>
            <w:tcW w:w="0" w:type="auto"/>
            <w:shd w:val="clear" w:color="auto" w:fill="auto"/>
            <w:vAlign w:val="center"/>
          </w:tcPr>
          <w:p w14:paraId="2E9F7197">
            <w:pPr>
              <w:snapToGrid w:val="0"/>
              <w:jc w:val="both"/>
              <w:rPr>
                <w:rFonts w:ascii="宋体" w:hAnsi="宋体" w:cstheme="minorEastAsia"/>
                <w:bCs/>
                <w:sz w:val="16"/>
                <w:szCs w:val="16"/>
              </w:rPr>
            </w:pPr>
          </w:p>
        </w:tc>
      </w:tr>
      <w:tr w14:paraId="14BD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56" w:type="dxa"/>
            <w:vAlign w:val="center"/>
          </w:tcPr>
          <w:p w14:paraId="3926A24E">
            <w:pPr>
              <w:snapToGrid w:val="0"/>
              <w:jc w:val="both"/>
              <w:rPr>
                <w:rFonts w:ascii="宋体" w:hAnsi="宋体" w:cstheme="minorEastAsia"/>
                <w:bCs/>
                <w:sz w:val="16"/>
                <w:szCs w:val="16"/>
              </w:rPr>
            </w:pPr>
            <w:r>
              <w:rPr>
                <w:rFonts w:hint="eastAsia" w:ascii="宋体" w:hAnsi="宋体" w:cstheme="minorEastAsia"/>
                <w:bCs/>
                <w:sz w:val="16"/>
                <w:szCs w:val="16"/>
              </w:rPr>
              <w:t>1.7.2</w:t>
            </w:r>
          </w:p>
        </w:tc>
        <w:tc>
          <w:tcPr>
            <w:tcW w:w="1484" w:type="dxa"/>
            <w:tcBorders>
              <w:top w:val="nil"/>
            </w:tcBorders>
            <w:vAlign w:val="center"/>
          </w:tcPr>
          <w:p w14:paraId="1A2D66A6">
            <w:pPr>
              <w:snapToGrid w:val="0"/>
              <w:jc w:val="both"/>
              <w:rPr>
                <w:rFonts w:ascii="宋体" w:hAnsi="宋体" w:cs="宋体"/>
                <w:sz w:val="16"/>
                <w:szCs w:val="16"/>
              </w:rPr>
            </w:pPr>
            <w:r>
              <w:rPr>
                <w:rFonts w:hint="eastAsia" w:ascii="宋体" w:hAnsi="宋体"/>
                <w:sz w:val="16"/>
                <w:szCs w:val="16"/>
              </w:rPr>
              <w:t>大异物检测软件开发</w:t>
            </w:r>
          </w:p>
        </w:tc>
        <w:tc>
          <w:tcPr>
            <w:tcW w:w="4601" w:type="dxa"/>
            <w:vAlign w:val="center"/>
          </w:tcPr>
          <w:p w14:paraId="5AC7BFC0">
            <w:pPr>
              <w:snapToGrid w:val="0"/>
              <w:jc w:val="both"/>
              <w:rPr>
                <w:rFonts w:ascii="宋体" w:hAnsi="宋体" w:cs="宋体"/>
                <w:sz w:val="16"/>
                <w:szCs w:val="16"/>
              </w:rPr>
            </w:pPr>
            <w:r>
              <w:rPr>
                <w:rFonts w:hint="eastAsia" w:ascii="宋体" w:hAnsi="宋体"/>
                <w:sz w:val="16"/>
                <w:szCs w:val="16"/>
              </w:rPr>
              <w:t>定制烟丝大异物检测软件算法</w:t>
            </w:r>
            <w:r>
              <w:rPr>
                <w:rFonts w:ascii="宋体" w:hAnsi="宋体"/>
                <w:sz w:val="16"/>
                <w:szCs w:val="16"/>
              </w:rPr>
              <w:br w:type="textWrapping"/>
            </w:r>
            <w:r>
              <w:rPr>
                <w:rFonts w:hint="eastAsia" w:ascii="宋体" w:hAnsi="宋体"/>
                <w:sz w:val="16"/>
                <w:szCs w:val="16"/>
              </w:rPr>
              <w:t>杂物样本数据集清洗、标注</w:t>
            </w:r>
            <w:r>
              <w:rPr>
                <w:rFonts w:ascii="宋体" w:hAnsi="宋体"/>
                <w:sz w:val="16"/>
                <w:szCs w:val="16"/>
              </w:rPr>
              <w:br w:type="textWrapping"/>
            </w:r>
            <w:r>
              <w:rPr>
                <w:rFonts w:hint="eastAsia" w:ascii="宋体" w:hAnsi="宋体"/>
                <w:sz w:val="16"/>
                <w:szCs w:val="16"/>
              </w:rPr>
              <w:t>模型训练</w:t>
            </w:r>
            <w:r>
              <w:rPr>
                <w:rFonts w:ascii="宋体" w:hAnsi="宋体"/>
                <w:sz w:val="16"/>
                <w:szCs w:val="16"/>
              </w:rPr>
              <w:br w:type="textWrapping"/>
            </w:r>
            <w:r>
              <w:rPr>
                <w:rFonts w:hint="eastAsia" w:ascii="宋体" w:hAnsi="宋体"/>
                <w:sz w:val="16"/>
                <w:szCs w:val="16"/>
              </w:rPr>
              <w:t>上线测试</w:t>
            </w:r>
          </w:p>
        </w:tc>
        <w:tc>
          <w:tcPr>
            <w:tcW w:w="2022" w:type="dxa"/>
            <w:vAlign w:val="center"/>
          </w:tcPr>
          <w:p w14:paraId="3C141399">
            <w:pPr>
              <w:snapToGrid w:val="0"/>
              <w:jc w:val="both"/>
              <w:rPr>
                <w:rFonts w:ascii="宋体" w:hAnsi="宋体" w:cstheme="minorEastAsia"/>
                <w:bCs/>
                <w:sz w:val="16"/>
                <w:szCs w:val="16"/>
              </w:rPr>
            </w:pPr>
          </w:p>
        </w:tc>
        <w:tc>
          <w:tcPr>
            <w:tcW w:w="0" w:type="auto"/>
            <w:vAlign w:val="center"/>
          </w:tcPr>
          <w:p w14:paraId="6940AF2B">
            <w:pPr>
              <w:jc w:val="both"/>
              <w:textAlignment w:val="center"/>
              <w:rPr>
                <w:rFonts w:ascii="宋体" w:hAnsi="宋体" w:cstheme="minorEastAsia"/>
                <w:bCs/>
                <w:sz w:val="16"/>
                <w:szCs w:val="16"/>
              </w:rPr>
            </w:pPr>
          </w:p>
        </w:tc>
        <w:tc>
          <w:tcPr>
            <w:tcW w:w="0" w:type="auto"/>
            <w:vAlign w:val="center"/>
          </w:tcPr>
          <w:p w14:paraId="718CF59C">
            <w:pPr>
              <w:jc w:val="both"/>
              <w:textAlignment w:val="center"/>
              <w:rPr>
                <w:rFonts w:ascii="宋体" w:hAnsi="宋体" w:cstheme="minorEastAsia"/>
                <w:bCs/>
                <w:sz w:val="16"/>
                <w:szCs w:val="16"/>
              </w:rPr>
            </w:pPr>
          </w:p>
        </w:tc>
        <w:tc>
          <w:tcPr>
            <w:tcW w:w="1016" w:type="dxa"/>
            <w:vAlign w:val="center"/>
          </w:tcPr>
          <w:p w14:paraId="47B75E94">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60B425CF">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7A1B726D">
            <w:pPr>
              <w:jc w:val="both"/>
              <w:textAlignment w:val="center"/>
              <w:rPr>
                <w:rFonts w:ascii="宋体" w:hAnsi="宋体" w:cstheme="minorEastAsia"/>
                <w:bCs/>
                <w:sz w:val="16"/>
                <w:szCs w:val="16"/>
                <w:highlight w:val="yellow"/>
              </w:rPr>
            </w:pPr>
          </w:p>
        </w:tc>
        <w:tc>
          <w:tcPr>
            <w:tcW w:w="0" w:type="auto"/>
            <w:vAlign w:val="center"/>
          </w:tcPr>
          <w:p w14:paraId="0A01C5F3">
            <w:pPr>
              <w:jc w:val="both"/>
              <w:textAlignment w:val="center"/>
              <w:rPr>
                <w:rFonts w:ascii="宋体" w:hAnsi="宋体" w:cstheme="minorEastAsia"/>
                <w:bCs/>
                <w:sz w:val="16"/>
                <w:szCs w:val="16"/>
                <w:highlight w:val="yellow"/>
              </w:rPr>
            </w:pPr>
          </w:p>
        </w:tc>
        <w:tc>
          <w:tcPr>
            <w:tcW w:w="0" w:type="auto"/>
            <w:vAlign w:val="center"/>
          </w:tcPr>
          <w:p w14:paraId="0113A29E">
            <w:pPr>
              <w:jc w:val="both"/>
              <w:textAlignment w:val="center"/>
              <w:rPr>
                <w:rFonts w:ascii="宋体" w:hAnsi="宋体" w:cstheme="minorEastAsia"/>
                <w:bCs/>
                <w:sz w:val="16"/>
                <w:szCs w:val="16"/>
                <w:highlight w:val="yellow"/>
              </w:rPr>
            </w:pPr>
          </w:p>
        </w:tc>
        <w:tc>
          <w:tcPr>
            <w:tcW w:w="0" w:type="auto"/>
            <w:shd w:val="clear" w:color="auto" w:fill="auto"/>
            <w:vAlign w:val="center"/>
          </w:tcPr>
          <w:p w14:paraId="695248BC">
            <w:pPr>
              <w:snapToGrid w:val="0"/>
              <w:jc w:val="both"/>
              <w:rPr>
                <w:rFonts w:ascii="宋体" w:hAnsi="宋体" w:cstheme="minorEastAsia"/>
                <w:bCs/>
                <w:sz w:val="16"/>
                <w:szCs w:val="16"/>
              </w:rPr>
            </w:pPr>
          </w:p>
        </w:tc>
      </w:tr>
      <w:tr w14:paraId="276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56" w:type="dxa"/>
            <w:vAlign w:val="center"/>
          </w:tcPr>
          <w:p w14:paraId="0D4523B4">
            <w:pPr>
              <w:snapToGrid w:val="0"/>
              <w:jc w:val="both"/>
              <w:rPr>
                <w:rFonts w:ascii="宋体" w:hAnsi="宋体" w:cstheme="minorEastAsia"/>
                <w:bCs/>
                <w:sz w:val="16"/>
                <w:szCs w:val="16"/>
              </w:rPr>
            </w:pPr>
            <w:r>
              <w:rPr>
                <w:rFonts w:hint="eastAsia" w:ascii="宋体" w:hAnsi="宋体" w:cstheme="minorEastAsia"/>
                <w:bCs/>
                <w:sz w:val="16"/>
                <w:szCs w:val="16"/>
              </w:rPr>
              <w:t>1.7.3</w:t>
            </w:r>
          </w:p>
        </w:tc>
        <w:tc>
          <w:tcPr>
            <w:tcW w:w="1484" w:type="dxa"/>
            <w:tcBorders>
              <w:top w:val="nil"/>
            </w:tcBorders>
            <w:vAlign w:val="center"/>
          </w:tcPr>
          <w:p w14:paraId="30776C1C">
            <w:pPr>
              <w:snapToGrid w:val="0"/>
              <w:jc w:val="both"/>
              <w:rPr>
                <w:rFonts w:ascii="宋体" w:hAnsi="宋体" w:cs="宋体"/>
                <w:sz w:val="16"/>
                <w:szCs w:val="16"/>
              </w:rPr>
            </w:pPr>
            <w:r>
              <w:rPr>
                <w:rFonts w:hint="eastAsia" w:ascii="宋体" w:hAnsi="宋体"/>
                <w:sz w:val="16"/>
                <w:szCs w:val="16"/>
              </w:rPr>
              <w:t>霉虫烟检测软件开发</w:t>
            </w:r>
          </w:p>
        </w:tc>
        <w:tc>
          <w:tcPr>
            <w:tcW w:w="4601" w:type="dxa"/>
            <w:vAlign w:val="center"/>
          </w:tcPr>
          <w:p w14:paraId="707B3F18">
            <w:pPr>
              <w:snapToGrid w:val="0"/>
              <w:jc w:val="both"/>
              <w:rPr>
                <w:rFonts w:ascii="宋体" w:hAnsi="宋体" w:cs="宋体"/>
                <w:sz w:val="16"/>
                <w:szCs w:val="16"/>
              </w:rPr>
            </w:pPr>
            <w:r>
              <w:rPr>
                <w:rFonts w:hint="eastAsia" w:ascii="宋体" w:hAnsi="宋体"/>
                <w:sz w:val="16"/>
                <w:szCs w:val="16"/>
              </w:rPr>
              <w:t>定制霉虫烟检测软件算法。</w:t>
            </w:r>
            <w:r>
              <w:rPr>
                <w:rFonts w:ascii="宋体" w:hAnsi="宋体"/>
                <w:sz w:val="16"/>
                <w:szCs w:val="16"/>
              </w:rPr>
              <w:br w:type="textWrapping"/>
            </w:r>
            <w:r>
              <w:rPr>
                <w:rFonts w:hint="eastAsia" w:ascii="宋体" w:hAnsi="宋体"/>
                <w:sz w:val="16"/>
                <w:szCs w:val="16"/>
              </w:rPr>
              <w:t>杂物样本数据集清洗、标注</w:t>
            </w:r>
            <w:r>
              <w:rPr>
                <w:rFonts w:ascii="宋体" w:hAnsi="宋体"/>
                <w:sz w:val="16"/>
                <w:szCs w:val="16"/>
              </w:rPr>
              <w:br w:type="textWrapping"/>
            </w:r>
            <w:r>
              <w:rPr>
                <w:rFonts w:hint="eastAsia" w:ascii="宋体" w:hAnsi="宋体"/>
                <w:sz w:val="16"/>
                <w:szCs w:val="16"/>
              </w:rPr>
              <w:t>模型训练、优化</w:t>
            </w:r>
            <w:r>
              <w:rPr>
                <w:rFonts w:ascii="宋体" w:hAnsi="宋体"/>
                <w:sz w:val="16"/>
                <w:szCs w:val="16"/>
              </w:rPr>
              <w:br w:type="textWrapping"/>
            </w:r>
            <w:r>
              <w:rPr>
                <w:rFonts w:hint="eastAsia" w:ascii="宋体" w:hAnsi="宋体"/>
                <w:sz w:val="16"/>
                <w:szCs w:val="16"/>
              </w:rPr>
              <w:t>上线测试</w:t>
            </w:r>
          </w:p>
        </w:tc>
        <w:tc>
          <w:tcPr>
            <w:tcW w:w="2022" w:type="dxa"/>
            <w:vAlign w:val="center"/>
          </w:tcPr>
          <w:p w14:paraId="43305C27">
            <w:pPr>
              <w:snapToGrid w:val="0"/>
              <w:jc w:val="both"/>
              <w:rPr>
                <w:rFonts w:ascii="宋体" w:hAnsi="宋体" w:cstheme="minorEastAsia"/>
                <w:bCs/>
                <w:sz w:val="16"/>
                <w:szCs w:val="16"/>
              </w:rPr>
            </w:pPr>
          </w:p>
        </w:tc>
        <w:tc>
          <w:tcPr>
            <w:tcW w:w="0" w:type="auto"/>
            <w:vAlign w:val="center"/>
          </w:tcPr>
          <w:p w14:paraId="314C1551">
            <w:pPr>
              <w:jc w:val="both"/>
              <w:textAlignment w:val="center"/>
              <w:rPr>
                <w:rFonts w:ascii="宋体" w:hAnsi="宋体" w:cstheme="minorEastAsia"/>
                <w:bCs/>
                <w:sz w:val="16"/>
                <w:szCs w:val="16"/>
              </w:rPr>
            </w:pPr>
          </w:p>
        </w:tc>
        <w:tc>
          <w:tcPr>
            <w:tcW w:w="0" w:type="auto"/>
            <w:vAlign w:val="center"/>
          </w:tcPr>
          <w:p w14:paraId="4EDA9366">
            <w:pPr>
              <w:jc w:val="both"/>
              <w:textAlignment w:val="center"/>
              <w:rPr>
                <w:rFonts w:ascii="宋体" w:hAnsi="宋体" w:cstheme="minorEastAsia"/>
                <w:bCs/>
                <w:sz w:val="16"/>
                <w:szCs w:val="16"/>
              </w:rPr>
            </w:pPr>
          </w:p>
        </w:tc>
        <w:tc>
          <w:tcPr>
            <w:tcW w:w="1016" w:type="dxa"/>
            <w:vAlign w:val="center"/>
          </w:tcPr>
          <w:p w14:paraId="32559B21">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192D0A1F">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6FEA0586">
            <w:pPr>
              <w:jc w:val="both"/>
              <w:textAlignment w:val="center"/>
              <w:rPr>
                <w:rFonts w:ascii="宋体" w:hAnsi="宋体" w:cstheme="minorEastAsia"/>
                <w:bCs/>
                <w:sz w:val="16"/>
                <w:szCs w:val="16"/>
                <w:highlight w:val="yellow"/>
              </w:rPr>
            </w:pPr>
          </w:p>
        </w:tc>
        <w:tc>
          <w:tcPr>
            <w:tcW w:w="0" w:type="auto"/>
            <w:vAlign w:val="center"/>
          </w:tcPr>
          <w:p w14:paraId="7FE2E3B5">
            <w:pPr>
              <w:jc w:val="both"/>
              <w:textAlignment w:val="center"/>
              <w:rPr>
                <w:rFonts w:ascii="宋体" w:hAnsi="宋体" w:cstheme="minorEastAsia"/>
                <w:bCs/>
                <w:sz w:val="16"/>
                <w:szCs w:val="16"/>
                <w:highlight w:val="yellow"/>
              </w:rPr>
            </w:pPr>
          </w:p>
        </w:tc>
        <w:tc>
          <w:tcPr>
            <w:tcW w:w="0" w:type="auto"/>
            <w:vAlign w:val="center"/>
          </w:tcPr>
          <w:p w14:paraId="3E4684AD">
            <w:pPr>
              <w:jc w:val="both"/>
              <w:textAlignment w:val="center"/>
              <w:rPr>
                <w:rFonts w:ascii="宋体" w:hAnsi="宋体" w:cstheme="minorEastAsia"/>
                <w:bCs/>
                <w:sz w:val="16"/>
                <w:szCs w:val="16"/>
                <w:highlight w:val="yellow"/>
              </w:rPr>
            </w:pPr>
          </w:p>
        </w:tc>
        <w:tc>
          <w:tcPr>
            <w:tcW w:w="0" w:type="auto"/>
            <w:shd w:val="clear" w:color="auto" w:fill="auto"/>
            <w:vAlign w:val="center"/>
          </w:tcPr>
          <w:p w14:paraId="325CA64F">
            <w:pPr>
              <w:snapToGrid w:val="0"/>
              <w:jc w:val="both"/>
              <w:rPr>
                <w:rFonts w:ascii="宋体" w:hAnsi="宋体" w:cstheme="minorEastAsia"/>
                <w:bCs/>
                <w:sz w:val="16"/>
                <w:szCs w:val="16"/>
              </w:rPr>
            </w:pPr>
          </w:p>
        </w:tc>
      </w:tr>
      <w:tr w14:paraId="216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1D129E2">
            <w:pPr>
              <w:snapToGrid w:val="0"/>
              <w:jc w:val="both"/>
              <w:rPr>
                <w:rFonts w:ascii="宋体" w:hAnsi="宋体" w:cstheme="minorEastAsia"/>
                <w:bCs/>
                <w:sz w:val="16"/>
                <w:szCs w:val="16"/>
              </w:rPr>
            </w:pPr>
            <w:r>
              <w:rPr>
                <w:rFonts w:hint="eastAsia" w:ascii="宋体" w:hAnsi="宋体" w:cstheme="minorEastAsia"/>
                <w:bCs/>
                <w:sz w:val="16"/>
                <w:szCs w:val="16"/>
              </w:rPr>
              <w:t>1.7.4</w:t>
            </w:r>
          </w:p>
        </w:tc>
        <w:tc>
          <w:tcPr>
            <w:tcW w:w="1484" w:type="dxa"/>
            <w:tcBorders>
              <w:top w:val="single" w:color="auto" w:sz="4" w:space="0"/>
            </w:tcBorders>
            <w:vAlign w:val="center"/>
          </w:tcPr>
          <w:p w14:paraId="3040B405">
            <w:pPr>
              <w:snapToGrid w:val="0"/>
              <w:jc w:val="both"/>
              <w:rPr>
                <w:rFonts w:ascii="宋体" w:hAnsi="宋体" w:cs="宋体"/>
                <w:sz w:val="16"/>
                <w:szCs w:val="16"/>
              </w:rPr>
            </w:pPr>
            <w:r>
              <w:rPr>
                <w:rFonts w:hint="eastAsia" w:ascii="宋体" w:hAnsi="宋体"/>
                <w:sz w:val="16"/>
                <w:szCs w:val="16"/>
              </w:rPr>
              <w:t>烟丝填充值软件开发</w:t>
            </w:r>
          </w:p>
        </w:tc>
        <w:tc>
          <w:tcPr>
            <w:tcW w:w="4601" w:type="dxa"/>
            <w:vAlign w:val="center"/>
          </w:tcPr>
          <w:p w14:paraId="3D46F364">
            <w:pPr>
              <w:snapToGrid w:val="0"/>
              <w:jc w:val="both"/>
              <w:rPr>
                <w:rFonts w:ascii="宋体" w:hAnsi="宋体" w:cs="宋体"/>
                <w:sz w:val="16"/>
                <w:szCs w:val="16"/>
              </w:rPr>
            </w:pPr>
            <w:r>
              <w:rPr>
                <w:rFonts w:hint="eastAsia" w:ascii="宋体" w:hAnsi="宋体"/>
                <w:sz w:val="16"/>
                <w:szCs w:val="16"/>
              </w:rPr>
              <w:t>定制烟丝填充值软件算法</w:t>
            </w:r>
            <w:r>
              <w:rPr>
                <w:rFonts w:ascii="宋体" w:hAnsi="宋体"/>
                <w:sz w:val="16"/>
                <w:szCs w:val="16"/>
              </w:rPr>
              <w:br w:type="textWrapping"/>
            </w:r>
            <w:r>
              <w:rPr>
                <w:rFonts w:hint="eastAsia" w:ascii="宋体" w:hAnsi="宋体"/>
                <w:sz w:val="16"/>
                <w:szCs w:val="16"/>
              </w:rPr>
              <w:t>数据对接</w:t>
            </w:r>
            <w:r>
              <w:rPr>
                <w:rFonts w:ascii="宋体" w:hAnsi="宋体"/>
                <w:sz w:val="16"/>
                <w:szCs w:val="16"/>
              </w:rPr>
              <w:br w:type="textWrapping"/>
            </w:r>
            <w:r>
              <w:rPr>
                <w:rFonts w:hint="eastAsia" w:ascii="宋体" w:hAnsi="宋体"/>
                <w:sz w:val="16"/>
                <w:szCs w:val="16"/>
              </w:rPr>
              <w:t>算法迭代优化</w:t>
            </w:r>
            <w:r>
              <w:rPr>
                <w:rFonts w:ascii="宋体" w:hAnsi="宋体"/>
                <w:sz w:val="16"/>
                <w:szCs w:val="16"/>
              </w:rPr>
              <w:br w:type="textWrapping"/>
            </w:r>
            <w:r>
              <w:rPr>
                <w:rFonts w:hint="eastAsia" w:ascii="宋体" w:hAnsi="宋体"/>
                <w:sz w:val="16"/>
                <w:szCs w:val="16"/>
              </w:rPr>
              <w:t>软件调试</w:t>
            </w:r>
          </w:p>
        </w:tc>
        <w:tc>
          <w:tcPr>
            <w:tcW w:w="2022" w:type="dxa"/>
            <w:vAlign w:val="center"/>
          </w:tcPr>
          <w:p w14:paraId="65F4196B">
            <w:pPr>
              <w:snapToGrid w:val="0"/>
              <w:jc w:val="both"/>
              <w:rPr>
                <w:rFonts w:ascii="宋体" w:hAnsi="宋体" w:cstheme="minorEastAsia"/>
                <w:bCs/>
                <w:sz w:val="16"/>
                <w:szCs w:val="16"/>
              </w:rPr>
            </w:pPr>
          </w:p>
        </w:tc>
        <w:tc>
          <w:tcPr>
            <w:tcW w:w="0" w:type="auto"/>
            <w:vAlign w:val="center"/>
          </w:tcPr>
          <w:p w14:paraId="608012C2">
            <w:pPr>
              <w:jc w:val="both"/>
              <w:textAlignment w:val="center"/>
              <w:rPr>
                <w:rFonts w:ascii="宋体" w:hAnsi="宋体" w:cstheme="minorEastAsia"/>
                <w:bCs/>
                <w:sz w:val="16"/>
                <w:szCs w:val="16"/>
              </w:rPr>
            </w:pPr>
          </w:p>
        </w:tc>
        <w:tc>
          <w:tcPr>
            <w:tcW w:w="0" w:type="auto"/>
            <w:vAlign w:val="center"/>
          </w:tcPr>
          <w:p w14:paraId="2C5C841B">
            <w:pPr>
              <w:jc w:val="both"/>
              <w:textAlignment w:val="center"/>
              <w:rPr>
                <w:rFonts w:ascii="宋体" w:hAnsi="宋体" w:cstheme="minorEastAsia"/>
                <w:bCs/>
                <w:sz w:val="16"/>
                <w:szCs w:val="16"/>
              </w:rPr>
            </w:pPr>
          </w:p>
        </w:tc>
        <w:tc>
          <w:tcPr>
            <w:tcW w:w="1016" w:type="dxa"/>
            <w:vAlign w:val="center"/>
          </w:tcPr>
          <w:p w14:paraId="7444BB4C">
            <w:pPr>
              <w:jc w:val="both"/>
              <w:textAlignment w:val="center"/>
              <w:rPr>
                <w:rFonts w:ascii="宋体" w:hAnsi="宋体" w:cstheme="minorEastAsia"/>
                <w:bCs/>
                <w:sz w:val="16"/>
                <w:szCs w:val="16"/>
              </w:rPr>
            </w:pPr>
            <w:r>
              <w:rPr>
                <w:rFonts w:hint="eastAsia" w:ascii="宋体" w:hAnsi="宋体"/>
                <w:sz w:val="16"/>
                <w:szCs w:val="16"/>
              </w:rPr>
              <w:t>套</w:t>
            </w:r>
          </w:p>
        </w:tc>
        <w:tc>
          <w:tcPr>
            <w:tcW w:w="609" w:type="dxa"/>
            <w:vAlign w:val="center"/>
          </w:tcPr>
          <w:p w14:paraId="0BD25B5B">
            <w:pPr>
              <w:jc w:val="both"/>
              <w:textAlignment w:val="center"/>
              <w:rPr>
                <w:rFonts w:ascii="宋体" w:hAnsi="宋体" w:cstheme="minorEastAsia"/>
                <w:bCs/>
                <w:sz w:val="16"/>
                <w:szCs w:val="16"/>
              </w:rPr>
            </w:pPr>
            <w:r>
              <w:rPr>
                <w:rFonts w:ascii="宋体" w:hAnsi="宋体"/>
                <w:sz w:val="16"/>
                <w:szCs w:val="16"/>
              </w:rPr>
              <w:t>1</w:t>
            </w:r>
          </w:p>
        </w:tc>
        <w:tc>
          <w:tcPr>
            <w:tcW w:w="0" w:type="auto"/>
            <w:vAlign w:val="center"/>
          </w:tcPr>
          <w:p w14:paraId="20077892">
            <w:pPr>
              <w:jc w:val="both"/>
              <w:textAlignment w:val="center"/>
              <w:rPr>
                <w:rFonts w:ascii="宋体" w:hAnsi="宋体" w:cstheme="minorEastAsia"/>
                <w:bCs/>
                <w:sz w:val="16"/>
                <w:szCs w:val="16"/>
                <w:highlight w:val="yellow"/>
              </w:rPr>
            </w:pPr>
          </w:p>
        </w:tc>
        <w:tc>
          <w:tcPr>
            <w:tcW w:w="0" w:type="auto"/>
            <w:vAlign w:val="center"/>
          </w:tcPr>
          <w:p w14:paraId="59A92997">
            <w:pPr>
              <w:jc w:val="both"/>
              <w:textAlignment w:val="center"/>
              <w:rPr>
                <w:rFonts w:ascii="宋体" w:hAnsi="宋体" w:cstheme="minorEastAsia"/>
                <w:bCs/>
                <w:sz w:val="16"/>
                <w:szCs w:val="16"/>
                <w:highlight w:val="yellow"/>
              </w:rPr>
            </w:pPr>
          </w:p>
        </w:tc>
        <w:tc>
          <w:tcPr>
            <w:tcW w:w="0" w:type="auto"/>
            <w:vAlign w:val="center"/>
          </w:tcPr>
          <w:p w14:paraId="49AD7AAB">
            <w:pPr>
              <w:jc w:val="both"/>
              <w:textAlignment w:val="center"/>
              <w:rPr>
                <w:rFonts w:ascii="宋体" w:hAnsi="宋体" w:cstheme="minorEastAsia"/>
                <w:bCs/>
                <w:sz w:val="16"/>
                <w:szCs w:val="16"/>
                <w:highlight w:val="yellow"/>
              </w:rPr>
            </w:pPr>
          </w:p>
        </w:tc>
        <w:tc>
          <w:tcPr>
            <w:tcW w:w="0" w:type="auto"/>
            <w:shd w:val="clear" w:color="auto" w:fill="auto"/>
            <w:vAlign w:val="center"/>
          </w:tcPr>
          <w:p w14:paraId="1F47D2C8">
            <w:pPr>
              <w:snapToGrid w:val="0"/>
              <w:jc w:val="both"/>
              <w:rPr>
                <w:rFonts w:ascii="宋体" w:hAnsi="宋体" w:cstheme="minorEastAsia"/>
                <w:bCs/>
                <w:sz w:val="16"/>
                <w:szCs w:val="16"/>
              </w:rPr>
            </w:pPr>
          </w:p>
        </w:tc>
      </w:tr>
      <w:tr w14:paraId="6984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6DE98BE">
            <w:pPr>
              <w:snapToGrid w:val="0"/>
              <w:jc w:val="both"/>
              <w:rPr>
                <w:rFonts w:ascii="宋体" w:hAnsi="宋体" w:cstheme="minorEastAsia"/>
                <w:bCs/>
                <w:sz w:val="16"/>
                <w:szCs w:val="16"/>
              </w:rPr>
            </w:pPr>
            <w:r>
              <w:rPr>
                <w:rFonts w:hint="eastAsia" w:ascii="宋体" w:hAnsi="宋体" w:cstheme="minorEastAsia"/>
                <w:bCs/>
                <w:sz w:val="16"/>
                <w:szCs w:val="16"/>
              </w:rPr>
              <w:t>1.7.5</w:t>
            </w:r>
          </w:p>
        </w:tc>
        <w:tc>
          <w:tcPr>
            <w:tcW w:w="1484" w:type="dxa"/>
            <w:tcBorders>
              <w:top w:val="single" w:color="auto" w:sz="4" w:space="0"/>
            </w:tcBorders>
            <w:vAlign w:val="center"/>
          </w:tcPr>
          <w:p w14:paraId="24965E22">
            <w:pPr>
              <w:snapToGrid w:val="0"/>
              <w:jc w:val="both"/>
              <w:rPr>
                <w:rFonts w:ascii="宋体" w:hAnsi="宋体"/>
                <w:sz w:val="16"/>
                <w:szCs w:val="16"/>
              </w:rPr>
            </w:pPr>
            <w:r>
              <w:rPr>
                <w:rFonts w:hint="eastAsia" w:ascii="宋体" w:hAnsi="宋体"/>
                <w:sz w:val="16"/>
                <w:szCs w:val="16"/>
              </w:rPr>
              <w:t>烟丝流量软件开发</w:t>
            </w:r>
          </w:p>
        </w:tc>
        <w:tc>
          <w:tcPr>
            <w:tcW w:w="4601" w:type="dxa"/>
            <w:vAlign w:val="center"/>
          </w:tcPr>
          <w:p w14:paraId="37A5FF2A">
            <w:pPr>
              <w:snapToGrid w:val="0"/>
              <w:jc w:val="both"/>
              <w:rPr>
                <w:rFonts w:ascii="宋体" w:hAnsi="宋体"/>
                <w:sz w:val="16"/>
                <w:szCs w:val="16"/>
              </w:rPr>
            </w:pPr>
            <w:r>
              <w:rPr>
                <w:rFonts w:hint="eastAsia" w:ascii="宋体" w:hAnsi="宋体"/>
                <w:sz w:val="16"/>
                <w:szCs w:val="16"/>
              </w:rPr>
              <w:t>定制烟丝流量检测软件算法</w:t>
            </w:r>
            <w:r>
              <w:rPr>
                <w:rFonts w:ascii="宋体" w:hAnsi="宋体"/>
                <w:sz w:val="16"/>
                <w:szCs w:val="16"/>
              </w:rPr>
              <w:t xml:space="preserve"> </w:t>
            </w:r>
            <w:r>
              <w:rPr>
                <w:rFonts w:ascii="宋体" w:hAnsi="宋体"/>
                <w:sz w:val="16"/>
                <w:szCs w:val="16"/>
              </w:rPr>
              <w:br w:type="textWrapping"/>
            </w:r>
            <w:r>
              <w:rPr>
                <w:rFonts w:hint="eastAsia" w:ascii="宋体" w:hAnsi="宋体"/>
                <w:sz w:val="16"/>
                <w:szCs w:val="16"/>
              </w:rPr>
              <w:t>数据对接</w:t>
            </w:r>
            <w:r>
              <w:rPr>
                <w:rFonts w:ascii="宋体" w:hAnsi="宋体"/>
                <w:sz w:val="16"/>
                <w:szCs w:val="16"/>
              </w:rPr>
              <w:br w:type="textWrapping"/>
            </w:r>
            <w:r>
              <w:rPr>
                <w:rFonts w:hint="eastAsia" w:ascii="宋体" w:hAnsi="宋体"/>
                <w:sz w:val="16"/>
                <w:szCs w:val="16"/>
              </w:rPr>
              <w:t>算法迭代优化</w:t>
            </w:r>
            <w:r>
              <w:rPr>
                <w:rFonts w:ascii="宋体" w:hAnsi="宋体"/>
                <w:sz w:val="16"/>
                <w:szCs w:val="16"/>
              </w:rPr>
              <w:br w:type="textWrapping"/>
            </w:r>
            <w:r>
              <w:rPr>
                <w:rFonts w:hint="eastAsia" w:ascii="宋体" w:hAnsi="宋体"/>
                <w:sz w:val="16"/>
                <w:szCs w:val="16"/>
              </w:rPr>
              <w:t>软件算法调试</w:t>
            </w:r>
          </w:p>
        </w:tc>
        <w:tc>
          <w:tcPr>
            <w:tcW w:w="2022" w:type="dxa"/>
            <w:vAlign w:val="center"/>
          </w:tcPr>
          <w:p w14:paraId="763ACCAA">
            <w:pPr>
              <w:snapToGrid w:val="0"/>
              <w:jc w:val="both"/>
              <w:rPr>
                <w:rFonts w:ascii="宋体" w:hAnsi="宋体" w:cstheme="minorEastAsia"/>
                <w:bCs/>
                <w:sz w:val="16"/>
                <w:szCs w:val="16"/>
              </w:rPr>
            </w:pPr>
          </w:p>
        </w:tc>
        <w:tc>
          <w:tcPr>
            <w:tcW w:w="0" w:type="auto"/>
            <w:vAlign w:val="center"/>
          </w:tcPr>
          <w:p w14:paraId="48CA90DD">
            <w:pPr>
              <w:jc w:val="both"/>
              <w:textAlignment w:val="center"/>
              <w:rPr>
                <w:rFonts w:ascii="宋体" w:hAnsi="宋体" w:cstheme="minorEastAsia"/>
                <w:bCs/>
                <w:sz w:val="16"/>
                <w:szCs w:val="16"/>
              </w:rPr>
            </w:pPr>
          </w:p>
        </w:tc>
        <w:tc>
          <w:tcPr>
            <w:tcW w:w="0" w:type="auto"/>
            <w:vAlign w:val="center"/>
          </w:tcPr>
          <w:p w14:paraId="1E2458E9">
            <w:pPr>
              <w:jc w:val="both"/>
              <w:textAlignment w:val="center"/>
              <w:rPr>
                <w:rFonts w:ascii="宋体" w:hAnsi="宋体" w:cstheme="minorEastAsia"/>
                <w:bCs/>
                <w:sz w:val="16"/>
                <w:szCs w:val="16"/>
              </w:rPr>
            </w:pPr>
          </w:p>
        </w:tc>
        <w:tc>
          <w:tcPr>
            <w:tcW w:w="1016" w:type="dxa"/>
            <w:vAlign w:val="center"/>
          </w:tcPr>
          <w:p w14:paraId="7373A853">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370D7582">
            <w:pPr>
              <w:jc w:val="both"/>
              <w:textAlignment w:val="center"/>
              <w:rPr>
                <w:rFonts w:ascii="宋体" w:hAnsi="宋体"/>
                <w:sz w:val="16"/>
                <w:szCs w:val="16"/>
              </w:rPr>
            </w:pPr>
            <w:r>
              <w:rPr>
                <w:rFonts w:ascii="宋体" w:hAnsi="宋体"/>
                <w:sz w:val="16"/>
                <w:szCs w:val="16"/>
              </w:rPr>
              <w:t>1</w:t>
            </w:r>
          </w:p>
        </w:tc>
        <w:tc>
          <w:tcPr>
            <w:tcW w:w="0" w:type="auto"/>
            <w:vAlign w:val="center"/>
          </w:tcPr>
          <w:p w14:paraId="1A61D1B9">
            <w:pPr>
              <w:jc w:val="both"/>
              <w:textAlignment w:val="center"/>
              <w:rPr>
                <w:rFonts w:ascii="宋体" w:hAnsi="宋体" w:cstheme="minorEastAsia"/>
                <w:bCs/>
                <w:sz w:val="16"/>
                <w:szCs w:val="16"/>
                <w:highlight w:val="yellow"/>
              </w:rPr>
            </w:pPr>
          </w:p>
        </w:tc>
        <w:tc>
          <w:tcPr>
            <w:tcW w:w="0" w:type="auto"/>
            <w:vAlign w:val="center"/>
          </w:tcPr>
          <w:p w14:paraId="35B76359">
            <w:pPr>
              <w:jc w:val="both"/>
              <w:textAlignment w:val="center"/>
              <w:rPr>
                <w:rFonts w:ascii="宋体" w:hAnsi="宋体" w:cstheme="minorEastAsia"/>
                <w:bCs/>
                <w:sz w:val="16"/>
                <w:szCs w:val="16"/>
                <w:highlight w:val="yellow"/>
              </w:rPr>
            </w:pPr>
          </w:p>
        </w:tc>
        <w:tc>
          <w:tcPr>
            <w:tcW w:w="0" w:type="auto"/>
            <w:vAlign w:val="center"/>
          </w:tcPr>
          <w:p w14:paraId="576B2F90">
            <w:pPr>
              <w:jc w:val="both"/>
              <w:textAlignment w:val="center"/>
              <w:rPr>
                <w:rFonts w:ascii="宋体" w:hAnsi="宋体" w:cstheme="minorEastAsia"/>
                <w:bCs/>
                <w:sz w:val="16"/>
                <w:szCs w:val="16"/>
                <w:highlight w:val="yellow"/>
              </w:rPr>
            </w:pPr>
          </w:p>
        </w:tc>
        <w:tc>
          <w:tcPr>
            <w:tcW w:w="0" w:type="auto"/>
            <w:shd w:val="clear" w:color="auto" w:fill="auto"/>
            <w:vAlign w:val="center"/>
          </w:tcPr>
          <w:p w14:paraId="460C862C">
            <w:pPr>
              <w:snapToGrid w:val="0"/>
              <w:jc w:val="both"/>
              <w:rPr>
                <w:rFonts w:ascii="宋体" w:hAnsi="宋体" w:cstheme="minorEastAsia"/>
                <w:bCs/>
                <w:sz w:val="16"/>
                <w:szCs w:val="16"/>
              </w:rPr>
            </w:pPr>
          </w:p>
        </w:tc>
      </w:tr>
      <w:tr w14:paraId="0699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C676097">
            <w:pPr>
              <w:snapToGrid w:val="0"/>
              <w:jc w:val="both"/>
              <w:rPr>
                <w:rFonts w:ascii="宋体" w:hAnsi="宋体" w:cstheme="minorEastAsia"/>
                <w:bCs/>
                <w:sz w:val="16"/>
                <w:szCs w:val="16"/>
              </w:rPr>
            </w:pPr>
            <w:r>
              <w:rPr>
                <w:rFonts w:hint="eastAsia" w:ascii="宋体" w:hAnsi="宋体" w:cstheme="minorEastAsia"/>
                <w:bCs/>
                <w:sz w:val="16"/>
                <w:szCs w:val="16"/>
              </w:rPr>
              <w:t>1.7.6</w:t>
            </w:r>
          </w:p>
        </w:tc>
        <w:tc>
          <w:tcPr>
            <w:tcW w:w="1484" w:type="dxa"/>
            <w:tcBorders>
              <w:top w:val="single" w:color="auto" w:sz="4" w:space="0"/>
            </w:tcBorders>
            <w:vAlign w:val="center"/>
          </w:tcPr>
          <w:p w14:paraId="44F13E26">
            <w:pPr>
              <w:snapToGrid w:val="0"/>
              <w:jc w:val="both"/>
              <w:rPr>
                <w:rFonts w:ascii="宋体" w:hAnsi="宋体"/>
                <w:sz w:val="16"/>
                <w:szCs w:val="16"/>
              </w:rPr>
            </w:pPr>
            <w:r>
              <w:rPr>
                <w:rFonts w:hint="eastAsia" w:ascii="宋体" w:hAnsi="宋体"/>
                <w:sz w:val="16"/>
                <w:szCs w:val="16"/>
              </w:rPr>
              <w:t>烟丝杂物软件算法开发</w:t>
            </w:r>
          </w:p>
        </w:tc>
        <w:tc>
          <w:tcPr>
            <w:tcW w:w="4601" w:type="dxa"/>
            <w:vAlign w:val="center"/>
          </w:tcPr>
          <w:p w14:paraId="75EA019B">
            <w:pPr>
              <w:snapToGrid w:val="0"/>
              <w:jc w:val="both"/>
              <w:rPr>
                <w:rFonts w:ascii="宋体" w:hAnsi="宋体"/>
                <w:sz w:val="16"/>
                <w:szCs w:val="16"/>
              </w:rPr>
            </w:pPr>
            <w:r>
              <w:rPr>
                <w:rFonts w:hint="eastAsia" w:ascii="宋体" w:hAnsi="宋体"/>
                <w:sz w:val="16"/>
                <w:szCs w:val="16"/>
              </w:rPr>
              <w:t>开发图片数据接口对接，图片二次检测推理。</w:t>
            </w:r>
            <w:r>
              <w:rPr>
                <w:rFonts w:ascii="宋体" w:hAnsi="宋体"/>
                <w:sz w:val="16"/>
                <w:szCs w:val="16"/>
              </w:rPr>
              <w:br w:type="textWrapping"/>
            </w:r>
            <w:r>
              <w:rPr>
                <w:rFonts w:hint="eastAsia" w:ascii="宋体" w:hAnsi="宋体"/>
                <w:sz w:val="16"/>
                <w:szCs w:val="16"/>
              </w:rPr>
              <w:t>杂物样本数据集清洗、标注</w:t>
            </w:r>
            <w:r>
              <w:rPr>
                <w:rFonts w:ascii="宋体" w:hAnsi="宋体"/>
                <w:sz w:val="16"/>
                <w:szCs w:val="16"/>
              </w:rPr>
              <w:br w:type="textWrapping"/>
            </w:r>
            <w:r>
              <w:rPr>
                <w:rFonts w:hint="eastAsia" w:ascii="宋体" w:hAnsi="宋体"/>
                <w:sz w:val="16"/>
                <w:szCs w:val="16"/>
              </w:rPr>
              <w:t>模型训练</w:t>
            </w:r>
            <w:r>
              <w:rPr>
                <w:rFonts w:ascii="宋体" w:hAnsi="宋体"/>
                <w:sz w:val="16"/>
                <w:szCs w:val="16"/>
              </w:rPr>
              <w:br w:type="textWrapping"/>
            </w:r>
            <w:r>
              <w:rPr>
                <w:rFonts w:hint="eastAsia" w:ascii="宋体" w:hAnsi="宋体"/>
                <w:sz w:val="16"/>
                <w:szCs w:val="16"/>
              </w:rPr>
              <w:t>软件算法调试</w:t>
            </w:r>
          </w:p>
        </w:tc>
        <w:tc>
          <w:tcPr>
            <w:tcW w:w="2022" w:type="dxa"/>
            <w:vAlign w:val="center"/>
          </w:tcPr>
          <w:p w14:paraId="2D4C944A">
            <w:pPr>
              <w:snapToGrid w:val="0"/>
              <w:jc w:val="both"/>
              <w:rPr>
                <w:rFonts w:ascii="宋体" w:hAnsi="宋体" w:cstheme="minorEastAsia"/>
                <w:bCs/>
                <w:sz w:val="16"/>
                <w:szCs w:val="16"/>
              </w:rPr>
            </w:pPr>
          </w:p>
        </w:tc>
        <w:tc>
          <w:tcPr>
            <w:tcW w:w="0" w:type="auto"/>
            <w:vAlign w:val="center"/>
          </w:tcPr>
          <w:p w14:paraId="6DE1B3D2">
            <w:pPr>
              <w:jc w:val="both"/>
              <w:textAlignment w:val="center"/>
              <w:rPr>
                <w:rFonts w:ascii="宋体" w:hAnsi="宋体" w:cstheme="minorEastAsia"/>
                <w:bCs/>
                <w:sz w:val="16"/>
                <w:szCs w:val="16"/>
              </w:rPr>
            </w:pPr>
          </w:p>
        </w:tc>
        <w:tc>
          <w:tcPr>
            <w:tcW w:w="0" w:type="auto"/>
            <w:vAlign w:val="center"/>
          </w:tcPr>
          <w:p w14:paraId="06BC706F">
            <w:pPr>
              <w:jc w:val="both"/>
              <w:textAlignment w:val="center"/>
              <w:rPr>
                <w:rFonts w:ascii="宋体" w:hAnsi="宋体" w:cstheme="minorEastAsia"/>
                <w:bCs/>
                <w:sz w:val="16"/>
                <w:szCs w:val="16"/>
              </w:rPr>
            </w:pPr>
          </w:p>
        </w:tc>
        <w:tc>
          <w:tcPr>
            <w:tcW w:w="1016" w:type="dxa"/>
            <w:vAlign w:val="center"/>
          </w:tcPr>
          <w:p w14:paraId="06321098">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49B34885">
            <w:pPr>
              <w:jc w:val="both"/>
              <w:textAlignment w:val="center"/>
              <w:rPr>
                <w:rFonts w:ascii="宋体" w:hAnsi="宋体"/>
                <w:sz w:val="16"/>
                <w:szCs w:val="16"/>
              </w:rPr>
            </w:pPr>
            <w:r>
              <w:rPr>
                <w:rFonts w:ascii="宋体" w:hAnsi="宋体"/>
                <w:sz w:val="16"/>
                <w:szCs w:val="16"/>
              </w:rPr>
              <w:t>1</w:t>
            </w:r>
          </w:p>
        </w:tc>
        <w:tc>
          <w:tcPr>
            <w:tcW w:w="0" w:type="auto"/>
            <w:vAlign w:val="center"/>
          </w:tcPr>
          <w:p w14:paraId="7DF20415">
            <w:pPr>
              <w:jc w:val="both"/>
              <w:textAlignment w:val="center"/>
              <w:rPr>
                <w:rFonts w:ascii="宋体" w:hAnsi="宋体" w:cstheme="minorEastAsia"/>
                <w:bCs/>
                <w:sz w:val="16"/>
                <w:szCs w:val="16"/>
                <w:highlight w:val="yellow"/>
              </w:rPr>
            </w:pPr>
          </w:p>
        </w:tc>
        <w:tc>
          <w:tcPr>
            <w:tcW w:w="0" w:type="auto"/>
            <w:vAlign w:val="center"/>
          </w:tcPr>
          <w:p w14:paraId="48939DCD">
            <w:pPr>
              <w:jc w:val="both"/>
              <w:textAlignment w:val="center"/>
              <w:rPr>
                <w:rFonts w:ascii="宋体" w:hAnsi="宋体" w:cstheme="minorEastAsia"/>
                <w:bCs/>
                <w:sz w:val="16"/>
                <w:szCs w:val="16"/>
                <w:highlight w:val="yellow"/>
              </w:rPr>
            </w:pPr>
          </w:p>
        </w:tc>
        <w:tc>
          <w:tcPr>
            <w:tcW w:w="0" w:type="auto"/>
            <w:vAlign w:val="center"/>
          </w:tcPr>
          <w:p w14:paraId="6219AB32">
            <w:pPr>
              <w:jc w:val="both"/>
              <w:textAlignment w:val="center"/>
              <w:rPr>
                <w:rFonts w:ascii="宋体" w:hAnsi="宋体" w:cstheme="minorEastAsia"/>
                <w:bCs/>
                <w:sz w:val="16"/>
                <w:szCs w:val="16"/>
                <w:highlight w:val="yellow"/>
              </w:rPr>
            </w:pPr>
          </w:p>
        </w:tc>
        <w:tc>
          <w:tcPr>
            <w:tcW w:w="0" w:type="auto"/>
            <w:shd w:val="clear" w:color="auto" w:fill="auto"/>
            <w:vAlign w:val="center"/>
          </w:tcPr>
          <w:p w14:paraId="0DC98252">
            <w:pPr>
              <w:snapToGrid w:val="0"/>
              <w:jc w:val="both"/>
              <w:rPr>
                <w:rFonts w:ascii="宋体" w:hAnsi="宋体" w:cstheme="minorEastAsia"/>
                <w:bCs/>
                <w:sz w:val="16"/>
                <w:szCs w:val="16"/>
              </w:rPr>
            </w:pPr>
          </w:p>
        </w:tc>
      </w:tr>
      <w:tr w14:paraId="7A4B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56" w:type="dxa"/>
            <w:vAlign w:val="center"/>
          </w:tcPr>
          <w:p w14:paraId="249F1303">
            <w:pPr>
              <w:snapToGrid w:val="0"/>
              <w:jc w:val="both"/>
              <w:rPr>
                <w:rFonts w:ascii="宋体" w:hAnsi="宋体" w:cstheme="minorEastAsia"/>
                <w:b/>
                <w:bCs/>
                <w:sz w:val="16"/>
                <w:szCs w:val="16"/>
              </w:rPr>
            </w:pPr>
            <w:r>
              <w:rPr>
                <w:rFonts w:hint="eastAsia" w:ascii="宋体" w:hAnsi="宋体" w:cstheme="minorEastAsia"/>
                <w:b/>
                <w:bCs/>
                <w:sz w:val="16"/>
                <w:szCs w:val="16"/>
              </w:rPr>
              <w:t>1.8</w:t>
            </w:r>
          </w:p>
        </w:tc>
        <w:tc>
          <w:tcPr>
            <w:tcW w:w="1484" w:type="dxa"/>
            <w:tcBorders>
              <w:top w:val="single" w:color="auto" w:sz="4" w:space="0"/>
            </w:tcBorders>
            <w:vAlign w:val="center"/>
          </w:tcPr>
          <w:p w14:paraId="05A926F8">
            <w:pPr>
              <w:snapToGrid w:val="0"/>
              <w:jc w:val="both"/>
              <w:rPr>
                <w:rFonts w:ascii="宋体" w:hAnsi="宋体"/>
                <w:b/>
                <w:sz w:val="16"/>
                <w:szCs w:val="16"/>
              </w:rPr>
            </w:pPr>
            <w:r>
              <w:rPr>
                <w:rFonts w:hint="eastAsia" w:ascii="宋体" w:hAnsi="宋体"/>
                <w:b/>
                <w:sz w:val="16"/>
                <w:szCs w:val="16"/>
              </w:rPr>
              <w:t>安装调试费</w:t>
            </w:r>
          </w:p>
        </w:tc>
        <w:tc>
          <w:tcPr>
            <w:tcW w:w="4601" w:type="dxa"/>
            <w:vAlign w:val="center"/>
          </w:tcPr>
          <w:p w14:paraId="4548B982">
            <w:pPr>
              <w:snapToGrid w:val="0"/>
              <w:jc w:val="both"/>
              <w:rPr>
                <w:rFonts w:ascii="宋体" w:hAnsi="宋体"/>
                <w:sz w:val="16"/>
                <w:szCs w:val="16"/>
              </w:rPr>
            </w:pPr>
            <w:r>
              <w:rPr>
                <w:rFonts w:ascii="宋体" w:hAnsi="宋体"/>
                <w:sz w:val="16"/>
                <w:szCs w:val="16"/>
              </w:rPr>
              <w:t>\</w:t>
            </w:r>
          </w:p>
        </w:tc>
        <w:tc>
          <w:tcPr>
            <w:tcW w:w="2022" w:type="dxa"/>
            <w:vAlign w:val="center"/>
          </w:tcPr>
          <w:p w14:paraId="120179A9">
            <w:pPr>
              <w:snapToGrid w:val="0"/>
              <w:jc w:val="both"/>
              <w:rPr>
                <w:rFonts w:ascii="宋体" w:hAnsi="宋体" w:cstheme="minorEastAsia"/>
                <w:bCs/>
                <w:sz w:val="16"/>
                <w:szCs w:val="16"/>
              </w:rPr>
            </w:pPr>
          </w:p>
        </w:tc>
        <w:tc>
          <w:tcPr>
            <w:tcW w:w="0" w:type="auto"/>
            <w:vAlign w:val="center"/>
          </w:tcPr>
          <w:p w14:paraId="5DA4FC2B">
            <w:pPr>
              <w:jc w:val="both"/>
              <w:textAlignment w:val="center"/>
              <w:rPr>
                <w:rFonts w:ascii="宋体" w:hAnsi="宋体" w:cstheme="minorEastAsia"/>
                <w:bCs/>
                <w:sz w:val="16"/>
                <w:szCs w:val="16"/>
              </w:rPr>
            </w:pPr>
          </w:p>
        </w:tc>
        <w:tc>
          <w:tcPr>
            <w:tcW w:w="0" w:type="auto"/>
            <w:vAlign w:val="center"/>
          </w:tcPr>
          <w:p w14:paraId="1D6AEB2B">
            <w:pPr>
              <w:jc w:val="both"/>
              <w:textAlignment w:val="center"/>
              <w:rPr>
                <w:rFonts w:ascii="宋体" w:hAnsi="宋体" w:cstheme="minorEastAsia"/>
                <w:bCs/>
                <w:sz w:val="16"/>
                <w:szCs w:val="16"/>
              </w:rPr>
            </w:pPr>
          </w:p>
        </w:tc>
        <w:tc>
          <w:tcPr>
            <w:tcW w:w="1016" w:type="dxa"/>
            <w:vAlign w:val="center"/>
          </w:tcPr>
          <w:p w14:paraId="29CC9987">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292A9FC5">
            <w:pPr>
              <w:jc w:val="both"/>
              <w:textAlignment w:val="center"/>
              <w:rPr>
                <w:rFonts w:ascii="宋体" w:hAnsi="宋体"/>
                <w:sz w:val="16"/>
                <w:szCs w:val="16"/>
              </w:rPr>
            </w:pPr>
            <w:r>
              <w:rPr>
                <w:rFonts w:ascii="宋体" w:hAnsi="宋体"/>
                <w:sz w:val="16"/>
                <w:szCs w:val="16"/>
              </w:rPr>
              <w:t>1</w:t>
            </w:r>
          </w:p>
        </w:tc>
        <w:tc>
          <w:tcPr>
            <w:tcW w:w="0" w:type="auto"/>
            <w:vAlign w:val="center"/>
          </w:tcPr>
          <w:p w14:paraId="6340063B">
            <w:pPr>
              <w:jc w:val="both"/>
              <w:textAlignment w:val="center"/>
              <w:rPr>
                <w:rFonts w:ascii="宋体" w:hAnsi="宋体" w:cstheme="minorEastAsia"/>
                <w:bCs/>
                <w:sz w:val="16"/>
                <w:szCs w:val="16"/>
                <w:highlight w:val="yellow"/>
              </w:rPr>
            </w:pPr>
          </w:p>
        </w:tc>
        <w:tc>
          <w:tcPr>
            <w:tcW w:w="0" w:type="auto"/>
            <w:vAlign w:val="center"/>
          </w:tcPr>
          <w:p w14:paraId="2A3BF215">
            <w:pPr>
              <w:jc w:val="both"/>
              <w:textAlignment w:val="center"/>
              <w:rPr>
                <w:rFonts w:ascii="宋体" w:hAnsi="宋体" w:cstheme="minorEastAsia"/>
                <w:bCs/>
                <w:sz w:val="16"/>
                <w:szCs w:val="16"/>
                <w:highlight w:val="yellow"/>
              </w:rPr>
            </w:pPr>
          </w:p>
        </w:tc>
        <w:tc>
          <w:tcPr>
            <w:tcW w:w="0" w:type="auto"/>
            <w:vAlign w:val="center"/>
          </w:tcPr>
          <w:p w14:paraId="58C2D1A4">
            <w:pPr>
              <w:jc w:val="both"/>
              <w:textAlignment w:val="center"/>
              <w:rPr>
                <w:rFonts w:ascii="宋体" w:hAnsi="宋体" w:cstheme="minorEastAsia"/>
                <w:bCs/>
                <w:sz w:val="16"/>
                <w:szCs w:val="16"/>
                <w:highlight w:val="yellow"/>
              </w:rPr>
            </w:pPr>
          </w:p>
        </w:tc>
        <w:tc>
          <w:tcPr>
            <w:tcW w:w="0" w:type="auto"/>
            <w:shd w:val="clear" w:color="auto" w:fill="auto"/>
            <w:vAlign w:val="center"/>
          </w:tcPr>
          <w:p w14:paraId="44F15B64">
            <w:pPr>
              <w:snapToGrid w:val="0"/>
              <w:jc w:val="both"/>
              <w:rPr>
                <w:rFonts w:ascii="宋体" w:hAnsi="宋体" w:cstheme="minorEastAsia"/>
                <w:bCs/>
                <w:sz w:val="16"/>
                <w:szCs w:val="16"/>
              </w:rPr>
            </w:pPr>
          </w:p>
        </w:tc>
      </w:tr>
      <w:tr w14:paraId="71CD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4E46BF81">
            <w:pPr>
              <w:snapToGrid w:val="0"/>
              <w:jc w:val="both"/>
              <w:rPr>
                <w:rFonts w:ascii="宋体" w:hAnsi="宋体" w:cstheme="minorEastAsia"/>
                <w:b/>
                <w:bCs/>
                <w:sz w:val="16"/>
                <w:szCs w:val="16"/>
              </w:rPr>
            </w:pPr>
            <w:r>
              <w:rPr>
                <w:rFonts w:hint="eastAsia" w:ascii="宋体" w:hAnsi="宋体" w:cstheme="minorEastAsia"/>
                <w:b/>
                <w:bCs/>
                <w:sz w:val="16"/>
                <w:szCs w:val="16"/>
              </w:rPr>
              <w:t>2</w:t>
            </w:r>
          </w:p>
        </w:tc>
        <w:tc>
          <w:tcPr>
            <w:tcW w:w="13138" w:type="dxa"/>
            <w:gridSpan w:val="11"/>
            <w:vAlign w:val="center"/>
          </w:tcPr>
          <w:p w14:paraId="0B2DA988">
            <w:pPr>
              <w:snapToGrid w:val="0"/>
              <w:jc w:val="both"/>
              <w:rPr>
                <w:rFonts w:ascii="宋体" w:hAnsi="宋体" w:cstheme="minorEastAsia"/>
                <w:b/>
                <w:bCs/>
                <w:sz w:val="16"/>
                <w:szCs w:val="16"/>
              </w:rPr>
            </w:pPr>
            <w:r>
              <w:rPr>
                <w:rFonts w:hint="eastAsia" w:ascii="宋体" w:hAnsi="宋体" w:cstheme="minorEastAsia"/>
                <w:b/>
                <w:bCs/>
                <w:sz w:val="16"/>
                <w:szCs w:val="16"/>
              </w:rPr>
              <w:t>基于数据协同的制丝关键主机设备健康状态监测</w:t>
            </w:r>
          </w:p>
        </w:tc>
      </w:tr>
      <w:tr w14:paraId="210B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7C958A8A">
            <w:pPr>
              <w:snapToGrid w:val="0"/>
              <w:jc w:val="both"/>
              <w:rPr>
                <w:rFonts w:ascii="宋体" w:hAnsi="宋体" w:cstheme="minorEastAsia"/>
                <w:b/>
                <w:bCs/>
                <w:sz w:val="16"/>
                <w:szCs w:val="16"/>
              </w:rPr>
            </w:pPr>
            <w:r>
              <w:rPr>
                <w:rFonts w:hint="eastAsia" w:ascii="宋体" w:hAnsi="宋体" w:cstheme="minorEastAsia"/>
                <w:b/>
                <w:bCs/>
                <w:sz w:val="16"/>
                <w:szCs w:val="16"/>
              </w:rPr>
              <w:t>2.1</w:t>
            </w:r>
          </w:p>
        </w:tc>
        <w:tc>
          <w:tcPr>
            <w:tcW w:w="13138" w:type="dxa"/>
            <w:gridSpan w:val="11"/>
            <w:vAlign w:val="center"/>
          </w:tcPr>
          <w:p w14:paraId="0FF0B98F">
            <w:pPr>
              <w:snapToGrid w:val="0"/>
              <w:jc w:val="both"/>
              <w:rPr>
                <w:rFonts w:ascii="宋体" w:hAnsi="宋体" w:cstheme="minorEastAsia"/>
                <w:b/>
                <w:bCs/>
                <w:sz w:val="16"/>
                <w:szCs w:val="16"/>
              </w:rPr>
            </w:pPr>
            <w:r>
              <w:rPr>
                <w:rFonts w:hint="eastAsia" w:ascii="宋体" w:hAnsi="宋体" w:cstheme="minorEastAsia"/>
                <w:b/>
                <w:bCs/>
                <w:sz w:val="16"/>
                <w:szCs w:val="16"/>
              </w:rPr>
              <w:t>控制系统新增</w:t>
            </w:r>
          </w:p>
        </w:tc>
      </w:tr>
      <w:tr w14:paraId="3168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9DACD3B">
            <w:pPr>
              <w:snapToGrid w:val="0"/>
              <w:jc w:val="both"/>
              <w:rPr>
                <w:rFonts w:ascii="宋体" w:hAnsi="宋体" w:cstheme="minorEastAsia"/>
                <w:bCs/>
                <w:sz w:val="16"/>
                <w:szCs w:val="16"/>
              </w:rPr>
            </w:pPr>
            <w:r>
              <w:rPr>
                <w:rFonts w:ascii="宋体" w:hAnsi="宋体"/>
                <w:sz w:val="16"/>
                <w:szCs w:val="16"/>
              </w:rPr>
              <w:t>2.1.1</w:t>
            </w:r>
          </w:p>
        </w:tc>
        <w:tc>
          <w:tcPr>
            <w:tcW w:w="1484" w:type="dxa"/>
            <w:tcBorders>
              <w:top w:val="single" w:color="auto" w:sz="4" w:space="0"/>
            </w:tcBorders>
            <w:vAlign w:val="center"/>
          </w:tcPr>
          <w:p w14:paraId="6A002E51">
            <w:pPr>
              <w:snapToGrid w:val="0"/>
              <w:jc w:val="both"/>
              <w:rPr>
                <w:rFonts w:ascii="宋体" w:hAnsi="宋体"/>
                <w:sz w:val="16"/>
                <w:szCs w:val="16"/>
              </w:rPr>
            </w:pPr>
            <w:r>
              <w:rPr>
                <w:rFonts w:hint="eastAsia" w:ascii="宋体" w:hAnsi="宋体"/>
                <w:sz w:val="16"/>
                <w:szCs w:val="16"/>
              </w:rPr>
              <w:t>温振变送器</w:t>
            </w:r>
          </w:p>
        </w:tc>
        <w:tc>
          <w:tcPr>
            <w:tcW w:w="4601" w:type="dxa"/>
            <w:vAlign w:val="center"/>
          </w:tcPr>
          <w:p w14:paraId="23FDCA1F">
            <w:pPr>
              <w:snapToGrid w:val="0"/>
              <w:jc w:val="both"/>
              <w:rPr>
                <w:rFonts w:ascii="宋体" w:hAnsi="宋体"/>
                <w:sz w:val="16"/>
                <w:szCs w:val="16"/>
              </w:rPr>
            </w:pPr>
            <w:r>
              <w:rPr>
                <w:rFonts w:hint="eastAsia" w:ascii="宋体" w:hAnsi="宋体"/>
                <w:sz w:val="16"/>
                <w:szCs w:val="16"/>
              </w:rPr>
              <w:t>温度、振动检测传感器可以提供振动测量方向为三轴的测量结果；频率范围</w:t>
            </w:r>
            <w:r>
              <w:rPr>
                <w:rFonts w:ascii="宋体" w:hAnsi="宋体"/>
                <w:sz w:val="16"/>
                <w:szCs w:val="16"/>
              </w:rPr>
              <w:t>10-1600Hz</w:t>
            </w:r>
            <w:r>
              <w:rPr>
                <w:rFonts w:hint="eastAsia" w:ascii="宋体" w:hAnsi="宋体"/>
                <w:sz w:val="16"/>
                <w:szCs w:val="16"/>
              </w:rPr>
              <w:t>，振动速度测量范围</w:t>
            </w:r>
            <w:r>
              <w:rPr>
                <w:rFonts w:ascii="宋体" w:hAnsi="宋体"/>
                <w:sz w:val="16"/>
                <w:szCs w:val="16"/>
              </w:rPr>
              <w:t>0-50mm/s</w:t>
            </w:r>
            <w:r>
              <w:rPr>
                <w:rFonts w:hint="eastAsia" w:ascii="宋体" w:hAnsi="宋体"/>
                <w:sz w:val="16"/>
                <w:szCs w:val="16"/>
              </w:rPr>
              <w:t>，振动速度显示分辨率</w:t>
            </w:r>
            <w:r>
              <w:rPr>
                <w:rFonts w:ascii="宋体" w:hAnsi="宋体"/>
                <w:sz w:val="16"/>
                <w:szCs w:val="16"/>
              </w:rPr>
              <w:t>0.1mm/s</w:t>
            </w:r>
            <w:r>
              <w:rPr>
                <w:rFonts w:hint="eastAsia" w:ascii="宋体" w:hAnsi="宋体"/>
                <w:sz w:val="16"/>
                <w:szCs w:val="16"/>
              </w:rPr>
              <w:t>，振动位移测量范围</w:t>
            </w:r>
            <w:r>
              <w:rPr>
                <w:rFonts w:ascii="宋体" w:hAnsi="宋体"/>
                <w:sz w:val="16"/>
                <w:szCs w:val="16"/>
              </w:rPr>
              <w:t>0-5000</w:t>
            </w:r>
            <w:r>
              <w:rPr>
                <w:rFonts w:hint="eastAsia" w:ascii="宋体" w:hAnsi="宋体"/>
                <w:sz w:val="16"/>
                <w:szCs w:val="16"/>
              </w:rPr>
              <w:t>μ</w:t>
            </w:r>
            <w:r>
              <w:rPr>
                <w:rFonts w:ascii="宋体" w:hAnsi="宋体"/>
                <w:sz w:val="16"/>
                <w:szCs w:val="16"/>
              </w:rPr>
              <w:t>m</w:t>
            </w:r>
            <w:r>
              <w:rPr>
                <w:rFonts w:hint="eastAsia" w:ascii="宋体" w:hAnsi="宋体"/>
                <w:sz w:val="16"/>
                <w:szCs w:val="16"/>
              </w:rPr>
              <w:t>，振动位移显示分辨率</w:t>
            </w:r>
            <w:r>
              <w:rPr>
                <w:rFonts w:ascii="宋体" w:hAnsi="宋体"/>
                <w:sz w:val="16"/>
                <w:szCs w:val="16"/>
              </w:rPr>
              <w:t>0.1</w:t>
            </w:r>
            <w:r>
              <w:rPr>
                <w:rFonts w:hint="eastAsia" w:ascii="宋体" w:hAnsi="宋体"/>
                <w:sz w:val="16"/>
                <w:szCs w:val="16"/>
              </w:rPr>
              <w:t>μ</w:t>
            </w:r>
            <w:r>
              <w:rPr>
                <w:rFonts w:ascii="宋体" w:hAnsi="宋体"/>
                <w:sz w:val="16"/>
                <w:szCs w:val="16"/>
              </w:rPr>
              <w:t>m</w:t>
            </w:r>
            <w:r>
              <w:rPr>
                <w:rFonts w:hint="eastAsia" w:ascii="宋体" w:hAnsi="宋体"/>
                <w:sz w:val="16"/>
                <w:szCs w:val="16"/>
              </w:rPr>
              <w:t>，传感器可以提供设备表面温度测量，温度显示分辨率</w:t>
            </w:r>
            <w:r>
              <w:rPr>
                <w:rFonts w:ascii="宋体" w:hAnsi="宋体"/>
                <w:sz w:val="16"/>
                <w:szCs w:val="16"/>
              </w:rPr>
              <w:t>0.1</w:t>
            </w:r>
            <w:r>
              <w:rPr>
                <w:rFonts w:hint="eastAsia" w:ascii="宋体" w:hAnsi="宋体"/>
                <w:sz w:val="16"/>
                <w:szCs w:val="16"/>
              </w:rPr>
              <w:t>℃，信号输出</w:t>
            </w:r>
            <w:r>
              <w:rPr>
                <w:rFonts w:ascii="宋体" w:hAnsi="宋体"/>
                <w:sz w:val="16"/>
                <w:szCs w:val="16"/>
              </w:rPr>
              <w:t>RS-485</w:t>
            </w:r>
            <w:r>
              <w:rPr>
                <w:rFonts w:hint="eastAsia" w:ascii="宋体" w:hAnsi="宋体"/>
                <w:sz w:val="16"/>
                <w:szCs w:val="16"/>
              </w:rPr>
              <w:t>，传感器防护等级</w:t>
            </w:r>
            <w:r>
              <w:rPr>
                <w:rFonts w:ascii="宋体" w:hAnsi="宋体"/>
                <w:sz w:val="16"/>
                <w:szCs w:val="16"/>
              </w:rPr>
              <w:t>IP67</w:t>
            </w:r>
            <w:r>
              <w:rPr>
                <w:rFonts w:hint="eastAsia" w:ascii="宋体" w:hAnsi="宋体"/>
                <w:sz w:val="16"/>
                <w:szCs w:val="16"/>
              </w:rPr>
              <w:t>，传感器为磁性安装方式。（</w:t>
            </w:r>
            <w:r>
              <w:rPr>
                <w:rFonts w:ascii="宋体" w:hAnsi="宋体"/>
                <w:sz w:val="16"/>
                <w:szCs w:val="16"/>
              </w:rPr>
              <w:t>RS485</w:t>
            </w:r>
            <w:r>
              <w:rPr>
                <w:rFonts w:hint="eastAsia" w:ascii="宋体" w:hAnsi="宋体"/>
                <w:sz w:val="16"/>
                <w:szCs w:val="16"/>
              </w:rPr>
              <w:t>型）</w:t>
            </w:r>
          </w:p>
        </w:tc>
        <w:tc>
          <w:tcPr>
            <w:tcW w:w="2022" w:type="dxa"/>
            <w:vAlign w:val="center"/>
          </w:tcPr>
          <w:p w14:paraId="5A3FC1EE">
            <w:pPr>
              <w:snapToGrid w:val="0"/>
              <w:jc w:val="both"/>
              <w:rPr>
                <w:rFonts w:ascii="宋体" w:hAnsi="宋体" w:cstheme="minorEastAsia"/>
                <w:bCs/>
                <w:sz w:val="16"/>
                <w:szCs w:val="16"/>
              </w:rPr>
            </w:pPr>
          </w:p>
        </w:tc>
        <w:tc>
          <w:tcPr>
            <w:tcW w:w="0" w:type="auto"/>
            <w:vAlign w:val="center"/>
          </w:tcPr>
          <w:p w14:paraId="5AFFA9EA">
            <w:pPr>
              <w:jc w:val="both"/>
              <w:textAlignment w:val="center"/>
              <w:rPr>
                <w:rFonts w:ascii="宋体" w:hAnsi="宋体" w:cstheme="minorEastAsia"/>
                <w:bCs/>
                <w:sz w:val="16"/>
                <w:szCs w:val="16"/>
              </w:rPr>
            </w:pPr>
          </w:p>
        </w:tc>
        <w:tc>
          <w:tcPr>
            <w:tcW w:w="0" w:type="auto"/>
            <w:vAlign w:val="center"/>
          </w:tcPr>
          <w:p w14:paraId="1D2669C6">
            <w:pPr>
              <w:jc w:val="both"/>
              <w:textAlignment w:val="center"/>
              <w:rPr>
                <w:rFonts w:ascii="宋体" w:hAnsi="宋体" w:cstheme="minorEastAsia"/>
                <w:bCs/>
                <w:sz w:val="16"/>
                <w:szCs w:val="16"/>
              </w:rPr>
            </w:pPr>
          </w:p>
        </w:tc>
        <w:tc>
          <w:tcPr>
            <w:tcW w:w="1016" w:type="dxa"/>
            <w:vAlign w:val="center"/>
          </w:tcPr>
          <w:p w14:paraId="65B49CC1">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CEE916C">
            <w:pPr>
              <w:jc w:val="both"/>
              <w:textAlignment w:val="center"/>
              <w:rPr>
                <w:rFonts w:ascii="宋体" w:hAnsi="宋体"/>
                <w:sz w:val="16"/>
                <w:szCs w:val="16"/>
              </w:rPr>
            </w:pPr>
            <w:r>
              <w:rPr>
                <w:rFonts w:ascii="宋体" w:hAnsi="宋体"/>
                <w:sz w:val="16"/>
                <w:szCs w:val="16"/>
              </w:rPr>
              <w:t>12</w:t>
            </w:r>
          </w:p>
        </w:tc>
        <w:tc>
          <w:tcPr>
            <w:tcW w:w="0" w:type="auto"/>
            <w:vAlign w:val="center"/>
          </w:tcPr>
          <w:p w14:paraId="474DB8FF">
            <w:pPr>
              <w:jc w:val="both"/>
              <w:textAlignment w:val="center"/>
              <w:rPr>
                <w:rFonts w:ascii="宋体" w:hAnsi="宋体" w:cstheme="minorEastAsia"/>
                <w:bCs/>
                <w:sz w:val="16"/>
                <w:szCs w:val="16"/>
                <w:highlight w:val="yellow"/>
              </w:rPr>
            </w:pPr>
          </w:p>
        </w:tc>
        <w:tc>
          <w:tcPr>
            <w:tcW w:w="0" w:type="auto"/>
            <w:vAlign w:val="center"/>
          </w:tcPr>
          <w:p w14:paraId="0BBEE389">
            <w:pPr>
              <w:jc w:val="both"/>
              <w:textAlignment w:val="center"/>
              <w:rPr>
                <w:rFonts w:ascii="宋体" w:hAnsi="宋体" w:cstheme="minorEastAsia"/>
                <w:bCs/>
                <w:sz w:val="16"/>
                <w:szCs w:val="16"/>
                <w:highlight w:val="yellow"/>
              </w:rPr>
            </w:pPr>
          </w:p>
        </w:tc>
        <w:tc>
          <w:tcPr>
            <w:tcW w:w="0" w:type="auto"/>
            <w:vAlign w:val="center"/>
          </w:tcPr>
          <w:p w14:paraId="352BAA87">
            <w:pPr>
              <w:jc w:val="both"/>
              <w:textAlignment w:val="center"/>
              <w:rPr>
                <w:rFonts w:ascii="宋体" w:hAnsi="宋体" w:cstheme="minorEastAsia"/>
                <w:bCs/>
                <w:sz w:val="16"/>
                <w:szCs w:val="16"/>
                <w:highlight w:val="yellow"/>
              </w:rPr>
            </w:pPr>
          </w:p>
        </w:tc>
        <w:tc>
          <w:tcPr>
            <w:tcW w:w="0" w:type="auto"/>
            <w:shd w:val="clear" w:color="auto" w:fill="auto"/>
            <w:vAlign w:val="center"/>
          </w:tcPr>
          <w:p w14:paraId="6739D9E1">
            <w:pPr>
              <w:snapToGrid w:val="0"/>
              <w:jc w:val="both"/>
              <w:rPr>
                <w:rFonts w:ascii="宋体" w:hAnsi="宋体" w:cstheme="minorEastAsia"/>
                <w:bCs/>
                <w:sz w:val="16"/>
                <w:szCs w:val="16"/>
              </w:rPr>
            </w:pPr>
          </w:p>
        </w:tc>
      </w:tr>
      <w:tr w14:paraId="5E3C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2344ADF3">
            <w:pPr>
              <w:snapToGrid w:val="0"/>
              <w:jc w:val="both"/>
              <w:rPr>
                <w:rFonts w:ascii="宋体" w:hAnsi="宋体" w:cstheme="minorEastAsia"/>
                <w:bCs/>
                <w:sz w:val="16"/>
                <w:szCs w:val="16"/>
              </w:rPr>
            </w:pPr>
            <w:r>
              <w:rPr>
                <w:rFonts w:hint="eastAsia" w:ascii="宋体" w:hAnsi="宋体" w:cstheme="minorEastAsia"/>
                <w:bCs/>
                <w:sz w:val="16"/>
                <w:szCs w:val="16"/>
              </w:rPr>
              <w:t>2.1.2</w:t>
            </w:r>
          </w:p>
        </w:tc>
        <w:tc>
          <w:tcPr>
            <w:tcW w:w="1484" w:type="dxa"/>
            <w:tcBorders>
              <w:top w:val="single" w:color="auto" w:sz="4" w:space="0"/>
            </w:tcBorders>
            <w:vAlign w:val="center"/>
          </w:tcPr>
          <w:p w14:paraId="1CD1FC4D">
            <w:pPr>
              <w:snapToGrid w:val="0"/>
              <w:jc w:val="both"/>
              <w:rPr>
                <w:rFonts w:ascii="宋体" w:hAnsi="宋体"/>
                <w:sz w:val="16"/>
                <w:szCs w:val="16"/>
              </w:rPr>
            </w:pPr>
            <w:r>
              <w:rPr>
                <w:rFonts w:ascii="宋体" w:hAnsi="宋体"/>
                <w:sz w:val="16"/>
                <w:szCs w:val="16"/>
              </w:rPr>
              <w:t>Profinet/Modbus</w:t>
            </w:r>
            <w:r>
              <w:rPr>
                <w:rFonts w:hint="eastAsia" w:ascii="宋体" w:hAnsi="宋体"/>
                <w:sz w:val="16"/>
                <w:szCs w:val="16"/>
              </w:rPr>
              <w:t>网关</w:t>
            </w:r>
          </w:p>
        </w:tc>
        <w:tc>
          <w:tcPr>
            <w:tcW w:w="4601" w:type="dxa"/>
            <w:vAlign w:val="center"/>
          </w:tcPr>
          <w:p w14:paraId="3EC8D237">
            <w:pPr>
              <w:snapToGrid w:val="0"/>
              <w:jc w:val="both"/>
              <w:rPr>
                <w:rFonts w:ascii="宋体" w:hAnsi="宋体"/>
                <w:sz w:val="16"/>
                <w:szCs w:val="16"/>
              </w:rPr>
            </w:pPr>
            <w:r>
              <w:rPr>
                <w:rFonts w:hint="eastAsia" w:ascii="宋体" w:hAnsi="宋体"/>
                <w:sz w:val="16"/>
                <w:szCs w:val="16"/>
              </w:rPr>
              <w:t>通过网关接入生产线控制系统，网关供电要求</w:t>
            </w:r>
            <w:r>
              <w:rPr>
                <w:rFonts w:ascii="宋体" w:hAnsi="宋体"/>
                <w:sz w:val="16"/>
                <w:szCs w:val="16"/>
              </w:rPr>
              <w:t>:24VDC</w:t>
            </w:r>
            <w:r>
              <w:rPr>
                <w:rFonts w:hint="eastAsia" w:ascii="宋体" w:hAnsi="宋体"/>
                <w:sz w:val="16"/>
                <w:szCs w:val="16"/>
              </w:rPr>
              <w:t>，冗余双路电源输入</w:t>
            </w:r>
            <w:r>
              <w:rPr>
                <w:rFonts w:ascii="宋体" w:hAnsi="宋体"/>
                <w:sz w:val="16"/>
                <w:szCs w:val="16"/>
              </w:rPr>
              <w:t>,</w:t>
            </w:r>
            <w:r>
              <w:rPr>
                <w:rFonts w:hint="eastAsia" w:ascii="宋体" w:hAnsi="宋体"/>
                <w:sz w:val="16"/>
                <w:szCs w:val="16"/>
              </w:rPr>
              <w:t>集成</w:t>
            </w:r>
            <w:r>
              <w:rPr>
                <w:rFonts w:ascii="宋体" w:hAnsi="宋体"/>
                <w:sz w:val="16"/>
                <w:szCs w:val="16"/>
              </w:rPr>
              <w:t>3</w:t>
            </w:r>
            <w:r>
              <w:rPr>
                <w:rFonts w:hint="eastAsia" w:ascii="宋体" w:hAnsi="宋体"/>
                <w:sz w:val="16"/>
                <w:szCs w:val="16"/>
              </w:rPr>
              <w:t>路</w:t>
            </w:r>
            <w:r>
              <w:rPr>
                <w:rFonts w:ascii="宋体" w:hAnsi="宋体"/>
                <w:sz w:val="16"/>
                <w:szCs w:val="16"/>
              </w:rPr>
              <w:t>Modbus(RS485)</w:t>
            </w:r>
            <w:r>
              <w:rPr>
                <w:rFonts w:hint="eastAsia" w:ascii="宋体" w:hAnsi="宋体"/>
                <w:sz w:val="16"/>
                <w:szCs w:val="16"/>
              </w:rPr>
              <w:t>传感器。</w:t>
            </w:r>
          </w:p>
        </w:tc>
        <w:tc>
          <w:tcPr>
            <w:tcW w:w="2022" w:type="dxa"/>
            <w:vAlign w:val="center"/>
          </w:tcPr>
          <w:p w14:paraId="39356352">
            <w:pPr>
              <w:snapToGrid w:val="0"/>
              <w:jc w:val="both"/>
              <w:rPr>
                <w:rFonts w:ascii="宋体" w:hAnsi="宋体" w:cstheme="minorEastAsia"/>
                <w:bCs/>
                <w:sz w:val="16"/>
                <w:szCs w:val="16"/>
              </w:rPr>
            </w:pPr>
          </w:p>
        </w:tc>
        <w:tc>
          <w:tcPr>
            <w:tcW w:w="0" w:type="auto"/>
            <w:vAlign w:val="center"/>
          </w:tcPr>
          <w:p w14:paraId="50300460">
            <w:pPr>
              <w:jc w:val="both"/>
              <w:textAlignment w:val="center"/>
              <w:rPr>
                <w:rFonts w:ascii="宋体" w:hAnsi="宋体" w:cstheme="minorEastAsia"/>
                <w:bCs/>
                <w:sz w:val="16"/>
                <w:szCs w:val="16"/>
              </w:rPr>
            </w:pPr>
          </w:p>
        </w:tc>
        <w:tc>
          <w:tcPr>
            <w:tcW w:w="0" w:type="auto"/>
            <w:vAlign w:val="center"/>
          </w:tcPr>
          <w:p w14:paraId="5D24AA92">
            <w:pPr>
              <w:jc w:val="both"/>
              <w:textAlignment w:val="center"/>
              <w:rPr>
                <w:rFonts w:ascii="宋体" w:hAnsi="宋体" w:cstheme="minorEastAsia"/>
                <w:bCs/>
                <w:sz w:val="16"/>
                <w:szCs w:val="16"/>
              </w:rPr>
            </w:pPr>
          </w:p>
        </w:tc>
        <w:tc>
          <w:tcPr>
            <w:tcW w:w="1016" w:type="dxa"/>
            <w:vAlign w:val="center"/>
          </w:tcPr>
          <w:p w14:paraId="62B078C1">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27157C86">
            <w:pPr>
              <w:jc w:val="both"/>
              <w:textAlignment w:val="center"/>
              <w:rPr>
                <w:rFonts w:ascii="宋体" w:hAnsi="宋体"/>
                <w:sz w:val="16"/>
                <w:szCs w:val="16"/>
              </w:rPr>
            </w:pPr>
            <w:r>
              <w:rPr>
                <w:rFonts w:ascii="宋体" w:hAnsi="宋体"/>
                <w:sz w:val="16"/>
                <w:szCs w:val="16"/>
              </w:rPr>
              <w:t>4</w:t>
            </w:r>
          </w:p>
        </w:tc>
        <w:tc>
          <w:tcPr>
            <w:tcW w:w="0" w:type="auto"/>
            <w:vAlign w:val="center"/>
          </w:tcPr>
          <w:p w14:paraId="7E56F68B">
            <w:pPr>
              <w:jc w:val="both"/>
              <w:textAlignment w:val="center"/>
              <w:rPr>
                <w:rFonts w:ascii="宋体" w:hAnsi="宋体" w:cstheme="minorEastAsia"/>
                <w:bCs/>
                <w:sz w:val="16"/>
                <w:szCs w:val="16"/>
                <w:highlight w:val="yellow"/>
              </w:rPr>
            </w:pPr>
          </w:p>
        </w:tc>
        <w:tc>
          <w:tcPr>
            <w:tcW w:w="0" w:type="auto"/>
            <w:vAlign w:val="center"/>
          </w:tcPr>
          <w:p w14:paraId="693D38D7">
            <w:pPr>
              <w:jc w:val="both"/>
              <w:textAlignment w:val="center"/>
              <w:rPr>
                <w:rFonts w:ascii="宋体" w:hAnsi="宋体" w:cstheme="minorEastAsia"/>
                <w:bCs/>
                <w:sz w:val="16"/>
                <w:szCs w:val="16"/>
                <w:highlight w:val="yellow"/>
              </w:rPr>
            </w:pPr>
          </w:p>
        </w:tc>
        <w:tc>
          <w:tcPr>
            <w:tcW w:w="0" w:type="auto"/>
            <w:vAlign w:val="center"/>
          </w:tcPr>
          <w:p w14:paraId="6CBA842B">
            <w:pPr>
              <w:jc w:val="both"/>
              <w:textAlignment w:val="center"/>
              <w:rPr>
                <w:rFonts w:ascii="宋体" w:hAnsi="宋体" w:cstheme="minorEastAsia"/>
                <w:bCs/>
                <w:sz w:val="16"/>
                <w:szCs w:val="16"/>
                <w:highlight w:val="yellow"/>
              </w:rPr>
            </w:pPr>
          </w:p>
        </w:tc>
        <w:tc>
          <w:tcPr>
            <w:tcW w:w="0" w:type="auto"/>
            <w:shd w:val="clear" w:color="auto" w:fill="auto"/>
            <w:vAlign w:val="center"/>
          </w:tcPr>
          <w:p w14:paraId="4A6D4D52">
            <w:pPr>
              <w:snapToGrid w:val="0"/>
              <w:jc w:val="both"/>
              <w:rPr>
                <w:rFonts w:ascii="宋体" w:hAnsi="宋体" w:cstheme="minorEastAsia"/>
                <w:bCs/>
                <w:sz w:val="16"/>
                <w:szCs w:val="16"/>
              </w:rPr>
            </w:pPr>
          </w:p>
        </w:tc>
      </w:tr>
      <w:tr w14:paraId="5F3F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D81A9F3">
            <w:pPr>
              <w:snapToGrid w:val="0"/>
              <w:jc w:val="both"/>
              <w:rPr>
                <w:rFonts w:ascii="宋体" w:hAnsi="宋体" w:cstheme="minorEastAsia"/>
                <w:bCs/>
                <w:sz w:val="16"/>
                <w:szCs w:val="16"/>
              </w:rPr>
            </w:pPr>
            <w:r>
              <w:rPr>
                <w:rFonts w:ascii="宋体" w:hAnsi="宋体"/>
                <w:sz w:val="16"/>
                <w:szCs w:val="16"/>
              </w:rPr>
              <w:t>2.1.3</w:t>
            </w:r>
          </w:p>
        </w:tc>
        <w:tc>
          <w:tcPr>
            <w:tcW w:w="1484" w:type="dxa"/>
            <w:tcBorders>
              <w:top w:val="single" w:color="auto" w:sz="4" w:space="0"/>
            </w:tcBorders>
            <w:vAlign w:val="center"/>
          </w:tcPr>
          <w:p w14:paraId="42618620">
            <w:pPr>
              <w:snapToGrid w:val="0"/>
              <w:jc w:val="both"/>
              <w:rPr>
                <w:rFonts w:ascii="宋体" w:hAnsi="宋体"/>
                <w:sz w:val="16"/>
                <w:szCs w:val="16"/>
              </w:rPr>
            </w:pPr>
            <w:r>
              <w:rPr>
                <w:rFonts w:hint="eastAsia" w:ascii="宋体" w:hAnsi="宋体"/>
                <w:sz w:val="16"/>
                <w:szCs w:val="16"/>
              </w:rPr>
              <w:t>传感器阀门位置反馈装置（接近开关改造）</w:t>
            </w:r>
          </w:p>
        </w:tc>
        <w:tc>
          <w:tcPr>
            <w:tcW w:w="4601" w:type="dxa"/>
            <w:vAlign w:val="center"/>
          </w:tcPr>
          <w:p w14:paraId="326351F7">
            <w:pPr>
              <w:snapToGrid w:val="0"/>
              <w:jc w:val="both"/>
              <w:rPr>
                <w:rFonts w:ascii="宋体" w:hAnsi="宋体"/>
                <w:sz w:val="16"/>
                <w:szCs w:val="16"/>
              </w:rPr>
            </w:pPr>
            <w:r>
              <w:rPr>
                <w:rFonts w:ascii="宋体" w:hAnsi="宋体"/>
                <w:sz w:val="16"/>
                <w:szCs w:val="16"/>
              </w:rPr>
              <w:t>2</w:t>
            </w:r>
            <w:r>
              <w:rPr>
                <w:rFonts w:hint="eastAsia" w:ascii="宋体" w:hAnsi="宋体"/>
                <w:sz w:val="16"/>
                <w:szCs w:val="16"/>
              </w:rPr>
              <w:t>对接近开关组合</w:t>
            </w:r>
            <w:r>
              <w:rPr>
                <w:rFonts w:ascii="宋体" w:hAnsi="宋体"/>
                <w:sz w:val="16"/>
                <w:szCs w:val="16"/>
              </w:rPr>
              <w:t>:( 1.</w:t>
            </w:r>
            <w:r>
              <w:rPr>
                <w:rFonts w:hint="eastAsia" w:ascii="宋体" w:hAnsi="宋体"/>
                <w:sz w:val="16"/>
                <w:szCs w:val="16"/>
              </w:rPr>
              <w:t>电感式传感器；</w:t>
            </w:r>
            <w:r>
              <w:rPr>
                <w:rFonts w:ascii="宋体" w:hAnsi="宋体"/>
                <w:sz w:val="16"/>
                <w:szCs w:val="16"/>
              </w:rPr>
              <w:t>2.24VDC,3.PNP</w:t>
            </w:r>
            <w:r>
              <w:rPr>
                <w:rFonts w:hint="eastAsia" w:ascii="宋体" w:hAnsi="宋体"/>
                <w:sz w:val="16"/>
                <w:szCs w:val="16"/>
              </w:rPr>
              <w:t>；</w:t>
            </w:r>
            <w:r>
              <w:rPr>
                <w:rFonts w:ascii="宋体" w:hAnsi="宋体"/>
                <w:sz w:val="16"/>
                <w:szCs w:val="16"/>
              </w:rPr>
              <w:t>4.</w:t>
            </w:r>
            <w:r>
              <w:rPr>
                <w:rFonts w:hint="eastAsia" w:ascii="宋体" w:hAnsi="宋体"/>
                <w:sz w:val="16"/>
                <w:szCs w:val="16"/>
              </w:rPr>
              <w:t>使用于阀门位置反馈（</w:t>
            </w:r>
            <w:r>
              <w:rPr>
                <w:rFonts w:ascii="宋体" w:hAnsi="宋体"/>
                <w:sz w:val="16"/>
                <w:szCs w:val="16"/>
              </w:rPr>
              <w:t>SAMSON</w:t>
            </w:r>
            <w:r>
              <w:rPr>
                <w:rFonts w:hint="eastAsia" w:ascii="宋体" w:hAnsi="宋体"/>
                <w:sz w:val="16"/>
                <w:szCs w:val="16"/>
              </w:rPr>
              <w:t>开关阀）</w:t>
            </w:r>
            <w:r>
              <w:rPr>
                <w:rFonts w:ascii="宋体" w:hAnsi="宋体"/>
                <w:sz w:val="16"/>
                <w:szCs w:val="16"/>
              </w:rPr>
              <w:t>)</w:t>
            </w:r>
          </w:p>
        </w:tc>
        <w:tc>
          <w:tcPr>
            <w:tcW w:w="2022" w:type="dxa"/>
            <w:vAlign w:val="center"/>
          </w:tcPr>
          <w:p w14:paraId="274C507E">
            <w:pPr>
              <w:snapToGrid w:val="0"/>
              <w:jc w:val="both"/>
              <w:rPr>
                <w:rFonts w:ascii="宋体" w:hAnsi="宋体" w:cstheme="minorEastAsia"/>
                <w:bCs/>
                <w:sz w:val="16"/>
                <w:szCs w:val="16"/>
              </w:rPr>
            </w:pPr>
          </w:p>
        </w:tc>
        <w:tc>
          <w:tcPr>
            <w:tcW w:w="0" w:type="auto"/>
            <w:vAlign w:val="center"/>
          </w:tcPr>
          <w:p w14:paraId="35B8AA7F">
            <w:pPr>
              <w:jc w:val="both"/>
              <w:textAlignment w:val="center"/>
              <w:rPr>
                <w:rFonts w:ascii="宋体" w:hAnsi="宋体" w:cstheme="minorEastAsia"/>
                <w:bCs/>
                <w:sz w:val="16"/>
                <w:szCs w:val="16"/>
              </w:rPr>
            </w:pPr>
          </w:p>
        </w:tc>
        <w:tc>
          <w:tcPr>
            <w:tcW w:w="0" w:type="auto"/>
            <w:vAlign w:val="center"/>
          </w:tcPr>
          <w:p w14:paraId="087190DF">
            <w:pPr>
              <w:jc w:val="both"/>
              <w:textAlignment w:val="center"/>
              <w:rPr>
                <w:rFonts w:ascii="宋体" w:hAnsi="宋体" w:cstheme="minorEastAsia"/>
                <w:bCs/>
                <w:sz w:val="16"/>
                <w:szCs w:val="16"/>
              </w:rPr>
            </w:pPr>
          </w:p>
        </w:tc>
        <w:tc>
          <w:tcPr>
            <w:tcW w:w="1016" w:type="dxa"/>
            <w:vAlign w:val="center"/>
          </w:tcPr>
          <w:p w14:paraId="07CF8079">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3E80640B">
            <w:pPr>
              <w:jc w:val="both"/>
              <w:textAlignment w:val="center"/>
              <w:rPr>
                <w:rFonts w:ascii="宋体" w:hAnsi="宋体"/>
                <w:sz w:val="16"/>
                <w:szCs w:val="16"/>
              </w:rPr>
            </w:pPr>
            <w:r>
              <w:rPr>
                <w:rFonts w:ascii="宋体" w:hAnsi="宋体"/>
                <w:sz w:val="16"/>
                <w:szCs w:val="16"/>
              </w:rPr>
              <w:t>11</w:t>
            </w:r>
          </w:p>
        </w:tc>
        <w:tc>
          <w:tcPr>
            <w:tcW w:w="0" w:type="auto"/>
            <w:vAlign w:val="center"/>
          </w:tcPr>
          <w:p w14:paraId="5E8ADBC7">
            <w:pPr>
              <w:jc w:val="both"/>
              <w:textAlignment w:val="center"/>
              <w:rPr>
                <w:rFonts w:ascii="宋体" w:hAnsi="宋体" w:cstheme="minorEastAsia"/>
                <w:bCs/>
                <w:sz w:val="16"/>
                <w:szCs w:val="16"/>
                <w:highlight w:val="yellow"/>
              </w:rPr>
            </w:pPr>
          </w:p>
        </w:tc>
        <w:tc>
          <w:tcPr>
            <w:tcW w:w="0" w:type="auto"/>
            <w:vAlign w:val="center"/>
          </w:tcPr>
          <w:p w14:paraId="101E3CB5">
            <w:pPr>
              <w:jc w:val="both"/>
              <w:textAlignment w:val="center"/>
              <w:rPr>
                <w:rFonts w:ascii="宋体" w:hAnsi="宋体" w:cstheme="minorEastAsia"/>
                <w:bCs/>
                <w:sz w:val="16"/>
                <w:szCs w:val="16"/>
                <w:highlight w:val="yellow"/>
              </w:rPr>
            </w:pPr>
          </w:p>
        </w:tc>
        <w:tc>
          <w:tcPr>
            <w:tcW w:w="0" w:type="auto"/>
            <w:vAlign w:val="center"/>
          </w:tcPr>
          <w:p w14:paraId="730BB64E">
            <w:pPr>
              <w:jc w:val="both"/>
              <w:textAlignment w:val="center"/>
              <w:rPr>
                <w:rFonts w:ascii="宋体" w:hAnsi="宋体" w:cstheme="minorEastAsia"/>
                <w:bCs/>
                <w:sz w:val="16"/>
                <w:szCs w:val="16"/>
                <w:highlight w:val="yellow"/>
              </w:rPr>
            </w:pPr>
          </w:p>
        </w:tc>
        <w:tc>
          <w:tcPr>
            <w:tcW w:w="0" w:type="auto"/>
            <w:shd w:val="clear" w:color="auto" w:fill="auto"/>
            <w:vAlign w:val="center"/>
          </w:tcPr>
          <w:p w14:paraId="235DC446">
            <w:pPr>
              <w:snapToGrid w:val="0"/>
              <w:jc w:val="both"/>
              <w:rPr>
                <w:rFonts w:ascii="宋体" w:hAnsi="宋体" w:cstheme="minorEastAsia"/>
                <w:bCs/>
                <w:sz w:val="16"/>
                <w:szCs w:val="16"/>
              </w:rPr>
            </w:pPr>
          </w:p>
        </w:tc>
      </w:tr>
      <w:tr w14:paraId="50CF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8779B72">
            <w:pPr>
              <w:snapToGrid w:val="0"/>
              <w:jc w:val="both"/>
              <w:rPr>
                <w:rFonts w:ascii="宋体" w:hAnsi="宋体" w:cstheme="minorEastAsia"/>
                <w:bCs/>
                <w:sz w:val="16"/>
                <w:szCs w:val="16"/>
              </w:rPr>
            </w:pPr>
            <w:r>
              <w:rPr>
                <w:rFonts w:ascii="宋体" w:hAnsi="宋体"/>
                <w:sz w:val="16"/>
                <w:szCs w:val="16"/>
              </w:rPr>
              <w:t>2.1.4</w:t>
            </w:r>
          </w:p>
        </w:tc>
        <w:tc>
          <w:tcPr>
            <w:tcW w:w="1484" w:type="dxa"/>
            <w:tcBorders>
              <w:top w:val="single" w:color="auto" w:sz="4" w:space="0"/>
            </w:tcBorders>
            <w:vAlign w:val="center"/>
          </w:tcPr>
          <w:p w14:paraId="5F933C4E">
            <w:pPr>
              <w:snapToGrid w:val="0"/>
              <w:jc w:val="both"/>
              <w:rPr>
                <w:rFonts w:ascii="宋体" w:hAnsi="宋体"/>
                <w:sz w:val="16"/>
                <w:szCs w:val="16"/>
              </w:rPr>
            </w:pPr>
            <w:r>
              <w:rPr>
                <w:rFonts w:hint="eastAsia" w:ascii="宋体" w:hAnsi="宋体"/>
                <w:sz w:val="16"/>
                <w:szCs w:val="16"/>
              </w:rPr>
              <w:t>传感器阀门位置反馈装置（角阀）</w:t>
            </w:r>
          </w:p>
        </w:tc>
        <w:tc>
          <w:tcPr>
            <w:tcW w:w="4601" w:type="dxa"/>
            <w:vAlign w:val="center"/>
          </w:tcPr>
          <w:p w14:paraId="2E7D58A6">
            <w:pPr>
              <w:snapToGrid w:val="0"/>
              <w:jc w:val="both"/>
              <w:rPr>
                <w:rFonts w:ascii="宋体" w:hAnsi="宋体"/>
                <w:sz w:val="16"/>
                <w:szCs w:val="16"/>
              </w:rPr>
            </w:pPr>
            <w:r>
              <w:rPr>
                <w:rFonts w:hint="eastAsia" w:ascii="宋体" w:hAnsi="宋体"/>
                <w:sz w:val="16"/>
                <w:szCs w:val="16"/>
              </w:rPr>
              <w:t>角座阀位开关：</w:t>
            </w:r>
            <w:r>
              <w:rPr>
                <w:rFonts w:ascii="宋体" w:hAnsi="宋体"/>
                <w:sz w:val="16"/>
                <w:szCs w:val="16"/>
              </w:rPr>
              <w:br w:type="textWrapping"/>
            </w:r>
            <w:r>
              <w:rPr>
                <w:rFonts w:ascii="宋体" w:hAnsi="宋体"/>
                <w:sz w:val="16"/>
                <w:szCs w:val="16"/>
              </w:rPr>
              <w:t>1.</w:t>
            </w:r>
            <w:r>
              <w:rPr>
                <w:rFonts w:hint="eastAsia" w:ascii="宋体" w:hAnsi="宋体"/>
                <w:sz w:val="16"/>
                <w:szCs w:val="16"/>
              </w:rPr>
              <w:t>信号反馈装置</w:t>
            </w:r>
            <w:r>
              <w:rPr>
                <w:rFonts w:ascii="宋体" w:hAnsi="宋体"/>
                <w:sz w:val="16"/>
                <w:szCs w:val="16"/>
              </w:rPr>
              <w:t xml:space="preserve"> </w:t>
            </w:r>
            <w:r>
              <w:rPr>
                <w:rFonts w:hint="eastAsia" w:ascii="宋体" w:hAnsi="宋体"/>
                <w:sz w:val="16"/>
                <w:szCs w:val="16"/>
              </w:rPr>
              <w:t>；</w:t>
            </w:r>
            <w:r>
              <w:rPr>
                <w:rFonts w:ascii="宋体" w:hAnsi="宋体"/>
                <w:sz w:val="16"/>
                <w:szCs w:val="16"/>
              </w:rPr>
              <w:br w:type="textWrapping"/>
            </w:r>
            <w:r>
              <w:rPr>
                <w:rFonts w:ascii="宋体" w:hAnsi="宋体"/>
                <w:sz w:val="16"/>
                <w:szCs w:val="16"/>
              </w:rPr>
              <w:t>2.</w:t>
            </w:r>
            <w:r>
              <w:rPr>
                <w:rFonts w:hint="eastAsia" w:ascii="宋体" w:hAnsi="宋体"/>
                <w:sz w:val="16"/>
                <w:szCs w:val="16"/>
              </w:rPr>
              <w:t>外螺纹与角座阀配套；</w:t>
            </w:r>
            <w:r>
              <w:rPr>
                <w:rFonts w:ascii="宋体" w:hAnsi="宋体"/>
                <w:sz w:val="16"/>
                <w:szCs w:val="16"/>
              </w:rPr>
              <w:br w:type="textWrapping"/>
            </w:r>
            <w:r>
              <w:rPr>
                <w:rFonts w:ascii="宋体" w:hAnsi="宋体"/>
                <w:sz w:val="16"/>
                <w:szCs w:val="16"/>
              </w:rPr>
              <w:t>3.DC12V-48V</w:t>
            </w:r>
            <w:r>
              <w:rPr>
                <w:rFonts w:hint="eastAsia" w:ascii="宋体" w:hAnsi="宋体"/>
                <w:sz w:val="16"/>
                <w:szCs w:val="16"/>
              </w:rPr>
              <w:t>；</w:t>
            </w:r>
          </w:p>
        </w:tc>
        <w:tc>
          <w:tcPr>
            <w:tcW w:w="2022" w:type="dxa"/>
            <w:vAlign w:val="center"/>
          </w:tcPr>
          <w:p w14:paraId="19BEA9C1">
            <w:pPr>
              <w:snapToGrid w:val="0"/>
              <w:jc w:val="both"/>
              <w:rPr>
                <w:rFonts w:ascii="宋体" w:hAnsi="宋体" w:cstheme="minorEastAsia"/>
                <w:bCs/>
                <w:sz w:val="16"/>
                <w:szCs w:val="16"/>
              </w:rPr>
            </w:pPr>
          </w:p>
        </w:tc>
        <w:tc>
          <w:tcPr>
            <w:tcW w:w="0" w:type="auto"/>
            <w:vAlign w:val="center"/>
          </w:tcPr>
          <w:p w14:paraId="42831599">
            <w:pPr>
              <w:jc w:val="both"/>
              <w:textAlignment w:val="center"/>
              <w:rPr>
                <w:rFonts w:ascii="宋体" w:hAnsi="宋体" w:cstheme="minorEastAsia"/>
                <w:bCs/>
                <w:sz w:val="16"/>
                <w:szCs w:val="16"/>
              </w:rPr>
            </w:pPr>
          </w:p>
        </w:tc>
        <w:tc>
          <w:tcPr>
            <w:tcW w:w="0" w:type="auto"/>
            <w:vAlign w:val="center"/>
          </w:tcPr>
          <w:p w14:paraId="39E0692C">
            <w:pPr>
              <w:jc w:val="both"/>
              <w:textAlignment w:val="center"/>
              <w:rPr>
                <w:rFonts w:ascii="宋体" w:hAnsi="宋体" w:cstheme="minorEastAsia"/>
                <w:bCs/>
                <w:sz w:val="16"/>
                <w:szCs w:val="16"/>
              </w:rPr>
            </w:pPr>
          </w:p>
        </w:tc>
        <w:tc>
          <w:tcPr>
            <w:tcW w:w="1016" w:type="dxa"/>
            <w:vAlign w:val="center"/>
          </w:tcPr>
          <w:p w14:paraId="712F879C">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47726894">
            <w:pPr>
              <w:jc w:val="both"/>
              <w:textAlignment w:val="center"/>
              <w:rPr>
                <w:rFonts w:ascii="宋体" w:hAnsi="宋体"/>
                <w:sz w:val="16"/>
                <w:szCs w:val="16"/>
              </w:rPr>
            </w:pPr>
            <w:r>
              <w:rPr>
                <w:rFonts w:ascii="宋体" w:hAnsi="宋体"/>
                <w:sz w:val="16"/>
                <w:szCs w:val="16"/>
              </w:rPr>
              <w:t>10</w:t>
            </w:r>
          </w:p>
        </w:tc>
        <w:tc>
          <w:tcPr>
            <w:tcW w:w="0" w:type="auto"/>
            <w:vAlign w:val="center"/>
          </w:tcPr>
          <w:p w14:paraId="0B22C7D1">
            <w:pPr>
              <w:jc w:val="both"/>
              <w:textAlignment w:val="center"/>
              <w:rPr>
                <w:rFonts w:ascii="宋体" w:hAnsi="宋体" w:cstheme="minorEastAsia"/>
                <w:bCs/>
                <w:sz w:val="16"/>
                <w:szCs w:val="16"/>
                <w:highlight w:val="yellow"/>
              </w:rPr>
            </w:pPr>
          </w:p>
        </w:tc>
        <w:tc>
          <w:tcPr>
            <w:tcW w:w="0" w:type="auto"/>
            <w:vAlign w:val="center"/>
          </w:tcPr>
          <w:p w14:paraId="50584C6E">
            <w:pPr>
              <w:jc w:val="both"/>
              <w:textAlignment w:val="center"/>
              <w:rPr>
                <w:rFonts w:ascii="宋体" w:hAnsi="宋体" w:cstheme="minorEastAsia"/>
                <w:bCs/>
                <w:sz w:val="16"/>
                <w:szCs w:val="16"/>
                <w:highlight w:val="yellow"/>
              </w:rPr>
            </w:pPr>
          </w:p>
        </w:tc>
        <w:tc>
          <w:tcPr>
            <w:tcW w:w="0" w:type="auto"/>
            <w:vAlign w:val="center"/>
          </w:tcPr>
          <w:p w14:paraId="6678F7F1">
            <w:pPr>
              <w:jc w:val="both"/>
              <w:textAlignment w:val="center"/>
              <w:rPr>
                <w:rFonts w:ascii="宋体" w:hAnsi="宋体" w:cstheme="minorEastAsia"/>
                <w:bCs/>
                <w:sz w:val="16"/>
                <w:szCs w:val="16"/>
                <w:highlight w:val="yellow"/>
              </w:rPr>
            </w:pPr>
          </w:p>
        </w:tc>
        <w:tc>
          <w:tcPr>
            <w:tcW w:w="0" w:type="auto"/>
            <w:shd w:val="clear" w:color="auto" w:fill="auto"/>
            <w:vAlign w:val="center"/>
          </w:tcPr>
          <w:p w14:paraId="49CCCC8A">
            <w:pPr>
              <w:snapToGrid w:val="0"/>
              <w:jc w:val="both"/>
              <w:rPr>
                <w:rFonts w:ascii="宋体" w:hAnsi="宋体" w:cstheme="minorEastAsia"/>
                <w:bCs/>
                <w:sz w:val="16"/>
                <w:szCs w:val="16"/>
              </w:rPr>
            </w:pPr>
          </w:p>
        </w:tc>
      </w:tr>
      <w:tr w14:paraId="37E6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562044C">
            <w:pPr>
              <w:snapToGrid w:val="0"/>
              <w:jc w:val="both"/>
              <w:rPr>
                <w:rFonts w:ascii="宋体" w:hAnsi="宋体" w:cstheme="minorEastAsia"/>
                <w:bCs/>
                <w:sz w:val="16"/>
                <w:szCs w:val="16"/>
              </w:rPr>
            </w:pPr>
            <w:r>
              <w:rPr>
                <w:rFonts w:ascii="宋体" w:hAnsi="宋体"/>
                <w:sz w:val="16"/>
                <w:szCs w:val="16"/>
              </w:rPr>
              <w:t>2.1.5</w:t>
            </w:r>
          </w:p>
        </w:tc>
        <w:tc>
          <w:tcPr>
            <w:tcW w:w="1484" w:type="dxa"/>
            <w:tcBorders>
              <w:top w:val="single" w:color="auto" w:sz="4" w:space="0"/>
            </w:tcBorders>
            <w:vAlign w:val="center"/>
          </w:tcPr>
          <w:p w14:paraId="5C4B9E6A">
            <w:pPr>
              <w:snapToGrid w:val="0"/>
              <w:jc w:val="both"/>
              <w:rPr>
                <w:rFonts w:ascii="宋体" w:hAnsi="宋体"/>
                <w:sz w:val="16"/>
                <w:szCs w:val="16"/>
              </w:rPr>
            </w:pPr>
            <w:r>
              <w:rPr>
                <w:rFonts w:hint="eastAsia" w:ascii="宋体" w:hAnsi="宋体"/>
                <w:sz w:val="16"/>
                <w:szCs w:val="16"/>
              </w:rPr>
              <w:t>网关</w:t>
            </w:r>
            <w:r>
              <w:rPr>
                <w:rFonts w:ascii="宋体" w:hAnsi="宋体"/>
                <w:sz w:val="16"/>
                <w:szCs w:val="16"/>
              </w:rPr>
              <w:t xml:space="preserve"> </w:t>
            </w:r>
          </w:p>
        </w:tc>
        <w:tc>
          <w:tcPr>
            <w:tcW w:w="4601" w:type="dxa"/>
            <w:vAlign w:val="center"/>
          </w:tcPr>
          <w:p w14:paraId="5C093B4C">
            <w:pPr>
              <w:snapToGrid w:val="0"/>
              <w:jc w:val="both"/>
              <w:rPr>
                <w:rFonts w:ascii="宋体" w:hAnsi="宋体"/>
                <w:sz w:val="16"/>
                <w:szCs w:val="16"/>
              </w:rPr>
            </w:pPr>
            <w:r>
              <w:rPr>
                <w:rFonts w:hint="eastAsia" w:ascii="宋体" w:hAnsi="宋体"/>
                <w:sz w:val="16"/>
                <w:szCs w:val="16"/>
              </w:rPr>
              <w:t>在工业以太网和</w:t>
            </w:r>
            <w:r>
              <w:rPr>
                <w:rFonts w:ascii="宋体" w:hAnsi="宋体"/>
                <w:sz w:val="16"/>
                <w:szCs w:val="16"/>
              </w:rPr>
              <w:t>PROFIBUS</w:t>
            </w:r>
            <w:r>
              <w:rPr>
                <w:rFonts w:hint="eastAsia" w:ascii="宋体" w:hAnsi="宋体"/>
                <w:sz w:val="16"/>
                <w:szCs w:val="16"/>
              </w:rPr>
              <w:t>，</w:t>
            </w:r>
            <w:r>
              <w:rPr>
                <w:rFonts w:ascii="宋体" w:hAnsi="宋体"/>
                <w:sz w:val="16"/>
                <w:szCs w:val="16"/>
              </w:rPr>
              <w:t xml:space="preserve">PROFINET IO-Proxy </w:t>
            </w:r>
            <w:r>
              <w:rPr>
                <w:rFonts w:hint="eastAsia" w:ascii="宋体" w:hAnsi="宋体"/>
                <w:sz w:val="16"/>
                <w:szCs w:val="16"/>
              </w:rPr>
              <w:t>带实时通信，连接</w:t>
            </w:r>
            <w:r>
              <w:rPr>
                <w:rFonts w:ascii="宋体" w:hAnsi="宋体"/>
                <w:sz w:val="16"/>
                <w:szCs w:val="16"/>
              </w:rPr>
              <w:t>A</w:t>
            </w:r>
            <w:r>
              <w:rPr>
                <w:rFonts w:hint="eastAsia" w:ascii="宋体" w:hAnsi="宋体"/>
                <w:sz w:val="16"/>
                <w:szCs w:val="16"/>
              </w:rPr>
              <w:t>最多</w:t>
            </w:r>
            <w:r>
              <w:rPr>
                <w:rFonts w:ascii="宋体" w:hAnsi="宋体"/>
                <w:sz w:val="16"/>
                <w:szCs w:val="16"/>
              </w:rPr>
              <w:t xml:space="preserve"> 64 </w:t>
            </w:r>
            <w:r>
              <w:rPr>
                <w:rFonts w:hint="eastAsia" w:ascii="宋体" w:hAnsi="宋体"/>
                <w:sz w:val="16"/>
                <w:szCs w:val="16"/>
              </w:rPr>
              <w:t>个</w:t>
            </w:r>
            <w:r>
              <w:rPr>
                <w:rFonts w:ascii="宋体" w:hAnsi="宋体"/>
                <w:sz w:val="16"/>
                <w:szCs w:val="16"/>
              </w:rPr>
              <w:t xml:space="preserve"> S7/DPV0/DPV1</w:t>
            </w:r>
            <w:r>
              <w:rPr>
                <w:rFonts w:hint="eastAsia" w:ascii="宋体" w:hAnsi="宋体"/>
                <w:sz w:val="16"/>
                <w:szCs w:val="16"/>
              </w:rPr>
              <w:t>从站</w:t>
            </w:r>
          </w:p>
        </w:tc>
        <w:tc>
          <w:tcPr>
            <w:tcW w:w="2022" w:type="dxa"/>
            <w:vAlign w:val="center"/>
          </w:tcPr>
          <w:p w14:paraId="6934B6F0">
            <w:pPr>
              <w:snapToGrid w:val="0"/>
              <w:jc w:val="both"/>
              <w:rPr>
                <w:rFonts w:ascii="宋体" w:hAnsi="宋体" w:cstheme="minorEastAsia"/>
                <w:bCs/>
                <w:sz w:val="16"/>
                <w:szCs w:val="16"/>
              </w:rPr>
            </w:pPr>
          </w:p>
        </w:tc>
        <w:tc>
          <w:tcPr>
            <w:tcW w:w="0" w:type="auto"/>
            <w:vAlign w:val="center"/>
          </w:tcPr>
          <w:p w14:paraId="265AF758">
            <w:pPr>
              <w:jc w:val="both"/>
              <w:textAlignment w:val="center"/>
              <w:rPr>
                <w:rFonts w:ascii="宋体" w:hAnsi="宋体" w:cstheme="minorEastAsia"/>
                <w:bCs/>
                <w:sz w:val="16"/>
                <w:szCs w:val="16"/>
              </w:rPr>
            </w:pPr>
          </w:p>
        </w:tc>
        <w:tc>
          <w:tcPr>
            <w:tcW w:w="0" w:type="auto"/>
            <w:vAlign w:val="center"/>
          </w:tcPr>
          <w:p w14:paraId="0ACFC2DD">
            <w:pPr>
              <w:jc w:val="both"/>
              <w:textAlignment w:val="center"/>
              <w:rPr>
                <w:rFonts w:ascii="宋体" w:hAnsi="宋体" w:cstheme="minorEastAsia"/>
                <w:bCs/>
                <w:sz w:val="16"/>
                <w:szCs w:val="16"/>
              </w:rPr>
            </w:pPr>
          </w:p>
        </w:tc>
        <w:tc>
          <w:tcPr>
            <w:tcW w:w="1016" w:type="dxa"/>
            <w:vAlign w:val="center"/>
          </w:tcPr>
          <w:p w14:paraId="5F734E3B">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658D253E">
            <w:pPr>
              <w:jc w:val="both"/>
              <w:textAlignment w:val="center"/>
              <w:rPr>
                <w:rFonts w:ascii="宋体" w:hAnsi="宋体"/>
                <w:sz w:val="16"/>
                <w:szCs w:val="16"/>
              </w:rPr>
            </w:pPr>
            <w:r>
              <w:rPr>
                <w:rFonts w:ascii="宋体" w:hAnsi="宋体"/>
                <w:sz w:val="16"/>
                <w:szCs w:val="16"/>
              </w:rPr>
              <w:t>4</w:t>
            </w:r>
          </w:p>
        </w:tc>
        <w:tc>
          <w:tcPr>
            <w:tcW w:w="0" w:type="auto"/>
            <w:vAlign w:val="center"/>
          </w:tcPr>
          <w:p w14:paraId="72DAA65E">
            <w:pPr>
              <w:jc w:val="both"/>
              <w:textAlignment w:val="center"/>
              <w:rPr>
                <w:rFonts w:ascii="宋体" w:hAnsi="宋体" w:cstheme="minorEastAsia"/>
                <w:bCs/>
                <w:sz w:val="16"/>
                <w:szCs w:val="16"/>
                <w:highlight w:val="yellow"/>
              </w:rPr>
            </w:pPr>
          </w:p>
        </w:tc>
        <w:tc>
          <w:tcPr>
            <w:tcW w:w="0" w:type="auto"/>
            <w:vAlign w:val="center"/>
          </w:tcPr>
          <w:p w14:paraId="492D651A">
            <w:pPr>
              <w:jc w:val="both"/>
              <w:textAlignment w:val="center"/>
              <w:rPr>
                <w:rFonts w:ascii="宋体" w:hAnsi="宋体" w:cstheme="minorEastAsia"/>
                <w:bCs/>
                <w:sz w:val="16"/>
                <w:szCs w:val="16"/>
                <w:highlight w:val="yellow"/>
              </w:rPr>
            </w:pPr>
          </w:p>
        </w:tc>
        <w:tc>
          <w:tcPr>
            <w:tcW w:w="0" w:type="auto"/>
            <w:vAlign w:val="center"/>
          </w:tcPr>
          <w:p w14:paraId="6D8C6125">
            <w:pPr>
              <w:jc w:val="both"/>
              <w:textAlignment w:val="center"/>
              <w:rPr>
                <w:rFonts w:ascii="宋体" w:hAnsi="宋体" w:cstheme="minorEastAsia"/>
                <w:bCs/>
                <w:sz w:val="16"/>
                <w:szCs w:val="16"/>
                <w:highlight w:val="yellow"/>
              </w:rPr>
            </w:pPr>
          </w:p>
        </w:tc>
        <w:tc>
          <w:tcPr>
            <w:tcW w:w="0" w:type="auto"/>
            <w:shd w:val="clear" w:color="auto" w:fill="auto"/>
            <w:vAlign w:val="center"/>
          </w:tcPr>
          <w:p w14:paraId="3D77CC51">
            <w:pPr>
              <w:snapToGrid w:val="0"/>
              <w:jc w:val="both"/>
              <w:rPr>
                <w:rFonts w:ascii="宋体" w:hAnsi="宋体" w:cstheme="minorEastAsia"/>
                <w:bCs/>
                <w:sz w:val="16"/>
                <w:szCs w:val="16"/>
              </w:rPr>
            </w:pPr>
          </w:p>
        </w:tc>
      </w:tr>
      <w:tr w14:paraId="2122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34F08E2">
            <w:pPr>
              <w:snapToGrid w:val="0"/>
              <w:jc w:val="both"/>
              <w:rPr>
                <w:rFonts w:ascii="宋体" w:hAnsi="宋体" w:cstheme="minorEastAsia"/>
                <w:bCs/>
                <w:sz w:val="16"/>
                <w:szCs w:val="16"/>
              </w:rPr>
            </w:pPr>
            <w:r>
              <w:rPr>
                <w:rFonts w:ascii="宋体" w:hAnsi="宋体"/>
                <w:sz w:val="16"/>
                <w:szCs w:val="16"/>
              </w:rPr>
              <w:t>2.1.6</w:t>
            </w:r>
          </w:p>
        </w:tc>
        <w:tc>
          <w:tcPr>
            <w:tcW w:w="1484" w:type="dxa"/>
            <w:tcBorders>
              <w:top w:val="single" w:color="auto" w:sz="4" w:space="0"/>
            </w:tcBorders>
            <w:vAlign w:val="center"/>
          </w:tcPr>
          <w:p w14:paraId="6A14AAF4">
            <w:pPr>
              <w:snapToGrid w:val="0"/>
              <w:jc w:val="both"/>
              <w:rPr>
                <w:rFonts w:ascii="宋体" w:hAnsi="宋体"/>
                <w:sz w:val="16"/>
                <w:szCs w:val="16"/>
              </w:rPr>
            </w:pPr>
            <w:r>
              <w:rPr>
                <w:rFonts w:ascii="宋体" w:hAnsi="宋体"/>
                <w:sz w:val="16"/>
                <w:szCs w:val="16"/>
              </w:rPr>
              <w:t>ET 200SP</w:t>
            </w:r>
          </w:p>
        </w:tc>
        <w:tc>
          <w:tcPr>
            <w:tcW w:w="4601" w:type="dxa"/>
            <w:vAlign w:val="center"/>
          </w:tcPr>
          <w:p w14:paraId="35EF3F36">
            <w:pPr>
              <w:snapToGrid w:val="0"/>
              <w:jc w:val="both"/>
              <w:rPr>
                <w:rFonts w:ascii="宋体" w:hAnsi="宋体"/>
                <w:sz w:val="16"/>
                <w:szCs w:val="16"/>
              </w:rPr>
            </w:pPr>
            <w:r>
              <w:rPr>
                <w:rFonts w:hint="eastAsia" w:ascii="宋体" w:hAnsi="宋体"/>
                <w:sz w:val="16"/>
                <w:szCs w:val="16"/>
              </w:rPr>
              <w:t>远程通讯适配器，通讯协议</w:t>
            </w:r>
            <w:r>
              <w:rPr>
                <w:rFonts w:ascii="宋体" w:hAnsi="宋体"/>
                <w:sz w:val="16"/>
                <w:szCs w:val="16"/>
              </w:rPr>
              <w:t>PROFINET</w:t>
            </w:r>
          </w:p>
        </w:tc>
        <w:tc>
          <w:tcPr>
            <w:tcW w:w="2022" w:type="dxa"/>
            <w:vAlign w:val="center"/>
          </w:tcPr>
          <w:p w14:paraId="3658DC06">
            <w:pPr>
              <w:snapToGrid w:val="0"/>
              <w:jc w:val="both"/>
              <w:rPr>
                <w:rFonts w:ascii="宋体" w:hAnsi="宋体" w:cstheme="minorEastAsia"/>
                <w:bCs/>
                <w:sz w:val="16"/>
                <w:szCs w:val="16"/>
              </w:rPr>
            </w:pPr>
          </w:p>
        </w:tc>
        <w:tc>
          <w:tcPr>
            <w:tcW w:w="0" w:type="auto"/>
            <w:vAlign w:val="center"/>
          </w:tcPr>
          <w:p w14:paraId="09FDB11E">
            <w:pPr>
              <w:jc w:val="both"/>
              <w:textAlignment w:val="center"/>
              <w:rPr>
                <w:rFonts w:ascii="宋体" w:hAnsi="宋体" w:cstheme="minorEastAsia"/>
                <w:bCs/>
                <w:sz w:val="16"/>
                <w:szCs w:val="16"/>
              </w:rPr>
            </w:pPr>
          </w:p>
        </w:tc>
        <w:tc>
          <w:tcPr>
            <w:tcW w:w="0" w:type="auto"/>
            <w:vAlign w:val="center"/>
          </w:tcPr>
          <w:p w14:paraId="648084B1">
            <w:pPr>
              <w:jc w:val="both"/>
              <w:textAlignment w:val="center"/>
              <w:rPr>
                <w:rFonts w:ascii="宋体" w:hAnsi="宋体" w:cstheme="minorEastAsia"/>
                <w:bCs/>
                <w:sz w:val="16"/>
                <w:szCs w:val="16"/>
              </w:rPr>
            </w:pPr>
          </w:p>
        </w:tc>
        <w:tc>
          <w:tcPr>
            <w:tcW w:w="1016" w:type="dxa"/>
            <w:vAlign w:val="center"/>
          </w:tcPr>
          <w:p w14:paraId="316F6E5E">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1AE9CD7D">
            <w:pPr>
              <w:jc w:val="both"/>
              <w:textAlignment w:val="center"/>
              <w:rPr>
                <w:rFonts w:ascii="宋体" w:hAnsi="宋体"/>
                <w:sz w:val="16"/>
                <w:szCs w:val="16"/>
              </w:rPr>
            </w:pPr>
            <w:r>
              <w:rPr>
                <w:rFonts w:ascii="宋体" w:hAnsi="宋体"/>
                <w:sz w:val="16"/>
                <w:szCs w:val="16"/>
              </w:rPr>
              <w:t>4</w:t>
            </w:r>
          </w:p>
        </w:tc>
        <w:tc>
          <w:tcPr>
            <w:tcW w:w="0" w:type="auto"/>
            <w:vAlign w:val="center"/>
          </w:tcPr>
          <w:p w14:paraId="167CF6E0">
            <w:pPr>
              <w:jc w:val="both"/>
              <w:textAlignment w:val="center"/>
              <w:rPr>
                <w:rFonts w:ascii="宋体" w:hAnsi="宋体" w:cstheme="minorEastAsia"/>
                <w:bCs/>
                <w:sz w:val="16"/>
                <w:szCs w:val="16"/>
                <w:highlight w:val="yellow"/>
              </w:rPr>
            </w:pPr>
          </w:p>
        </w:tc>
        <w:tc>
          <w:tcPr>
            <w:tcW w:w="0" w:type="auto"/>
            <w:vAlign w:val="center"/>
          </w:tcPr>
          <w:p w14:paraId="5317A745">
            <w:pPr>
              <w:jc w:val="both"/>
              <w:textAlignment w:val="center"/>
              <w:rPr>
                <w:rFonts w:ascii="宋体" w:hAnsi="宋体" w:cstheme="minorEastAsia"/>
                <w:bCs/>
                <w:sz w:val="16"/>
                <w:szCs w:val="16"/>
                <w:highlight w:val="yellow"/>
              </w:rPr>
            </w:pPr>
          </w:p>
        </w:tc>
        <w:tc>
          <w:tcPr>
            <w:tcW w:w="0" w:type="auto"/>
            <w:vAlign w:val="center"/>
          </w:tcPr>
          <w:p w14:paraId="4D78EF3D">
            <w:pPr>
              <w:jc w:val="both"/>
              <w:textAlignment w:val="center"/>
              <w:rPr>
                <w:rFonts w:ascii="宋体" w:hAnsi="宋体" w:cstheme="minorEastAsia"/>
                <w:bCs/>
                <w:sz w:val="16"/>
                <w:szCs w:val="16"/>
                <w:highlight w:val="yellow"/>
              </w:rPr>
            </w:pPr>
          </w:p>
        </w:tc>
        <w:tc>
          <w:tcPr>
            <w:tcW w:w="0" w:type="auto"/>
            <w:shd w:val="clear" w:color="auto" w:fill="auto"/>
            <w:vAlign w:val="center"/>
          </w:tcPr>
          <w:p w14:paraId="337EC397">
            <w:pPr>
              <w:snapToGrid w:val="0"/>
              <w:jc w:val="both"/>
              <w:rPr>
                <w:rFonts w:ascii="宋体" w:hAnsi="宋体" w:cstheme="minorEastAsia"/>
                <w:bCs/>
                <w:sz w:val="16"/>
                <w:szCs w:val="16"/>
              </w:rPr>
            </w:pPr>
          </w:p>
        </w:tc>
      </w:tr>
      <w:tr w14:paraId="04B4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BF524D9">
            <w:pPr>
              <w:snapToGrid w:val="0"/>
              <w:jc w:val="both"/>
              <w:rPr>
                <w:rFonts w:ascii="宋体" w:hAnsi="宋体" w:cstheme="minorEastAsia"/>
                <w:bCs/>
                <w:sz w:val="16"/>
                <w:szCs w:val="16"/>
              </w:rPr>
            </w:pPr>
            <w:r>
              <w:rPr>
                <w:rFonts w:ascii="宋体" w:hAnsi="宋体"/>
                <w:sz w:val="16"/>
                <w:szCs w:val="16"/>
              </w:rPr>
              <w:t>2.1.7</w:t>
            </w:r>
          </w:p>
        </w:tc>
        <w:tc>
          <w:tcPr>
            <w:tcW w:w="1484" w:type="dxa"/>
            <w:tcBorders>
              <w:top w:val="single" w:color="auto" w:sz="4" w:space="0"/>
            </w:tcBorders>
            <w:vAlign w:val="center"/>
          </w:tcPr>
          <w:p w14:paraId="36938986">
            <w:pPr>
              <w:snapToGrid w:val="0"/>
              <w:jc w:val="both"/>
              <w:rPr>
                <w:rFonts w:ascii="宋体" w:hAnsi="宋体"/>
                <w:sz w:val="16"/>
                <w:szCs w:val="16"/>
              </w:rPr>
            </w:pPr>
            <w:r>
              <w:rPr>
                <w:rFonts w:ascii="宋体" w:hAnsi="宋体"/>
                <w:sz w:val="16"/>
                <w:szCs w:val="16"/>
              </w:rPr>
              <w:t xml:space="preserve">PROFIBUS DP/PA </w:t>
            </w:r>
            <w:r>
              <w:rPr>
                <w:rFonts w:hint="eastAsia" w:ascii="宋体" w:hAnsi="宋体"/>
                <w:sz w:val="16"/>
                <w:szCs w:val="16"/>
              </w:rPr>
              <w:t>耦合器（非防爆）</w:t>
            </w:r>
          </w:p>
        </w:tc>
        <w:tc>
          <w:tcPr>
            <w:tcW w:w="4601" w:type="dxa"/>
            <w:vAlign w:val="center"/>
          </w:tcPr>
          <w:p w14:paraId="550FBAB6">
            <w:pPr>
              <w:snapToGrid w:val="0"/>
              <w:jc w:val="both"/>
              <w:rPr>
                <w:rFonts w:ascii="宋体" w:hAnsi="宋体"/>
                <w:sz w:val="16"/>
                <w:szCs w:val="16"/>
              </w:rPr>
            </w:pPr>
            <w:r>
              <w:rPr>
                <w:rFonts w:ascii="宋体" w:hAnsi="宋体"/>
                <w:sz w:val="16"/>
                <w:szCs w:val="16"/>
              </w:rPr>
              <w:t xml:space="preserve">PROFIBUS DP/PA </w:t>
            </w:r>
            <w:r>
              <w:rPr>
                <w:rFonts w:hint="eastAsia" w:ascii="宋体" w:hAnsi="宋体"/>
                <w:sz w:val="16"/>
                <w:szCs w:val="16"/>
              </w:rPr>
              <w:t>耦合器（非防爆）现场设备耦合器，用于连接</w:t>
            </w:r>
            <w:r>
              <w:rPr>
                <w:rFonts w:ascii="宋体" w:hAnsi="宋体"/>
                <w:sz w:val="16"/>
                <w:szCs w:val="16"/>
              </w:rPr>
              <w:t>PROFIUS-PA</w:t>
            </w:r>
            <w:r>
              <w:rPr>
                <w:rFonts w:hint="eastAsia" w:ascii="宋体" w:hAnsi="宋体"/>
                <w:sz w:val="16"/>
                <w:szCs w:val="16"/>
              </w:rPr>
              <w:t>设备，物理接口</w:t>
            </w:r>
            <w:r>
              <w:rPr>
                <w:rFonts w:ascii="宋体" w:hAnsi="宋体"/>
                <w:sz w:val="16"/>
                <w:szCs w:val="16"/>
              </w:rPr>
              <w:t xml:space="preserve"> PROFIBUS DP</w:t>
            </w:r>
            <w:r>
              <w:rPr>
                <w:rFonts w:hint="eastAsia" w:ascii="宋体" w:hAnsi="宋体"/>
                <w:sz w:val="16"/>
                <w:szCs w:val="16"/>
              </w:rPr>
              <w:t>转</w:t>
            </w:r>
            <w:r>
              <w:rPr>
                <w:rFonts w:ascii="宋体" w:hAnsi="宋体"/>
                <w:sz w:val="16"/>
                <w:szCs w:val="16"/>
              </w:rPr>
              <w:t>PROFIBUS PA</w:t>
            </w:r>
          </w:p>
        </w:tc>
        <w:tc>
          <w:tcPr>
            <w:tcW w:w="2022" w:type="dxa"/>
            <w:vAlign w:val="center"/>
          </w:tcPr>
          <w:p w14:paraId="577ABA92">
            <w:pPr>
              <w:snapToGrid w:val="0"/>
              <w:jc w:val="both"/>
              <w:rPr>
                <w:rFonts w:ascii="宋体" w:hAnsi="宋体" w:cstheme="minorEastAsia"/>
                <w:bCs/>
                <w:sz w:val="16"/>
                <w:szCs w:val="16"/>
              </w:rPr>
            </w:pPr>
          </w:p>
        </w:tc>
        <w:tc>
          <w:tcPr>
            <w:tcW w:w="0" w:type="auto"/>
            <w:vAlign w:val="center"/>
          </w:tcPr>
          <w:p w14:paraId="1A5466CE">
            <w:pPr>
              <w:jc w:val="both"/>
              <w:textAlignment w:val="center"/>
              <w:rPr>
                <w:rFonts w:ascii="宋体" w:hAnsi="宋体" w:cstheme="minorEastAsia"/>
                <w:bCs/>
                <w:sz w:val="16"/>
                <w:szCs w:val="16"/>
              </w:rPr>
            </w:pPr>
          </w:p>
        </w:tc>
        <w:tc>
          <w:tcPr>
            <w:tcW w:w="0" w:type="auto"/>
            <w:vAlign w:val="center"/>
          </w:tcPr>
          <w:p w14:paraId="32F8B8AA">
            <w:pPr>
              <w:jc w:val="both"/>
              <w:textAlignment w:val="center"/>
              <w:rPr>
                <w:rFonts w:ascii="宋体" w:hAnsi="宋体" w:cstheme="minorEastAsia"/>
                <w:bCs/>
                <w:sz w:val="16"/>
                <w:szCs w:val="16"/>
              </w:rPr>
            </w:pPr>
          </w:p>
        </w:tc>
        <w:tc>
          <w:tcPr>
            <w:tcW w:w="1016" w:type="dxa"/>
            <w:vAlign w:val="center"/>
          </w:tcPr>
          <w:p w14:paraId="0AD124B5">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1479EA28">
            <w:pPr>
              <w:jc w:val="both"/>
              <w:textAlignment w:val="center"/>
              <w:rPr>
                <w:rFonts w:ascii="宋体" w:hAnsi="宋体"/>
                <w:sz w:val="16"/>
                <w:szCs w:val="16"/>
              </w:rPr>
            </w:pPr>
            <w:r>
              <w:rPr>
                <w:rFonts w:ascii="宋体" w:hAnsi="宋体"/>
                <w:sz w:val="16"/>
                <w:szCs w:val="16"/>
              </w:rPr>
              <w:t>4</w:t>
            </w:r>
          </w:p>
        </w:tc>
        <w:tc>
          <w:tcPr>
            <w:tcW w:w="0" w:type="auto"/>
            <w:vAlign w:val="center"/>
          </w:tcPr>
          <w:p w14:paraId="2418AF10">
            <w:pPr>
              <w:jc w:val="both"/>
              <w:textAlignment w:val="center"/>
              <w:rPr>
                <w:rFonts w:ascii="宋体" w:hAnsi="宋体" w:cstheme="minorEastAsia"/>
                <w:bCs/>
                <w:sz w:val="16"/>
                <w:szCs w:val="16"/>
                <w:highlight w:val="yellow"/>
              </w:rPr>
            </w:pPr>
          </w:p>
        </w:tc>
        <w:tc>
          <w:tcPr>
            <w:tcW w:w="0" w:type="auto"/>
            <w:vAlign w:val="center"/>
          </w:tcPr>
          <w:p w14:paraId="6200CAEF">
            <w:pPr>
              <w:jc w:val="both"/>
              <w:textAlignment w:val="center"/>
              <w:rPr>
                <w:rFonts w:ascii="宋体" w:hAnsi="宋体" w:cstheme="minorEastAsia"/>
                <w:bCs/>
                <w:sz w:val="16"/>
                <w:szCs w:val="16"/>
                <w:highlight w:val="yellow"/>
              </w:rPr>
            </w:pPr>
          </w:p>
        </w:tc>
        <w:tc>
          <w:tcPr>
            <w:tcW w:w="0" w:type="auto"/>
            <w:vAlign w:val="center"/>
          </w:tcPr>
          <w:p w14:paraId="53760FA9">
            <w:pPr>
              <w:jc w:val="both"/>
              <w:textAlignment w:val="center"/>
              <w:rPr>
                <w:rFonts w:ascii="宋体" w:hAnsi="宋体" w:cstheme="minorEastAsia"/>
                <w:bCs/>
                <w:sz w:val="16"/>
                <w:szCs w:val="16"/>
                <w:highlight w:val="yellow"/>
              </w:rPr>
            </w:pPr>
          </w:p>
        </w:tc>
        <w:tc>
          <w:tcPr>
            <w:tcW w:w="0" w:type="auto"/>
            <w:shd w:val="clear" w:color="auto" w:fill="auto"/>
            <w:vAlign w:val="center"/>
          </w:tcPr>
          <w:p w14:paraId="7343A241">
            <w:pPr>
              <w:snapToGrid w:val="0"/>
              <w:jc w:val="both"/>
              <w:rPr>
                <w:rFonts w:ascii="宋体" w:hAnsi="宋体" w:cstheme="minorEastAsia"/>
                <w:bCs/>
                <w:sz w:val="16"/>
                <w:szCs w:val="16"/>
              </w:rPr>
            </w:pPr>
          </w:p>
        </w:tc>
      </w:tr>
      <w:tr w14:paraId="4900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CFBC42E">
            <w:pPr>
              <w:snapToGrid w:val="0"/>
              <w:jc w:val="both"/>
              <w:rPr>
                <w:rFonts w:ascii="宋体" w:hAnsi="宋体" w:cstheme="minorEastAsia"/>
                <w:b/>
                <w:bCs/>
                <w:sz w:val="16"/>
                <w:szCs w:val="16"/>
              </w:rPr>
            </w:pPr>
            <w:r>
              <w:rPr>
                <w:rFonts w:hint="eastAsia" w:ascii="宋体" w:hAnsi="宋体" w:cstheme="minorEastAsia"/>
                <w:b/>
                <w:bCs/>
                <w:sz w:val="16"/>
                <w:szCs w:val="16"/>
              </w:rPr>
              <w:t>2.2</w:t>
            </w:r>
          </w:p>
        </w:tc>
        <w:tc>
          <w:tcPr>
            <w:tcW w:w="13138" w:type="dxa"/>
            <w:gridSpan w:val="11"/>
            <w:vAlign w:val="center"/>
          </w:tcPr>
          <w:p w14:paraId="51A1D8A0">
            <w:pPr>
              <w:snapToGrid w:val="0"/>
              <w:jc w:val="both"/>
              <w:rPr>
                <w:rFonts w:ascii="宋体" w:hAnsi="宋体" w:cstheme="minorEastAsia"/>
                <w:b/>
                <w:bCs/>
                <w:sz w:val="16"/>
                <w:szCs w:val="16"/>
              </w:rPr>
            </w:pPr>
            <w:r>
              <w:rPr>
                <w:rFonts w:hint="eastAsia" w:ascii="宋体" w:hAnsi="宋体" w:cstheme="minorEastAsia"/>
                <w:b/>
                <w:bCs/>
                <w:sz w:val="16"/>
                <w:szCs w:val="16"/>
              </w:rPr>
              <w:t>回潮机新增</w:t>
            </w:r>
          </w:p>
        </w:tc>
      </w:tr>
      <w:tr w14:paraId="324D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23E9BC1">
            <w:pPr>
              <w:snapToGrid w:val="0"/>
              <w:jc w:val="both"/>
              <w:rPr>
                <w:rFonts w:ascii="宋体" w:hAnsi="宋体" w:cstheme="minorEastAsia"/>
                <w:bCs/>
                <w:sz w:val="16"/>
                <w:szCs w:val="16"/>
              </w:rPr>
            </w:pPr>
            <w:r>
              <w:rPr>
                <w:rFonts w:ascii="宋体" w:hAnsi="宋体"/>
                <w:sz w:val="16"/>
                <w:szCs w:val="16"/>
              </w:rPr>
              <w:t>2.2.1</w:t>
            </w:r>
          </w:p>
        </w:tc>
        <w:tc>
          <w:tcPr>
            <w:tcW w:w="1484" w:type="dxa"/>
            <w:tcBorders>
              <w:top w:val="single" w:color="auto" w:sz="4" w:space="0"/>
            </w:tcBorders>
            <w:vAlign w:val="center"/>
          </w:tcPr>
          <w:p w14:paraId="16EA28F6">
            <w:pPr>
              <w:snapToGrid w:val="0"/>
              <w:jc w:val="both"/>
              <w:rPr>
                <w:rFonts w:ascii="宋体" w:hAnsi="宋体"/>
                <w:sz w:val="16"/>
                <w:szCs w:val="16"/>
              </w:rPr>
            </w:pPr>
            <w:r>
              <w:rPr>
                <w:rFonts w:hint="eastAsia" w:ascii="宋体" w:hAnsi="宋体"/>
                <w:sz w:val="16"/>
                <w:szCs w:val="16"/>
              </w:rPr>
              <w:t>压力变送器</w:t>
            </w:r>
          </w:p>
        </w:tc>
        <w:tc>
          <w:tcPr>
            <w:tcW w:w="4601" w:type="dxa"/>
            <w:vAlign w:val="center"/>
          </w:tcPr>
          <w:p w14:paraId="303223C9">
            <w:pPr>
              <w:snapToGrid w:val="0"/>
              <w:jc w:val="both"/>
              <w:rPr>
                <w:rFonts w:ascii="宋体" w:hAnsi="宋体"/>
                <w:sz w:val="16"/>
                <w:szCs w:val="16"/>
              </w:rPr>
            </w:pPr>
            <w:r>
              <w:rPr>
                <w:rFonts w:ascii="宋体" w:hAnsi="宋体"/>
                <w:sz w:val="16"/>
                <w:szCs w:val="16"/>
              </w:rPr>
              <w:t xml:space="preserve"> 1.</w:t>
            </w:r>
            <w:r>
              <w:rPr>
                <w:rFonts w:hint="eastAsia" w:ascii="宋体" w:hAnsi="宋体"/>
                <w:sz w:val="16"/>
                <w:szCs w:val="16"/>
              </w:rPr>
              <w:t>应用场合：液体、气体、蒸汽压力的测量</w:t>
            </w:r>
            <w:r>
              <w:rPr>
                <w:rFonts w:ascii="宋体" w:hAnsi="宋体"/>
                <w:sz w:val="16"/>
                <w:szCs w:val="16"/>
              </w:rPr>
              <w:br w:type="textWrapping"/>
            </w:r>
            <w:r>
              <w:rPr>
                <w:rFonts w:ascii="宋体" w:hAnsi="宋体"/>
                <w:sz w:val="16"/>
                <w:szCs w:val="16"/>
              </w:rPr>
              <w:t xml:space="preserve"> 2.</w:t>
            </w:r>
            <w:r>
              <w:rPr>
                <w:rFonts w:hint="eastAsia" w:ascii="宋体" w:hAnsi="宋体"/>
                <w:sz w:val="16"/>
                <w:szCs w:val="16"/>
              </w:rPr>
              <w:t>精度等级：</w:t>
            </w:r>
            <w:r>
              <w:rPr>
                <w:rFonts w:ascii="宋体" w:hAnsi="宋体"/>
                <w:sz w:val="16"/>
                <w:szCs w:val="16"/>
              </w:rPr>
              <w:t xml:space="preserve"> 0.25% </w:t>
            </w:r>
            <w:r>
              <w:rPr>
                <w:rFonts w:ascii="宋体" w:hAnsi="宋体"/>
                <w:sz w:val="16"/>
                <w:szCs w:val="16"/>
              </w:rPr>
              <w:br w:type="textWrapping"/>
            </w:r>
            <w:r>
              <w:rPr>
                <w:rFonts w:ascii="宋体" w:hAnsi="宋体"/>
                <w:sz w:val="16"/>
                <w:szCs w:val="16"/>
              </w:rPr>
              <w:t xml:space="preserve"> 3.</w:t>
            </w:r>
            <w:r>
              <w:rPr>
                <w:rFonts w:hint="eastAsia" w:ascii="宋体" w:hAnsi="宋体"/>
                <w:sz w:val="16"/>
                <w:szCs w:val="16"/>
              </w:rPr>
              <w:t>供电电源</w:t>
            </w:r>
            <w:r>
              <w:rPr>
                <w:rFonts w:ascii="宋体" w:hAnsi="宋体"/>
                <w:sz w:val="16"/>
                <w:szCs w:val="16"/>
              </w:rPr>
              <w:t xml:space="preserve"> 15</w:t>
            </w:r>
            <w:r>
              <w:rPr>
                <w:rFonts w:hint="eastAsia" w:ascii="宋体" w:hAnsi="宋体"/>
                <w:sz w:val="16"/>
                <w:szCs w:val="16"/>
              </w:rPr>
              <w:t>～</w:t>
            </w:r>
            <w:r>
              <w:rPr>
                <w:rFonts w:ascii="宋体" w:hAnsi="宋体"/>
                <w:sz w:val="16"/>
                <w:szCs w:val="16"/>
              </w:rPr>
              <w:t>36 VDC</w:t>
            </w:r>
            <w:r>
              <w:rPr>
                <w:rFonts w:hint="eastAsia" w:ascii="宋体" w:hAnsi="宋体"/>
                <w:sz w:val="16"/>
                <w:szCs w:val="16"/>
              </w:rPr>
              <w:t>（标定电压</w:t>
            </w:r>
            <w:r>
              <w:rPr>
                <w:rFonts w:ascii="宋体" w:hAnsi="宋体"/>
                <w:sz w:val="16"/>
                <w:szCs w:val="16"/>
              </w:rPr>
              <w:t>24VDC</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 4.</w:t>
            </w:r>
            <w:r>
              <w:rPr>
                <w:rFonts w:hint="eastAsia" w:ascii="宋体" w:hAnsi="宋体"/>
                <w:sz w:val="16"/>
                <w:szCs w:val="16"/>
              </w:rPr>
              <w:t>输出信号</w:t>
            </w:r>
            <w:r>
              <w:rPr>
                <w:rFonts w:ascii="宋体" w:hAnsi="宋体"/>
                <w:sz w:val="16"/>
                <w:szCs w:val="16"/>
              </w:rPr>
              <w:t xml:space="preserve"> (4</w:t>
            </w:r>
            <w:r>
              <w:rPr>
                <w:rFonts w:hint="eastAsia" w:ascii="宋体" w:hAnsi="宋体"/>
                <w:sz w:val="16"/>
                <w:szCs w:val="16"/>
              </w:rPr>
              <w:t>～</w:t>
            </w:r>
            <w:r>
              <w:rPr>
                <w:rFonts w:ascii="宋体" w:hAnsi="宋体"/>
                <w:sz w:val="16"/>
                <w:szCs w:val="16"/>
              </w:rPr>
              <w:t>20)mA</w:t>
            </w:r>
            <w:r>
              <w:rPr>
                <w:rFonts w:ascii="宋体" w:hAnsi="宋体"/>
                <w:sz w:val="16"/>
                <w:szCs w:val="16"/>
              </w:rPr>
              <w:br w:type="textWrapping"/>
            </w:r>
            <w:r>
              <w:rPr>
                <w:rFonts w:ascii="宋体" w:hAnsi="宋体"/>
                <w:sz w:val="16"/>
                <w:szCs w:val="16"/>
              </w:rPr>
              <w:t xml:space="preserve"> 5.</w:t>
            </w:r>
            <w:r>
              <w:rPr>
                <w:rFonts w:hint="eastAsia" w:ascii="宋体" w:hAnsi="宋体"/>
                <w:sz w:val="16"/>
                <w:szCs w:val="16"/>
              </w:rPr>
              <w:t>显示方式</w:t>
            </w:r>
            <w:r>
              <w:rPr>
                <w:rFonts w:ascii="宋体" w:hAnsi="宋体"/>
                <w:sz w:val="16"/>
                <w:szCs w:val="16"/>
              </w:rPr>
              <w:t xml:space="preserve"> </w:t>
            </w:r>
            <w:r>
              <w:rPr>
                <w:rFonts w:hint="eastAsia" w:ascii="宋体" w:hAnsi="宋体"/>
                <w:sz w:val="16"/>
                <w:szCs w:val="16"/>
              </w:rPr>
              <w:t>：指针表头或数字显示可选配</w:t>
            </w:r>
            <w:r>
              <w:rPr>
                <w:rFonts w:ascii="宋体" w:hAnsi="宋体"/>
                <w:sz w:val="16"/>
                <w:szCs w:val="16"/>
              </w:rPr>
              <w:t xml:space="preserve"> </w:t>
            </w:r>
          </w:p>
        </w:tc>
        <w:tc>
          <w:tcPr>
            <w:tcW w:w="2022" w:type="dxa"/>
            <w:vAlign w:val="center"/>
          </w:tcPr>
          <w:p w14:paraId="0E939543">
            <w:pPr>
              <w:snapToGrid w:val="0"/>
              <w:jc w:val="both"/>
              <w:rPr>
                <w:rFonts w:ascii="宋体" w:hAnsi="宋体" w:cstheme="minorEastAsia"/>
                <w:bCs/>
                <w:sz w:val="16"/>
                <w:szCs w:val="16"/>
              </w:rPr>
            </w:pPr>
          </w:p>
        </w:tc>
        <w:tc>
          <w:tcPr>
            <w:tcW w:w="0" w:type="auto"/>
            <w:vAlign w:val="center"/>
          </w:tcPr>
          <w:p w14:paraId="4ED1EA81">
            <w:pPr>
              <w:jc w:val="both"/>
              <w:textAlignment w:val="center"/>
              <w:rPr>
                <w:rFonts w:ascii="宋体" w:hAnsi="宋体" w:cstheme="minorEastAsia"/>
                <w:bCs/>
                <w:sz w:val="16"/>
                <w:szCs w:val="16"/>
              </w:rPr>
            </w:pPr>
          </w:p>
        </w:tc>
        <w:tc>
          <w:tcPr>
            <w:tcW w:w="0" w:type="auto"/>
            <w:vAlign w:val="center"/>
          </w:tcPr>
          <w:p w14:paraId="661E356C">
            <w:pPr>
              <w:jc w:val="both"/>
              <w:textAlignment w:val="center"/>
              <w:rPr>
                <w:rFonts w:ascii="宋体" w:hAnsi="宋体" w:cstheme="minorEastAsia"/>
                <w:bCs/>
                <w:sz w:val="16"/>
                <w:szCs w:val="16"/>
              </w:rPr>
            </w:pPr>
          </w:p>
        </w:tc>
        <w:tc>
          <w:tcPr>
            <w:tcW w:w="1016" w:type="dxa"/>
            <w:vAlign w:val="center"/>
          </w:tcPr>
          <w:p w14:paraId="2FF452EB">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4B1DBD50">
            <w:pPr>
              <w:jc w:val="both"/>
              <w:textAlignment w:val="center"/>
              <w:rPr>
                <w:rFonts w:ascii="宋体" w:hAnsi="宋体"/>
                <w:sz w:val="16"/>
                <w:szCs w:val="16"/>
              </w:rPr>
            </w:pPr>
            <w:r>
              <w:rPr>
                <w:rFonts w:ascii="宋体" w:hAnsi="宋体"/>
                <w:sz w:val="16"/>
                <w:szCs w:val="16"/>
              </w:rPr>
              <w:t>6</w:t>
            </w:r>
          </w:p>
        </w:tc>
        <w:tc>
          <w:tcPr>
            <w:tcW w:w="0" w:type="auto"/>
            <w:vAlign w:val="center"/>
          </w:tcPr>
          <w:p w14:paraId="4EF48BE4">
            <w:pPr>
              <w:jc w:val="both"/>
              <w:textAlignment w:val="center"/>
              <w:rPr>
                <w:rFonts w:ascii="宋体" w:hAnsi="宋体" w:cstheme="minorEastAsia"/>
                <w:bCs/>
                <w:sz w:val="16"/>
                <w:szCs w:val="16"/>
                <w:highlight w:val="yellow"/>
              </w:rPr>
            </w:pPr>
          </w:p>
        </w:tc>
        <w:tc>
          <w:tcPr>
            <w:tcW w:w="0" w:type="auto"/>
            <w:vAlign w:val="center"/>
          </w:tcPr>
          <w:p w14:paraId="16A77DE7">
            <w:pPr>
              <w:jc w:val="both"/>
              <w:textAlignment w:val="center"/>
              <w:rPr>
                <w:rFonts w:ascii="宋体" w:hAnsi="宋体" w:cstheme="minorEastAsia"/>
                <w:bCs/>
                <w:sz w:val="16"/>
                <w:szCs w:val="16"/>
                <w:highlight w:val="yellow"/>
              </w:rPr>
            </w:pPr>
          </w:p>
        </w:tc>
        <w:tc>
          <w:tcPr>
            <w:tcW w:w="0" w:type="auto"/>
            <w:vAlign w:val="center"/>
          </w:tcPr>
          <w:p w14:paraId="3295B2C1">
            <w:pPr>
              <w:jc w:val="both"/>
              <w:textAlignment w:val="center"/>
              <w:rPr>
                <w:rFonts w:ascii="宋体" w:hAnsi="宋体" w:cstheme="minorEastAsia"/>
                <w:bCs/>
                <w:sz w:val="16"/>
                <w:szCs w:val="16"/>
                <w:highlight w:val="yellow"/>
              </w:rPr>
            </w:pPr>
          </w:p>
        </w:tc>
        <w:tc>
          <w:tcPr>
            <w:tcW w:w="0" w:type="auto"/>
            <w:shd w:val="clear" w:color="auto" w:fill="auto"/>
            <w:vAlign w:val="center"/>
          </w:tcPr>
          <w:p w14:paraId="33F7538E">
            <w:pPr>
              <w:snapToGrid w:val="0"/>
              <w:jc w:val="both"/>
              <w:rPr>
                <w:rFonts w:ascii="宋体" w:hAnsi="宋体" w:cstheme="minorEastAsia"/>
                <w:bCs/>
                <w:sz w:val="16"/>
                <w:szCs w:val="16"/>
              </w:rPr>
            </w:pPr>
          </w:p>
        </w:tc>
      </w:tr>
      <w:tr w14:paraId="177D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98FD2E4">
            <w:pPr>
              <w:snapToGrid w:val="0"/>
              <w:jc w:val="both"/>
              <w:rPr>
                <w:rFonts w:ascii="宋体" w:hAnsi="宋体" w:cstheme="minorEastAsia"/>
                <w:bCs/>
                <w:sz w:val="16"/>
                <w:szCs w:val="16"/>
              </w:rPr>
            </w:pPr>
            <w:r>
              <w:rPr>
                <w:rFonts w:ascii="宋体" w:hAnsi="宋体"/>
                <w:sz w:val="16"/>
                <w:szCs w:val="16"/>
              </w:rPr>
              <w:t>2.2.2</w:t>
            </w:r>
          </w:p>
        </w:tc>
        <w:tc>
          <w:tcPr>
            <w:tcW w:w="1484" w:type="dxa"/>
            <w:tcBorders>
              <w:top w:val="single" w:color="auto" w:sz="4" w:space="0"/>
            </w:tcBorders>
            <w:vAlign w:val="center"/>
          </w:tcPr>
          <w:p w14:paraId="7D9A4E84">
            <w:pPr>
              <w:snapToGrid w:val="0"/>
              <w:jc w:val="both"/>
              <w:rPr>
                <w:rFonts w:ascii="宋体" w:hAnsi="宋体"/>
                <w:sz w:val="16"/>
                <w:szCs w:val="16"/>
              </w:rPr>
            </w:pPr>
            <w:r>
              <w:rPr>
                <w:rFonts w:hint="eastAsia" w:ascii="宋体" w:hAnsi="宋体"/>
                <w:sz w:val="16"/>
                <w:szCs w:val="16"/>
              </w:rPr>
              <w:t>滚筒增温湿蒸汽控制</w:t>
            </w:r>
          </w:p>
        </w:tc>
        <w:tc>
          <w:tcPr>
            <w:tcW w:w="4601" w:type="dxa"/>
            <w:vAlign w:val="center"/>
          </w:tcPr>
          <w:p w14:paraId="23C3080E">
            <w:pPr>
              <w:snapToGrid w:val="0"/>
              <w:jc w:val="both"/>
              <w:rPr>
                <w:rFonts w:ascii="宋体" w:hAnsi="宋体"/>
                <w:sz w:val="16"/>
                <w:szCs w:val="16"/>
              </w:rPr>
            </w:pPr>
            <w:r>
              <w:rPr>
                <w:rFonts w:ascii="宋体" w:hAnsi="宋体"/>
                <w:sz w:val="16"/>
                <w:szCs w:val="16"/>
              </w:rPr>
              <w:t>1.</w:t>
            </w:r>
            <w:r>
              <w:rPr>
                <w:rFonts w:hint="eastAsia" w:ascii="宋体" w:hAnsi="宋体"/>
                <w:sz w:val="16"/>
                <w:szCs w:val="16"/>
              </w:rPr>
              <w:t>适用于：</w:t>
            </w:r>
            <w:r>
              <w:rPr>
                <w:rFonts w:ascii="宋体" w:hAnsi="宋体"/>
                <w:sz w:val="16"/>
                <w:szCs w:val="16"/>
              </w:rPr>
              <w:t xml:space="preserve">SAMSON </w:t>
            </w:r>
            <w:r>
              <w:rPr>
                <w:rFonts w:hint="eastAsia" w:ascii="宋体" w:hAnsi="宋体"/>
                <w:sz w:val="16"/>
                <w:szCs w:val="16"/>
              </w:rPr>
              <w:t>调节阀；</w:t>
            </w:r>
            <w:r>
              <w:rPr>
                <w:rFonts w:ascii="宋体" w:hAnsi="宋体"/>
                <w:sz w:val="16"/>
                <w:szCs w:val="16"/>
              </w:rPr>
              <w:br w:type="textWrapping"/>
            </w:r>
            <w:r>
              <w:rPr>
                <w:rFonts w:ascii="宋体" w:hAnsi="宋体"/>
                <w:sz w:val="16"/>
                <w:szCs w:val="16"/>
              </w:rPr>
              <w:t>2.</w:t>
            </w:r>
            <w:r>
              <w:rPr>
                <w:rFonts w:hint="eastAsia" w:ascii="宋体" w:hAnsi="宋体"/>
                <w:sz w:val="16"/>
                <w:szCs w:val="16"/>
              </w:rPr>
              <w:t>与</w:t>
            </w:r>
            <w:r>
              <w:rPr>
                <w:rFonts w:ascii="宋体" w:hAnsi="宋体"/>
                <w:sz w:val="16"/>
                <w:szCs w:val="16"/>
              </w:rPr>
              <w:t>3730-4-Profibus-PA</w:t>
            </w:r>
            <w:r>
              <w:rPr>
                <w:rFonts w:hint="eastAsia" w:ascii="宋体" w:hAnsi="宋体"/>
                <w:sz w:val="16"/>
                <w:szCs w:val="16"/>
              </w:rPr>
              <w:t>定位器参数一致</w:t>
            </w:r>
            <w:r>
              <w:rPr>
                <w:rFonts w:ascii="宋体" w:hAnsi="宋体"/>
                <w:sz w:val="16"/>
                <w:szCs w:val="16"/>
              </w:rPr>
              <w:br w:type="textWrapping"/>
            </w:r>
            <w:r>
              <w:rPr>
                <w:rFonts w:ascii="宋体" w:hAnsi="宋体"/>
                <w:sz w:val="16"/>
                <w:szCs w:val="16"/>
              </w:rPr>
              <w:t>3.</w:t>
            </w:r>
            <w:r>
              <w:rPr>
                <w:rFonts w:hint="eastAsia" w:ascii="宋体" w:hAnsi="宋体"/>
                <w:sz w:val="16"/>
                <w:szCs w:val="16"/>
              </w:rPr>
              <w:t>带</w:t>
            </w:r>
            <w:r>
              <w:rPr>
                <w:rFonts w:ascii="宋体" w:hAnsi="宋体"/>
                <w:sz w:val="16"/>
                <w:szCs w:val="16"/>
              </w:rPr>
              <w:t xml:space="preserve"> LCD </w:t>
            </w:r>
            <w:r>
              <w:rPr>
                <w:rFonts w:hint="eastAsia" w:ascii="宋体" w:hAnsi="宋体"/>
                <w:sz w:val="16"/>
                <w:szCs w:val="16"/>
              </w:rPr>
              <w:t>显示和自动调整功能，</w:t>
            </w:r>
            <w:r>
              <w:rPr>
                <w:rFonts w:ascii="宋体" w:hAnsi="宋体"/>
                <w:sz w:val="16"/>
                <w:szCs w:val="16"/>
              </w:rPr>
              <w:t>PROFIBUS-PA</w:t>
            </w:r>
          </w:p>
        </w:tc>
        <w:tc>
          <w:tcPr>
            <w:tcW w:w="2022" w:type="dxa"/>
            <w:vAlign w:val="center"/>
          </w:tcPr>
          <w:p w14:paraId="0C18BC5C">
            <w:pPr>
              <w:snapToGrid w:val="0"/>
              <w:jc w:val="both"/>
              <w:rPr>
                <w:rFonts w:ascii="宋体" w:hAnsi="宋体" w:cstheme="minorEastAsia"/>
                <w:bCs/>
                <w:sz w:val="16"/>
                <w:szCs w:val="16"/>
              </w:rPr>
            </w:pPr>
          </w:p>
        </w:tc>
        <w:tc>
          <w:tcPr>
            <w:tcW w:w="0" w:type="auto"/>
            <w:vAlign w:val="center"/>
          </w:tcPr>
          <w:p w14:paraId="2BFEBC89">
            <w:pPr>
              <w:jc w:val="both"/>
              <w:textAlignment w:val="center"/>
              <w:rPr>
                <w:rFonts w:ascii="宋体" w:hAnsi="宋体" w:cstheme="minorEastAsia"/>
                <w:bCs/>
                <w:sz w:val="16"/>
                <w:szCs w:val="16"/>
              </w:rPr>
            </w:pPr>
          </w:p>
        </w:tc>
        <w:tc>
          <w:tcPr>
            <w:tcW w:w="0" w:type="auto"/>
            <w:vAlign w:val="center"/>
          </w:tcPr>
          <w:p w14:paraId="6693A690">
            <w:pPr>
              <w:jc w:val="both"/>
              <w:textAlignment w:val="center"/>
              <w:rPr>
                <w:rFonts w:ascii="宋体" w:hAnsi="宋体" w:cstheme="minorEastAsia"/>
                <w:bCs/>
                <w:sz w:val="16"/>
                <w:szCs w:val="16"/>
              </w:rPr>
            </w:pPr>
          </w:p>
        </w:tc>
        <w:tc>
          <w:tcPr>
            <w:tcW w:w="1016" w:type="dxa"/>
            <w:vAlign w:val="center"/>
          </w:tcPr>
          <w:p w14:paraId="4969D780">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7C7D26A2">
            <w:pPr>
              <w:jc w:val="both"/>
              <w:textAlignment w:val="center"/>
              <w:rPr>
                <w:rFonts w:ascii="宋体" w:hAnsi="宋体"/>
                <w:sz w:val="16"/>
                <w:szCs w:val="16"/>
              </w:rPr>
            </w:pPr>
            <w:r>
              <w:rPr>
                <w:rFonts w:ascii="宋体" w:hAnsi="宋体"/>
                <w:sz w:val="16"/>
                <w:szCs w:val="16"/>
              </w:rPr>
              <w:t>5</w:t>
            </w:r>
          </w:p>
        </w:tc>
        <w:tc>
          <w:tcPr>
            <w:tcW w:w="0" w:type="auto"/>
            <w:vAlign w:val="center"/>
          </w:tcPr>
          <w:p w14:paraId="68400C96">
            <w:pPr>
              <w:jc w:val="both"/>
              <w:textAlignment w:val="center"/>
              <w:rPr>
                <w:rFonts w:ascii="宋体" w:hAnsi="宋体" w:cstheme="minorEastAsia"/>
                <w:bCs/>
                <w:sz w:val="16"/>
                <w:szCs w:val="16"/>
                <w:highlight w:val="yellow"/>
              </w:rPr>
            </w:pPr>
          </w:p>
        </w:tc>
        <w:tc>
          <w:tcPr>
            <w:tcW w:w="0" w:type="auto"/>
            <w:vAlign w:val="center"/>
          </w:tcPr>
          <w:p w14:paraId="7C2FBA85">
            <w:pPr>
              <w:jc w:val="both"/>
              <w:textAlignment w:val="center"/>
              <w:rPr>
                <w:rFonts w:ascii="宋体" w:hAnsi="宋体" w:cstheme="minorEastAsia"/>
                <w:bCs/>
                <w:sz w:val="16"/>
                <w:szCs w:val="16"/>
                <w:highlight w:val="yellow"/>
              </w:rPr>
            </w:pPr>
          </w:p>
        </w:tc>
        <w:tc>
          <w:tcPr>
            <w:tcW w:w="0" w:type="auto"/>
            <w:vAlign w:val="center"/>
          </w:tcPr>
          <w:p w14:paraId="4E136CF6">
            <w:pPr>
              <w:jc w:val="both"/>
              <w:textAlignment w:val="center"/>
              <w:rPr>
                <w:rFonts w:ascii="宋体" w:hAnsi="宋体" w:cstheme="minorEastAsia"/>
                <w:bCs/>
                <w:sz w:val="16"/>
                <w:szCs w:val="16"/>
                <w:highlight w:val="yellow"/>
              </w:rPr>
            </w:pPr>
          </w:p>
        </w:tc>
        <w:tc>
          <w:tcPr>
            <w:tcW w:w="0" w:type="auto"/>
            <w:shd w:val="clear" w:color="auto" w:fill="auto"/>
            <w:vAlign w:val="center"/>
          </w:tcPr>
          <w:p w14:paraId="5A4801E4">
            <w:pPr>
              <w:snapToGrid w:val="0"/>
              <w:jc w:val="both"/>
              <w:rPr>
                <w:rFonts w:ascii="宋体" w:hAnsi="宋体" w:cstheme="minorEastAsia"/>
                <w:bCs/>
                <w:sz w:val="16"/>
                <w:szCs w:val="16"/>
              </w:rPr>
            </w:pPr>
          </w:p>
        </w:tc>
      </w:tr>
      <w:tr w14:paraId="2FE2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254B50F">
            <w:pPr>
              <w:snapToGrid w:val="0"/>
              <w:jc w:val="both"/>
              <w:rPr>
                <w:rFonts w:ascii="宋体" w:hAnsi="宋体" w:cstheme="minorEastAsia"/>
                <w:bCs/>
                <w:sz w:val="16"/>
                <w:szCs w:val="16"/>
              </w:rPr>
            </w:pPr>
            <w:r>
              <w:rPr>
                <w:rFonts w:ascii="宋体" w:hAnsi="宋体"/>
                <w:sz w:val="16"/>
                <w:szCs w:val="16"/>
              </w:rPr>
              <w:t>2.2.3</w:t>
            </w:r>
          </w:p>
        </w:tc>
        <w:tc>
          <w:tcPr>
            <w:tcW w:w="1484" w:type="dxa"/>
            <w:tcBorders>
              <w:top w:val="single" w:color="auto" w:sz="4" w:space="0"/>
            </w:tcBorders>
            <w:vAlign w:val="center"/>
          </w:tcPr>
          <w:p w14:paraId="46B2CB61">
            <w:pPr>
              <w:snapToGrid w:val="0"/>
              <w:jc w:val="both"/>
              <w:rPr>
                <w:rFonts w:ascii="宋体" w:hAnsi="宋体"/>
                <w:sz w:val="16"/>
                <w:szCs w:val="16"/>
              </w:rPr>
            </w:pPr>
            <w:r>
              <w:rPr>
                <w:rFonts w:hint="eastAsia" w:ascii="宋体" w:hAnsi="宋体"/>
                <w:sz w:val="16"/>
                <w:szCs w:val="16"/>
              </w:rPr>
              <w:t>加水流量计（</w:t>
            </w:r>
            <w:r>
              <w:rPr>
                <w:rFonts w:ascii="宋体" w:hAnsi="宋体"/>
                <w:sz w:val="16"/>
                <w:szCs w:val="16"/>
              </w:rPr>
              <w:t>PA</w:t>
            </w:r>
            <w:r>
              <w:rPr>
                <w:rFonts w:hint="eastAsia" w:ascii="宋体" w:hAnsi="宋体"/>
                <w:sz w:val="16"/>
                <w:szCs w:val="16"/>
              </w:rPr>
              <w:t>）</w:t>
            </w:r>
          </w:p>
        </w:tc>
        <w:tc>
          <w:tcPr>
            <w:tcW w:w="4601" w:type="dxa"/>
            <w:vAlign w:val="center"/>
          </w:tcPr>
          <w:p w14:paraId="5431144A">
            <w:pPr>
              <w:snapToGrid w:val="0"/>
              <w:jc w:val="both"/>
              <w:rPr>
                <w:rFonts w:ascii="宋体" w:hAnsi="宋体"/>
                <w:sz w:val="16"/>
                <w:szCs w:val="16"/>
              </w:rPr>
            </w:pPr>
            <w:r>
              <w:rPr>
                <w:rFonts w:ascii="宋体" w:hAnsi="宋体"/>
                <w:sz w:val="16"/>
                <w:szCs w:val="16"/>
              </w:rPr>
              <w:t>1.</w:t>
            </w:r>
            <w:r>
              <w:rPr>
                <w:rFonts w:hint="eastAsia" w:ascii="宋体" w:hAnsi="宋体"/>
                <w:sz w:val="16"/>
                <w:szCs w:val="16"/>
              </w:rPr>
              <w:t>口径：</w:t>
            </w:r>
            <w:r>
              <w:rPr>
                <w:rFonts w:ascii="宋体" w:hAnsi="宋体"/>
                <w:sz w:val="16"/>
                <w:szCs w:val="16"/>
              </w:rPr>
              <w:t>DN15</w:t>
            </w:r>
            <w:r>
              <w:rPr>
                <w:rFonts w:hint="eastAsia" w:ascii="宋体" w:hAnsi="宋体"/>
                <w:sz w:val="16"/>
                <w:szCs w:val="16"/>
              </w:rPr>
              <w:t>；</w:t>
            </w:r>
            <w:r>
              <w:rPr>
                <w:rFonts w:ascii="宋体" w:hAnsi="宋体"/>
                <w:sz w:val="16"/>
                <w:szCs w:val="16"/>
              </w:rPr>
              <w:br w:type="textWrapping"/>
            </w:r>
            <w:r>
              <w:rPr>
                <w:rFonts w:ascii="宋体" w:hAnsi="宋体"/>
                <w:sz w:val="16"/>
                <w:szCs w:val="16"/>
              </w:rPr>
              <w:t>2.</w:t>
            </w:r>
            <w:r>
              <w:rPr>
                <w:rFonts w:hint="eastAsia" w:ascii="宋体" w:hAnsi="宋体"/>
                <w:sz w:val="16"/>
                <w:szCs w:val="16"/>
              </w:rPr>
              <w:t>一体式仪表含（传感器</w:t>
            </w:r>
            <w:r>
              <w:rPr>
                <w:rFonts w:ascii="宋体" w:hAnsi="宋体"/>
                <w:sz w:val="16"/>
                <w:szCs w:val="16"/>
              </w:rPr>
              <w:t>+</w:t>
            </w:r>
            <w:r>
              <w:rPr>
                <w:rFonts w:hint="eastAsia" w:ascii="宋体" w:hAnsi="宋体"/>
                <w:sz w:val="16"/>
                <w:szCs w:val="16"/>
              </w:rPr>
              <w:t>仪表</w:t>
            </w:r>
            <w:r>
              <w:rPr>
                <w:rFonts w:ascii="宋体" w:hAnsi="宋体"/>
                <w:sz w:val="16"/>
                <w:szCs w:val="16"/>
              </w:rPr>
              <w:t>+PA</w:t>
            </w:r>
            <w:r>
              <w:rPr>
                <w:rFonts w:hint="eastAsia" w:ascii="宋体" w:hAnsi="宋体"/>
                <w:sz w:val="16"/>
                <w:szCs w:val="16"/>
              </w:rPr>
              <w:t>接口）</w:t>
            </w:r>
            <w:r>
              <w:rPr>
                <w:rFonts w:ascii="宋体" w:hAnsi="宋体"/>
                <w:sz w:val="16"/>
                <w:szCs w:val="16"/>
              </w:rPr>
              <w:br w:type="textWrapping"/>
            </w:r>
            <w:r>
              <w:rPr>
                <w:rFonts w:ascii="宋体" w:hAnsi="宋体"/>
                <w:sz w:val="16"/>
                <w:szCs w:val="16"/>
              </w:rPr>
              <w:t>3.</w:t>
            </w:r>
            <w:r>
              <w:rPr>
                <w:rFonts w:hint="eastAsia" w:ascii="宋体" w:hAnsi="宋体"/>
                <w:sz w:val="16"/>
                <w:szCs w:val="16"/>
              </w:rPr>
              <w:t>测量介质：水</w:t>
            </w:r>
          </w:p>
        </w:tc>
        <w:tc>
          <w:tcPr>
            <w:tcW w:w="2022" w:type="dxa"/>
            <w:vAlign w:val="center"/>
          </w:tcPr>
          <w:p w14:paraId="79E442BB">
            <w:pPr>
              <w:snapToGrid w:val="0"/>
              <w:jc w:val="both"/>
              <w:rPr>
                <w:rFonts w:ascii="宋体" w:hAnsi="宋体" w:cstheme="minorEastAsia"/>
                <w:bCs/>
                <w:sz w:val="16"/>
                <w:szCs w:val="16"/>
              </w:rPr>
            </w:pPr>
          </w:p>
        </w:tc>
        <w:tc>
          <w:tcPr>
            <w:tcW w:w="0" w:type="auto"/>
            <w:vAlign w:val="center"/>
          </w:tcPr>
          <w:p w14:paraId="44E0F6B2">
            <w:pPr>
              <w:jc w:val="both"/>
              <w:textAlignment w:val="center"/>
              <w:rPr>
                <w:rFonts w:ascii="宋体" w:hAnsi="宋体" w:cstheme="minorEastAsia"/>
                <w:bCs/>
                <w:sz w:val="16"/>
                <w:szCs w:val="16"/>
              </w:rPr>
            </w:pPr>
          </w:p>
        </w:tc>
        <w:tc>
          <w:tcPr>
            <w:tcW w:w="0" w:type="auto"/>
            <w:vAlign w:val="center"/>
          </w:tcPr>
          <w:p w14:paraId="0564E0C3">
            <w:pPr>
              <w:jc w:val="both"/>
              <w:textAlignment w:val="center"/>
              <w:rPr>
                <w:rFonts w:ascii="宋体" w:hAnsi="宋体" w:cstheme="minorEastAsia"/>
                <w:bCs/>
                <w:sz w:val="16"/>
                <w:szCs w:val="16"/>
              </w:rPr>
            </w:pPr>
          </w:p>
        </w:tc>
        <w:tc>
          <w:tcPr>
            <w:tcW w:w="1016" w:type="dxa"/>
            <w:vAlign w:val="center"/>
          </w:tcPr>
          <w:p w14:paraId="0A0F4101">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063D84A1">
            <w:pPr>
              <w:jc w:val="both"/>
              <w:textAlignment w:val="center"/>
              <w:rPr>
                <w:rFonts w:ascii="宋体" w:hAnsi="宋体"/>
                <w:sz w:val="16"/>
                <w:szCs w:val="16"/>
              </w:rPr>
            </w:pPr>
            <w:r>
              <w:rPr>
                <w:rFonts w:ascii="宋体" w:hAnsi="宋体"/>
                <w:sz w:val="16"/>
                <w:szCs w:val="16"/>
              </w:rPr>
              <w:t>1</w:t>
            </w:r>
          </w:p>
        </w:tc>
        <w:tc>
          <w:tcPr>
            <w:tcW w:w="0" w:type="auto"/>
            <w:vAlign w:val="center"/>
          </w:tcPr>
          <w:p w14:paraId="0115CFFC">
            <w:pPr>
              <w:jc w:val="both"/>
              <w:textAlignment w:val="center"/>
              <w:rPr>
                <w:rFonts w:ascii="宋体" w:hAnsi="宋体" w:cstheme="minorEastAsia"/>
                <w:bCs/>
                <w:sz w:val="16"/>
                <w:szCs w:val="16"/>
                <w:highlight w:val="yellow"/>
              </w:rPr>
            </w:pPr>
          </w:p>
        </w:tc>
        <w:tc>
          <w:tcPr>
            <w:tcW w:w="0" w:type="auto"/>
            <w:vAlign w:val="center"/>
          </w:tcPr>
          <w:p w14:paraId="3CD8B291">
            <w:pPr>
              <w:jc w:val="both"/>
              <w:textAlignment w:val="center"/>
              <w:rPr>
                <w:rFonts w:ascii="宋体" w:hAnsi="宋体" w:cstheme="minorEastAsia"/>
                <w:bCs/>
                <w:sz w:val="16"/>
                <w:szCs w:val="16"/>
                <w:highlight w:val="yellow"/>
              </w:rPr>
            </w:pPr>
          </w:p>
        </w:tc>
        <w:tc>
          <w:tcPr>
            <w:tcW w:w="0" w:type="auto"/>
            <w:vAlign w:val="center"/>
          </w:tcPr>
          <w:p w14:paraId="60472B1C">
            <w:pPr>
              <w:jc w:val="both"/>
              <w:textAlignment w:val="center"/>
              <w:rPr>
                <w:rFonts w:ascii="宋体" w:hAnsi="宋体" w:cstheme="minorEastAsia"/>
                <w:bCs/>
                <w:sz w:val="16"/>
                <w:szCs w:val="16"/>
                <w:highlight w:val="yellow"/>
              </w:rPr>
            </w:pPr>
          </w:p>
        </w:tc>
        <w:tc>
          <w:tcPr>
            <w:tcW w:w="0" w:type="auto"/>
            <w:shd w:val="clear" w:color="auto" w:fill="auto"/>
            <w:vAlign w:val="center"/>
          </w:tcPr>
          <w:p w14:paraId="254DAC96">
            <w:pPr>
              <w:snapToGrid w:val="0"/>
              <w:jc w:val="both"/>
              <w:rPr>
                <w:rFonts w:ascii="宋体" w:hAnsi="宋体" w:cstheme="minorEastAsia"/>
                <w:bCs/>
                <w:sz w:val="16"/>
                <w:szCs w:val="16"/>
              </w:rPr>
            </w:pPr>
          </w:p>
        </w:tc>
      </w:tr>
      <w:tr w14:paraId="781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856" w:type="dxa"/>
            <w:vAlign w:val="center"/>
          </w:tcPr>
          <w:p w14:paraId="1A86D940">
            <w:pPr>
              <w:snapToGrid w:val="0"/>
              <w:jc w:val="both"/>
              <w:rPr>
                <w:rFonts w:ascii="宋体" w:hAnsi="宋体" w:cstheme="minorEastAsia"/>
                <w:bCs/>
                <w:sz w:val="16"/>
                <w:szCs w:val="16"/>
              </w:rPr>
            </w:pPr>
            <w:r>
              <w:rPr>
                <w:rFonts w:ascii="宋体" w:hAnsi="宋体"/>
                <w:sz w:val="16"/>
                <w:szCs w:val="16"/>
              </w:rPr>
              <w:t>2.2.4</w:t>
            </w:r>
          </w:p>
        </w:tc>
        <w:tc>
          <w:tcPr>
            <w:tcW w:w="1484" w:type="dxa"/>
            <w:tcBorders>
              <w:top w:val="single" w:color="auto" w:sz="4" w:space="0"/>
            </w:tcBorders>
            <w:vAlign w:val="center"/>
          </w:tcPr>
          <w:p w14:paraId="424930F6">
            <w:pPr>
              <w:snapToGrid w:val="0"/>
              <w:jc w:val="both"/>
              <w:rPr>
                <w:rFonts w:ascii="宋体" w:hAnsi="宋体"/>
                <w:sz w:val="16"/>
                <w:szCs w:val="16"/>
              </w:rPr>
            </w:pPr>
            <w:r>
              <w:rPr>
                <w:rFonts w:hint="eastAsia" w:ascii="宋体" w:hAnsi="宋体"/>
                <w:sz w:val="16"/>
                <w:szCs w:val="16"/>
              </w:rPr>
              <w:t>滚筒转速检测</w:t>
            </w:r>
          </w:p>
        </w:tc>
        <w:tc>
          <w:tcPr>
            <w:tcW w:w="4601" w:type="dxa"/>
            <w:vAlign w:val="center"/>
          </w:tcPr>
          <w:p w14:paraId="0CE81680">
            <w:pPr>
              <w:snapToGrid w:val="0"/>
              <w:jc w:val="both"/>
              <w:rPr>
                <w:rFonts w:ascii="宋体" w:hAnsi="宋体"/>
                <w:sz w:val="16"/>
                <w:szCs w:val="16"/>
              </w:rPr>
            </w:pPr>
            <w:r>
              <w:rPr>
                <w:rFonts w:ascii="宋体" w:hAnsi="宋体"/>
                <w:sz w:val="16"/>
                <w:szCs w:val="16"/>
              </w:rPr>
              <w:t>1.</w:t>
            </w:r>
            <w:r>
              <w:rPr>
                <w:rFonts w:hint="eastAsia" w:ascii="宋体" w:hAnsi="宋体"/>
                <w:sz w:val="16"/>
                <w:szCs w:val="16"/>
              </w:rPr>
              <w:t>电感式传感器；</w:t>
            </w:r>
            <w:r>
              <w:rPr>
                <w:rFonts w:ascii="宋体" w:hAnsi="宋体"/>
                <w:sz w:val="16"/>
                <w:szCs w:val="16"/>
              </w:rPr>
              <w:br w:type="textWrapping"/>
            </w:r>
            <w:r>
              <w:rPr>
                <w:rFonts w:ascii="宋体" w:hAnsi="宋体"/>
                <w:sz w:val="16"/>
                <w:szCs w:val="16"/>
              </w:rPr>
              <w:t xml:space="preserve">2.15mm </w:t>
            </w:r>
            <w:r>
              <w:rPr>
                <w:rFonts w:hint="eastAsia" w:ascii="宋体" w:hAnsi="宋体"/>
                <w:sz w:val="16"/>
                <w:szCs w:val="16"/>
              </w:rPr>
              <w:t>齐平</w:t>
            </w:r>
            <w:r>
              <w:rPr>
                <w:rFonts w:ascii="宋体" w:hAnsi="宋体"/>
                <w:sz w:val="16"/>
                <w:szCs w:val="16"/>
              </w:rPr>
              <w:br w:type="textWrapping"/>
            </w:r>
            <w:r>
              <w:rPr>
                <w:rFonts w:ascii="宋体" w:hAnsi="宋体"/>
                <w:sz w:val="16"/>
                <w:szCs w:val="16"/>
              </w:rPr>
              <w:t>3.PNP</w:t>
            </w:r>
            <w:r>
              <w:rPr>
                <w:rFonts w:hint="eastAsia" w:ascii="宋体" w:hAnsi="宋体"/>
                <w:sz w:val="16"/>
                <w:szCs w:val="16"/>
              </w:rPr>
              <w:t>；</w:t>
            </w:r>
            <w:r>
              <w:rPr>
                <w:rFonts w:ascii="宋体" w:hAnsi="宋体"/>
                <w:sz w:val="16"/>
                <w:szCs w:val="16"/>
              </w:rPr>
              <w:t>4.</w:t>
            </w:r>
            <w:r>
              <w:rPr>
                <w:rFonts w:hint="eastAsia" w:ascii="宋体" w:hAnsi="宋体"/>
                <w:sz w:val="16"/>
                <w:szCs w:val="16"/>
              </w:rPr>
              <w:t>时间延迟最大：</w:t>
            </w:r>
            <w:r>
              <w:rPr>
                <w:rFonts w:ascii="宋体" w:hAnsi="宋体"/>
                <w:sz w:val="16"/>
                <w:szCs w:val="16"/>
              </w:rPr>
              <w:t>15</w:t>
            </w:r>
            <w:r>
              <w:rPr>
                <w:rFonts w:hint="eastAsia" w:ascii="宋体" w:hAnsi="宋体"/>
                <w:sz w:val="16"/>
                <w:szCs w:val="16"/>
              </w:rPr>
              <w:t>毫秒</w:t>
            </w:r>
          </w:p>
        </w:tc>
        <w:tc>
          <w:tcPr>
            <w:tcW w:w="2022" w:type="dxa"/>
            <w:vAlign w:val="center"/>
          </w:tcPr>
          <w:p w14:paraId="3EB3EAC4">
            <w:pPr>
              <w:snapToGrid w:val="0"/>
              <w:jc w:val="both"/>
              <w:rPr>
                <w:rFonts w:ascii="宋体" w:hAnsi="宋体" w:cstheme="minorEastAsia"/>
                <w:bCs/>
                <w:sz w:val="16"/>
                <w:szCs w:val="16"/>
              </w:rPr>
            </w:pPr>
          </w:p>
        </w:tc>
        <w:tc>
          <w:tcPr>
            <w:tcW w:w="0" w:type="auto"/>
            <w:vAlign w:val="center"/>
          </w:tcPr>
          <w:p w14:paraId="174238DF">
            <w:pPr>
              <w:jc w:val="both"/>
              <w:textAlignment w:val="center"/>
              <w:rPr>
                <w:rFonts w:ascii="宋体" w:hAnsi="宋体" w:cstheme="minorEastAsia"/>
                <w:bCs/>
                <w:sz w:val="16"/>
                <w:szCs w:val="16"/>
              </w:rPr>
            </w:pPr>
          </w:p>
        </w:tc>
        <w:tc>
          <w:tcPr>
            <w:tcW w:w="0" w:type="auto"/>
            <w:vAlign w:val="center"/>
          </w:tcPr>
          <w:p w14:paraId="628C8A6B">
            <w:pPr>
              <w:jc w:val="both"/>
              <w:textAlignment w:val="center"/>
              <w:rPr>
                <w:rFonts w:ascii="宋体" w:hAnsi="宋体" w:cstheme="minorEastAsia"/>
                <w:bCs/>
                <w:sz w:val="16"/>
                <w:szCs w:val="16"/>
              </w:rPr>
            </w:pPr>
          </w:p>
        </w:tc>
        <w:tc>
          <w:tcPr>
            <w:tcW w:w="1016" w:type="dxa"/>
            <w:vAlign w:val="center"/>
          </w:tcPr>
          <w:p w14:paraId="44A708AE">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704E4EF">
            <w:pPr>
              <w:jc w:val="both"/>
              <w:textAlignment w:val="center"/>
              <w:rPr>
                <w:rFonts w:ascii="宋体" w:hAnsi="宋体"/>
                <w:sz w:val="16"/>
                <w:szCs w:val="16"/>
              </w:rPr>
            </w:pPr>
            <w:r>
              <w:rPr>
                <w:rFonts w:ascii="宋体" w:hAnsi="宋体"/>
                <w:sz w:val="16"/>
                <w:szCs w:val="16"/>
              </w:rPr>
              <w:t>1</w:t>
            </w:r>
          </w:p>
        </w:tc>
        <w:tc>
          <w:tcPr>
            <w:tcW w:w="0" w:type="auto"/>
            <w:vAlign w:val="center"/>
          </w:tcPr>
          <w:p w14:paraId="71CF89FA">
            <w:pPr>
              <w:jc w:val="both"/>
              <w:textAlignment w:val="center"/>
              <w:rPr>
                <w:rFonts w:ascii="宋体" w:hAnsi="宋体" w:cstheme="minorEastAsia"/>
                <w:bCs/>
                <w:sz w:val="16"/>
                <w:szCs w:val="16"/>
                <w:highlight w:val="yellow"/>
              </w:rPr>
            </w:pPr>
          </w:p>
        </w:tc>
        <w:tc>
          <w:tcPr>
            <w:tcW w:w="0" w:type="auto"/>
            <w:vAlign w:val="center"/>
          </w:tcPr>
          <w:p w14:paraId="41ED1DE7">
            <w:pPr>
              <w:jc w:val="both"/>
              <w:textAlignment w:val="center"/>
              <w:rPr>
                <w:rFonts w:ascii="宋体" w:hAnsi="宋体" w:cstheme="minorEastAsia"/>
                <w:bCs/>
                <w:sz w:val="16"/>
                <w:szCs w:val="16"/>
                <w:highlight w:val="yellow"/>
              </w:rPr>
            </w:pPr>
          </w:p>
        </w:tc>
        <w:tc>
          <w:tcPr>
            <w:tcW w:w="0" w:type="auto"/>
            <w:vAlign w:val="center"/>
          </w:tcPr>
          <w:p w14:paraId="40A0F7EA">
            <w:pPr>
              <w:jc w:val="both"/>
              <w:textAlignment w:val="center"/>
              <w:rPr>
                <w:rFonts w:ascii="宋体" w:hAnsi="宋体" w:cstheme="minorEastAsia"/>
                <w:bCs/>
                <w:sz w:val="16"/>
                <w:szCs w:val="16"/>
                <w:highlight w:val="yellow"/>
              </w:rPr>
            </w:pPr>
          </w:p>
        </w:tc>
        <w:tc>
          <w:tcPr>
            <w:tcW w:w="0" w:type="auto"/>
            <w:shd w:val="clear" w:color="auto" w:fill="auto"/>
            <w:vAlign w:val="center"/>
          </w:tcPr>
          <w:p w14:paraId="7A53B368">
            <w:pPr>
              <w:snapToGrid w:val="0"/>
              <w:jc w:val="both"/>
              <w:rPr>
                <w:rFonts w:ascii="宋体" w:hAnsi="宋体" w:cstheme="minorEastAsia"/>
                <w:bCs/>
                <w:sz w:val="16"/>
                <w:szCs w:val="16"/>
              </w:rPr>
            </w:pPr>
          </w:p>
        </w:tc>
      </w:tr>
      <w:tr w14:paraId="7B32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4A2D78A">
            <w:pPr>
              <w:snapToGrid w:val="0"/>
              <w:jc w:val="both"/>
              <w:rPr>
                <w:rFonts w:ascii="宋体" w:hAnsi="宋体" w:cstheme="minorEastAsia"/>
                <w:bCs/>
                <w:sz w:val="16"/>
                <w:szCs w:val="16"/>
              </w:rPr>
            </w:pPr>
            <w:r>
              <w:rPr>
                <w:rFonts w:ascii="宋体" w:hAnsi="宋体"/>
                <w:sz w:val="16"/>
                <w:szCs w:val="16"/>
              </w:rPr>
              <w:t>2.2.5</w:t>
            </w:r>
          </w:p>
        </w:tc>
        <w:tc>
          <w:tcPr>
            <w:tcW w:w="1484" w:type="dxa"/>
            <w:tcBorders>
              <w:top w:val="single" w:color="auto" w:sz="4" w:space="0"/>
            </w:tcBorders>
            <w:vAlign w:val="center"/>
          </w:tcPr>
          <w:p w14:paraId="4633957C">
            <w:pPr>
              <w:snapToGrid w:val="0"/>
              <w:jc w:val="both"/>
              <w:rPr>
                <w:rFonts w:ascii="宋体" w:hAnsi="宋体"/>
                <w:sz w:val="16"/>
                <w:szCs w:val="16"/>
              </w:rPr>
            </w:pPr>
            <w:r>
              <w:rPr>
                <w:rFonts w:hint="eastAsia" w:ascii="宋体" w:hAnsi="宋体"/>
                <w:sz w:val="16"/>
                <w:szCs w:val="16"/>
              </w:rPr>
              <w:t>水温度检测</w:t>
            </w:r>
          </w:p>
        </w:tc>
        <w:tc>
          <w:tcPr>
            <w:tcW w:w="4601" w:type="dxa"/>
            <w:vAlign w:val="center"/>
          </w:tcPr>
          <w:p w14:paraId="43FA9368">
            <w:pPr>
              <w:snapToGrid w:val="0"/>
              <w:jc w:val="both"/>
              <w:rPr>
                <w:rFonts w:ascii="宋体" w:hAnsi="宋体"/>
                <w:sz w:val="16"/>
                <w:szCs w:val="16"/>
              </w:rPr>
            </w:pPr>
            <w:r>
              <w:rPr>
                <w:rFonts w:hint="eastAsia" w:ascii="宋体" w:hAnsi="宋体"/>
                <w:sz w:val="16"/>
                <w:szCs w:val="16"/>
              </w:rPr>
              <w:t>显示变送一体化温度变送器</w:t>
            </w:r>
            <w:r>
              <w:rPr>
                <w:rFonts w:ascii="宋体" w:hAnsi="宋体"/>
                <w:sz w:val="16"/>
                <w:szCs w:val="16"/>
              </w:rPr>
              <w:br w:type="textWrapping"/>
            </w:r>
            <w:r>
              <w:rPr>
                <w:rFonts w:ascii="宋体" w:hAnsi="宋体"/>
                <w:sz w:val="16"/>
                <w:szCs w:val="16"/>
              </w:rPr>
              <w:t xml:space="preserve">1. </w:t>
            </w:r>
            <w:r>
              <w:rPr>
                <w:rFonts w:hint="eastAsia" w:ascii="宋体" w:hAnsi="宋体"/>
                <w:sz w:val="16"/>
                <w:szCs w:val="16"/>
              </w:rPr>
              <w:t>测量精度</w:t>
            </w:r>
            <w:r>
              <w:rPr>
                <w:rFonts w:ascii="宋体" w:hAnsi="宋体"/>
                <w:sz w:val="16"/>
                <w:szCs w:val="16"/>
              </w:rPr>
              <w:t>: &lt;</w:t>
            </w:r>
            <w:r>
              <w:rPr>
                <w:rFonts w:hint="eastAsia" w:ascii="宋体" w:hAnsi="宋体"/>
                <w:sz w:val="16"/>
                <w:szCs w:val="16"/>
              </w:rPr>
              <w:t>热电阻</w:t>
            </w:r>
            <w:r>
              <w:rPr>
                <w:rFonts w:ascii="宋体" w:hAnsi="宋体"/>
                <w:sz w:val="16"/>
                <w:szCs w:val="16"/>
              </w:rPr>
              <w:t xml:space="preserve">&gt; </w:t>
            </w:r>
            <w:r>
              <w:rPr>
                <w:rFonts w:hint="eastAsia" w:ascii="宋体" w:hAnsi="宋体"/>
                <w:sz w:val="16"/>
                <w:szCs w:val="16"/>
              </w:rPr>
              <w:t>±</w:t>
            </w:r>
            <w:r>
              <w:rPr>
                <w:rFonts w:ascii="宋体" w:hAnsi="宋体"/>
                <w:sz w:val="16"/>
                <w:szCs w:val="16"/>
              </w:rPr>
              <w:t xml:space="preserve"> 0.5%</w:t>
            </w:r>
            <w:r>
              <w:rPr>
                <w:rFonts w:ascii="宋体" w:hAnsi="宋体"/>
                <w:sz w:val="16"/>
                <w:szCs w:val="16"/>
              </w:rPr>
              <w:br w:type="textWrapping"/>
            </w:r>
            <w:r>
              <w:rPr>
                <w:rFonts w:ascii="宋体" w:hAnsi="宋体"/>
                <w:sz w:val="16"/>
                <w:szCs w:val="16"/>
              </w:rPr>
              <w:t xml:space="preserve">2. </w:t>
            </w:r>
            <w:r>
              <w:rPr>
                <w:rFonts w:hint="eastAsia" w:ascii="宋体" w:hAnsi="宋体"/>
                <w:sz w:val="16"/>
                <w:szCs w:val="16"/>
              </w:rPr>
              <w:t>热电阻测温范围</w:t>
            </w:r>
            <w:r>
              <w:rPr>
                <w:rFonts w:ascii="宋体" w:hAnsi="宋体"/>
                <w:sz w:val="16"/>
                <w:szCs w:val="16"/>
              </w:rPr>
              <w:t>: &lt;Pt100&gt;-200</w:t>
            </w:r>
            <w:r>
              <w:rPr>
                <w:rFonts w:hint="eastAsia" w:ascii="宋体" w:hAnsi="宋体"/>
                <w:sz w:val="16"/>
                <w:szCs w:val="16"/>
              </w:rPr>
              <w:t>～</w:t>
            </w:r>
            <w:r>
              <w:rPr>
                <w:rFonts w:ascii="宋体" w:hAnsi="宋体"/>
                <w:sz w:val="16"/>
                <w:szCs w:val="16"/>
              </w:rPr>
              <w:t>450</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3. </w:t>
            </w:r>
            <w:r>
              <w:rPr>
                <w:rFonts w:hint="eastAsia" w:ascii="宋体" w:hAnsi="宋体"/>
                <w:sz w:val="16"/>
                <w:szCs w:val="16"/>
              </w:rPr>
              <w:t>输出信号</w:t>
            </w:r>
            <w:r>
              <w:rPr>
                <w:rFonts w:ascii="宋体" w:hAnsi="宋体"/>
                <w:sz w:val="16"/>
                <w:szCs w:val="16"/>
              </w:rPr>
              <w:t>: 4-20mA</w:t>
            </w:r>
            <w:r>
              <w:rPr>
                <w:rFonts w:ascii="宋体" w:hAnsi="宋体"/>
                <w:sz w:val="16"/>
                <w:szCs w:val="16"/>
              </w:rPr>
              <w:br w:type="textWrapping"/>
            </w:r>
            <w:r>
              <w:rPr>
                <w:rFonts w:ascii="宋体" w:hAnsi="宋体"/>
                <w:sz w:val="16"/>
                <w:szCs w:val="16"/>
              </w:rPr>
              <w:t xml:space="preserve">4. </w:t>
            </w:r>
            <w:r>
              <w:rPr>
                <w:rFonts w:hint="eastAsia" w:ascii="宋体" w:hAnsi="宋体"/>
                <w:sz w:val="16"/>
                <w:szCs w:val="16"/>
              </w:rPr>
              <w:t>环境温度</w:t>
            </w:r>
            <w:r>
              <w:rPr>
                <w:rFonts w:ascii="宋体" w:hAnsi="宋体"/>
                <w:sz w:val="16"/>
                <w:szCs w:val="16"/>
              </w:rPr>
              <w:t>: -10</w:t>
            </w:r>
            <w:r>
              <w:rPr>
                <w:rFonts w:hint="eastAsia" w:ascii="宋体" w:hAnsi="宋体"/>
                <w:sz w:val="16"/>
                <w:szCs w:val="16"/>
              </w:rPr>
              <w:t>～</w:t>
            </w:r>
            <w:r>
              <w:rPr>
                <w:rFonts w:ascii="宋体" w:hAnsi="宋体"/>
                <w:sz w:val="16"/>
                <w:szCs w:val="16"/>
              </w:rPr>
              <w:t>85</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5. </w:t>
            </w:r>
            <w:r>
              <w:rPr>
                <w:rFonts w:hint="eastAsia" w:ascii="宋体" w:hAnsi="宋体"/>
                <w:sz w:val="16"/>
                <w:szCs w:val="16"/>
              </w:rPr>
              <w:t>显示范围</w:t>
            </w:r>
            <w:r>
              <w:rPr>
                <w:rFonts w:ascii="宋体" w:hAnsi="宋体"/>
                <w:sz w:val="16"/>
                <w:szCs w:val="16"/>
              </w:rPr>
              <w:t>: -1999</w:t>
            </w:r>
            <w:r>
              <w:rPr>
                <w:rFonts w:hint="eastAsia" w:ascii="宋体" w:hAnsi="宋体"/>
                <w:sz w:val="16"/>
                <w:szCs w:val="16"/>
              </w:rPr>
              <w:t>～</w:t>
            </w:r>
            <w:r>
              <w:rPr>
                <w:rFonts w:ascii="宋体" w:hAnsi="宋体"/>
                <w:sz w:val="16"/>
                <w:szCs w:val="16"/>
              </w:rPr>
              <w:t>1999</w:t>
            </w:r>
            <w:r>
              <w:rPr>
                <w:rFonts w:ascii="宋体" w:hAnsi="宋体"/>
                <w:sz w:val="16"/>
                <w:szCs w:val="16"/>
              </w:rPr>
              <w:br w:type="textWrapping"/>
            </w:r>
            <w:r>
              <w:rPr>
                <w:rFonts w:ascii="宋体" w:hAnsi="宋体"/>
                <w:sz w:val="16"/>
                <w:szCs w:val="16"/>
              </w:rPr>
              <w:t xml:space="preserve">6. </w:t>
            </w:r>
            <w:r>
              <w:rPr>
                <w:rFonts w:hint="eastAsia" w:ascii="宋体" w:hAnsi="宋体"/>
                <w:sz w:val="16"/>
                <w:szCs w:val="16"/>
              </w:rPr>
              <w:t>防护等级</w:t>
            </w:r>
            <w:r>
              <w:rPr>
                <w:rFonts w:ascii="宋体" w:hAnsi="宋体"/>
                <w:sz w:val="16"/>
                <w:szCs w:val="16"/>
              </w:rPr>
              <w:t>: IP65</w:t>
            </w:r>
          </w:p>
        </w:tc>
        <w:tc>
          <w:tcPr>
            <w:tcW w:w="2022" w:type="dxa"/>
            <w:vAlign w:val="center"/>
          </w:tcPr>
          <w:p w14:paraId="7EF5E30E">
            <w:pPr>
              <w:snapToGrid w:val="0"/>
              <w:jc w:val="both"/>
              <w:rPr>
                <w:rFonts w:ascii="宋体" w:hAnsi="宋体" w:cstheme="minorEastAsia"/>
                <w:bCs/>
                <w:sz w:val="16"/>
                <w:szCs w:val="16"/>
              </w:rPr>
            </w:pPr>
          </w:p>
        </w:tc>
        <w:tc>
          <w:tcPr>
            <w:tcW w:w="0" w:type="auto"/>
            <w:vAlign w:val="center"/>
          </w:tcPr>
          <w:p w14:paraId="3A148DF7">
            <w:pPr>
              <w:jc w:val="both"/>
              <w:textAlignment w:val="center"/>
              <w:rPr>
                <w:rFonts w:ascii="宋体" w:hAnsi="宋体" w:cstheme="minorEastAsia"/>
                <w:bCs/>
                <w:sz w:val="16"/>
                <w:szCs w:val="16"/>
              </w:rPr>
            </w:pPr>
          </w:p>
        </w:tc>
        <w:tc>
          <w:tcPr>
            <w:tcW w:w="0" w:type="auto"/>
            <w:vAlign w:val="center"/>
          </w:tcPr>
          <w:p w14:paraId="41971C90">
            <w:pPr>
              <w:jc w:val="both"/>
              <w:textAlignment w:val="center"/>
              <w:rPr>
                <w:rFonts w:ascii="宋体" w:hAnsi="宋体" w:cstheme="minorEastAsia"/>
                <w:bCs/>
                <w:sz w:val="16"/>
                <w:szCs w:val="16"/>
              </w:rPr>
            </w:pPr>
          </w:p>
        </w:tc>
        <w:tc>
          <w:tcPr>
            <w:tcW w:w="1016" w:type="dxa"/>
            <w:vAlign w:val="center"/>
          </w:tcPr>
          <w:p w14:paraId="5D2FA65D">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080E26C3">
            <w:pPr>
              <w:jc w:val="both"/>
              <w:textAlignment w:val="center"/>
              <w:rPr>
                <w:rFonts w:ascii="宋体" w:hAnsi="宋体"/>
                <w:sz w:val="16"/>
                <w:szCs w:val="16"/>
              </w:rPr>
            </w:pPr>
            <w:r>
              <w:rPr>
                <w:rFonts w:ascii="宋体" w:hAnsi="宋体"/>
                <w:sz w:val="16"/>
                <w:szCs w:val="16"/>
              </w:rPr>
              <w:t>2</w:t>
            </w:r>
          </w:p>
        </w:tc>
        <w:tc>
          <w:tcPr>
            <w:tcW w:w="0" w:type="auto"/>
            <w:vAlign w:val="center"/>
          </w:tcPr>
          <w:p w14:paraId="21F1CCAD">
            <w:pPr>
              <w:jc w:val="both"/>
              <w:textAlignment w:val="center"/>
              <w:rPr>
                <w:rFonts w:ascii="宋体" w:hAnsi="宋体" w:cstheme="minorEastAsia"/>
                <w:bCs/>
                <w:sz w:val="16"/>
                <w:szCs w:val="16"/>
                <w:highlight w:val="yellow"/>
              </w:rPr>
            </w:pPr>
          </w:p>
        </w:tc>
        <w:tc>
          <w:tcPr>
            <w:tcW w:w="0" w:type="auto"/>
            <w:vAlign w:val="center"/>
          </w:tcPr>
          <w:p w14:paraId="5445C769">
            <w:pPr>
              <w:jc w:val="both"/>
              <w:textAlignment w:val="center"/>
              <w:rPr>
                <w:rFonts w:ascii="宋体" w:hAnsi="宋体" w:cstheme="minorEastAsia"/>
                <w:bCs/>
                <w:sz w:val="16"/>
                <w:szCs w:val="16"/>
                <w:highlight w:val="yellow"/>
              </w:rPr>
            </w:pPr>
          </w:p>
        </w:tc>
        <w:tc>
          <w:tcPr>
            <w:tcW w:w="0" w:type="auto"/>
            <w:vAlign w:val="center"/>
          </w:tcPr>
          <w:p w14:paraId="13FFFAB0">
            <w:pPr>
              <w:jc w:val="both"/>
              <w:textAlignment w:val="center"/>
              <w:rPr>
                <w:rFonts w:ascii="宋体" w:hAnsi="宋体" w:cstheme="minorEastAsia"/>
                <w:bCs/>
                <w:sz w:val="16"/>
                <w:szCs w:val="16"/>
                <w:highlight w:val="yellow"/>
              </w:rPr>
            </w:pPr>
          </w:p>
        </w:tc>
        <w:tc>
          <w:tcPr>
            <w:tcW w:w="0" w:type="auto"/>
            <w:shd w:val="clear" w:color="auto" w:fill="auto"/>
            <w:vAlign w:val="center"/>
          </w:tcPr>
          <w:p w14:paraId="5E40E8DC">
            <w:pPr>
              <w:snapToGrid w:val="0"/>
              <w:jc w:val="both"/>
              <w:rPr>
                <w:rFonts w:ascii="宋体" w:hAnsi="宋体" w:cstheme="minorEastAsia"/>
                <w:bCs/>
                <w:sz w:val="16"/>
                <w:szCs w:val="16"/>
              </w:rPr>
            </w:pPr>
          </w:p>
        </w:tc>
      </w:tr>
      <w:tr w14:paraId="599B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CE4F612">
            <w:pPr>
              <w:snapToGrid w:val="0"/>
              <w:jc w:val="both"/>
              <w:rPr>
                <w:rFonts w:ascii="宋体" w:hAnsi="宋体" w:cstheme="minorEastAsia"/>
                <w:bCs/>
                <w:sz w:val="16"/>
                <w:szCs w:val="16"/>
              </w:rPr>
            </w:pPr>
            <w:r>
              <w:rPr>
                <w:rFonts w:ascii="宋体" w:hAnsi="宋体"/>
                <w:sz w:val="16"/>
                <w:szCs w:val="16"/>
              </w:rPr>
              <w:t>2.2.6</w:t>
            </w:r>
          </w:p>
        </w:tc>
        <w:tc>
          <w:tcPr>
            <w:tcW w:w="1484" w:type="dxa"/>
            <w:tcBorders>
              <w:top w:val="single" w:color="auto" w:sz="4" w:space="0"/>
            </w:tcBorders>
            <w:vAlign w:val="center"/>
          </w:tcPr>
          <w:p w14:paraId="06C0F014">
            <w:pPr>
              <w:snapToGrid w:val="0"/>
              <w:jc w:val="both"/>
              <w:rPr>
                <w:rFonts w:ascii="宋体" w:hAnsi="宋体"/>
                <w:sz w:val="16"/>
                <w:szCs w:val="16"/>
              </w:rPr>
            </w:pPr>
            <w:r>
              <w:rPr>
                <w:rFonts w:hint="eastAsia" w:ascii="宋体" w:hAnsi="宋体"/>
                <w:sz w:val="16"/>
                <w:szCs w:val="16"/>
              </w:rPr>
              <w:t>温湿度变送器</w:t>
            </w:r>
          </w:p>
        </w:tc>
        <w:tc>
          <w:tcPr>
            <w:tcW w:w="4601" w:type="dxa"/>
            <w:vAlign w:val="center"/>
          </w:tcPr>
          <w:p w14:paraId="32C6D315">
            <w:pPr>
              <w:snapToGrid w:val="0"/>
              <w:jc w:val="both"/>
              <w:rPr>
                <w:rFonts w:ascii="宋体" w:hAnsi="宋体"/>
                <w:sz w:val="16"/>
                <w:szCs w:val="16"/>
              </w:rPr>
            </w:pPr>
            <w:r>
              <w:rPr>
                <w:rFonts w:hint="eastAsia" w:ascii="宋体" w:hAnsi="宋体"/>
                <w:sz w:val="16"/>
                <w:szCs w:val="16"/>
              </w:rPr>
              <w:t>壁挂，相对湿度：</w:t>
            </w:r>
            <w:r>
              <w:rPr>
                <w:rFonts w:ascii="宋体" w:hAnsi="宋体"/>
                <w:sz w:val="16"/>
                <w:szCs w:val="16"/>
              </w:rPr>
              <w:t>1.</w:t>
            </w:r>
            <w:r>
              <w:rPr>
                <w:rFonts w:hint="eastAsia" w:ascii="宋体" w:hAnsi="宋体"/>
                <w:sz w:val="16"/>
                <w:szCs w:val="16"/>
              </w:rPr>
              <w:t>量程：</w:t>
            </w:r>
            <w:r>
              <w:rPr>
                <w:rFonts w:ascii="宋体" w:hAnsi="宋体"/>
                <w:sz w:val="16"/>
                <w:szCs w:val="16"/>
              </w:rPr>
              <w:t>0~100%RH</w:t>
            </w:r>
            <w:r>
              <w:rPr>
                <w:rFonts w:hint="eastAsia" w:ascii="宋体" w:hAnsi="宋体"/>
                <w:sz w:val="16"/>
                <w:szCs w:val="16"/>
              </w:rPr>
              <w:t>；</w:t>
            </w:r>
            <w:r>
              <w:rPr>
                <w:rFonts w:ascii="宋体" w:hAnsi="宋体"/>
                <w:sz w:val="16"/>
                <w:szCs w:val="16"/>
              </w:rPr>
              <w:t>2.</w:t>
            </w:r>
            <w:r>
              <w:rPr>
                <w:rFonts w:hint="eastAsia" w:ascii="宋体" w:hAnsi="宋体"/>
                <w:sz w:val="16"/>
                <w:szCs w:val="16"/>
              </w:rPr>
              <w:t>准确度</w:t>
            </w:r>
            <w:r>
              <w:rPr>
                <w:rFonts w:ascii="宋体" w:hAnsi="宋体"/>
                <w:sz w:val="16"/>
                <w:szCs w:val="16"/>
              </w:rPr>
              <w:t>(</w:t>
            </w:r>
            <w:r>
              <w:rPr>
                <w:rFonts w:hint="eastAsia" w:ascii="宋体" w:hAnsi="宋体"/>
                <w:sz w:val="16"/>
                <w:szCs w:val="16"/>
              </w:rPr>
              <w:t>包括非线性度，迟滞和重复性）：±</w:t>
            </w:r>
            <w:r>
              <w:rPr>
                <w:rFonts w:ascii="宋体" w:hAnsi="宋体"/>
                <w:sz w:val="16"/>
                <w:szCs w:val="16"/>
              </w:rPr>
              <w:t>3%RH;3.</w:t>
            </w:r>
            <w:r>
              <w:rPr>
                <w:rFonts w:hint="eastAsia" w:ascii="宋体" w:hAnsi="宋体"/>
                <w:sz w:val="16"/>
                <w:szCs w:val="16"/>
              </w:rPr>
              <w:t>分辨率：</w:t>
            </w:r>
            <w:r>
              <w:rPr>
                <w:rFonts w:ascii="宋体" w:hAnsi="宋体"/>
                <w:sz w:val="16"/>
                <w:szCs w:val="16"/>
              </w:rPr>
              <w:t>0.1%RH</w:t>
            </w:r>
            <w:r>
              <w:rPr>
                <w:rFonts w:ascii="宋体" w:hAnsi="宋体"/>
                <w:sz w:val="16"/>
                <w:szCs w:val="16"/>
              </w:rPr>
              <w:br w:type="textWrapping"/>
            </w:r>
            <w:r>
              <w:rPr>
                <w:rFonts w:hint="eastAsia" w:ascii="宋体" w:hAnsi="宋体"/>
                <w:sz w:val="16"/>
                <w:szCs w:val="16"/>
              </w:rPr>
              <w:t>温度</w:t>
            </w:r>
            <w:r>
              <w:rPr>
                <w:rFonts w:ascii="宋体" w:hAnsi="宋体"/>
                <w:sz w:val="16"/>
                <w:szCs w:val="16"/>
              </w:rPr>
              <w:t>:1.</w:t>
            </w:r>
            <w:r>
              <w:rPr>
                <w:rFonts w:hint="eastAsia" w:ascii="宋体" w:hAnsi="宋体"/>
                <w:sz w:val="16"/>
                <w:szCs w:val="16"/>
              </w:rPr>
              <w:t>量程</w:t>
            </w:r>
            <w:r>
              <w:rPr>
                <w:rFonts w:ascii="宋体" w:hAnsi="宋体"/>
                <w:sz w:val="16"/>
                <w:szCs w:val="16"/>
              </w:rPr>
              <w:t>(</w:t>
            </w:r>
            <w:r>
              <w:rPr>
                <w:rFonts w:hint="eastAsia" w:ascii="宋体" w:hAnsi="宋体"/>
                <w:sz w:val="16"/>
                <w:szCs w:val="16"/>
              </w:rPr>
              <w:t>可通过拔码开关设置</w:t>
            </w:r>
            <w:r>
              <w:rPr>
                <w:rFonts w:ascii="宋体" w:hAnsi="宋体"/>
                <w:sz w:val="16"/>
                <w:szCs w:val="16"/>
              </w:rPr>
              <w:t>)</w:t>
            </w:r>
            <w:r>
              <w:rPr>
                <w:rFonts w:hint="eastAsia" w:ascii="宋体" w:hAnsi="宋体"/>
                <w:sz w:val="16"/>
                <w:szCs w:val="16"/>
              </w:rPr>
              <w:t>：</w:t>
            </w:r>
            <w:r>
              <w:rPr>
                <w:rFonts w:ascii="宋体" w:hAnsi="宋体"/>
                <w:sz w:val="16"/>
                <w:szCs w:val="16"/>
              </w:rPr>
              <w:t>0~+50</w:t>
            </w:r>
            <w:r>
              <w:rPr>
                <w:rFonts w:hint="eastAsia" w:ascii="宋体" w:hAnsi="宋体"/>
                <w:sz w:val="16"/>
                <w:szCs w:val="16"/>
              </w:rPr>
              <w:t>℃</w:t>
            </w:r>
            <w:r>
              <w:rPr>
                <w:rFonts w:ascii="宋体" w:hAnsi="宋体"/>
                <w:sz w:val="16"/>
                <w:szCs w:val="16"/>
              </w:rPr>
              <w:t>/ -20~+80</w:t>
            </w:r>
            <w:r>
              <w:rPr>
                <w:rFonts w:hint="eastAsia" w:ascii="宋体" w:hAnsi="宋体"/>
                <w:sz w:val="16"/>
                <w:szCs w:val="16"/>
              </w:rPr>
              <w:t>℃</w:t>
            </w:r>
            <w:r>
              <w:rPr>
                <w:rFonts w:ascii="宋体" w:hAnsi="宋体"/>
                <w:sz w:val="16"/>
                <w:szCs w:val="16"/>
              </w:rPr>
              <w:t>/ -40~+60</w:t>
            </w:r>
            <w:r>
              <w:rPr>
                <w:rFonts w:hint="eastAsia" w:ascii="宋体" w:hAnsi="宋体"/>
                <w:sz w:val="16"/>
                <w:szCs w:val="16"/>
              </w:rPr>
              <w:t>℃</w:t>
            </w:r>
            <w:r>
              <w:rPr>
                <w:rFonts w:ascii="宋体" w:hAnsi="宋体"/>
                <w:sz w:val="16"/>
                <w:szCs w:val="16"/>
              </w:rPr>
              <w:t>/</w:t>
            </w:r>
            <w:r>
              <w:rPr>
                <w:rFonts w:hint="eastAsia" w:ascii="宋体" w:hAnsi="宋体"/>
                <w:sz w:val="16"/>
                <w:szCs w:val="16"/>
              </w:rPr>
              <w:t>客户定制</w:t>
            </w:r>
            <w:r>
              <w:rPr>
                <w:rFonts w:ascii="宋体" w:hAnsi="宋体"/>
                <w:sz w:val="16"/>
                <w:szCs w:val="16"/>
              </w:rPr>
              <w:t>;2.</w:t>
            </w:r>
            <w:r>
              <w:rPr>
                <w:rFonts w:hint="eastAsia" w:ascii="宋体" w:hAnsi="宋体"/>
                <w:sz w:val="16"/>
                <w:szCs w:val="16"/>
              </w:rPr>
              <w:t>准确度：±</w:t>
            </w:r>
            <w:r>
              <w:rPr>
                <w:rFonts w:ascii="宋体" w:hAnsi="宋体"/>
                <w:sz w:val="16"/>
                <w:szCs w:val="16"/>
              </w:rPr>
              <w:t>0.3</w:t>
            </w:r>
            <w:r>
              <w:rPr>
                <w:rFonts w:hint="eastAsia" w:ascii="宋体" w:hAnsi="宋体"/>
                <w:sz w:val="16"/>
                <w:szCs w:val="16"/>
              </w:rPr>
              <w:t>℃（典型值）</w:t>
            </w:r>
            <w:r>
              <w:rPr>
                <w:rFonts w:ascii="宋体" w:hAnsi="宋体"/>
                <w:sz w:val="16"/>
                <w:szCs w:val="16"/>
              </w:rPr>
              <w:t>;3.</w:t>
            </w:r>
            <w:r>
              <w:rPr>
                <w:rFonts w:hint="eastAsia" w:ascii="宋体" w:hAnsi="宋体"/>
                <w:sz w:val="16"/>
                <w:szCs w:val="16"/>
              </w:rPr>
              <w:t>分辨率：</w:t>
            </w:r>
            <w:r>
              <w:rPr>
                <w:rFonts w:ascii="宋体" w:hAnsi="宋体"/>
                <w:sz w:val="16"/>
                <w:szCs w:val="16"/>
              </w:rPr>
              <w:t>0.1</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工作电压：</w:t>
            </w:r>
            <w:r>
              <w:rPr>
                <w:rFonts w:ascii="宋体" w:hAnsi="宋体"/>
                <w:sz w:val="16"/>
                <w:szCs w:val="16"/>
              </w:rPr>
              <w:t>12~36VDC</w:t>
            </w:r>
            <w:r>
              <w:rPr>
                <w:rFonts w:ascii="宋体" w:hAnsi="宋体"/>
                <w:sz w:val="16"/>
                <w:szCs w:val="16"/>
              </w:rPr>
              <w:br w:type="textWrapping"/>
            </w:r>
            <w:r>
              <w:rPr>
                <w:rFonts w:hint="eastAsia" w:ascii="宋体" w:hAnsi="宋体"/>
                <w:sz w:val="16"/>
                <w:szCs w:val="16"/>
              </w:rPr>
              <w:t>输出信号：</w:t>
            </w:r>
            <w:r>
              <w:rPr>
                <w:rFonts w:ascii="宋体" w:hAnsi="宋体"/>
                <w:sz w:val="16"/>
                <w:szCs w:val="16"/>
              </w:rPr>
              <w:t>4-20mA</w:t>
            </w:r>
            <w:r>
              <w:rPr>
                <w:rFonts w:hint="eastAsia" w:ascii="宋体" w:hAnsi="宋体"/>
                <w:sz w:val="16"/>
                <w:szCs w:val="16"/>
              </w:rPr>
              <w:t>；</w:t>
            </w:r>
          </w:p>
        </w:tc>
        <w:tc>
          <w:tcPr>
            <w:tcW w:w="2022" w:type="dxa"/>
            <w:vAlign w:val="center"/>
          </w:tcPr>
          <w:p w14:paraId="109C9FBA">
            <w:pPr>
              <w:snapToGrid w:val="0"/>
              <w:jc w:val="both"/>
              <w:rPr>
                <w:rFonts w:ascii="宋体" w:hAnsi="宋体" w:cstheme="minorEastAsia"/>
                <w:bCs/>
                <w:sz w:val="16"/>
                <w:szCs w:val="16"/>
              </w:rPr>
            </w:pPr>
          </w:p>
        </w:tc>
        <w:tc>
          <w:tcPr>
            <w:tcW w:w="0" w:type="auto"/>
            <w:vAlign w:val="center"/>
          </w:tcPr>
          <w:p w14:paraId="63A866E7">
            <w:pPr>
              <w:jc w:val="both"/>
              <w:textAlignment w:val="center"/>
              <w:rPr>
                <w:rFonts w:ascii="宋体" w:hAnsi="宋体" w:cstheme="minorEastAsia"/>
                <w:bCs/>
                <w:sz w:val="16"/>
                <w:szCs w:val="16"/>
              </w:rPr>
            </w:pPr>
          </w:p>
        </w:tc>
        <w:tc>
          <w:tcPr>
            <w:tcW w:w="0" w:type="auto"/>
            <w:vAlign w:val="center"/>
          </w:tcPr>
          <w:p w14:paraId="4E809EEF">
            <w:pPr>
              <w:jc w:val="both"/>
              <w:textAlignment w:val="center"/>
              <w:rPr>
                <w:rFonts w:ascii="宋体" w:hAnsi="宋体" w:cstheme="minorEastAsia"/>
                <w:bCs/>
                <w:sz w:val="16"/>
                <w:szCs w:val="16"/>
              </w:rPr>
            </w:pPr>
          </w:p>
        </w:tc>
        <w:tc>
          <w:tcPr>
            <w:tcW w:w="1016" w:type="dxa"/>
            <w:vAlign w:val="center"/>
          </w:tcPr>
          <w:p w14:paraId="375E09B2">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2DA6C775">
            <w:pPr>
              <w:jc w:val="both"/>
              <w:textAlignment w:val="center"/>
              <w:rPr>
                <w:rFonts w:ascii="宋体" w:hAnsi="宋体"/>
                <w:sz w:val="16"/>
                <w:szCs w:val="16"/>
              </w:rPr>
            </w:pPr>
            <w:r>
              <w:rPr>
                <w:rFonts w:ascii="宋体" w:hAnsi="宋体"/>
                <w:sz w:val="16"/>
                <w:szCs w:val="16"/>
              </w:rPr>
              <w:t>1</w:t>
            </w:r>
          </w:p>
        </w:tc>
        <w:tc>
          <w:tcPr>
            <w:tcW w:w="0" w:type="auto"/>
            <w:vAlign w:val="center"/>
          </w:tcPr>
          <w:p w14:paraId="723EAC84">
            <w:pPr>
              <w:jc w:val="both"/>
              <w:textAlignment w:val="center"/>
              <w:rPr>
                <w:rFonts w:ascii="宋体" w:hAnsi="宋体" w:cstheme="minorEastAsia"/>
                <w:bCs/>
                <w:sz w:val="16"/>
                <w:szCs w:val="16"/>
                <w:highlight w:val="yellow"/>
              </w:rPr>
            </w:pPr>
          </w:p>
        </w:tc>
        <w:tc>
          <w:tcPr>
            <w:tcW w:w="0" w:type="auto"/>
            <w:vAlign w:val="center"/>
          </w:tcPr>
          <w:p w14:paraId="696D3C10">
            <w:pPr>
              <w:jc w:val="both"/>
              <w:textAlignment w:val="center"/>
              <w:rPr>
                <w:rFonts w:ascii="宋体" w:hAnsi="宋体" w:cstheme="minorEastAsia"/>
                <w:bCs/>
                <w:sz w:val="16"/>
                <w:szCs w:val="16"/>
                <w:highlight w:val="yellow"/>
              </w:rPr>
            </w:pPr>
          </w:p>
        </w:tc>
        <w:tc>
          <w:tcPr>
            <w:tcW w:w="0" w:type="auto"/>
            <w:vAlign w:val="center"/>
          </w:tcPr>
          <w:p w14:paraId="1EA6123F">
            <w:pPr>
              <w:jc w:val="both"/>
              <w:textAlignment w:val="center"/>
              <w:rPr>
                <w:rFonts w:ascii="宋体" w:hAnsi="宋体" w:cstheme="minorEastAsia"/>
                <w:bCs/>
                <w:sz w:val="16"/>
                <w:szCs w:val="16"/>
                <w:highlight w:val="yellow"/>
              </w:rPr>
            </w:pPr>
          </w:p>
        </w:tc>
        <w:tc>
          <w:tcPr>
            <w:tcW w:w="0" w:type="auto"/>
            <w:shd w:val="clear" w:color="auto" w:fill="auto"/>
            <w:vAlign w:val="center"/>
          </w:tcPr>
          <w:p w14:paraId="6416CBF5">
            <w:pPr>
              <w:snapToGrid w:val="0"/>
              <w:jc w:val="both"/>
              <w:rPr>
                <w:rFonts w:ascii="宋体" w:hAnsi="宋体" w:cstheme="minorEastAsia"/>
                <w:bCs/>
                <w:sz w:val="16"/>
                <w:szCs w:val="16"/>
              </w:rPr>
            </w:pPr>
          </w:p>
        </w:tc>
      </w:tr>
      <w:tr w14:paraId="2541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9667FB5">
            <w:pPr>
              <w:snapToGrid w:val="0"/>
              <w:jc w:val="both"/>
              <w:rPr>
                <w:rFonts w:ascii="宋体" w:hAnsi="宋体" w:cstheme="minorEastAsia"/>
                <w:bCs/>
                <w:sz w:val="16"/>
                <w:szCs w:val="16"/>
              </w:rPr>
            </w:pPr>
            <w:r>
              <w:rPr>
                <w:rFonts w:ascii="宋体" w:hAnsi="宋体"/>
                <w:sz w:val="16"/>
                <w:szCs w:val="16"/>
              </w:rPr>
              <w:t>2.2.7</w:t>
            </w:r>
          </w:p>
        </w:tc>
        <w:tc>
          <w:tcPr>
            <w:tcW w:w="1484" w:type="dxa"/>
            <w:tcBorders>
              <w:top w:val="single" w:color="auto" w:sz="4" w:space="0"/>
            </w:tcBorders>
            <w:vAlign w:val="center"/>
          </w:tcPr>
          <w:p w14:paraId="2C3E0B83">
            <w:pPr>
              <w:snapToGrid w:val="0"/>
              <w:jc w:val="both"/>
              <w:rPr>
                <w:rFonts w:ascii="宋体" w:hAnsi="宋体"/>
                <w:sz w:val="16"/>
                <w:szCs w:val="16"/>
              </w:rPr>
            </w:pPr>
            <w:r>
              <w:rPr>
                <w:rFonts w:hint="eastAsia" w:ascii="宋体" w:hAnsi="宋体"/>
                <w:sz w:val="16"/>
                <w:szCs w:val="16"/>
              </w:rPr>
              <w:t>涡街流量计</w:t>
            </w:r>
          </w:p>
        </w:tc>
        <w:tc>
          <w:tcPr>
            <w:tcW w:w="4601" w:type="dxa"/>
            <w:vAlign w:val="center"/>
          </w:tcPr>
          <w:p w14:paraId="634C6260">
            <w:pPr>
              <w:snapToGrid w:val="0"/>
              <w:jc w:val="both"/>
              <w:rPr>
                <w:rFonts w:ascii="宋体" w:hAnsi="宋体"/>
                <w:sz w:val="16"/>
                <w:szCs w:val="16"/>
              </w:rPr>
            </w:pPr>
            <w:r>
              <w:rPr>
                <w:rFonts w:ascii="宋体" w:hAnsi="宋体"/>
                <w:sz w:val="16"/>
                <w:szCs w:val="16"/>
              </w:rPr>
              <w:t xml:space="preserve">1. </w:t>
            </w:r>
            <w:r>
              <w:rPr>
                <w:rFonts w:hint="eastAsia" w:ascii="宋体" w:hAnsi="宋体"/>
                <w:sz w:val="16"/>
                <w:szCs w:val="16"/>
              </w:rPr>
              <w:t>安装管径：</w:t>
            </w:r>
            <w:r>
              <w:rPr>
                <w:rFonts w:ascii="宋体" w:hAnsi="宋体"/>
                <w:sz w:val="16"/>
                <w:szCs w:val="16"/>
              </w:rPr>
              <w:t>DN25-DN100</w:t>
            </w:r>
            <w:r>
              <w:rPr>
                <w:rFonts w:ascii="宋体" w:hAnsi="宋体"/>
                <w:sz w:val="16"/>
                <w:szCs w:val="16"/>
              </w:rPr>
              <w:br w:type="textWrapping"/>
            </w:r>
            <w:r>
              <w:rPr>
                <w:rFonts w:ascii="宋体" w:hAnsi="宋体"/>
                <w:sz w:val="16"/>
                <w:szCs w:val="16"/>
              </w:rPr>
              <w:t xml:space="preserve">2. </w:t>
            </w:r>
            <w:r>
              <w:rPr>
                <w:rFonts w:hint="eastAsia" w:ascii="宋体" w:hAnsi="宋体"/>
                <w:sz w:val="16"/>
                <w:szCs w:val="16"/>
              </w:rPr>
              <w:t>过热蒸汽、饱和蒸汽、湿蒸汽以及较小流量状态下蒸汽的质量流量、体积流量、累积量、温度、含水率精确测量</w:t>
            </w:r>
            <w:r>
              <w:rPr>
                <w:rFonts w:ascii="宋体" w:hAnsi="宋体"/>
                <w:sz w:val="16"/>
                <w:szCs w:val="16"/>
              </w:rPr>
              <w:br w:type="textWrapping"/>
            </w:r>
            <w:r>
              <w:rPr>
                <w:rFonts w:ascii="宋体" w:hAnsi="宋体"/>
                <w:sz w:val="16"/>
                <w:szCs w:val="16"/>
              </w:rPr>
              <w:t xml:space="preserve">3. </w:t>
            </w:r>
            <w:r>
              <w:rPr>
                <w:rFonts w:hint="eastAsia" w:ascii="宋体" w:hAnsi="宋体"/>
                <w:sz w:val="16"/>
                <w:szCs w:val="16"/>
              </w:rPr>
              <w:t>能同时输出多个测量值</w:t>
            </w:r>
            <w:r>
              <w:rPr>
                <w:rFonts w:ascii="宋体" w:hAnsi="宋体"/>
                <w:sz w:val="16"/>
                <w:szCs w:val="16"/>
              </w:rPr>
              <w:br w:type="textWrapping"/>
            </w:r>
            <w:r>
              <w:rPr>
                <w:rFonts w:ascii="宋体" w:hAnsi="宋体"/>
                <w:sz w:val="16"/>
                <w:szCs w:val="16"/>
              </w:rPr>
              <w:t xml:space="preserve">4. </w:t>
            </w:r>
            <w:r>
              <w:rPr>
                <w:rFonts w:hint="eastAsia" w:ascii="宋体" w:hAnsi="宋体"/>
                <w:sz w:val="16"/>
                <w:szCs w:val="16"/>
              </w:rPr>
              <w:t>结构紧凑、安装便捷、工作稳定、坚固耐用、测量精确</w:t>
            </w:r>
            <w:r>
              <w:rPr>
                <w:rFonts w:ascii="宋体" w:hAnsi="宋体"/>
                <w:sz w:val="16"/>
                <w:szCs w:val="16"/>
              </w:rPr>
              <w:br w:type="textWrapping"/>
            </w:r>
            <w:r>
              <w:rPr>
                <w:rFonts w:ascii="宋体" w:hAnsi="宋体"/>
                <w:sz w:val="16"/>
                <w:szCs w:val="16"/>
              </w:rPr>
              <w:t xml:space="preserve">5. </w:t>
            </w:r>
            <w:r>
              <w:rPr>
                <w:rFonts w:hint="eastAsia" w:ascii="宋体" w:hAnsi="宋体"/>
                <w:sz w:val="16"/>
                <w:szCs w:val="16"/>
              </w:rPr>
              <w:t>便于维护和标定</w:t>
            </w:r>
            <w:r>
              <w:rPr>
                <w:rFonts w:ascii="宋体" w:hAnsi="宋体"/>
                <w:sz w:val="16"/>
                <w:szCs w:val="16"/>
              </w:rPr>
              <w:br w:type="textWrapping"/>
            </w:r>
            <w:r>
              <w:rPr>
                <w:rFonts w:ascii="宋体" w:hAnsi="宋体"/>
                <w:sz w:val="16"/>
                <w:szCs w:val="16"/>
              </w:rPr>
              <w:t>6.</w:t>
            </w:r>
            <w:r>
              <w:rPr>
                <w:rFonts w:hint="eastAsia" w:ascii="宋体" w:hAnsi="宋体"/>
                <w:sz w:val="16"/>
                <w:szCs w:val="16"/>
              </w:rPr>
              <w:t>每台流量计须配备相应规格的法兰盘</w:t>
            </w:r>
            <w:r>
              <w:rPr>
                <w:rFonts w:ascii="宋体" w:hAnsi="宋体"/>
                <w:sz w:val="16"/>
                <w:szCs w:val="16"/>
              </w:rPr>
              <w:br w:type="textWrapping"/>
            </w:r>
            <w:r>
              <w:rPr>
                <w:rFonts w:ascii="宋体" w:hAnsi="宋体"/>
                <w:sz w:val="16"/>
                <w:szCs w:val="16"/>
              </w:rPr>
              <w:t>7.</w:t>
            </w:r>
            <w:r>
              <w:rPr>
                <w:rFonts w:hint="eastAsia" w:ascii="宋体" w:hAnsi="宋体"/>
                <w:sz w:val="16"/>
                <w:szCs w:val="16"/>
              </w:rPr>
              <w:t>通讯类型：</w:t>
            </w:r>
            <w:r>
              <w:rPr>
                <w:rFonts w:ascii="宋体" w:hAnsi="宋体"/>
                <w:sz w:val="16"/>
                <w:szCs w:val="16"/>
              </w:rPr>
              <w:t>Profibus PA</w:t>
            </w:r>
          </w:p>
        </w:tc>
        <w:tc>
          <w:tcPr>
            <w:tcW w:w="2022" w:type="dxa"/>
            <w:vAlign w:val="center"/>
          </w:tcPr>
          <w:p w14:paraId="0466E926">
            <w:pPr>
              <w:snapToGrid w:val="0"/>
              <w:jc w:val="both"/>
              <w:rPr>
                <w:rFonts w:ascii="宋体" w:hAnsi="宋体" w:cstheme="minorEastAsia"/>
                <w:bCs/>
                <w:sz w:val="16"/>
                <w:szCs w:val="16"/>
              </w:rPr>
            </w:pPr>
          </w:p>
        </w:tc>
        <w:tc>
          <w:tcPr>
            <w:tcW w:w="0" w:type="auto"/>
            <w:vAlign w:val="center"/>
          </w:tcPr>
          <w:p w14:paraId="7B0B1C56">
            <w:pPr>
              <w:jc w:val="both"/>
              <w:textAlignment w:val="center"/>
              <w:rPr>
                <w:rFonts w:ascii="宋体" w:hAnsi="宋体" w:cstheme="minorEastAsia"/>
                <w:bCs/>
                <w:sz w:val="16"/>
                <w:szCs w:val="16"/>
              </w:rPr>
            </w:pPr>
          </w:p>
        </w:tc>
        <w:tc>
          <w:tcPr>
            <w:tcW w:w="0" w:type="auto"/>
            <w:vAlign w:val="center"/>
          </w:tcPr>
          <w:p w14:paraId="744AFEA8">
            <w:pPr>
              <w:jc w:val="both"/>
              <w:textAlignment w:val="center"/>
              <w:rPr>
                <w:rFonts w:ascii="宋体" w:hAnsi="宋体" w:cstheme="minorEastAsia"/>
                <w:bCs/>
                <w:sz w:val="16"/>
                <w:szCs w:val="16"/>
              </w:rPr>
            </w:pPr>
          </w:p>
        </w:tc>
        <w:tc>
          <w:tcPr>
            <w:tcW w:w="1016" w:type="dxa"/>
            <w:vAlign w:val="center"/>
          </w:tcPr>
          <w:p w14:paraId="7C187720">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19F0FD1">
            <w:pPr>
              <w:jc w:val="both"/>
              <w:textAlignment w:val="center"/>
              <w:rPr>
                <w:rFonts w:ascii="宋体" w:hAnsi="宋体"/>
                <w:sz w:val="16"/>
                <w:szCs w:val="16"/>
              </w:rPr>
            </w:pPr>
            <w:r>
              <w:rPr>
                <w:rFonts w:ascii="宋体" w:hAnsi="宋体"/>
                <w:sz w:val="16"/>
                <w:szCs w:val="16"/>
              </w:rPr>
              <w:t>2</w:t>
            </w:r>
          </w:p>
        </w:tc>
        <w:tc>
          <w:tcPr>
            <w:tcW w:w="0" w:type="auto"/>
            <w:vAlign w:val="center"/>
          </w:tcPr>
          <w:p w14:paraId="5E2EB53E">
            <w:pPr>
              <w:jc w:val="both"/>
              <w:textAlignment w:val="center"/>
              <w:rPr>
                <w:rFonts w:ascii="宋体" w:hAnsi="宋体" w:cstheme="minorEastAsia"/>
                <w:bCs/>
                <w:sz w:val="16"/>
                <w:szCs w:val="16"/>
                <w:highlight w:val="yellow"/>
              </w:rPr>
            </w:pPr>
          </w:p>
        </w:tc>
        <w:tc>
          <w:tcPr>
            <w:tcW w:w="0" w:type="auto"/>
            <w:vAlign w:val="center"/>
          </w:tcPr>
          <w:p w14:paraId="40EBF014">
            <w:pPr>
              <w:jc w:val="both"/>
              <w:textAlignment w:val="center"/>
              <w:rPr>
                <w:rFonts w:ascii="宋体" w:hAnsi="宋体" w:cstheme="minorEastAsia"/>
                <w:bCs/>
                <w:sz w:val="16"/>
                <w:szCs w:val="16"/>
                <w:highlight w:val="yellow"/>
              </w:rPr>
            </w:pPr>
          </w:p>
        </w:tc>
        <w:tc>
          <w:tcPr>
            <w:tcW w:w="0" w:type="auto"/>
            <w:vAlign w:val="center"/>
          </w:tcPr>
          <w:p w14:paraId="3665FFF7">
            <w:pPr>
              <w:jc w:val="both"/>
              <w:textAlignment w:val="center"/>
              <w:rPr>
                <w:rFonts w:ascii="宋体" w:hAnsi="宋体" w:cstheme="minorEastAsia"/>
                <w:bCs/>
                <w:sz w:val="16"/>
                <w:szCs w:val="16"/>
                <w:highlight w:val="yellow"/>
              </w:rPr>
            </w:pPr>
          </w:p>
        </w:tc>
        <w:tc>
          <w:tcPr>
            <w:tcW w:w="0" w:type="auto"/>
            <w:shd w:val="clear" w:color="auto" w:fill="auto"/>
            <w:vAlign w:val="center"/>
          </w:tcPr>
          <w:p w14:paraId="02197243">
            <w:pPr>
              <w:snapToGrid w:val="0"/>
              <w:jc w:val="both"/>
              <w:rPr>
                <w:rFonts w:ascii="宋体" w:hAnsi="宋体" w:cstheme="minorEastAsia"/>
                <w:bCs/>
                <w:sz w:val="16"/>
                <w:szCs w:val="16"/>
              </w:rPr>
            </w:pPr>
          </w:p>
        </w:tc>
      </w:tr>
      <w:tr w14:paraId="58BA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B04A69A">
            <w:pPr>
              <w:snapToGrid w:val="0"/>
              <w:jc w:val="both"/>
              <w:rPr>
                <w:rFonts w:ascii="宋体" w:hAnsi="宋体" w:cstheme="minorEastAsia"/>
                <w:b/>
                <w:bCs/>
                <w:sz w:val="16"/>
                <w:szCs w:val="16"/>
              </w:rPr>
            </w:pPr>
            <w:r>
              <w:rPr>
                <w:rFonts w:hint="eastAsia" w:ascii="宋体" w:hAnsi="宋体" w:cstheme="minorEastAsia"/>
                <w:b/>
                <w:bCs/>
                <w:sz w:val="16"/>
                <w:szCs w:val="16"/>
              </w:rPr>
              <w:t>2.3</w:t>
            </w:r>
          </w:p>
        </w:tc>
        <w:tc>
          <w:tcPr>
            <w:tcW w:w="13138" w:type="dxa"/>
            <w:gridSpan w:val="11"/>
            <w:vAlign w:val="center"/>
          </w:tcPr>
          <w:p w14:paraId="6C78289A">
            <w:pPr>
              <w:snapToGrid w:val="0"/>
              <w:jc w:val="both"/>
              <w:rPr>
                <w:rFonts w:ascii="宋体" w:hAnsi="宋体" w:cstheme="minorEastAsia"/>
                <w:b/>
                <w:bCs/>
                <w:sz w:val="16"/>
                <w:szCs w:val="16"/>
              </w:rPr>
            </w:pPr>
            <w:r>
              <w:rPr>
                <w:rFonts w:hint="eastAsia" w:ascii="宋体" w:hAnsi="宋体" w:cstheme="minorEastAsia"/>
                <w:b/>
                <w:bCs/>
                <w:sz w:val="16"/>
                <w:szCs w:val="16"/>
              </w:rPr>
              <w:t>加料机新增</w:t>
            </w:r>
          </w:p>
        </w:tc>
      </w:tr>
      <w:tr w14:paraId="13E0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009CC7B">
            <w:pPr>
              <w:snapToGrid w:val="0"/>
              <w:jc w:val="both"/>
              <w:rPr>
                <w:rFonts w:ascii="宋体" w:hAnsi="宋体" w:cstheme="minorEastAsia"/>
                <w:bCs/>
                <w:sz w:val="16"/>
                <w:szCs w:val="16"/>
              </w:rPr>
            </w:pPr>
            <w:r>
              <w:rPr>
                <w:rFonts w:ascii="宋体" w:hAnsi="宋体"/>
                <w:sz w:val="16"/>
                <w:szCs w:val="16"/>
              </w:rPr>
              <w:t>2.3.1</w:t>
            </w:r>
          </w:p>
        </w:tc>
        <w:tc>
          <w:tcPr>
            <w:tcW w:w="1484" w:type="dxa"/>
            <w:tcBorders>
              <w:top w:val="single" w:color="auto" w:sz="4" w:space="0"/>
            </w:tcBorders>
            <w:vAlign w:val="center"/>
          </w:tcPr>
          <w:p w14:paraId="32F649ED">
            <w:pPr>
              <w:snapToGrid w:val="0"/>
              <w:jc w:val="both"/>
              <w:rPr>
                <w:rFonts w:ascii="宋体" w:hAnsi="宋体"/>
                <w:sz w:val="16"/>
                <w:szCs w:val="16"/>
              </w:rPr>
            </w:pPr>
            <w:r>
              <w:rPr>
                <w:rFonts w:hint="eastAsia" w:ascii="宋体" w:hAnsi="宋体"/>
                <w:sz w:val="16"/>
                <w:szCs w:val="16"/>
              </w:rPr>
              <w:t>压力变送器</w:t>
            </w:r>
          </w:p>
        </w:tc>
        <w:tc>
          <w:tcPr>
            <w:tcW w:w="4601" w:type="dxa"/>
            <w:vAlign w:val="center"/>
          </w:tcPr>
          <w:p w14:paraId="2D7EC843">
            <w:pPr>
              <w:snapToGrid w:val="0"/>
              <w:jc w:val="both"/>
              <w:rPr>
                <w:rFonts w:ascii="宋体" w:hAnsi="宋体"/>
                <w:sz w:val="16"/>
                <w:szCs w:val="16"/>
              </w:rPr>
            </w:pPr>
            <w:r>
              <w:rPr>
                <w:rFonts w:ascii="宋体" w:hAnsi="宋体"/>
                <w:sz w:val="16"/>
                <w:szCs w:val="16"/>
              </w:rPr>
              <w:t>1.</w:t>
            </w:r>
            <w:r>
              <w:rPr>
                <w:rFonts w:hint="eastAsia" w:ascii="宋体" w:hAnsi="宋体"/>
                <w:sz w:val="16"/>
                <w:szCs w:val="16"/>
              </w:rPr>
              <w:t>应用场合：液体、气体、蒸汽压力的测量</w:t>
            </w:r>
            <w:r>
              <w:rPr>
                <w:rFonts w:ascii="宋体" w:hAnsi="宋体"/>
                <w:sz w:val="16"/>
                <w:szCs w:val="16"/>
              </w:rPr>
              <w:br w:type="textWrapping"/>
            </w:r>
            <w:r>
              <w:rPr>
                <w:rFonts w:ascii="宋体" w:hAnsi="宋体"/>
                <w:sz w:val="16"/>
                <w:szCs w:val="16"/>
              </w:rPr>
              <w:t>2.</w:t>
            </w:r>
            <w:r>
              <w:rPr>
                <w:rFonts w:hint="eastAsia" w:ascii="宋体" w:hAnsi="宋体"/>
                <w:sz w:val="16"/>
                <w:szCs w:val="16"/>
              </w:rPr>
              <w:t>精度等级：</w:t>
            </w:r>
            <w:r>
              <w:rPr>
                <w:rFonts w:ascii="宋体" w:hAnsi="宋体"/>
                <w:sz w:val="16"/>
                <w:szCs w:val="16"/>
              </w:rPr>
              <w:t xml:space="preserve"> 0.25% </w:t>
            </w:r>
            <w:r>
              <w:rPr>
                <w:rFonts w:ascii="宋体" w:hAnsi="宋体"/>
                <w:sz w:val="16"/>
                <w:szCs w:val="16"/>
              </w:rPr>
              <w:br w:type="textWrapping"/>
            </w:r>
            <w:r>
              <w:rPr>
                <w:rFonts w:ascii="宋体" w:hAnsi="宋体"/>
                <w:sz w:val="16"/>
                <w:szCs w:val="16"/>
              </w:rPr>
              <w:t>3.</w:t>
            </w:r>
            <w:r>
              <w:rPr>
                <w:rFonts w:hint="eastAsia" w:ascii="宋体" w:hAnsi="宋体"/>
                <w:sz w:val="16"/>
                <w:szCs w:val="16"/>
              </w:rPr>
              <w:t>供电电源</w:t>
            </w:r>
            <w:r>
              <w:rPr>
                <w:rFonts w:ascii="宋体" w:hAnsi="宋体"/>
                <w:sz w:val="16"/>
                <w:szCs w:val="16"/>
              </w:rPr>
              <w:t xml:space="preserve"> 15</w:t>
            </w:r>
            <w:r>
              <w:rPr>
                <w:rFonts w:hint="eastAsia" w:ascii="宋体" w:hAnsi="宋体"/>
                <w:sz w:val="16"/>
                <w:szCs w:val="16"/>
              </w:rPr>
              <w:t>～</w:t>
            </w:r>
            <w:r>
              <w:rPr>
                <w:rFonts w:ascii="宋体" w:hAnsi="宋体"/>
                <w:sz w:val="16"/>
                <w:szCs w:val="16"/>
              </w:rPr>
              <w:t>36 VDC</w:t>
            </w:r>
            <w:r>
              <w:rPr>
                <w:rFonts w:hint="eastAsia" w:ascii="宋体" w:hAnsi="宋体"/>
                <w:sz w:val="16"/>
                <w:szCs w:val="16"/>
              </w:rPr>
              <w:t>（标定电压</w:t>
            </w:r>
            <w:r>
              <w:rPr>
                <w:rFonts w:ascii="宋体" w:hAnsi="宋体"/>
                <w:sz w:val="16"/>
                <w:szCs w:val="16"/>
              </w:rPr>
              <w:t>24VDC</w:t>
            </w:r>
            <w:r>
              <w:rPr>
                <w:rFonts w:hint="eastAsia" w:ascii="宋体" w:hAnsi="宋体"/>
                <w:sz w:val="16"/>
                <w:szCs w:val="16"/>
              </w:rPr>
              <w:t>）</w:t>
            </w:r>
            <w:r>
              <w:rPr>
                <w:rFonts w:ascii="宋体" w:hAnsi="宋体"/>
                <w:sz w:val="16"/>
                <w:szCs w:val="16"/>
              </w:rPr>
              <w:br w:type="textWrapping"/>
            </w:r>
            <w:r>
              <w:rPr>
                <w:rFonts w:ascii="宋体" w:hAnsi="宋体"/>
                <w:sz w:val="16"/>
                <w:szCs w:val="16"/>
              </w:rPr>
              <w:t>4.</w:t>
            </w:r>
            <w:r>
              <w:rPr>
                <w:rFonts w:hint="eastAsia" w:ascii="宋体" w:hAnsi="宋体"/>
                <w:sz w:val="16"/>
                <w:szCs w:val="16"/>
              </w:rPr>
              <w:t>输出信号</w:t>
            </w:r>
            <w:r>
              <w:rPr>
                <w:rFonts w:ascii="宋体" w:hAnsi="宋体"/>
                <w:sz w:val="16"/>
                <w:szCs w:val="16"/>
              </w:rPr>
              <w:t xml:space="preserve"> (4</w:t>
            </w:r>
            <w:r>
              <w:rPr>
                <w:rFonts w:hint="eastAsia" w:ascii="宋体" w:hAnsi="宋体"/>
                <w:sz w:val="16"/>
                <w:szCs w:val="16"/>
              </w:rPr>
              <w:t>～</w:t>
            </w:r>
            <w:r>
              <w:rPr>
                <w:rFonts w:ascii="宋体" w:hAnsi="宋体"/>
                <w:sz w:val="16"/>
                <w:szCs w:val="16"/>
              </w:rPr>
              <w:t>20)mA</w:t>
            </w:r>
            <w:r>
              <w:rPr>
                <w:rFonts w:ascii="宋体" w:hAnsi="宋体"/>
                <w:sz w:val="16"/>
                <w:szCs w:val="16"/>
              </w:rPr>
              <w:br w:type="textWrapping"/>
            </w:r>
            <w:r>
              <w:rPr>
                <w:rFonts w:ascii="宋体" w:hAnsi="宋体"/>
                <w:sz w:val="16"/>
                <w:szCs w:val="16"/>
              </w:rPr>
              <w:t>5.</w:t>
            </w:r>
            <w:r>
              <w:rPr>
                <w:rFonts w:hint="eastAsia" w:ascii="宋体" w:hAnsi="宋体"/>
                <w:sz w:val="16"/>
                <w:szCs w:val="16"/>
              </w:rPr>
              <w:t>显示方式</w:t>
            </w:r>
            <w:r>
              <w:rPr>
                <w:rFonts w:ascii="宋体" w:hAnsi="宋体"/>
                <w:sz w:val="16"/>
                <w:szCs w:val="16"/>
              </w:rPr>
              <w:t xml:space="preserve"> </w:t>
            </w:r>
            <w:r>
              <w:rPr>
                <w:rFonts w:hint="eastAsia" w:ascii="宋体" w:hAnsi="宋体"/>
                <w:sz w:val="16"/>
                <w:szCs w:val="16"/>
              </w:rPr>
              <w:t>：指针表头或数字显示可选配</w:t>
            </w:r>
            <w:r>
              <w:rPr>
                <w:rFonts w:ascii="宋体" w:hAnsi="宋体"/>
                <w:sz w:val="16"/>
                <w:szCs w:val="16"/>
              </w:rPr>
              <w:t xml:space="preserve"> </w:t>
            </w:r>
          </w:p>
        </w:tc>
        <w:tc>
          <w:tcPr>
            <w:tcW w:w="2022" w:type="dxa"/>
            <w:vAlign w:val="center"/>
          </w:tcPr>
          <w:p w14:paraId="73D590E6">
            <w:pPr>
              <w:snapToGrid w:val="0"/>
              <w:jc w:val="both"/>
              <w:rPr>
                <w:rFonts w:ascii="宋体" w:hAnsi="宋体" w:cstheme="minorEastAsia"/>
                <w:bCs/>
                <w:sz w:val="16"/>
                <w:szCs w:val="16"/>
              </w:rPr>
            </w:pPr>
          </w:p>
        </w:tc>
        <w:tc>
          <w:tcPr>
            <w:tcW w:w="0" w:type="auto"/>
            <w:vAlign w:val="center"/>
          </w:tcPr>
          <w:p w14:paraId="6324AA3C">
            <w:pPr>
              <w:jc w:val="both"/>
              <w:textAlignment w:val="center"/>
              <w:rPr>
                <w:rFonts w:ascii="宋体" w:hAnsi="宋体" w:cstheme="minorEastAsia"/>
                <w:bCs/>
                <w:sz w:val="16"/>
                <w:szCs w:val="16"/>
              </w:rPr>
            </w:pPr>
          </w:p>
        </w:tc>
        <w:tc>
          <w:tcPr>
            <w:tcW w:w="0" w:type="auto"/>
            <w:vAlign w:val="center"/>
          </w:tcPr>
          <w:p w14:paraId="10A3A22E">
            <w:pPr>
              <w:jc w:val="both"/>
              <w:textAlignment w:val="center"/>
              <w:rPr>
                <w:rFonts w:ascii="宋体" w:hAnsi="宋体" w:cstheme="minorEastAsia"/>
                <w:bCs/>
                <w:sz w:val="16"/>
                <w:szCs w:val="16"/>
              </w:rPr>
            </w:pPr>
          </w:p>
        </w:tc>
        <w:tc>
          <w:tcPr>
            <w:tcW w:w="1016" w:type="dxa"/>
            <w:vAlign w:val="center"/>
          </w:tcPr>
          <w:p w14:paraId="70918524">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19ADAC64">
            <w:pPr>
              <w:jc w:val="both"/>
              <w:textAlignment w:val="center"/>
              <w:rPr>
                <w:rFonts w:ascii="宋体" w:hAnsi="宋体"/>
                <w:sz w:val="16"/>
                <w:szCs w:val="16"/>
              </w:rPr>
            </w:pPr>
            <w:r>
              <w:rPr>
                <w:rFonts w:ascii="宋体" w:hAnsi="宋体"/>
                <w:sz w:val="16"/>
                <w:szCs w:val="16"/>
              </w:rPr>
              <w:t>8</w:t>
            </w:r>
          </w:p>
        </w:tc>
        <w:tc>
          <w:tcPr>
            <w:tcW w:w="0" w:type="auto"/>
            <w:vAlign w:val="center"/>
          </w:tcPr>
          <w:p w14:paraId="36BB4AFA">
            <w:pPr>
              <w:jc w:val="both"/>
              <w:textAlignment w:val="center"/>
              <w:rPr>
                <w:rFonts w:ascii="宋体" w:hAnsi="宋体" w:cstheme="minorEastAsia"/>
                <w:bCs/>
                <w:sz w:val="16"/>
                <w:szCs w:val="16"/>
                <w:highlight w:val="yellow"/>
              </w:rPr>
            </w:pPr>
          </w:p>
        </w:tc>
        <w:tc>
          <w:tcPr>
            <w:tcW w:w="0" w:type="auto"/>
            <w:vAlign w:val="center"/>
          </w:tcPr>
          <w:p w14:paraId="4A3819B5">
            <w:pPr>
              <w:jc w:val="both"/>
              <w:textAlignment w:val="center"/>
              <w:rPr>
                <w:rFonts w:ascii="宋体" w:hAnsi="宋体" w:cstheme="minorEastAsia"/>
                <w:bCs/>
                <w:sz w:val="16"/>
                <w:szCs w:val="16"/>
                <w:highlight w:val="yellow"/>
              </w:rPr>
            </w:pPr>
          </w:p>
        </w:tc>
        <w:tc>
          <w:tcPr>
            <w:tcW w:w="0" w:type="auto"/>
            <w:vAlign w:val="center"/>
          </w:tcPr>
          <w:p w14:paraId="653F1A21">
            <w:pPr>
              <w:jc w:val="both"/>
              <w:textAlignment w:val="center"/>
              <w:rPr>
                <w:rFonts w:ascii="宋体" w:hAnsi="宋体" w:cstheme="minorEastAsia"/>
                <w:bCs/>
                <w:sz w:val="16"/>
                <w:szCs w:val="16"/>
                <w:highlight w:val="yellow"/>
              </w:rPr>
            </w:pPr>
          </w:p>
        </w:tc>
        <w:tc>
          <w:tcPr>
            <w:tcW w:w="0" w:type="auto"/>
            <w:shd w:val="clear" w:color="auto" w:fill="auto"/>
            <w:vAlign w:val="center"/>
          </w:tcPr>
          <w:p w14:paraId="40DA5AFA">
            <w:pPr>
              <w:snapToGrid w:val="0"/>
              <w:jc w:val="both"/>
              <w:rPr>
                <w:rFonts w:ascii="宋体" w:hAnsi="宋体" w:cstheme="minorEastAsia"/>
                <w:bCs/>
                <w:sz w:val="16"/>
                <w:szCs w:val="16"/>
              </w:rPr>
            </w:pPr>
          </w:p>
        </w:tc>
      </w:tr>
      <w:tr w14:paraId="7DC1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6FF83CC">
            <w:pPr>
              <w:snapToGrid w:val="0"/>
              <w:jc w:val="both"/>
              <w:rPr>
                <w:rFonts w:ascii="宋体" w:hAnsi="宋体" w:cstheme="minorEastAsia"/>
                <w:bCs/>
                <w:sz w:val="16"/>
                <w:szCs w:val="16"/>
              </w:rPr>
            </w:pPr>
            <w:r>
              <w:rPr>
                <w:rFonts w:ascii="宋体" w:hAnsi="宋体"/>
                <w:sz w:val="16"/>
                <w:szCs w:val="16"/>
              </w:rPr>
              <w:t>2.3.2</w:t>
            </w:r>
          </w:p>
        </w:tc>
        <w:tc>
          <w:tcPr>
            <w:tcW w:w="1484" w:type="dxa"/>
            <w:tcBorders>
              <w:top w:val="single" w:color="auto" w:sz="4" w:space="0"/>
            </w:tcBorders>
            <w:vAlign w:val="center"/>
          </w:tcPr>
          <w:p w14:paraId="036FEF9F">
            <w:pPr>
              <w:snapToGrid w:val="0"/>
              <w:jc w:val="both"/>
              <w:rPr>
                <w:rFonts w:ascii="宋体" w:hAnsi="宋体"/>
                <w:sz w:val="16"/>
                <w:szCs w:val="16"/>
              </w:rPr>
            </w:pPr>
            <w:r>
              <w:rPr>
                <w:rFonts w:hint="eastAsia" w:ascii="宋体" w:hAnsi="宋体"/>
                <w:sz w:val="16"/>
                <w:szCs w:val="16"/>
              </w:rPr>
              <w:t>散热器进蒸汽调节</w:t>
            </w:r>
          </w:p>
        </w:tc>
        <w:tc>
          <w:tcPr>
            <w:tcW w:w="4601" w:type="dxa"/>
            <w:vAlign w:val="center"/>
          </w:tcPr>
          <w:p w14:paraId="78485750">
            <w:pPr>
              <w:snapToGrid w:val="0"/>
              <w:jc w:val="both"/>
              <w:rPr>
                <w:rFonts w:ascii="宋体" w:hAnsi="宋体"/>
                <w:sz w:val="16"/>
                <w:szCs w:val="16"/>
              </w:rPr>
            </w:pPr>
            <w:r>
              <w:rPr>
                <w:rFonts w:ascii="宋体" w:hAnsi="宋体"/>
                <w:sz w:val="16"/>
                <w:szCs w:val="16"/>
              </w:rPr>
              <w:t>1.</w:t>
            </w:r>
            <w:r>
              <w:rPr>
                <w:rFonts w:hint="eastAsia" w:ascii="宋体" w:hAnsi="宋体"/>
                <w:sz w:val="16"/>
                <w:szCs w:val="16"/>
              </w:rPr>
              <w:t>适用于：</w:t>
            </w:r>
            <w:r>
              <w:rPr>
                <w:rFonts w:ascii="宋体" w:hAnsi="宋体"/>
                <w:sz w:val="16"/>
                <w:szCs w:val="16"/>
              </w:rPr>
              <w:t xml:space="preserve">SAMSON </w:t>
            </w:r>
            <w:r>
              <w:rPr>
                <w:rFonts w:hint="eastAsia" w:ascii="宋体" w:hAnsi="宋体"/>
                <w:sz w:val="16"/>
                <w:szCs w:val="16"/>
              </w:rPr>
              <w:t>调节阀；</w:t>
            </w:r>
            <w:r>
              <w:rPr>
                <w:rFonts w:ascii="宋体" w:hAnsi="宋体"/>
                <w:sz w:val="16"/>
                <w:szCs w:val="16"/>
              </w:rPr>
              <w:br w:type="textWrapping"/>
            </w:r>
            <w:r>
              <w:rPr>
                <w:rFonts w:ascii="宋体" w:hAnsi="宋体"/>
                <w:sz w:val="16"/>
                <w:szCs w:val="16"/>
              </w:rPr>
              <w:t>2.</w:t>
            </w:r>
            <w:r>
              <w:rPr>
                <w:rFonts w:hint="eastAsia" w:ascii="宋体" w:hAnsi="宋体"/>
                <w:sz w:val="16"/>
                <w:szCs w:val="16"/>
              </w:rPr>
              <w:t>与</w:t>
            </w:r>
            <w:r>
              <w:rPr>
                <w:rFonts w:ascii="宋体" w:hAnsi="宋体"/>
                <w:sz w:val="16"/>
                <w:szCs w:val="16"/>
              </w:rPr>
              <w:t>3730-4-Profibus-PA</w:t>
            </w:r>
            <w:r>
              <w:rPr>
                <w:rFonts w:hint="eastAsia" w:ascii="宋体" w:hAnsi="宋体"/>
                <w:sz w:val="16"/>
                <w:szCs w:val="16"/>
              </w:rPr>
              <w:t>定位器参数一致</w:t>
            </w:r>
            <w:r>
              <w:rPr>
                <w:rFonts w:ascii="宋体" w:hAnsi="宋体"/>
                <w:sz w:val="16"/>
                <w:szCs w:val="16"/>
              </w:rPr>
              <w:br w:type="textWrapping"/>
            </w:r>
            <w:r>
              <w:rPr>
                <w:rFonts w:ascii="宋体" w:hAnsi="宋体"/>
                <w:sz w:val="16"/>
                <w:szCs w:val="16"/>
              </w:rPr>
              <w:t>3.</w:t>
            </w:r>
            <w:r>
              <w:rPr>
                <w:rFonts w:hint="eastAsia" w:ascii="宋体" w:hAnsi="宋体"/>
                <w:sz w:val="16"/>
                <w:szCs w:val="16"/>
              </w:rPr>
              <w:t>带</w:t>
            </w:r>
            <w:r>
              <w:rPr>
                <w:rFonts w:ascii="宋体" w:hAnsi="宋体"/>
                <w:sz w:val="16"/>
                <w:szCs w:val="16"/>
              </w:rPr>
              <w:t xml:space="preserve"> LCD </w:t>
            </w:r>
            <w:r>
              <w:rPr>
                <w:rFonts w:hint="eastAsia" w:ascii="宋体" w:hAnsi="宋体"/>
                <w:sz w:val="16"/>
                <w:szCs w:val="16"/>
              </w:rPr>
              <w:t>显示和自动调整功能，</w:t>
            </w:r>
            <w:r>
              <w:rPr>
                <w:rFonts w:ascii="宋体" w:hAnsi="宋体"/>
                <w:sz w:val="16"/>
                <w:szCs w:val="16"/>
              </w:rPr>
              <w:t>PROFIBUS-PA</w:t>
            </w:r>
          </w:p>
        </w:tc>
        <w:tc>
          <w:tcPr>
            <w:tcW w:w="2022" w:type="dxa"/>
            <w:vAlign w:val="center"/>
          </w:tcPr>
          <w:p w14:paraId="0A4A8CE1">
            <w:pPr>
              <w:snapToGrid w:val="0"/>
              <w:jc w:val="both"/>
              <w:rPr>
                <w:rFonts w:ascii="宋体" w:hAnsi="宋体" w:cstheme="minorEastAsia"/>
                <w:bCs/>
                <w:sz w:val="16"/>
                <w:szCs w:val="16"/>
              </w:rPr>
            </w:pPr>
          </w:p>
        </w:tc>
        <w:tc>
          <w:tcPr>
            <w:tcW w:w="0" w:type="auto"/>
            <w:vAlign w:val="center"/>
          </w:tcPr>
          <w:p w14:paraId="690B4E1B">
            <w:pPr>
              <w:jc w:val="both"/>
              <w:textAlignment w:val="center"/>
              <w:rPr>
                <w:rFonts w:ascii="宋体" w:hAnsi="宋体" w:cstheme="minorEastAsia"/>
                <w:bCs/>
                <w:sz w:val="16"/>
                <w:szCs w:val="16"/>
              </w:rPr>
            </w:pPr>
          </w:p>
        </w:tc>
        <w:tc>
          <w:tcPr>
            <w:tcW w:w="0" w:type="auto"/>
            <w:vAlign w:val="center"/>
          </w:tcPr>
          <w:p w14:paraId="71C04EC0">
            <w:pPr>
              <w:jc w:val="both"/>
              <w:textAlignment w:val="center"/>
              <w:rPr>
                <w:rFonts w:ascii="宋体" w:hAnsi="宋体" w:cstheme="minorEastAsia"/>
                <w:bCs/>
                <w:sz w:val="16"/>
                <w:szCs w:val="16"/>
              </w:rPr>
            </w:pPr>
          </w:p>
        </w:tc>
        <w:tc>
          <w:tcPr>
            <w:tcW w:w="1016" w:type="dxa"/>
            <w:vAlign w:val="center"/>
          </w:tcPr>
          <w:p w14:paraId="799A1FFF">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28CA6A68">
            <w:pPr>
              <w:jc w:val="both"/>
              <w:textAlignment w:val="center"/>
              <w:rPr>
                <w:rFonts w:ascii="宋体" w:hAnsi="宋体"/>
                <w:sz w:val="16"/>
                <w:szCs w:val="16"/>
              </w:rPr>
            </w:pPr>
            <w:r>
              <w:rPr>
                <w:rFonts w:ascii="宋体" w:hAnsi="宋体"/>
                <w:sz w:val="16"/>
                <w:szCs w:val="16"/>
              </w:rPr>
              <w:t>2</w:t>
            </w:r>
          </w:p>
        </w:tc>
        <w:tc>
          <w:tcPr>
            <w:tcW w:w="0" w:type="auto"/>
            <w:vAlign w:val="center"/>
          </w:tcPr>
          <w:p w14:paraId="7860D97E">
            <w:pPr>
              <w:jc w:val="both"/>
              <w:textAlignment w:val="center"/>
              <w:rPr>
                <w:rFonts w:ascii="宋体" w:hAnsi="宋体" w:cstheme="minorEastAsia"/>
                <w:bCs/>
                <w:sz w:val="16"/>
                <w:szCs w:val="16"/>
                <w:highlight w:val="yellow"/>
              </w:rPr>
            </w:pPr>
          </w:p>
        </w:tc>
        <w:tc>
          <w:tcPr>
            <w:tcW w:w="0" w:type="auto"/>
            <w:vAlign w:val="center"/>
          </w:tcPr>
          <w:p w14:paraId="36849C14">
            <w:pPr>
              <w:jc w:val="both"/>
              <w:textAlignment w:val="center"/>
              <w:rPr>
                <w:rFonts w:ascii="宋体" w:hAnsi="宋体" w:cstheme="minorEastAsia"/>
                <w:bCs/>
                <w:sz w:val="16"/>
                <w:szCs w:val="16"/>
                <w:highlight w:val="yellow"/>
              </w:rPr>
            </w:pPr>
          </w:p>
        </w:tc>
        <w:tc>
          <w:tcPr>
            <w:tcW w:w="0" w:type="auto"/>
            <w:vAlign w:val="center"/>
          </w:tcPr>
          <w:p w14:paraId="186474EC">
            <w:pPr>
              <w:jc w:val="both"/>
              <w:textAlignment w:val="center"/>
              <w:rPr>
                <w:rFonts w:ascii="宋体" w:hAnsi="宋体" w:cstheme="minorEastAsia"/>
                <w:bCs/>
                <w:sz w:val="16"/>
                <w:szCs w:val="16"/>
                <w:highlight w:val="yellow"/>
              </w:rPr>
            </w:pPr>
          </w:p>
        </w:tc>
        <w:tc>
          <w:tcPr>
            <w:tcW w:w="0" w:type="auto"/>
            <w:shd w:val="clear" w:color="auto" w:fill="auto"/>
            <w:vAlign w:val="center"/>
          </w:tcPr>
          <w:p w14:paraId="60E64A6A">
            <w:pPr>
              <w:snapToGrid w:val="0"/>
              <w:jc w:val="both"/>
              <w:rPr>
                <w:rFonts w:ascii="宋体" w:hAnsi="宋体" w:cstheme="minorEastAsia"/>
                <w:bCs/>
                <w:sz w:val="16"/>
                <w:szCs w:val="16"/>
              </w:rPr>
            </w:pPr>
          </w:p>
        </w:tc>
      </w:tr>
      <w:tr w14:paraId="32CE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08FE4155">
            <w:pPr>
              <w:snapToGrid w:val="0"/>
              <w:jc w:val="both"/>
              <w:rPr>
                <w:rFonts w:ascii="宋体" w:hAnsi="宋体" w:cstheme="minorEastAsia"/>
                <w:bCs/>
                <w:sz w:val="16"/>
                <w:szCs w:val="16"/>
              </w:rPr>
            </w:pPr>
            <w:r>
              <w:rPr>
                <w:rFonts w:ascii="宋体" w:hAnsi="宋体"/>
                <w:sz w:val="16"/>
                <w:szCs w:val="16"/>
              </w:rPr>
              <w:t>2.3.3</w:t>
            </w:r>
          </w:p>
        </w:tc>
        <w:tc>
          <w:tcPr>
            <w:tcW w:w="1484" w:type="dxa"/>
            <w:tcBorders>
              <w:top w:val="single" w:color="auto" w:sz="4" w:space="0"/>
            </w:tcBorders>
            <w:vAlign w:val="center"/>
          </w:tcPr>
          <w:p w14:paraId="1D1D1F0A">
            <w:pPr>
              <w:snapToGrid w:val="0"/>
              <w:jc w:val="both"/>
              <w:rPr>
                <w:rFonts w:ascii="宋体" w:hAnsi="宋体"/>
                <w:sz w:val="16"/>
                <w:szCs w:val="16"/>
              </w:rPr>
            </w:pPr>
            <w:r>
              <w:rPr>
                <w:rFonts w:hint="eastAsia" w:ascii="宋体" w:hAnsi="宋体"/>
                <w:sz w:val="16"/>
                <w:szCs w:val="16"/>
              </w:rPr>
              <w:t>滚筒转速检测</w:t>
            </w:r>
          </w:p>
        </w:tc>
        <w:tc>
          <w:tcPr>
            <w:tcW w:w="4601" w:type="dxa"/>
            <w:vAlign w:val="center"/>
          </w:tcPr>
          <w:p w14:paraId="013C8F37">
            <w:pPr>
              <w:snapToGrid w:val="0"/>
              <w:jc w:val="both"/>
              <w:rPr>
                <w:rFonts w:ascii="宋体" w:hAnsi="宋体"/>
                <w:sz w:val="16"/>
                <w:szCs w:val="16"/>
              </w:rPr>
            </w:pPr>
            <w:r>
              <w:rPr>
                <w:rFonts w:ascii="宋体" w:hAnsi="宋体"/>
                <w:sz w:val="16"/>
                <w:szCs w:val="16"/>
              </w:rPr>
              <w:t>1.</w:t>
            </w:r>
            <w:r>
              <w:rPr>
                <w:rFonts w:hint="eastAsia" w:ascii="宋体" w:hAnsi="宋体"/>
                <w:sz w:val="16"/>
                <w:szCs w:val="16"/>
              </w:rPr>
              <w:t>电感式传感器；</w:t>
            </w:r>
            <w:r>
              <w:rPr>
                <w:rFonts w:ascii="宋体" w:hAnsi="宋体"/>
                <w:sz w:val="16"/>
                <w:szCs w:val="16"/>
              </w:rPr>
              <w:br w:type="textWrapping"/>
            </w:r>
            <w:r>
              <w:rPr>
                <w:rFonts w:ascii="宋体" w:hAnsi="宋体"/>
                <w:sz w:val="16"/>
                <w:szCs w:val="16"/>
              </w:rPr>
              <w:t xml:space="preserve">2.15mm </w:t>
            </w:r>
            <w:r>
              <w:rPr>
                <w:rFonts w:hint="eastAsia" w:ascii="宋体" w:hAnsi="宋体"/>
                <w:sz w:val="16"/>
                <w:szCs w:val="16"/>
              </w:rPr>
              <w:t>齐平</w:t>
            </w:r>
            <w:r>
              <w:rPr>
                <w:rFonts w:ascii="宋体" w:hAnsi="宋体"/>
                <w:sz w:val="16"/>
                <w:szCs w:val="16"/>
              </w:rPr>
              <w:br w:type="textWrapping"/>
            </w:r>
            <w:r>
              <w:rPr>
                <w:rFonts w:ascii="宋体" w:hAnsi="宋体"/>
                <w:sz w:val="16"/>
                <w:szCs w:val="16"/>
              </w:rPr>
              <w:t>3.PNP</w:t>
            </w:r>
            <w:r>
              <w:rPr>
                <w:rFonts w:hint="eastAsia" w:ascii="宋体" w:hAnsi="宋体"/>
                <w:sz w:val="16"/>
                <w:szCs w:val="16"/>
              </w:rPr>
              <w:t>；</w:t>
            </w:r>
            <w:r>
              <w:rPr>
                <w:rFonts w:ascii="宋体" w:hAnsi="宋体"/>
                <w:sz w:val="16"/>
                <w:szCs w:val="16"/>
              </w:rPr>
              <w:br w:type="textWrapping"/>
            </w:r>
            <w:r>
              <w:rPr>
                <w:rFonts w:ascii="宋体" w:hAnsi="宋体"/>
                <w:sz w:val="16"/>
                <w:szCs w:val="16"/>
              </w:rPr>
              <w:t>4.</w:t>
            </w:r>
            <w:r>
              <w:rPr>
                <w:rFonts w:hint="eastAsia" w:ascii="宋体" w:hAnsi="宋体"/>
                <w:sz w:val="16"/>
                <w:szCs w:val="16"/>
              </w:rPr>
              <w:t>时间延迟最大：</w:t>
            </w:r>
            <w:r>
              <w:rPr>
                <w:rFonts w:ascii="宋体" w:hAnsi="宋体"/>
                <w:sz w:val="16"/>
                <w:szCs w:val="16"/>
              </w:rPr>
              <w:t>15</w:t>
            </w:r>
            <w:r>
              <w:rPr>
                <w:rFonts w:hint="eastAsia" w:ascii="宋体" w:hAnsi="宋体"/>
                <w:sz w:val="16"/>
                <w:szCs w:val="16"/>
              </w:rPr>
              <w:t>毫秒</w:t>
            </w:r>
          </w:p>
        </w:tc>
        <w:tc>
          <w:tcPr>
            <w:tcW w:w="2022" w:type="dxa"/>
            <w:vAlign w:val="center"/>
          </w:tcPr>
          <w:p w14:paraId="0B4ED686">
            <w:pPr>
              <w:snapToGrid w:val="0"/>
              <w:jc w:val="both"/>
              <w:rPr>
                <w:rFonts w:ascii="宋体" w:hAnsi="宋体" w:cstheme="minorEastAsia"/>
                <w:bCs/>
                <w:sz w:val="16"/>
                <w:szCs w:val="16"/>
              </w:rPr>
            </w:pPr>
          </w:p>
        </w:tc>
        <w:tc>
          <w:tcPr>
            <w:tcW w:w="0" w:type="auto"/>
            <w:vAlign w:val="center"/>
          </w:tcPr>
          <w:p w14:paraId="6A88863B">
            <w:pPr>
              <w:jc w:val="both"/>
              <w:textAlignment w:val="center"/>
              <w:rPr>
                <w:rFonts w:ascii="宋体" w:hAnsi="宋体" w:cstheme="minorEastAsia"/>
                <w:bCs/>
                <w:sz w:val="16"/>
                <w:szCs w:val="16"/>
              </w:rPr>
            </w:pPr>
          </w:p>
        </w:tc>
        <w:tc>
          <w:tcPr>
            <w:tcW w:w="0" w:type="auto"/>
            <w:vAlign w:val="center"/>
          </w:tcPr>
          <w:p w14:paraId="12926994">
            <w:pPr>
              <w:jc w:val="both"/>
              <w:textAlignment w:val="center"/>
              <w:rPr>
                <w:rFonts w:ascii="宋体" w:hAnsi="宋体" w:cstheme="minorEastAsia"/>
                <w:bCs/>
                <w:sz w:val="16"/>
                <w:szCs w:val="16"/>
              </w:rPr>
            </w:pPr>
          </w:p>
        </w:tc>
        <w:tc>
          <w:tcPr>
            <w:tcW w:w="1016" w:type="dxa"/>
            <w:vAlign w:val="center"/>
          </w:tcPr>
          <w:p w14:paraId="15E9105C">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292558BD">
            <w:pPr>
              <w:jc w:val="both"/>
              <w:textAlignment w:val="center"/>
              <w:rPr>
                <w:rFonts w:ascii="宋体" w:hAnsi="宋体"/>
                <w:sz w:val="16"/>
                <w:szCs w:val="16"/>
              </w:rPr>
            </w:pPr>
            <w:r>
              <w:rPr>
                <w:rFonts w:ascii="宋体" w:hAnsi="宋体"/>
                <w:sz w:val="16"/>
                <w:szCs w:val="16"/>
              </w:rPr>
              <w:t>1</w:t>
            </w:r>
          </w:p>
        </w:tc>
        <w:tc>
          <w:tcPr>
            <w:tcW w:w="0" w:type="auto"/>
            <w:vAlign w:val="center"/>
          </w:tcPr>
          <w:p w14:paraId="18CA10CC">
            <w:pPr>
              <w:jc w:val="both"/>
              <w:textAlignment w:val="center"/>
              <w:rPr>
                <w:rFonts w:ascii="宋体" w:hAnsi="宋体" w:cstheme="minorEastAsia"/>
                <w:bCs/>
                <w:sz w:val="16"/>
                <w:szCs w:val="16"/>
                <w:highlight w:val="yellow"/>
              </w:rPr>
            </w:pPr>
          </w:p>
        </w:tc>
        <w:tc>
          <w:tcPr>
            <w:tcW w:w="0" w:type="auto"/>
            <w:vAlign w:val="center"/>
          </w:tcPr>
          <w:p w14:paraId="1AF31630">
            <w:pPr>
              <w:jc w:val="both"/>
              <w:textAlignment w:val="center"/>
              <w:rPr>
                <w:rFonts w:ascii="宋体" w:hAnsi="宋体" w:cstheme="minorEastAsia"/>
                <w:bCs/>
                <w:sz w:val="16"/>
                <w:szCs w:val="16"/>
                <w:highlight w:val="yellow"/>
              </w:rPr>
            </w:pPr>
          </w:p>
        </w:tc>
        <w:tc>
          <w:tcPr>
            <w:tcW w:w="0" w:type="auto"/>
            <w:vAlign w:val="center"/>
          </w:tcPr>
          <w:p w14:paraId="7AA6EC20">
            <w:pPr>
              <w:jc w:val="both"/>
              <w:textAlignment w:val="center"/>
              <w:rPr>
                <w:rFonts w:ascii="宋体" w:hAnsi="宋体" w:cstheme="minorEastAsia"/>
                <w:bCs/>
                <w:sz w:val="16"/>
                <w:szCs w:val="16"/>
                <w:highlight w:val="yellow"/>
              </w:rPr>
            </w:pPr>
          </w:p>
        </w:tc>
        <w:tc>
          <w:tcPr>
            <w:tcW w:w="0" w:type="auto"/>
            <w:shd w:val="clear" w:color="auto" w:fill="auto"/>
            <w:vAlign w:val="center"/>
          </w:tcPr>
          <w:p w14:paraId="70BD8CC5">
            <w:pPr>
              <w:snapToGrid w:val="0"/>
              <w:jc w:val="both"/>
              <w:rPr>
                <w:rFonts w:ascii="宋体" w:hAnsi="宋体" w:cstheme="minorEastAsia"/>
                <w:bCs/>
                <w:sz w:val="16"/>
                <w:szCs w:val="16"/>
              </w:rPr>
            </w:pPr>
          </w:p>
        </w:tc>
      </w:tr>
      <w:tr w14:paraId="465B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141E30F">
            <w:pPr>
              <w:snapToGrid w:val="0"/>
              <w:jc w:val="both"/>
              <w:rPr>
                <w:rFonts w:ascii="宋体" w:hAnsi="宋体" w:cstheme="minorEastAsia"/>
                <w:bCs/>
                <w:sz w:val="16"/>
                <w:szCs w:val="16"/>
              </w:rPr>
            </w:pPr>
            <w:r>
              <w:rPr>
                <w:rFonts w:ascii="宋体" w:hAnsi="宋体"/>
                <w:sz w:val="16"/>
                <w:szCs w:val="16"/>
              </w:rPr>
              <w:t>2.3.4</w:t>
            </w:r>
          </w:p>
        </w:tc>
        <w:tc>
          <w:tcPr>
            <w:tcW w:w="1484" w:type="dxa"/>
            <w:tcBorders>
              <w:top w:val="single" w:color="auto" w:sz="4" w:space="0"/>
            </w:tcBorders>
            <w:vAlign w:val="center"/>
          </w:tcPr>
          <w:p w14:paraId="47B079E2">
            <w:pPr>
              <w:snapToGrid w:val="0"/>
              <w:jc w:val="both"/>
              <w:rPr>
                <w:rFonts w:ascii="宋体" w:hAnsi="宋体"/>
                <w:sz w:val="16"/>
                <w:szCs w:val="16"/>
              </w:rPr>
            </w:pPr>
            <w:r>
              <w:rPr>
                <w:rFonts w:hint="eastAsia" w:ascii="宋体" w:hAnsi="宋体"/>
                <w:sz w:val="16"/>
                <w:szCs w:val="16"/>
              </w:rPr>
              <w:t>温湿度变送器</w:t>
            </w:r>
          </w:p>
        </w:tc>
        <w:tc>
          <w:tcPr>
            <w:tcW w:w="4601" w:type="dxa"/>
            <w:vAlign w:val="center"/>
          </w:tcPr>
          <w:p w14:paraId="5840BF39">
            <w:pPr>
              <w:snapToGrid w:val="0"/>
              <w:jc w:val="both"/>
              <w:rPr>
                <w:rFonts w:ascii="宋体" w:hAnsi="宋体"/>
                <w:sz w:val="16"/>
                <w:szCs w:val="16"/>
              </w:rPr>
            </w:pPr>
            <w:r>
              <w:rPr>
                <w:rFonts w:hint="eastAsia" w:ascii="宋体" w:hAnsi="宋体"/>
                <w:sz w:val="16"/>
                <w:szCs w:val="16"/>
              </w:rPr>
              <w:t>壁挂，相对湿度：</w:t>
            </w:r>
            <w:r>
              <w:rPr>
                <w:rFonts w:ascii="宋体" w:hAnsi="宋体"/>
                <w:sz w:val="16"/>
                <w:szCs w:val="16"/>
              </w:rPr>
              <w:t>1.</w:t>
            </w:r>
            <w:r>
              <w:rPr>
                <w:rFonts w:hint="eastAsia" w:ascii="宋体" w:hAnsi="宋体"/>
                <w:sz w:val="16"/>
                <w:szCs w:val="16"/>
              </w:rPr>
              <w:t>量程：</w:t>
            </w:r>
            <w:r>
              <w:rPr>
                <w:rFonts w:ascii="宋体" w:hAnsi="宋体"/>
                <w:sz w:val="16"/>
                <w:szCs w:val="16"/>
              </w:rPr>
              <w:t>0~100%RH</w:t>
            </w:r>
            <w:r>
              <w:rPr>
                <w:rFonts w:hint="eastAsia" w:ascii="宋体" w:hAnsi="宋体"/>
                <w:sz w:val="16"/>
                <w:szCs w:val="16"/>
              </w:rPr>
              <w:t>；</w:t>
            </w:r>
            <w:r>
              <w:rPr>
                <w:rFonts w:ascii="宋体" w:hAnsi="宋体"/>
                <w:sz w:val="16"/>
                <w:szCs w:val="16"/>
              </w:rPr>
              <w:t>2.</w:t>
            </w:r>
            <w:r>
              <w:rPr>
                <w:rFonts w:hint="eastAsia" w:ascii="宋体" w:hAnsi="宋体"/>
                <w:sz w:val="16"/>
                <w:szCs w:val="16"/>
              </w:rPr>
              <w:t>准确度</w:t>
            </w:r>
            <w:r>
              <w:rPr>
                <w:rFonts w:ascii="宋体" w:hAnsi="宋体"/>
                <w:sz w:val="16"/>
                <w:szCs w:val="16"/>
              </w:rPr>
              <w:t>(</w:t>
            </w:r>
            <w:r>
              <w:rPr>
                <w:rFonts w:hint="eastAsia" w:ascii="宋体" w:hAnsi="宋体"/>
                <w:sz w:val="16"/>
                <w:szCs w:val="16"/>
              </w:rPr>
              <w:t>包括非线性度，迟滞和重复性）：±</w:t>
            </w:r>
            <w:r>
              <w:rPr>
                <w:rFonts w:ascii="宋体" w:hAnsi="宋体"/>
                <w:sz w:val="16"/>
                <w:szCs w:val="16"/>
              </w:rPr>
              <w:t>3%RH;3.</w:t>
            </w:r>
            <w:r>
              <w:rPr>
                <w:rFonts w:hint="eastAsia" w:ascii="宋体" w:hAnsi="宋体"/>
                <w:sz w:val="16"/>
                <w:szCs w:val="16"/>
              </w:rPr>
              <w:t>分辨率：</w:t>
            </w:r>
            <w:r>
              <w:rPr>
                <w:rFonts w:ascii="宋体" w:hAnsi="宋体"/>
                <w:sz w:val="16"/>
                <w:szCs w:val="16"/>
              </w:rPr>
              <w:t>0.1%RH</w:t>
            </w:r>
            <w:r>
              <w:rPr>
                <w:rFonts w:ascii="宋体" w:hAnsi="宋体"/>
                <w:sz w:val="16"/>
                <w:szCs w:val="16"/>
              </w:rPr>
              <w:br w:type="textWrapping"/>
            </w:r>
            <w:r>
              <w:rPr>
                <w:rFonts w:hint="eastAsia" w:ascii="宋体" w:hAnsi="宋体"/>
                <w:sz w:val="16"/>
                <w:szCs w:val="16"/>
              </w:rPr>
              <w:t>温度</w:t>
            </w:r>
            <w:r>
              <w:rPr>
                <w:rFonts w:ascii="宋体" w:hAnsi="宋体"/>
                <w:sz w:val="16"/>
                <w:szCs w:val="16"/>
              </w:rPr>
              <w:t>:1.</w:t>
            </w:r>
            <w:r>
              <w:rPr>
                <w:rFonts w:hint="eastAsia" w:ascii="宋体" w:hAnsi="宋体"/>
                <w:sz w:val="16"/>
                <w:szCs w:val="16"/>
              </w:rPr>
              <w:t>量程</w:t>
            </w:r>
            <w:r>
              <w:rPr>
                <w:rFonts w:ascii="宋体" w:hAnsi="宋体"/>
                <w:sz w:val="16"/>
                <w:szCs w:val="16"/>
              </w:rPr>
              <w:t>(</w:t>
            </w:r>
            <w:r>
              <w:rPr>
                <w:rFonts w:hint="eastAsia" w:ascii="宋体" w:hAnsi="宋体"/>
                <w:sz w:val="16"/>
                <w:szCs w:val="16"/>
              </w:rPr>
              <w:t>可通过拔码开关设置</w:t>
            </w:r>
            <w:r>
              <w:rPr>
                <w:rFonts w:ascii="宋体" w:hAnsi="宋体"/>
                <w:sz w:val="16"/>
                <w:szCs w:val="16"/>
              </w:rPr>
              <w:t>)</w:t>
            </w:r>
            <w:r>
              <w:rPr>
                <w:rFonts w:hint="eastAsia" w:ascii="宋体" w:hAnsi="宋体"/>
                <w:sz w:val="16"/>
                <w:szCs w:val="16"/>
              </w:rPr>
              <w:t>：</w:t>
            </w:r>
            <w:r>
              <w:rPr>
                <w:rFonts w:ascii="宋体" w:hAnsi="宋体"/>
                <w:sz w:val="16"/>
                <w:szCs w:val="16"/>
              </w:rPr>
              <w:t>0~+50</w:t>
            </w:r>
            <w:r>
              <w:rPr>
                <w:rFonts w:hint="eastAsia" w:ascii="宋体" w:hAnsi="宋体"/>
                <w:sz w:val="16"/>
                <w:szCs w:val="16"/>
              </w:rPr>
              <w:t>℃</w:t>
            </w:r>
            <w:r>
              <w:rPr>
                <w:rFonts w:ascii="宋体" w:hAnsi="宋体"/>
                <w:sz w:val="16"/>
                <w:szCs w:val="16"/>
              </w:rPr>
              <w:t>/ -20~+80</w:t>
            </w:r>
            <w:r>
              <w:rPr>
                <w:rFonts w:hint="eastAsia" w:ascii="宋体" w:hAnsi="宋体"/>
                <w:sz w:val="16"/>
                <w:szCs w:val="16"/>
              </w:rPr>
              <w:t>℃</w:t>
            </w:r>
            <w:r>
              <w:rPr>
                <w:rFonts w:ascii="宋体" w:hAnsi="宋体"/>
                <w:sz w:val="16"/>
                <w:szCs w:val="16"/>
              </w:rPr>
              <w:t>/ -40~+60</w:t>
            </w:r>
            <w:r>
              <w:rPr>
                <w:rFonts w:hint="eastAsia" w:ascii="宋体" w:hAnsi="宋体"/>
                <w:sz w:val="16"/>
                <w:szCs w:val="16"/>
              </w:rPr>
              <w:t>℃</w:t>
            </w:r>
            <w:r>
              <w:rPr>
                <w:rFonts w:ascii="宋体" w:hAnsi="宋体"/>
                <w:sz w:val="16"/>
                <w:szCs w:val="16"/>
              </w:rPr>
              <w:t>/</w:t>
            </w:r>
            <w:r>
              <w:rPr>
                <w:rFonts w:hint="eastAsia" w:ascii="宋体" w:hAnsi="宋体"/>
                <w:sz w:val="16"/>
                <w:szCs w:val="16"/>
              </w:rPr>
              <w:t>客户定制</w:t>
            </w:r>
            <w:r>
              <w:rPr>
                <w:rFonts w:ascii="宋体" w:hAnsi="宋体"/>
                <w:sz w:val="16"/>
                <w:szCs w:val="16"/>
              </w:rPr>
              <w:t>;2.</w:t>
            </w:r>
            <w:r>
              <w:rPr>
                <w:rFonts w:hint="eastAsia" w:ascii="宋体" w:hAnsi="宋体"/>
                <w:sz w:val="16"/>
                <w:szCs w:val="16"/>
              </w:rPr>
              <w:t>准确度：±</w:t>
            </w:r>
            <w:r>
              <w:rPr>
                <w:rFonts w:ascii="宋体" w:hAnsi="宋体"/>
                <w:sz w:val="16"/>
                <w:szCs w:val="16"/>
              </w:rPr>
              <w:t>0.3</w:t>
            </w:r>
            <w:r>
              <w:rPr>
                <w:rFonts w:hint="eastAsia" w:ascii="宋体" w:hAnsi="宋体"/>
                <w:sz w:val="16"/>
                <w:szCs w:val="16"/>
              </w:rPr>
              <w:t>℃（典型值）</w:t>
            </w:r>
            <w:r>
              <w:rPr>
                <w:rFonts w:ascii="宋体" w:hAnsi="宋体"/>
                <w:sz w:val="16"/>
                <w:szCs w:val="16"/>
              </w:rPr>
              <w:t>;3.</w:t>
            </w:r>
            <w:r>
              <w:rPr>
                <w:rFonts w:hint="eastAsia" w:ascii="宋体" w:hAnsi="宋体"/>
                <w:sz w:val="16"/>
                <w:szCs w:val="16"/>
              </w:rPr>
              <w:t>分辨率：</w:t>
            </w:r>
            <w:r>
              <w:rPr>
                <w:rFonts w:ascii="宋体" w:hAnsi="宋体"/>
                <w:sz w:val="16"/>
                <w:szCs w:val="16"/>
              </w:rPr>
              <w:t>0.1</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工作电压：</w:t>
            </w:r>
            <w:r>
              <w:rPr>
                <w:rFonts w:ascii="宋体" w:hAnsi="宋体"/>
                <w:sz w:val="16"/>
                <w:szCs w:val="16"/>
              </w:rPr>
              <w:t>12~36VDC</w:t>
            </w:r>
            <w:r>
              <w:rPr>
                <w:rFonts w:ascii="宋体" w:hAnsi="宋体"/>
                <w:sz w:val="16"/>
                <w:szCs w:val="16"/>
              </w:rPr>
              <w:br w:type="textWrapping"/>
            </w:r>
            <w:r>
              <w:rPr>
                <w:rFonts w:hint="eastAsia" w:ascii="宋体" w:hAnsi="宋体"/>
                <w:sz w:val="16"/>
                <w:szCs w:val="16"/>
              </w:rPr>
              <w:t>输出信号：</w:t>
            </w:r>
            <w:r>
              <w:rPr>
                <w:rFonts w:ascii="宋体" w:hAnsi="宋体"/>
                <w:sz w:val="16"/>
                <w:szCs w:val="16"/>
              </w:rPr>
              <w:t>4-20mA</w:t>
            </w:r>
            <w:r>
              <w:rPr>
                <w:rFonts w:hint="eastAsia" w:ascii="宋体" w:hAnsi="宋体"/>
                <w:sz w:val="16"/>
                <w:szCs w:val="16"/>
              </w:rPr>
              <w:t>；</w:t>
            </w:r>
          </w:p>
        </w:tc>
        <w:tc>
          <w:tcPr>
            <w:tcW w:w="2022" w:type="dxa"/>
            <w:vAlign w:val="center"/>
          </w:tcPr>
          <w:p w14:paraId="46F4CBAB">
            <w:pPr>
              <w:snapToGrid w:val="0"/>
              <w:jc w:val="both"/>
              <w:rPr>
                <w:rFonts w:ascii="宋体" w:hAnsi="宋体" w:cstheme="minorEastAsia"/>
                <w:bCs/>
                <w:sz w:val="16"/>
                <w:szCs w:val="16"/>
              </w:rPr>
            </w:pPr>
          </w:p>
        </w:tc>
        <w:tc>
          <w:tcPr>
            <w:tcW w:w="0" w:type="auto"/>
            <w:vAlign w:val="center"/>
          </w:tcPr>
          <w:p w14:paraId="3836306B">
            <w:pPr>
              <w:jc w:val="both"/>
              <w:textAlignment w:val="center"/>
              <w:rPr>
                <w:rFonts w:ascii="宋体" w:hAnsi="宋体" w:cstheme="minorEastAsia"/>
                <w:bCs/>
                <w:sz w:val="16"/>
                <w:szCs w:val="16"/>
              </w:rPr>
            </w:pPr>
          </w:p>
        </w:tc>
        <w:tc>
          <w:tcPr>
            <w:tcW w:w="0" w:type="auto"/>
            <w:vAlign w:val="center"/>
          </w:tcPr>
          <w:p w14:paraId="11EC55C9">
            <w:pPr>
              <w:jc w:val="both"/>
              <w:textAlignment w:val="center"/>
              <w:rPr>
                <w:rFonts w:ascii="宋体" w:hAnsi="宋体" w:cstheme="minorEastAsia"/>
                <w:bCs/>
                <w:sz w:val="16"/>
                <w:szCs w:val="16"/>
              </w:rPr>
            </w:pPr>
          </w:p>
        </w:tc>
        <w:tc>
          <w:tcPr>
            <w:tcW w:w="1016" w:type="dxa"/>
            <w:vAlign w:val="center"/>
          </w:tcPr>
          <w:p w14:paraId="32A3BC7D">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4E82D14A">
            <w:pPr>
              <w:jc w:val="both"/>
              <w:textAlignment w:val="center"/>
              <w:rPr>
                <w:rFonts w:ascii="宋体" w:hAnsi="宋体"/>
                <w:sz w:val="16"/>
                <w:szCs w:val="16"/>
              </w:rPr>
            </w:pPr>
            <w:r>
              <w:rPr>
                <w:rFonts w:ascii="宋体" w:hAnsi="宋体"/>
                <w:sz w:val="16"/>
                <w:szCs w:val="16"/>
              </w:rPr>
              <w:t>1</w:t>
            </w:r>
          </w:p>
        </w:tc>
        <w:tc>
          <w:tcPr>
            <w:tcW w:w="0" w:type="auto"/>
            <w:vAlign w:val="center"/>
          </w:tcPr>
          <w:p w14:paraId="0BA3E179">
            <w:pPr>
              <w:jc w:val="both"/>
              <w:textAlignment w:val="center"/>
              <w:rPr>
                <w:rFonts w:ascii="宋体" w:hAnsi="宋体" w:cstheme="minorEastAsia"/>
                <w:bCs/>
                <w:sz w:val="16"/>
                <w:szCs w:val="16"/>
                <w:highlight w:val="yellow"/>
              </w:rPr>
            </w:pPr>
          </w:p>
        </w:tc>
        <w:tc>
          <w:tcPr>
            <w:tcW w:w="0" w:type="auto"/>
            <w:vAlign w:val="center"/>
          </w:tcPr>
          <w:p w14:paraId="290D8D6A">
            <w:pPr>
              <w:jc w:val="both"/>
              <w:textAlignment w:val="center"/>
              <w:rPr>
                <w:rFonts w:ascii="宋体" w:hAnsi="宋体" w:cstheme="minorEastAsia"/>
                <w:bCs/>
                <w:sz w:val="16"/>
                <w:szCs w:val="16"/>
                <w:highlight w:val="yellow"/>
              </w:rPr>
            </w:pPr>
          </w:p>
        </w:tc>
        <w:tc>
          <w:tcPr>
            <w:tcW w:w="0" w:type="auto"/>
            <w:vAlign w:val="center"/>
          </w:tcPr>
          <w:p w14:paraId="07F6E6AA">
            <w:pPr>
              <w:jc w:val="both"/>
              <w:textAlignment w:val="center"/>
              <w:rPr>
                <w:rFonts w:ascii="宋体" w:hAnsi="宋体" w:cstheme="minorEastAsia"/>
                <w:bCs/>
                <w:sz w:val="16"/>
                <w:szCs w:val="16"/>
                <w:highlight w:val="yellow"/>
              </w:rPr>
            </w:pPr>
          </w:p>
        </w:tc>
        <w:tc>
          <w:tcPr>
            <w:tcW w:w="0" w:type="auto"/>
            <w:shd w:val="clear" w:color="auto" w:fill="auto"/>
            <w:vAlign w:val="center"/>
          </w:tcPr>
          <w:p w14:paraId="25FBC25B">
            <w:pPr>
              <w:snapToGrid w:val="0"/>
              <w:jc w:val="both"/>
              <w:rPr>
                <w:rFonts w:ascii="宋体" w:hAnsi="宋体" w:cstheme="minorEastAsia"/>
                <w:bCs/>
                <w:sz w:val="16"/>
                <w:szCs w:val="16"/>
              </w:rPr>
            </w:pPr>
          </w:p>
        </w:tc>
      </w:tr>
      <w:tr w14:paraId="69B8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B9B2699">
            <w:pPr>
              <w:snapToGrid w:val="0"/>
              <w:jc w:val="both"/>
              <w:rPr>
                <w:rFonts w:ascii="宋体" w:hAnsi="宋体" w:cstheme="minorEastAsia"/>
                <w:bCs/>
                <w:sz w:val="16"/>
                <w:szCs w:val="16"/>
              </w:rPr>
            </w:pPr>
            <w:r>
              <w:rPr>
                <w:rFonts w:ascii="宋体" w:hAnsi="宋体"/>
                <w:sz w:val="16"/>
                <w:szCs w:val="16"/>
              </w:rPr>
              <w:t>2.3.5</w:t>
            </w:r>
          </w:p>
        </w:tc>
        <w:tc>
          <w:tcPr>
            <w:tcW w:w="1484" w:type="dxa"/>
            <w:tcBorders>
              <w:top w:val="single" w:color="auto" w:sz="4" w:space="0"/>
            </w:tcBorders>
            <w:vAlign w:val="center"/>
          </w:tcPr>
          <w:p w14:paraId="1A24870A">
            <w:pPr>
              <w:snapToGrid w:val="0"/>
              <w:jc w:val="both"/>
              <w:rPr>
                <w:rFonts w:ascii="宋体" w:hAnsi="宋体"/>
                <w:sz w:val="16"/>
                <w:szCs w:val="16"/>
              </w:rPr>
            </w:pPr>
            <w:r>
              <w:rPr>
                <w:rFonts w:hint="eastAsia" w:ascii="宋体" w:hAnsi="宋体"/>
                <w:sz w:val="16"/>
                <w:szCs w:val="16"/>
              </w:rPr>
              <w:t>冷凝水温度检测</w:t>
            </w:r>
          </w:p>
        </w:tc>
        <w:tc>
          <w:tcPr>
            <w:tcW w:w="4601" w:type="dxa"/>
            <w:vAlign w:val="center"/>
          </w:tcPr>
          <w:p w14:paraId="065D3ABE">
            <w:pPr>
              <w:snapToGrid w:val="0"/>
              <w:jc w:val="both"/>
              <w:rPr>
                <w:rFonts w:ascii="宋体" w:hAnsi="宋体"/>
                <w:sz w:val="16"/>
                <w:szCs w:val="16"/>
              </w:rPr>
            </w:pPr>
            <w:r>
              <w:rPr>
                <w:rFonts w:hint="eastAsia" w:ascii="宋体" w:hAnsi="宋体"/>
                <w:sz w:val="16"/>
                <w:szCs w:val="16"/>
              </w:rPr>
              <w:t>显示变送一体化温度变送器</w:t>
            </w:r>
            <w:r>
              <w:rPr>
                <w:rFonts w:ascii="宋体" w:hAnsi="宋体"/>
                <w:sz w:val="16"/>
                <w:szCs w:val="16"/>
              </w:rPr>
              <w:br w:type="textWrapping"/>
            </w:r>
            <w:r>
              <w:rPr>
                <w:rFonts w:ascii="宋体" w:hAnsi="宋体"/>
                <w:sz w:val="16"/>
                <w:szCs w:val="16"/>
              </w:rPr>
              <w:t xml:space="preserve">1. </w:t>
            </w:r>
            <w:r>
              <w:rPr>
                <w:rFonts w:hint="eastAsia" w:ascii="宋体" w:hAnsi="宋体"/>
                <w:sz w:val="16"/>
                <w:szCs w:val="16"/>
              </w:rPr>
              <w:t>测量精度</w:t>
            </w:r>
            <w:r>
              <w:rPr>
                <w:rFonts w:ascii="宋体" w:hAnsi="宋体"/>
                <w:sz w:val="16"/>
                <w:szCs w:val="16"/>
              </w:rPr>
              <w:t>: &lt;</w:t>
            </w:r>
            <w:r>
              <w:rPr>
                <w:rFonts w:hint="eastAsia" w:ascii="宋体" w:hAnsi="宋体"/>
                <w:sz w:val="16"/>
                <w:szCs w:val="16"/>
              </w:rPr>
              <w:t>热电阻</w:t>
            </w:r>
            <w:r>
              <w:rPr>
                <w:rFonts w:ascii="宋体" w:hAnsi="宋体"/>
                <w:sz w:val="16"/>
                <w:szCs w:val="16"/>
              </w:rPr>
              <w:t xml:space="preserve">&gt; </w:t>
            </w:r>
            <w:r>
              <w:rPr>
                <w:rFonts w:hint="eastAsia" w:ascii="宋体" w:hAnsi="宋体"/>
                <w:sz w:val="16"/>
                <w:szCs w:val="16"/>
              </w:rPr>
              <w:t>±</w:t>
            </w:r>
            <w:r>
              <w:rPr>
                <w:rFonts w:ascii="宋体" w:hAnsi="宋体"/>
                <w:sz w:val="16"/>
                <w:szCs w:val="16"/>
              </w:rPr>
              <w:t xml:space="preserve"> 0.5%</w:t>
            </w:r>
            <w:r>
              <w:rPr>
                <w:rFonts w:ascii="宋体" w:hAnsi="宋体"/>
                <w:sz w:val="16"/>
                <w:szCs w:val="16"/>
              </w:rPr>
              <w:br w:type="textWrapping"/>
            </w:r>
            <w:r>
              <w:rPr>
                <w:rFonts w:ascii="宋体" w:hAnsi="宋体"/>
                <w:sz w:val="16"/>
                <w:szCs w:val="16"/>
              </w:rPr>
              <w:t xml:space="preserve">2. </w:t>
            </w:r>
            <w:r>
              <w:rPr>
                <w:rFonts w:hint="eastAsia" w:ascii="宋体" w:hAnsi="宋体"/>
                <w:sz w:val="16"/>
                <w:szCs w:val="16"/>
              </w:rPr>
              <w:t>热电阻测温范围</w:t>
            </w:r>
            <w:r>
              <w:rPr>
                <w:rFonts w:ascii="宋体" w:hAnsi="宋体"/>
                <w:sz w:val="16"/>
                <w:szCs w:val="16"/>
              </w:rPr>
              <w:t>: &lt;Pt100&gt;-200</w:t>
            </w:r>
            <w:r>
              <w:rPr>
                <w:rFonts w:hint="eastAsia" w:ascii="宋体" w:hAnsi="宋体"/>
                <w:sz w:val="16"/>
                <w:szCs w:val="16"/>
              </w:rPr>
              <w:t>～</w:t>
            </w:r>
            <w:r>
              <w:rPr>
                <w:rFonts w:ascii="宋体" w:hAnsi="宋体"/>
                <w:sz w:val="16"/>
                <w:szCs w:val="16"/>
              </w:rPr>
              <w:t>450</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3. </w:t>
            </w:r>
            <w:r>
              <w:rPr>
                <w:rFonts w:hint="eastAsia" w:ascii="宋体" w:hAnsi="宋体"/>
                <w:sz w:val="16"/>
                <w:szCs w:val="16"/>
              </w:rPr>
              <w:t>输出信号</w:t>
            </w:r>
            <w:r>
              <w:rPr>
                <w:rFonts w:ascii="宋体" w:hAnsi="宋体"/>
                <w:sz w:val="16"/>
                <w:szCs w:val="16"/>
              </w:rPr>
              <w:t>: 4-20mA</w:t>
            </w:r>
            <w:r>
              <w:rPr>
                <w:rFonts w:ascii="宋体" w:hAnsi="宋体"/>
                <w:sz w:val="16"/>
                <w:szCs w:val="16"/>
              </w:rPr>
              <w:br w:type="textWrapping"/>
            </w:r>
            <w:r>
              <w:rPr>
                <w:rFonts w:ascii="宋体" w:hAnsi="宋体"/>
                <w:sz w:val="16"/>
                <w:szCs w:val="16"/>
              </w:rPr>
              <w:t xml:space="preserve">4. </w:t>
            </w:r>
            <w:r>
              <w:rPr>
                <w:rFonts w:hint="eastAsia" w:ascii="宋体" w:hAnsi="宋体"/>
                <w:sz w:val="16"/>
                <w:szCs w:val="16"/>
              </w:rPr>
              <w:t>环境温度</w:t>
            </w:r>
            <w:r>
              <w:rPr>
                <w:rFonts w:ascii="宋体" w:hAnsi="宋体"/>
                <w:sz w:val="16"/>
                <w:szCs w:val="16"/>
              </w:rPr>
              <w:t>: -10</w:t>
            </w:r>
            <w:r>
              <w:rPr>
                <w:rFonts w:hint="eastAsia" w:ascii="宋体" w:hAnsi="宋体"/>
                <w:sz w:val="16"/>
                <w:szCs w:val="16"/>
              </w:rPr>
              <w:t>～</w:t>
            </w:r>
            <w:r>
              <w:rPr>
                <w:rFonts w:ascii="宋体" w:hAnsi="宋体"/>
                <w:sz w:val="16"/>
                <w:szCs w:val="16"/>
              </w:rPr>
              <w:t>85</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5. </w:t>
            </w:r>
            <w:r>
              <w:rPr>
                <w:rFonts w:hint="eastAsia" w:ascii="宋体" w:hAnsi="宋体"/>
                <w:sz w:val="16"/>
                <w:szCs w:val="16"/>
              </w:rPr>
              <w:t>显示范围</w:t>
            </w:r>
            <w:r>
              <w:rPr>
                <w:rFonts w:ascii="宋体" w:hAnsi="宋体"/>
                <w:sz w:val="16"/>
                <w:szCs w:val="16"/>
              </w:rPr>
              <w:t>: -1999</w:t>
            </w:r>
            <w:r>
              <w:rPr>
                <w:rFonts w:hint="eastAsia" w:ascii="宋体" w:hAnsi="宋体"/>
                <w:sz w:val="16"/>
                <w:szCs w:val="16"/>
              </w:rPr>
              <w:t>～</w:t>
            </w:r>
            <w:r>
              <w:rPr>
                <w:rFonts w:ascii="宋体" w:hAnsi="宋体"/>
                <w:sz w:val="16"/>
                <w:szCs w:val="16"/>
              </w:rPr>
              <w:t>1999</w:t>
            </w:r>
            <w:r>
              <w:rPr>
                <w:rFonts w:ascii="宋体" w:hAnsi="宋体"/>
                <w:sz w:val="16"/>
                <w:szCs w:val="16"/>
              </w:rPr>
              <w:br w:type="textWrapping"/>
            </w:r>
            <w:r>
              <w:rPr>
                <w:rFonts w:ascii="宋体" w:hAnsi="宋体"/>
                <w:sz w:val="16"/>
                <w:szCs w:val="16"/>
              </w:rPr>
              <w:t xml:space="preserve">6. </w:t>
            </w:r>
            <w:r>
              <w:rPr>
                <w:rFonts w:hint="eastAsia" w:ascii="宋体" w:hAnsi="宋体"/>
                <w:sz w:val="16"/>
                <w:szCs w:val="16"/>
              </w:rPr>
              <w:t>防护等级</w:t>
            </w:r>
            <w:r>
              <w:rPr>
                <w:rFonts w:ascii="宋体" w:hAnsi="宋体"/>
                <w:sz w:val="16"/>
                <w:szCs w:val="16"/>
              </w:rPr>
              <w:t>: IP65</w:t>
            </w:r>
          </w:p>
        </w:tc>
        <w:tc>
          <w:tcPr>
            <w:tcW w:w="2022" w:type="dxa"/>
            <w:vAlign w:val="center"/>
          </w:tcPr>
          <w:p w14:paraId="41A32FAA">
            <w:pPr>
              <w:snapToGrid w:val="0"/>
              <w:jc w:val="both"/>
              <w:rPr>
                <w:rFonts w:ascii="宋体" w:hAnsi="宋体" w:cstheme="minorEastAsia"/>
                <w:bCs/>
                <w:sz w:val="16"/>
                <w:szCs w:val="16"/>
              </w:rPr>
            </w:pPr>
          </w:p>
        </w:tc>
        <w:tc>
          <w:tcPr>
            <w:tcW w:w="0" w:type="auto"/>
            <w:vAlign w:val="center"/>
          </w:tcPr>
          <w:p w14:paraId="2C685FC8">
            <w:pPr>
              <w:jc w:val="both"/>
              <w:textAlignment w:val="center"/>
              <w:rPr>
                <w:rFonts w:ascii="宋体" w:hAnsi="宋体" w:cstheme="minorEastAsia"/>
                <w:bCs/>
                <w:sz w:val="16"/>
                <w:szCs w:val="16"/>
              </w:rPr>
            </w:pPr>
          </w:p>
        </w:tc>
        <w:tc>
          <w:tcPr>
            <w:tcW w:w="0" w:type="auto"/>
            <w:vAlign w:val="center"/>
          </w:tcPr>
          <w:p w14:paraId="3B2F3906">
            <w:pPr>
              <w:jc w:val="both"/>
              <w:textAlignment w:val="center"/>
              <w:rPr>
                <w:rFonts w:ascii="宋体" w:hAnsi="宋体" w:cstheme="minorEastAsia"/>
                <w:bCs/>
                <w:sz w:val="16"/>
                <w:szCs w:val="16"/>
              </w:rPr>
            </w:pPr>
          </w:p>
        </w:tc>
        <w:tc>
          <w:tcPr>
            <w:tcW w:w="1016" w:type="dxa"/>
            <w:vAlign w:val="center"/>
          </w:tcPr>
          <w:p w14:paraId="1DAB6BF4">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4594223">
            <w:pPr>
              <w:jc w:val="both"/>
              <w:textAlignment w:val="center"/>
              <w:rPr>
                <w:rFonts w:ascii="宋体" w:hAnsi="宋体"/>
                <w:sz w:val="16"/>
                <w:szCs w:val="16"/>
              </w:rPr>
            </w:pPr>
            <w:r>
              <w:rPr>
                <w:rFonts w:ascii="宋体" w:hAnsi="宋体"/>
                <w:sz w:val="16"/>
                <w:szCs w:val="16"/>
              </w:rPr>
              <w:t>3</w:t>
            </w:r>
          </w:p>
        </w:tc>
        <w:tc>
          <w:tcPr>
            <w:tcW w:w="0" w:type="auto"/>
            <w:vAlign w:val="center"/>
          </w:tcPr>
          <w:p w14:paraId="7F4B1207">
            <w:pPr>
              <w:jc w:val="both"/>
              <w:textAlignment w:val="center"/>
              <w:rPr>
                <w:rFonts w:ascii="宋体" w:hAnsi="宋体" w:cstheme="minorEastAsia"/>
                <w:bCs/>
                <w:sz w:val="16"/>
                <w:szCs w:val="16"/>
                <w:highlight w:val="yellow"/>
              </w:rPr>
            </w:pPr>
          </w:p>
        </w:tc>
        <w:tc>
          <w:tcPr>
            <w:tcW w:w="0" w:type="auto"/>
            <w:vAlign w:val="center"/>
          </w:tcPr>
          <w:p w14:paraId="7DFF8429">
            <w:pPr>
              <w:jc w:val="both"/>
              <w:textAlignment w:val="center"/>
              <w:rPr>
                <w:rFonts w:ascii="宋体" w:hAnsi="宋体" w:cstheme="minorEastAsia"/>
                <w:bCs/>
                <w:sz w:val="16"/>
                <w:szCs w:val="16"/>
                <w:highlight w:val="yellow"/>
              </w:rPr>
            </w:pPr>
          </w:p>
        </w:tc>
        <w:tc>
          <w:tcPr>
            <w:tcW w:w="0" w:type="auto"/>
            <w:vAlign w:val="center"/>
          </w:tcPr>
          <w:p w14:paraId="4E7E0F35">
            <w:pPr>
              <w:jc w:val="both"/>
              <w:textAlignment w:val="center"/>
              <w:rPr>
                <w:rFonts w:ascii="宋体" w:hAnsi="宋体" w:cstheme="minorEastAsia"/>
                <w:bCs/>
                <w:sz w:val="16"/>
                <w:szCs w:val="16"/>
                <w:highlight w:val="yellow"/>
              </w:rPr>
            </w:pPr>
          </w:p>
        </w:tc>
        <w:tc>
          <w:tcPr>
            <w:tcW w:w="0" w:type="auto"/>
            <w:shd w:val="clear" w:color="auto" w:fill="auto"/>
            <w:vAlign w:val="center"/>
          </w:tcPr>
          <w:p w14:paraId="551A36E6">
            <w:pPr>
              <w:snapToGrid w:val="0"/>
              <w:jc w:val="both"/>
              <w:rPr>
                <w:rFonts w:ascii="宋体" w:hAnsi="宋体" w:cstheme="minorEastAsia"/>
                <w:bCs/>
                <w:sz w:val="16"/>
                <w:szCs w:val="16"/>
              </w:rPr>
            </w:pPr>
          </w:p>
        </w:tc>
      </w:tr>
      <w:tr w14:paraId="69AD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8C75036">
            <w:pPr>
              <w:snapToGrid w:val="0"/>
              <w:jc w:val="both"/>
              <w:rPr>
                <w:rFonts w:ascii="宋体" w:hAnsi="宋体" w:cstheme="minorEastAsia"/>
                <w:bCs/>
                <w:sz w:val="16"/>
                <w:szCs w:val="16"/>
              </w:rPr>
            </w:pPr>
            <w:r>
              <w:rPr>
                <w:rFonts w:ascii="宋体" w:hAnsi="宋体"/>
                <w:sz w:val="16"/>
                <w:szCs w:val="16"/>
              </w:rPr>
              <w:t>2.3.6</w:t>
            </w:r>
          </w:p>
        </w:tc>
        <w:tc>
          <w:tcPr>
            <w:tcW w:w="1484" w:type="dxa"/>
            <w:tcBorders>
              <w:top w:val="single" w:color="auto" w:sz="4" w:space="0"/>
            </w:tcBorders>
            <w:vAlign w:val="center"/>
          </w:tcPr>
          <w:p w14:paraId="115D1E9B">
            <w:pPr>
              <w:snapToGrid w:val="0"/>
              <w:jc w:val="both"/>
              <w:rPr>
                <w:rFonts w:ascii="宋体" w:hAnsi="宋体"/>
                <w:sz w:val="16"/>
                <w:szCs w:val="16"/>
              </w:rPr>
            </w:pPr>
            <w:r>
              <w:rPr>
                <w:rFonts w:hint="eastAsia" w:ascii="宋体" w:hAnsi="宋体"/>
                <w:sz w:val="16"/>
                <w:szCs w:val="16"/>
              </w:rPr>
              <w:t>涡街流量计</w:t>
            </w:r>
          </w:p>
        </w:tc>
        <w:tc>
          <w:tcPr>
            <w:tcW w:w="4601" w:type="dxa"/>
            <w:vAlign w:val="center"/>
          </w:tcPr>
          <w:p w14:paraId="3C6BE4DE">
            <w:pPr>
              <w:snapToGrid w:val="0"/>
              <w:jc w:val="both"/>
              <w:rPr>
                <w:rFonts w:ascii="宋体" w:hAnsi="宋体"/>
                <w:sz w:val="16"/>
                <w:szCs w:val="16"/>
              </w:rPr>
            </w:pPr>
            <w:r>
              <w:rPr>
                <w:rFonts w:ascii="宋体" w:hAnsi="宋体"/>
                <w:sz w:val="16"/>
                <w:szCs w:val="16"/>
              </w:rPr>
              <w:t xml:space="preserve">1. </w:t>
            </w:r>
            <w:r>
              <w:rPr>
                <w:rFonts w:hint="eastAsia" w:ascii="宋体" w:hAnsi="宋体"/>
                <w:sz w:val="16"/>
                <w:szCs w:val="16"/>
              </w:rPr>
              <w:t>安装管径：</w:t>
            </w:r>
            <w:r>
              <w:rPr>
                <w:rFonts w:ascii="宋体" w:hAnsi="宋体"/>
                <w:sz w:val="16"/>
                <w:szCs w:val="16"/>
              </w:rPr>
              <w:t>DN25-DN100</w:t>
            </w:r>
            <w:r>
              <w:rPr>
                <w:rFonts w:ascii="宋体" w:hAnsi="宋体"/>
                <w:sz w:val="16"/>
                <w:szCs w:val="16"/>
              </w:rPr>
              <w:br w:type="textWrapping"/>
            </w:r>
            <w:r>
              <w:rPr>
                <w:rFonts w:ascii="宋体" w:hAnsi="宋体"/>
                <w:sz w:val="16"/>
                <w:szCs w:val="16"/>
              </w:rPr>
              <w:t xml:space="preserve">2. </w:t>
            </w:r>
            <w:r>
              <w:rPr>
                <w:rFonts w:hint="eastAsia" w:ascii="宋体" w:hAnsi="宋体"/>
                <w:sz w:val="16"/>
                <w:szCs w:val="16"/>
              </w:rPr>
              <w:t>过热蒸汽、饱和蒸汽、湿蒸汽以及较小流量状态下蒸汽的质量流量、体积流量、累积量、温度等精确测量</w:t>
            </w:r>
            <w:r>
              <w:rPr>
                <w:rFonts w:ascii="宋体" w:hAnsi="宋体"/>
                <w:sz w:val="16"/>
                <w:szCs w:val="16"/>
              </w:rPr>
              <w:br w:type="textWrapping"/>
            </w:r>
            <w:r>
              <w:rPr>
                <w:rFonts w:ascii="宋体" w:hAnsi="宋体"/>
                <w:sz w:val="16"/>
                <w:szCs w:val="16"/>
              </w:rPr>
              <w:t xml:space="preserve">3. </w:t>
            </w:r>
            <w:r>
              <w:rPr>
                <w:rFonts w:hint="eastAsia" w:ascii="宋体" w:hAnsi="宋体"/>
                <w:sz w:val="16"/>
                <w:szCs w:val="16"/>
              </w:rPr>
              <w:t>能同时输出多个测量值</w:t>
            </w:r>
            <w:r>
              <w:rPr>
                <w:rFonts w:ascii="宋体" w:hAnsi="宋体"/>
                <w:sz w:val="16"/>
                <w:szCs w:val="16"/>
              </w:rPr>
              <w:br w:type="textWrapping"/>
            </w:r>
            <w:r>
              <w:rPr>
                <w:rFonts w:ascii="宋体" w:hAnsi="宋体"/>
                <w:sz w:val="16"/>
                <w:szCs w:val="16"/>
              </w:rPr>
              <w:t xml:space="preserve">4. </w:t>
            </w:r>
            <w:r>
              <w:rPr>
                <w:rFonts w:hint="eastAsia" w:ascii="宋体" w:hAnsi="宋体"/>
                <w:sz w:val="16"/>
                <w:szCs w:val="16"/>
              </w:rPr>
              <w:t>结构紧凑、安装便捷、工作稳定、坚固耐用、测量精确</w:t>
            </w:r>
            <w:r>
              <w:rPr>
                <w:rFonts w:ascii="宋体" w:hAnsi="宋体"/>
                <w:sz w:val="16"/>
                <w:szCs w:val="16"/>
              </w:rPr>
              <w:br w:type="textWrapping"/>
            </w:r>
            <w:r>
              <w:rPr>
                <w:rFonts w:ascii="宋体" w:hAnsi="宋体"/>
                <w:sz w:val="16"/>
                <w:szCs w:val="16"/>
              </w:rPr>
              <w:t xml:space="preserve">5. </w:t>
            </w:r>
            <w:r>
              <w:rPr>
                <w:rFonts w:hint="eastAsia" w:ascii="宋体" w:hAnsi="宋体"/>
                <w:sz w:val="16"/>
                <w:szCs w:val="16"/>
              </w:rPr>
              <w:t>便于维护和标定</w:t>
            </w:r>
            <w:r>
              <w:rPr>
                <w:rFonts w:ascii="宋体" w:hAnsi="宋体"/>
                <w:sz w:val="16"/>
                <w:szCs w:val="16"/>
              </w:rPr>
              <w:br w:type="textWrapping"/>
            </w:r>
            <w:r>
              <w:rPr>
                <w:rFonts w:ascii="宋体" w:hAnsi="宋体"/>
                <w:sz w:val="16"/>
                <w:szCs w:val="16"/>
              </w:rPr>
              <w:t>6.</w:t>
            </w:r>
            <w:r>
              <w:rPr>
                <w:rFonts w:hint="eastAsia" w:ascii="宋体" w:hAnsi="宋体"/>
                <w:sz w:val="16"/>
                <w:szCs w:val="16"/>
              </w:rPr>
              <w:t>每台流量计须配备相应规格的法兰盘</w:t>
            </w:r>
            <w:r>
              <w:rPr>
                <w:rFonts w:ascii="宋体" w:hAnsi="宋体"/>
                <w:sz w:val="16"/>
                <w:szCs w:val="16"/>
              </w:rPr>
              <w:br w:type="textWrapping"/>
            </w:r>
            <w:r>
              <w:rPr>
                <w:rFonts w:ascii="宋体" w:hAnsi="宋体"/>
                <w:sz w:val="16"/>
                <w:szCs w:val="16"/>
              </w:rPr>
              <w:t>7.</w:t>
            </w:r>
            <w:r>
              <w:rPr>
                <w:rFonts w:hint="eastAsia" w:ascii="宋体" w:hAnsi="宋体"/>
                <w:sz w:val="16"/>
                <w:szCs w:val="16"/>
              </w:rPr>
              <w:t>通讯类型：</w:t>
            </w:r>
            <w:r>
              <w:rPr>
                <w:rFonts w:ascii="宋体" w:hAnsi="宋体"/>
                <w:sz w:val="16"/>
                <w:szCs w:val="16"/>
              </w:rPr>
              <w:t>Profibus PA</w:t>
            </w:r>
          </w:p>
        </w:tc>
        <w:tc>
          <w:tcPr>
            <w:tcW w:w="2022" w:type="dxa"/>
            <w:vAlign w:val="center"/>
          </w:tcPr>
          <w:p w14:paraId="1237FA35">
            <w:pPr>
              <w:snapToGrid w:val="0"/>
              <w:jc w:val="both"/>
              <w:rPr>
                <w:rFonts w:ascii="宋体" w:hAnsi="宋体" w:cstheme="minorEastAsia"/>
                <w:bCs/>
                <w:sz w:val="16"/>
                <w:szCs w:val="16"/>
              </w:rPr>
            </w:pPr>
          </w:p>
        </w:tc>
        <w:tc>
          <w:tcPr>
            <w:tcW w:w="0" w:type="auto"/>
            <w:vAlign w:val="center"/>
          </w:tcPr>
          <w:p w14:paraId="088689C4">
            <w:pPr>
              <w:jc w:val="both"/>
              <w:textAlignment w:val="center"/>
              <w:rPr>
                <w:rFonts w:ascii="宋体" w:hAnsi="宋体" w:cstheme="minorEastAsia"/>
                <w:bCs/>
                <w:sz w:val="16"/>
                <w:szCs w:val="16"/>
              </w:rPr>
            </w:pPr>
          </w:p>
        </w:tc>
        <w:tc>
          <w:tcPr>
            <w:tcW w:w="0" w:type="auto"/>
            <w:vAlign w:val="center"/>
          </w:tcPr>
          <w:p w14:paraId="2C5FD4C2">
            <w:pPr>
              <w:jc w:val="both"/>
              <w:textAlignment w:val="center"/>
              <w:rPr>
                <w:rFonts w:ascii="宋体" w:hAnsi="宋体" w:cstheme="minorEastAsia"/>
                <w:bCs/>
                <w:sz w:val="16"/>
                <w:szCs w:val="16"/>
              </w:rPr>
            </w:pPr>
          </w:p>
        </w:tc>
        <w:tc>
          <w:tcPr>
            <w:tcW w:w="1016" w:type="dxa"/>
            <w:vAlign w:val="center"/>
          </w:tcPr>
          <w:p w14:paraId="7371E4EC">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736838C1">
            <w:pPr>
              <w:jc w:val="both"/>
              <w:textAlignment w:val="center"/>
              <w:rPr>
                <w:rFonts w:ascii="宋体" w:hAnsi="宋体"/>
                <w:sz w:val="16"/>
                <w:szCs w:val="16"/>
              </w:rPr>
            </w:pPr>
            <w:r>
              <w:rPr>
                <w:rFonts w:ascii="宋体" w:hAnsi="宋体"/>
                <w:sz w:val="16"/>
                <w:szCs w:val="16"/>
              </w:rPr>
              <w:t>2</w:t>
            </w:r>
          </w:p>
        </w:tc>
        <w:tc>
          <w:tcPr>
            <w:tcW w:w="0" w:type="auto"/>
            <w:vAlign w:val="center"/>
          </w:tcPr>
          <w:p w14:paraId="00562A3F">
            <w:pPr>
              <w:jc w:val="both"/>
              <w:textAlignment w:val="center"/>
              <w:rPr>
                <w:rFonts w:ascii="宋体" w:hAnsi="宋体" w:cstheme="minorEastAsia"/>
                <w:bCs/>
                <w:sz w:val="16"/>
                <w:szCs w:val="16"/>
                <w:highlight w:val="yellow"/>
              </w:rPr>
            </w:pPr>
          </w:p>
        </w:tc>
        <w:tc>
          <w:tcPr>
            <w:tcW w:w="0" w:type="auto"/>
            <w:vAlign w:val="center"/>
          </w:tcPr>
          <w:p w14:paraId="049F562F">
            <w:pPr>
              <w:jc w:val="both"/>
              <w:textAlignment w:val="center"/>
              <w:rPr>
                <w:rFonts w:ascii="宋体" w:hAnsi="宋体" w:cstheme="minorEastAsia"/>
                <w:bCs/>
                <w:sz w:val="16"/>
                <w:szCs w:val="16"/>
                <w:highlight w:val="yellow"/>
              </w:rPr>
            </w:pPr>
          </w:p>
        </w:tc>
        <w:tc>
          <w:tcPr>
            <w:tcW w:w="0" w:type="auto"/>
            <w:vAlign w:val="center"/>
          </w:tcPr>
          <w:p w14:paraId="6FB9EB64">
            <w:pPr>
              <w:jc w:val="both"/>
              <w:textAlignment w:val="center"/>
              <w:rPr>
                <w:rFonts w:ascii="宋体" w:hAnsi="宋体" w:cstheme="minorEastAsia"/>
                <w:bCs/>
                <w:sz w:val="16"/>
                <w:szCs w:val="16"/>
                <w:highlight w:val="yellow"/>
              </w:rPr>
            </w:pPr>
          </w:p>
        </w:tc>
        <w:tc>
          <w:tcPr>
            <w:tcW w:w="0" w:type="auto"/>
            <w:shd w:val="clear" w:color="auto" w:fill="auto"/>
            <w:vAlign w:val="center"/>
          </w:tcPr>
          <w:p w14:paraId="4A884AE2">
            <w:pPr>
              <w:snapToGrid w:val="0"/>
              <w:jc w:val="both"/>
              <w:rPr>
                <w:rFonts w:ascii="宋体" w:hAnsi="宋体" w:cstheme="minorEastAsia"/>
                <w:bCs/>
                <w:sz w:val="16"/>
                <w:szCs w:val="16"/>
              </w:rPr>
            </w:pPr>
          </w:p>
        </w:tc>
      </w:tr>
      <w:tr w14:paraId="6A06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trPr>
        <w:tc>
          <w:tcPr>
            <w:tcW w:w="856" w:type="dxa"/>
            <w:vAlign w:val="center"/>
          </w:tcPr>
          <w:p w14:paraId="6165A209">
            <w:pPr>
              <w:snapToGrid w:val="0"/>
              <w:jc w:val="both"/>
              <w:rPr>
                <w:rFonts w:ascii="宋体" w:hAnsi="宋体" w:cstheme="minorEastAsia"/>
                <w:b/>
                <w:bCs/>
                <w:sz w:val="16"/>
                <w:szCs w:val="16"/>
              </w:rPr>
            </w:pPr>
            <w:r>
              <w:rPr>
                <w:rFonts w:hint="eastAsia" w:ascii="宋体" w:hAnsi="宋体" w:cstheme="minorEastAsia"/>
                <w:b/>
                <w:bCs/>
                <w:sz w:val="16"/>
                <w:szCs w:val="16"/>
              </w:rPr>
              <w:t>2.4</w:t>
            </w:r>
          </w:p>
        </w:tc>
        <w:tc>
          <w:tcPr>
            <w:tcW w:w="13138" w:type="dxa"/>
            <w:gridSpan w:val="11"/>
            <w:vAlign w:val="center"/>
          </w:tcPr>
          <w:p w14:paraId="13060BFD">
            <w:pPr>
              <w:snapToGrid w:val="0"/>
              <w:jc w:val="both"/>
              <w:rPr>
                <w:rFonts w:ascii="宋体" w:hAnsi="宋体" w:cstheme="minorEastAsia"/>
                <w:b/>
                <w:bCs/>
                <w:sz w:val="16"/>
                <w:szCs w:val="16"/>
              </w:rPr>
            </w:pPr>
            <w:r>
              <w:rPr>
                <w:rFonts w:hint="eastAsia" w:ascii="宋体" w:hAnsi="宋体" w:cstheme="minorEastAsia"/>
                <w:b/>
                <w:bCs/>
                <w:sz w:val="16"/>
                <w:szCs w:val="16"/>
              </w:rPr>
              <w:t>烘丝机及HT回潮机新增</w:t>
            </w:r>
          </w:p>
        </w:tc>
      </w:tr>
      <w:tr w14:paraId="5AF3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3340D04">
            <w:pPr>
              <w:snapToGrid w:val="0"/>
              <w:jc w:val="both"/>
              <w:rPr>
                <w:rFonts w:ascii="宋体" w:hAnsi="宋体" w:cstheme="minorEastAsia"/>
                <w:bCs/>
                <w:sz w:val="16"/>
                <w:szCs w:val="16"/>
              </w:rPr>
            </w:pPr>
            <w:r>
              <w:rPr>
                <w:rFonts w:ascii="宋体" w:hAnsi="宋体"/>
                <w:sz w:val="16"/>
                <w:szCs w:val="16"/>
              </w:rPr>
              <w:t>2.4.1</w:t>
            </w:r>
          </w:p>
        </w:tc>
        <w:tc>
          <w:tcPr>
            <w:tcW w:w="1484" w:type="dxa"/>
            <w:tcBorders>
              <w:top w:val="single" w:color="auto" w:sz="4" w:space="0"/>
            </w:tcBorders>
            <w:vAlign w:val="center"/>
          </w:tcPr>
          <w:p w14:paraId="3EE43788">
            <w:pPr>
              <w:snapToGrid w:val="0"/>
              <w:jc w:val="both"/>
              <w:rPr>
                <w:rFonts w:ascii="宋体" w:hAnsi="宋体"/>
                <w:sz w:val="16"/>
                <w:szCs w:val="16"/>
              </w:rPr>
            </w:pPr>
            <w:r>
              <w:rPr>
                <w:rFonts w:hint="eastAsia" w:ascii="宋体" w:hAnsi="宋体"/>
                <w:sz w:val="16"/>
                <w:szCs w:val="16"/>
              </w:rPr>
              <w:t>压力变送器</w:t>
            </w:r>
          </w:p>
        </w:tc>
        <w:tc>
          <w:tcPr>
            <w:tcW w:w="4601" w:type="dxa"/>
            <w:vAlign w:val="center"/>
          </w:tcPr>
          <w:p w14:paraId="54333785">
            <w:pPr>
              <w:snapToGrid w:val="0"/>
              <w:jc w:val="both"/>
              <w:rPr>
                <w:rFonts w:ascii="宋体" w:hAnsi="宋体"/>
                <w:sz w:val="16"/>
                <w:szCs w:val="16"/>
              </w:rPr>
            </w:pPr>
            <w:r>
              <w:rPr>
                <w:rFonts w:ascii="宋体" w:hAnsi="宋体"/>
                <w:sz w:val="16"/>
                <w:szCs w:val="16"/>
              </w:rPr>
              <w:t>1.</w:t>
            </w:r>
            <w:r>
              <w:rPr>
                <w:rFonts w:hint="eastAsia" w:ascii="宋体" w:hAnsi="宋体"/>
                <w:sz w:val="16"/>
                <w:szCs w:val="16"/>
              </w:rPr>
              <w:t>应用场合：液体、气体、蒸汽压力的测量</w:t>
            </w:r>
            <w:r>
              <w:rPr>
                <w:rFonts w:ascii="宋体" w:hAnsi="宋体"/>
                <w:sz w:val="16"/>
                <w:szCs w:val="16"/>
              </w:rPr>
              <w:br w:type="textWrapping"/>
            </w:r>
            <w:r>
              <w:rPr>
                <w:rFonts w:ascii="宋体" w:hAnsi="宋体"/>
                <w:sz w:val="16"/>
                <w:szCs w:val="16"/>
              </w:rPr>
              <w:t>2.</w:t>
            </w:r>
            <w:r>
              <w:rPr>
                <w:rFonts w:hint="eastAsia" w:ascii="宋体" w:hAnsi="宋体"/>
                <w:sz w:val="16"/>
                <w:szCs w:val="16"/>
              </w:rPr>
              <w:t>精度等级：</w:t>
            </w:r>
            <w:r>
              <w:rPr>
                <w:rFonts w:ascii="宋体" w:hAnsi="宋体"/>
                <w:sz w:val="16"/>
                <w:szCs w:val="16"/>
              </w:rPr>
              <w:t xml:space="preserve"> 0.25% </w:t>
            </w:r>
            <w:r>
              <w:rPr>
                <w:rFonts w:ascii="宋体" w:hAnsi="宋体"/>
                <w:sz w:val="16"/>
                <w:szCs w:val="16"/>
              </w:rPr>
              <w:br w:type="textWrapping"/>
            </w:r>
            <w:r>
              <w:rPr>
                <w:rFonts w:ascii="宋体" w:hAnsi="宋体"/>
                <w:sz w:val="16"/>
                <w:szCs w:val="16"/>
              </w:rPr>
              <w:t>3.</w:t>
            </w:r>
            <w:r>
              <w:rPr>
                <w:rFonts w:hint="eastAsia" w:ascii="宋体" w:hAnsi="宋体"/>
                <w:sz w:val="16"/>
                <w:szCs w:val="16"/>
              </w:rPr>
              <w:t>供电电源</w:t>
            </w:r>
            <w:r>
              <w:rPr>
                <w:rFonts w:ascii="宋体" w:hAnsi="宋体"/>
                <w:sz w:val="16"/>
                <w:szCs w:val="16"/>
              </w:rPr>
              <w:t xml:space="preserve"> 15</w:t>
            </w:r>
            <w:r>
              <w:rPr>
                <w:rFonts w:hint="eastAsia" w:ascii="宋体" w:hAnsi="宋体"/>
                <w:sz w:val="16"/>
                <w:szCs w:val="16"/>
              </w:rPr>
              <w:t>～</w:t>
            </w:r>
            <w:r>
              <w:rPr>
                <w:rFonts w:ascii="宋体" w:hAnsi="宋体"/>
                <w:sz w:val="16"/>
                <w:szCs w:val="16"/>
              </w:rPr>
              <w:t>36 VDC</w:t>
            </w:r>
            <w:r>
              <w:rPr>
                <w:rFonts w:hint="eastAsia" w:ascii="宋体" w:hAnsi="宋体"/>
                <w:sz w:val="16"/>
                <w:szCs w:val="16"/>
              </w:rPr>
              <w:t>（标定电压</w:t>
            </w:r>
            <w:r>
              <w:rPr>
                <w:rFonts w:ascii="宋体" w:hAnsi="宋体"/>
                <w:sz w:val="16"/>
                <w:szCs w:val="16"/>
              </w:rPr>
              <w:t>24VDC</w:t>
            </w:r>
            <w:r>
              <w:rPr>
                <w:rFonts w:hint="eastAsia" w:ascii="宋体" w:hAnsi="宋体"/>
                <w:sz w:val="16"/>
                <w:szCs w:val="16"/>
              </w:rPr>
              <w:t>）</w:t>
            </w:r>
            <w:r>
              <w:rPr>
                <w:rFonts w:ascii="宋体" w:hAnsi="宋体"/>
                <w:sz w:val="16"/>
                <w:szCs w:val="16"/>
              </w:rPr>
              <w:br w:type="textWrapping"/>
            </w:r>
            <w:r>
              <w:rPr>
                <w:rFonts w:ascii="宋体" w:hAnsi="宋体"/>
                <w:sz w:val="16"/>
                <w:szCs w:val="16"/>
              </w:rPr>
              <w:t>4.</w:t>
            </w:r>
            <w:r>
              <w:rPr>
                <w:rFonts w:hint="eastAsia" w:ascii="宋体" w:hAnsi="宋体"/>
                <w:sz w:val="16"/>
                <w:szCs w:val="16"/>
              </w:rPr>
              <w:t>输出信号</w:t>
            </w:r>
            <w:r>
              <w:rPr>
                <w:rFonts w:ascii="宋体" w:hAnsi="宋体"/>
                <w:sz w:val="16"/>
                <w:szCs w:val="16"/>
              </w:rPr>
              <w:t xml:space="preserve"> (4</w:t>
            </w:r>
            <w:r>
              <w:rPr>
                <w:rFonts w:hint="eastAsia" w:ascii="宋体" w:hAnsi="宋体"/>
                <w:sz w:val="16"/>
                <w:szCs w:val="16"/>
              </w:rPr>
              <w:t>～</w:t>
            </w:r>
            <w:r>
              <w:rPr>
                <w:rFonts w:ascii="宋体" w:hAnsi="宋体"/>
                <w:sz w:val="16"/>
                <w:szCs w:val="16"/>
              </w:rPr>
              <w:t>20)mA</w:t>
            </w:r>
            <w:r>
              <w:rPr>
                <w:rFonts w:ascii="宋体" w:hAnsi="宋体"/>
                <w:sz w:val="16"/>
                <w:szCs w:val="16"/>
              </w:rPr>
              <w:br w:type="textWrapping"/>
            </w:r>
            <w:r>
              <w:rPr>
                <w:rFonts w:ascii="宋体" w:hAnsi="宋体"/>
                <w:sz w:val="16"/>
                <w:szCs w:val="16"/>
              </w:rPr>
              <w:t>5.</w:t>
            </w:r>
            <w:r>
              <w:rPr>
                <w:rFonts w:hint="eastAsia" w:ascii="宋体" w:hAnsi="宋体"/>
                <w:sz w:val="16"/>
                <w:szCs w:val="16"/>
              </w:rPr>
              <w:t>显示方式</w:t>
            </w:r>
            <w:r>
              <w:rPr>
                <w:rFonts w:ascii="宋体" w:hAnsi="宋体"/>
                <w:sz w:val="16"/>
                <w:szCs w:val="16"/>
              </w:rPr>
              <w:t xml:space="preserve"> </w:t>
            </w:r>
            <w:r>
              <w:rPr>
                <w:rFonts w:hint="eastAsia" w:ascii="宋体" w:hAnsi="宋体"/>
                <w:sz w:val="16"/>
                <w:szCs w:val="16"/>
              </w:rPr>
              <w:t>：指针表头或数字显示可选配</w:t>
            </w:r>
            <w:r>
              <w:rPr>
                <w:rFonts w:ascii="宋体" w:hAnsi="宋体"/>
                <w:sz w:val="16"/>
                <w:szCs w:val="16"/>
              </w:rPr>
              <w:t xml:space="preserve"> </w:t>
            </w:r>
          </w:p>
        </w:tc>
        <w:tc>
          <w:tcPr>
            <w:tcW w:w="2022" w:type="dxa"/>
            <w:vAlign w:val="center"/>
          </w:tcPr>
          <w:p w14:paraId="4BE5BE5C">
            <w:pPr>
              <w:snapToGrid w:val="0"/>
              <w:jc w:val="both"/>
              <w:rPr>
                <w:rFonts w:ascii="宋体" w:hAnsi="宋体" w:cstheme="minorEastAsia"/>
                <w:bCs/>
                <w:sz w:val="16"/>
                <w:szCs w:val="16"/>
              </w:rPr>
            </w:pPr>
          </w:p>
        </w:tc>
        <w:tc>
          <w:tcPr>
            <w:tcW w:w="0" w:type="auto"/>
            <w:vAlign w:val="center"/>
          </w:tcPr>
          <w:p w14:paraId="47C4AF7B">
            <w:pPr>
              <w:jc w:val="both"/>
              <w:textAlignment w:val="center"/>
              <w:rPr>
                <w:rFonts w:ascii="宋体" w:hAnsi="宋体" w:cstheme="minorEastAsia"/>
                <w:bCs/>
                <w:sz w:val="16"/>
                <w:szCs w:val="16"/>
              </w:rPr>
            </w:pPr>
          </w:p>
        </w:tc>
        <w:tc>
          <w:tcPr>
            <w:tcW w:w="0" w:type="auto"/>
            <w:vAlign w:val="center"/>
          </w:tcPr>
          <w:p w14:paraId="5F8CD647">
            <w:pPr>
              <w:jc w:val="both"/>
              <w:textAlignment w:val="center"/>
              <w:rPr>
                <w:rFonts w:ascii="宋体" w:hAnsi="宋体" w:cstheme="minorEastAsia"/>
                <w:bCs/>
                <w:sz w:val="16"/>
                <w:szCs w:val="16"/>
              </w:rPr>
            </w:pPr>
          </w:p>
        </w:tc>
        <w:tc>
          <w:tcPr>
            <w:tcW w:w="1016" w:type="dxa"/>
            <w:vAlign w:val="center"/>
          </w:tcPr>
          <w:p w14:paraId="39053E68">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1937E2BE">
            <w:pPr>
              <w:jc w:val="both"/>
              <w:textAlignment w:val="center"/>
              <w:rPr>
                <w:rFonts w:ascii="宋体" w:hAnsi="宋体"/>
                <w:sz w:val="16"/>
                <w:szCs w:val="16"/>
              </w:rPr>
            </w:pPr>
            <w:r>
              <w:rPr>
                <w:rFonts w:ascii="宋体" w:hAnsi="宋体"/>
                <w:sz w:val="16"/>
                <w:szCs w:val="16"/>
              </w:rPr>
              <w:t>11</w:t>
            </w:r>
          </w:p>
        </w:tc>
        <w:tc>
          <w:tcPr>
            <w:tcW w:w="0" w:type="auto"/>
            <w:vAlign w:val="center"/>
          </w:tcPr>
          <w:p w14:paraId="10024707">
            <w:pPr>
              <w:jc w:val="both"/>
              <w:textAlignment w:val="center"/>
              <w:rPr>
                <w:rFonts w:ascii="宋体" w:hAnsi="宋体" w:cstheme="minorEastAsia"/>
                <w:bCs/>
                <w:sz w:val="16"/>
                <w:szCs w:val="16"/>
                <w:highlight w:val="yellow"/>
              </w:rPr>
            </w:pPr>
          </w:p>
        </w:tc>
        <w:tc>
          <w:tcPr>
            <w:tcW w:w="0" w:type="auto"/>
            <w:vAlign w:val="center"/>
          </w:tcPr>
          <w:p w14:paraId="426B8D44">
            <w:pPr>
              <w:jc w:val="both"/>
              <w:textAlignment w:val="center"/>
              <w:rPr>
                <w:rFonts w:ascii="宋体" w:hAnsi="宋体" w:cstheme="minorEastAsia"/>
                <w:bCs/>
                <w:sz w:val="16"/>
                <w:szCs w:val="16"/>
                <w:highlight w:val="yellow"/>
              </w:rPr>
            </w:pPr>
          </w:p>
        </w:tc>
        <w:tc>
          <w:tcPr>
            <w:tcW w:w="0" w:type="auto"/>
            <w:vAlign w:val="center"/>
          </w:tcPr>
          <w:p w14:paraId="33174C9C">
            <w:pPr>
              <w:jc w:val="both"/>
              <w:textAlignment w:val="center"/>
              <w:rPr>
                <w:rFonts w:ascii="宋体" w:hAnsi="宋体" w:cstheme="minorEastAsia"/>
                <w:bCs/>
                <w:sz w:val="16"/>
                <w:szCs w:val="16"/>
                <w:highlight w:val="yellow"/>
              </w:rPr>
            </w:pPr>
          </w:p>
        </w:tc>
        <w:tc>
          <w:tcPr>
            <w:tcW w:w="0" w:type="auto"/>
            <w:shd w:val="clear" w:color="auto" w:fill="auto"/>
            <w:vAlign w:val="center"/>
          </w:tcPr>
          <w:p w14:paraId="1FE2CD86">
            <w:pPr>
              <w:snapToGrid w:val="0"/>
              <w:jc w:val="both"/>
              <w:rPr>
                <w:rFonts w:ascii="宋体" w:hAnsi="宋体" w:cstheme="minorEastAsia"/>
                <w:bCs/>
                <w:sz w:val="16"/>
                <w:szCs w:val="16"/>
              </w:rPr>
            </w:pPr>
          </w:p>
        </w:tc>
      </w:tr>
      <w:tr w14:paraId="0EC7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1090DDA">
            <w:pPr>
              <w:snapToGrid w:val="0"/>
              <w:jc w:val="both"/>
              <w:rPr>
                <w:rFonts w:ascii="宋体" w:hAnsi="宋体" w:cstheme="minorEastAsia"/>
                <w:bCs/>
                <w:sz w:val="16"/>
                <w:szCs w:val="16"/>
              </w:rPr>
            </w:pPr>
            <w:r>
              <w:rPr>
                <w:rFonts w:ascii="宋体" w:hAnsi="宋体"/>
                <w:sz w:val="16"/>
                <w:szCs w:val="16"/>
              </w:rPr>
              <w:t>2.4.2</w:t>
            </w:r>
          </w:p>
        </w:tc>
        <w:tc>
          <w:tcPr>
            <w:tcW w:w="1484" w:type="dxa"/>
            <w:tcBorders>
              <w:top w:val="single" w:color="auto" w:sz="4" w:space="0"/>
            </w:tcBorders>
            <w:vAlign w:val="center"/>
          </w:tcPr>
          <w:p w14:paraId="13652BD4">
            <w:pPr>
              <w:snapToGrid w:val="0"/>
              <w:jc w:val="both"/>
              <w:rPr>
                <w:rFonts w:ascii="宋体" w:hAnsi="宋体"/>
                <w:sz w:val="16"/>
                <w:szCs w:val="16"/>
              </w:rPr>
            </w:pPr>
            <w:r>
              <w:rPr>
                <w:rFonts w:hint="eastAsia" w:ascii="宋体" w:hAnsi="宋体"/>
                <w:sz w:val="16"/>
                <w:szCs w:val="16"/>
              </w:rPr>
              <w:t>冷凝水温度检测</w:t>
            </w:r>
          </w:p>
        </w:tc>
        <w:tc>
          <w:tcPr>
            <w:tcW w:w="4601" w:type="dxa"/>
            <w:vAlign w:val="center"/>
          </w:tcPr>
          <w:p w14:paraId="2B4F305F">
            <w:pPr>
              <w:snapToGrid w:val="0"/>
              <w:jc w:val="both"/>
              <w:rPr>
                <w:rFonts w:ascii="宋体" w:hAnsi="宋体"/>
                <w:sz w:val="16"/>
                <w:szCs w:val="16"/>
              </w:rPr>
            </w:pPr>
            <w:r>
              <w:rPr>
                <w:rFonts w:hint="eastAsia" w:ascii="宋体" w:hAnsi="宋体"/>
                <w:sz w:val="16"/>
                <w:szCs w:val="16"/>
              </w:rPr>
              <w:t>显示变送一体化温度变送器</w:t>
            </w:r>
            <w:r>
              <w:rPr>
                <w:rFonts w:ascii="宋体" w:hAnsi="宋体"/>
                <w:sz w:val="16"/>
                <w:szCs w:val="16"/>
              </w:rPr>
              <w:br w:type="textWrapping"/>
            </w:r>
            <w:r>
              <w:rPr>
                <w:rFonts w:ascii="宋体" w:hAnsi="宋体"/>
                <w:sz w:val="16"/>
                <w:szCs w:val="16"/>
              </w:rPr>
              <w:t xml:space="preserve">1. </w:t>
            </w:r>
            <w:r>
              <w:rPr>
                <w:rFonts w:hint="eastAsia" w:ascii="宋体" w:hAnsi="宋体"/>
                <w:sz w:val="16"/>
                <w:szCs w:val="16"/>
              </w:rPr>
              <w:t>测量精度</w:t>
            </w:r>
            <w:r>
              <w:rPr>
                <w:rFonts w:ascii="宋体" w:hAnsi="宋体"/>
                <w:sz w:val="16"/>
                <w:szCs w:val="16"/>
              </w:rPr>
              <w:t>: &lt;</w:t>
            </w:r>
            <w:r>
              <w:rPr>
                <w:rFonts w:hint="eastAsia" w:ascii="宋体" w:hAnsi="宋体"/>
                <w:sz w:val="16"/>
                <w:szCs w:val="16"/>
              </w:rPr>
              <w:t>热电阻</w:t>
            </w:r>
            <w:r>
              <w:rPr>
                <w:rFonts w:ascii="宋体" w:hAnsi="宋体"/>
                <w:sz w:val="16"/>
                <w:szCs w:val="16"/>
              </w:rPr>
              <w:t xml:space="preserve">&gt; </w:t>
            </w:r>
            <w:r>
              <w:rPr>
                <w:rFonts w:hint="eastAsia" w:ascii="宋体" w:hAnsi="宋体"/>
                <w:sz w:val="16"/>
                <w:szCs w:val="16"/>
              </w:rPr>
              <w:t>±</w:t>
            </w:r>
            <w:r>
              <w:rPr>
                <w:rFonts w:ascii="宋体" w:hAnsi="宋体"/>
                <w:sz w:val="16"/>
                <w:szCs w:val="16"/>
              </w:rPr>
              <w:t xml:space="preserve"> 0.5%</w:t>
            </w:r>
            <w:r>
              <w:rPr>
                <w:rFonts w:ascii="宋体" w:hAnsi="宋体"/>
                <w:sz w:val="16"/>
                <w:szCs w:val="16"/>
              </w:rPr>
              <w:br w:type="textWrapping"/>
            </w:r>
            <w:r>
              <w:rPr>
                <w:rFonts w:ascii="宋体" w:hAnsi="宋体"/>
                <w:sz w:val="16"/>
                <w:szCs w:val="16"/>
              </w:rPr>
              <w:t xml:space="preserve">2. </w:t>
            </w:r>
            <w:r>
              <w:rPr>
                <w:rFonts w:hint="eastAsia" w:ascii="宋体" w:hAnsi="宋体"/>
                <w:sz w:val="16"/>
                <w:szCs w:val="16"/>
              </w:rPr>
              <w:t>热电阻测温范围</w:t>
            </w:r>
            <w:r>
              <w:rPr>
                <w:rFonts w:ascii="宋体" w:hAnsi="宋体"/>
                <w:sz w:val="16"/>
                <w:szCs w:val="16"/>
              </w:rPr>
              <w:t>: &lt;Pt100&gt;-200</w:t>
            </w:r>
            <w:r>
              <w:rPr>
                <w:rFonts w:hint="eastAsia" w:ascii="宋体" w:hAnsi="宋体"/>
                <w:sz w:val="16"/>
                <w:szCs w:val="16"/>
              </w:rPr>
              <w:t>～</w:t>
            </w:r>
            <w:r>
              <w:rPr>
                <w:rFonts w:ascii="宋体" w:hAnsi="宋体"/>
                <w:sz w:val="16"/>
                <w:szCs w:val="16"/>
              </w:rPr>
              <w:t>450</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3. </w:t>
            </w:r>
            <w:r>
              <w:rPr>
                <w:rFonts w:hint="eastAsia" w:ascii="宋体" w:hAnsi="宋体"/>
                <w:sz w:val="16"/>
                <w:szCs w:val="16"/>
              </w:rPr>
              <w:t>输出信号</w:t>
            </w:r>
            <w:r>
              <w:rPr>
                <w:rFonts w:ascii="宋体" w:hAnsi="宋体"/>
                <w:sz w:val="16"/>
                <w:szCs w:val="16"/>
              </w:rPr>
              <w:t>: 4-20mA</w:t>
            </w:r>
            <w:r>
              <w:rPr>
                <w:rFonts w:ascii="宋体" w:hAnsi="宋体"/>
                <w:sz w:val="16"/>
                <w:szCs w:val="16"/>
              </w:rPr>
              <w:br w:type="textWrapping"/>
            </w:r>
            <w:r>
              <w:rPr>
                <w:rFonts w:ascii="宋体" w:hAnsi="宋体"/>
                <w:sz w:val="16"/>
                <w:szCs w:val="16"/>
              </w:rPr>
              <w:t xml:space="preserve">4. </w:t>
            </w:r>
            <w:r>
              <w:rPr>
                <w:rFonts w:hint="eastAsia" w:ascii="宋体" w:hAnsi="宋体"/>
                <w:sz w:val="16"/>
                <w:szCs w:val="16"/>
              </w:rPr>
              <w:t>环境温度</w:t>
            </w:r>
            <w:r>
              <w:rPr>
                <w:rFonts w:ascii="宋体" w:hAnsi="宋体"/>
                <w:sz w:val="16"/>
                <w:szCs w:val="16"/>
              </w:rPr>
              <w:t>: -10</w:t>
            </w:r>
            <w:r>
              <w:rPr>
                <w:rFonts w:hint="eastAsia" w:ascii="宋体" w:hAnsi="宋体"/>
                <w:sz w:val="16"/>
                <w:szCs w:val="16"/>
              </w:rPr>
              <w:t>～</w:t>
            </w:r>
            <w:r>
              <w:rPr>
                <w:rFonts w:ascii="宋体" w:hAnsi="宋体"/>
                <w:sz w:val="16"/>
                <w:szCs w:val="16"/>
              </w:rPr>
              <w:t>85</w:t>
            </w:r>
            <w:r>
              <w:rPr>
                <w:rFonts w:hint="eastAsia" w:ascii="宋体" w:hAnsi="宋体"/>
                <w:sz w:val="16"/>
                <w:szCs w:val="16"/>
              </w:rPr>
              <w:t>℃</w:t>
            </w:r>
            <w:r>
              <w:rPr>
                <w:rFonts w:ascii="宋体" w:hAnsi="宋体"/>
                <w:sz w:val="16"/>
                <w:szCs w:val="16"/>
              </w:rPr>
              <w:br w:type="textWrapping"/>
            </w:r>
            <w:r>
              <w:rPr>
                <w:rFonts w:ascii="宋体" w:hAnsi="宋体"/>
                <w:sz w:val="16"/>
                <w:szCs w:val="16"/>
              </w:rPr>
              <w:t xml:space="preserve">5. </w:t>
            </w:r>
            <w:r>
              <w:rPr>
                <w:rFonts w:hint="eastAsia" w:ascii="宋体" w:hAnsi="宋体"/>
                <w:sz w:val="16"/>
                <w:szCs w:val="16"/>
              </w:rPr>
              <w:t>显示范围</w:t>
            </w:r>
            <w:r>
              <w:rPr>
                <w:rFonts w:ascii="宋体" w:hAnsi="宋体"/>
                <w:sz w:val="16"/>
                <w:szCs w:val="16"/>
              </w:rPr>
              <w:t>: -1999</w:t>
            </w:r>
            <w:r>
              <w:rPr>
                <w:rFonts w:hint="eastAsia" w:ascii="宋体" w:hAnsi="宋体"/>
                <w:sz w:val="16"/>
                <w:szCs w:val="16"/>
              </w:rPr>
              <w:t>～</w:t>
            </w:r>
            <w:r>
              <w:rPr>
                <w:rFonts w:ascii="宋体" w:hAnsi="宋体"/>
                <w:sz w:val="16"/>
                <w:szCs w:val="16"/>
              </w:rPr>
              <w:t>1999</w:t>
            </w:r>
            <w:r>
              <w:rPr>
                <w:rFonts w:ascii="宋体" w:hAnsi="宋体"/>
                <w:sz w:val="16"/>
                <w:szCs w:val="16"/>
              </w:rPr>
              <w:br w:type="textWrapping"/>
            </w:r>
            <w:r>
              <w:rPr>
                <w:rFonts w:ascii="宋体" w:hAnsi="宋体"/>
                <w:sz w:val="16"/>
                <w:szCs w:val="16"/>
              </w:rPr>
              <w:t xml:space="preserve">6. </w:t>
            </w:r>
            <w:r>
              <w:rPr>
                <w:rFonts w:hint="eastAsia" w:ascii="宋体" w:hAnsi="宋体"/>
                <w:sz w:val="16"/>
                <w:szCs w:val="16"/>
              </w:rPr>
              <w:t>防护等级</w:t>
            </w:r>
            <w:r>
              <w:rPr>
                <w:rFonts w:ascii="宋体" w:hAnsi="宋体"/>
                <w:sz w:val="16"/>
                <w:szCs w:val="16"/>
              </w:rPr>
              <w:t>: IP65</w:t>
            </w:r>
          </w:p>
        </w:tc>
        <w:tc>
          <w:tcPr>
            <w:tcW w:w="2022" w:type="dxa"/>
            <w:vAlign w:val="center"/>
          </w:tcPr>
          <w:p w14:paraId="17FF6383">
            <w:pPr>
              <w:snapToGrid w:val="0"/>
              <w:jc w:val="both"/>
              <w:rPr>
                <w:rFonts w:ascii="宋体" w:hAnsi="宋体" w:cstheme="minorEastAsia"/>
                <w:bCs/>
                <w:sz w:val="16"/>
                <w:szCs w:val="16"/>
              </w:rPr>
            </w:pPr>
          </w:p>
        </w:tc>
        <w:tc>
          <w:tcPr>
            <w:tcW w:w="0" w:type="auto"/>
            <w:vAlign w:val="center"/>
          </w:tcPr>
          <w:p w14:paraId="3B995881">
            <w:pPr>
              <w:jc w:val="both"/>
              <w:textAlignment w:val="center"/>
              <w:rPr>
                <w:rFonts w:ascii="宋体" w:hAnsi="宋体" w:cstheme="minorEastAsia"/>
                <w:bCs/>
                <w:sz w:val="16"/>
                <w:szCs w:val="16"/>
              </w:rPr>
            </w:pPr>
          </w:p>
        </w:tc>
        <w:tc>
          <w:tcPr>
            <w:tcW w:w="0" w:type="auto"/>
            <w:vAlign w:val="center"/>
          </w:tcPr>
          <w:p w14:paraId="04E52462">
            <w:pPr>
              <w:jc w:val="both"/>
              <w:textAlignment w:val="center"/>
              <w:rPr>
                <w:rFonts w:ascii="宋体" w:hAnsi="宋体" w:cstheme="minorEastAsia"/>
                <w:bCs/>
                <w:sz w:val="16"/>
                <w:szCs w:val="16"/>
              </w:rPr>
            </w:pPr>
          </w:p>
        </w:tc>
        <w:tc>
          <w:tcPr>
            <w:tcW w:w="1016" w:type="dxa"/>
            <w:vAlign w:val="center"/>
          </w:tcPr>
          <w:p w14:paraId="65B17D12">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65180197">
            <w:pPr>
              <w:jc w:val="both"/>
              <w:textAlignment w:val="center"/>
              <w:rPr>
                <w:rFonts w:ascii="宋体" w:hAnsi="宋体"/>
                <w:sz w:val="16"/>
                <w:szCs w:val="16"/>
              </w:rPr>
            </w:pPr>
            <w:r>
              <w:rPr>
                <w:rFonts w:ascii="宋体" w:hAnsi="宋体"/>
                <w:sz w:val="16"/>
                <w:szCs w:val="16"/>
              </w:rPr>
              <w:t>3</w:t>
            </w:r>
          </w:p>
        </w:tc>
        <w:tc>
          <w:tcPr>
            <w:tcW w:w="0" w:type="auto"/>
            <w:vAlign w:val="center"/>
          </w:tcPr>
          <w:p w14:paraId="6501E6D4">
            <w:pPr>
              <w:jc w:val="both"/>
              <w:textAlignment w:val="center"/>
              <w:rPr>
                <w:rFonts w:ascii="宋体" w:hAnsi="宋体" w:cstheme="minorEastAsia"/>
                <w:bCs/>
                <w:sz w:val="16"/>
                <w:szCs w:val="16"/>
                <w:highlight w:val="yellow"/>
              </w:rPr>
            </w:pPr>
          </w:p>
        </w:tc>
        <w:tc>
          <w:tcPr>
            <w:tcW w:w="0" w:type="auto"/>
            <w:vAlign w:val="center"/>
          </w:tcPr>
          <w:p w14:paraId="15013F37">
            <w:pPr>
              <w:jc w:val="both"/>
              <w:textAlignment w:val="center"/>
              <w:rPr>
                <w:rFonts w:ascii="宋体" w:hAnsi="宋体" w:cstheme="minorEastAsia"/>
                <w:bCs/>
                <w:sz w:val="16"/>
                <w:szCs w:val="16"/>
                <w:highlight w:val="yellow"/>
              </w:rPr>
            </w:pPr>
          </w:p>
        </w:tc>
        <w:tc>
          <w:tcPr>
            <w:tcW w:w="0" w:type="auto"/>
            <w:vAlign w:val="center"/>
          </w:tcPr>
          <w:p w14:paraId="6BE2DF8B">
            <w:pPr>
              <w:jc w:val="both"/>
              <w:textAlignment w:val="center"/>
              <w:rPr>
                <w:rFonts w:ascii="宋体" w:hAnsi="宋体" w:cstheme="minorEastAsia"/>
                <w:bCs/>
                <w:sz w:val="16"/>
                <w:szCs w:val="16"/>
                <w:highlight w:val="yellow"/>
              </w:rPr>
            </w:pPr>
          </w:p>
        </w:tc>
        <w:tc>
          <w:tcPr>
            <w:tcW w:w="0" w:type="auto"/>
            <w:shd w:val="clear" w:color="auto" w:fill="auto"/>
            <w:vAlign w:val="center"/>
          </w:tcPr>
          <w:p w14:paraId="79A6CB08">
            <w:pPr>
              <w:snapToGrid w:val="0"/>
              <w:jc w:val="both"/>
              <w:rPr>
                <w:rFonts w:ascii="宋体" w:hAnsi="宋体" w:cstheme="minorEastAsia"/>
                <w:bCs/>
                <w:sz w:val="16"/>
                <w:szCs w:val="16"/>
              </w:rPr>
            </w:pPr>
          </w:p>
        </w:tc>
      </w:tr>
      <w:tr w14:paraId="31C0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2829E7B6">
            <w:pPr>
              <w:snapToGrid w:val="0"/>
              <w:jc w:val="both"/>
              <w:rPr>
                <w:rFonts w:ascii="宋体" w:hAnsi="宋体" w:cstheme="minorEastAsia"/>
                <w:bCs/>
                <w:sz w:val="16"/>
                <w:szCs w:val="16"/>
              </w:rPr>
            </w:pPr>
            <w:r>
              <w:rPr>
                <w:rFonts w:ascii="宋体" w:hAnsi="宋体"/>
                <w:sz w:val="16"/>
                <w:szCs w:val="16"/>
              </w:rPr>
              <w:t>2.4.3</w:t>
            </w:r>
          </w:p>
        </w:tc>
        <w:tc>
          <w:tcPr>
            <w:tcW w:w="1484" w:type="dxa"/>
            <w:tcBorders>
              <w:top w:val="single" w:color="auto" w:sz="4" w:space="0"/>
            </w:tcBorders>
            <w:vAlign w:val="center"/>
          </w:tcPr>
          <w:p w14:paraId="6AAB0B7A">
            <w:pPr>
              <w:snapToGrid w:val="0"/>
              <w:jc w:val="both"/>
              <w:rPr>
                <w:rFonts w:ascii="宋体" w:hAnsi="宋体"/>
                <w:sz w:val="16"/>
                <w:szCs w:val="16"/>
              </w:rPr>
            </w:pPr>
            <w:r>
              <w:rPr>
                <w:rFonts w:hint="eastAsia" w:ascii="宋体" w:hAnsi="宋体"/>
                <w:sz w:val="16"/>
                <w:szCs w:val="16"/>
              </w:rPr>
              <w:t>滚筒转速检测</w:t>
            </w:r>
          </w:p>
        </w:tc>
        <w:tc>
          <w:tcPr>
            <w:tcW w:w="4601" w:type="dxa"/>
            <w:vAlign w:val="center"/>
          </w:tcPr>
          <w:p w14:paraId="3EE449C5">
            <w:pPr>
              <w:snapToGrid w:val="0"/>
              <w:jc w:val="both"/>
              <w:rPr>
                <w:rFonts w:ascii="宋体" w:hAnsi="宋体"/>
                <w:sz w:val="16"/>
                <w:szCs w:val="16"/>
              </w:rPr>
            </w:pPr>
            <w:r>
              <w:rPr>
                <w:rFonts w:ascii="宋体" w:hAnsi="宋体"/>
                <w:sz w:val="16"/>
                <w:szCs w:val="16"/>
              </w:rPr>
              <w:t>1.</w:t>
            </w:r>
            <w:r>
              <w:rPr>
                <w:rFonts w:hint="eastAsia" w:ascii="宋体" w:hAnsi="宋体"/>
                <w:sz w:val="16"/>
                <w:szCs w:val="16"/>
              </w:rPr>
              <w:t>电感式传感器；</w:t>
            </w:r>
            <w:r>
              <w:rPr>
                <w:rFonts w:ascii="宋体" w:hAnsi="宋体"/>
                <w:sz w:val="16"/>
                <w:szCs w:val="16"/>
              </w:rPr>
              <w:br w:type="textWrapping"/>
            </w:r>
            <w:r>
              <w:rPr>
                <w:rFonts w:ascii="宋体" w:hAnsi="宋体"/>
                <w:sz w:val="16"/>
                <w:szCs w:val="16"/>
              </w:rPr>
              <w:t xml:space="preserve">2.15mm </w:t>
            </w:r>
            <w:r>
              <w:rPr>
                <w:rFonts w:hint="eastAsia" w:ascii="宋体" w:hAnsi="宋体"/>
                <w:sz w:val="16"/>
                <w:szCs w:val="16"/>
              </w:rPr>
              <w:t>齐平</w:t>
            </w:r>
            <w:r>
              <w:rPr>
                <w:rFonts w:ascii="宋体" w:hAnsi="宋体"/>
                <w:sz w:val="16"/>
                <w:szCs w:val="16"/>
              </w:rPr>
              <w:br w:type="textWrapping"/>
            </w:r>
            <w:r>
              <w:rPr>
                <w:rFonts w:ascii="宋体" w:hAnsi="宋体"/>
                <w:sz w:val="16"/>
                <w:szCs w:val="16"/>
              </w:rPr>
              <w:t>3.PNP</w:t>
            </w:r>
            <w:r>
              <w:rPr>
                <w:rFonts w:hint="eastAsia" w:ascii="宋体" w:hAnsi="宋体"/>
                <w:sz w:val="16"/>
                <w:szCs w:val="16"/>
              </w:rPr>
              <w:t>；</w:t>
            </w:r>
            <w:r>
              <w:rPr>
                <w:rFonts w:ascii="宋体" w:hAnsi="宋体"/>
                <w:sz w:val="16"/>
                <w:szCs w:val="16"/>
              </w:rPr>
              <w:t>4.</w:t>
            </w:r>
            <w:r>
              <w:rPr>
                <w:rFonts w:hint="eastAsia" w:ascii="宋体" w:hAnsi="宋体"/>
                <w:sz w:val="16"/>
                <w:szCs w:val="16"/>
              </w:rPr>
              <w:t>时间延迟最大：</w:t>
            </w:r>
            <w:r>
              <w:rPr>
                <w:rFonts w:ascii="宋体" w:hAnsi="宋体"/>
                <w:sz w:val="16"/>
                <w:szCs w:val="16"/>
              </w:rPr>
              <w:t>15</w:t>
            </w:r>
            <w:r>
              <w:rPr>
                <w:rFonts w:hint="eastAsia" w:ascii="宋体" w:hAnsi="宋体"/>
                <w:sz w:val="16"/>
                <w:szCs w:val="16"/>
              </w:rPr>
              <w:t>毫秒</w:t>
            </w:r>
          </w:p>
        </w:tc>
        <w:tc>
          <w:tcPr>
            <w:tcW w:w="2022" w:type="dxa"/>
            <w:vAlign w:val="center"/>
          </w:tcPr>
          <w:p w14:paraId="56EEED78">
            <w:pPr>
              <w:snapToGrid w:val="0"/>
              <w:jc w:val="both"/>
              <w:rPr>
                <w:rFonts w:ascii="宋体" w:hAnsi="宋体" w:cstheme="minorEastAsia"/>
                <w:bCs/>
                <w:sz w:val="16"/>
                <w:szCs w:val="16"/>
              </w:rPr>
            </w:pPr>
          </w:p>
        </w:tc>
        <w:tc>
          <w:tcPr>
            <w:tcW w:w="0" w:type="auto"/>
            <w:vAlign w:val="center"/>
          </w:tcPr>
          <w:p w14:paraId="27190BCE">
            <w:pPr>
              <w:jc w:val="both"/>
              <w:textAlignment w:val="center"/>
              <w:rPr>
                <w:rFonts w:ascii="宋体" w:hAnsi="宋体" w:cstheme="minorEastAsia"/>
                <w:bCs/>
                <w:sz w:val="16"/>
                <w:szCs w:val="16"/>
              </w:rPr>
            </w:pPr>
          </w:p>
        </w:tc>
        <w:tc>
          <w:tcPr>
            <w:tcW w:w="0" w:type="auto"/>
            <w:vAlign w:val="center"/>
          </w:tcPr>
          <w:p w14:paraId="06E6B74E">
            <w:pPr>
              <w:jc w:val="both"/>
              <w:textAlignment w:val="center"/>
              <w:rPr>
                <w:rFonts w:ascii="宋体" w:hAnsi="宋体" w:cstheme="minorEastAsia"/>
                <w:bCs/>
                <w:sz w:val="16"/>
                <w:szCs w:val="16"/>
              </w:rPr>
            </w:pPr>
          </w:p>
        </w:tc>
        <w:tc>
          <w:tcPr>
            <w:tcW w:w="1016" w:type="dxa"/>
            <w:vAlign w:val="center"/>
          </w:tcPr>
          <w:p w14:paraId="5C12DA2A">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A486B40">
            <w:pPr>
              <w:jc w:val="both"/>
              <w:textAlignment w:val="center"/>
              <w:rPr>
                <w:rFonts w:ascii="宋体" w:hAnsi="宋体"/>
                <w:sz w:val="16"/>
                <w:szCs w:val="16"/>
              </w:rPr>
            </w:pPr>
            <w:r>
              <w:rPr>
                <w:rFonts w:ascii="宋体" w:hAnsi="宋体"/>
                <w:sz w:val="16"/>
                <w:szCs w:val="16"/>
              </w:rPr>
              <w:t>1</w:t>
            </w:r>
          </w:p>
        </w:tc>
        <w:tc>
          <w:tcPr>
            <w:tcW w:w="0" w:type="auto"/>
            <w:vAlign w:val="center"/>
          </w:tcPr>
          <w:p w14:paraId="274768F8">
            <w:pPr>
              <w:jc w:val="both"/>
              <w:textAlignment w:val="center"/>
              <w:rPr>
                <w:rFonts w:ascii="宋体" w:hAnsi="宋体" w:cstheme="minorEastAsia"/>
                <w:bCs/>
                <w:sz w:val="16"/>
                <w:szCs w:val="16"/>
                <w:highlight w:val="yellow"/>
              </w:rPr>
            </w:pPr>
          </w:p>
        </w:tc>
        <w:tc>
          <w:tcPr>
            <w:tcW w:w="0" w:type="auto"/>
            <w:vAlign w:val="center"/>
          </w:tcPr>
          <w:p w14:paraId="7992A917">
            <w:pPr>
              <w:jc w:val="both"/>
              <w:textAlignment w:val="center"/>
              <w:rPr>
                <w:rFonts w:ascii="宋体" w:hAnsi="宋体" w:cstheme="minorEastAsia"/>
                <w:bCs/>
                <w:sz w:val="16"/>
                <w:szCs w:val="16"/>
                <w:highlight w:val="yellow"/>
              </w:rPr>
            </w:pPr>
          </w:p>
        </w:tc>
        <w:tc>
          <w:tcPr>
            <w:tcW w:w="0" w:type="auto"/>
            <w:vAlign w:val="center"/>
          </w:tcPr>
          <w:p w14:paraId="0A6DBDA3">
            <w:pPr>
              <w:jc w:val="both"/>
              <w:textAlignment w:val="center"/>
              <w:rPr>
                <w:rFonts w:ascii="宋体" w:hAnsi="宋体" w:cstheme="minorEastAsia"/>
                <w:bCs/>
                <w:sz w:val="16"/>
                <w:szCs w:val="16"/>
                <w:highlight w:val="yellow"/>
              </w:rPr>
            </w:pPr>
          </w:p>
        </w:tc>
        <w:tc>
          <w:tcPr>
            <w:tcW w:w="0" w:type="auto"/>
            <w:shd w:val="clear" w:color="auto" w:fill="auto"/>
            <w:vAlign w:val="center"/>
          </w:tcPr>
          <w:p w14:paraId="2F10C772">
            <w:pPr>
              <w:snapToGrid w:val="0"/>
              <w:jc w:val="both"/>
              <w:rPr>
                <w:rFonts w:ascii="宋体" w:hAnsi="宋体" w:cstheme="minorEastAsia"/>
                <w:bCs/>
                <w:sz w:val="16"/>
                <w:szCs w:val="16"/>
              </w:rPr>
            </w:pPr>
          </w:p>
        </w:tc>
      </w:tr>
      <w:tr w14:paraId="3815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2B92D21">
            <w:pPr>
              <w:snapToGrid w:val="0"/>
              <w:jc w:val="both"/>
              <w:rPr>
                <w:rFonts w:ascii="宋体" w:hAnsi="宋体" w:cstheme="minorEastAsia"/>
                <w:bCs/>
                <w:sz w:val="16"/>
                <w:szCs w:val="16"/>
              </w:rPr>
            </w:pPr>
            <w:r>
              <w:rPr>
                <w:rFonts w:ascii="宋体" w:hAnsi="宋体"/>
                <w:sz w:val="16"/>
                <w:szCs w:val="16"/>
              </w:rPr>
              <w:t>2.4.4</w:t>
            </w:r>
          </w:p>
        </w:tc>
        <w:tc>
          <w:tcPr>
            <w:tcW w:w="1484" w:type="dxa"/>
            <w:tcBorders>
              <w:top w:val="single" w:color="auto" w:sz="4" w:space="0"/>
            </w:tcBorders>
            <w:vAlign w:val="center"/>
          </w:tcPr>
          <w:p w14:paraId="05050DFA">
            <w:pPr>
              <w:snapToGrid w:val="0"/>
              <w:jc w:val="both"/>
              <w:rPr>
                <w:rFonts w:ascii="宋体" w:hAnsi="宋体"/>
                <w:sz w:val="16"/>
                <w:szCs w:val="16"/>
              </w:rPr>
            </w:pPr>
            <w:r>
              <w:rPr>
                <w:rFonts w:hint="eastAsia" w:ascii="宋体" w:hAnsi="宋体"/>
                <w:sz w:val="16"/>
                <w:szCs w:val="16"/>
              </w:rPr>
              <w:t>风速仪</w:t>
            </w:r>
          </w:p>
        </w:tc>
        <w:tc>
          <w:tcPr>
            <w:tcW w:w="4601" w:type="dxa"/>
            <w:vAlign w:val="center"/>
          </w:tcPr>
          <w:p w14:paraId="2DF5F222">
            <w:pPr>
              <w:snapToGrid w:val="0"/>
              <w:jc w:val="both"/>
              <w:rPr>
                <w:rFonts w:ascii="宋体" w:hAnsi="宋体"/>
                <w:sz w:val="16"/>
                <w:szCs w:val="16"/>
              </w:rPr>
            </w:pPr>
            <w:r>
              <w:rPr>
                <w:rFonts w:ascii="宋体" w:hAnsi="宋体"/>
                <w:sz w:val="16"/>
                <w:szCs w:val="16"/>
              </w:rPr>
              <w:t>1</w:t>
            </w:r>
            <w:r>
              <w:rPr>
                <w:rFonts w:hint="eastAsia" w:ascii="宋体" w:hAnsi="宋体"/>
                <w:sz w:val="16"/>
                <w:szCs w:val="16"/>
              </w:rPr>
              <w:t>、测量范围：空气</w:t>
            </w:r>
            <w:r>
              <w:rPr>
                <w:rFonts w:ascii="宋体" w:hAnsi="宋体"/>
                <w:sz w:val="16"/>
                <w:szCs w:val="16"/>
              </w:rPr>
              <w:t>/</w:t>
            </w:r>
            <w:r>
              <w:rPr>
                <w:rFonts w:hint="eastAsia" w:ascii="宋体" w:hAnsi="宋体"/>
                <w:sz w:val="16"/>
                <w:szCs w:val="16"/>
              </w:rPr>
              <w:t>气体</w:t>
            </w:r>
            <w:r>
              <w:rPr>
                <w:rFonts w:ascii="宋体" w:hAnsi="宋体"/>
                <w:sz w:val="16"/>
                <w:szCs w:val="16"/>
              </w:rPr>
              <w:t>:0.5</w:t>
            </w:r>
            <w:r>
              <w:rPr>
                <w:rFonts w:hint="eastAsia" w:ascii="宋体" w:hAnsi="宋体"/>
                <w:sz w:val="16"/>
                <w:szCs w:val="16"/>
              </w:rPr>
              <w:t>…</w:t>
            </w:r>
            <w:r>
              <w:rPr>
                <w:rFonts w:ascii="宋体" w:hAnsi="宋体"/>
                <w:sz w:val="16"/>
                <w:szCs w:val="16"/>
              </w:rPr>
              <w:t>40</w:t>
            </w:r>
            <w:r>
              <w:rPr>
                <w:rFonts w:hint="eastAsia" w:ascii="宋体" w:hAnsi="宋体"/>
                <w:sz w:val="16"/>
                <w:szCs w:val="16"/>
              </w:rPr>
              <w:t>米</w:t>
            </w:r>
            <w:r>
              <w:rPr>
                <w:rFonts w:ascii="宋体" w:hAnsi="宋体"/>
                <w:sz w:val="16"/>
                <w:szCs w:val="16"/>
              </w:rPr>
              <w:t>/</w:t>
            </w:r>
            <w:r>
              <w:rPr>
                <w:rFonts w:hint="eastAsia" w:ascii="宋体" w:hAnsi="宋体"/>
                <w:sz w:val="16"/>
                <w:szCs w:val="16"/>
              </w:rPr>
              <w:t>秒</w:t>
            </w:r>
            <w:r>
              <w:rPr>
                <w:rFonts w:ascii="宋体" w:hAnsi="宋体"/>
                <w:sz w:val="16"/>
                <w:szCs w:val="16"/>
              </w:rPr>
              <w:t>,</w:t>
            </w:r>
            <w:r>
              <w:rPr>
                <w:rFonts w:hint="eastAsia" w:ascii="宋体" w:hAnsi="宋体"/>
                <w:sz w:val="16"/>
                <w:szCs w:val="16"/>
              </w:rPr>
              <w:t>实际流速</w:t>
            </w:r>
            <w:r>
              <w:rPr>
                <w:rFonts w:ascii="宋体" w:hAnsi="宋体"/>
                <w:sz w:val="16"/>
                <w:szCs w:val="16"/>
              </w:rPr>
              <w:br w:type="textWrapping"/>
            </w:r>
            <w:r>
              <w:rPr>
                <w:rFonts w:ascii="宋体" w:hAnsi="宋体"/>
                <w:sz w:val="16"/>
                <w:szCs w:val="16"/>
              </w:rPr>
              <w:t>2</w:t>
            </w:r>
            <w:r>
              <w:rPr>
                <w:rFonts w:hint="eastAsia" w:ascii="宋体" w:hAnsi="宋体"/>
                <w:sz w:val="16"/>
                <w:szCs w:val="16"/>
              </w:rPr>
              <w:t>、工作温度范围</w:t>
            </w:r>
            <w:r>
              <w:rPr>
                <w:rFonts w:ascii="宋体" w:hAnsi="宋体"/>
                <w:sz w:val="16"/>
                <w:szCs w:val="16"/>
              </w:rPr>
              <w:t>:-20</w:t>
            </w:r>
            <w:r>
              <w:rPr>
                <w:rFonts w:hint="eastAsia" w:ascii="宋体" w:hAnsi="宋体"/>
                <w:sz w:val="16"/>
                <w:szCs w:val="16"/>
              </w:rPr>
              <w:t>°</w:t>
            </w:r>
            <w:r>
              <w:rPr>
                <w:rFonts w:ascii="宋体" w:hAnsi="宋体"/>
                <w:sz w:val="16"/>
                <w:szCs w:val="16"/>
              </w:rPr>
              <w:t>C</w:t>
            </w:r>
            <w:r>
              <w:rPr>
                <w:rFonts w:hint="eastAsia" w:ascii="宋体" w:hAnsi="宋体"/>
                <w:sz w:val="16"/>
                <w:szCs w:val="16"/>
              </w:rPr>
              <w:t>…</w:t>
            </w:r>
            <w:r>
              <w:rPr>
                <w:rFonts w:ascii="宋体" w:hAnsi="宋体"/>
                <w:sz w:val="16"/>
                <w:szCs w:val="16"/>
              </w:rPr>
              <w:t>+ 180</w:t>
            </w:r>
            <w:r>
              <w:rPr>
                <w:rFonts w:hint="eastAsia" w:ascii="宋体" w:hAnsi="宋体"/>
                <w:sz w:val="16"/>
                <w:szCs w:val="16"/>
              </w:rPr>
              <w:t>°</w:t>
            </w:r>
            <w:r>
              <w:rPr>
                <w:rFonts w:ascii="宋体" w:hAnsi="宋体"/>
                <w:sz w:val="16"/>
                <w:szCs w:val="16"/>
              </w:rPr>
              <w:t>C</w:t>
            </w:r>
            <w:r>
              <w:rPr>
                <w:rFonts w:ascii="宋体" w:hAnsi="宋体"/>
                <w:sz w:val="16"/>
                <w:szCs w:val="16"/>
              </w:rPr>
              <w:br w:type="textWrapping"/>
            </w:r>
            <w:r>
              <w:rPr>
                <w:rFonts w:ascii="宋体" w:hAnsi="宋体"/>
                <w:sz w:val="16"/>
                <w:szCs w:val="16"/>
              </w:rPr>
              <w:t>3</w:t>
            </w:r>
            <w:r>
              <w:rPr>
                <w:rFonts w:hint="eastAsia" w:ascii="宋体" w:hAnsi="宋体"/>
                <w:sz w:val="16"/>
                <w:szCs w:val="16"/>
              </w:rPr>
              <w:t>、最大工作压力：耐压达到</w:t>
            </w:r>
            <w:r>
              <w:rPr>
                <w:rFonts w:ascii="宋体" w:hAnsi="宋体"/>
                <w:sz w:val="16"/>
                <w:szCs w:val="16"/>
              </w:rPr>
              <w:t xml:space="preserve"> 3 bar / 300KPa </w:t>
            </w:r>
            <w:r>
              <w:rPr>
                <w:rFonts w:hint="eastAsia" w:ascii="宋体" w:hAnsi="宋体"/>
                <w:sz w:val="16"/>
                <w:szCs w:val="16"/>
              </w:rPr>
              <w:t>表压</w:t>
            </w:r>
            <w:r>
              <w:rPr>
                <w:rFonts w:ascii="宋体" w:hAnsi="宋体"/>
                <w:sz w:val="16"/>
                <w:szCs w:val="16"/>
              </w:rPr>
              <w:br w:type="textWrapping"/>
            </w:r>
            <w:r>
              <w:rPr>
                <w:rFonts w:ascii="宋体" w:hAnsi="宋体"/>
                <w:sz w:val="16"/>
                <w:szCs w:val="16"/>
              </w:rPr>
              <w:t>4</w:t>
            </w:r>
            <w:r>
              <w:rPr>
                <w:rFonts w:hint="eastAsia" w:ascii="宋体" w:hAnsi="宋体"/>
                <w:sz w:val="16"/>
                <w:szCs w:val="16"/>
              </w:rPr>
              <w:t>、材料</w:t>
            </w:r>
            <w:r>
              <w:rPr>
                <w:rFonts w:ascii="宋体" w:hAnsi="宋体"/>
                <w:sz w:val="16"/>
                <w:szCs w:val="16"/>
              </w:rPr>
              <w:t>:</w:t>
            </w:r>
            <w:r>
              <w:rPr>
                <w:rFonts w:hint="eastAsia" w:ascii="宋体" w:hAnsi="宋体"/>
                <w:sz w:val="16"/>
                <w:szCs w:val="16"/>
              </w:rPr>
              <w:t>不锈钢、陶瓷、</w:t>
            </w:r>
            <w:r>
              <w:rPr>
                <w:rFonts w:ascii="宋体" w:hAnsi="宋体"/>
                <w:sz w:val="16"/>
                <w:szCs w:val="16"/>
              </w:rPr>
              <w:br w:type="textWrapping"/>
            </w:r>
            <w:r>
              <w:rPr>
                <w:rFonts w:ascii="宋体" w:hAnsi="宋体"/>
                <w:sz w:val="16"/>
                <w:szCs w:val="16"/>
              </w:rPr>
              <w:t>5</w:t>
            </w:r>
            <w:r>
              <w:rPr>
                <w:rFonts w:hint="eastAsia" w:ascii="宋体" w:hAnsi="宋体"/>
                <w:sz w:val="16"/>
                <w:szCs w:val="16"/>
              </w:rPr>
              <w:t>、传感器：</w:t>
            </w:r>
            <w:r>
              <w:rPr>
                <w:rFonts w:ascii="宋体" w:hAnsi="宋体"/>
                <w:sz w:val="16"/>
                <w:szCs w:val="16"/>
              </w:rPr>
              <w:t>1.4581</w:t>
            </w:r>
            <w:r>
              <w:rPr>
                <w:rFonts w:ascii="宋体" w:hAnsi="宋体"/>
                <w:sz w:val="16"/>
                <w:szCs w:val="16"/>
              </w:rPr>
              <w:br w:type="textWrapping"/>
            </w:r>
            <w:r>
              <w:rPr>
                <w:rFonts w:ascii="宋体" w:hAnsi="宋体"/>
                <w:sz w:val="16"/>
                <w:szCs w:val="16"/>
              </w:rPr>
              <w:t>6</w:t>
            </w:r>
            <w:r>
              <w:rPr>
                <w:rFonts w:hint="eastAsia" w:ascii="宋体" w:hAnsi="宋体"/>
                <w:sz w:val="16"/>
                <w:szCs w:val="16"/>
              </w:rPr>
              <w:t>、取样管：</w:t>
            </w:r>
            <w:r>
              <w:rPr>
                <w:rFonts w:ascii="宋体" w:hAnsi="宋体"/>
                <w:sz w:val="16"/>
                <w:szCs w:val="16"/>
              </w:rPr>
              <w:t>1.4404</w:t>
            </w:r>
            <w:r>
              <w:rPr>
                <w:rFonts w:ascii="宋体" w:hAnsi="宋体"/>
                <w:sz w:val="16"/>
                <w:szCs w:val="16"/>
              </w:rPr>
              <w:br w:type="textWrapping"/>
            </w:r>
            <w:r>
              <w:rPr>
                <w:rFonts w:ascii="宋体" w:hAnsi="宋体"/>
                <w:sz w:val="16"/>
                <w:szCs w:val="16"/>
              </w:rPr>
              <w:t>7</w:t>
            </w:r>
            <w:r>
              <w:rPr>
                <w:rFonts w:hint="eastAsia" w:ascii="宋体" w:hAnsi="宋体"/>
                <w:sz w:val="16"/>
                <w:szCs w:val="16"/>
              </w:rPr>
              <w:t>、安装长度</w:t>
            </w:r>
            <w:r>
              <w:rPr>
                <w:rFonts w:ascii="宋体" w:hAnsi="宋体"/>
                <w:sz w:val="16"/>
                <w:szCs w:val="16"/>
              </w:rPr>
              <w:t>:500</w:t>
            </w:r>
            <w:r>
              <w:rPr>
                <w:rFonts w:hint="eastAsia" w:ascii="宋体" w:hAnsi="宋体"/>
                <w:sz w:val="16"/>
                <w:szCs w:val="16"/>
              </w:rPr>
              <w:t>毫米固定长度</w:t>
            </w:r>
            <w:r>
              <w:rPr>
                <w:rFonts w:ascii="宋体" w:hAnsi="宋体"/>
                <w:sz w:val="16"/>
                <w:szCs w:val="16"/>
              </w:rPr>
              <w:br w:type="textWrapping"/>
            </w:r>
            <w:r>
              <w:rPr>
                <w:rFonts w:ascii="宋体" w:hAnsi="宋体"/>
                <w:sz w:val="16"/>
                <w:szCs w:val="16"/>
              </w:rPr>
              <w:t>8</w:t>
            </w:r>
            <w:r>
              <w:rPr>
                <w:rFonts w:hint="eastAsia" w:ascii="宋体" w:hAnsi="宋体"/>
                <w:sz w:val="16"/>
                <w:szCs w:val="16"/>
              </w:rPr>
              <w:t>、连接器</w:t>
            </w:r>
            <w:r>
              <w:rPr>
                <w:rFonts w:ascii="宋体" w:hAnsi="宋体"/>
                <w:sz w:val="16"/>
                <w:szCs w:val="16"/>
              </w:rPr>
              <w:t>:AS80, L</w:t>
            </w:r>
            <w:r>
              <w:rPr>
                <w:rFonts w:hint="eastAsia" w:ascii="宋体" w:hAnsi="宋体"/>
                <w:sz w:val="16"/>
                <w:szCs w:val="16"/>
              </w:rPr>
              <w:t>•</w:t>
            </w:r>
            <w:r>
              <w:rPr>
                <w:rFonts w:ascii="宋体" w:hAnsi="宋体"/>
                <w:sz w:val="16"/>
                <w:szCs w:val="16"/>
              </w:rPr>
              <w:t>W</w:t>
            </w:r>
            <w:r>
              <w:rPr>
                <w:rFonts w:hint="eastAsia" w:ascii="宋体" w:hAnsi="宋体"/>
                <w:sz w:val="16"/>
                <w:szCs w:val="16"/>
              </w:rPr>
              <w:t>•</w:t>
            </w:r>
            <w:r>
              <w:rPr>
                <w:rFonts w:ascii="宋体" w:hAnsi="宋体"/>
                <w:sz w:val="16"/>
                <w:szCs w:val="16"/>
              </w:rPr>
              <w:t>H = 80 x 80 x 60</w:t>
            </w:r>
            <w:r>
              <w:rPr>
                <w:rFonts w:hint="eastAsia" w:ascii="宋体" w:hAnsi="宋体"/>
                <w:sz w:val="16"/>
                <w:szCs w:val="16"/>
              </w:rPr>
              <w:t>毫米</w:t>
            </w:r>
            <w:r>
              <w:rPr>
                <w:rFonts w:ascii="宋体" w:hAnsi="宋体"/>
                <w:sz w:val="16"/>
                <w:szCs w:val="16"/>
              </w:rPr>
              <w:br w:type="textWrapping"/>
            </w:r>
            <w:r>
              <w:rPr>
                <w:rFonts w:ascii="宋体" w:hAnsi="宋体"/>
                <w:sz w:val="16"/>
                <w:szCs w:val="16"/>
              </w:rPr>
              <w:t>9</w:t>
            </w:r>
            <w:r>
              <w:rPr>
                <w:rFonts w:hint="eastAsia" w:ascii="宋体" w:hAnsi="宋体"/>
                <w:sz w:val="16"/>
                <w:szCs w:val="16"/>
              </w:rPr>
              <w:t>、系统保护等级</w:t>
            </w:r>
            <w:r>
              <w:rPr>
                <w:rFonts w:ascii="宋体" w:hAnsi="宋体"/>
                <w:sz w:val="16"/>
                <w:szCs w:val="16"/>
              </w:rPr>
              <w:t>:</w:t>
            </w:r>
            <w:r>
              <w:rPr>
                <w:rFonts w:hint="eastAsia" w:ascii="宋体" w:hAnsi="宋体"/>
                <w:sz w:val="16"/>
                <w:szCs w:val="16"/>
              </w:rPr>
              <w:t>传感器</w:t>
            </w:r>
            <w:r>
              <w:rPr>
                <w:rFonts w:ascii="宋体" w:hAnsi="宋体"/>
                <w:sz w:val="16"/>
                <w:szCs w:val="16"/>
              </w:rPr>
              <w:t>IP68</w:t>
            </w:r>
            <w:r>
              <w:rPr>
                <w:rFonts w:ascii="宋体" w:hAnsi="宋体"/>
                <w:sz w:val="16"/>
                <w:szCs w:val="16"/>
              </w:rPr>
              <w:br w:type="textWrapping"/>
            </w:r>
            <w:r>
              <w:rPr>
                <w:rFonts w:ascii="宋体" w:hAnsi="宋体"/>
                <w:sz w:val="16"/>
                <w:szCs w:val="16"/>
              </w:rPr>
              <w:t>10</w:t>
            </w:r>
            <w:r>
              <w:rPr>
                <w:rFonts w:hint="eastAsia" w:ascii="宋体" w:hAnsi="宋体"/>
                <w:sz w:val="16"/>
                <w:szCs w:val="16"/>
              </w:rPr>
              <w:t>、连接器：</w:t>
            </w:r>
            <w:r>
              <w:rPr>
                <w:rFonts w:ascii="宋体" w:hAnsi="宋体"/>
                <w:sz w:val="16"/>
                <w:szCs w:val="16"/>
              </w:rPr>
              <w:t>IP65</w:t>
            </w:r>
          </w:p>
        </w:tc>
        <w:tc>
          <w:tcPr>
            <w:tcW w:w="2022" w:type="dxa"/>
            <w:vAlign w:val="center"/>
          </w:tcPr>
          <w:p w14:paraId="4F56D2AD">
            <w:pPr>
              <w:snapToGrid w:val="0"/>
              <w:jc w:val="both"/>
              <w:rPr>
                <w:rFonts w:ascii="宋体" w:hAnsi="宋体" w:cstheme="minorEastAsia"/>
                <w:bCs/>
                <w:sz w:val="16"/>
                <w:szCs w:val="16"/>
              </w:rPr>
            </w:pPr>
          </w:p>
        </w:tc>
        <w:tc>
          <w:tcPr>
            <w:tcW w:w="0" w:type="auto"/>
            <w:vAlign w:val="center"/>
          </w:tcPr>
          <w:p w14:paraId="50DD05E5">
            <w:pPr>
              <w:jc w:val="both"/>
              <w:textAlignment w:val="center"/>
              <w:rPr>
                <w:rFonts w:ascii="宋体" w:hAnsi="宋体" w:cstheme="minorEastAsia"/>
                <w:bCs/>
                <w:sz w:val="16"/>
                <w:szCs w:val="16"/>
              </w:rPr>
            </w:pPr>
          </w:p>
        </w:tc>
        <w:tc>
          <w:tcPr>
            <w:tcW w:w="0" w:type="auto"/>
            <w:vAlign w:val="center"/>
          </w:tcPr>
          <w:p w14:paraId="4A38143B">
            <w:pPr>
              <w:jc w:val="both"/>
              <w:textAlignment w:val="center"/>
              <w:rPr>
                <w:rFonts w:ascii="宋体" w:hAnsi="宋体" w:cstheme="minorEastAsia"/>
                <w:bCs/>
                <w:sz w:val="16"/>
                <w:szCs w:val="16"/>
              </w:rPr>
            </w:pPr>
          </w:p>
        </w:tc>
        <w:tc>
          <w:tcPr>
            <w:tcW w:w="1016" w:type="dxa"/>
            <w:vAlign w:val="center"/>
          </w:tcPr>
          <w:p w14:paraId="646D06CE">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45AAF1D7">
            <w:pPr>
              <w:jc w:val="both"/>
              <w:textAlignment w:val="center"/>
              <w:rPr>
                <w:rFonts w:ascii="宋体" w:hAnsi="宋体"/>
                <w:sz w:val="16"/>
                <w:szCs w:val="16"/>
              </w:rPr>
            </w:pPr>
            <w:r>
              <w:rPr>
                <w:rFonts w:ascii="宋体" w:hAnsi="宋体"/>
                <w:sz w:val="16"/>
                <w:szCs w:val="16"/>
              </w:rPr>
              <w:t>1</w:t>
            </w:r>
          </w:p>
        </w:tc>
        <w:tc>
          <w:tcPr>
            <w:tcW w:w="0" w:type="auto"/>
            <w:vAlign w:val="center"/>
          </w:tcPr>
          <w:p w14:paraId="4A0C9940">
            <w:pPr>
              <w:jc w:val="both"/>
              <w:textAlignment w:val="center"/>
              <w:rPr>
                <w:rFonts w:ascii="宋体" w:hAnsi="宋体" w:cstheme="minorEastAsia"/>
                <w:bCs/>
                <w:sz w:val="16"/>
                <w:szCs w:val="16"/>
                <w:highlight w:val="yellow"/>
              </w:rPr>
            </w:pPr>
          </w:p>
        </w:tc>
        <w:tc>
          <w:tcPr>
            <w:tcW w:w="0" w:type="auto"/>
            <w:vAlign w:val="center"/>
          </w:tcPr>
          <w:p w14:paraId="6060056A">
            <w:pPr>
              <w:jc w:val="both"/>
              <w:textAlignment w:val="center"/>
              <w:rPr>
                <w:rFonts w:ascii="宋体" w:hAnsi="宋体" w:cstheme="minorEastAsia"/>
                <w:bCs/>
                <w:sz w:val="16"/>
                <w:szCs w:val="16"/>
                <w:highlight w:val="yellow"/>
              </w:rPr>
            </w:pPr>
          </w:p>
        </w:tc>
        <w:tc>
          <w:tcPr>
            <w:tcW w:w="0" w:type="auto"/>
            <w:vAlign w:val="center"/>
          </w:tcPr>
          <w:p w14:paraId="5EBC9331">
            <w:pPr>
              <w:jc w:val="both"/>
              <w:textAlignment w:val="center"/>
              <w:rPr>
                <w:rFonts w:ascii="宋体" w:hAnsi="宋体" w:cstheme="minorEastAsia"/>
                <w:bCs/>
                <w:sz w:val="16"/>
                <w:szCs w:val="16"/>
                <w:highlight w:val="yellow"/>
              </w:rPr>
            </w:pPr>
          </w:p>
        </w:tc>
        <w:tc>
          <w:tcPr>
            <w:tcW w:w="0" w:type="auto"/>
            <w:shd w:val="clear" w:color="auto" w:fill="auto"/>
            <w:vAlign w:val="center"/>
          </w:tcPr>
          <w:p w14:paraId="036796EC">
            <w:pPr>
              <w:snapToGrid w:val="0"/>
              <w:jc w:val="both"/>
              <w:rPr>
                <w:rFonts w:ascii="宋体" w:hAnsi="宋体" w:cstheme="minorEastAsia"/>
                <w:bCs/>
                <w:sz w:val="16"/>
                <w:szCs w:val="16"/>
              </w:rPr>
            </w:pPr>
          </w:p>
        </w:tc>
      </w:tr>
      <w:tr w14:paraId="010A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BE4F628">
            <w:pPr>
              <w:snapToGrid w:val="0"/>
              <w:jc w:val="both"/>
              <w:rPr>
                <w:rFonts w:ascii="宋体" w:hAnsi="宋体" w:cstheme="minorEastAsia"/>
                <w:bCs/>
                <w:sz w:val="16"/>
                <w:szCs w:val="16"/>
              </w:rPr>
            </w:pPr>
            <w:r>
              <w:rPr>
                <w:rFonts w:ascii="宋体" w:hAnsi="宋体"/>
                <w:sz w:val="16"/>
                <w:szCs w:val="16"/>
              </w:rPr>
              <w:t>2.4.5</w:t>
            </w:r>
          </w:p>
        </w:tc>
        <w:tc>
          <w:tcPr>
            <w:tcW w:w="1484" w:type="dxa"/>
            <w:tcBorders>
              <w:top w:val="single" w:color="auto" w:sz="4" w:space="0"/>
            </w:tcBorders>
            <w:vAlign w:val="center"/>
          </w:tcPr>
          <w:p w14:paraId="09C42225">
            <w:pPr>
              <w:snapToGrid w:val="0"/>
              <w:jc w:val="both"/>
              <w:rPr>
                <w:rFonts w:ascii="宋体" w:hAnsi="宋体"/>
                <w:sz w:val="16"/>
                <w:szCs w:val="16"/>
              </w:rPr>
            </w:pPr>
            <w:r>
              <w:rPr>
                <w:rFonts w:hint="eastAsia" w:ascii="宋体" w:hAnsi="宋体"/>
                <w:sz w:val="16"/>
                <w:szCs w:val="16"/>
              </w:rPr>
              <w:t>温湿度变送器</w:t>
            </w:r>
          </w:p>
        </w:tc>
        <w:tc>
          <w:tcPr>
            <w:tcW w:w="4601" w:type="dxa"/>
            <w:vAlign w:val="center"/>
          </w:tcPr>
          <w:p w14:paraId="445E8F1A">
            <w:pPr>
              <w:snapToGrid w:val="0"/>
              <w:jc w:val="both"/>
              <w:rPr>
                <w:rFonts w:ascii="宋体" w:hAnsi="宋体"/>
                <w:sz w:val="16"/>
                <w:szCs w:val="16"/>
              </w:rPr>
            </w:pPr>
            <w:r>
              <w:rPr>
                <w:rFonts w:hint="eastAsia" w:ascii="宋体" w:hAnsi="宋体"/>
                <w:sz w:val="16"/>
                <w:szCs w:val="16"/>
              </w:rPr>
              <w:t>壁挂，相对湿度：</w:t>
            </w:r>
            <w:r>
              <w:rPr>
                <w:rFonts w:ascii="宋体" w:hAnsi="宋体"/>
                <w:sz w:val="16"/>
                <w:szCs w:val="16"/>
              </w:rPr>
              <w:t>1.</w:t>
            </w:r>
            <w:r>
              <w:rPr>
                <w:rFonts w:hint="eastAsia" w:ascii="宋体" w:hAnsi="宋体"/>
                <w:sz w:val="16"/>
                <w:szCs w:val="16"/>
              </w:rPr>
              <w:t>量程：</w:t>
            </w:r>
            <w:r>
              <w:rPr>
                <w:rFonts w:ascii="宋体" w:hAnsi="宋体"/>
                <w:sz w:val="16"/>
                <w:szCs w:val="16"/>
              </w:rPr>
              <w:t>0~100%RH</w:t>
            </w:r>
            <w:r>
              <w:rPr>
                <w:rFonts w:hint="eastAsia" w:ascii="宋体" w:hAnsi="宋体"/>
                <w:sz w:val="16"/>
                <w:szCs w:val="16"/>
              </w:rPr>
              <w:t>；</w:t>
            </w:r>
            <w:r>
              <w:rPr>
                <w:rFonts w:ascii="宋体" w:hAnsi="宋体"/>
                <w:sz w:val="16"/>
                <w:szCs w:val="16"/>
              </w:rPr>
              <w:t>2.</w:t>
            </w:r>
            <w:r>
              <w:rPr>
                <w:rFonts w:hint="eastAsia" w:ascii="宋体" w:hAnsi="宋体"/>
                <w:sz w:val="16"/>
                <w:szCs w:val="16"/>
              </w:rPr>
              <w:t>准确度</w:t>
            </w:r>
            <w:r>
              <w:rPr>
                <w:rFonts w:ascii="宋体" w:hAnsi="宋体"/>
                <w:sz w:val="16"/>
                <w:szCs w:val="16"/>
              </w:rPr>
              <w:t>(</w:t>
            </w:r>
            <w:r>
              <w:rPr>
                <w:rFonts w:hint="eastAsia" w:ascii="宋体" w:hAnsi="宋体"/>
                <w:sz w:val="16"/>
                <w:szCs w:val="16"/>
              </w:rPr>
              <w:t>包括非线性度，迟滞和重复性）：±</w:t>
            </w:r>
            <w:r>
              <w:rPr>
                <w:rFonts w:ascii="宋体" w:hAnsi="宋体"/>
                <w:sz w:val="16"/>
                <w:szCs w:val="16"/>
              </w:rPr>
              <w:t>3%RH;3.</w:t>
            </w:r>
            <w:r>
              <w:rPr>
                <w:rFonts w:hint="eastAsia" w:ascii="宋体" w:hAnsi="宋体"/>
                <w:sz w:val="16"/>
                <w:szCs w:val="16"/>
              </w:rPr>
              <w:t>分辨率：</w:t>
            </w:r>
            <w:r>
              <w:rPr>
                <w:rFonts w:ascii="宋体" w:hAnsi="宋体"/>
                <w:sz w:val="16"/>
                <w:szCs w:val="16"/>
              </w:rPr>
              <w:t>0.1%RH</w:t>
            </w:r>
            <w:r>
              <w:rPr>
                <w:rFonts w:ascii="宋体" w:hAnsi="宋体"/>
                <w:sz w:val="16"/>
                <w:szCs w:val="16"/>
              </w:rPr>
              <w:br w:type="textWrapping"/>
            </w:r>
            <w:r>
              <w:rPr>
                <w:rFonts w:hint="eastAsia" w:ascii="宋体" w:hAnsi="宋体"/>
                <w:sz w:val="16"/>
                <w:szCs w:val="16"/>
              </w:rPr>
              <w:t>温度</w:t>
            </w:r>
            <w:r>
              <w:rPr>
                <w:rFonts w:ascii="宋体" w:hAnsi="宋体"/>
                <w:sz w:val="16"/>
                <w:szCs w:val="16"/>
              </w:rPr>
              <w:t>:1.</w:t>
            </w:r>
            <w:r>
              <w:rPr>
                <w:rFonts w:hint="eastAsia" w:ascii="宋体" w:hAnsi="宋体"/>
                <w:sz w:val="16"/>
                <w:szCs w:val="16"/>
              </w:rPr>
              <w:t>量程</w:t>
            </w:r>
            <w:r>
              <w:rPr>
                <w:rFonts w:ascii="宋体" w:hAnsi="宋体"/>
                <w:sz w:val="16"/>
                <w:szCs w:val="16"/>
              </w:rPr>
              <w:t>(</w:t>
            </w:r>
            <w:r>
              <w:rPr>
                <w:rFonts w:hint="eastAsia" w:ascii="宋体" w:hAnsi="宋体"/>
                <w:sz w:val="16"/>
                <w:szCs w:val="16"/>
              </w:rPr>
              <w:t>可通过拔码开关设置</w:t>
            </w:r>
            <w:r>
              <w:rPr>
                <w:rFonts w:ascii="宋体" w:hAnsi="宋体"/>
                <w:sz w:val="16"/>
                <w:szCs w:val="16"/>
              </w:rPr>
              <w:t>)</w:t>
            </w:r>
            <w:r>
              <w:rPr>
                <w:rFonts w:hint="eastAsia" w:ascii="宋体" w:hAnsi="宋体"/>
                <w:sz w:val="16"/>
                <w:szCs w:val="16"/>
              </w:rPr>
              <w:t>：</w:t>
            </w:r>
            <w:r>
              <w:rPr>
                <w:rFonts w:ascii="宋体" w:hAnsi="宋体"/>
                <w:sz w:val="16"/>
                <w:szCs w:val="16"/>
              </w:rPr>
              <w:t>0~+50</w:t>
            </w:r>
            <w:r>
              <w:rPr>
                <w:rFonts w:hint="eastAsia" w:ascii="宋体" w:hAnsi="宋体"/>
                <w:sz w:val="16"/>
                <w:szCs w:val="16"/>
              </w:rPr>
              <w:t>℃</w:t>
            </w:r>
            <w:r>
              <w:rPr>
                <w:rFonts w:ascii="宋体" w:hAnsi="宋体"/>
                <w:sz w:val="16"/>
                <w:szCs w:val="16"/>
              </w:rPr>
              <w:t>/ -20~+80</w:t>
            </w:r>
            <w:r>
              <w:rPr>
                <w:rFonts w:hint="eastAsia" w:ascii="宋体" w:hAnsi="宋体"/>
                <w:sz w:val="16"/>
                <w:szCs w:val="16"/>
              </w:rPr>
              <w:t>℃</w:t>
            </w:r>
            <w:r>
              <w:rPr>
                <w:rFonts w:ascii="宋体" w:hAnsi="宋体"/>
                <w:sz w:val="16"/>
                <w:szCs w:val="16"/>
              </w:rPr>
              <w:t>/ -40~+60</w:t>
            </w:r>
            <w:r>
              <w:rPr>
                <w:rFonts w:hint="eastAsia" w:ascii="宋体" w:hAnsi="宋体"/>
                <w:sz w:val="16"/>
                <w:szCs w:val="16"/>
              </w:rPr>
              <w:t>℃</w:t>
            </w:r>
            <w:r>
              <w:rPr>
                <w:rFonts w:ascii="宋体" w:hAnsi="宋体"/>
                <w:sz w:val="16"/>
                <w:szCs w:val="16"/>
              </w:rPr>
              <w:t>/</w:t>
            </w:r>
            <w:r>
              <w:rPr>
                <w:rFonts w:hint="eastAsia" w:ascii="宋体" w:hAnsi="宋体"/>
                <w:sz w:val="16"/>
                <w:szCs w:val="16"/>
              </w:rPr>
              <w:t>客户定制</w:t>
            </w:r>
            <w:r>
              <w:rPr>
                <w:rFonts w:ascii="宋体" w:hAnsi="宋体"/>
                <w:sz w:val="16"/>
                <w:szCs w:val="16"/>
              </w:rPr>
              <w:t>;2.</w:t>
            </w:r>
            <w:r>
              <w:rPr>
                <w:rFonts w:hint="eastAsia" w:ascii="宋体" w:hAnsi="宋体"/>
                <w:sz w:val="16"/>
                <w:szCs w:val="16"/>
              </w:rPr>
              <w:t>准确度：±</w:t>
            </w:r>
            <w:r>
              <w:rPr>
                <w:rFonts w:ascii="宋体" w:hAnsi="宋体"/>
                <w:sz w:val="16"/>
                <w:szCs w:val="16"/>
              </w:rPr>
              <w:t>0.3</w:t>
            </w:r>
            <w:r>
              <w:rPr>
                <w:rFonts w:hint="eastAsia" w:ascii="宋体" w:hAnsi="宋体"/>
                <w:sz w:val="16"/>
                <w:szCs w:val="16"/>
              </w:rPr>
              <w:t>℃（典型值）</w:t>
            </w:r>
            <w:r>
              <w:rPr>
                <w:rFonts w:ascii="宋体" w:hAnsi="宋体"/>
                <w:sz w:val="16"/>
                <w:szCs w:val="16"/>
              </w:rPr>
              <w:t>;3.</w:t>
            </w:r>
            <w:r>
              <w:rPr>
                <w:rFonts w:hint="eastAsia" w:ascii="宋体" w:hAnsi="宋体"/>
                <w:sz w:val="16"/>
                <w:szCs w:val="16"/>
              </w:rPr>
              <w:t>分辨率：</w:t>
            </w:r>
            <w:r>
              <w:rPr>
                <w:rFonts w:ascii="宋体" w:hAnsi="宋体"/>
                <w:sz w:val="16"/>
                <w:szCs w:val="16"/>
              </w:rPr>
              <w:t>0.1</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工作电压：</w:t>
            </w:r>
            <w:r>
              <w:rPr>
                <w:rFonts w:ascii="宋体" w:hAnsi="宋体"/>
                <w:sz w:val="16"/>
                <w:szCs w:val="16"/>
              </w:rPr>
              <w:t>12~36VDC</w:t>
            </w:r>
            <w:r>
              <w:rPr>
                <w:rFonts w:ascii="宋体" w:hAnsi="宋体"/>
                <w:sz w:val="16"/>
                <w:szCs w:val="16"/>
              </w:rPr>
              <w:br w:type="textWrapping"/>
            </w:r>
            <w:r>
              <w:rPr>
                <w:rFonts w:hint="eastAsia" w:ascii="宋体" w:hAnsi="宋体"/>
                <w:sz w:val="16"/>
                <w:szCs w:val="16"/>
              </w:rPr>
              <w:t>输出信号：</w:t>
            </w:r>
            <w:r>
              <w:rPr>
                <w:rFonts w:ascii="宋体" w:hAnsi="宋体"/>
                <w:sz w:val="16"/>
                <w:szCs w:val="16"/>
              </w:rPr>
              <w:t>4-20mA</w:t>
            </w:r>
            <w:r>
              <w:rPr>
                <w:rFonts w:hint="eastAsia" w:ascii="宋体" w:hAnsi="宋体"/>
                <w:sz w:val="16"/>
                <w:szCs w:val="16"/>
              </w:rPr>
              <w:t>；</w:t>
            </w:r>
          </w:p>
        </w:tc>
        <w:tc>
          <w:tcPr>
            <w:tcW w:w="2022" w:type="dxa"/>
            <w:vAlign w:val="center"/>
          </w:tcPr>
          <w:p w14:paraId="7AA4B1FB">
            <w:pPr>
              <w:snapToGrid w:val="0"/>
              <w:jc w:val="both"/>
              <w:rPr>
                <w:rFonts w:ascii="宋体" w:hAnsi="宋体" w:cstheme="minorEastAsia"/>
                <w:bCs/>
                <w:sz w:val="16"/>
                <w:szCs w:val="16"/>
              </w:rPr>
            </w:pPr>
          </w:p>
        </w:tc>
        <w:tc>
          <w:tcPr>
            <w:tcW w:w="0" w:type="auto"/>
            <w:vAlign w:val="center"/>
          </w:tcPr>
          <w:p w14:paraId="1B4CECB6">
            <w:pPr>
              <w:jc w:val="both"/>
              <w:textAlignment w:val="center"/>
              <w:rPr>
                <w:rFonts w:ascii="宋体" w:hAnsi="宋体" w:cstheme="minorEastAsia"/>
                <w:bCs/>
                <w:sz w:val="16"/>
                <w:szCs w:val="16"/>
              </w:rPr>
            </w:pPr>
          </w:p>
        </w:tc>
        <w:tc>
          <w:tcPr>
            <w:tcW w:w="0" w:type="auto"/>
            <w:vAlign w:val="center"/>
          </w:tcPr>
          <w:p w14:paraId="7121C5C6">
            <w:pPr>
              <w:jc w:val="both"/>
              <w:textAlignment w:val="center"/>
              <w:rPr>
                <w:rFonts w:ascii="宋体" w:hAnsi="宋体" w:cstheme="minorEastAsia"/>
                <w:bCs/>
                <w:sz w:val="16"/>
                <w:szCs w:val="16"/>
              </w:rPr>
            </w:pPr>
          </w:p>
        </w:tc>
        <w:tc>
          <w:tcPr>
            <w:tcW w:w="1016" w:type="dxa"/>
            <w:vAlign w:val="center"/>
          </w:tcPr>
          <w:p w14:paraId="37AD3DF5">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0C2EB1C1">
            <w:pPr>
              <w:jc w:val="both"/>
              <w:textAlignment w:val="center"/>
              <w:rPr>
                <w:rFonts w:ascii="宋体" w:hAnsi="宋体"/>
                <w:sz w:val="16"/>
                <w:szCs w:val="16"/>
              </w:rPr>
            </w:pPr>
            <w:r>
              <w:rPr>
                <w:rFonts w:ascii="宋体" w:hAnsi="宋体"/>
                <w:sz w:val="16"/>
                <w:szCs w:val="16"/>
              </w:rPr>
              <w:t>1</w:t>
            </w:r>
          </w:p>
        </w:tc>
        <w:tc>
          <w:tcPr>
            <w:tcW w:w="0" w:type="auto"/>
            <w:vAlign w:val="center"/>
          </w:tcPr>
          <w:p w14:paraId="7665F31B">
            <w:pPr>
              <w:jc w:val="both"/>
              <w:textAlignment w:val="center"/>
              <w:rPr>
                <w:rFonts w:ascii="宋体" w:hAnsi="宋体" w:cstheme="minorEastAsia"/>
                <w:bCs/>
                <w:sz w:val="16"/>
                <w:szCs w:val="16"/>
                <w:highlight w:val="yellow"/>
              </w:rPr>
            </w:pPr>
          </w:p>
        </w:tc>
        <w:tc>
          <w:tcPr>
            <w:tcW w:w="0" w:type="auto"/>
            <w:vAlign w:val="center"/>
          </w:tcPr>
          <w:p w14:paraId="402C4347">
            <w:pPr>
              <w:jc w:val="both"/>
              <w:textAlignment w:val="center"/>
              <w:rPr>
                <w:rFonts w:ascii="宋体" w:hAnsi="宋体" w:cstheme="minorEastAsia"/>
                <w:bCs/>
                <w:sz w:val="16"/>
                <w:szCs w:val="16"/>
                <w:highlight w:val="yellow"/>
              </w:rPr>
            </w:pPr>
          </w:p>
        </w:tc>
        <w:tc>
          <w:tcPr>
            <w:tcW w:w="0" w:type="auto"/>
            <w:vAlign w:val="center"/>
          </w:tcPr>
          <w:p w14:paraId="7D1DC6FE">
            <w:pPr>
              <w:jc w:val="both"/>
              <w:textAlignment w:val="center"/>
              <w:rPr>
                <w:rFonts w:ascii="宋体" w:hAnsi="宋体" w:cstheme="minorEastAsia"/>
                <w:bCs/>
                <w:sz w:val="16"/>
                <w:szCs w:val="16"/>
                <w:highlight w:val="yellow"/>
              </w:rPr>
            </w:pPr>
          </w:p>
        </w:tc>
        <w:tc>
          <w:tcPr>
            <w:tcW w:w="0" w:type="auto"/>
            <w:shd w:val="clear" w:color="auto" w:fill="auto"/>
            <w:vAlign w:val="center"/>
          </w:tcPr>
          <w:p w14:paraId="7A67F40F">
            <w:pPr>
              <w:snapToGrid w:val="0"/>
              <w:jc w:val="both"/>
              <w:rPr>
                <w:rFonts w:ascii="宋体" w:hAnsi="宋体" w:cstheme="minorEastAsia"/>
                <w:bCs/>
                <w:sz w:val="16"/>
                <w:szCs w:val="16"/>
              </w:rPr>
            </w:pPr>
          </w:p>
        </w:tc>
      </w:tr>
      <w:tr w14:paraId="7106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2914B8EF">
            <w:pPr>
              <w:snapToGrid w:val="0"/>
              <w:jc w:val="both"/>
              <w:rPr>
                <w:rFonts w:ascii="宋体" w:hAnsi="宋体" w:cstheme="minorEastAsia"/>
                <w:bCs/>
                <w:sz w:val="16"/>
                <w:szCs w:val="16"/>
              </w:rPr>
            </w:pPr>
            <w:r>
              <w:rPr>
                <w:rFonts w:ascii="宋体" w:hAnsi="宋体"/>
                <w:sz w:val="16"/>
                <w:szCs w:val="16"/>
              </w:rPr>
              <w:t>2.4.6</w:t>
            </w:r>
          </w:p>
        </w:tc>
        <w:tc>
          <w:tcPr>
            <w:tcW w:w="1484" w:type="dxa"/>
            <w:tcBorders>
              <w:top w:val="single" w:color="auto" w:sz="4" w:space="0"/>
            </w:tcBorders>
            <w:vAlign w:val="center"/>
          </w:tcPr>
          <w:p w14:paraId="1B077EEB">
            <w:pPr>
              <w:snapToGrid w:val="0"/>
              <w:jc w:val="both"/>
              <w:rPr>
                <w:rFonts w:ascii="宋体" w:hAnsi="宋体"/>
                <w:sz w:val="16"/>
                <w:szCs w:val="16"/>
              </w:rPr>
            </w:pPr>
            <w:r>
              <w:rPr>
                <w:rFonts w:hint="eastAsia" w:ascii="宋体" w:hAnsi="宋体"/>
                <w:sz w:val="16"/>
                <w:szCs w:val="16"/>
              </w:rPr>
              <w:t>薄板蒸汽控制</w:t>
            </w:r>
          </w:p>
        </w:tc>
        <w:tc>
          <w:tcPr>
            <w:tcW w:w="4601" w:type="dxa"/>
            <w:vAlign w:val="center"/>
          </w:tcPr>
          <w:p w14:paraId="099CCBE6">
            <w:pPr>
              <w:snapToGrid w:val="0"/>
              <w:jc w:val="both"/>
              <w:rPr>
                <w:rFonts w:ascii="宋体" w:hAnsi="宋体"/>
                <w:sz w:val="16"/>
                <w:szCs w:val="16"/>
              </w:rPr>
            </w:pPr>
            <w:r>
              <w:rPr>
                <w:rFonts w:ascii="宋体" w:hAnsi="宋体"/>
                <w:sz w:val="16"/>
                <w:szCs w:val="16"/>
              </w:rPr>
              <w:t>1.</w:t>
            </w:r>
            <w:r>
              <w:rPr>
                <w:rFonts w:hint="eastAsia" w:ascii="宋体" w:hAnsi="宋体"/>
                <w:sz w:val="16"/>
                <w:szCs w:val="16"/>
              </w:rPr>
              <w:t>适用于：</w:t>
            </w:r>
            <w:r>
              <w:rPr>
                <w:rFonts w:ascii="宋体" w:hAnsi="宋体"/>
                <w:sz w:val="16"/>
                <w:szCs w:val="16"/>
              </w:rPr>
              <w:t xml:space="preserve">SAMSON </w:t>
            </w:r>
            <w:r>
              <w:rPr>
                <w:rFonts w:hint="eastAsia" w:ascii="宋体" w:hAnsi="宋体"/>
                <w:sz w:val="16"/>
                <w:szCs w:val="16"/>
              </w:rPr>
              <w:t>调节阀；</w:t>
            </w:r>
            <w:r>
              <w:rPr>
                <w:rFonts w:ascii="宋体" w:hAnsi="宋体"/>
                <w:sz w:val="16"/>
                <w:szCs w:val="16"/>
              </w:rPr>
              <w:br w:type="textWrapping"/>
            </w:r>
            <w:r>
              <w:rPr>
                <w:rFonts w:ascii="宋体" w:hAnsi="宋体"/>
                <w:sz w:val="16"/>
                <w:szCs w:val="16"/>
              </w:rPr>
              <w:t>2.</w:t>
            </w:r>
            <w:r>
              <w:rPr>
                <w:rFonts w:hint="eastAsia" w:ascii="宋体" w:hAnsi="宋体"/>
                <w:sz w:val="16"/>
                <w:szCs w:val="16"/>
              </w:rPr>
              <w:t>与</w:t>
            </w:r>
            <w:r>
              <w:rPr>
                <w:rFonts w:ascii="宋体" w:hAnsi="宋体"/>
                <w:sz w:val="16"/>
                <w:szCs w:val="16"/>
              </w:rPr>
              <w:t>3730-4-Profibus-PA</w:t>
            </w:r>
            <w:r>
              <w:rPr>
                <w:rFonts w:hint="eastAsia" w:ascii="宋体" w:hAnsi="宋体"/>
                <w:sz w:val="16"/>
                <w:szCs w:val="16"/>
              </w:rPr>
              <w:t>定位器参数一致</w:t>
            </w:r>
            <w:r>
              <w:rPr>
                <w:rFonts w:ascii="宋体" w:hAnsi="宋体"/>
                <w:sz w:val="16"/>
                <w:szCs w:val="16"/>
              </w:rPr>
              <w:br w:type="textWrapping"/>
            </w:r>
            <w:r>
              <w:rPr>
                <w:rFonts w:ascii="宋体" w:hAnsi="宋体"/>
                <w:sz w:val="16"/>
                <w:szCs w:val="16"/>
              </w:rPr>
              <w:t>3.</w:t>
            </w:r>
            <w:r>
              <w:rPr>
                <w:rFonts w:hint="eastAsia" w:ascii="宋体" w:hAnsi="宋体"/>
                <w:sz w:val="16"/>
                <w:szCs w:val="16"/>
              </w:rPr>
              <w:t>带</w:t>
            </w:r>
            <w:r>
              <w:rPr>
                <w:rFonts w:ascii="宋体" w:hAnsi="宋体"/>
                <w:sz w:val="16"/>
                <w:szCs w:val="16"/>
              </w:rPr>
              <w:t xml:space="preserve"> LCD </w:t>
            </w:r>
            <w:r>
              <w:rPr>
                <w:rFonts w:hint="eastAsia" w:ascii="宋体" w:hAnsi="宋体"/>
                <w:sz w:val="16"/>
                <w:szCs w:val="16"/>
              </w:rPr>
              <w:t>显示和自动调整功能，</w:t>
            </w:r>
            <w:r>
              <w:rPr>
                <w:rFonts w:ascii="宋体" w:hAnsi="宋体"/>
                <w:sz w:val="16"/>
                <w:szCs w:val="16"/>
              </w:rPr>
              <w:t>PROFIBUS-PA</w:t>
            </w:r>
          </w:p>
        </w:tc>
        <w:tc>
          <w:tcPr>
            <w:tcW w:w="2022" w:type="dxa"/>
            <w:vAlign w:val="center"/>
          </w:tcPr>
          <w:p w14:paraId="5F46F7D1">
            <w:pPr>
              <w:snapToGrid w:val="0"/>
              <w:jc w:val="both"/>
              <w:rPr>
                <w:rFonts w:ascii="宋体" w:hAnsi="宋体" w:cstheme="minorEastAsia"/>
                <w:bCs/>
                <w:sz w:val="16"/>
                <w:szCs w:val="16"/>
              </w:rPr>
            </w:pPr>
          </w:p>
        </w:tc>
        <w:tc>
          <w:tcPr>
            <w:tcW w:w="0" w:type="auto"/>
            <w:vAlign w:val="center"/>
          </w:tcPr>
          <w:p w14:paraId="409DEEC8">
            <w:pPr>
              <w:jc w:val="both"/>
              <w:textAlignment w:val="center"/>
              <w:rPr>
                <w:rFonts w:ascii="宋体" w:hAnsi="宋体" w:cstheme="minorEastAsia"/>
                <w:bCs/>
                <w:sz w:val="16"/>
                <w:szCs w:val="16"/>
              </w:rPr>
            </w:pPr>
          </w:p>
        </w:tc>
        <w:tc>
          <w:tcPr>
            <w:tcW w:w="0" w:type="auto"/>
            <w:vAlign w:val="center"/>
          </w:tcPr>
          <w:p w14:paraId="05DE510A">
            <w:pPr>
              <w:jc w:val="both"/>
              <w:textAlignment w:val="center"/>
              <w:rPr>
                <w:rFonts w:ascii="宋体" w:hAnsi="宋体" w:cstheme="minorEastAsia"/>
                <w:bCs/>
                <w:sz w:val="16"/>
                <w:szCs w:val="16"/>
              </w:rPr>
            </w:pPr>
          </w:p>
        </w:tc>
        <w:tc>
          <w:tcPr>
            <w:tcW w:w="1016" w:type="dxa"/>
            <w:vAlign w:val="center"/>
          </w:tcPr>
          <w:p w14:paraId="3CD7B311">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39FD6320">
            <w:pPr>
              <w:jc w:val="both"/>
              <w:textAlignment w:val="center"/>
              <w:rPr>
                <w:rFonts w:ascii="宋体" w:hAnsi="宋体"/>
                <w:sz w:val="16"/>
                <w:szCs w:val="16"/>
              </w:rPr>
            </w:pPr>
            <w:r>
              <w:rPr>
                <w:rFonts w:ascii="宋体" w:hAnsi="宋体"/>
                <w:sz w:val="16"/>
                <w:szCs w:val="16"/>
              </w:rPr>
              <w:t>1</w:t>
            </w:r>
          </w:p>
        </w:tc>
        <w:tc>
          <w:tcPr>
            <w:tcW w:w="0" w:type="auto"/>
            <w:vAlign w:val="center"/>
          </w:tcPr>
          <w:p w14:paraId="48D09532">
            <w:pPr>
              <w:jc w:val="both"/>
              <w:textAlignment w:val="center"/>
              <w:rPr>
                <w:rFonts w:ascii="宋体" w:hAnsi="宋体" w:cstheme="minorEastAsia"/>
                <w:bCs/>
                <w:sz w:val="16"/>
                <w:szCs w:val="16"/>
                <w:highlight w:val="yellow"/>
              </w:rPr>
            </w:pPr>
          </w:p>
        </w:tc>
        <w:tc>
          <w:tcPr>
            <w:tcW w:w="0" w:type="auto"/>
            <w:vAlign w:val="center"/>
          </w:tcPr>
          <w:p w14:paraId="04F87F73">
            <w:pPr>
              <w:jc w:val="both"/>
              <w:textAlignment w:val="center"/>
              <w:rPr>
                <w:rFonts w:ascii="宋体" w:hAnsi="宋体" w:cstheme="minorEastAsia"/>
                <w:bCs/>
                <w:sz w:val="16"/>
                <w:szCs w:val="16"/>
                <w:highlight w:val="yellow"/>
              </w:rPr>
            </w:pPr>
          </w:p>
        </w:tc>
        <w:tc>
          <w:tcPr>
            <w:tcW w:w="0" w:type="auto"/>
            <w:vAlign w:val="center"/>
          </w:tcPr>
          <w:p w14:paraId="4C3E21EA">
            <w:pPr>
              <w:jc w:val="both"/>
              <w:textAlignment w:val="center"/>
              <w:rPr>
                <w:rFonts w:ascii="宋体" w:hAnsi="宋体" w:cstheme="minorEastAsia"/>
                <w:bCs/>
                <w:sz w:val="16"/>
                <w:szCs w:val="16"/>
                <w:highlight w:val="yellow"/>
              </w:rPr>
            </w:pPr>
          </w:p>
        </w:tc>
        <w:tc>
          <w:tcPr>
            <w:tcW w:w="0" w:type="auto"/>
            <w:shd w:val="clear" w:color="auto" w:fill="auto"/>
            <w:vAlign w:val="center"/>
          </w:tcPr>
          <w:p w14:paraId="06A7DE43">
            <w:pPr>
              <w:snapToGrid w:val="0"/>
              <w:jc w:val="both"/>
              <w:rPr>
                <w:rFonts w:ascii="宋体" w:hAnsi="宋体" w:cstheme="minorEastAsia"/>
                <w:bCs/>
                <w:sz w:val="16"/>
                <w:szCs w:val="16"/>
              </w:rPr>
            </w:pPr>
          </w:p>
        </w:tc>
      </w:tr>
      <w:tr w14:paraId="15AD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0BE46A79">
            <w:pPr>
              <w:snapToGrid w:val="0"/>
              <w:jc w:val="both"/>
              <w:rPr>
                <w:rFonts w:ascii="宋体" w:hAnsi="宋体" w:cstheme="minorEastAsia"/>
                <w:b/>
                <w:bCs/>
                <w:sz w:val="16"/>
                <w:szCs w:val="16"/>
              </w:rPr>
            </w:pPr>
            <w:r>
              <w:rPr>
                <w:rFonts w:hint="eastAsia" w:ascii="宋体" w:hAnsi="宋体" w:cstheme="minorEastAsia"/>
                <w:b/>
                <w:bCs/>
                <w:sz w:val="16"/>
                <w:szCs w:val="16"/>
              </w:rPr>
              <w:t>2.5</w:t>
            </w:r>
          </w:p>
        </w:tc>
        <w:tc>
          <w:tcPr>
            <w:tcW w:w="13138" w:type="dxa"/>
            <w:gridSpan w:val="11"/>
            <w:vAlign w:val="center"/>
          </w:tcPr>
          <w:p w14:paraId="54D54B12">
            <w:pPr>
              <w:snapToGrid w:val="0"/>
              <w:jc w:val="both"/>
              <w:rPr>
                <w:rFonts w:ascii="宋体" w:hAnsi="宋体" w:cstheme="minorEastAsia"/>
                <w:b/>
                <w:bCs/>
                <w:sz w:val="16"/>
                <w:szCs w:val="16"/>
              </w:rPr>
            </w:pPr>
            <w:r>
              <w:rPr>
                <w:rFonts w:hint="eastAsia" w:ascii="宋体" w:hAnsi="宋体" w:cstheme="minorEastAsia"/>
                <w:b/>
                <w:bCs/>
                <w:sz w:val="16"/>
                <w:szCs w:val="16"/>
              </w:rPr>
              <w:t>加香机新增</w:t>
            </w:r>
          </w:p>
        </w:tc>
      </w:tr>
      <w:tr w14:paraId="16C6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74758CB">
            <w:pPr>
              <w:snapToGrid w:val="0"/>
              <w:jc w:val="both"/>
              <w:rPr>
                <w:rFonts w:ascii="宋体" w:hAnsi="宋体" w:cstheme="minorEastAsia"/>
                <w:bCs/>
                <w:sz w:val="16"/>
                <w:szCs w:val="16"/>
              </w:rPr>
            </w:pPr>
            <w:r>
              <w:rPr>
                <w:rFonts w:ascii="宋体" w:hAnsi="宋体"/>
                <w:sz w:val="16"/>
                <w:szCs w:val="16"/>
              </w:rPr>
              <w:t>2.5.1</w:t>
            </w:r>
          </w:p>
        </w:tc>
        <w:tc>
          <w:tcPr>
            <w:tcW w:w="1484" w:type="dxa"/>
            <w:tcBorders>
              <w:top w:val="single" w:color="auto" w:sz="4" w:space="0"/>
            </w:tcBorders>
            <w:vAlign w:val="center"/>
          </w:tcPr>
          <w:p w14:paraId="772621B5">
            <w:pPr>
              <w:snapToGrid w:val="0"/>
              <w:jc w:val="both"/>
              <w:rPr>
                <w:rFonts w:ascii="宋体" w:hAnsi="宋体"/>
                <w:sz w:val="16"/>
                <w:szCs w:val="16"/>
              </w:rPr>
            </w:pPr>
            <w:r>
              <w:rPr>
                <w:rFonts w:hint="eastAsia" w:ascii="宋体" w:hAnsi="宋体"/>
                <w:sz w:val="16"/>
                <w:szCs w:val="16"/>
              </w:rPr>
              <w:t>压力变送器</w:t>
            </w:r>
          </w:p>
        </w:tc>
        <w:tc>
          <w:tcPr>
            <w:tcW w:w="4601" w:type="dxa"/>
            <w:vAlign w:val="center"/>
          </w:tcPr>
          <w:p w14:paraId="0CE82547">
            <w:pPr>
              <w:snapToGrid w:val="0"/>
              <w:jc w:val="both"/>
              <w:rPr>
                <w:rFonts w:ascii="宋体" w:hAnsi="宋体"/>
                <w:sz w:val="16"/>
                <w:szCs w:val="16"/>
              </w:rPr>
            </w:pPr>
            <w:r>
              <w:rPr>
                <w:rFonts w:ascii="宋体" w:hAnsi="宋体"/>
                <w:sz w:val="16"/>
                <w:szCs w:val="16"/>
              </w:rPr>
              <w:t>1.</w:t>
            </w:r>
            <w:r>
              <w:rPr>
                <w:rFonts w:hint="eastAsia" w:ascii="宋体" w:hAnsi="宋体"/>
                <w:sz w:val="16"/>
                <w:szCs w:val="16"/>
              </w:rPr>
              <w:t>应用场合：液体、气体、蒸汽压力的测量</w:t>
            </w:r>
            <w:r>
              <w:rPr>
                <w:rFonts w:ascii="宋体" w:hAnsi="宋体"/>
                <w:sz w:val="16"/>
                <w:szCs w:val="16"/>
              </w:rPr>
              <w:br w:type="textWrapping"/>
            </w:r>
            <w:r>
              <w:rPr>
                <w:rFonts w:ascii="宋体" w:hAnsi="宋体"/>
                <w:sz w:val="16"/>
                <w:szCs w:val="16"/>
              </w:rPr>
              <w:t>2.</w:t>
            </w:r>
            <w:r>
              <w:rPr>
                <w:rFonts w:hint="eastAsia" w:ascii="宋体" w:hAnsi="宋体"/>
                <w:sz w:val="16"/>
                <w:szCs w:val="16"/>
              </w:rPr>
              <w:t>精度等级：</w:t>
            </w:r>
            <w:r>
              <w:rPr>
                <w:rFonts w:ascii="宋体" w:hAnsi="宋体"/>
                <w:sz w:val="16"/>
                <w:szCs w:val="16"/>
              </w:rPr>
              <w:t xml:space="preserve"> 0.25% </w:t>
            </w:r>
            <w:r>
              <w:rPr>
                <w:rFonts w:ascii="宋体" w:hAnsi="宋体"/>
                <w:sz w:val="16"/>
                <w:szCs w:val="16"/>
              </w:rPr>
              <w:br w:type="textWrapping"/>
            </w:r>
            <w:r>
              <w:rPr>
                <w:rFonts w:ascii="宋体" w:hAnsi="宋体"/>
                <w:sz w:val="16"/>
                <w:szCs w:val="16"/>
              </w:rPr>
              <w:t>3.</w:t>
            </w:r>
            <w:r>
              <w:rPr>
                <w:rFonts w:hint="eastAsia" w:ascii="宋体" w:hAnsi="宋体"/>
                <w:sz w:val="16"/>
                <w:szCs w:val="16"/>
              </w:rPr>
              <w:t>供电电源</w:t>
            </w:r>
            <w:r>
              <w:rPr>
                <w:rFonts w:ascii="宋体" w:hAnsi="宋体"/>
                <w:sz w:val="16"/>
                <w:szCs w:val="16"/>
              </w:rPr>
              <w:t xml:space="preserve"> 15</w:t>
            </w:r>
            <w:r>
              <w:rPr>
                <w:rFonts w:hint="eastAsia" w:ascii="宋体" w:hAnsi="宋体"/>
                <w:sz w:val="16"/>
                <w:szCs w:val="16"/>
              </w:rPr>
              <w:t>～</w:t>
            </w:r>
            <w:r>
              <w:rPr>
                <w:rFonts w:ascii="宋体" w:hAnsi="宋体"/>
                <w:sz w:val="16"/>
                <w:szCs w:val="16"/>
              </w:rPr>
              <w:t>36 VDC</w:t>
            </w:r>
            <w:r>
              <w:rPr>
                <w:rFonts w:hint="eastAsia" w:ascii="宋体" w:hAnsi="宋体"/>
                <w:sz w:val="16"/>
                <w:szCs w:val="16"/>
              </w:rPr>
              <w:t>（标定电压</w:t>
            </w:r>
            <w:r>
              <w:rPr>
                <w:rFonts w:ascii="宋体" w:hAnsi="宋体"/>
                <w:sz w:val="16"/>
                <w:szCs w:val="16"/>
              </w:rPr>
              <w:t>24VDC</w:t>
            </w:r>
            <w:r>
              <w:rPr>
                <w:rFonts w:hint="eastAsia" w:ascii="宋体" w:hAnsi="宋体"/>
                <w:sz w:val="16"/>
                <w:szCs w:val="16"/>
              </w:rPr>
              <w:t>）</w:t>
            </w:r>
            <w:r>
              <w:rPr>
                <w:rFonts w:ascii="宋体" w:hAnsi="宋体"/>
                <w:sz w:val="16"/>
                <w:szCs w:val="16"/>
              </w:rPr>
              <w:br w:type="textWrapping"/>
            </w:r>
            <w:r>
              <w:rPr>
                <w:rFonts w:ascii="宋体" w:hAnsi="宋体"/>
                <w:sz w:val="16"/>
                <w:szCs w:val="16"/>
              </w:rPr>
              <w:t>4.</w:t>
            </w:r>
            <w:r>
              <w:rPr>
                <w:rFonts w:hint="eastAsia" w:ascii="宋体" w:hAnsi="宋体"/>
                <w:sz w:val="16"/>
                <w:szCs w:val="16"/>
              </w:rPr>
              <w:t>输出信号</w:t>
            </w:r>
            <w:r>
              <w:rPr>
                <w:rFonts w:ascii="宋体" w:hAnsi="宋体"/>
                <w:sz w:val="16"/>
                <w:szCs w:val="16"/>
              </w:rPr>
              <w:t xml:space="preserve"> (4</w:t>
            </w:r>
            <w:r>
              <w:rPr>
                <w:rFonts w:hint="eastAsia" w:ascii="宋体" w:hAnsi="宋体"/>
                <w:sz w:val="16"/>
                <w:szCs w:val="16"/>
              </w:rPr>
              <w:t>～</w:t>
            </w:r>
            <w:r>
              <w:rPr>
                <w:rFonts w:ascii="宋体" w:hAnsi="宋体"/>
                <w:sz w:val="16"/>
                <w:szCs w:val="16"/>
              </w:rPr>
              <w:t>20)mA</w:t>
            </w:r>
            <w:r>
              <w:rPr>
                <w:rFonts w:ascii="宋体" w:hAnsi="宋体"/>
                <w:sz w:val="16"/>
                <w:szCs w:val="16"/>
              </w:rPr>
              <w:br w:type="textWrapping"/>
            </w:r>
            <w:r>
              <w:rPr>
                <w:rFonts w:ascii="宋体" w:hAnsi="宋体"/>
                <w:sz w:val="16"/>
                <w:szCs w:val="16"/>
              </w:rPr>
              <w:t>5.</w:t>
            </w:r>
            <w:r>
              <w:rPr>
                <w:rFonts w:hint="eastAsia" w:ascii="宋体" w:hAnsi="宋体"/>
                <w:sz w:val="16"/>
                <w:szCs w:val="16"/>
              </w:rPr>
              <w:t>显示方式</w:t>
            </w:r>
            <w:r>
              <w:rPr>
                <w:rFonts w:ascii="宋体" w:hAnsi="宋体"/>
                <w:sz w:val="16"/>
                <w:szCs w:val="16"/>
              </w:rPr>
              <w:t xml:space="preserve"> </w:t>
            </w:r>
            <w:r>
              <w:rPr>
                <w:rFonts w:hint="eastAsia" w:ascii="宋体" w:hAnsi="宋体"/>
                <w:sz w:val="16"/>
                <w:szCs w:val="16"/>
              </w:rPr>
              <w:t>：指针表头或数字显示可选配</w:t>
            </w:r>
            <w:r>
              <w:rPr>
                <w:rFonts w:ascii="宋体" w:hAnsi="宋体"/>
                <w:sz w:val="16"/>
                <w:szCs w:val="16"/>
              </w:rPr>
              <w:t xml:space="preserve"> </w:t>
            </w:r>
          </w:p>
        </w:tc>
        <w:tc>
          <w:tcPr>
            <w:tcW w:w="2022" w:type="dxa"/>
            <w:vAlign w:val="center"/>
          </w:tcPr>
          <w:p w14:paraId="40EAC678">
            <w:pPr>
              <w:snapToGrid w:val="0"/>
              <w:jc w:val="both"/>
              <w:rPr>
                <w:rFonts w:ascii="宋体" w:hAnsi="宋体" w:cstheme="minorEastAsia"/>
                <w:bCs/>
                <w:sz w:val="16"/>
                <w:szCs w:val="16"/>
              </w:rPr>
            </w:pPr>
          </w:p>
        </w:tc>
        <w:tc>
          <w:tcPr>
            <w:tcW w:w="0" w:type="auto"/>
            <w:vAlign w:val="center"/>
          </w:tcPr>
          <w:p w14:paraId="09CCD3D8">
            <w:pPr>
              <w:jc w:val="both"/>
              <w:textAlignment w:val="center"/>
              <w:rPr>
                <w:rFonts w:ascii="宋体" w:hAnsi="宋体" w:cstheme="minorEastAsia"/>
                <w:bCs/>
                <w:sz w:val="16"/>
                <w:szCs w:val="16"/>
              </w:rPr>
            </w:pPr>
          </w:p>
        </w:tc>
        <w:tc>
          <w:tcPr>
            <w:tcW w:w="0" w:type="auto"/>
            <w:vAlign w:val="center"/>
          </w:tcPr>
          <w:p w14:paraId="11E7CEAD">
            <w:pPr>
              <w:jc w:val="both"/>
              <w:textAlignment w:val="center"/>
              <w:rPr>
                <w:rFonts w:ascii="宋体" w:hAnsi="宋体" w:cstheme="minorEastAsia"/>
                <w:bCs/>
                <w:sz w:val="16"/>
                <w:szCs w:val="16"/>
              </w:rPr>
            </w:pPr>
          </w:p>
        </w:tc>
        <w:tc>
          <w:tcPr>
            <w:tcW w:w="1016" w:type="dxa"/>
            <w:vAlign w:val="center"/>
          </w:tcPr>
          <w:p w14:paraId="04F08816">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1AA1612D">
            <w:pPr>
              <w:jc w:val="both"/>
              <w:textAlignment w:val="center"/>
              <w:rPr>
                <w:rFonts w:ascii="宋体" w:hAnsi="宋体"/>
                <w:sz w:val="16"/>
                <w:szCs w:val="16"/>
              </w:rPr>
            </w:pPr>
            <w:r>
              <w:rPr>
                <w:rFonts w:ascii="宋体" w:hAnsi="宋体"/>
                <w:sz w:val="16"/>
                <w:szCs w:val="16"/>
              </w:rPr>
              <w:t>4</w:t>
            </w:r>
          </w:p>
        </w:tc>
        <w:tc>
          <w:tcPr>
            <w:tcW w:w="0" w:type="auto"/>
            <w:vAlign w:val="center"/>
          </w:tcPr>
          <w:p w14:paraId="3C19C321">
            <w:pPr>
              <w:jc w:val="both"/>
              <w:textAlignment w:val="center"/>
              <w:rPr>
                <w:rFonts w:ascii="宋体" w:hAnsi="宋体" w:cstheme="minorEastAsia"/>
                <w:bCs/>
                <w:sz w:val="16"/>
                <w:szCs w:val="16"/>
                <w:highlight w:val="yellow"/>
              </w:rPr>
            </w:pPr>
          </w:p>
        </w:tc>
        <w:tc>
          <w:tcPr>
            <w:tcW w:w="0" w:type="auto"/>
            <w:vAlign w:val="center"/>
          </w:tcPr>
          <w:p w14:paraId="435FA347">
            <w:pPr>
              <w:jc w:val="both"/>
              <w:textAlignment w:val="center"/>
              <w:rPr>
                <w:rFonts w:ascii="宋体" w:hAnsi="宋体" w:cstheme="minorEastAsia"/>
                <w:bCs/>
                <w:sz w:val="16"/>
                <w:szCs w:val="16"/>
                <w:highlight w:val="yellow"/>
              </w:rPr>
            </w:pPr>
          </w:p>
        </w:tc>
        <w:tc>
          <w:tcPr>
            <w:tcW w:w="0" w:type="auto"/>
            <w:vAlign w:val="center"/>
          </w:tcPr>
          <w:p w14:paraId="4707AFE9">
            <w:pPr>
              <w:jc w:val="both"/>
              <w:textAlignment w:val="center"/>
              <w:rPr>
                <w:rFonts w:ascii="宋体" w:hAnsi="宋体" w:cstheme="minorEastAsia"/>
                <w:bCs/>
                <w:sz w:val="16"/>
                <w:szCs w:val="16"/>
                <w:highlight w:val="yellow"/>
              </w:rPr>
            </w:pPr>
          </w:p>
        </w:tc>
        <w:tc>
          <w:tcPr>
            <w:tcW w:w="0" w:type="auto"/>
            <w:shd w:val="clear" w:color="auto" w:fill="auto"/>
            <w:vAlign w:val="center"/>
          </w:tcPr>
          <w:p w14:paraId="0CF464AD">
            <w:pPr>
              <w:snapToGrid w:val="0"/>
              <w:jc w:val="both"/>
              <w:rPr>
                <w:rFonts w:ascii="宋体" w:hAnsi="宋体" w:cstheme="minorEastAsia"/>
                <w:bCs/>
                <w:sz w:val="16"/>
                <w:szCs w:val="16"/>
              </w:rPr>
            </w:pPr>
          </w:p>
        </w:tc>
      </w:tr>
      <w:tr w14:paraId="78F3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83095FD">
            <w:pPr>
              <w:snapToGrid w:val="0"/>
              <w:jc w:val="both"/>
              <w:rPr>
                <w:rFonts w:ascii="宋体" w:hAnsi="宋体" w:cstheme="minorEastAsia"/>
                <w:bCs/>
                <w:sz w:val="16"/>
                <w:szCs w:val="16"/>
              </w:rPr>
            </w:pPr>
            <w:r>
              <w:rPr>
                <w:rFonts w:ascii="宋体" w:hAnsi="宋体"/>
                <w:sz w:val="16"/>
                <w:szCs w:val="16"/>
              </w:rPr>
              <w:t>2.5.2</w:t>
            </w:r>
          </w:p>
        </w:tc>
        <w:tc>
          <w:tcPr>
            <w:tcW w:w="1484" w:type="dxa"/>
            <w:tcBorders>
              <w:top w:val="single" w:color="auto" w:sz="4" w:space="0"/>
            </w:tcBorders>
            <w:vAlign w:val="center"/>
          </w:tcPr>
          <w:p w14:paraId="2AF6F4B6">
            <w:pPr>
              <w:snapToGrid w:val="0"/>
              <w:jc w:val="both"/>
              <w:rPr>
                <w:rFonts w:ascii="宋体" w:hAnsi="宋体"/>
                <w:sz w:val="16"/>
                <w:szCs w:val="16"/>
              </w:rPr>
            </w:pPr>
            <w:r>
              <w:rPr>
                <w:rFonts w:hint="eastAsia" w:ascii="宋体" w:hAnsi="宋体"/>
                <w:sz w:val="16"/>
                <w:szCs w:val="16"/>
              </w:rPr>
              <w:t>温湿度变送器</w:t>
            </w:r>
          </w:p>
        </w:tc>
        <w:tc>
          <w:tcPr>
            <w:tcW w:w="4601" w:type="dxa"/>
            <w:vAlign w:val="center"/>
          </w:tcPr>
          <w:p w14:paraId="5F16AFE0">
            <w:pPr>
              <w:snapToGrid w:val="0"/>
              <w:jc w:val="both"/>
              <w:rPr>
                <w:rFonts w:ascii="宋体" w:hAnsi="宋体"/>
                <w:sz w:val="16"/>
                <w:szCs w:val="16"/>
              </w:rPr>
            </w:pPr>
            <w:r>
              <w:rPr>
                <w:rFonts w:hint="eastAsia" w:ascii="宋体" w:hAnsi="宋体"/>
                <w:sz w:val="16"/>
                <w:szCs w:val="16"/>
              </w:rPr>
              <w:t>壁挂，相对湿度：</w:t>
            </w:r>
            <w:r>
              <w:rPr>
                <w:rFonts w:ascii="宋体" w:hAnsi="宋体"/>
                <w:sz w:val="16"/>
                <w:szCs w:val="16"/>
              </w:rPr>
              <w:t>1.</w:t>
            </w:r>
            <w:r>
              <w:rPr>
                <w:rFonts w:hint="eastAsia" w:ascii="宋体" w:hAnsi="宋体"/>
                <w:sz w:val="16"/>
                <w:szCs w:val="16"/>
              </w:rPr>
              <w:t>量程：</w:t>
            </w:r>
            <w:r>
              <w:rPr>
                <w:rFonts w:ascii="宋体" w:hAnsi="宋体"/>
                <w:sz w:val="16"/>
                <w:szCs w:val="16"/>
              </w:rPr>
              <w:t>0~100%RH</w:t>
            </w:r>
            <w:r>
              <w:rPr>
                <w:rFonts w:hint="eastAsia" w:ascii="宋体" w:hAnsi="宋体"/>
                <w:sz w:val="16"/>
                <w:szCs w:val="16"/>
              </w:rPr>
              <w:t>；</w:t>
            </w:r>
            <w:r>
              <w:rPr>
                <w:rFonts w:ascii="宋体" w:hAnsi="宋体"/>
                <w:sz w:val="16"/>
                <w:szCs w:val="16"/>
              </w:rPr>
              <w:t>2.</w:t>
            </w:r>
            <w:r>
              <w:rPr>
                <w:rFonts w:hint="eastAsia" w:ascii="宋体" w:hAnsi="宋体"/>
                <w:sz w:val="16"/>
                <w:szCs w:val="16"/>
              </w:rPr>
              <w:t>准确度</w:t>
            </w:r>
            <w:r>
              <w:rPr>
                <w:rFonts w:ascii="宋体" w:hAnsi="宋体"/>
                <w:sz w:val="16"/>
                <w:szCs w:val="16"/>
              </w:rPr>
              <w:t>(</w:t>
            </w:r>
            <w:r>
              <w:rPr>
                <w:rFonts w:hint="eastAsia" w:ascii="宋体" w:hAnsi="宋体"/>
                <w:sz w:val="16"/>
                <w:szCs w:val="16"/>
              </w:rPr>
              <w:t>包括非线性度，迟滞和重复性）：±</w:t>
            </w:r>
            <w:r>
              <w:rPr>
                <w:rFonts w:ascii="宋体" w:hAnsi="宋体"/>
                <w:sz w:val="16"/>
                <w:szCs w:val="16"/>
              </w:rPr>
              <w:t>3%RH;3.</w:t>
            </w:r>
            <w:r>
              <w:rPr>
                <w:rFonts w:hint="eastAsia" w:ascii="宋体" w:hAnsi="宋体"/>
                <w:sz w:val="16"/>
                <w:szCs w:val="16"/>
              </w:rPr>
              <w:t>分辨率：</w:t>
            </w:r>
            <w:r>
              <w:rPr>
                <w:rFonts w:ascii="宋体" w:hAnsi="宋体"/>
                <w:sz w:val="16"/>
                <w:szCs w:val="16"/>
              </w:rPr>
              <w:t>0.1%RH</w:t>
            </w:r>
            <w:r>
              <w:rPr>
                <w:rFonts w:ascii="宋体" w:hAnsi="宋体"/>
                <w:sz w:val="16"/>
                <w:szCs w:val="16"/>
              </w:rPr>
              <w:br w:type="textWrapping"/>
            </w:r>
            <w:r>
              <w:rPr>
                <w:rFonts w:hint="eastAsia" w:ascii="宋体" w:hAnsi="宋体"/>
                <w:sz w:val="16"/>
                <w:szCs w:val="16"/>
              </w:rPr>
              <w:t>温度</w:t>
            </w:r>
            <w:r>
              <w:rPr>
                <w:rFonts w:ascii="宋体" w:hAnsi="宋体"/>
                <w:sz w:val="16"/>
                <w:szCs w:val="16"/>
              </w:rPr>
              <w:t>:1.</w:t>
            </w:r>
            <w:r>
              <w:rPr>
                <w:rFonts w:hint="eastAsia" w:ascii="宋体" w:hAnsi="宋体"/>
                <w:sz w:val="16"/>
                <w:szCs w:val="16"/>
              </w:rPr>
              <w:t>量程</w:t>
            </w:r>
            <w:r>
              <w:rPr>
                <w:rFonts w:ascii="宋体" w:hAnsi="宋体"/>
                <w:sz w:val="16"/>
                <w:szCs w:val="16"/>
              </w:rPr>
              <w:t>(</w:t>
            </w:r>
            <w:r>
              <w:rPr>
                <w:rFonts w:hint="eastAsia" w:ascii="宋体" w:hAnsi="宋体"/>
                <w:sz w:val="16"/>
                <w:szCs w:val="16"/>
              </w:rPr>
              <w:t>可通过拔码开关设置</w:t>
            </w:r>
            <w:r>
              <w:rPr>
                <w:rFonts w:ascii="宋体" w:hAnsi="宋体"/>
                <w:sz w:val="16"/>
                <w:szCs w:val="16"/>
              </w:rPr>
              <w:t>)</w:t>
            </w:r>
            <w:r>
              <w:rPr>
                <w:rFonts w:hint="eastAsia" w:ascii="宋体" w:hAnsi="宋体"/>
                <w:sz w:val="16"/>
                <w:szCs w:val="16"/>
              </w:rPr>
              <w:t>：</w:t>
            </w:r>
            <w:r>
              <w:rPr>
                <w:rFonts w:ascii="宋体" w:hAnsi="宋体"/>
                <w:sz w:val="16"/>
                <w:szCs w:val="16"/>
              </w:rPr>
              <w:t>0~+50</w:t>
            </w:r>
            <w:r>
              <w:rPr>
                <w:rFonts w:hint="eastAsia" w:ascii="宋体" w:hAnsi="宋体"/>
                <w:sz w:val="16"/>
                <w:szCs w:val="16"/>
              </w:rPr>
              <w:t>℃</w:t>
            </w:r>
            <w:r>
              <w:rPr>
                <w:rFonts w:ascii="宋体" w:hAnsi="宋体"/>
                <w:sz w:val="16"/>
                <w:szCs w:val="16"/>
              </w:rPr>
              <w:t>/ -20~+80</w:t>
            </w:r>
            <w:r>
              <w:rPr>
                <w:rFonts w:hint="eastAsia" w:ascii="宋体" w:hAnsi="宋体"/>
                <w:sz w:val="16"/>
                <w:szCs w:val="16"/>
              </w:rPr>
              <w:t>℃</w:t>
            </w:r>
            <w:r>
              <w:rPr>
                <w:rFonts w:ascii="宋体" w:hAnsi="宋体"/>
                <w:sz w:val="16"/>
                <w:szCs w:val="16"/>
              </w:rPr>
              <w:t>/ -40~+60</w:t>
            </w:r>
            <w:r>
              <w:rPr>
                <w:rFonts w:hint="eastAsia" w:ascii="宋体" w:hAnsi="宋体"/>
                <w:sz w:val="16"/>
                <w:szCs w:val="16"/>
              </w:rPr>
              <w:t>℃</w:t>
            </w:r>
            <w:r>
              <w:rPr>
                <w:rFonts w:ascii="宋体" w:hAnsi="宋体"/>
                <w:sz w:val="16"/>
                <w:szCs w:val="16"/>
              </w:rPr>
              <w:t>/</w:t>
            </w:r>
            <w:r>
              <w:rPr>
                <w:rFonts w:hint="eastAsia" w:ascii="宋体" w:hAnsi="宋体"/>
                <w:sz w:val="16"/>
                <w:szCs w:val="16"/>
              </w:rPr>
              <w:t>客户定制</w:t>
            </w:r>
            <w:r>
              <w:rPr>
                <w:rFonts w:ascii="宋体" w:hAnsi="宋体"/>
                <w:sz w:val="16"/>
                <w:szCs w:val="16"/>
              </w:rPr>
              <w:t>;2.</w:t>
            </w:r>
            <w:r>
              <w:rPr>
                <w:rFonts w:hint="eastAsia" w:ascii="宋体" w:hAnsi="宋体"/>
                <w:sz w:val="16"/>
                <w:szCs w:val="16"/>
              </w:rPr>
              <w:t>准确度：±</w:t>
            </w:r>
            <w:r>
              <w:rPr>
                <w:rFonts w:ascii="宋体" w:hAnsi="宋体"/>
                <w:sz w:val="16"/>
                <w:szCs w:val="16"/>
              </w:rPr>
              <w:t>0.3</w:t>
            </w:r>
            <w:r>
              <w:rPr>
                <w:rFonts w:hint="eastAsia" w:ascii="宋体" w:hAnsi="宋体"/>
                <w:sz w:val="16"/>
                <w:szCs w:val="16"/>
              </w:rPr>
              <w:t>℃（典型值）</w:t>
            </w:r>
            <w:r>
              <w:rPr>
                <w:rFonts w:ascii="宋体" w:hAnsi="宋体"/>
                <w:sz w:val="16"/>
                <w:szCs w:val="16"/>
              </w:rPr>
              <w:t>;3.</w:t>
            </w:r>
            <w:r>
              <w:rPr>
                <w:rFonts w:hint="eastAsia" w:ascii="宋体" w:hAnsi="宋体"/>
                <w:sz w:val="16"/>
                <w:szCs w:val="16"/>
              </w:rPr>
              <w:t>分辨率：</w:t>
            </w:r>
            <w:r>
              <w:rPr>
                <w:rFonts w:ascii="宋体" w:hAnsi="宋体"/>
                <w:sz w:val="16"/>
                <w:szCs w:val="16"/>
              </w:rPr>
              <w:t>0.1</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工作电压：</w:t>
            </w:r>
            <w:r>
              <w:rPr>
                <w:rFonts w:ascii="宋体" w:hAnsi="宋体"/>
                <w:sz w:val="16"/>
                <w:szCs w:val="16"/>
              </w:rPr>
              <w:t>12~36VDC</w:t>
            </w:r>
            <w:r>
              <w:rPr>
                <w:rFonts w:ascii="宋体" w:hAnsi="宋体"/>
                <w:sz w:val="16"/>
                <w:szCs w:val="16"/>
              </w:rPr>
              <w:br w:type="textWrapping"/>
            </w:r>
            <w:r>
              <w:rPr>
                <w:rFonts w:hint="eastAsia" w:ascii="宋体" w:hAnsi="宋体"/>
                <w:sz w:val="16"/>
                <w:szCs w:val="16"/>
              </w:rPr>
              <w:t>输出信号：</w:t>
            </w:r>
            <w:r>
              <w:rPr>
                <w:rFonts w:ascii="宋体" w:hAnsi="宋体"/>
                <w:sz w:val="16"/>
                <w:szCs w:val="16"/>
              </w:rPr>
              <w:t>4-20mA</w:t>
            </w:r>
            <w:r>
              <w:rPr>
                <w:rFonts w:hint="eastAsia" w:ascii="宋体" w:hAnsi="宋体"/>
                <w:sz w:val="16"/>
                <w:szCs w:val="16"/>
              </w:rPr>
              <w:t>；</w:t>
            </w:r>
          </w:p>
        </w:tc>
        <w:tc>
          <w:tcPr>
            <w:tcW w:w="2022" w:type="dxa"/>
            <w:vAlign w:val="center"/>
          </w:tcPr>
          <w:p w14:paraId="04660257">
            <w:pPr>
              <w:snapToGrid w:val="0"/>
              <w:jc w:val="both"/>
              <w:rPr>
                <w:rFonts w:ascii="宋体" w:hAnsi="宋体" w:cstheme="minorEastAsia"/>
                <w:bCs/>
                <w:sz w:val="16"/>
                <w:szCs w:val="16"/>
              </w:rPr>
            </w:pPr>
          </w:p>
        </w:tc>
        <w:tc>
          <w:tcPr>
            <w:tcW w:w="0" w:type="auto"/>
            <w:vAlign w:val="center"/>
          </w:tcPr>
          <w:p w14:paraId="58746E8A">
            <w:pPr>
              <w:jc w:val="both"/>
              <w:textAlignment w:val="center"/>
              <w:rPr>
                <w:rFonts w:ascii="宋体" w:hAnsi="宋体" w:cstheme="minorEastAsia"/>
                <w:bCs/>
                <w:sz w:val="16"/>
                <w:szCs w:val="16"/>
              </w:rPr>
            </w:pPr>
          </w:p>
        </w:tc>
        <w:tc>
          <w:tcPr>
            <w:tcW w:w="0" w:type="auto"/>
            <w:vAlign w:val="center"/>
          </w:tcPr>
          <w:p w14:paraId="05C1810C">
            <w:pPr>
              <w:jc w:val="both"/>
              <w:textAlignment w:val="center"/>
              <w:rPr>
                <w:rFonts w:ascii="宋体" w:hAnsi="宋体" w:cstheme="minorEastAsia"/>
                <w:bCs/>
                <w:sz w:val="16"/>
                <w:szCs w:val="16"/>
              </w:rPr>
            </w:pPr>
          </w:p>
        </w:tc>
        <w:tc>
          <w:tcPr>
            <w:tcW w:w="1016" w:type="dxa"/>
            <w:vAlign w:val="center"/>
          </w:tcPr>
          <w:p w14:paraId="6B8065D3">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37CF3FE5">
            <w:pPr>
              <w:jc w:val="both"/>
              <w:textAlignment w:val="center"/>
              <w:rPr>
                <w:rFonts w:ascii="宋体" w:hAnsi="宋体"/>
                <w:sz w:val="16"/>
                <w:szCs w:val="16"/>
              </w:rPr>
            </w:pPr>
            <w:r>
              <w:rPr>
                <w:rFonts w:ascii="宋体" w:hAnsi="宋体"/>
                <w:sz w:val="16"/>
                <w:szCs w:val="16"/>
              </w:rPr>
              <w:t>1</w:t>
            </w:r>
          </w:p>
        </w:tc>
        <w:tc>
          <w:tcPr>
            <w:tcW w:w="0" w:type="auto"/>
            <w:vAlign w:val="center"/>
          </w:tcPr>
          <w:p w14:paraId="24D311EE">
            <w:pPr>
              <w:jc w:val="both"/>
              <w:textAlignment w:val="center"/>
              <w:rPr>
                <w:rFonts w:ascii="宋体" w:hAnsi="宋体" w:cstheme="minorEastAsia"/>
                <w:bCs/>
                <w:sz w:val="16"/>
                <w:szCs w:val="16"/>
                <w:highlight w:val="yellow"/>
              </w:rPr>
            </w:pPr>
          </w:p>
        </w:tc>
        <w:tc>
          <w:tcPr>
            <w:tcW w:w="0" w:type="auto"/>
            <w:vAlign w:val="center"/>
          </w:tcPr>
          <w:p w14:paraId="506393DA">
            <w:pPr>
              <w:jc w:val="both"/>
              <w:textAlignment w:val="center"/>
              <w:rPr>
                <w:rFonts w:ascii="宋体" w:hAnsi="宋体" w:cstheme="minorEastAsia"/>
                <w:bCs/>
                <w:sz w:val="16"/>
                <w:szCs w:val="16"/>
                <w:highlight w:val="yellow"/>
              </w:rPr>
            </w:pPr>
          </w:p>
        </w:tc>
        <w:tc>
          <w:tcPr>
            <w:tcW w:w="0" w:type="auto"/>
            <w:vAlign w:val="center"/>
          </w:tcPr>
          <w:p w14:paraId="172BFB79">
            <w:pPr>
              <w:jc w:val="both"/>
              <w:textAlignment w:val="center"/>
              <w:rPr>
                <w:rFonts w:ascii="宋体" w:hAnsi="宋体" w:cstheme="minorEastAsia"/>
                <w:bCs/>
                <w:sz w:val="16"/>
                <w:szCs w:val="16"/>
                <w:highlight w:val="yellow"/>
              </w:rPr>
            </w:pPr>
          </w:p>
        </w:tc>
        <w:tc>
          <w:tcPr>
            <w:tcW w:w="0" w:type="auto"/>
            <w:shd w:val="clear" w:color="auto" w:fill="auto"/>
            <w:vAlign w:val="center"/>
          </w:tcPr>
          <w:p w14:paraId="0D5B0C4E">
            <w:pPr>
              <w:snapToGrid w:val="0"/>
              <w:jc w:val="both"/>
              <w:rPr>
                <w:rFonts w:ascii="宋体" w:hAnsi="宋体" w:cstheme="minorEastAsia"/>
                <w:bCs/>
                <w:sz w:val="16"/>
                <w:szCs w:val="16"/>
              </w:rPr>
            </w:pPr>
          </w:p>
        </w:tc>
      </w:tr>
      <w:tr w14:paraId="1F5A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943698C">
            <w:pPr>
              <w:snapToGrid w:val="0"/>
              <w:jc w:val="both"/>
              <w:rPr>
                <w:rFonts w:ascii="宋体" w:hAnsi="宋体" w:cstheme="minorEastAsia"/>
                <w:bCs/>
                <w:sz w:val="16"/>
                <w:szCs w:val="16"/>
              </w:rPr>
            </w:pPr>
            <w:r>
              <w:rPr>
                <w:rFonts w:ascii="宋体" w:hAnsi="宋体"/>
                <w:sz w:val="16"/>
                <w:szCs w:val="16"/>
              </w:rPr>
              <w:t>2.5.3</w:t>
            </w:r>
          </w:p>
        </w:tc>
        <w:tc>
          <w:tcPr>
            <w:tcW w:w="1484" w:type="dxa"/>
            <w:tcBorders>
              <w:top w:val="single" w:color="auto" w:sz="4" w:space="0"/>
            </w:tcBorders>
            <w:vAlign w:val="center"/>
          </w:tcPr>
          <w:p w14:paraId="6A34EF35">
            <w:pPr>
              <w:snapToGrid w:val="0"/>
              <w:jc w:val="both"/>
              <w:rPr>
                <w:rFonts w:ascii="宋体" w:hAnsi="宋体"/>
                <w:sz w:val="16"/>
                <w:szCs w:val="16"/>
              </w:rPr>
            </w:pPr>
            <w:r>
              <w:rPr>
                <w:rFonts w:hint="eastAsia" w:ascii="宋体" w:hAnsi="宋体"/>
                <w:sz w:val="16"/>
                <w:szCs w:val="16"/>
              </w:rPr>
              <w:t>滚筒转速检测</w:t>
            </w:r>
          </w:p>
        </w:tc>
        <w:tc>
          <w:tcPr>
            <w:tcW w:w="4601" w:type="dxa"/>
            <w:vAlign w:val="center"/>
          </w:tcPr>
          <w:p w14:paraId="0BC9ABCF">
            <w:pPr>
              <w:snapToGrid w:val="0"/>
              <w:jc w:val="both"/>
              <w:rPr>
                <w:rFonts w:ascii="宋体" w:hAnsi="宋体"/>
                <w:sz w:val="16"/>
                <w:szCs w:val="16"/>
              </w:rPr>
            </w:pPr>
            <w:r>
              <w:rPr>
                <w:rFonts w:ascii="宋体" w:hAnsi="宋体"/>
                <w:sz w:val="16"/>
                <w:szCs w:val="16"/>
              </w:rPr>
              <w:t>1.</w:t>
            </w:r>
            <w:r>
              <w:rPr>
                <w:rFonts w:hint="eastAsia" w:ascii="宋体" w:hAnsi="宋体"/>
                <w:sz w:val="16"/>
                <w:szCs w:val="16"/>
              </w:rPr>
              <w:t>电感式传感器；</w:t>
            </w:r>
            <w:r>
              <w:rPr>
                <w:rFonts w:ascii="宋体" w:hAnsi="宋体"/>
                <w:sz w:val="16"/>
                <w:szCs w:val="16"/>
              </w:rPr>
              <w:br w:type="textWrapping"/>
            </w:r>
            <w:r>
              <w:rPr>
                <w:rFonts w:ascii="宋体" w:hAnsi="宋体"/>
                <w:sz w:val="16"/>
                <w:szCs w:val="16"/>
              </w:rPr>
              <w:t xml:space="preserve">2.15mm </w:t>
            </w:r>
            <w:r>
              <w:rPr>
                <w:rFonts w:hint="eastAsia" w:ascii="宋体" w:hAnsi="宋体"/>
                <w:sz w:val="16"/>
                <w:szCs w:val="16"/>
              </w:rPr>
              <w:t>齐平</w:t>
            </w:r>
            <w:r>
              <w:rPr>
                <w:rFonts w:ascii="宋体" w:hAnsi="宋体"/>
                <w:sz w:val="16"/>
                <w:szCs w:val="16"/>
              </w:rPr>
              <w:br w:type="textWrapping"/>
            </w:r>
            <w:r>
              <w:rPr>
                <w:rFonts w:ascii="宋体" w:hAnsi="宋体"/>
                <w:sz w:val="16"/>
                <w:szCs w:val="16"/>
              </w:rPr>
              <w:t>3.PNP</w:t>
            </w:r>
            <w:r>
              <w:rPr>
                <w:rFonts w:hint="eastAsia" w:ascii="宋体" w:hAnsi="宋体"/>
                <w:sz w:val="16"/>
                <w:szCs w:val="16"/>
              </w:rPr>
              <w:t>；</w:t>
            </w:r>
            <w:r>
              <w:rPr>
                <w:rFonts w:ascii="宋体" w:hAnsi="宋体"/>
                <w:sz w:val="16"/>
                <w:szCs w:val="16"/>
              </w:rPr>
              <w:br w:type="textWrapping"/>
            </w:r>
            <w:r>
              <w:rPr>
                <w:rFonts w:ascii="宋体" w:hAnsi="宋体"/>
                <w:sz w:val="16"/>
                <w:szCs w:val="16"/>
              </w:rPr>
              <w:t>4.</w:t>
            </w:r>
            <w:r>
              <w:rPr>
                <w:rFonts w:hint="eastAsia" w:ascii="宋体" w:hAnsi="宋体"/>
                <w:sz w:val="16"/>
                <w:szCs w:val="16"/>
              </w:rPr>
              <w:t>时间延迟最大：</w:t>
            </w:r>
            <w:r>
              <w:rPr>
                <w:rFonts w:ascii="宋体" w:hAnsi="宋体"/>
                <w:sz w:val="16"/>
                <w:szCs w:val="16"/>
              </w:rPr>
              <w:t>15</w:t>
            </w:r>
            <w:r>
              <w:rPr>
                <w:rFonts w:hint="eastAsia" w:ascii="宋体" w:hAnsi="宋体"/>
                <w:sz w:val="16"/>
                <w:szCs w:val="16"/>
              </w:rPr>
              <w:t>毫秒</w:t>
            </w:r>
          </w:p>
        </w:tc>
        <w:tc>
          <w:tcPr>
            <w:tcW w:w="2022" w:type="dxa"/>
            <w:vAlign w:val="center"/>
          </w:tcPr>
          <w:p w14:paraId="52D0D8B9">
            <w:pPr>
              <w:snapToGrid w:val="0"/>
              <w:jc w:val="both"/>
              <w:rPr>
                <w:rFonts w:ascii="宋体" w:hAnsi="宋体" w:cstheme="minorEastAsia"/>
                <w:bCs/>
                <w:sz w:val="16"/>
                <w:szCs w:val="16"/>
              </w:rPr>
            </w:pPr>
          </w:p>
        </w:tc>
        <w:tc>
          <w:tcPr>
            <w:tcW w:w="0" w:type="auto"/>
            <w:vAlign w:val="center"/>
          </w:tcPr>
          <w:p w14:paraId="311717B6">
            <w:pPr>
              <w:jc w:val="both"/>
              <w:textAlignment w:val="center"/>
              <w:rPr>
                <w:rFonts w:ascii="宋体" w:hAnsi="宋体" w:cstheme="minorEastAsia"/>
                <w:bCs/>
                <w:sz w:val="16"/>
                <w:szCs w:val="16"/>
              </w:rPr>
            </w:pPr>
          </w:p>
        </w:tc>
        <w:tc>
          <w:tcPr>
            <w:tcW w:w="0" w:type="auto"/>
            <w:vAlign w:val="center"/>
          </w:tcPr>
          <w:p w14:paraId="5DF5672C">
            <w:pPr>
              <w:jc w:val="both"/>
              <w:textAlignment w:val="center"/>
              <w:rPr>
                <w:rFonts w:ascii="宋体" w:hAnsi="宋体" w:cstheme="minorEastAsia"/>
                <w:bCs/>
                <w:sz w:val="16"/>
                <w:szCs w:val="16"/>
              </w:rPr>
            </w:pPr>
          </w:p>
        </w:tc>
        <w:tc>
          <w:tcPr>
            <w:tcW w:w="1016" w:type="dxa"/>
            <w:vAlign w:val="center"/>
          </w:tcPr>
          <w:p w14:paraId="2A83FCD2">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2486C51B">
            <w:pPr>
              <w:jc w:val="both"/>
              <w:textAlignment w:val="center"/>
              <w:rPr>
                <w:rFonts w:ascii="宋体" w:hAnsi="宋体"/>
                <w:sz w:val="16"/>
                <w:szCs w:val="16"/>
              </w:rPr>
            </w:pPr>
            <w:r>
              <w:rPr>
                <w:rFonts w:ascii="宋体" w:hAnsi="宋体"/>
                <w:sz w:val="16"/>
                <w:szCs w:val="16"/>
              </w:rPr>
              <w:t>1</w:t>
            </w:r>
          </w:p>
        </w:tc>
        <w:tc>
          <w:tcPr>
            <w:tcW w:w="0" w:type="auto"/>
            <w:vAlign w:val="center"/>
          </w:tcPr>
          <w:p w14:paraId="614454DA">
            <w:pPr>
              <w:jc w:val="both"/>
              <w:textAlignment w:val="center"/>
              <w:rPr>
                <w:rFonts w:ascii="宋体" w:hAnsi="宋体" w:cstheme="minorEastAsia"/>
                <w:bCs/>
                <w:sz w:val="16"/>
                <w:szCs w:val="16"/>
                <w:highlight w:val="yellow"/>
              </w:rPr>
            </w:pPr>
          </w:p>
        </w:tc>
        <w:tc>
          <w:tcPr>
            <w:tcW w:w="0" w:type="auto"/>
            <w:vAlign w:val="center"/>
          </w:tcPr>
          <w:p w14:paraId="15782A4E">
            <w:pPr>
              <w:jc w:val="both"/>
              <w:textAlignment w:val="center"/>
              <w:rPr>
                <w:rFonts w:ascii="宋体" w:hAnsi="宋体" w:cstheme="minorEastAsia"/>
                <w:bCs/>
                <w:sz w:val="16"/>
                <w:szCs w:val="16"/>
                <w:highlight w:val="yellow"/>
              </w:rPr>
            </w:pPr>
          </w:p>
        </w:tc>
        <w:tc>
          <w:tcPr>
            <w:tcW w:w="0" w:type="auto"/>
            <w:vAlign w:val="center"/>
          </w:tcPr>
          <w:p w14:paraId="3DFBB685">
            <w:pPr>
              <w:jc w:val="both"/>
              <w:textAlignment w:val="center"/>
              <w:rPr>
                <w:rFonts w:ascii="宋体" w:hAnsi="宋体" w:cstheme="minorEastAsia"/>
                <w:bCs/>
                <w:sz w:val="16"/>
                <w:szCs w:val="16"/>
                <w:highlight w:val="yellow"/>
              </w:rPr>
            </w:pPr>
          </w:p>
        </w:tc>
        <w:tc>
          <w:tcPr>
            <w:tcW w:w="0" w:type="auto"/>
            <w:shd w:val="clear" w:color="auto" w:fill="auto"/>
            <w:vAlign w:val="center"/>
          </w:tcPr>
          <w:p w14:paraId="7C95F164">
            <w:pPr>
              <w:snapToGrid w:val="0"/>
              <w:jc w:val="both"/>
              <w:rPr>
                <w:rFonts w:ascii="宋体" w:hAnsi="宋体" w:cstheme="minorEastAsia"/>
                <w:bCs/>
                <w:sz w:val="16"/>
                <w:szCs w:val="16"/>
              </w:rPr>
            </w:pPr>
          </w:p>
        </w:tc>
      </w:tr>
      <w:tr w14:paraId="7B2F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6F8BD5E1">
            <w:pPr>
              <w:snapToGrid w:val="0"/>
              <w:jc w:val="both"/>
              <w:rPr>
                <w:rFonts w:ascii="宋体" w:hAnsi="宋体" w:cstheme="minorEastAsia"/>
                <w:bCs/>
                <w:sz w:val="16"/>
                <w:szCs w:val="16"/>
              </w:rPr>
            </w:pPr>
            <w:r>
              <w:rPr>
                <w:rFonts w:ascii="宋体" w:hAnsi="宋体"/>
                <w:sz w:val="16"/>
                <w:szCs w:val="16"/>
              </w:rPr>
              <w:t>2.5.4</w:t>
            </w:r>
          </w:p>
        </w:tc>
        <w:tc>
          <w:tcPr>
            <w:tcW w:w="1484" w:type="dxa"/>
            <w:tcBorders>
              <w:top w:val="single" w:color="auto" w:sz="4" w:space="0"/>
            </w:tcBorders>
            <w:vAlign w:val="center"/>
          </w:tcPr>
          <w:p w14:paraId="6298F8CB">
            <w:pPr>
              <w:snapToGrid w:val="0"/>
              <w:jc w:val="both"/>
              <w:rPr>
                <w:rFonts w:ascii="宋体" w:hAnsi="宋体"/>
                <w:sz w:val="16"/>
                <w:szCs w:val="16"/>
              </w:rPr>
            </w:pPr>
            <w:r>
              <w:rPr>
                <w:rFonts w:hint="eastAsia" w:ascii="宋体" w:hAnsi="宋体"/>
                <w:sz w:val="16"/>
                <w:szCs w:val="16"/>
              </w:rPr>
              <w:t>摄像头</w:t>
            </w:r>
          </w:p>
        </w:tc>
        <w:tc>
          <w:tcPr>
            <w:tcW w:w="4601" w:type="dxa"/>
            <w:vAlign w:val="center"/>
          </w:tcPr>
          <w:p w14:paraId="218D7EDB">
            <w:pPr>
              <w:snapToGrid w:val="0"/>
              <w:jc w:val="both"/>
              <w:rPr>
                <w:rFonts w:ascii="宋体" w:hAnsi="宋体"/>
                <w:sz w:val="16"/>
                <w:szCs w:val="16"/>
              </w:rPr>
            </w:pPr>
            <w:r>
              <w:rPr>
                <w:rFonts w:hint="eastAsia" w:ascii="宋体" w:hAnsi="宋体"/>
                <w:sz w:val="16"/>
                <w:szCs w:val="16"/>
              </w:rPr>
              <w:t>防护等级：IP67，能使用于潮湿环境，用于检测料液雾化状态，能与电脑通讯；帧率：3</w:t>
            </w:r>
            <w:r>
              <w:rPr>
                <w:rFonts w:ascii="宋体" w:hAnsi="宋体"/>
                <w:sz w:val="16"/>
                <w:szCs w:val="16"/>
              </w:rPr>
              <w:t>0</w:t>
            </w:r>
            <w:r>
              <w:rPr>
                <w:rFonts w:hint="eastAsia" w:ascii="宋体" w:hAnsi="宋体"/>
                <w:sz w:val="16"/>
                <w:szCs w:val="16"/>
              </w:rPr>
              <w:t>fps；视觉：7</w:t>
            </w:r>
            <w:r>
              <w:rPr>
                <w:rFonts w:ascii="宋体" w:hAnsi="宋体"/>
                <w:sz w:val="16"/>
                <w:szCs w:val="16"/>
              </w:rPr>
              <w:t>0</w:t>
            </w:r>
            <w:r>
              <w:rPr>
                <w:rFonts w:hint="eastAsia" w:ascii="宋体" w:hAnsi="宋体"/>
                <w:sz w:val="16"/>
                <w:szCs w:val="16"/>
              </w:rPr>
              <w:t>度；工作温度0度到7</w:t>
            </w:r>
            <w:r>
              <w:rPr>
                <w:rFonts w:ascii="宋体" w:hAnsi="宋体"/>
                <w:sz w:val="16"/>
                <w:szCs w:val="16"/>
              </w:rPr>
              <w:t>0</w:t>
            </w:r>
            <w:r>
              <w:rPr>
                <w:rFonts w:hint="eastAsia" w:ascii="宋体" w:hAnsi="宋体"/>
                <w:sz w:val="16"/>
                <w:szCs w:val="16"/>
              </w:rPr>
              <w:t>度；亮度可调L</w:t>
            </w:r>
            <w:r>
              <w:rPr>
                <w:rFonts w:ascii="宋体" w:hAnsi="宋体"/>
                <w:sz w:val="16"/>
                <w:szCs w:val="16"/>
              </w:rPr>
              <w:t>ED</w:t>
            </w:r>
            <w:r>
              <w:rPr>
                <w:rFonts w:hint="eastAsia" w:ascii="宋体" w:hAnsi="宋体"/>
                <w:sz w:val="16"/>
                <w:szCs w:val="16"/>
              </w:rPr>
              <w:t>灯。</w:t>
            </w:r>
          </w:p>
        </w:tc>
        <w:tc>
          <w:tcPr>
            <w:tcW w:w="2022" w:type="dxa"/>
            <w:vAlign w:val="center"/>
          </w:tcPr>
          <w:p w14:paraId="4C485BBE">
            <w:pPr>
              <w:snapToGrid w:val="0"/>
              <w:jc w:val="both"/>
              <w:rPr>
                <w:rFonts w:ascii="宋体" w:hAnsi="宋体" w:cstheme="minorEastAsia"/>
                <w:bCs/>
                <w:sz w:val="16"/>
                <w:szCs w:val="16"/>
              </w:rPr>
            </w:pPr>
          </w:p>
        </w:tc>
        <w:tc>
          <w:tcPr>
            <w:tcW w:w="0" w:type="auto"/>
            <w:vAlign w:val="center"/>
          </w:tcPr>
          <w:p w14:paraId="0EF46D1B">
            <w:pPr>
              <w:jc w:val="both"/>
              <w:textAlignment w:val="center"/>
              <w:rPr>
                <w:rFonts w:ascii="宋体" w:hAnsi="宋体" w:cstheme="minorEastAsia"/>
                <w:bCs/>
                <w:sz w:val="16"/>
                <w:szCs w:val="16"/>
              </w:rPr>
            </w:pPr>
          </w:p>
        </w:tc>
        <w:tc>
          <w:tcPr>
            <w:tcW w:w="0" w:type="auto"/>
            <w:vAlign w:val="center"/>
          </w:tcPr>
          <w:p w14:paraId="520A598F">
            <w:pPr>
              <w:jc w:val="both"/>
              <w:textAlignment w:val="center"/>
              <w:rPr>
                <w:rFonts w:ascii="宋体" w:hAnsi="宋体" w:cstheme="minorEastAsia"/>
                <w:bCs/>
                <w:sz w:val="16"/>
                <w:szCs w:val="16"/>
              </w:rPr>
            </w:pPr>
          </w:p>
        </w:tc>
        <w:tc>
          <w:tcPr>
            <w:tcW w:w="1016" w:type="dxa"/>
            <w:vAlign w:val="center"/>
          </w:tcPr>
          <w:p w14:paraId="721A97FD">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0145CB56">
            <w:pPr>
              <w:jc w:val="both"/>
              <w:textAlignment w:val="center"/>
              <w:rPr>
                <w:rFonts w:ascii="宋体" w:hAnsi="宋体"/>
                <w:sz w:val="16"/>
                <w:szCs w:val="16"/>
              </w:rPr>
            </w:pPr>
            <w:r>
              <w:rPr>
                <w:rFonts w:ascii="宋体" w:hAnsi="宋体"/>
                <w:sz w:val="16"/>
                <w:szCs w:val="16"/>
              </w:rPr>
              <w:t>1</w:t>
            </w:r>
          </w:p>
        </w:tc>
        <w:tc>
          <w:tcPr>
            <w:tcW w:w="0" w:type="auto"/>
            <w:vAlign w:val="center"/>
          </w:tcPr>
          <w:p w14:paraId="6D96509F">
            <w:pPr>
              <w:jc w:val="both"/>
              <w:textAlignment w:val="center"/>
              <w:rPr>
                <w:rFonts w:ascii="宋体" w:hAnsi="宋体" w:cstheme="minorEastAsia"/>
                <w:bCs/>
                <w:sz w:val="16"/>
                <w:szCs w:val="16"/>
                <w:highlight w:val="yellow"/>
              </w:rPr>
            </w:pPr>
          </w:p>
        </w:tc>
        <w:tc>
          <w:tcPr>
            <w:tcW w:w="0" w:type="auto"/>
            <w:vAlign w:val="center"/>
          </w:tcPr>
          <w:p w14:paraId="3A9FCE50">
            <w:pPr>
              <w:jc w:val="both"/>
              <w:textAlignment w:val="center"/>
              <w:rPr>
                <w:rFonts w:ascii="宋体" w:hAnsi="宋体" w:cstheme="minorEastAsia"/>
                <w:bCs/>
                <w:sz w:val="16"/>
                <w:szCs w:val="16"/>
                <w:highlight w:val="yellow"/>
              </w:rPr>
            </w:pPr>
          </w:p>
        </w:tc>
        <w:tc>
          <w:tcPr>
            <w:tcW w:w="0" w:type="auto"/>
            <w:vAlign w:val="center"/>
          </w:tcPr>
          <w:p w14:paraId="1FBA9D52">
            <w:pPr>
              <w:jc w:val="both"/>
              <w:textAlignment w:val="center"/>
              <w:rPr>
                <w:rFonts w:ascii="宋体" w:hAnsi="宋体" w:cstheme="minorEastAsia"/>
                <w:bCs/>
                <w:sz w:val="16"/>
                <w:szCs w:val="16"/>
                <w:highlight w:val="yellow"/>
              </w:rPr>
            </w:pPr>
          </w:p>
        </w:tc>
        <w:tc>
          <w:tcPr>
            <w:tcW w:w="0" w:type="auto"/>
            <w:shd w:val="clear" w:color="auto" w:fill="auto"/>
            <w:vAlign w:val="center"/>
          </w:tcPr>
          <w:p w14:paraId="5532067D">
            <w:pPr>
              <w:snapToGrid w:val="0"/>
              <w:jc w:val="both"/>
              <w:rPr>
                <w:rFonts w:ascii="宋体" w:hAnsi="宋体" w:cstheme="minorEastAsia"/>
                <w:bCs/>
                <w:sz w:val="16"/>
                <w:szCs w:val="16"/>
              </w:rPr>
            </w:pPr>
          </w:p>
        </w:tc>
      </w:tr>
      <w:tr w14:paraId="46A9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trPr>
        <w:tc>
          <w:tcPr>
            <w:tcW w:w="856" w:type="dxa"/>
            <w:vAlign w:val="center"/>
          </w:tcPr>
          <w:p w14:paraId="6108D57D">
            <w:pPr>
              <w:snapToGrid w:val="0"/>
              <w:jc w:val="both"/>
              <w:rPr>
                <w:rFonts w:ascii="宋体" w:hAnsi="宋体" w:cstheme="minorEastAsia"/>
                <w:b/>
                <w:bCs/>
                <w:sz w:val="16"/>
                <w:szCs w:val="16"/>
              </w:rPr>
            </w:pPr>
            <w:r>
              <w:rPr>
                <w:rFonts w:hint="eastAsia" w:ascii="宋体" w:hAnsi="宋体" w:cstheme="minorEastAsia"/>
                <w:b/>
                <w:bCs/>
                <w:sz w:val="16"/>
                <w:szCs w:val="16"/>
              </w:rPr>
              <w:t>2.6</w:t>
            </w:r>
          </w:p>
        </w:tc>
        <w:tc>
          <w:tcPr>
            <w:tcW w:w="13138" w:type="dxa"/>
            <w:gridSpan w:val="11"/>
            <w:vAlign w:val="center"/>
          </w:tcPr>
          <w:p w14:paraId="2AF2FB92">
            <w:pPr>
              <w:snapToGrid w:val="0"/>
              <w:jc w:val="both"/>
              <w:rPr>
                <w:rFonts w:ascii="宋体" w:hAnsi="宋体" w:cstheme="minorEastAsia"/>
                <w:b/>
                <w:bCs/>
                <w:sz w:val="16"/>
                <w:szCs w:val="16"/>
              </w:rPr>
            </w:pPr>
            <w:r>
              <w:rPr>
                <w:rFonts w:hint="eastAsia" w:ascii="宋体" w:hAnsi="宋体" w:cstheme="minorEastAsia"/>
                <w:b/>
                <w:bCs/>
                <w:sz w:val="16"/>
                <w:szCs w:val="16"/>
              </w:rPr>
              <w:t>加料前储柜出柜流量控制</w:t>
            </w:r>
          </w:p>
        </w:tc>
      </w:tr>
      <w:tr w14:paraId="4C55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44AE9EF">
            <w:pPr>
              <w:snapToGrid w:val="0"/>
              <w:jc w:val="both"/>
              <w:rPr>
                <w:rFonts w:ascii="宋体" w:hAnsi="宋体" w:cstheme="minorEastAsia"/>
                <w:bCs/>
                <w:sz w:val="16"/>
                <w:szCs w:val="16"/>
              </w:rPr>
            </w:pPr>
            <w:r>
              <w:rPr>
                <w:rFonts w:ascii="宋体" w:hAnsi="宋体"/>
                <w:sz w:val="16"/>
                <w:szCs w:val="16"/>
              </w:rPr>
              <w:t>2.6.1</w:t>
            </w:r>
          </w:p>
        </w:tc>
        <w:tc>
          <w:tcPr>
            <w:tcW w:w="1484" w:type="dxa"/>
            <w:tcBorders>
              <w:top w:val="single" w:color="auto" w:sz="4" w:space="0"/>
            </w:tcBorders>
            <w:vAlign w:val="center"/>
          </w:tcPr>
          <w:p w14:paraId="78FD6B89">
            <w:pPr>
              <w:snapToGrid w:val="0"/>
              <w:jc w:val="both"/>
              <w:rPr>
                <w:rFonts w:ascii="宋体" w:hAnsi="宋体"/>
                <w:sz w:val="16"/>
                <w:szCs w:val="16"/>
              </w:rPr>
            </w:pPr>
            <w:r>
              <w:rPr>
                <w:rFonts w:hint="eastAsia" w:ascii="宋体" w:hAnsi="宋体"/>
                <w:sz w:val="16"/>
                <w:szCs w:val="16"/>
              </w:rPr>
              <w:t>激光测距</w:t>
            </w:r>
            <w:r>
              <w:rPr>
                <w:rFonts w:ascii="宋体" w:hAnsi="宋体"/>
                <w:sz w:val="16"/>
                <w:szCs w:val="16"/>
              </w:rPr>
              <w:t>(</w:t>
            </w:r>
            <w:r>
              <w:rPr>
                <w:rFonts w:hint="eastAsia" w:ascii="宋体" w:hAnsi="宋体"/>
                <w:sz w:val="16"/>
                <w:szCs w:val="16"/>
              </w:rPr>
              <w:t>含激光测距电缆插头</w:t>
            </w:r>
            <w:r>
              <w:rPr>
                <w:rFonts w:ascii="宋体" w:hAnsi="宋体"/>
                <w:sz w:val="16"/>
                <w:szCs w:val="16"/>
              </w:rPr>
              <w:t>)</w:t>
            </w:r>
          </w:p>
        </w:tc>
        <w:tc>
          <w:tcPr>
            <w:tcW w:w="4601" w:type="dxa"/>
            <w:vAlign w:val="center"/>
          </w:tcPr>
          <w:p w14:paraId="2D134E66">
            <w:pPr>
              <w:snapToGrid w:val="0"/>
              <w:jc w:val="both"/>
              <w:rPr>
                <w:rFonts w:ascii="宋体" w:hAnsi="宋体"/>
                <w:sz w:val="16"/>
                <w:szCs w:val="16"/>
              </w:rPr>
            </w:pPr>
            <w:r>
              <w:rPr>
                <w:rFonts w:ascii="宋体" w:hAnsi="宋体"/>
                <w:sz w:val="16"/>
                <w:szCs w:val="16"/>
              </w:rPr>
              <w:t>1.</w:t>
            </w:r>
            <w:r>
              <w:rPr>
                <w:rFonts w:hint="eastAsia" w:ascii="宋体" w:hAnsi="宋体"/>
                <w:sz w:val="16"/>
                <w:szCs w:val="16"/>
              </w:rPr>
              <w:t>测量范围</w:t>
            </w:r>
            <w:r>
              <w:rPr>
                <w:rFonts w:ascii="宋体" w:hAnsi="宋体"/>
                <w:sz w:val="16"/>
                <w:szCs w:val="16"/>
              </w:rPr>
              <w:t>0.2--15</w:t>
            </w:r>
            <w:r>
              <w:rPr>
                <w:rFonts w:hint="eastAsia" w:ascii="宋体" w:hAnsi="宋体"/>
                <w:sz w:val="16"/>
                <w:szCs w:val="16"/>
              </w:rPr>
              <w:t>米</w:t>
            </w:r>
            <w:r>
              <w:rPr>
                <w:rFonts w:ascii="宋体" w:hAnsi="宋体"/>
                <w:sz w:val="16"/>
                <w:szCs w:val="16"/>
              </w:rPr>
              <w:br w:type="textWrapping"/>
            </w:r>
            <w:r>
              <w:rPr>
                <w:rFonts w:ascii="宋体" w:hAnsi="宋体"/>
                <w:sz w:val="16"/>
                <w:szCs w:val="16"/>
              </w:rPr>
              <w:t>2.</w:t>
            </w:r>
            <w:r>
              <w:rPr>
                <w:rFonts w:hint="eastAsia" w:ascii="宋体" w:hAnsi="宋体"/>
                <w:sz w:val="16"/>
                <w:szCs w:val="16"/>
              </w:rPr>
              <w:t>作电压</w:t>
            </w:r>
            <w:r>
              <w:rPr>
                <w:rFonts w:ascii="宋体" w:hAnsi="宋体"/>
                <w:sz w:val="16"/>
                <w:szCs w:val="16"/>
              </w:rPr>
              <w:t xml:space="preserve"> 10-30 V DC/</w:t>
            </w:r>
            <w:r>
              <w:rPr>
                <w:rFonts w:hint="eastAsia" w:ascii="宋体" w:hAnsi="宋体"/>
                <w:sz w:val="16"/>
                <w:szCs w:val="16"/>
              </w:rPr>
              <w:t>在</w:t>
            </w:r>
            <w:r>
              <w:rPr>
                <w:rFonts w:ascii="宋体" w:hAnsi="宋体"/>
                <w:sz w:val="16"/>
                <w:szCs w:val="16"/>
              </w:rPr>
              <w:t>IO</w:t>
            </w:r>
            <w:r>
              <w:rPr>
                <w:rFonts w:hint="eastAsia" w:ascii="宋体" w:hAnsi="宋体"/>
                <w:sz w:val="16"/>
                <w:szCs w:val="16"/>
              </w:rPr>
              <w:t>链路模式下运行时：</w:t>
            </w:r>
            <w:r>
              <w:rPr>
                <w:rFonts w:ascii="宋体" w:hAnsi="宋体"/>
                <w:sz w:val="16"/>
                <w:szCs w:val="16"/>
              </w:rPr>
              <w:t>18--30</w:t>
            </w:r>
            <w:r>
              <w:rPr>
                <w:rFonts w:hint="eastAsia" w:ascii="宋体" w:hAnsi="宋体"/>
                <w:sz w:val="16"/>
                <w:szCs w:val="16"/>
              </w:rPr>
              <w:t>伏</w:t>
            </w:r>
            <w:r>
              <w:rPr>
                <w:rFonts w:ascii="宋体" w:hAnsi="宋体"/>
                <w:sz w:val="16"/>
                <w:szCs w:val="16"/>
              </w:rPr>
              <w:br w:type="textWrapping"/>
            </w:r>
            <w:r>
              <w:rPr>
                <w:rFonts w:ascii="宋体" w:hAnsi="宋体"/>
                <w:sz w:val="16"/>
                <w:szCs w:val="16"/>
              </w:rPr>
              <w:t>3.</w:t>
            </w:r>
            <w:r>
              <w:rPr>
                <w:rFonts w:hint="eastAsia" w:ascii="宋体" w:hAnsi="宋体"/>
                <w:sz w:val="16"/>
                <w:szCs w:val="16"/>
              </w:rPr>
              <w:t>通讯接口</w:t>
            </w:r>
            <w:r>
              <w:rPr>
                <w:rFonts w:ascii="宋体" w:hAnsi="宋体"/>
                <w:sz w:val="16"/>
                <w:szCs w:val="16"/>
              </w:rPr>
              <w:t>:IO-Link</w:t>
            </w:r>
            <w:r>
              <w:rPr>
                <w:rFonts w:ascii="宋体" w:hAnsi="宋体"/>
                <w:sz w:val="16"/>
                <w:szCs w:val="16"/>
              </w:rPr>
              <w:br w:type="textWrapping"/>
            </w:r>
            <w:r>
              <w:rPr>
                <w:rFonts w:ascii="宋体" w:hAnsi="宋体"/>
                <w:sz w:val="16"/>
                <w:szCs w:val="16"/>
              </w:rPr>
              <w:t>4.</w:t>
            </w:r>
            <w:r>
              <w:rPr>
                <w:rFonts w:hint="eastAsia" w:ascii="宋体" w:hAnsi="宋体"/>
                <w:sz w:val="16"/>
                <w:szCs w:val="16"/>
              </w:rPr>
              <w:t>协议</w:t>
            </w:r>
            <w:r>
              <w:rPr>
                <w:rFonts w:ascii="宋体" w:hAnsi="宋体"/>
                <w:sz w:val="16"/>
                <w:szCs w:val="16"/>
              </w:rPr>
              <w:t>:IO-LinkV1.0</w:t>
            </w:r>
          </w:p>
        </w:tc>
        <w:tc>
          <w:tcPr>
            <w:tcW w:w="2022" w:type="dxa"/>
            <w:vAlign w:val="center"/>
          </w:tcPr>
          <w:p w14:paraId="58B35A9F">
            <w:pPr>
              <w:snapToGrid w:val="0"/>
              <w:jc w:val="both"/>
              <w:rPr>
                <w:rFonts w:ascii="宋体" w:hAnsi="宋体" w:cstheme="minorEastAsia"/>
                <w:bCs/>
                <w:sz w:val="16"/>
                <w:szCs w:val="16"/>
              </w:rPr>
            </w:pPr>
          </w:p>
        </w:tc>
        <w:tc>
          <w:tcPr>
            <w:tcW w:w="0" w:type="auto"/>
            <w:vAlign w:val="center"/>
          </w:tcPr>
          <w:p w14:paraId="73A86F1C">
            <w:pPr>
              <w:jc w:val="both"/>
              <w:textAlignment w:val="center"/>
              <w:rPr>
                <w:rFonts w:ascii="宋体" w:hAnsi="宋体" w:cstheme="minorEastAsia"/>
                <w:bCs/>
                <w:sz w:val="16"/>
                <w:szCs w:val="16"/>
              </w:rPr>
            </w:pPr>
          </w:p>
        </w:tc>
        <w:tc>
          <w:tcPr>
            <w:tcW w:w="0" w:type="auto"/>
            <w:vAlign w:val="center"/>
          </w:tcPr>
          <w:p w14:paraId="1FBB6DD9">
            <w:pPr>
              <w:jc w:val="both"/>
              <w:textAlignment w:val="center"/>
              <w:rPr>
                <w:rFonts w:ascii="宋体" w:hAnsi="宋体" w:cstheme="minorEastAsia"/>
                <w:bCs/>
                <w:sz w:val="16"/>
                <w:szCs w:val="16"/>
              </w:rPr>
            </w:pPr>
          </w:p>
        </w:tc>
        <w:tc>
          <w:tcPr>
            <w:tcW w:w="1016" w:type="dxa"/>
            <w:vAlign w:val="center"/>
          </w:tcPr>
          <w:p w14:paraId="7471EE3A">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1CD2373">
            <w:pPr>
              <w:jc w:val="both"/>
              <w:textAlignment w:val="center"/>
              <w:rPr>
                <w:rFonts w:ascii="宋体" w:hAnsi="宋体"/>
                <w:sz w:val="16"/>
                <w:szCs w:val="16"/>
              </w:rPr>
            </w:pPr>
            <w:r>
              <w:rPr>
                <w:rFonts w:ascii="宋体" w:hAnsi="宋体"/>
                <w:sz w:val="16"/>
                <w:szCs w:val="16"/>
              </w:rPr>
              <w:t>3</w:t>
            </w:r>
          </w:p>
        </w:tc>
        <w:tc>
          <w:tcPr>
            <w:tcW w:w="0" w:type="auto"/>
            <w:vAlign w:val="center"/>
          </w:tcPr>
          <w:p w14:paraId="45D5E0B2">
            <w:pPr>
              <w:jc w:val="both"/>
              <w:textAlignment w:val="center"/>
              <w:rPr>
                <w:rFonts w:ascii="宋体" w:hAnsi="宋体" w:cstheme="minorEastAsia"/>
                <w:bCs/>
                <w:sz w:val="16"/>
                <w:szCs w:val="16"/>
                <w:highlight w:val="yellow"/>
              </w:rPr>
            </w:pPr>
          </w:p>
        </w:tc>
        <w:tc>
          <w:tcPr>
            <w:tcW w:w="0" w:type="auto"/>
            <w:vAlign w:val="center"/>
          </w:tcPr>
          <w:p w14:paraId="3919F869">
            <w:pPr>
              <w:jc w:val="both"/>
              <w:textAlignment w:val="center"/>
              <w:rPr>
                <w:rFonts w:ascii="宋体" w:hAnsi="宋体" w:cstheme="minorEastAsia"/>
                <w:bCs/>
                <w:sz w:val="16"/>
                <w:szCs w:val="16"/>
                <w:highlight w:val="yellow"/>
              </w:rPr>
            </w:pPr>
          </w:p>
        </w:tc>
        <w:tc>
          <w:tcPr>
            <w:tcW w:w="0" w:type="auto"/>
            <w:vAlign w:val="center"/>
          </w:tcPr>
          <w:p w14:paraId="345BB5A1">
            <w:pPr>
              <w:jc w:val="both"/>
              <w:textAlignment w:val="center"/>
              <w:rPr>
                <w:rFonts w:ascii="宋体" w:hAnsi="宋体" w:cstheme="minorEastAsia"/>
                <w:bCs/>
                <w:sz w:val="16"/>
                <w:szCs w:val="16"/>
                <w:highlight w:val="yellow"/>
              </w:rPr>
            </w:pPr>
          </w:p>
        </w:tc>
        <w:tc>
          <w:tcPr>
            <w:tcW w:w="0" w:type="auto"/>
            <w:shd w:val="clear" w:color="auto" w:fill="auto"/>
            <w:vAlign w:val="center"/>
          </w:tcPr>
          <w:p w14:paraId="3D53A107">
            <w:pPr>
              <w:snapToGrid w:val="0"/>
              <w:jc w:val="both"/>
              <w:rPr>
                <w:rFonts w:ascii="宋体" w:hAnsi="宋体" w:cstheme="minorEastAsia"/>
                <w:bCs/>
                <w:sz w:val="16"/>
                <w:szCs w:val="16"/>
              </w:rPr>
            </w:pPr>
          </w:p>
        </w:tc>
      </w:tr>
      <w:tr w14:paraId="1A93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3007635">
            <w:pPr>
              <w:snapToGrid w:val="0"/>
              <w:jc w:val="both"/>
              <w:rPr>
                <w:rFonts w:ascii="宋体" w:hAnsi="宋体" w:cstheme="minorEastAsia"/>
                <w:bCs/>
                <w:sz w:val="16"/>
                <w:szCs w:val="16"/>
              </w:rPr>
            </w:pPr>
            <w:r>
              <w:rPr>
                <w:rFonts w:ascii="宋体" w:hAnsi="宋体"/>
                <w:sz w:val="16"/>
                <w:szCs w:val="16"/>
              </w:rPr>
              <w:t>2.6.2</w:t>
            </w:r>
          </w:p>
        </w:tc>
        <w:tc>
          <w:tcPr>
            <w:tcW w:w="1484" w:type="dxa"/>
            <w:tcBorders>
              <w:top w:val="single" w:color="auto" w:sz="4" w:space="0"/>
            </w:tcBorders>
            <w:vAlign w:val="center"/>
          </w:tcPr>
          <w:p w14:paraId="43C38D12">
            <w:pPr>
              <w:snapToGrid w:val="0"/>
              <w:jc w:val="both"/>
              <w:rPr>
                <w:rFonts w:ascii="宋体" w:hAnsi="宋体"/>
                <w:sz w:val="16"/>
                <w:szCs w:val="16"/>
              </w:rPr>
            </w:pPr>
            <w:r>
              <w:rPr>
                <w:rFonts w:ascii="宋体" w:hAnsi="宋体"/>
                <w:sz w:val="16"/>
                <w:szCs w:val="16"/>
              </w:rPr>
              <w:t>IO-LINK</w:t>
            </w:r>
            <w:r>
              <w:rPr>
                <w:rFonts w:hint="eastAsia" w:ascii="宋体" w:hAnsi="宋体"/>
                <w:sz w:val="16"/>
                <w:szCs w:val="16"/>
              </w:rPr>
              <w:t>主站模块（柜内型）</w:t>
            </w:r>
          </w:p>
        </w:tc>
        <w:tc>
          <w:tcPr>
            <w:tcW w:w="4601" w:type="dxa"/>
            <w:vAlign w:val="center"/>
          </w:tcPr>
          <w:p w14:paraId="4007BFC3">
            <w:pPr>
              <w:snapToGrid w:val="0"/>
              <w:jc w:val="both"/>
              <w:rPr>
                <w:rFonts w:ascii="宋体" w:hAnsi="宋体"/>
                <w:sz w:val="16"/>
                <w:szCs w:val="16"/>
              </w:rPr>
            </w:pPr>
            <w:r>
              <w:rPr>
                <w:rFonts w:hint="eastAsia" w:ascii="宋体" w:hAnsi="宋体"/>
                <w:sz w:val="16"/>
                <w:szCs w:val="16"/>
              </w:rPr>
              <w:t>用于集成</w:t>
            </w:r>
            <w:r>
              <w:rPr>
                <w:rFonts w:ascii="宋体" w:hAnsi="宋体"/>
                <w:sz w:val="16"/>
                <w:szCs w:val="16"/>
              </w:rPr>
              <w:t>IO-link</w:t>
            </w:r>
            <w:r>
              <w:rPr>
                <w:rFonts w:hint="eastAsia" w:ascii="宋体" w:hAnsi="宋体"/>
                <w:sz w:val="16"/>
                <w:szCs w:val="16"/>
              </w:rPr>
              <w:t>传感器，与主站通讯协议</w:t>
            </w:r>
            <w:r>
              <w:rPr>
                <w:rFonts w:ascii="宋体" w:hAnsi="宋体"/>
                <w:sz w:val="16"/>
                <w:szCs w:val="16"/>
              </w:rPr>
              <w:t>Profinet</w:t>
            </w:r>
          </w:p>
        </w:tc>
        <w:tc>
          <w:tcPr>
            <w:tcW w:w="2022" w:type="dxa"/>
            <w:vAlign w:val="center"/>
          </w:tcPr>
          <w:p w14:paraId="04546C9E">
            <w:pPr>
              <w:snapToGrid w:val="0"/>
              <w:jc w:val="both"/>
              <w:rPr>
                <w:rFonts w:ascii="宋体" w:hAnsi="宋体" w:cstheme="minorEastAsia"/>
                <w:bCs/>
                <w:sz w:val="16"/>
                <w:szCs w:val="16"/>
              </w:rPr>
            </w:pPr>
          </w:p>
        </w:tc>
        <w:tc>
          <w:tcPr>
            <w:tcW w:w="0" w:type="auto"/>
            <w:vAlign w:val="center"/>
          </w:tcPr>
          <w:p w14:paraId="35D79588">
            <w:pPr>
              <w:jc w:val="both"/>
              <w:textAlignment w:val="center"/>
              <w:rPr>
                <w:rFonts w:ascii="宋体" w:hAnsi="宋体" w:cstheme="minorEastAsia"/>
                <w:bCs/>
                <w:sz w:val="16"/>
                <w:szCs w:val="16"/>
              </w:rPr>
            </w:pPr>
          </w:p>
        </w:tc>
        <w:tc>
          <w:tcPr>
            <w:tcW w:w="0" w:type="auto"/>
            <w:vAlign w:val="center"/>
          </w:tcPr>
          <w:p w14:paraId="2A905BB9">
            <w:pPr>
              <w:jc w:val="both"/>
              <w:textAlignment w:val="center"/>
              <w:rPr>
                <w:rFonts w:ascii="宋体" w:hAnsi="宋体" w:cstheme="minorEastAsia"/>
                <w:bCs/>
                <w:sz w:val="16"/>
                <w:szCs w:val="16"/>
              </w:rPr>
            </w:pPr>
          </w:p>
        </w:tc>
        <w:tc>
          <w:tcPr>
            <w:tcW w:w="1016" w:type="dxa"/>
            <w:vAlign w:val="center"/>
          </w:tcPr>
          <w:p w14:paraId="7F1B8F76">
            <w:pPr>
              <w:jc w:val="both"/>
              <w:textAlignment w:val="center"/>
              <w:rPr>
                <w:rFonts w:ascii="宋体" w:hAnsi="宋体"/>
                <w:sz w:val="16"/>
                <w:szCs w:val="16"/>
              </w:rPr>
            </w:pPr>
            <w:r>
              <w:rPr>
                <w:rFonts w:hint="eastAsia" w:ascii="宋体" w:hAnsi="宋体"/>
                <w:sz w:val="16"/>
                <w:szCs w:val="16"/>
              </w:rPr>
              <w:t>件</w:t>
            </w:r>
          </w:p>
        </w:tc>
        <w:tc>
          <w:tcPr>
            <w:tcW w:w="609" w:type="dxa"/>
            <w:vAlign w:val="center"/>
          </w:tcPr>
          <w:p w14:paraId="5F5B981A">
            <w:pPr>
              <w:jc w:val="both"/>
              <w:textAlignment w:val="center"/>
              <w:rPr>
                <w:rFonts w:ascii="宋体" w:hAnsi="宋体"/>
                <w:sz w:val="16"/>
                <w:szCs w:val="16"/>
              </w:rPr>
            </w:pPr>
            <w:r>
              <w:rPr>
                <w:rFonts w:ascii="宋体" w:hAnsi="宋体"/>
                <w:sz w:val="16"/>
                <w:szCs w:val="16"/>
              </w:rPr>
              <w:t>1</w:t>
            </w:r>
          </w:p>
        </w:tc>
        <w:tc>
          <w:tcPr>
            <w:tcW w:w="0" w:type="auto"/>
            <w:vAlign w:val="center"/>
          </w:tcPr>
          <w:p w14:paraId="57E70F8F">
            <w:pPr>
              <w:jc w:val="both"/>
              <w:textAlignment w:val="center"/>
              <w:rPr>
                <w:rFonts w:ascii="宋体" w:hAnsi="宋体" w:cstheme="minorEastAsia"/>
                <w:bCs/>
                <w:sz w:val="16"/>
                <w:szCs w:val="16"/>
                <w:highlight w:val="yellow"/>
              </w:rPr>
            </w:pPr>
          </w:p>
        </w:tc>
        <w:tc>
          <w:tcPr>
            <w:tcW w:w="0" w:type="auto"/>
            <w:vAlign w:val="center"/>
          </w:tcPr>
          <w:p w14:paraId="564CD34A">
            <w:pPr>
              <w:jc w:val="both"/>
              <w:textAlignment w:val="center"/>
              <w:rPr>
                <w:rFonts w:ascii="宋体" w:hAnsi="宋体" w:cstheme="minorEastAsia"/>
                <w:bCs/>
                <w:sz w:val="16"/>
                <w:szCs w:val="16"/>
                <w:highlight w:val="yellow"/>
              </w:rPr>
            </w:pPr>
          </w:p>
        </w:tc>
        <w:tc>
          <w:tcPr>
            <w:tcW w:w="0" w:type="auto"/>
            <w:vAlign w:val="center"/>
          </w:tcPr>
          <w:p w14:paraId="5C529EC4">
            <w:pPr>
              <w:jc w:val="both"/>
              <w:textAlignment w:val="center"/>
              <w:rPr>
                <w:rFonts w:ascii="宋体" w:hAnsi="宋体" w:cstheme="minorEastAsia"/>
                <w:bCs/>
                <w:sz w:val="16"/>
                <w:szCs w:val="16"/>
                <w:highlight w:val="yellow"/>
              </w:rPr>
            </w:pPr>
          </w:p>
        </w:tc>
        <w:tc>
          <w:tcPr>
            <w:tcW w:w="0" w:type="auto"/>
            <w:shd w:val="clear" w:color="auto" w:fill="auto"/>
            <w:vAlign w:val="center"/>
          </w:tcPr>
          <w:p w14:paraId="68A199B8">
            <w:pPr>
              <w:snapToGrid w:val="0"/>
              <w:jc w:val="both"/>
              <w:rPr>
                <w:rFonts w:ascii="宋体" w:hAnsi="宋体" w:cstheme="minorEastAsia"/>
                <w:bCs/>
                <w:sz w:val="16"/>
                <w:szCs w:val="16"/>
              </w:rPr>
            </w:pPr>
          </w:p>
        </w:tc>
      </w:tr>
      <w:tr w14:paraId="6D79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6E2AAB2C">
            <w:pPr>
              <w:snapToGrid w:val="0"/>
              <w:jc w:val="both"/>
              <w:rPr>
                <w:rFonts w:ascii="宋体" w:hAnsi="宋体" w:cstheme="minorEastAsia"/>
                <w:b/>
                <w:bCs/>
                <w:sz w:val="16"/>
                <w:szCs w:val="16"/>
              </w:rPr>
            </w:pPr>
            <w:r>
              <w:rPr>
                <w:rFonts w:hint="eastAsia" w:ascii="宋体" w:hAnsi="宋体" w:cstheme="minorEastAsia"/>
                <w:b/>
                <w:bCs/>
                <w:sz w:val="16"/>
                <w:szCs w:val="16"/>
              </w:rPr>
              <w:t>2.7</w:t>
            </w:r>
          </w:p>
        </w:tc>
        <w:tc>
          <w:tcPr>
            <w:tcW w:w="13138" w:type="dxa"/>
            <w:gridSpan w:val="11"/>
            <w:vAlign w:val="center"/>
          </w:tcPr>
          <w:p w14:paraId="75F5B04A">
            <w:pPr>
              <w:snapToGrid w:val="0"/>
              <w:jc w:val="both"/>
              <w:rPr>
                <w:rFonts w:ascii="宋体" w:hAnsi="宋体" w:cstheme="minorEastAsia"/>
                <w:b/>
                <w:bCs/>
                <w:sz w:val="16"/>
                <w:szCs w:val="16"/>
              </w:rPr>
            </w:pPr>
            <w:r>
              <w:rPr>
                <w:rFonts w:hint="eastAsia" w:ascii="宋体" w:hAnsi="宋体" w:cstheme="minorEastAsia"/>
                <w:b/>
                <w:bCs/>
                <w:sz w:val="16"/>
                <w:szCs w:val="16"/>
              </w:rPr>
              <w:t>软件功能</w:t>
            </w:r>
          </w:p>
        </w:tc>
      </w:tr>
      <w:tr w14:paraId="135A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9D32D47">
            <w:pPr>
              <w:snapToGrid w:val="0"/>
              <w:jc w:val="both"/>
              <w:rPr>
                <w:rFonts w:ascii="宋体" w:hAnsi="宋体" w:cstheme="minorEastAsia"/>
                <w:bCs/>
                <w:sz w:val="16"/>
                <w:szCs w:val="16"/>
              </w:rPr>
            </w:pPr>
            <w:r>
              <w:rPr>
                <w:rFonts w:hint="eastAsia" w:ascii="宋体" w:hAnsi="宋体" w:cstheme="minorEastAsia"/>
                <w:bCs/>
                <w:sz w:val="16"/>
                <w:szCs w:val="16"/>
              </w:rPr>
              <w:t>2.7.1</w:t>
            </w:r>
          </w:p>
        </w:tc>
        <w:tc>
          <w:tcPr>
            <w:tcW w:w="1484" w:type="dxa"/>
            <w:tcBorders>
              <w:top w:val="single" w:color="auto" w:sz="4" w:space="0"/>
            </w:tcBorders>
            <w:vAlign w:val="center"/>
          </w:tcPr>
          <w:p w14:paraId="557CB06B">
            <w:pPr>
              <w:snapToGrid w:val="0"/>
              <w:jc w:val="both"/>
              <w:rPr>
                <w:rFonts w:ascii="宋体" w:hAnsi="宋体"/>
                <w:sz w:val="16"/>
                <w:szCs w:val="16"/>
              </w:rPr>
            </w:pPr>
            <w:r>
              <w:rPr>
                <w:rFonts w:hint="eastAsia" w:ascii="宋体" w:hAnsi="宋体"/>
                <w:sz w:val="16"/>
                <w:szCs w:val="16"/>
              </w:rPr>
              <w:t>基于数据协同的制丝关键主机设备健康状态监测软件</w:t>
            </w:r>
          </w:p>
        </w:tc>
        <w:tc>
          <w:tcPr>
            <w:tcW w:w="4601" w:type="dxa"/>
            <w:vAlign w:val="center"/>
          </w:tcPr>
          <w:p w14:paraId="2B88D87B">
            <w:pPr>
              <w:snapToGrid w:val="0"/>
              <w:jc w:val="both"/>
              <w:rPr>
                <w:rFonts w:ascii="宋体" w:hAnsi="宋体"/>
                <w:sz w:val="16"/>
                <w:szCs w:val="16"/>
              </w:rPr>
            </w:pPr>
            <w:r>
              <w:rPr>
                <w:rFonts w:ascii="宋体" w:hAnsi="宋体"/>
                <w:sz w:val="16"/>
                <w:szCs w:val="16"/>
              </w:rPr>
              <w:t>PLC</w:t>
            </w:r>
            <w:r>
              <w:rPr>
                <w:rFonts w:hint="eastAsia" w:ascii="宋体" w:hAnsi="宋体"/>
                <w:sz w:val="16"/>
                <w:szCs w:val="16"/>
              </w:rPr>
              <w:t>程序编程费、中控系统程序编程费、</w:t>
            </w:r>
            <w:r>
              <w:rPr>
                <w:rFonts w:ascii="宋体" w:hAnsi="宋体"/>
                <w:sz w:val="16"/>
                <w:szCs w:val="16"/>
              </w:rPr>
              <w:t>PLC</w:t>
            </w:r>
            <w:r>
              <w:rPr>
                <w:rFonts w:hint="eastAsia" w:ascii="宋体" w:hAnsi="宋体"/>
                <w:sz w:val="16"/>
                <w:szCs w:val="16"/>
              </w:rPr>
              <w:t>中控系统调试、阀门及传感器调试、数采存储平台搭建、产前工况智能评估、制丝关键主机设备状态检测与健康管理系统、电机电流健康状态、阀门状态智能监测、故障智能诊断和排除、出柜流量智能控制、切丝机系统数据集成、与</w:t>
            </w:r>
            <w:r>
              <w:rPr>
                <w:rFonts w:ascii="宋体" w:hAnsi="宋体"/>
                <w:sz w:val="16"/>
                <w:szCs w:val="16"/>
              </w:rPr>
              <w:t>PMS</w:t>
            </w:r>
            <w:r>
              <w:rPr>
                <w:rFonts w:hint="eastAsia" w:ascii="宋体" w:hAnsi="宋体"/>
                <w:sz w:val="16"/>
                <w:szCs w:val="16"/>
              </w:rPr>
              <w:t>系统（昆船管理系统）接口设计、与总体系统接口设计。</w:t>
            </w:r>
          </w:p>
        </w:tc>
        <w:tc>
          <w:tcPr>
            <w:tcW w:w="2022" w:type="dxa"/>
            <w:vAlign w:val="center"/>
          </w:tcPr>
          <w:p w14:paraId="3BE5B7D5">
            <w:pPr>
              <w:snapToGrid w:val="0"/>
              <w:jc w:val="both"/>
              <w:rPr>
                <w:rFonts w:ascii="宋体" w:hAnsi="宋体" w:cstheme="minorEastAsia"/>
                <w:bCs/>
                <w:sz w:val="16"/>
                <w:szCs w:val="16"/>
              </w:rPr>
            </w:pPr>
          </w:p>
        </w:tc>
        <w:tc>
          <w:tcPr>
            <w:tcW w:w="0" w:type="auto"/>
            <w:vAlign w:val="center"/>
          </w:tcPr>
          <w:p w14:paraId="76CA355A">
            <w:pPr>
              <w:jc w:val="both"/>
              <w:textAlignment w:val="center"/>
              <w:rPr>
                <w:rFonts w:ascii="宋体" w:hAnsi="宋体" w:cstheme="minorEastAsia"/>
                <w:bCs/>
                <w:sz w:val="16"/>
                <w:szCs w:val="16"/>
              </w:rPr>
            </w:pPr>
          </w:p>
        </w:tc>
        <w:tc>
          <w:tcPr>
            <w:tcW w:w="0" w:type="auto"/>
            <w:vAlign w:val="center"/>
          </w:tcPr>
          <w:p w14:paraId="466DA8C5">
            <w:pPr>
              <w:jc w:val="both"/>
              <w:textAlignment w:val="center"/>
              <w:rPr>
                <w:rFonts w:ascii="宋体" w:hAnsi="宋体" w:cstheme="minorEastAsia"/>
                <w:bCs/>
                <w:sz w:val="16"/>
                <w:szCs w:val="16"/>
              </w:rPr>
            </w:pPr>
          </w:p>
        </w:tc>
        <w:tc>
          <w:tcPr>
            <w:tcW w:w="1016" w:type="dxa"/>
            <w:vAlign w:val="center"/>
          </w:tcPr>
          <w:p w14:paraId="77F056C5">
            <w:pPr>
              <w:jc w:val="both"/>
              <w:textAlignment w:val="center"/>
              <w:rPr>
                <w:rFonts w:ascii="宋体" w:hAnsi="宋体"/>
                <w:sz w:val="16"/>
                <w:szCs w:val="16"/>
              </w:rPr>
            </w:pPr>
            <w:r>
              <w:rPr>
                <w:rFonts w:hint="eastAsia" w:ascii="宋体" w:hAnsi="宋体" w:cstheme="minorEastAsia"/>
                <w:bCs/>
                <w:sz w:val="16"/>
                <w:szCs w:val="16"/>
              </w:rPr>
              <w:t>套</w:t>
            </w:r>
          </w:p>
        </w:tc>
        <w:tc>
          <w:tcPr>
            <w:tcW w:w="609" w:type="dxa"/>
            <w:vAlign w:val="center"/>
          </w:tcPr>
          <w:p w14:paraId="5A3DAF2A">
            <w:pPr>
              <w:jc w:val="both"/>
              <w:textAlignment w:val="center"/>
              <w:rPr>
                <w:rFonts w:ascii="宋体" w:hAnsi="宋体"/>
                <w:sz w:val="16"/>
                <w:szCs w:val="16"/>
              </w:rPr>
            </w:pPr>
            <w:r>
              <w:rPr>
                <w:rFonts w:hint="eastAsia" w:ascii="宋体" w:hAnsi="宋体" w:cstheme="minorEastAsia"/>
                <w:bCs/>
                <w:sz w:val="16"/>
                <w:szCs w:val="16"/>
              </w:rPr>
              <w:t>1</w:t>
            </w:r>
          </w:p>
        </w:tc>
        <w:tc>
          <w:tcPr>
            <w:tcW w:w="0" w:type="auto"/>
            <w:vAlign w:val="center"/>
          </w:tcPr>
          <w:p w14:paraId="0B75B1CE">
            <w:pPr>
              <w:jc w:val="both"/>
              <w:textAlignment w:val="center"/>
              <w:rPr>
                <w:rFonts w:ascii="宋体" w:hAnsi="宋体" w:cstheme="minorEastAsia"/>
                <w:bCs/>
                <w:sz w:val="16"/>
                <w:szCs w:val="16"/>
                <w:highlight w:val="yellow"/>
              </w:rPr>
            </w:pPr>
          </w:p>
        </w:tc>
        <w:tc>
          <w:tcPr>
            <w:tcW w:w="0" w:type="auto"/>
            <w:vAlign w:val="center"/>
          </w:tcPr>
          <w:p w14:paraId="3D32F39E">
            <w:pPr>
              <w:jc w:val="both"/>
              <w:textAlignment w:val="center"/>
              <w:rPr>
                <w:rFonts w:ascii="宋体" w:hAnsi="宋体" w:cstheme="minorEastAsia"/>
                <w:bCs/>
                <w:sz w:val="16"/>
                <w:szCs w:val="16"/>
                <w:highlight w:val="yellow"/>
              </w:rPr>
            </w:pPr>
          </w:p>
        </w:tc>
        <w:tc>
          <w:tcPr>
            <w:tcW w:w="0" w:type="auto"/>
            <w:vAlign w:val="center"/>
          </w:tcPr>
          <w:p w14:paraId="66B8CEAF">
            <w:pPr>
              <w:jc w:val="both"/>
              <w:textAlignment w:val="center"/>
              <w:rPr>
                <w:rFonts w:ascii="宋体" w:hAnsi="宋体" w:cstheme="minorEastAsia"/>
                <w:bCs/>
                <w:sz w:val="16"/>
                <w:szCs w:val="16"/>
                <w:highlight w:val="yellow"/>
              </w:rPr>
            </w:pPr>
          </w:p>
        </w:tc>
        <w:tc>
          <w:tcPr>
            <w:tcW w:w="0" w:type="auto"/>
            <w:shd w:val="clear" w:color="auto" w:fill="auto"/>
            <w:vAlign w:val="center"/>
          </w:tcPr>
          <w:p w14:paraId="5ADE0B0E">
            <w:pPr>
              <w:snapToGrid w:val="0"/>
              <w:jc w:val="both"/>
              <w:rPr>
                <w:rFonts w:ascii="宋体" w:hAnsi="宋体" w:cstheme="minorEastAsia"/>
                <w:bCs/>
                <w:sz w:val="16"/>
                <w:szCs w:val="16"/>
              </w:rPr>
            </w:pPr>
          </w:p>
        </w:tc>
      </w:tr>
      <w:tr w14:paraId="7190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4F9CC03">
            <w:pPr>
              <w:snapToGrid w:val="0"/>
              <w:jc w:val="both"/>
              <w:rPr>
                <w:rFonts w:ascii="宋体" w:hAnsi="宋体" w:cstheme="minorEastAsia"/>
                <w:b/>
                <w:bCs/>
                <w:sz w:val="16"/>
                <w:szCs w:val="16"/>
              </w:rPr>
            </w:pPr>
            <w:r>
              <w:rPr>
                <w:rFonts w:hint="eastAsia" w:ascii="宋体" w:hAnsi="宋体" w:cstheme="minorEastAsia"/>
                <w:b/>
                <w:bCs/>
                <w:sz w:val="16"/>
                <w:szCs w:val="16"/>
              </w:rPr>
              <w:t>2.8</w:t>
            </w:r>
          </w:p>
        </w:tc>
        <w:tc>
          <w:tcPr>
            <w:tcW w:w="1484" w:type="dxa"/>
            <w:tcBorders>
              <w:top w:val="single" w:color="auto" w:sz="4" w:space="0"/>
            </w:tcBorders>
            <w:vAlign w:val="center"/>
          </w:tcPr>
          <w:p w14:paraId="1E1445B7">
            <w:pPr>
              <w:snapToGrid w:val="0"/>
              <w:jc w:val="both"/>
              <w:rPr>
                <w:rFonts w:ascii="宋体" w:hAnsi="宋体"/>
                <w:b/>
                <w:sz w:val="16"/>
                <w:szCs w:val="16"/>
              </w:rPr>
            </w:pPr>
            <w:r>
              <w:rPr>
                <w:rFonts w:hint="eastAsia" w:ascii="宋体" w:hAnsi="宋体"/>
                <w:b/>
                <w:sz w:val="16"/>
                <w:szCs w:val="16"/>
              </w:rPr>
              <w:t>辅材</w:t>
            </w:r>
          </w:p>
        </w:tc>
        <w:tc>
          <w:tcPr>
            <w:tcW w:w="4601" w:type="dxa"/>
            <w:vAlign w:val="center"/>
          </w:tcPr>
          <w:p w14:paraId="0AC340EB">
            <w:pPr>
              <w:snapToGrid w:val="0"/>
              <w:jc w:val="both"/>
              <w:rPr>
                <w:rFonts w:ascii="宋体" w:hAnsi="宋体"/>
                <w:sz w:val="16"/>
                <w:szCs w:val="16"/>
              </w:rPr>
            </w:pPr>
            <w:r>
              <w:rPr>
                <w:rFonts w:hint="eastAsia" w:ascii="宋体" w:hAnsi="宋体"/>
                <w:sz w:val="16"/>
                <w:szCs w:val="16"/>
              </w:rPr>
              <w:t>含</w:t>
            </w:r>
            <w:r>
              <w:rPr>
                <w:rFonts w:ascii="宋体" w:hAnsi="宋体"/>
                <w:sz w:val="16"/>
                <w:szCs w:val="16"/>
              </w:rPr>
              <w:t>PA</w:t>
            </w:r>
            <w:r>
              <w:rPr>
                <w:rFonts w:hint="eastAsia" w:ascii="宋体" w:hAnsi="宋体"/>
                <w:sz w:val="16"/>
                <w:szCs w:val="16"/>
              </w:rPr>
              <w:t>电缆、</w:t>
            </w:r>
            <w:r>
              <w:rPr>
                <w:rFonts w:ascii="宋体" w:hAnsi="宋体"/>
                <w:sz w:val="16"/>
                <w:szCs w:val="16"/>
              </w:rPr>
              <w:t>PA</w:t>
            </w:r>
            <w:r>
              <w:rPr>
                <w:rFonts w:hint="eastAsia" w:ascii="宋体" w:hAnsi="宋体"/>
                <w:sz w:val="16"/>
                <w:szCs w:val="16"/>
              </w:rPr>
              <w:t>接线盒、工业以太网</w:t>
            </w:r>
            <w:r>
              <w:rPr>
                <w:rFonts w:ascii="宋体" w:hAnsi="宋体"/>
                <w:sz w:val="16"/>
                <w:szCs w:val="16"/>
              </w:rPr>
              <w:t>FC</w:t>
            </w:r>
            <w:r>
              <w:rPr>
                <w:rFonts w:hint="eastAsia" w:ascii="宋体" w:hAnsi="宋体"/>
                <w:sz w:val="16"/>
                <w:szCs w:val="16"/>
              </w:rPr>
              <w:t>电缆（</w:t>
            </w:r>
            <w:r>
              <w:rPr>
                <w:rFonts w:ascii="宋体" w:hAnsi="宋体"/>
                <w:sz w:val="16"/>
                <w:szCs w:val="16"/>
              </w:rPr>
              <w:t>2x2</w:t>
            </w:r>
            <w:r>
              <w:rPr>
                <w:rFonts w:hint="eastAsia" w:ascii="宋体" w:hAnsi="宋体"/>
                <w:sz w:val="16"/>
                <w:szCs w:val="16"/>
              </w:rPr>
              <w:t>芯</w:t>
            </w:r>
            <w:r>
              <w:rPr>
                <w:rFonts w:ascii="宋体" w:hAnsi="宋体"/>
                <w:sz w:val="16"/>
                <w:szCs w:val="16"/>
              </w:rPr>
              <w:t>)</w:t>
            </w:r>
            <w:r>
              <w:rPr>
                <w:rFonts w:hint="eastAsia" w:ascii="宋体" w:hAnsi="宋体"/>
                <w:sz w:val="16"/>
                <w:szCs w:val="16"/>
              </w:rPr>
              <w:t>、</w:t>
            </w:r>
            <w:r>
              <w:rPr>
                <w:rFonts w:ascii="宋体" w:hAnsi="宋体"/>
                <w:sz w:val="16"/>
                <w:szCs w:val="16"/>
              </w:rPr>
              <w:t>RJ45</w:t>
            </w:r>
            <w:r>
              <w:rPr>
                <w:rFonts w:hint="eastAsia" w:ascii="宋体" w:hAnsi="宋体"/>
                <w:sz w:val="16"/>
                <w:szCs w:val="16"/>
              </w:rPr>
              <w:t>插头</w:t>
            </w:r>
            <w:r>
              <w:rPr>
                <w:rFonts w:ascii="宋体" w:hAnsi="宋体"/>
                <w:sz w:val="16"/>
                <w:szCs w:val="16"/>
              </w:rPr>
              <w:t>180</w:t>
            </w:r>
            <w:r>
              <w:rPr>
                <w:rFonts w:hint="eastAsia" w:ascii="宋体" w:hAnsi="宋体"/>
                <w:sz w:val="16"/>
                <w:szCs w:val="16"/>
              </w:rPr>
              <w:t>度（</w:t>
            </w:r>
            <w:r>
              <w:rPr>
                <w:rFonts w:ascii="宋体" w:hAnsi="宋体"/>
                <w:sz w:val="16"/>
                <w:szCs w:val="16"/>
              </w:rPr>
              <w:t>2x2</w:t>
            </w:r>
            <w:r>
              <w:rPr>
                <w:rFonts w:hint="eastAsia" w:ascii="宋体" w:hAnsi="宋体"/>
                <w:sz w:val="16"/>
                <w:szCs w:val="16"/>
              </w:rPr>
              <w:t>芯</w:t>
            </w:r>
            <w:r>
              <w:rPr>
                <w:rFonts w:ascii="宋体" w:hAnsi="宋体"/>
                <w:sz w:val="16"/>
                <w:szCs w:val="16"/>
              </w:rPr>
              <w:t>)</w:t>
            </w:r>
            <w:r>
              <w:rPr>
                <w:rFonts w:hint="eastAsia" w:ascii="宋体" w:hAnsi="宋体"/>
                <w:sz w:val="16"/>
                <w:szCs w:val="16"/>
              </w:rPr>
              <w:t>、</w:t>
            </w:r>
            <w:r>
              <w:rPr>
                <w:rFonts w:ascii="宋体" w:hAnsi="宋体"/>
                <w:sz w:val="16"/>
                <w:szCs w:val="16"/>
              </w:rPr>
              <w:t>IM 155-6 PN ST</w:t>
            </w:r>
            <w:r>
              <w:rPr>
                <w:rFonts w:hint="eastAsia" w:ascii="宋体" w:hAnsi="宋体"/>
                <w:sz w:val="16"/>
                <w:szCs w:val="16"/>
              </w:rPr>
              <w:t>、</w:t>
            </w:r>
            <w:r>
              <w:rPr>
                <w:rFonts w:ascii="宋体" w:hAnsi="宋体"/>
                <w:sz w:val="16"/>
                <w:szCs w:val="16"/>
              </w:rPr>
              <w:t xml:space="preserve">DI </w:t>
            </w:r>
            <w:r>
              <w:rPr>
                <w:rFonts w:hint="eastAsia" w:ascii="宋体" w:hAnsi="宋体"/>
                <w:sz w:val="16"/>
                <w:szCs w:val="16"/>
              </w:rPr>
              <w:t>输入电子模块</w:t>
            </w:r>
            <w:r>
              <w:rPr>
                <w:rFonts w:ascii="宋体" w:hAnsi="宋体"/>
                <w:sz w:val="16"/>
                <w:szCs w:val="16"/>
              </w:rPr>
              <w:t>16</w:t>
            </w:r>
            <w:r>
              <w:rPr>
                <w:rFonts w:hint="eastAsia" w:ascii="宋体" w:hAnsi="宋体"/>
                <w:sz w:val="16"/>
                <w:szCs w:val="16"/>
              </w:rPr>
              <w:t>路、</w:t>
            </w:r>
            <w:r>
              <w:rPr>
                <w:rFonts w:ascii="宋体" w:hAnsi="宋体"/>
                <w:sz w:val="16"/>
                <w:szCs w:val="16"/>
              </w:rPr>
              <w:t xml:space="preserve">AI 4xI 2/4 </w:t>
            </w:r>
            <w:r>
              <w:rPr>
                <w:rFonts w:hint="eastAsia" w:ascii="宋体" w:hAnsi="宋体"/>
                <w:sz w:val="16"/>
                <w:szCs w:val="16"/>
              </w:rPr>
              <w:t>线制</w:t>
            </w:r>
            <w:r>
              <w:rPr>
                <w:rFonts w:ascii="宋体" w:hAnsi="宋体"/>
                <w:sz w:val="16"/>
                <w:szCs w:val="16"/>
              </w:rPr>
              <w:t xml:space="preserve"> ST</w:t>
            </w:r>
            <w:r>
              <w:rPr>
                <w:rFonts w:hint="eastAsia" w:ascii="宋体" w:hAnsi="宋体"/>
                <w:sz w:val="16"/>
                <w:szCs w:val="16"/>
              </w:rPr>
              <w:t>、馈电端子、直插式端子、屏蔽电缆、控制电缆</w:t>
            </w:r>
            <w:r>
              <w:rPr>
                <w:rFonts w:ascii="宋体" w:hAnsi="宋体"/>
                <w:sz w:val="16"/>
                <w:szCs w:val="16"/>
              </w:rPr>
              <w:t xml:space="preserve"> </w:t>
            </w:r>
            <w:r>
              <w:rPr>
                <w:rFonts w:hint="eastAsia" w:ascii="宋体" w:hAnsi="宋体"/>
                <w:sz w:val="16"/>
                <w:szCs w:val="16"/>
              </w:rPr>
              <w:t>、铜芯阻燃电缆护套层颜色为黑色（供电）、</w:t>
            </w:r>
            <w:r>
              <w:rPr>
                <w:rFonts w:ascii="宋体" w:hAnsi="宋体"/>
                <w:sz w:val="16"/>
                <w:szCs w:val="16"/>
              </w:rPr>
              <w:t>DC24V</w:t>
            </w:r>
            <w:r>
              <w:rPr>
                <w:rFonts w:hint="eastAsia" w:ascii="宋体" w:hAnsi="宋体"/>
                <w:sz w:val="16"/>
                <w:szCs w:val="16"/>
              </w:rPr>
              <w:t>电源（</w:t>
            </w:r>
            <w:r>
              <w:rPr>
                <w:rFonts w:ascii="宋体" w:hAnsi="宋体"/>
                <w:sz w:val="16"/>
                <w:szCs w:val="16"/>
              </w:rPr>
              <w:t>10A)</w:t>
            </w:r>
            <w:r>
              <w:rPr>
                <w:rFonts w:hint="eastAsia" w:ascii="宋体" w:hAnsi="宋体"/>
                <w:sz w:val="16"/>
                <w:szCs w:val="16"/>
              </w:rPr>
              <w:t>单相、单极开关</w:t>
            </w:r>
            <w:r>
              <w:rPr>
                <w:rFonts w:ascii="宋体" w:hAnsi="宋体"/>
                <w:sz w:val="16"/>
                <w:szCs w:val="16"/>
              </w:rPr>
              <w:t>4A(AC220V</w:t>
            </w:r>
            <w:r>
              <w:rPr>
                <w:rFonts w:hint="eastAsia" w:ascii="宋体" w:hAnsi="宋体"/>
                <w:sz w:val="16"/>
                <w:szCs w:val="16"/>
              </w:rPr>
              <w:t>输入电源</w:t>
            </w:r>
            <w:r>
              <w:rPr>
                <w:rFonts w:ascii="宋体" w:hAnsi="宋体"/>
                <w:sz w:val="16"/>
                <w:szCs w:val="16"/>
              </w:rPr>
              <w:t>)</w:t>
            </w:r>
            <w:r>
              <w:rPr>
                <w:rFonts w:hint="eastAsia" w:ascii="宋体" w:hAnsi="宋体"/>
                <w:sz w:val="16"/>
                <w:szCs w:val="16"/>
              </w:rPr>
              <w:t>、控制箱、电控系统辅材、管道改造辅材等。</w:t>
            </w:r>
          </w:p>
        </w:tc>
        <w:tc>
          <w:tcPr>
            <w:tcW w:w="2022" w:type="dxa"/>
            <w:vAlign w:val="center"/>
          </w:tcPr>
          <w:p w14:paraId="7F9E3D20">
            <w:pPr>
              <w:snapToGrid w:val="0"/>
              <w:jc w:val="both"/>
              <w:rPr>
                <w:rFonts w:ascii="宋体" w:hAnsi="宋体" w:cstheme="minorEastAsia"/>
                <w:bCs/>
                <w:sz w:val="16"/>
                <w:szCs w:val="16"/>
              </w:rPr>
            </w:pPr>
          </w:p>
        </w:tc>
        <w:tc>
          <w:tcPr>
            <w:tcW w:w="0" w:type="auto"/>
            <w:vAlign w:val="center"/>
          </w:tcPr>
          <w:p w14:paraId="749BF8F2">
            <w:pPr>
              <w:jc w:val="both"/>
              <w:textAlignment w:val="center"/>
              <w:rPr>
                <w:rFonts w:ascii="宋体" w:hAnsi="宋体" w:cstheme="minorEastAsia"/>
                <w:bCs/>
                <w:sz w:val="16"/>
                <w:szCs w:val="16"/>
              </w:rPr>
            </w:pPr>
          </w:p>
        </w:tc>
        <w:tc>
          <w:tcPr>
            <w:tcW w:w="0" w:type="auto"/>
            <w:vAlign w:val="center"/>
          </w:tcPr>
          <w:p w14:paraId="1EAA53BA">
            <w:pPr>
              <w:jc w:val="both"/>
              <w:textAlignment w:val="center"/>
              <w:rPr>
                <w:rFonts w:ascii="宋体" w:hAnsi="宋体" w:cstheme="minorEastAsia"/>
                <w:bCs/>
                <w:sz w:val="16"/>
                <w:szCs w:val="16"/>
              </w:rPr>
            </w:pPr>
          </w:p>
        </w:tc>
        <w:tc>
          <w:tcPr>
            <w:tcW w:w="1016" w:type="dxa"/>
            <w:vAlign w:val="center"/>
          </w:tcPr>
          <w:p w14:paraId="075ACB22">
            <w:pPr>
              <w:jc w:val="both"/>
              <w:textAlignment w:val="center"/>
              <w:rPr>
                <w:rFonts w:ascii="宋体" w:hAnsi="宋体"/>
                <w:sz w:val="16"/>
                <w:szCs w:val="16"/>
              </w:rPr>
            </w:pPr>
            <w:r>
              <w:rPr>
                <w:rFonts w:hint="eastAsia" w:ascii="宋体" w:hAnsi="宋体" w:cstheme="minorEastAsia"/>
                <w:bCs/>
                <w:sz w:val="16"/>
                <w:szCs w:val="16"/>
              </w:rPr>
              <w:t>项</w:t>
            </w:r>
          </w:p>
        </w:tc>
        <w:tc>
          <w:tcPr>
            <w:tcW w:w="609" w:type="dxa"/>
            <w:vAlign w:val="center"/>
          </w:tcPr>
          <w:p w14:paraId="412F928C">
            <w:pPr>
              <w:jc w:val="both"/>
              <w:textAlignment w:val="center"/>
              <w:rPr>
                <w:rFonts w:ascii="宋体" w:hAnsi="宋体"/>
                <w:sz w:val="16"/>
                <w:szCs w:val="16"/>
              </w:rPr>
            </w:pPr>
            <w:r>
              <w:rPr>
                <w:rFonts w:hint="eastAsia" w:ascii="宋体" w:hAnsi="宋体" w:cstheme="minorEastAsia"/>
                <w:bCs/>
                <w:sz w:val="16"/>
                <w:szCs w:val="16"/>
              </w:rPr>
              <w:t>1</w:t>
            </w:r>
          </w:p>
        </w:tc>
        <w:tc>
          <w:tcPr>
            <w:tcW w:w="0" w:type="auto"/>
            <w:vAlign w:val="center"/>
          </w:tcPr>
          <w:p w14:paraId="5915CB5E">
            <w:pPr>
              <w:jc w:val="both"/>
              <w:textAlignment w:val="center"/>
              <w:rPr>
                <w:rFonts w:ascii="宋体" w:hAnsi="宋体" w:cstheme="minorEastAsia"/>
                <w:bCs/>
                <w:sz w:val="16"/>
                <w:szCs w:val="16"/>
                <w:highlight w:val="yellow"/>
              </w:rPr>
            </w:pPr>
          </w:p>
        </w:tc>
        <w:tc>
          <w:tcPr>
            <w:tcW w:w="0" w:type="auto"/>
            <w:vAlign w:val="center"/>
          </w:tcPr>
          <w:p w14:paraId="3427AC11">
            <w:pPr>
              <w:jc w:val="both"/>
              <w:textAlignment w:val="center"/>
              <w:rPr>
                <w:rFonts w:ascii="宋体" w:hAnsi="宋体" w:cstheme="minorEastAsia"/>
                <w:bCs/>
                <w:sz w:val="16"/>
                <w:szCs w:val="16"/>
                <w:highlight w:val="yellow"/>
              </w:rPr>
            </w:pPr>
          </w:p>
        </w:tc>
        <w:tc>
          <w:tcPr>
            <w:tcW w:w="0" w:type="auto"/>
            <w:vAlign w:val="center"/>
          </w:tcPr>
          <w:p w14:paraId="7100D69F">
            <w:pPr>
              <w:jc w:val="both"/>
              <w:textAlignment w:val="center"/>
              <w:rPr>
                <w:rFonts w:ascii="宋体" w:hAnsi="宋体" w:cstheme="minorEastAsia"/>
                <w:bCs/>
                <w:sz w:val="16"/>
                <w:szCs w:val="16"/>
                <w:highlight w:val="yellow"/>
              </w:rPr>
            </w:pPr>
          </w:p>
        </w:tc>
        <w:tc>
          <w:tcPr>
            <w:tcW w:w="0" w:type="auto"/>
            <w:shd w:val="clear" w:color="auto" w:fill="auto"/>
            <w:vAlign w:val="center"/>
          </w:tcPr>
          <w:p w14:paraId="483698C8">
            <w:pPr>
              <w:snapToGrid w:val="0"/>
              <w:jc w:val="both"/>
              <w:rPr>
                <w:rFonts w:ascii="宋体" w:hAnsi="宋体" w:cstheme="minorEastAsia"/>
                <w:bCs/>
                <w:sz w:val="16"/>
                <w:szCs w:val="16"/>
              </w:rPr>
            </w:pPr>
          </w:p>
        </w:tc>
      </w:tr>
      <w:tr w14:paraId="3E9F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FC6E699">
            <w:pPr>
              <w:snapToGrid w:val="0"/>
              <w:jc w:val="both"/>
              <w:rPr>
                <w:rFonts w:ascii="宋体" w:hAnsi="宋体" w:cstheme="minorEastAsia"/>
                <w:b/>
                <w:bCs/>
                <w:sz w:val="16"/>
                <w:szCs w:val="16"/>
              </w:rPr>
            </w:pPr>
            <w:r>
              <w:rPr>
                <w:rFonts w:hint="eastAsia" w:ascii="宋体" w:hAnsi="宋体" w:cstheme="minorEastAsia"/>
                <w:b/>
                <w:bCs/>
                <w:sz w:val="16"/>
                <w:szCs w:val="16"/>
              </w:rPr>
              <w:t>2.9</w:t>
            </w:r>
          </w:p>
        </w:tc>
        <w:tc>
          <w:tcPr>
            <w:tcW w:w="1484" w:type="dxa"/>
            <w:tcBorders>
              <w:top w:val="single" w:color="auto" w:sz="4" w:space="0"/>
            </w:tcBorders>
            <w:vAlign w:val="center"/>
          </w:tcPr>
          <w:p w14:paraId="4C8963CF">
            <w:pPr>
              <w:snapToGrid w:val="0"/>
              <w:jc w:val="both"/>
              <w:rPr>
                <w:rFonts w:ascii="宋体" w:hAnsi="宋体"/>
                <w:b/>
                <w:sz w:val="16"/>
                <w:szCs w:val="16"/>
              </w:rPr>
            </w:pPr>
            <w:r>
              <w:rPr>
                <w:rFonts w:hint="eastAsia" w:ascii="宋体" w:hAnsi="宋体"/>
                <w:b/>
                <w:sz w:val="16"/>
                <w:szCs w:val="16"/>
              </w:rPr>
              <w:t>安装调试费</w:t>
            </w:r>
          </w:p>
        </w:tc>
        <w:tc>
          <w:tcPr>
            <w:tcW w:w="4601" w:type="dxa"/>
            <w:vAlign w:val="center"/>
          </w:tcPr>
          <w:p w14:paraId="4DC6C913">
            <w:pPr>
              <w:snapToGrid w:val="0"/>
              <w:jc w:val="both"/>
              <w:rPr>
                <w:rFonts w:ascii="宋体" w:hAnsi="宋体"/>
                <w:sz w:val="16"/>
                <w:szCs w:val="16"/>
              </w:rPr>
            </w:pPr>
            <w:r>
              <w:rPr>
                <w:rFonts w:ascii="宋体" w:hAnsi="宋体"/>
                <w:sz w:val="16"/>
                <w:szCs w:val="16"/>
              </w:rPr>
              <w:t>\</w:t>
            </w:r>
          </w:p>
        </w:tc>
        <w:tc>
          <w:tcPr>
            <w:tcW w:w="2022" w:type="dxa"/>
            <w:vAlign w:val="center"/>
          </w:tcPr>
          <w:p w14:paraId="5E1CC5AD">
            <w:pPr>
              <w:snapToGrid w:val="0"/>
              <w:jc w:val="both"/>
              <w:rPr>
                <w:rFonts w:ascii="宋体" w:hAnsi="宋体" w:cstheme="minorEastAsia"/>
                <w:bCs/>
                <w:sz w:val="16"/>
                <w:szCs w:val="16"/>
              </w:rPr>
            </w:pPr>
          </w:p>
        </w:tc>
        <w:tc>
          <w:tcPr>
            <w:tcW w:w="0" w:type="auto"/>
            <w:vAlign w:val="center"/>
          </w:tcPr>
          <w:p w14:paraId="10D86DA5">
            <w:pPr>
              <w:jc w:val="both"/>
              <w:textAlignment w:val="center"/>
              <w:rPr>
                <w:rFonts w:ascii="宋体" w:hAnsi="宋体" w:cstheme="minorEastAsia"/>
                <w:bCs/>
                <w:sz w:val="16"/>
                <w:szCs w:val="16"/>
              </w:rPr>
            </w:pPr>
          </w:p>
        </w:tc>
        <w:tc>
          <w:tcPr>
            <w:tcW w:w="0" w:type="auto"/>
            <w:vAlign w:val="center"/>
          </w:tcPr>
          <w:p w14:paraId="59F306B7">
            <w:pPr>
              <w:jc w:val="both"/>
              <w:textAlignment w:val="center"/>
              <w:rPr>
                <w:rFonts w:ascii="宋体" w:hAnsi="宋体" w:cstheme="minorEastAsia"/>
                <w:bCs/>
                <w:sz w:val="16"/>
                <w:szCs w:val="16"/>
              </w:rPr>
            </w:pPr>
          </w:p>
        </w:tc>
        <w:tc>
          <w:tcPr>
            <w:tcW w:w="1016" w:type="dxa"/>
            <w:vAlign w:val="center"/>
          </w:tcPr>
          <w:p w14:paraId="15B9A321">
            <w:pPr>
              <w:jc w:val="both"/>
              <w:textAlignment w:val="center"/>
              <w:rPr>
                <w:rFonts w:ascii="宋体" w:hAnsi="宋体"/>
                <w:sz w:val="16"/>
                <w:szCs w:val="16"/>
              </w:rPr>
            </w:pPr>
            <w:r>
              <w:rPr>
                <w:rFonts w:hint="eastAsia" w:ascii="宋体" w:hAnsi="宋体"/>
                <w:sz w:val="16"/>
                <w:szCs w:val="16"/>
              </w:rPr>
              <w:t>项</w:t>
            </w:r>
          </w:p>
          <w:p w14:paraId="5B558806">
            <w:pPr>
              <w:pStyle w:val="2"/>
              <w:ind w:left="400" w:firstLine="320"/>
              <w:jc w:val="both"/>
              <w:rPr>
                <w:rFonts w:ascii="宋体" w:hAnsi="宋体"/>
                <w:sz w:val="16"/>
                <w:szCs w:val="16"/>
              </w:rPr>
            </w:pPr>
            <w:r>
              <w:rPr>
                <w:rFonts w:ascii="宋体" w:hAnsi="宋体"/>
                <w:sz w:val="16"/>
                <w:szCs w:val="16"/>
              </w:rPr>
              <w:t>x</w:t>
            </w:r>
          </w:p>
        </w:tc>
        <w:tc>
          <w:tcPr>
            <w:tcW w:w="609" w:type="dxa"/>
            <w:vAlign w:val="center"/>
          </w:tcPr>
          <w:p w14:paraId="7B503D72">
            <w:pPr>
              <w:jc w:val="both"/>
              <w:textAlignment w:val="center"/>
              <w:rPr>
                <w:rFonts w:ascii="宋体" w:hAnsi="宋体"/>
                <w:sz w:val="16"/>
                <w:szCs w:val="16"/>
              </w:rPr>
            </w:pPr>
            <w:r>
              <w:rPr>
                <w:rFonts w:ascii="宋体" w:hAnsi="宋体"/>
                <w:sz w:val="16"/>
                <w:szCs w:val="16"/>
              </w:rPr>
              <w:t>1</w:t>
            </w:r>
          </w:p>
        </w:tc>
        <w:tc>
          <w:tcPr>
            <w:tcW w:w="0" w:type="auto"/>
            <w:vAlign w:val="center"/>
          </w:tcPr>
          <w:p w14:paraId="50523480">
            <w:pPr>
              <w:jc w:val="both"/>
              <w:textAlignment w:val="center"/>
              <w:rPr>
                <w:rFonts w:ascii="宋体" w:hAnsi="宋体" w:cstheme="minorEastAsia"/>
                <w:bCs/>
                <w:sz w:val="16"/>
                <w:szCs w:val="16"/>
                <w:highlight w:val="yellow"/>
              </w:rPr>
            </w:pPr>
          </w:p>
        </w:tc>
        <w:tc>
          <w:tcPr>
            <w:tcW w:w="0" w:type="auto"/>
            <w:vAlign w:val="center"/>
          </w:tcPr>
          <w:p w14:paraId="7CB4F687">
            <w:pPr>
              <w:jc w:val="both"/>
              <w:textAlignment w:val="center"/>
              <w:rPr>
                <w:rFonts w:ascii="宋体" w:hAnsi="宋体" w:cstheme="minorEastAsia"/>
                <w:bCs/>
                <w:sz w:val="16"/>
                <w:szCs w:val="16"/>
                <w:highlight w:val="yellow"/>
              </w:rPr>
            </w:pPr>
          </w:p>
        </w:tc>
        <w:tc>
          <w:tcPr>
            <w:tcW w:w="0" w:type="auto"/>
            <w:vAlign w:val="center"/>
          </w:tcPr>
          <w:p w14:paraId="456285B0">
            <w:pPr>
              <w:jc w:val="both"/>
              <w:textAlignment w:val="center"/>
              <w:rPr>
                <w:rFonts w:ascii="宋体" w:hAnsi="宋体" w:cstheme="minorEastAsia"/>
                <w:bCs/>
                <w:sz w:val="16"/>
                <w:szCs w:val="16"/>
                <w:highlight w:val="yellow"/>
              </w:rPr>
            </w:pPr>
          </w:p>
        </w:tc>
        <w:tc>
          <w:tcPr>
            <w:tcW w:w="0" w:type="auto"/>
            <w:shd w:val="clear" w:color="auto" w:fill="auto"/>
            <w:vAlign w:val="center"/>
          </w:tcPr>
          <w:p w14:paraId="6FAF9976">
            <w:pPr>
              <w:snapToGrid w:val="0"/>
              <w:jc w:val="both"/>
              <w:rPr>
                <w:rFonts w:ascii="宋体" w:hAnsi="宋体" w:cstheme="minorEastAsia"/>
                <w:bCs/>
                <w:sz w:val="16"/>
                <w:szCs w:val="16"/>
              </w:rPr>
            </w:pPr>
          </w:p>
        </w:tc>
      </w:tr>
      <w:tr w14:paraId="5906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6CF8C5A9">
            <w:pPr>
              <w:snapToGrid w:val="0"/>
              <w:jc w:val="both"/>
              <w:rPr>
                <w:rFonts w:ascii="宋体" w:hAnsi="宋体" w:cstheme="minorEastAsia"/>
                <w:b/>
                <w:bCs/>
                <w:sz w:val="21"/>
                <w:szCs w:val="21"/>
              </w:rPr>
            </w:pPr>
            <w:r>
              <w:rPr>
                <w:rFonts w:hint="eastAsia" w:ascii="宋体" w:hAnsi="宋体" w:cstheme="minorEastAsia"/>
                <w:b/>
                <w:bCs/>
                <w:sz w:val="21"/>
                <w:szCs w:val="21"/>
              </w:rPr>
              <w:t>四</w:t>
            </w:r>
          </w:p>
        </w:tc>
        <w:tc>
          <w:tcPr>
            <w:tcW w:w="13138" w:type="dxa"/>
            <w:gridSpan w:val="11"/>
            <w:vAlign w:val="center"/>
          </w:tcPr>
          <w:p w14:paraId="1EC3CFC5">
            <w:pPr>
              <w:snapToGrid w:val="0"/>
              <w:jc w:val="both"/>
              <w:rPr>
                <w:rFonts w:ascii="宋体" w:hAnsi="宋体" w:cstheme="minorEastAsia"/>
                <w:b/>
                <w:bCs/>
                <w:sz w:val="21"/>
                <w:szCs w:val="21"/>
              </w:rPr>
            </w:pPr>
            <w:r>
              <w:rPr>
                <w:rFonts w:hint="eastAsia" w:ascii="宋体" w:hAnsi="宋体" w:cstheme="minorEastAsia"/>
                <w:b/>
                <w:bCs/>
                <w:sz w:val="21"/>
                <w:szCs w:val="21"/>
              </w:rPr>
              <w:t>卷包车间一条中支产线智能优化升级</w:t>
            </w:r>
          </w:p>
        </w:tc>
      </w:tr>
      <w:tr w14:paraId="1D5E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74B81B5B">
            <w:pPr>
              <w:snapToGrid w:val="0"/>
              <w:jc w:val="both"/>
              <w:rPr>
                <w:rFonts w:ascii="宋体" w:hAnsi="宋体" w:cstheme="minorEastAsia"/>
                <w:b/>
                <w:bCs/>
                <w:sz w:val="16"/>
                <w:szCs w:val="16"/>
              </w:rPr>
            </w:pPr>
            <w:r>
              <w:rPr>
                <w:rFonts w:hint="eastAsia" w:ascii="宋体" w:hAnsi="宋体" w:cstheme="minorEastAsia"/>
                <w:b/>
                <w:bCs/>
                <w:sz w:val="16"/>
                <w:szCs w:val="16"/>
              </w:rPr>
              <w:t>1</w:t>
            </w:r>
          </w:p>
        </w:tc>
        <w:tc>
          <w:tcPr>
            <w:tcW w:w="13138" w:type="dxa"/>
            <w:gridSpan w:val="11"/>
            <w:vAlign w:val="center"/>
          </w:tcPr>
          <w:p w14:paraId="55FE71BC">
            <w:pPr>
              <w:snapToGrid w:val="0"/>
              <w:jc w:val="both"/>
              <w:rPr>
                <w:rFonts w:ascii="宋体" w:hAnsi="宋体" w:cstheme="minorEastAsia"/>
                <w:b/>
                <w:bCs/>
                <w:sz w:val="16"/>
                <w:szCs w:val="16"/>
              </w:rPr>
            </w:pPr>
            <w:r>
              <w:rPr>
                <w:rFonts w:hint="eastAsia" w:ascii="宋体" w:hAnsi="宋体" w:cstheme="minorEastAsia"/>
                <w:b/>
                <w:bCs/>
                <w:sz w:val="16"/>
                <w:szCs w:val="16"/>
              </w:rPr>
              <w:t>设备状态监测设备</w:t>
            </w:r>
          </w:p>
        </w:tc>
      </w:tr>
      <w:tr w14:paraId="42B0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01174DB">
            <w:pPr>
              <w:snapToGrid w:val="0"/>
              <w:jc w:val="both"/>
              <w:rPr>
                <w:rFonts w:ascii="宋体" w:hAnsi="宋体" w:cstheme="minorEastAsia"/>
                <w:bCs/>
                <w:sz w:val="16"/>
                <w:szCs w:val="16"/>
              </w:rPr>
            </w:pPr>
            <w:r>
              <w:rPr>
                <w:rFonts w:hint="eastAsia" w:ascii="宋体" w:hAnsi="宋体" w:cstheme="minorEastAsia"/>
                <w:bCs/>
                <w:sz w:val="16"/>
                <w:szCs w:val="16"/>
              </w:rPr>
              <w:t>1.1</w:t>
            </w:r>
          </w:p>
        </w:tc>
        <w:tc>
          <w:tcPr>
            <w:tcW w:w="1484" w:type="dxa"/>
            <w:tcBorders>
              <w:top w:val="single" w:color="auto" w:sz="4" w:space="0"/>
            </w:tcBorders>
            <w:vAlign w:val="center"/>
          </w:tcPr>
          <w:p w14:paraId="68BCD6BD">
            <w:pPr>
              <w:snapToGrid w:val="0"/>
              <w:jc w:val="both"/>
              <w:rPr>
                <w:rFonts w:ascii="宋体" w:hAnsi="宋体"/>
                <w:sz w:val="16"/>
                <w:szCs w:val="16"/>
              </w:rPr>
            </w:pPr>
            <w:r>
              <w:rPr>
                <w:rFonts w:hint="eastAsia" w:ascii="宋体" w:hAnsi="宋体"/>
                <w:sz w:val="16"/>
                <w:szCs w:val="16"/>
              </w:rPr>
              <w:t>设备振动、温度检测</w:t>
            </w:r>
          </w:p>
        </w:tc>
        <w:tc>
          <w:tcPr>
            <w:tcW w:w="4601" w:type="dxa"/>
            <w:vAlign w:val="center"/>
          </w:tcPr>
          <w:p w14:paraId="2F870121">
            <w:pPr>
              <w:snapToGrid w:val="0"/>
              <w:jc w:val="both"/>
              <w:rPr>
                <w:rFonts w:ascii="宋体" w:hAnsi="宋体"/>
                <w:sz w:val="16"/>
                <w:szCs w:val="16"/>
              </w:rPr>
            </w:pPr>
            <w:r>
              <w:rPr>
                <w:rFonts w:ascii="宋体" w:hAnsi="宋体"/>
                <w:sz w:val="16"/>
                <w:szCs w:val="16"/>
              </w:rPr>
              <w:t>1</w:t>
            </w:r>
            <w:r>
              <w:rPr>
                <w:rFonts w:hint="eastAsia" w:ascii="宋体" w:hAnsi="宋体"/>
                <w:sz w:val="16"/>
                <w:szCs w:val="16"/>
              </w:rPr>
              <w:t>、振动检测传感器，满足工业防尘需求，带数据采集功能，采集频率不小于</w:t>
            </w:r>
            <w:r>
              <w:rPr>
                <w:rFonts w:ascii="宋体" w:hAnsi="宋体"/>
                <w:sz w:val="16"/>
                <w:szCs w:val="16"/>
              </w:rPr>
              <w:t>8KHZ</w:t>
            </w:r>
            <w:r>
              <w:rPr>
                <w:rFonts w:hint="eastAsia" w:ascii="宋体" w:hAnsi="宋体"/>
                <w:sz w:val="16"/>
                <w:szCs w:val="16"/>
              </w:rPr>
              <w:t>，数据采集完成后，完成对应的分析结果。</w:t>
            </w:r>
            <w:r>
              <w:rPr>
                <w:rFonts w:ascii="宋体" w:hAnsi="宋体"/>
                <w:sz w:val="16"/>
                <w:szCs w:val="16"/>
              </w:rPr>
              <w:br w:type="textWrapping"/>
            </w:r>
            <w:r>
              <w:rPr>
                <w:rFonts w:ascii="宋体" w:hAnsi="宋体"/>
                <w:sz w:val="16"/>
                <w:szCs w:val="16"/>
              </w:rPr>
              <w:t>2</w:t>
            </w:r>
            <w:r>
              <w:rPr>
                <w:rFonts w:hint="eastAsia" w:ascii="宋体" w:hAnsi="宋体"/>
                <w:sz w:val="16"/>
                <w:szCs w:val="16"/>
              </w:rPr>
              <w:t>、采用有线供电，非侵入式安装，不对设备结构造成影响；</w:t>
            </w:r>
            <w:r>
              <w:rPr>
                <w:rFonts w:ascii="宋体" w:hAnsi="宋体"/>
                <w:sz w:val="16"/>
                <w:szCs w:val="16"/>
              </w:rPr>
              <w:br w:type="textWrapping"/>
            </w:r>
            <w:r>
              <w:rPr>
                <w:rFonts w:ascii="宋体" w:hAnsi="宋体"/>
                <w:sz w:val="16"/>
                <w:szCs w:val="16"/>
              </w:rPr>
              <w:t>3</w:t>
            </w:r>
            <w:r>
              <w:rPr>
                <w:rFonts w:hint="eastAsia" w:ascii="宋体" w:hAnsi="宋体"/>
                <w:sz w:val="16"/>
                <w:szCs w:val="16"/>
              </w:rPr>
              <w:t>、在卷包</w:t>
            </w:r>
            <w:r>
              <w:rPr>
                <w:rFonts w:ascii="宋体" w:hAnsi="宋体"/>
                <w:sz w:val="16"/>
                <w:szCs w:val="16"/>
              </w:rPr>
              <w:t>5</w:t>
            </w:r>
            <w:r>
              <w:rPr>
                <w:rFonts w:hint="eastAsia" w:ascii="宋体" w:hAnsi="宋体"/>
                <w:sz w:val="16"/>
                <w:szCs w:val="16"/>
              </w:rPr>
              <w:t>个机组的</w:t>
            </w:r>
            <w:r>
              <w:rPr>
                <w:rFonts w:ascii="宋体" w:hAnsi="宋体"/>
                <w:sz w:val="16"/>
                <w:szCs w:val="16"/>
              </w:rPr>
              <w:t>VE</w:t>
            </w:r>
            <w:r>
              <w:rPr>
                <w:rFonts w:hint="eastAsia" w:ascii="宋体" w:hAnsi="宋体"/>
                <w:sz w:val="16"/>
                <w:szCs w:val="16"/>
              </w:rPr>
              <w:t>大小风机、</w:t>
            </w:r>
            <w:r>
              <w:rPr>
                <w:rFonts w:ascii="宋体" w:hAnsi="宋体"/>
                <w:sz w:val="16"/>
                <w:szCs w:val="16"/>
              </w:rPr>
              <w:t>MAX</w:t>
            </w:r>
            <w:r>
              <w:rPr>
                <w:rFonts w:hint="eastAsia" w:ascii="宋体" w:hAnsi="宋体"/>
                <w:sz w:val="16"/>
                <w:szCs w:val="16"/>
              </w:rPr>
              <w:t>风机、刀盘等部位，实施约</w:t>
            </w:r>
            <w:r>
              <w:rPr>
                <w:rFonts w:ascii="宋体" w:hAnsi="宋体"/>
                <w:sz w:val="16"/>
                <w:szCs w:val="16"/>
              </w:rPr>
              <w:t>40</w:t>
            </w:r>
            <w:r>
              <w:rPr>
                <w:rFonts w:hint="eastAsia" w:ascii="宋体" w:hAnsi="宋体"/>
                <w:sz w:val="16"/>
                <w:szCs w:val="16"/>
              </w:rPr>
              <w:t>个监测点。</w:t>
            </w:r>
            <w:r>
              <w:rPr>
                <w:rFonts w:ascii="宋体" w:hAnsi="宋体"/>
                <w:sz w:val="16"/>
                <w:szCs w:val="16"/>
              </w:rPr>
              <w:br w:type="textWrapping"/>
            </w:r>
            <w:r>
              <w:rPr>
                <w:rFonts w:ascii="宋体" w:hAnsi="宋体"/>
                <w:sz w:val="16"/>
                <w:szCs w:val="16"/>
              </w:rPr>
              <w:t>4</w:t>
            </w:r>
            <w:r>
              <w:rPr>
                <w:rFonts w:hint="eastAsia" w:ascii="宋体" w:hAnsi="宋体"/>
                <w:sz w:val="16"/>
                <w:szCs w:val="16"/>
              </w:rPr>
              <w:t>、含实时监测平台及分析报告输出等功能。</w:t>
            </w:r>
          </w:p>
        </w:tc>
        <w:tc>
          <w:tcPr>
            <w:tcW w:w="2022" w:type="dxa"/>
            <w:vAlign w:val="center"/>
          </w:tcPr>
          <w:p w14:paraId="69431B1D">
            <w:pPr>
              <w:snapToGrid w:val="0"/>
              <w:jc w:val="both"/>
              <w:rPr>
                <w:rFonts w:ascii="宋体" w:hAnsi="宋体" w:cstheme="minorEastAsia"/>
                <w:bCs/>
                <w:sz w:val="16"/>
                <w:szCs w:val="16"/>
              </w:rPr>
            </w:pPr>
          </w:p>
        </w:tc>
        <w:tc>
          <w:tcPr>
            <w:tcW w:w="0" w:type="auto"/>
            <w:vAlign w:val="center"/>
          </w:tcPr>
          <w:p w14:paraId="4E74165B">
            <w:pPr>
              <w:jc w:val="both"/>
              <w:textAlignment w:val="center"/>
              <w:rPr>
                <w:rFonts w:ascii="宋体" w:hAnsi="宋体" w:cstheme="minorEastAsia"/>
                <w:bCs/>
                <w:sz w:val="16"/>
                <w:szCs w:val="16"/>
              </w:rPr>
            </w:pPr>
          </w:p>
        </w:tc>
        <w:tc>
          <w:tcPr>
            <w:tcW w:w="0" w:type="auto"/>
            <w:vAlign w:val="center"/>
          </w:tcPr>
          <w:p w14:paraId="568A6D56">
            <w:pPr>
              <w:jc w:val="both"/>
              <w:textAlignment w:val="center"/>
              <w:rPr>
                <w:rFonts w:ascii="宋体" w:hAnsi="宋体" w:cstheme="minorEastAsia"/>
                <w:bCs/>
                <w:sz w:val="16"/>
                <w:szCs w:val="16"/>
              </w:rPr>
            </w:pPr>
          </w:p>
        </w:tc>
        <w:tc>
          <w:tcPr>
            <w:tcW w:w="1016" w:type="dxa"/>
            <w:vAlign w:val="center"/>
          </w:tcPr>
          <w:p w14:paraId="179152A3">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3D1BFB40">
            <w:pPr>
              <w:jc w:val="both"/>
              <w:textAlignment w:val="center"/>
              <w:rPr>
                <w:rFonts w:ascii="宋体" w:hAnsi="宋体"/>
                <w:sz w:val="16"/>
                <w:szCs w:val="16"/>
              </w:rPr>
            </w:pPr>
            <w:r>
              <w:rPr>
                <w:rFonts w:ascii="宋体" w:hAnsi="宋体"/>
                <w:sz w:val="16"/>
                <w:szCs w:val="16"/>
              </w:rPr>
              <w:t>5</w:t>
            </w:r>
          </w:p>
        </w:tc>
        <w:tc>
          <w:tcPr>
            <w:tcW w:w="0" w:type="auto"/>
            <w:vAlign w:val="center"/>
          </w:tcPr>
          <w:p w14:paraId="75829D63">
            <w:pPr>
              <w:jc w:val="both"/>
              <w:textAlignment w:val="center"/>
              <w:rPr>
                <w:rFonts w:ascii="宋体" w:hAnsi="宋体" w:cstheme="minorEastAsia"/>
                <w:bCs/>
                <w:sz w:val="16"/>
                <w:szCs w:val="16"/>
                <w:highlight w:val="yellow"/>
              </w:rPr>
            </w:pPr>
          </w:p>
        </w:tc>
        <w:tc>
          <w:tcPr>
            <w:tcW w:w="0" w:type="auto"/>
            <w:vAlign w:val="center"/>
          </w:tcPr>
          <w:p w14:paraId="2EDCE8AF">
            <w:pPr>
              <w:jc w:val="both"/>
              <w:textAlignment w:val="center"/>
              <w:rPr>
                <w:rFonts w:ascii="宋体" w:hAnsi="宋体" w:cstheme="minorEastAsia"/>
                <w:bCs/>
                <w:sz w:val="16"/>
                <w:szCs w:val="16"/>
                <w:highlight w:val="yellow"/>
              </w:rPr>
            </w:pPr>
          </w:p>
        </w:tc>
        <w:tc>
          <w:tcPr>
            <w:tcW w:w="0" w:type="auto"/>
            <w:vAlign w:val="center"/>
          </w:tcPr>
          <w:p w14:paraId="6BD75604">
            <w:pPr>
              <w:jc w:val="both"/>
              <w:textAlignment w:val="center"/>
              <w:rPr>
                <w:rFonts w:ascii="宋体" w:hAnsi="宋体" w:cstheme="minorEastAsia"/>
                <w:bCs/>
                <w:sz w:val="16"/>
                <w:szCs w:val="16"/>
                <w:highlight w:val="yellow"/>
              </w:rPr>
            </w:pPr>
          </w:p>
        </w:tc>
        <w:tc>
          <w:tcPr>
            <w:tcW w:w="0" w:type="auto"/>
            <w:shd w:val="clear" w:color="auto" w:fill="auto"/>
            <w:vAlign w:val="center"/>
          </w:tcPr>
          <w:p w14:paraId="3F0BCC7E">
            <w:pPr>
              <w:snapToGrid w:val="0"/>
              <w:jc w:val="both"/>
              <w:rPr>
                <w:rFonts w:ascii="宋体" w:hAnsi="宋体" w:cstheme="minorEastAsia"/>
                <w:bCs/>
                <w:sz w:val="16"/>
                <w:szCs w:val="16"/>
              </w:rPr>
            </w:pPr>
          </w:p>
        </w:tc>
      </w:tr>
      <w:tr w14:paraId="66E9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13BA05D1">
            <w:pPr>
              <w:snapToGrid w:val="0"/>
              <w:jc w:val="both"/>
              <w:rPr>
                <w:rFonts w:ascii="宋体" w:hAnsi="宋体" w:cstheme="minorEastAsia"/>
                <w:bCs/>
                <w:sz w:val="16"/>
                <w:szCs w:val="16"/>
              </w:rPr>
            </w:pPr>
            <w:r>
              <w:rPr>
                <w:rFonts w:hint="eastAsia" w:ascii="宋体" w:hAnsi="宋体" w:cstheme="minorEastAsia"/>
                <w:bCs/>
                <w:sz w:val="16"/>
                <w:szCs w:val="16"/>
              </w:rPr>
              <w:t>1.2</w:t>
            </w:r>
          </w:p>
        </w:tc>
        <w:tc>
          <w:tcPr>
            <w:tcW w:w="1484" w:type="dxa"/>
            <w:tcBorders>
              <w:top w:val="single" w:color="auto" w:sz="4" w:space="0"/>
            </w:tcBorders>
            <w:vAlign w:val="center"/>
          </w:tcPr>
          <w:p w14:paraId="627DD773">
            <w:pPr>
              <w:snapToGrid w:val="0"/>
              <w:jc w:val="both"/>
              <w:rPr>
                <w:rFonts w:ascii="宋体" w:hAnsi="宋体"/>
                <w:sz w:val="16"/>
                <w:szCs w:val="16"/>
              </w:rPr>
            </w:pPr>
            <w:r>
              <w:rPr>
                <w:rFonts w:hint="eastAsia" w:ascii="宋体" w:hAnsi="宋体"/>
                <w:sz w:val="16"/>
                <w:szCs w:val="16"/>
              </w:rPr>
              <w:t>设备风机压力检测</w:t>
            </w:r>
          </w:p>
        </w:tc>
        <w:tc>
          <w:tcPr>
            <w:tcW w:w="4601" w:type="dxa"/>
            <w:vAlign w:val="center"/>
          </w:tcPr>
          <w:p w14:paraId="10BF3D48">
            <w:pPr>
              <w:snapToGrid w:val="0"/>
              <w:jc w:val="both"/>
              <w:rPr>
                <w:rFonts w:ascii="宋体" w:hAnsi="宋体"/>
                <w:sz w:val="16"/>
                <w:szCs w:val="16"/>
              </w:rPr>
            </w:pPr>
            <w:r>
              <w:rPr>
                <w:rFonts w:hint="eastAsia" w:ascii="宋体" w:hAnsi="宋体"/>
                <w:sz w:val="16"/>
                <w:szCs w:val="16"/>
              </w:rPr>
              <w:t>压力检测传感器：在关键部位换装支持</w:t>
            </w:r>
            <w:r>
              <w:rPr>
                <w:rFonts w:ascii="宋体" w:hAnsi="宋体"/>
                <w:sz w:val="16"/>
                <w:szCs w:val="16"/>
              </w:rPr>
              <w:t>RS485</w:t>
            </w:r>
            <w:r>
              <w:rPr>
                <w:rFonts w:hint="eastAsia" w:ascii="宋体" w:hAnsi="宋体"/>
                <w:sz w:val="16"/>
                <w:szCs w:val="16"/>
              </w:rPr>
              <w:t>数采的模拟量数显压力表，实时数采关键部位压力数值（</w:t>
            </w:r>
            <w:r>
              <w:rPr>
                <w:rFonts w:ascii="宋体" w:hAnsi="宋体"/>
                <w:sz w:val="16"/>
                <w:szCs w:val="16"/>
              </w:rPr>
              <w:t>VE</w:t>
            </w:r>
            <w:r>
              <w:rPr>
                <w:rFonts w:hint="eastAsia" w:ascii="宋体" w:hAnsi="宋体"/>
                <w:sz w:val="16"/>
                <w:szCs w:val="16"/>
              </w:rPr>
              <w:t>大风机、小风机、蜘蛛手风机、</w:t>
            </w:r>
            <w:r>
              <w:rPr>
                <w:rFonts w:ascii="宋体" w:hAnsi="宋体"/>
                <w:sz w:val="16"/>
                <w:szCs w:val="16"/>
              </w:rPr>
              <w:t>MAX</w:t>
            </w:r>
            <w:r>
              <w:rPr>
                <w:rFonts w:hint="eastAsia" w:ascii="宋体" w:hAnsi="宋体"/>
                <w:sz w:val="16"/>
                <w:szCs w:val="16"/>
              </w:rPr>
              <w:t>大风机、水松纸切纸鼓轮等），</w:t>
            </w:r>
            <w:r>
              <w:rPr>
                <w:rFonts w:ascii="宋体" w:hAnsi="宋体"/>
                <w:sz w:val="16"/>
                <w:szCs w:val="16"/>
              </w:rPr>
              <w:t>5</w:t>
            </w:r>
            <w:r>
              <w:rPr>
                <w:rFonts w:hint="eastAsia" w:ascii="宋体" w:hAnsi="宋体"/>
                <w:sz w:val="16"/>
                <w:szCs w:val="16"/>
              </w:rPr>
              <w:t>套设备共</w:t>
            </w:r>
            <w:r>
              <w:rPr>
                <w:rFonts w:ascii="宋体" w:hAnsi="宋体"/>
                <w:sz w:val="16"/>
                <w:szCs w:val="16"/>
              </w:rPr>
              <w:t>25</w:t>
            </w:r>
            <w:r>
              <w:rPr>
                <w:rFonts w:hint="eastAsia" w:ascii="宋体" w:hAnsi="宋体"/>
                <w:sz w:val="16"/>
                <w:szCs w:val="16"/>
              </w:rPr>
              <w:t>个点。精度等级高于</w:t>
            </w:r>
            <w:r>
              <w:rPr>
                <w:rFonts w:ascii="宋体" w:hAnsi="宋体"/>
                <w:sz w:val="16"/>
                <w:szCs w:val="16"/>
              </w:rPr>
              <w:t>1.6</w:t>
            </w:r>
            <w:r>
              <w:rPr>
                <w:rFonts w:hint="eastAsia" w:ascii="宋体" w:hAnsi="宋体"/>
                <w:sz w:val="16"/>
                <w:szCs w:val="16"/>
              </w:rPr>
              <w:t>，其中量程</w:t>
            </w:r>
            <w:r>
              <w:rPr>
                <w:rFonts w:ascii="宋体" w:hAnsi="宋体"/>
                <w:sz w:val="16"/>
                <w:szCs w:val="16"/>
              </w:rPr>
              <w:t>0 - -160KPa</w:t>
            </w:r>
            <w:r>
              <w:rPr>
                <w:rFonts w:hint="eastAsia" w:ascii="宋体" w:hAnsi="宋体"/>
                <w:sz w:val="16"/>
                <w:szCs w:val="16"/>
              </w:rPr>
              <w:t>负压表</w:t>
            </w:r>
            <w:r>
              <w:rPr>
                <w:rFonts w:ascii="宋体" w:hAnsi="宋体"/>
                <w:sz w:val="16"/>
                <w:szCs w:val="16"/>
              </w:rPr>
              <w:t>15</w:t>
            </w:r>
            <w:r>
              <w:rPr>
                <w:rFonts w:hint="eastAsia" w:ascii="宋体" w:hAnsi="宋体"/>
                <w:sz w:val="16"/>
                <w:szCs w:val="16"/>
              </w:rPr>
              <w:t>个</w:t>
            </w:r>
            <w:r>
              <w:rPr>
                <w:rFonts w:ascii="宋体" w:hAnsi="宋体"/>
                <w:sz w:val="16"/>
                <w:szCs w:val="16"/>
              </w:rPr>
              <w:t>,0-10KPa5</w:t>
            </w:r>
            <w:r>
              <w:rPr>
                <w:rFonts w:hint="eastAsia" w:ascii="宋体" w:hAnsi="宋体"/>
                <w:sz w:val="16"/>
                <w:szCs w:val="16"/>
              </w:rPr>
              <w:t>个，</w:t>
            </w:r>
            <w:r>
              <w:rPr>
                <w:rFonts w:ascii="宋体" w:hAnsi="宋体"/>
                <w:sz w:val="16"/>
                <w:szCs w:val="16"/>
              </w:rPr>
              <w:t>0- -0.1MPa5</w:t>
            </w:r>
            <w:r>
              <w:rPr>
                <w:rFonts w:hint="eastAsia" w:ascii="宋体" w:hAnsi="宋体"/>
                <w:sz w:val="16"/>
                <w:szCs w:val="16"/>
              </w:rPr>
              <w:t>个。</w:t>
            </w:r>
          </w:p>
        </w:tc>
        <w:tc>
          <w:tcPr>
            <w:tcW w:w="2022" w:type="dxa"/>
            <w:vAlign w:val="center"/>
          </w:tcPr>
          <w:p w14:paraId="139EB938">
            <w:pPr>
              <w:snapToGrid w:val="0"/>
              <w:jc w:val="both"/>
              <w:rPr>
                <w:rFonts w:ascii="宋体" w:hAnsi="宋体" w:cstheme="minorEastAsia"/>
                <w:bCs/>
                <w:sz w:val="16"/>
                <w:szCs w:val="16"/>
              </w:rPr>
            </w:pPr>
          </w:p>
        </w:tc>
        <w:tc>
          <w:tcPr>
            <w:tcW w:w="0" w:type="auto"/>
            <w:vAlign w:val="center"/>
          </w:tcPr>
          <w:p w14:paraId="4B344673">
            <w:pPr>
              <w:jc w:val="both"/>
              <w:textAlignment w:val="center"/>
              <w:rPr>
                <w:rFonts w:ascii="宋体" w:hAnsi="宋体" w:cstheme="minorEastAsia"/>
                <w:bCs/>
                <w:sz w:val="16"/>
                <w:szCs w:val="16"/>
              </w:rPr>
            </w:pPr>
          </w:p>
        </w:tc>
        <w:tc>
          <w:tcPr>
            <w:tcW w:w="0" w:type="auto"/>
            <w:vAlign w:val="center"/>
          </w:tcPr>
          <w:p w14:paraId="2F7F90F4">
            <w:pPr>
              <w:jc w:val="both"/>
              <w:textAlignment w:val="center"/>
              <w:rPr>
                <w:rFonts w:ascii="宋体" w:hAnsi="宋体" w:cstheme="minorEastAsia"/>
                <w:bCs/>
                <w:sz w:val="16"/>
                <w:szCs w:val="16"/>
              </w:rPr>
            </w:pPr>
          </w:p>
        </w:tc>
        <w:tc>
          <w:tcPr>
            <w:tcW w:w="1016" w:type="dxa"/>
            <w:vAlign w:val="center"/>
          </w:tcPr>
          <w:p w14:paraId="4BE8BF0D">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3AF62A78">
            <w:pPr>
              <w:jc w:val="both"/>
              <w:textAlignment w:val="center"/>
              <w:rPr>
                <w:rFonts w:ascii="宋体" w:hAnsi="宋体"/>
                <w:sz w:val="16"/>
                <w:szCs w:val="16"/>
              </w:rPr>
            </w:pPr>
            <w:r>
              <w:rPr>
                <w:rFonts w:ascii="宋体" w:hAnsi="宋体"/>
                <w:sz w:val="16"/>
                <w:szCs w:val="16"/>
              </w:rPr>
              <w:t>5</w:t>
            </w:r>
          </w:p>
        </w:tc>
        <w:tc>
          <w:tcPr>
            <w:tcW w:w="0" w:type="auto"/>
            <w:vAlign w:val="center"/>
          </w:tcPr>
          <w:p w14:paraId="10C801C8">
            <w:pPr>
              <w:jc w:val="both"/>
              <w:textAlignment w:val="center"/>
              <w:rPr>
                <w:rFonts w:ascii="宋体" w:hAnsi="宋体" w:cstheme="minorEastAsia"/>
                <w:bCs/>
                <w:sz w:val="16"/>
                <w:szCs w:val="16"/>
                <w:highlight w:val="yellow"/>
              </w:rPr>
            </w:pPr>
          </w:p>
        </w:tc>
        <w:tc>
          <w:tcPr>
            <w:tcW w:w="0" w:type="auto"/>
            <w:vAlign w:val="center"/>
          </w:tcPr>
          <w:p w14:paraId="63F9145F">
            <w:pPr>
              <w:jc w:val="both"/>
              <w:textAlignment w:val="center"/>
              <w:rPr>
                <w:rFonts w:ascii="宋体" w:hAnsi="宋体" w:cstheme="minorEastAsia"/>
                <w:bCs/>
                <w:sz w:val="16"/>
                <w:szCs w:val="16"/>
                <w:highlight w:val="yellow"/>
              </w:rPr>
            </w:pPr>
          </w:p>
        </w:tc>
        <w:tc>
          <w:tcPr>
            <w:tcW w:w="0" w:type="auto"/>
            <w:vAlign w:val="center"/>
          </w:tcPr>
          <w:p w14:paraId="658F5B9F">
            <w:pPr>
              <w:jc w:val="both"/>
              <w:textAlignment w:val="center"/>
              <w:rPr>
                <w:rFonts w:ascii="宋体" w:hAnsi="宋体" w:cstheme="minorEastAsia"/>
                <w:bCs/>
                <w:sz w:val="16"/>
                <w:szCs w:val="16"/>
                <w:highlight w:val="yellow"/>
              </w:rPr>
            </w:pPr>
          </w:p>
        </w:tc>
        <w:tc>
          <w:tcPr>
            <w:tcW w:w="0" w:type="auto"/>
            <w:shd w:val="clear" w:color="auto" w:fill="auto"/>
            <w:vAlign w:val="center"/>
          </w:tcPr>
          <w:p w14:paraId="47BADE2B">
            <w:pPr>
              <w:snapToGrid w:val="0"/>
              <w:jc w:val="both"/>
              <w:rPr>
                <w:rFonts w:ascii="宋体" w:hAnsi="宋体" w:cstheme="minorEastAsia"/>
                <w:bCs/>
                <w:sz w:val="16"/>
                <w:szCs w:val="16"/>
              </w:rPr>
            </w:pPr>
          </w:p>
        </w:tc>
      </w:tr>
      <w:tr w14:paraId="5DB6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7EB0760A">
            <w:pPr>
              <w:snapToGrid w:val="0"/>
              <w:jc w:val="both"/>
              <w:rPr>
                <w:rFonts w:ascii="宋体" w:hAnsi="宋体" w:cstheme="minorEastAsia"/>
                <w:b/>
                <w:bCs/>
                <w:sz w:val="16"/>
                <w:szCs w:val="16"/>
              </w:rPr>
            </w:pPr>
            <w:r>
              <w:rPr>
                <w:rFonts w:hint="eastAsia" w:ascii="宋体" w:hAnsi="宋体" w:cstheme="minorEastAsia"/>
                <w:b/>
                <w:bCs/>
                <w:sz w:val="16"/>
                <w:szCs w:val="16"/>
              </w:rPr>
              <w:t>2</w:t>
            </w:r>
          </w:p>
        </w:tc>
        <w:tc>
          <w:tcPr>
            <w:tcW w:w="13138" w:type="dxa"/>
            <w:gridSpan w:val="11"/>
            <w:vAlign w:val="center"/>
          </w:tcPr>
          <w:p w14:paraId="52AD4ED9">
            <w:pPr>
              <w:snapToGrid w:val="0"/>
              <w:jc w:val="both"/>
              <w:rPr>
                <w:rFonts w:ascii="宋体" w:hAnsi="宋体" w:cstheme="minorEastAsia"/>
                <w:b/>
                <w:bCs/>
                <w:sz w:val="16"/>
                <w:szCs w:val="16"/>
              </w:rPr>
            </w:pPr>
            <w:r>
              <w:rPr>
                <w:rFonts w:hint="eastAsia" w:ascii="宋体" w:hAnsi="宋体" w:cstheme="minorEastAsia"/>
                <w:b/>
                <w:bCs/>
                <w:sz w:val="16"/>
                <w:szCs w:val="16"/>
              </w:rPr>
              <w:t>单机质量管控边缘计算设备</w:t>
            </w:r>
          </w:p>
        </w:tc>
      </w:tr>
      <w:tr w14:paraId="3BB2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8CFA2CE">
            <w:pPr>
              <w:snapToGrid w:val="0"/>
              <w:jc w:val="both"/>
              <w:rPr>
                <w:rFonts w:ascii="宋体" w:hAnsi="宋体" w:cstheme="minorEastAsia"/>
                <w:bCs/>
                <w:sz w:val="16"/>
                <w:szCs w:val="16"/>
              </w:rPr>
            </w:pPr>
            <w:r>
              <w:rPr>
                <w:rFonts w:hint="eastAsia" w:ascii="宋体" w:hAnsi="宋体" w:cstheme="minorEastAsia"/>
                <w:bCs/>
                <w:sz w:val="16"/>
                <w:szCs w:val="16"/>
              </w:rPr>
              <w:t>2.1</w:t>
            </w:r>
          </w:p>
        </w:tc>
        <w:tc>
          <w:tcPr>
            <w:tcW w:w="1484" w:type="dxa"/>
            <w:tcBorders>
              <w:top w:val="single" w:color="auto" w:sz="4" w:space="0"/>
            </w:tcBorders>
            <w:vAlign w:val="center"/>
          </w:tcPr>
          <w:p w14:paraId="10A59573">
            <w:pPr>
              <w:snapToGrid w:val="0"/>
              <w:jc w:val="both"/>
              <w:rPr>
                <w:rFonts w:ascii="宋体" w:hAnsi="宋体"/>
                <w:sz w:val="16"/>
                <w:szCs w:val="16"/>
              </w:rPr>
            </w:pPr>
            <w:r>
              <w:rPr>
                <w:rFonts w:hint="eastAsia" w:ascii="宋体" w:hAnsi="宋体"/>
                <w:sz w:val="16"/>
                <w:szCs w:val="16"/>
              </w:rPr>
              <w:t>边缘计算</w:t>
            </w:r>
          </w:p>
        </w:tc>
        <w:tc>
          <w:tcPr>
            <w:tcW w:w="4601" w:type="dxa"/>
            <w:vAlign w:val="center"/>
          </w:tcPr>
          <w:p w14:paraId="3B6323BC">
            <w:pPr>
              <w:snapToGrid w:val="0"/>
              <w:jc w:val="both"/>
              <w:rPr>
                <w:rFonts w:ascii="宋体" w:hAnsi="宋体"/>
                <w:sz w:val="16"/>
                <w:szCs w:val="16"/>
              </w:rPr>
            </w:pPr>
            <w:r>
              <w:rPr>
                <w:rFonts w:ascii="宋体" w:hAnsi="宋体"/>
                <w:sz w:val="16"/>
                <w:szCs w:val="16"/>
              </w:rPr>
              <w:t xml:space="preserve">CPU:I7-13700K </w:t>
            </w:r>
            <w:r>
              <w:rPr>
                <w:rFonts w:hint="eastAsia" w:ascii="宋体" w:hAnsi="宋体"/>
                <w:sz w:val="16"/>
                <w:szCs w:val="16"/>
              </w:rPr>
              <w:t>运行内存：</w:t>
            </w:r>
            <w:r>
              <w:rPr>
                <w:rFonts w:ascii="宋体" w:hAnsi="宋体"/>
                <w:sz w:val="16"/>
                <w:szCs w:val="16"/>
              </w:rPr>
              <w:t>128G 512GB</w:t>
            </w:r>
            <w:r>
              <w:rPr>
                <w:rFonts w:hint="eastAsia" w:ascii="宋体" w:hAnsi="宋体"/>
                <w:sz w:val="16"/>
                <w:szCs w:val="16"/>
              </w:rPr>
              <w:t>固态</w:t>
            </w:r>
            <w:r>
              <w:rPr>
                <w:rFonts w:ascii="宋体" w:hAnsi="宋体"/>
                <w:sz w:val="16"/>
                <w:szCs w:val="16"/>
              </w:rPr>
              <w:t>+2T</w:t>
            </w:r>
            <w:r>
              <w:rPr>
                <w:rFonts w:hint="eastAsia" w:ascii="宋体" w:hAnsi="宋体"/>
                <w:sz w:val="16"/>
                <w:szCs w:val="16"/>
              </w:rPr>
              <w:t>机械硬盘</w:t>
            </w:r>
            <w:r>
              <w:rPr>
                <w:rFonts w:ascii="宋体" w:hAnsi="宋体"/>
                <w:sz w:val="16"/>
                <w:szCs w:val="16"/>
              </w:rPr>
              <w:t>,12G</w:t>
            </w:r>
            <w:r>
              <w:rPr>
                <w:rFonts w:hint="eastAsia" w:ascii="宋体" w:hAnsi="宋体"/>
                <w:sz w:val="16"/>
                <w:szCs w:val="16"/>
              </w:rPr>
              <w:t>显存显卡，含</w:t>
            </w:r>
            <w:r>
              <w:rPr>
                <w:rFonts w:ascii="宋体" w:hAnsi="宋体"/>
                <w:sz w:val="16"/>
                <w:szCs w:val="16"/>
              </w:rPr>
              <w:t>UPS</w:t>
            </w:r>
            <w:r>
              <w:rPr>
                <w:rFonts w:hint="eastAsia" w:ascii="宋体" w:hAnsi="宋体"/>
                <w:sz w:val="16"/>
                <w:szCs w:val="16"/>
              </w:rPr>
              <w:t>（</w:t>
            </w:r>
            <w:r>
              <w:rPr>
                <w:rFonts w:ascii="宋体" w:hAnsi="宋体"/>
                <w:sz w:val="16"/>
                <w:szCs w:val="16"/>
              </w:rPr>
              <w:t>1KW</w:t>
            </w:r>
            <w:r>
              <w:rPr>
                <w:rFonts w:hint="eastAsia" w:ascii="宋体" w:hAnsi="宋体"/>
                <w:sz w:val="16"/>
                <w:szCs w:val="16"/>
              </w:rPr>
              <w:t>）及正版win</w:t>
            </w:r>
            <w:r>
              <w:rPr>
                <w:rFonts w:ascii="宋体" w:hAnsi="宋体"/>
                <w:sz w:val="16"/>
                <w:szCs w:val="16"/>
              </w:rPr>
              <w:t>10</w:t>
            </w:r>
            <w:r>
              <w:rPr>
                <w:rFonts w:hint="eastAsia" w:ascii="宋体" w:hAnsi="宋体"/>
                <w:sz w:val="16"/>
                <w:szCs w:val="16"/>
              </w:rPr>
              <w:t>授权操作系统。</w:t>
            </w:r>
          </w:p>
        </w:tc>
        <w:tc>
          <w:tcPr>
            <w:tcW w:w="2022" w:type="dxa"/>
            <w:vAlign w:val="center"/>
          </w:tcPr>
          <w:p w14:paraId="655EBDA9">
            <w:pPr>
              <w:snapToGrid w:val="0"/>
              <w:jc w:val="both"/>
              <w:rPr>
                <w:rFonts w:ascii="宋体" w:hAnsi="宋体" w:cstheme="minorEastAsia"/>
                <w:bCs/>
                <w:sz w:val="16"/>
                <w:szCs w:val="16"/>
              </w:rPr>
            </w:pPr>
          </w:p>
        </w:tc>
        <w:tc>
          <w:tcPr>
            <w:tcW w:w="0" w:type="auto"/>
            <w:vAlign w:val="center"/>
          </w:tcPr>
          <w:p w14:paraId="7E9ED87A">
            <w:pPr>
              <w:jc w:val="both"/>
              <w:textAlignment w:val="center"/>
              <w:rPr>
                <w:rFonts w:ascii="宋体" w:hAnsi="宋体" w:cstheme="minorEastAsia"/>
                <w:bCs/>
                <w:sz w:val="16"/>
                <w:szCs w:val="16"/>
              </w:rPr>
            </w:pPr>
          </w:p>
        </w:tc>
        <w:tc>
          <w:tcPr>
            <w:tcW w:w="0" w:type="auto"/>
            <w:vAlign w:val="center"/>
          </w:tcPr>
          <w:p w14:paraId="2EE3C997">
            <w:pPr>
              <w:jc w:val="both"/>
              <w:textAlignment w:val="center"/>
              <w:rPr>
                <w:rFonts w:ascii="宋体" w:hAnsi="宋体" w:cstheme="minorEastAsia"/>
                <w:bCs/>
                <w:sz w:val="16"/>
                <w:szCs w:val="16"/>
              </w:rPr>
            </w:pPr>
          </w:p>
        </w:tc>
        <w:tc>
          <w:tcPr>
            <w:tcW w:w="1016" w:type="dxa"/>
            <w:vAlign w:val="center"/>
          </w:tcPr>
          <w:p w14:paraId="73B976B3">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2D0BB0DB">
            <w:pPr>
              <w:jc w:val="both"/>
              <w:textAlignment w:val="center"/>
              <w:rPr>
                <w:rFonts w:ascii="宋体" w:hAnsi="宋体"/>
                <w:sz w:val="16"/>
                <w:szCs w:val="16"/>
              </w:rPr>
            </w:pPr>
            <w:r>
              <w:rPr>
                <w:rFonts w:ascii="宋体" w:hAnsi="宋体"/>
                <w:sz w:val="16"/>
                <w:szCs w:val="16"/>
              </w:rPr>
              <w:t>12</w:t>
            </w:r>
          </w:p>
        </w:tc>
        <w:tc>
          <w:tcPr>
            <w:tcW w:w="0" w:type="auto"/>
            <w:vAlign w:val="center"/>
          </w:tcPr>
          <w:p w14:paraId="348C96E7">
            <w:pPr>
              <w:jc w:val="both"/>
              <w:textAlignment w:val="center"/>
              <w:rPr>
                <w:rFonts w:ascii="宋体" w:hAnsi="宋体" w:cstheme="minorEastAsia"/>
                <w:bCs/>
                <w:sz w:val="16"/>
                <w:szCs w:val="16"/>
                <w:highlight w:val="yellow"/>
              </w:rPr>
            </w:pPr>
          </w:p>
        </w:tc>
        <w:tc>
          <w:tcPr>
            <w:tcW w:w="0" w:type="auto"/>
            <w:vAlign w:val="center"/>
          </w:tcPr>
          <w:p w14:paraId="1085F17D">
            <w:pPr>
              <w:jc w:val="both"/>
              <w:textAlignment w:val="center"/>
              <w:rPr>
                <w:rFonts w:ascii="宋体" w:hAnsi="宋体" w:cstheme="minorEastAsia"/>
                <w:bCs/>
                <w:sz w:val="16"/>
                <w:szCs w:val="16"/>
                <w:highlight w:val="yellow"/>
              </w:rPr>
            </w:pPr>
          </w:p>
        </w:tc>
        <w:tc>
          <w:tcPr>
            <w:tcW w:w="0" w:type="auto"/>
            <w:vAlign w:val="center"/>
          </w:tcPr>
          <w:p w14:paraId="7D8E0C84">
            <w:pPr>
              <w:jc w:val="both"/>
              <w:textAlignment w:val="center"/>
              <w:rPr>
                <w:rFonts w:ascii="宋体" w:hAnsi="宋体" w:cstheme="minorEastAsia"/>
                <w:bCs/>
                <w:sz w:val="16"/>
                <w:szCs w:val="16"/>
                <w:highlight w:val="yellow"/>
              </w:rPr>
            </w:pPr>
          </w:p>
        </w:tc>
        <w:tc>
          <w:tcPr>
            <w:tcW w:w="0" w:type="auto"/>
            <w:shd w:val="clear" w:color="auto" w:fill="auto"/>
            <w:vAlign w:val="center"/>
          </w:tcPr>
          <w:p w14:paraId="4D83286D">
            <w:pPr>
              <w:snapToGrid w:val="0"/>
              <w:jc w:val="both"/>
              <w:rPr>
                <w:rFonts w:ascii="宋体" w:hAnsi="宋体" w:cstheme="minorEastAsia"/>
                <w:bCs/>
                <w:sz w:val="16"/>
                <w:szCs w:val="16"/>
              </w:rPr>
            </w:pPr>
          </w:p>
        </w:tc>
      </w:tr>
      <w:tr w14:paraId="07A9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790A96DA">
            <w:pPr>
              <w:snapToGrid w:val="0"/>
              <w:jc w:val="both"/>
              <w:rPr>
                <w:rFonts w:ascii="宋体" w:hAnsi="宋体" w:cstheme="minorEastAsia"/>
                <w:b/>
                <w:bCs/>
                <w:sz w:val="16"/>
                <w:szCs w:val="16"/>
              </w:rPr>
            </w:pPr>
            <w:r>
              <w:rPr>
                <w:rFonts w:hint="eastAsia" w:ascii="宋体" w:hAnsi="宋体" w:cstheme="minorEastAsia"/>
                <w:b/>
                <w:bCs/>
                <w:sz w:val="16"/>
                <w:szCs w:val="16"/>
              </w:rPr>
              <w:t>3</w:t>
            </w:r>
          </w:p>
        </w:tc>
        <w:tc>
          <w:tcPr>
            <w:tcW w:w="13138" w:type="dxa"/>
            <w:gridSpan w:val="11"/>
            <w:vAlign w:val="center"/>
          </w:tcPr>
          <w:p w14:paraId="264A3397">
            <w:pPr>
              <w:snapToGrid w:val="0"/>
              <w:jc w:val="both"/>
              <w:rPr>
                <w:rFonts w:ascii="宋体" w:hAnsi="宋体" w:cstheme="minorEastAsia"/>
                <w:b/>
                <w:bCs/>
                <w:sz w:val="16"/>
                <w:szCs w:val="16"/>
              </w:rPr>
            </w:pPr>
            <w:r>
              <w:rPr>
                <w:rFonts w:hint="eastAsia" w:ascii="宋体" w:hAnsi="宋体" w:cstheme="minorEastAsia"/>
                <w:b/>
                <w:bCs/>
                <w:sz w:val="16"/>
                <w:szCs w:val="16"/>
              </w:rPr>
              <w:t>卷包图像工作站</w:t>
            </w:r>
          </w:p>
        </w:tc>
      </w:tr>
      <w:tr w14:paraId="5265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3030C0C">
            <w:pPr>
              <w:snapToGrid w:val="0"/>
              <w:jc w:val="both"/>
              <w:rPr>
                <w:rFonts w:ascii="宋体" w:hAnsi="宋体" w:cstheme="minorEastAsia"/>
                <w:bCs/>
                <w:sz w:val="16"/>
                <w:szCs w:val="16"/>
              </w:rPr>
            </w:pPr>
            <w:r>
              <w:rPr>
                <w:rFonts w:hint="eastAsia" w:ascii="宋体" w:hAnsi="宋体" w:cstheme="minorEastAsia"/>
                <w:bCs/>
                <w:sz w:val="16"/>
                <w:szCs w:val="16"/>
              </w:rPr>
              <w:t>3.1</w:t>
            </w:r>
          </w:p>
        </w:tc>
        <w:tc>
          <w:tcPr>
            <w:tcW w:w="1484" w:type="dxa"/>
            <w:tcBorders>
              <w:top w:val="single" w:color="auto" w:sz="4" w:space="0"/>
            </w:tcBorders>
            <w:vAlign w:val="center"/>
          </w:tcPr>
          <w:p w14:paraId="36F20BF1">
            <w:pPr>
              <w:snapToGrid w:val="0"/>
              <w:jc w:val="both"/>
              <w:rPr>
                <w:rFonts w:ascii="宋体" w:hAnsi="宋体"/>
                <w:sz w:val="16"/>
                <w:szCs w:val="16"/>
              </w:rPr>
            </w:pPr>
            <w:r>
              <w:rPr>
                <w:rFonts w:hint="eastAsia" w:ascii="宋体" w:hAnsi="宋体"/>
                <w:sz w:val="16"/>
                <w:szCs w:val="16"/>
              </w:rPr>
              <w:t>边缘计算</w:t>
            </w:r>
          </w:p>
        </w:tc>
        <w:tc>
          <w:tcPr>
            <w:tcW w:w="4601" w:type="dxa"/>
            <w:vAlign w:val="center"/>
          </w:tcPr>
          <w:p w14:paraId="7EC0DF62">
            <w:pPr>
              <w:snapToGrid w:val="0"/>
              <w:jc w:val="both"/>
              <w:rPr>
                <w:rFonts w:ascii="宋体" w:hAnsi="宋体"/>
                <w:sz w:val="16"/>
                <w:szCs w:val="16"/>
              </w:rPr>
            </w:pPr>
            <w:r>
              <w:rPr>
                <w:rFonts w:hint="eastAsia" w:ascii="宋体" w:hAnsi="宋体"/>
                <w:sz w:val="16"/>
                <w:szCs w:val="16"/>
              </w:rPr>
              <w:t>双路铂金72核144线程处理器；主频2.1G；系统盘：</w:t>
            </w:r>
            <w:r>
              <w:rPr>
                <w:rFonts w:ascii="宋体" w:hAnsi="宋体"/>
                <w:sz w:val="16"/>
                <w:szCs w:val="16"/>
              </w:rPr>
              <w:t>1T</w:t>
            </w:r>
            <w:r>
              <w:rPr>
                <w:rFonts w:hint="eastAsia" w:ascii="宋体" w:hAnsi="宋体"/>
                <w:sz w:val="16"/>
                <w:szCs w:val="16"/>
              </w:rPr>
              <w:t>，数据盘：2</w:t>
            </w:r>
            <w:r>
              <w:rPr>
                <w:rFonts w:ascii="宋体" w:hAnsi="宋体"/>
                <w:sz w:val="16"/>
                <w:szCs w:val="16"/>
              </w:rPr>
              <w:t xml:space="preserve">T 7200 HDD </w:t>
            </w:r>
            <w:r>
              <w:rPr>
                <w:rFonts w:hint="eastAsia" w:ascii="宋体" w:hAnsi="宋体"/>
                <w:sz w:val="16"/>
                <w:szCs w:val="16"/>
              </w:rPr>
              <w:t>；128G内存+4090 显卡24G*2；2600W电源。</w:t>
            </w:r>
          </w:p>
        </w:tc>
        <w:tc>
          <w:tcPr>
            <w:tcW w:w="2022" w:type="dxa"/>
            <w:vAlign w:val="center"/>
          </w:tcPr>
          <w:p w14:paraId="4846B3B4">
            <w:pPr>
              <w:snapToGrid w:val="0"/>
              <w:jc w:val="both"/>
              <w:rPr>
                <w:rFonts w:ascii="宋体" w:hAnsi="宋体" w:cstheme="minorEastAsia"/>
                <w:bCs/>
                <w:sz w:val="16"/>
                <w:szCs w:val="16"/>
              </w:rPr>
            </w:pPr>
          </w:p>
        </w:tc>
        <w:tc>
          <w:tcPr>
            <w:tcW w:w="0" w:type="auto"/>
            <w:vAlign w:val="center"/>
          </w:tcPr>
          <w:p w14:paraId="5B68D908">
            <w:pPr>
              <w:jc w:val="both"/>
              <w:textAlignment w:val="center"/>
              <w:rPr>
                <w:rFonts w:ascii="宋体" w:hAnsi="宋体" w:cstheme="minorEastAsia"/>
                <w:bCs/>
                <w:sz w:val="16"/>
                <w:szCs w:val="16"/>
              </w:rPr>
            </w:pPr>
          </w:p>
        </w:tc>
        <w:tc>
          <w:tcPr>
            <w:tcW w:w="0" w:type="auto"/>
            <w:vAlign w:val="center"/>
          </w:tcPr>
          <w:p w14:paraId="605ADD2C">
            <w:pPr>
              <w:jc w:val="both"/>
              <w:textAlignment w:val="center"/>
              <w:rPr>
                <w:rFonts w:ascii="宋体" w:hAnsi="宋体" w:cstheme="minorEastAsia"/>
                <w:bCs/>
                <w:sz w:val="16"/>
                <w:szCs w:val="16"/>
              </w:rPr>
            </w:pPr>
          </w:p>
        </w:tc>
        <w:tc>
          <w:tcPr>
            <w:tcW w:w="1016" w:type="dxa"/>
            <w:vAlign w:val="center"/>
          </w:tcPr>
          <w:p w14:paraId="18E3D5F3">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77939381">
            <w:pPr>
              <w:jc w:val="both"/>
              <w:textAlignment w:val="center"/>
              <w:rPr>
                <w:rFonts w:ascii="宋体" w:hAnsi="宋体"/>
                <w:sz w:val="16"/>
                <w:szCs w:val="16"/>
              </w:rPr>
            </w:pPr>
            <w:r>
              <w:rPr>
                <w:rFonts w:ascii="宋体" w:hAnsi="宋体"/>
                <w:sz w:val="16"/>
                <w:szCs w:val="16"/>
              </w:rPr>
              <w:t>1</w:t>
            </w:r>
          </w:p>
        </w:tc>
        <w:tc>
          <w:tcPr>
            <w:tcW w:w="0" w:type="auto"/>
            <w:vAlign w:val="center"/>
          </w:tcPr>
          <w:p w14:paraId="738EBFF6">
            <w:pPr>
              <w:jc w:val="both"/>
              <w:textAlignment w:val="center"/>
              <w:rPr>
                <w:rFonts w:ascii="宋体" w:hAnsi="宋体" w:cstheme="minorEastAsia"/>
                <w:bCs/>
                <w:sz w:val="16"/>
                <w:szCs w:val="16"/>
                <w:highlight w:val="yellow"/>
              </w:rPr>
            </w:pPr>
          </w:p>
        </w:tc>
        <w:tc>
          <w:tcPr>
            <w:tcW w:w="0" w:type="auto"/>
            <w:vAlign w:val="center"/>
          </w:tcPr>
          <w:p w14:paraId="46672333">
            <w:pPr>
              <w:jc w:val="both"/>
              <w:textAlignment w:val="center"/>
              <w:rPr>
                <w:rFonts w:ascii="宋体" w:hAnsi="宋体" w:cstheme="minorEastAsia"/>
                <w:bCs/>
                <w:sz w:val="16"/>
                <w:szCs w:val="16"/>
                <w:highlight w:val="yellow"/>
              </w:rPr>
            </w:pPr>
          </w:p>
        </w:tc>
        <w:tc>
          <w:tcPr>
            <w:tcW w:w="0" w:type="auto"/>
            <w:vAlign w:val="center"/>
          </w:tcPr>
          <w:p w14:paraId="7DBE257A">
            <w:pPr>
              <w:jc w:val="both"/>
              <w:textAlignment w:val="center"/>
              <w:rPr>
                <w:rFonts w:ascii="宋体" w:hAnsi="宋体" w:cstheme="minorEastAsia"/>
                <w:bCs/>
                <w:sz w:val="16"/>
                <w:szCs w:val="16"/>
                <w:highlight w:val="yellow"/>
              </w:rPr>
            </w:pPr>
          </w:p>
        </w:tc>
        <w:tc>
          <w:tcPr>
            <w:tcW w:w="0" w:type="auto"/>
            <w:shd w:val="clear" w:color="auto" w:fill="auto"/>
            <w:vAlign w:val="center"/>
          </w:tcPr>
          <w:p w14:paraId="02B0C43E">
            <w:pPr>
              <w:snapToGrid w:val="0"/>
              <w:jc w:val="both"/>
              <w:rPr>
                <w:rFonts w:ascii="宋体" w:hAnsi="宋体" w:cstheme="minorEastAsia"/>
                <w:bCs/>
                <w:sz w:val="16"/>
                <w:szCs w:val="16"/>
              </w:rPr>
            </w:pPr>
          </w:p>
        </w:tc>
      </w:tr>
      <w:tr w14:paraId="0B63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045FBDE3">
            <w:pPr>
              <w:snapToGrid w:val="0"/>
              <w:jc w:val="both"/>
              <w:rPr>
                <w:rFonts w:ascii="宋体" w:hAnsi="宋体" w:cstheme="minorEastAsia"/>
                <w:b/>
                <w:bCs/>
                <w:sz w:val="16"/>
                <w:szCs w:val="16"/>
              </w:rPr>
            </w:pPr>
            <w:r>
              <w:rPr>
                <w:rFonts w:hint="eastAsia" w:ascii="宋体" w:hAnsi="宋体" w:cstheme="minorEastAsia"/>
                <w:b/>
                <w:bCs/>
                <w:sz w:val="16"/>
                <w:szCs w:val="16"/>
              </w:rPr>
              <w:t>4</w:t>
            </w:r>
          </w:p>
        </w:tc>
        <w:tc>
          <w:tcPr>
            <w:tcW w:w="13138" w:type="dxa"/>
            <w:gridSpan w:val="11"/>
            <w:vAlign w:val="center"/>
          </w:tcPr>
          <w:p w14:paraId="68046356">
            <w:pPr>
              <w:snapToGrid w:val="0"/>
              <w:jc w:val="both"/>
              <w:rPr>
                <w:rFonts w:ascii="宋体" w:hAnsi="宋体" w:cstheme="minorEastAsia"/>
                <w:b/>
                <w:bCs/>
                <w:sz w:val="16"/>
                <w:szCs w:val="16"/>
              </w:rPr>
            </w:pPr>
            <w:r>
              <w:rPr>
                <w:rFonts w:hint="eastAsia" w:ascii="宋体" w:hAnsi="宋体" w:cstheme="minorEastAsia"/>
                <w:b/>
                <w:bCs/>
                <w:sz w:val="16"/>
                <w:szCs w:val="16"/>
              </w:rPr>
              <w:t>烟支外观检测工控机</w:t>
            </w:r>
          </w:p>
        </w:tc>
      </w:tr>
      <w:tr w14:paraId="6C61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DE30B32">
            <w:pPr>
              <w:snapToGrid w:val="0"/>
              <w:jc w:val="both"/>
              <w:rPr>
                <w:rFonts w:ascii="宋体" w:hAnsi="宋体" w:cstheme="minorEastAsia"/>
                <w:bCs/>
                <w:sz w:val="16"/>
                <w:szCs w:val="16"/>
              </w:rPr>
            </w:pPr>
            <w:r>
              <w:rPr>
                <w:rFonts w:hint="eastAsia" w:ascii="宋体" w:hAnsi="宋体" w:cstheme="minorEastAsia"/>
                <w:bCs/>
                <w:sz w:val="16"/>
                <w:szCs w:val="16"/>
              </w:rPr>
              <w:t>4.1</w:t>
            </w:r>
          </w:p>
        </w:tc>
        <w:tc>
          <w:tcPr>
            <w:tcW w:w="1484" w:type="dxa"/>
            <w:tcBorders>
              <w:top w:val="single" w:color="auto" w:sz="4" w:space="0"/>
            </w:tcBorders>
            <w:vAlign w:val="center"/>
          </w:tcPr>
          <w:p w14:paraId="5A3142FF">
            <w:pPr>
              <w:snapToGrid w:val="0"/>
              <w:jc w:val="both"/>
              <w:rPr>
                <w:rFonts w:ascii="宋体" w:hAnsi="宋体"/>
                <w:sz w:val="16"/>
                <w:szCs w:val="16"/>
              </w:rPr>
            </w:pPr>
            <w:r>
              <w:rPr>
                <w:rFonts w:hint="eastAsia" w:ascii="宋体" w:hAnsi="宋体"/>
                <w:sz w:val="16"/>
                <w:szCs w:val="16"/>
              </w:rPr>
              <w:t>烟支外观检测工控机</w:t>
            </w:r>
          </w:p>
        </w:tc>
        <w:tc>
          <w:tcPr>
            <w:tcW w:w="4601" w:type="dxa"/>
            <w:vAlign w:val="center"/>
          </w:tcPr>
          <w:p w14:paraId="2EE41591">
            <w:pPr>
              <w:snapToGrid w:val="0"/>
              <w:jc w:val="both"/>
              <w:rPr>
                <w:rFonts w:ascii="宋体" w:hAnsi="宋体"/>
                <w:sz w:val="16"/>
                <w:szCs w:val="16"/>
              </w:rPr>
            </w:pPr>
            <w:r>
              <w:rPr>
                <w:rFonts w:ascii="宋体" w:hAnsi="宋体"/>
                <w:sz w:val="16"/>
                <w:szCs w:val="16"/>
              </w:rPr>
              <w:t xml:space="preserve">CPU:19-12900K </w:t>
            </w:r>
            <w:r>
              <w:rPr>
                <w:rFonts w:hint="eastAsia" w:ascii="宋体" w:hAnsi="宋体"/>
                <w:sz w:val="16"/>
                <w:szCs w:val="16"/>
              </w:rPr>
              <w:t>运行内存：</w:t>
            </w:r>
            <w:r>
              <w:rPr>
                <w:rFonts w:ascii="宋体" w:hAnsi="宋体"/>
                <w:sz w:val="16"/>
                <w:szCs w:val="16"/>
              </w:rPr>
              <w:t xml:space="preserve">64G </w:t>
            </w:r>
            <w:r>
              <w:rPr>
                <w:rFonts w:hint="eastAsia" w:ascii="宋体" w:hAnsi="宋体"/>
                <w:sz w:val="16"/>
                <w:szCs w:val="16"/>
              </w:rPr>
              <w:t>硬盘：</w:t>
            </w:r>
            <w:r>
              <w:rPr>
                <w:rFonts w:ascii="宋体" w:hAnsi="宋体"/>
                <w:sz w:val="16"/>
                <w:szCs w:val="16"/>
              </w:rPr>
              <w:t>SSD 1T</w:t>
            </w:r>
            <w:r>
              <w:rPr>
                <w:rFonts w:hint="eastAsia" w:ascii="宋体" w:hAnsi="宋体"/>
                <w:sz w:val="16"/>
                <w:szCs w:val="16"/>
              </w:rPr>
              <w:t>，接口：</w:t>
            </w:r>
            <w:r>
              <w:rPr>
                <w:rFonts w:ascii="宋体" w:hAnsi="宋体"/>
                <w:sz w:val="16"/>
                <w:szCs w:val="16"/>
              </w:rPr>
              <w:t>6</w:t>
            </w:r>
            <w:r>
              <w:rPr>
                <w:rFonts w:hint="eastAsia" w:ascii="宋体" w:hAnsi="宋体"/>
                <w:sz w:val="16"/>
                <w:szCs w:val="16"/>
              </w:rPr>
              <w:t>个</w:t>
            </w:r>
            <w:r>
              <w:rPr>
                <w:rFonts w:ascii="宋体" w:hAnsi="宋体"/>
                <w:sz w:val="16"/>
                <w:szCs w:val="16"/>
              </w:rPr>
              <w:t>USB3.0</w:t>
            </w:r>
            <w:r>
              <w:rPr>
                <w:rFonts w:hint="eastAsia" w:ascii="宋体" w:hAnsi="宋体"/>
                <w:sz w:val="16"/>
                <w:szCs w:val="16"/>
              </w:rPr>
              <w:t>，</w:t>
            </w:r>
            <w:r>
              <w:rPr>
                <w:rFonts w:ascii="宋体" w:hAnsi="宋体"/>
                <w:sz w:val="16"/>
                <w:szCs w:val="16"/>
              </w:rPr>
              <w:t>2</w:t>
            </w:r>
            <w:r>
              <w:rPr>
                <w:rFonts w:hint="eastAsia" w:ascii="宋体" w:hAnsi="宋体"/>
                <w:sz w:val="16"/>
                <w:szCs w:val="16"/>
              </w:rPr>
              <w:t>个</w:t>
            </w:r>
            <w:r>
              <w:rPr>
                <w:rFonts w:ascii="宋体" w:hAnsi="宋体"/>
                <w:sz w:val="16"/>
                <w:szCs w:val="16"/>
              </w:rPr>
              <w:t>RJ45</w:t>
            </w:r>
            <w:r>
              <w:rPr>
                <w:rFonts w:hint="eastAsia" w:ascii="宋体" w:hAnsi="宋体"/>
                <w:sz w:val="16"/>
                <w:szCs w:val="16"/>
              </w:rPr>
              <w:t>网口，</w:t>
            </w:r>
            <w:r>
              <w:rPr>
                <w:rFonts w:ascii="宋体" w:hAnsi="宋体"/>
                <w:sz w:val="16"/>
                <w:szCs w:val="16"/>
              </w:rPr>
              <w:t>5</w:t>
            </w:r>
            <w:r>
              <w:rPr>
                <w:rFonts w:hint="eastAsia" w:ascii="宋体" w:hAnsi="宋体"/>
                <w:sz w:val="16"/>
                <w:szCs w:val="16"/>
              </w:rPr>
              <w:t>个</w:t>
            </w:r>
            <w:r>
              <w:rPr>
                <w:rFonts w:ascii="宋体" w:hAnsi="宋体"/>
                <w:sz w:val="16"/>
                <w:szCs w:val="16"/>
              </w:rPr>
              <w:t>PCIE</w:t>
            </w:r>
            <w:r>
              <w:rPr>
                <w:rFonts w:hint="eastAsia" w:ascii="宋体" w:hAnsi="宋体"/>
                <w:sz w:val="16"/>
                <w:szCs w:val="16"/>
              </w:rPr>
              <w:t>，显卡</w:t>
            </w:r>
            <w:r>
              <w:rPr>
                <w:rFonts w:ascii="宋体" w:hAnsi="宋体"/>
                <w:sz w:val="16"/>
                <w:szCs w:val="16"/>
              </w:rPr>
              <w:t xml:space="preserve"> Intel A380 </w:t>
            </w:r>
            <w:r>
              <w:rPr>
                <w:rFonts w:hint="eastAsia" w:ascii="宋体" w:hAnsi="宋体"/>
                <w:sz w:val="16"/>
                <w:szCs w:val="16"/>
              </w:rPr>
              <w:t>显存</w:t>
            </w:r>
            <w:r>
              <w:rPr>
                <w:rFonts w:ascii="宋体" w:hAnsi="宋体"/>
                <w:sz w:val="16"/>
                <w:szCs w:val="16"/>
              </w:rPr>
              <w:t xml:space="preserve">6G </w:t>
            </w:r>
            <w:r>
              <w:rPr>
                <w:rFonts w:hint="eastAsia" w:ascii="宋体" w:hAnsi="宋体"/>
                <w:sz w:val="16"/>
                <w:szCs w:val="16"/>
              </w:rPr>
              <w:t>操作系统：</w:t>
            </w:r>
            <w:r>
              <w:rPr>
                <w:rFonts w:ascii="宋体" w:hAnsi="宋体"/>
                <w:sz w:val="16"/>
                <w:szCs w:val="16"/>
              </w:rPr>
              <w:t>win10</w:t>
            </w:r>
            <w:r>
              <w:rPr>
                <w:rFonts w:hint="eastAsia" w:ascii="宋体" w:hAnsi="宋体"/>
                <w:sz w:val="16"/>
                <w:szCs w:val="16"/>
              </w:rPr>
              <w:t>，含系统迁移</w:t>
            </w:r>
            <w:r>
              <w:rPr>
                <w:rFonts w:ascii="宋体" w:hAnsi="宋体"/>
                <w:sz w:val="16"/>
                <w:szCs w:val="16"/>
              </w:rPr>
              <w:t xml:space="preserve"> </w:t>
            </w:r>
            <w:r>
              <w:rPr>
                <w:rFonts w:hint="eastAsia" w:ascii="宋体" w:hAnsi="宋体"/>
                <w:sz w:val="16"/>
                <w:szCs w:val="16"/>
              </w:rPr>
              <w:t>。</w:t>
            </w:r>
          </w:p>
        </w:tc>
        <w:tc>
          <w:tcPr>
            <w:tcW w:w="2022" w:type="dxa"/>
            <w:vAlign w:val="center"/>
          </w:tcPr>
          <w:p w14:paraId="7F1C28D9">
            <w:pPr>
              <w:snapToGrid w:val="0"/>
              <w:jc w:val="both"/>
              <w:rPr>
                <w:rFonts w:ascii="宋体" w:hAnsi="宋体" w:cstheme="minorEastAsia"/>
                <w:bCs/>
                <w:sz w:val="16"/>
                <w:szCs w:val="16"/>
              </w:rPr>
            </w:pPr>
          </w:p>
        </w:tc>
        <w:tc>
          <w:tcPr>
            <w:tcW w:w="0" w:type="auto"/>
            <w:vAlign w:val="center"/>
          </w:tcPr>
          <w:p w14:paraId="7658107A">
            <w:pPr>
              <w:jc w:val="both"/>
              <w:textAlignment w:val="center"/>
              <w:rPr>
                <w:rFonts w:ascii="宋体" w:hAnsi="宋体" w:cstheme="minorEastAsia"/>
                <w:bCs/>
                <w:sz w:val="16"/>
                <w:szCs w:val="16"/>
              </w:rPr>
            </w:pPr>
          </w:p>
        </w:tc>
        <w:tc>
          <w:tcPr>
            <w:tcW w:w="0" w:type="auto"/>
            <w:vAlign w:val="center"/>
          </w:tcPr>
          <w:p w14:paraId="2B7D1E12">
            <w:pPr>
              <w:jc w:val="both"/>
              <w:textAlignment w:val="center"/>
              <w:rPr>
                <w:rFonts w:ascii="宋体" w:hAnsi="宋体" w:cstheme="minorEastAsia"/>
                <w:bCs/>
                <w:sz w:val="16"/>
                <w:szCs w:val="16"/>
              </w:rPr>
            </w:pPr>
          </w:p>
        </w:tc>
        <w:tc>
          <w:tcPr>
            <w:tcW w:w="1016" w:type="dxa"/>
            <w:vAlign w:val="center"/>
          </w:tcPr>
          <w:p w14:paraId="79F754DA">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207F37DE">
            <w:pPr>
              <w:jc w:val="both"/>
              <w:textAlignment w:val="center"/>
              <w:rPr>
                <w:rFonts w:ascii="宋体" w:hAnsi="宋体"/>
                <w:sz w:val="16"/>
                <w:szCs w:val="16"/>
              </w:rPr>
            </w:pPr>
            <w:r>
              <w:rPr>
                <w:rFonts w:ascii="宋体" w:hAnsi="宋体"/>
                <w:sz w:val="16"/>
                <w:szCs w:val="16"/>
              </w:rPr>
              <w:t>3</w:t>
            </w:r>
          </w:p>
        </w:tc>
        <w:tc>
          <w:tcPr>
            <w:tcW w:w="0" w:type="auto"/>
            <w:vAlign w:val="center"/>
          </w:tcPr>
          <w:p w14:paraId="4B8EFF1D">
            <w:pPr>
              <w:jc w:val="both"/>
              <w:textAlignment w:val="center"/>
              <w:rPr>
                <w:rFonts w:ascii="宋体" w:hAnsi="宋体" w:cstheme="minorEastAsia"/>
                <w:bCs/>
                <w:sz w:val="16"/>
                <w:szCs w:val="16"/>
                <w:highlight w:val="yellow"/>
              </w:rPr>
            </w:pPr>
          </w:p>
        </w:tc>
        <w:tc>
          <w:tcPr>
            <w:tcW w:w="0" w:type="auto"/>
            <w:vAlign w:val="center"/>
          </w:tcPr>
          <w:p w14:paraId="47DDCF9B">
            <w:pPr>
              <w:jc w:val="both"/>
              <w:textAlignment w:val="center"/>
              <w:rPr>
                <w:rFonts w:ascii="宋体" w:hAnsi="宋体" w:cstheme="minorEastAsia"/>
                <w:bCs/>
                <w:sz w:val="16"/>
                <w:szCs w:val="16"/>
                <w:highlight w:val="yellow"/>
              </w:rPr>
            </w:pPr>
          </w:p>
        </w:tc>
        <w:tc>
          <w:tcPr>
            <w:tcW w:w="0" w:type="auto"/>
            <w:vAlign w:val="center"/>
          </w:tcPr>
          <w:p w14:paraId="23723F82">
            <w:pPr>
              <w:jc w:val="both"/>
              <w:textAlignment w:val="center"/>
              <w:rPr>
                <w:rFonts w:ascii="宋体" w:hAnsi="宋体" w:cstheme="minorEastAsia"/>
                <w:bCs/>
                <w:sz w:val="16"/>
                <w:szCs w:val="16"/>
                <w:highlight w:val="yellow"/>
              </w:rPr>
            </w:pPr>
          </w:p>
        </w:tc>
        <w:tc>
          <w:tcPr>
            <w:tcW w:w="0" w:type="auto"/>
            <w:shd w:val="clear" w:color="auto" w:fill="auto"/>
            <w:vAlign w:val="center"/>
          </w:tcPr>
          <w:p w14:paraId="70FB1BAA">
            <w:pPr>
              <w:snapToGrid w:val="0"/>
              <w:jc w:val="both"/>
              <w:rPr>
                <w:rFonts w:ascii="宋体" w:hAnsi="宋体" w:cstheme="minorEastAsia"/>
                <w:bCs/>
                <w:sz w:val="16"/>
                <w:szCs w:val="16"/>
              </w:rPr>
            </w:pPr>
          </w:p>
        </w:tc>
      </w:tr>
      <w:tr w14:paraId="1121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4CEE9D01">
            <w:pPr>
              <w:snapToGrid w:val="0"/>
              <w:jc w:val="both"/>
              <w:rPr>
                <w:rFonts w:ascii="宋体" w:hAnsi="宋体" w:cstheme="minorEastAsia"/>
                <w:b/>
                <w:bCs/>
                <w:sz w:val="16"/>
                <w:szCs w:val="16"/>
              </w:rPr>
            </w:pPr>
            <w:r>
              <w:rPr>
                <w:rFonts w:hint="eastAsia" w:ascii="宋体" w:hAnsi="宋体" w:cstheme="minorEastAsia"/>
                <w:b/>
                <w:bCs/>
                <w:sz w:val="16"/>
                <w:szCs w:val="16"/>
              </w:rPr>
              <w:t>5</w:t>
            </w:r>
          </w:p>
        </w:tc>
        <w:tc>
          <w:tcPr>
            <w:tcW w:w="13138" w:type="dxa"/>
            <w:gridSpan w:val="11"/>
            <w:vAlign w:val="center"/>
          </w:tcPr>
          <w:p w14:paraId="790A09A6">
            <w:pPr>
              <w:snapToGrid w:val="0"/>
              <w:jc w:val="both"/>
              <w:rPr>
                <w:rFonts w:ascii="宋体" w:hAnsi="宋体" w:cstheme="minorEastAsia"/>
                <w:b/>
                <w:bCs/>
                <w:sz w:val="16"/>
                <w:szCs w:val="16"/>
              </w:rPr>
            </w:pPr>
            <w:r>
              <w:rPr>
                <w:rFonts w:hint="eastAsia" w:ascii="宋体" w:hAnsi="宋体" w:cstheme="minorEastAsia"/>
                <w:b/>
                <w:bCs/>
                <w:sz w:val="16"/>
                <w:szCs w:val="16"/>
              </w:rPr>
              <w:t>搭口胶胶量流量监测装置</w:t>
            </w:r>
          </w:p>
        </w:tc>
      </w:tr>
      <w:tr w14:paraId="7604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AE85ABC">
            <w:pPr>
              <w:snapToGrid w:val="0"/>
              <w:jc w:val="both"/>
              <w:rPr>
                <w:rFonts w:ascii="宋体" w:hAnsi="宋体" w:cstheme="minorEastAsia"/>
                <w:bCs/>
                <w:sz w:val="16"/>
                <w:szCs w:val="16"/>
              </w:rPr>
            </w:pPr>
            <w:r>
              <w:rPr>
                <w:rFonts w:hint="eastAsia" w:ascii="宋体" w:hAnsi="宋体" w:cstheme="minorEastAsia"/>
                <w:bCs/>
                <w:sz w:val="16"/>
                <w:szCs w:val="16"/>
              </w:rPr>
              <w:t>5.1</w:t>
            </w:r>
          </w:p>
        </w:tc>
        <w:tc>
          <w:tcPr>
            <w:tcW w:w="1484" w:type="dxa"/>
            <w:tcBorders>
              <w:top w:val="single" w:color="auto" w:sz="4" w:space="0"/>
            </w:tcBorders>
            <w:vAlign w:val="center"/>
          </w:tcPr>
          <w:p w14:paraId="6EEDBF07">
            <w:pPr>
              <w:snapToGrid w:val="0"/>
              <w:jc w:val="both"/>
              <w:rPr>
                <w:rFonts w:ascii="宋体" w:hAnsi="宋体"/>
                <w:sz w:val="16"/>
                <w:szCs w:val="16"/>
              </w:rPr>
            </w:pPr>
            <w:r>
              <w:rPr>
                <w:rFonts w:hint="eastAsia" w:ascii="宋体" w:hAnsi="宋体"/>
                <w:sz w:val="16"/>
                <w:szCs w:val="16"/>
              </w:rPr>
              <w:t>搭口胶胶量流量检测</w:t>
            </w:r>
          </w:p>
        </w:tc>
        <w:tc>
          <w:tcPr>
            <w:tcW w:w="4601" w:type="dxa"/>
            <w:vAlign w:val="center"/>
          </w:tcPr>
          <w:p w14:paraId="31C65C91">
            <w:pPr>
              <w:snapToGrid w:val="0"/>
              <w:jc w:val="both"/>
              <w:rPr>
                <w:rFonts w:ascii="宋体" w:hAnsi="宋体"/>
                <w:sz w:val="16"/>
                <w:szCs w:val="16"/>
              </w:rPr>
            </w:pPr>
            <w:r>
              <w:rPr>
                <w:rFonts w:ascii="宋体" w:hAnsi="宋体"/>
                <w:sz w:val="16"/>
                <w:szCs w:val="16"/>
              </w:rPr>
              <w:t>1</w:t>
            </w:r>
            <w:r>
              <w:rPr>
                <w:rFonts w:hint="eastAsia" w:ascii="宋体" w:hAnsi="宋体"/>
                <w:sz w:val="16"/>
                <w:szCs w:val="16"/>
              </w:rPr>
              <w:t>、夹钳式流量传感器</w:t>
            </w:r>
            <w:r>
              <w:rPr>
                <w:rFonts w:ascii="宋体" w:hAnsi="宋体"/>
                <w:sz w:val="16"/>
                <w:szCs w:val="16"/>
              </w:rPr>
              <w:t>,</w:t>
            </w:r>
            <w:r>
              <w:rPr>
                <w:rFonts w:hint="eastAsia" w:ascii="宋体" w:hAnsi="宋体"/>
                <w:sz w:val="16"/>
                <w:szCs w:val="16"/>
              </w:rPr>
              <w:t>精度</w:t>
            </w:r>
            <w:r>
              <w:rPr>
                <w:rFonts w:ascii="宋体" w:hAnsi="宋体"/>
                <w:sz w:val="16"/>
                <w:szCs w:val="16"/>
              </w:rPr>
              <w:t xml:space="preserve"> </w:t>
            </w:r>
            <w:r>
              <w:rPr>
                <w:rFonts w:hint="eastAsia" w:ascii="宋体" w:hAnsi="宋体"/>
                <w:sz w:val="16"/>
                <w:szCs w:val="16"/>
              </w:rPr>
              <w:t>±</w:t>
            </w:r>
            <w:r>
              <w:rPr>
                <w:rFonts w:ascii="宋体" w:hAnsi="宋体"/>
                <w:sz w:val="16"/>
                <w:szCs w:val="16"/>
              </w:rPr>
              <w:t>0.1% of F.S.</w:t>
            </w:r>
            <w:r>
              <w:rPr>
                <w:rFonts w:ascii="宋体" w:hAnsi="宋体"/>
                <w:sz w:val="16"/>
                <w:szCs w:val="16"/>
              </w:rPr>
              <w:br w:type="textWrapping"/>
            </w:r>
            <w:r>
              <w:rPr>
                <w:rFonts w:ascii="宋体" w:hAnsi="宋体"/>
                <w:sz w:val="16"/>
                <w:szCs w:val="16"/>
              </w:rPr>
              <w:t>2</w:t>
            </w:r>
            <w:r>
              <w:rPr>
                <w:rFonts w:hint="eastAsia" w:ascii="宋体" w:hAnsi="宋体"/>
                <w:sz w:val="16"/>
                <w:szCs w:val="16"/>
              </w:rPr>
              <w:t>、控制器、通信设备及安装需要的辅材等；</w:t>
            </w:r>
          </w:p>
        </w:tc>
        <w:tc>
          <w:tcPr>
            <w:tcW w:w="2022" w:type="dxa"/>
            <w:vAlign w:val="center"/>
          </w:tcPr>
          <w:p w14:paraId="21D9E53E">
            <w:pPr>
              <w:snapToGrid w:val="0"/>
              <w:jc w:val="both"/>
              <w:rPr>
                <w:rFonts w:ascii="宋体" w:hAnsi="宋体" w:cstheme="minorEastAsia"/>
                <w:bCs/>
                <w:sz w:val="16"/>
                <w:szCs w:val="16"/>
              </w:rPr>
            </w:pPr>
          </w:p>
        </w:tc>
        <w:tc>
          <w:tcPr>
            <w:tcW w:w="0" w:type="auto"/>
            <w:vAlign w:val="center"/>
          </w:tcPr>
          <w:p w14:paraId="3F3C48B3">
            <w:pPr>
              <w:jc w:val="both"/>
              <w:textAlignment w:val="center"/>
              <w:rPr>
                <w:rFonts w:ascii="宋体" w:hAnsi="宋体" w:cstheme="minorEastAsia"/>
                <w:bCs/>
                <w:sz w:val="16"/>
                <w:szCs w:val="16"/>
              </w:rPr>
            </w:pPr>
          </w:p>
        </w:tc>
        <w:tc>
          <w:tcPr>
            <w:tcW w:w="0" w:type="auto"/>
            <w:vAlign w:val="center"/>
          </w:tcPr>
          <w:p w14:paraId="06BDD851">
            <w:pPr>
              <w:jc w:val="both"/>
              <w:textAlignment w:val="center"/>
              <w:rPr>
                <w:rFonts w:ascii="宋体" w:hAnsi="宋体" w:cstheme="minorEastAsia"/>
                <w:bCs/>
                <w:sz w:val="16"/>
                <w:szCs w:val="16"/>
              </w:rPr>
            </w:pPr>
          </w:p>
        </w:tc>
        <w:tc>
          <w:tcPr>
            <w:tcW w:w="1016" w:type="dxa"/>
            <w:vAlign w:val="center"/>
          </w:tcPr>
          <w:p w14:paraId="3C20545F">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3F519C26">
            <w:pPr>
              <w:jc w:val="both"/>
              <w:textAlignment w:val="center"/>
              <w:rPr>
                <w:rFonts w:ascii="宋体" w:hAnsi="宋体"/>
                <w:sz w:val="16"/>
                <w:szCs w:val="16"/>
              </w:rPr>
            </w:pPr>
            <w:r>
              <w:rPr>
                <w:rFonts w:ascii="宋体" w:hAnsi="宋体"/>
                <w:sz w:val="16"/>
                <w:szCs w:val="16"/>
              </w:rPr>
              <w:t>10</w:t>
            </w:r>
          </w:p>
        </w:tc>
        <w:tc>
          <w:tcPr>
            <w:tcW w:w="0" w:type="auto"/>
            <w:vAlign w:val="center"/>
          </w:tcPr>
          <w:p w14:paraId="38E03D44">
            <w:pPr>
              <w:jc w:val="both"/>
              <w:textAlignment w:val="center"/>
              <w:rPr>
                <w:rFonts w:ascii="宋体" w:hAnsi="宋体" w:cstheme="minorEastAsia"/>
                <w:bCs/>
                <w:sz w:val="16"/>
                <w:szCs w:val="16"/>
                <w:highlight w:val="yellow"/>
              </w:rPr>
            </w:pPr>
          </w:p>
        </w:tc>
        <w:tc>
          <w:tcPr>
            <w:tcW w:w="0" w:type="auto"/>
            <w:vAlign w:val="center"/>
          </w:tcPr>
          <w:p w14:paraId="0D9B1CEB">
            <w:pPr>
              <w:jc w:val="both"/>
              <w:textAlignment w:val="center"/>
              <w:rPr>
                <w:rFonts w:ascii="宋体" w:hAnsi="宋体" w:cstheme="minorEastAsia"/>
                <w:bCs/>
                <w:sz w:val="16"/>
                <w:szCs w:val="16"/>
                <w:highlight w:val="yellow"/>
              </w:rPr>
            </w:pPr>
          </w:p>
        </w:tc>
        <w:tc>
          <w:tcPr>
            <w:tcW w:w="0" w:type="auto"/>
            <w:vAlign w:val="center"/>
          </w:tcPr>
          <w:p w14:paraId="12B1143A">
            <w:pPr>
              <w:jc w:val="both"/>
              <w:textAlignment w:val="center"/>
              <w:rPr>
                <w:rFonts w:ascii="宋体" w:hAnsi="宋体" w:cstheme="minorEastAsia"/>
                <w:bCs/>
                <w:sz w:val="16"/>
                <w:szCs w:val="16"/>
                <w:highlight w:val="yellow"/>
              </w:rPr>
            </w:pPr>
          </w:p>
        </w:tc>
        <w:tc>
          <w:tcPr>
            <w:tcW w:w="0" w:type="auto"/>
            <w:shd w:val="clear" w:color="auto" w:fill="auto"/>
            <w:vAlign w:val="center"/>
          </w:tcPr>
          <w:p w14:paraId="2E61B908">
            <w:pPr>
              <w:snapToGrid w:val="0"/>
              <w:jc w:val="both"/>
              <w:rPr>
                <w:rFonts w:ascii="宋体" w:hAnsi="宋体" w:cstheme="minorEastAsia"/>
                <w:bCs/>
                <w:sz w:val="16"/>
                <w:szCs w:val="16"/>
              </w:rPr>
            </w:pPr>
          </w:p>
        </w:tc>
      </w:tr>
      <w:tr w14:paraId="29D0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603CE356">
            <w:pPr>
              <w:snapToGrid w:val="0"/>
              <w:jc w:val="both"/>
              <w:rPr>
                <w:rFonts w:ascii="宋体" w:hAnsi="宋体" w:cstheme="minorEastAsia"/>
                <w:b/>
                <w:bCs/>
                <w:sz w:val="16"/>
                <w:szCs w:val="16"/>
              </w:rPr>
            </w:pPr>
            <w:r>
              <w:rPr>
                <w:rFonts w:hint="eastAsia" w:ascii="宋体" w:hAnsi="宋体" w:cstheme="minorEastAsia"/>
                <w:b/>
                <w:bCs/>
                <w:sz w:val="16"/>
                <w:szCs w:val="16"/>
              </w:rPr>
              <w:t>6</w:t>
            </w:r>
          </w:p>
        </w:tc>
        <w:tc>
          <w:tcPr>
            <w:tcW w:w="13138" w:type="dxa"/>
            <w:gridSpan w:val="11"/>
            <w:vAlign w:val="center"/>
          </w:tcPr>
          <w:p w14:paraId="1AEA4E75">
            <w:pPr>
              <w:snapToGrid w:val="0"/>
              <w:jc w:val="both"/>
              <w:rPr>
                <w:rFonts w:ascii="宋体" w:hAnsi="宋体" w:cstheme="minorEastAsia"/>
                <w:b/>
                <w:bCs/>
                <w:sz w:val="16"/>
                <w:szCs w:val="16"/>
              </w:rPr>
            </w:pPr>
            <w:r>
              <w:rPr>
                <w:rFonts w:hint="eastAsia" w:ascii="宋体" w:hAnsi="宋体" w:cstheme="minorEastAsia"/>
                <w:b/>
                <w:bCs/>
                <w:sz w:val="16"/>
                <w:szCs w:val="16"/>
              </w:rPr>
              <w:t>软件功能</w:t>
            </w:r>
          </w:p>
        </w:tc>
      </w:tr>
      <w:tr w14:paraId="7BB1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1979874C">
            <w:pPr>
              <w:snapToGrid w:val="0"/>
              <w:jc w:val="both"/>
              <w:rPr>
                <w:rFonts w:ascii="宋体" w:hAnsi="宋体" w:cstheme="minorEastAsia"/>
                <w:b/>
                <w:bCs/>
                <w:sz w:val="16"/>
                <w:szCs w:val="16"/>
              </w:rPr>
            </w:pPr>
            <w:r>
              <w:rPr>
                <w:rFonts w:hint="eastAsia" w:ascii="宋体" w:hAnsi="宋体" w:cstheme="minorEastAsia"/>
                <w:b/>
                <w:bCs/>
                <w:sz w:val="16"/>
                <w:szCs w:val="16"/>
              </w:rPr>
              <w:t>6.1</w:t>
            </w:r>
          </w:p>
        </w:tc>
        <w:tc>
          <w:tcPr>
            <w:tcW w:w="13138" w:type="dxa"/>
            <w:gridSpan w:val="11"/>
            <w:vAlign w:val="center"/>
          </w:tcPr>
          <w:p w14:paraId="664838A3">
            <w:pPr>
              <w:snapToGrid w:val="0"/>
              <w:jc w:val="both"/>
              <w:rPr>
                <w:rFonts w:ascii="宋体" w:hAnsi="宋体" w:cstheme="minorEastAsia"/>
                <w:b/>
                <w:bCs/>
                <w:sz w:val="16"/>
                <w:szCs w:val="16"/>
              </w:rPr>
            </w:pPr>
            <w:r>
              <w:rPr>
                <w:rFonts w:hint="eastAsia" w:ascii="宋体" w:hAnsi="宋体" w:cstheme="minorEastAsia"/>
                <w:b/>
                <w:bCs/>
                <w:sz w:val="16"/>
                <w:szCs w:val="16"/>
              </w:rPr>
              <w:t>设备运行状态监控</w:t>
            </w:r>
          </w:p>
        </w:tc>
      </w:tr>
      <w:tr w14:paraId="6E26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AE83EBF">
            <w:pPr>
              <w:snapToGrid w:val="0"/>
              <w:jc w:val="both"/>
              <w:rPr>
                <w:rFonts w:ascii="宋体" w:hAnsi="宋体" w:cstheme="minorEastAsia"/>
                <w:bCs/>
                <w:sz w:val="16"/>
                <w:szCs w:val="16"/>
              </w:rPr>
            </w:pPr>
            <w:r>
              <w:rPr>
                <w:rFonts w:hint="eastAsia" w:ascii="宋体" w:hAnsi="宋体" w:cstheme="minorEastAsia"/>
                <w:bCs/>
                <w:sz w:val="16"/>
                <w:szCs w:val="16"/>
              </w:rPr>
              <w:t>6.1.1</w:t>
            </w:r>
          </w:p>
        </w:tc>
        <w:tc>
          <w:tcPr>
            <w:tcW w:w="1484" w:type="dxa"/>
            <w:tcBorders>
              <w:top w:val="single" w:color="auto" w:sz="4" w:space="0"/>
            </w:tcBorders>
            <w:vAlign w:val="center"/>
          </w:tcPr>
          <w:p w14:paraId="5ABBD304">
            <w:pPr>
              <w:snapToGrid w:val="0"/>
              <w:jc w:val="both"/>
              <w:rPr>
                <w:rFonts w:ascii="宋体" w:hAnsi="宋体"/>
                <w:sz w:val="16"/>
                <w:szCs w:val="16"/>
              </w:rPr>
            </w:pPr>
            <w:r>
              <w:rPr>
                <w:rFonts w:hint="eastAsia" w:ascii="宋体" w:hAnsi="宋体"/>
                <w:sz w:val="16"/>
                <w:szCs w:val="16"/>
              </w:rPr>
              <w:t>设备伺服系统状态监控</w:t>
            </w:r>
          </w:p>
        </w:tc>
        <w:tc>
          <w:tcPr>
            <w:tcW w:w="4601" w:type="dxa"/>
            <w:vAlign w:val="center"/>
          </w:tcPr>
          <w:p w14:paraId="729B320B">
            <w:pPr>
              <w:snapToGrid w:val="0"/>
              <w:jc w:val="both"/>
              <w:rPr>
                <w:rFonts w:ascii="宋体" w:hAnsi="宋体"/>
                <w:sz w:val="16"/>
                <w:szCs w:val="16"/>
              </w:rPr>
            </w:pPr>
            <w:r>
              <w:rPr>
                <w:rFonts w:hint="eastAsia" w:ascii="宋体" w:hAnsi="宋体"/>
                <w:sz w:val="16"/>
                <w:szCs w:val="16"/>
              </w:rPr>
              <w:t>实时采集西门子系统伺服控制器</w:t>
            </w:r>
            <w:r>
              <w:rPr>
                <w:rFonts w:ascii="宋体" w:hAnsi="宋体"/>
                <w:sz w:val="16"/>
                <w:szCs w:val="16"/>
              </w:rPr>
              <w:t>(3</w:t>
            </w:r>
            <w:r>
              <w:rPr>
                <w:rFonts w:hint="eastAsia" w:ascii="宋体" w:hAnsi="宋体"/>
                <w:sz w:val="16"/>
                <w:szCs w:val="16"/>
              </w:rPr>
              <w:t>台</w:t>
            </w:r>
            <w:r>
              <w:rPr>
                <w:rFonts w:ascii="宋体" w:hAnsi="宋体"/>
                <w:sz w:val="16"/>
                <w:szCs w:val="16"/>
              </w:rPr>
              <w:t>S120</w:t>
            </w:r>
            <w:r>
              <w:rPr>
                <w:rFonts w:hint="eastAsia" w:ascii="宋体" w:hAnsi="宋体"/>
                <w:sz w:val="16"/>
                <w:szCs w:val="16"/>
              </w:rPr>
              <w:t>，</w:t>
            </w:r>
            <w:r>
              <w:rPr>
                <w:rFonts w:ascii="宋体" w:hAnsi="宋体"/>
                <w:sz w:val="16"/>
                <w:szCs w:val="16"/>
              </w:rPr>
              <w:t>2</w:t>
            </w:r>
            <w:r>
              <w:rPr>
                <w:rFonts w:hint="eastAsia" w:ascii="宋体" w:hAnsi="宋体"/>
                <w:sz w:val="16"/>
                <w:szCs w:val="16"/>
              </w:rPr>
              <w:t>台</w:t>
            </w:r>
            <w:r>
              <w:rPr>
                <w:rFonts w:ascii="宋体" w:hAnsi="宋体"/>
                <w:sz w:val="16"/>
                <w:szCs w:val="16"/>
              </w:rPr>
              <w:t>Simotion)</w:t>
            </w:r>
            <w:r>
              <w:rPr>
                <w:rFonts w:hint="eastAsia" w:ascii="宋体" w:hAnsi="宋体"/>
                <w:sz w:val="16"/>
                <w:szCs w:val="16"/>
              </w:rPr>
              <w:t>及电机运行参数（电压、电流、温度、位置、跟随故障等参数）</w:t>
            </w:r>
          </w:p>
        </w:tc>
        <w:tc>
          <w:tcPr>
            <w:tcW w:w="2022" w:type="dxa"/>
            <w:vAlign w:val="center"/>
          </w:tcPr>
          <w:p w14:paraId="46DBB7EC">
            <w:pPr>
              <w:snapToGrid w:val="0"/>
              <w:jc w:val="both"/>
              <w:rPr>
                <w:rFonts w:ascii="宋体" w:hAnsi="宋体" w:cstheme="minorEastAsia"/>
                <w:bCs/>
                <w:sz w:val="16"/>
                <w:szCs w:val="16"/>
              </w:rPr>
            </w:pPr>
          </w:p>
        </w:tc>
        <w:tc>
          <w:tcPr>
            <w:tcW w:w="0" w:type="auto"/>
            <w:vAlign w:val="center"/>
          </w:tcPr>
          <w:p w14:paraId="762BB02C">
            <w:pPr>
              <w:jc w:val="both"/>
              <w:textAlignment w:val="center"/>
              <w:rPr>
                <w:rFonts w:ascii="宋体" w:hAnsi="宋体" w:cstheme="minorEastAsia"/>
                <w:bCs/>
                <w:sz w:val="16"/>
                <w:szCs w:val="16"/>
              </w:rPr>
            </w:pPr>
          </w:p>
        </w:tc>
        <w:tc>
          <w:tcPr>
            <w:tcW w:w="0" w:type="auto"/>
            <w:vAlign w:val="center"/>
          </w:tcPr>
          <w:p w14:paraId="05128737">
            <w:pPr>
              <w:jc w:val="both"/>
              <w:textAlignment w:val="center"/>
              <w:rPr>
                <w:rFonts w:ascii="宋体" w:hAnsi="宋体" w:cstheme="minorEastAsia"/>
                <w:bCs/>
                <w:sz w:val="16"/>
                <w:szCs w:val="16"/>
              </w:rPr>
            </w:pPr>
          </w:p>
        </w:tc>
        <w:tc>
          <w:tcPr>
            <w:tcW w:w="1016" w:type="dxa"/>
            <w:vAlign w:val="center"/>
          </w:tcPr>
          <w:p w14:paraId="32DA0CF1">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722F49B9">
            <w:pPr>
              <w:jc w:val="both"/>
              <w:textAlignment w:val="center"/>
              <w:rPr>
                <w:rFonts w:ascii="宋体" w:hAnsi="宋体"/>
                <w:sz w:val="16"/>
                <w:szCs w:val="16"/>
              </w:rPr>
            </w:pPr>
            <w:r>
              <w:rPr>
                <w:rFonts w:ascii="宋体" w:hAnsi="宋体"/>
                <w:sz w:val="16"/>
                <w:szCs w:val="16"/>
              </w:rPr>
              <w:t>5</w:t>
            </w:r>
          </w:p>
        </w:tc>
        <w:tc>
          <w:tcPr>
            <w:tcW w:w="0" w:type="auto"/>
            <w:vAlign w:val="center"/>
          </w:tcPr>
          <w:p w14:paraId="1B2C25B0">
            <w:pPr>
              <w:jc w:val="both"/>
              <w:textAlignment w:val="center"/>
              <w:rPr>
                <w:rFonts w:ascii="宋体" w:hAnsi="宋体" w:cstheme="minorEastAsia"/>
                <w:bCs/>
                <w:sz w:val="16"/>
                <w:szCs w:val="16"/>
                <w:highlight w:val="yellow"/>
              </w:rPr>
            </w:pPr>
          </w:p>
        </w:tc>
        <w:tc>
          <w:tcPr>
            <w:tcW w:w="0" w:type="auto"/>
            <w:vAlign w:val="center"/>
          </w:tcPr>
          <w:p w14:paraId="07AE7E93">
            <w:pPr>
              <w:jc w:val="both"/>
              <w:textAlignment w:val="center"/>
              <w:rPr>
                <w:rFonts w:ascii="宋体" w:hAnsi="宋体" w:cstheme="minorEastAsia"/>
                <w:bCs/>
                <w:sz w:val="16"/>
                <w:szCs w:val="16"/>
                <w:highlight w:val="yellow"/>
              </w:rPr>
            </w:pPr>
          </w:p>
        </w:tc>
        <w:tc>
          <w:tcPr>
            <w:tcW w:w="0" w:type="auto"/>
            <w:vAlign w:val="center"/>
          </w:tcPr>
          <w:p w14:paraId="4C3A7244">
            <w:pPr>
              <w:jc w:val="both"/>
              <w:textAlignment w:val="center"/>
              <w:rPr>
                <w:rFonts w:ascii="宋体" w:hAnsi="宋体" w:cstheme="minorEastAsia"/>
                <w:bCs/>
                <w:sz w:val="16"/>
                <w:szCs w:val="16"/>
                <w:highlight w:val="yellow"/>
              </w:rPr>
            </w:pPr>
          </w:p>
        </w:tc>
        <w:tc>
          <w:tcPr>
            <w:tcW w:w="0" w:type="auto"/>
            <w:shd w:val="clear" w:color="auto" w:fill="auto"/>
            <w:vAlign w:val="center"/>
          </w:tcPr>
          <w:p w14:paraId="793E82A0">
            <w:pPr>
              <w:snapToGrid w:val="0"/>
              <w:jc w:val="both"/>
              <w:rPr>
                <w:rFonts w:ascii="宋体" w:hAnsi="宋体" w:cstheme="minorEastAsia"/>
                <w:bCs/>
                <w:sz w:val="16"/>
                <w:szCs w:val="16"/>
              </w:rPr>
            </w:pPr>
          </w:p>
        </w:tc>
      </w:tr>
      <w:tr w14:paraId="64C4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A53709B">
            <w:pPr>
              <w:snapToGrid w:val="0"/>
              <w:jc w:val="both"/>
              <w:rPr>
                <w:rFonts w:ascii="宋体" w:hAnsi="宋体" w:cstheme="minorEastAsia"/>
                <w:bCs/>
                <w:sz w:val="16"/>
                <w:szCs w:val="16"/>
              </w:rPr>
            </w:pPr>
            <w:r>
              <w:rPr>
                <w:rFonts w:hint="eastAsia" w:ascii="宋体" w:hAnsi="宋体" w:cstheme="minorEastAsia"/>
                <w:bCs/>
                <w:sz w:val="16"/>
                <w:szCs w:val="16"/>
              </w:rPr>
              <w:t>6.1.2</w:t>
            </w:r>
          </w:p>
        </w:tc>
        <w:tc>
          <w:tcPr>
            <w:tcW w:w="1484" w:type="dxa"/>
            <w:tcBorders>
              <w:top w:val="single" w:color="auto" w:sz="4" w:space="0"/>
            </w:tcBorders>
            <w:vAlign w:val="center"/>
          </w:tcPr>
          <w:p w14:paraId="7E13C03F">
            <w:pPr>
              <w:snapToGrid w:val="0"/>
              <w:jc w:val="both"/>
              <w:rPr>
                <w:rFonts w:ascii="宋体" w:hAnsi="宋体"/>
                <w:sz w:val="16"/>
                <w:szCs w:val="16"/>
              </w:rPr>
            </w:pPr>
            <w:r>
              <w:rPr>
                <w:rFonts w:hint="eastAsia" w:ascii="宋体" w:hAnsi="宋体"/>
                <w:sz w:val="16"/>
                <w:szCs w:val="16"/>
              </w:rPr>
              <w:t>设备状态监测集成</w:t>
            </w:r>
          </w:p>
        </w:tc>
        <w:tc>
          <w:tcPr>
            <w:tcW w:w="4601" w:type="dxa"/>
            <w:vAlign w:val="center"/>
          </w:tcPr>
          <w:p w14:paraId="56C33E33">
            <w:pPr>
              <w:snapToGrid w:val="0"/>
              <w:jc w:val="both"/>
              <w:rPr>
                <w:rFonts w:ascii="宋体" w:hAnsi="宋体"/>
                <w:sz w:val="16"/>
                <w:szCs w:val="16"/>
              </w:rPr>
            </w:pPr>
            <w:r>
              <w:rPr>
                <w:rFonts w:hint="eastAsia" w:ascii="宋体" w:hAnsi="宋体"/>
                <w:sz w:val="16"/>
                <w:szCs w:val="16"/>
              </w:rPr>
              <w:t>将设备振动、温度、压力、伺服等数据进行系统集成，综合判断形成设备运行状态及分析报告。</w:t>
            </w:r>
          </w:p>
        </w:tc>
        <w:tc>
          <w:tcPr>
            <w:tcW w:w="2022" w:type="dxa"/>
            <w:vAlign w:val="center"/>
          </w:tcPr>
          <w:p w14:paraId="1B361A8C">
            <w:pPr>
              <w:snapToGrid w:val="0"/>
              <w:jc w:val="both"/>
              <w:rPr>
                <w:rFonts w:ascii="宋体" w:hAnsi="宋体" w:cstheme="minorEastAsia"/>
                <w:bCs/>
                <w:sz w:val="16"/>
                <w:szCs w:val="16"/>
              </w:rPr>
            </w:pPr>
          </w:p>
        </w:tc>
        <w:tc>
          <w:tcPr>
            <w:tcW w:w="0" w:type="auto"/>
            <w:vAlign w:val="center"/>
          </w:tcPr>
          <w:p w14:paraId="05A5358B">
            <w:pPr>
              <w:jc w:val="both"/>
              <w:textAlignment w:val="center"/>
              <w:rPr>
                <w:rFonts w:ascii="宋体" w:hAnsi="宋体" w:cstheme="minorEastAsia"/>
                <w:bCs/>
                <w:sz w:val="16"/>
                <w:szCs w:val="16"/>
              </w:rPr>
            </w:pPr>
          </w:p>
        </w:tc>
        <w:tc>
          <w:tcPr>
            <w:tcW w:w="0" w:type="auto"/>
            <w:vAlign w:val="center"/>
          </w:tcPr>
          <w:p w14:paraId="2E03D051">
            <w:pPr>
              <w:jc w:val="both"/>
              <w:textAlignment w:val="center"/>
              <w:rPr>
                <w:rFonts w:ascii="宋体" w:hAnsi="宋体" w:cstheme="minorEastAsia"/>
                <w:bCs/>
                <w:sz w:val="16"/>
                <w:szCs w:val="16"/>
              </w:rPr>
            </w:pPr>
          </w:p>
        </w:tc>
        <w:tc>
          <w:tcPr>
            <w:tcW w:w="1016" w:type="dxa"/>
            <w:vAlign w:val="center"/>
          </w:tcPr>
          <w:p w14:paraId="635B7D74">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47E8B6AA">
            <w:pPr>
              <w:jc w:val="both"/>
              <w:textAlignment w:val="center"/>
              <w:rPr>
                <w:rFonts w:ascii="宋体" w:hAnsi="宋体"/>
                <w:sz w:val="16"/>
                <w:szCs w:val="16"/>
              </w:rPr>
            </w:pPr>
            <w:r>
              <w:rPr>
                <w:rFonts w:ascii="宋体" w:hAnsi="宋体"/>
                <w:sz w:val="16"/>
                <w:szCs w:val="16"/>
              </w:rPr>
              <w:t>1</w:t>
            </w:r>
          </w:p>
        </w:tc>
        <w:tc>
          <w:tcPr>
            <w:tcW w:w="0" w:type="auto"/>
            <w:vAlign w:val="center"/>
          </w:tcPr>
          <w:p w14:paraId="45B46456">
            <w:pPr>
              <w:jc w:val="both"/>
              <w:textAlignment w:val="center"/>
              <w:rPr>
                <w:rFonts w:ascii="宋体" w:hAnsi="宋体" w:cstheme="minorEastAsia"/>
                <w:bCs/>
                <w:sz w:val="16"/>
                <w:szCs w:val="16"/>
                <w:highlight w:val="yellow"/>
              </w:rPr>
            </w:pPr>
          </w:p>
        </w:tc>
        <w:tc>
          <w:tcPr>
            <w:tcW w:w="0" w:type="auto"/>
            <w:vAlign w:val="center"/>
          </w:tcPr>
          <w:p w14:paraId="347A0325">
            <w:pPr>
              <w:jc w:val="both"/>
              <w:textAlignment w:val="center"/>
              <w:rPr>
                <w:rFonts w:ascii="宋体" w:hAnsi="宋体" w:cstheme="minorEastAsia"/>
                <w:bCs/>
                <w:sz w:val="16"/>
                <w:szCs w:val="16"/>
                <w:highlight w:val="yellow"/>
              </w:rPr>
            </w:pPr>
          </w:p>
        </w:tc>
        <w:tc>
          <w:tcPr>
            <w:tcW w:w="0" w:type="auto"/>
            <w:vAlign w:val="center"/>
          </w:tcPr>
          <w:p w14:paraId="47D77C5B">
            <w:pPr>
              <w:jc w:val="both"/>
              <w:textAlignment w:val="center"/>
              <w:rPr>
                <w:rFonts w:ascii="宋体" w:hAnsi="宋体" w:cstheme="minorEastAsia"/>
                <w:bCs/>
                <w:sz w:val="16"/>
                <w:szCs w:val="16"/>
                <w:highlight w:val="yellow"/>
              </w:rPr>
            </w:pPr>
          </w:p>
        </w:tc>
        <w:tc>
          <w:tcPr>
            <w:tcW w:w="0" w:type="auto"/>
            <w:shd w:val="clear" w:color="auto" w:fill="auto"/>
            <w:vAlign w:val="center"/>
          </w:tcPr>
          <w:p w14:paraId="30CA87B3">
            <w:pPr>
              <w:snapToGrid w:val="0"/>
              <w:jc w:val="both"/>
              <w:rPr>
                <w:rFonts w:ascii="宋体" w:hAnsi="宋体" w:cstheme="minorEastAsia"/>
                <w:bCs/>
                <w:sz w:val="16"/>
                <w:szCs w:val="16"/>
              </w:rPr>
            </w:pPr>
          </w:p>
        </w:tc>
      </w:tr>
      <w:tr w14:paraId="02FC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1C886B37">
            <w:pPr>
              <w:snapToGrid w:val="0"/>
              <w:jc w:val="both"/>
              <w:rPr>
                <w:rFonts w:ascii="宋体" w:hAnsi="宋体" w:cstheme="minorEastAsia"/>
                <w:b/>
                <w:bCs/>
                <w:sz w:val="16"/>
                <w:szCs w:val="16"/>
              </w:rPr>
            </w:pPr>
            <w:r>
              <w:rPr>
                <w:rFonts w:hint="eastAsia" w:ascii="宋体" w:hAnsi="宋体" w:cstheme="minorEastAsia"/>
                <w:b/>
                <w:bCs/>
                <w:sz w:val="16"/>
                <w:szCs w:val="16"/>
              </w:rPr>
              <w:t>6.2</w:t>
            </w:r>
          </w:p>
        </w:tc>
        <w:tc>
          <w:tcPr>
            <w:tcW w:w="13138" w:type="dxa"/>
            <w:gridSpan w:val="11"/>
            <w:vAlign w:val="center"/>
          </w:tcPr>
          <w:p w14:paraId="3885E057">
            <w:pPr>
              <w:snapToGrid w:val="0"/>
              <w:jc w:val="both"/>
              <w:rPr>
                <w:rFonts w:ascii="宋体" w:hAnsi="宋体" w:cstheme="minorEastAsia"/>
                <w:b/>
                <w:bCs/>
                <w:sz w:val="16"/>
                <w:szCs w:val="16"/>
              </w:rPr>
            </w:pPr>
            <w:r>
              <w:rPr>
                <w:rFonts w:hint="eastAsia" w:ascii="宋体" w:hAnsi="宋体" w:cstheme="minorEastAsia"/>
                <w:b/>
                <w:bCs/>
                <w:sz w:val="16"/>
                <w:szCs w:val="16"/>
              </w:rPr>
              <w:t>单机质量管理应用</w:t>
            </w:r>
          </w:p>
        </w:tc>
      </w:tr>
      <w:tr w14:paraId="4FA5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91F3935">
            <w:pPr>
              <w:snapToGrid w:val="0"/>
              <w:jc w:val="both"/>
              <w:rPr>
                <w:rFonts w:ascii="宋体" w:hAnsi="宋体" w:cstheme="minorEastAsia"/>
                <w:bCs/>
                <w:sz w:val="16"/>
                <w:szCs w:val="16"/>
              </w:rPr>
            </w:pPr>
            <w:r>
              <w:rPr>
                <w:rFonts w:hint="eastAsia" w:ascii="宋体" w:hAnsi="宋体" w:cstheme="minorEastAsia"/>
                <w:bCs/>
                <w:sz w:val="16"/>
                <w:szCs w:val="16"/>
              </w:rPr>
              <w:t>6.2.1</w:t>
            </w:r>
          </w:p>
        </w:tc>
        <w:tc>
          <w:tcPr>
            <w:tcW w:w="1484" w:type="dxa"/>
            <w:tcBorders>
              <w:top w:val="single" w:color="auto" w:sz="4" w:space="0"/>
            </w:tcBorders>
            <w:vAlign w:val="center"/>
          </w:tcPr>
          <w:p w14:paraId="6DE294D8">
            <w:pPr>
              <w:snapToGrid w:val="0"/>
              <w:jc w:val="both"/>
              <w:rPr>
                <w:rFonts w:ascii="宋体" w:hAnsi="宋体"/>
                <w:sz w:val="16"/>
                <w:szCs w:val="16"/>
              </w:rPr>
            </w:pPr>
            <w:r>
              <w:rPr>
                <w:rFonts w:hint="eastAsia" w:ascii="宋体" w:hAnsi="宋体"/>
                <w:sz w:val="16"/>
                <w:szCs w:val="16"/>
              </w:rPr>
              <w:t>单机质量画像</w:t>
            </w:r>
          </w:p>
        </w:tc>
        <w:tc>
          <w:tcPr>
            <w:tcW w:w="4601" w:type="dxa"/>
            <w:vAlign w:val="center"/>
          </w:tcPr>
          <w:p w14:paraId="28752692">
            <w:pPr>
              <w:snapToGrid w:val="0"/>
              <w:jc w:val="both"/>
              <w:rPr>
                <w:rFonts w:ascii="宋体" w:hAnsi="宋体"/>
                <w:sz w:val="16"/>
                <w:szCs w:val="16"/>
              </w:rPr>
            </w:pPr>
            <w:r>
              <w:rPr>
                <w:rFonts w:hint="eastAsia" w:ascii="宋体" w:hAnsi="宋体"/>
                <w:sz w:val="16"/>
                <w:szCs w:val="16"/>
              </w:rPr>
              <w:t>通过数字化技术，以图表和数据可视化的形式，全面、精准地呈现卷包设备的生产状态和性能特征。涵盖设备的实时运行数据，如产量、效率和质量等，同时深入挖掘设备的历史质量指标数据，对其性能趋势进行分析和预测，让管理者能够迅速了解设备的运行工作状态和潜在质量问题。</w:t>
            </w:r>
          </w:p>
        </w:tc>
        <w:tc>
          <w:tcPr>
            <w:tcW w:w="2022" w:type="dxa"/>
            <w:vAlign w:val="center"/>
          </w:tcPr>
          <w:p w14:paraId="31556B82">
            <w:pPr>
              <w:snapToGrid w:val="0"/>
              <w:jc w:val="both"/>
              <w:rPr>
                <w:rFonts w:ascii="宋体" w:hAnsi="宋体" w:cstheme="minorEastAsia"/>
                <w:bCs/>
                <w:sz w:val="16"/>
                <w:szCs w:val="16"/>
              </w:rPr>
            </w:pPr>
          </w:p>
        </w:tc>
        <w:tc>
          <w:tcPr>
            <w:tcW w:w="0" w:type="auto"/>
            <w:vAlign w:val="center"/>
          </w:tcPr>
          <w:p w14:paraId="350A241B">
            <w:pPr>
              <w:jc w:val="both"/>
              <w:textAlignment w:val="center"/>
              <w:rPr>
                <w:rFonts w:ascii="宋体" w:hAnsi="宋体" w:cstheme="minorEastAsia"/>
                <w:bCs/>
                <w:sz w:val="16"/>
                <w:szCs w:val="16"/>
              </w:rPr>
            </w:pPr>
          </w:p>
        </w:tc>
        <w:tc>
          <w:tcPr>
            <w:tcW w:w="0" w:type="auto"/>
            <w:vAlign w:val="center"/>
          </w:tcPr>
          <w:p w14:paraId="6117FD64">
            <w:pPr>
              <w:jc w:val="both"/>
              <w:textAlignment w:val="center"/>
              <w:rPr>
                <w:rFonts w:ascii="宋体" w:hAnsi="宋体" w:cstheme="minorEastAsia"/>
                <w:bCs/>
                <w:sz w:val="16"/>
                <w:szCs w:val="16"/>
              </w:rPr>
            </w:pPr>
          </w:p>
        </w:tc>
        <w:tc>
          <w:tcPr>
            <w:tcW w:w="1016" w:type="dxa"/>
            <w:vAlign w:val="center"/>
          </w:tcPr>
          <w:p w14:paraId="7060E082">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4F91CCBE">
            <w:pPr>
              <w:jc w:val="both"/>
              <w:textAlignment w:val="center"/>
              <w:rPr>
                <w:rFonts w:ascii="宋体" w:hAnsi="宋体"/>
                <w:sz w:val="16"/>
                <w:szCs w:val="16"/>
              </w:rPr>
            </w:pPr>
            <w:r>
              <w:rPr>
                <w:rFonts w:ascii="宋体" w:hAnsi="宋体"/>
                <w:sz w:val="16"/>
                <w:szCs w:val="16"/>
              </w:rPr>
              <w:t>12</w:t>
            </w:r>
          </w:p>
        </w:tc>
        <w:tc>
          <w:tcPr>
            <w:tcW w:w="0" w:type="auto"/>
            <w:vAlign w:val="center"/>
          </w:tcPr>
          <w:p w14:paraId="2768760F">
            <w:pPr>
              <w:jc w:val="both"/>
              <w:textAlignment w:val="center"/>
              <w:rPr>
                <w:rFonts w:ascii="宋体" w:hAnsi="宋体" w:cstheme="minorEastAsia"/>
                <w:bCs/>
                <w:sz w:val="16"/>
                <w:szCs w:val="16"/>
                <w:highlight w:val="yellow"/>
              </w:rPr>
            </w:pPr>
          </w:p>
        </w:tc>
        <w:tc>
          <w:tcPr>
            <w:tcW w:w="0" w:type="auto"/>
            <w:vAlign w:val="center"/>
          </w:tcPr>
          <w:p w14:paraId="6D85D98A">
            <w:pPr>
              <w:jc w:val="both"/>
              <w:textAlignment w:val="center"/>
              <w:rPr>
                <w:rFonts w:ascii="宋体" w:hAnsi="宋体" w:cstheme="minorEastAsia"/>
                <w:bCs/>
                <w:sz w:val="16"/>
                <w:szCs w:val="16"/>
                <w:highlight w:val="yellow"/>
              </w:rPr>
            </w:pPr>
          </w:p>
        </w:tc>
        <w:tc>
          <w:tcPr>
            <w:tcW w:w="0" w:type="auto"/>
            <w:vAlign w:val="center"/>
          </w:tcPr>
          <w:p w14:paraId="42F776E6">
            <w:pPr>
              <w:jc w:val="both"/>
              <w:textAlignment w:val="center"/>
              <w:rPr>
                <w:rFonts w:ascii="宋体" w:hAnsi="宋体" w:cstheme="minorEastAsia"/>
                <w:bCs/>
                <w:sz w:val="16"/>
                <w:szCs w:val="16"/>
                <w:highlight w:val="yellow"/>
              </w:rPr>
            </w:pPr>
          </w:p>
        </w:tc>
        <w:tc>
          <w:tcPr>
            <w:tcW w:w="0" w:type="auto"/>
            <w:shd w:val="clear" w:color="auto" w:fill="auto"/>
            <w:vAlign w:val="center"/>
          </w:tcPr>
          <w:p w14:paraId="2A992175">
            <w:pPr>
              <w:snapToGrid w:val="0"/>
              <w:jc w:val="both"/>
              <w:rPr>
                <w:rFonts w:ascii="宋体" w:hAnsi="宋体" w:cstheme="minorEastAsia"/>
                <w:bCs/>
                <w:sz w:val="16"/>
                <w:szCs w:val="16"/>
              </w:rPr>
            </w:pPr>
          </w:p>
        </w:tc>
      </w:tr>
      <w:tr w14:paraId="3B30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64A6484">
            <w:pPr>
              <w:snapToGrid w:val="0"/>
              <w:jc w:val="both"/>
              <w:rPr>
                <w:rFonts w:ascii="宋体" w:hAnsi="宋体" w:cstheme="minorEastAsia"/>
                <w:bCs/>
                <w:sz w:val="16"/>
                <w:szCs w:val="16"/>
              </w:rPr>
            </w:pPr>
            <w:r>
              <w:rPr>
                <w:rFonts w:hint="eastAsia" w:ascii="宋体" w:hAnsi="宋体" w:cstheme="minorEastAsia"/>
                <w:bCs/>
                <w:sz w:val="16"/>
                <w:szCs w:val="16"/>
              </w:rPr>
              <w:t>6.2.2</w:t>
            </w:r>
          </w:p>
        </w:tc>
        <w:tc>
          <w:tcPr>
            <w:tcW w:w="1484" w:type="dxa"/>
            <w:tcBorders>
              <w:top w:val="single" w:color="auto" w:sz="4" w:space="0"/>
            </w:tcBorders>
            <w:vAlign w:val="center"/>
          </w:tcPr>
          <w:p w14:paraId="3EFECADC">
            <w:pPr>
              <w:snapToGrid w:val="0"/>
              <w:jc w:val="both"/>
              <w:rPr>
                <w:rFonts w:ascii="宋体" w:hAnsi="宋体"/>
                <w:sz w:val="16"/>
                <w:szCs w:val="16"/>
              </w:rPr>
            </w:pPr>
            <w:r>
              <w:rPr>
                <w:rFonts w:hint="eastAsia" w:ascii="宋体" w:hAnsi="宋体"/>
                <w:sz w:val="16"/>
                <w:szCs w:val="16"/>
              </w:rPr>
              <w:t>质量趋势及设备参数偏离预警</w:t>
            </w:r>
          </w:p>
        </w:tc>
        <w:tc>
          <w:tcPr>
            <w:tcW w:w="4601" w:type="dxa"/>
            <w:vAlign w:val="center"/>
          </w:tcPr>
          <w:p w14:paraId="4FB92885">
            <w:pPr>
              <w:snapToGrid w:val="0"/>
              <w:jc w:val="both"/>
              <w:rPr>
                <w:rFonts w:ascii="宋体" w:hAnsi="宋体"/>
                <w:sz w:val="16"/>
                <w:szCs w:val="16"/>
              </w:rPr>
            </w:pPr>
            <w:r>
              <w:rPr>
                <w:rFonts w:ascii="宋体" w:hAnsi="宋体"/>
                <w:sz w:val="16"/>
                <w:szCs w:val="16"/>
              </w:rPr>
              <w:t>1</w:t>
            </w:r>
            <w:r>
              <w:rPr>
                <w:rFonts w:hint="eastAsia" w:ascii="宋体" w:hAnsi="宋体"/>
                <w:sz w:val="16"/>
                <w:szCs w:val="16"/>
              </w:rPr>
              <w:t>、利用卷接包装机组检测设备（原机检测设备、外挂检测设备）数采数据，实时监控检测设备运行状态、剔除情况、超轻、超重、空头、漏气等关键参数等信息并进行检测设备运行异常预警；</w:t>
            </w:r>
            <w:r>
              <w:rPr>
                <w:rFonts w:ascii="宋体" w:hAnsi="宋体"/>
                <w:sz w:val="16"/>
                <w:szCs w:val="16"/>
              </w:rPr>
              <w:br w:type="textWrapping"/>
            </w:r>
            <w:r>
              <w:rPr>
                <w:rFonts w:ascii="宋体" w:hAnsi="宋体"/>
                <w:sz w:val="16"/>
                <w:szCs w:val="16"/>
              </w:rPr>
              <w:t>2</w:t>
            </w:r>
            <w:r>
              <w:rPr>
                <w:rFonts w:hint="eastAsia" w:ascii="宋体" w:hAnsi="宋体"/>
                <w:sz w:val="16"/>
                <w:szCs w:val="16"/>
              </w:rPr>
              <w:t>、建立设备对应品牌最佳运行参数，系统实时比对最佳值与设定值、实际值的差别，出现异常时及时预警；</w:t>
            </w:r>
            <w:r>
              <w:rPr>
                <w:rFonts w:ascii="宋体" w:hAnsi="宋体"/>
                <w:sz w:val="16"/>
                <w:szCs w:val="16"/>
              </w:rPr>
              <w:br w:type="textWrapping"/>
            </w:r>
            <w:r>
              <w:rPr>
                <w:rFonts w:ascii="宋体" w:hAnsi="宋体"/>
                <w:sz w:val="16"/>
                <w:szCs w:val="16"/>
              </w:rPr>
              <w:t>3</w:t>
            </w:r>
            <w:r>
              <w:rPr>
                <w:rFonts w:hint="eastAsia" w:ascii="宋体" w:hAnsi="宋体"/>
                <w:sz w:val="16"/>
                <w:szCs w:val="16"/>
              </w:rPr>
              <w:t>、对质量指标进行监测及趋势进行预测，对质量指标及趋势出现异常时进行预警；</w:t>
            </w:r>
            <w:r>
              <w:rPr>
                <w:rFonts w:ascii="宋体" w:hAnsi="宋体"/>
                <w:sz w:val="16"/>
                <w:szCs w:val="16"/>
              </w:rPr>
              <w:br w:type="textWrapping"/>
            </w:r>
            <w:r>
              <w:rPr>
                <w:rFonts w:ascii="宋体" w:hAnsi="宋体"/>
                <w:sz w:val="16"/>
                <w:szCs w:val="16"/>
              </w:rPr>
              <w:t>4</w:t>
            </w:r>
            <w:r>
              <w:rPr>
                <w:rFonts w:hint="eastAsia" w:ascii="宋体" w:hAnsi="宋体"/>
                <w:sz w:val="16"/>
                <w:szCs w:val="16"/>
              </w:rPr>
              <w:t>、机型含</w:t>
            </w:r>
            <w:r>
              <w:rPr>
                <w:rFonts w:ascii="宋体" w:hAnsi="宋体"/>
                <w:sz w:val="16"/>
                <w:szCs w:val="16"/>
              </w:rPr>
              <w:t>ZJ116A/FX2</w:t>
            </w:r>
            <w:r>
              <w:rPr>
                <w:rFonts w:hint="eastAsia" w:ascii="宋体" w:hAnsi="宋体"/>
                <w:sz w:val="16"/>
                <w:szCs w:val="16"/>
              </w:rPr>
              <w:t>、</w:t>
            </w:r>
            <w:r>
              <w:rPr>
                <w:rFonts w:ascii="宋体" w:hAnsi="宋体"/>
                <w:sz w:val="16"/>
                <w:szCs w:val="16"/>
              </w:rPr>
              <w:t>ZJ17/GDX2</w:t>
            </w:r>
            <w:r>
              <w:rPr>
                <w:rFonts w:hint="eastAsia" w:ascii="宋体" w:hAnsi="宋体"/>
                <w:sz w:val="16"/>
                <w:szCs w:val="16"/>
              </w:rPr>
              <w:t>、</w:t>
            </w:r>
            <w:r>
              <w:rPr>
                <w:rFonts w:ascii="宋体" w:hAnsi="宋体"/>
                <w:sz w:val="16"/>
                <w:szCs w:val="16"/>
              </w:rPr>
              <w:t>ZJ118/GDX2</w:t>
            </w:r>
            <w:r>
              <w:rPr>
                <w:rFonts w:hint="eastAsia" w:ascii="宋体" w:hAnsi="宋体"/>
                <w:sz w:val="16"/>
                <w:szCs w:val="16"/>
              </w:rPr>
              <w:t>、</w:t>
            </w:r>
            <w:r>
              <w:rPr>
                <w:rFonts w:ascii="宋体" w:hAnsi="宋体"/>
                <w:sz w:val="16"/>
                <w:szCs w:val="16"/>
              </w:rPr>
              <w:t>ZJ118/ZB418</w:t>
            </w:r>
            <w:r>
              <w:rPr>
                <w:rFonts w:hint="eastAsia" w:ascii="宋体" w:hAnsi="宋体"/>
                <w:sz w:val="16"/>
                <w:szCs w:val="16"/>
              </w:rPr>
              <w:t>、手工线</w:t>
            </w:r>
          </w:p>
        </w:tc>
        <w:tc>
          <w:tcPr>
            <w:tcW w:w="2022" w:type="dxa"/>
            <w:vAlign w:val="center"/>
          </w:tcPr>
          <w:p w14:paraId="0D5464EA">
            <w:pPr>
              <w:snapToGrid w:val="0"/>
              <w:jc w:val="both"/>
              <w:rPr>
                <w:rFonts w:ascii="宋体" w:hAnsi="宋体" w:cstheme="minorEastAsia"/>
                <w:bCs/>
                <w:sz w:val="16"/>
                <w:szCs w:val="16"/>
              </w:rPr>
            </w:pPr>
          </w:p>
        </w:tc>
        <w:tc>
          <w:tcPr>
            <w:tcW w:w="0" w:type="auto"/>
            <w:vAlign w:val="center"/>
          </w:tcPr>
          <w:p w14:paraId="79B01C60">
            <w:pPr>
              <w:jc w:val="both"/>
              <w:textAlignment w:val="center"/>
              <w:rPr>
                <w:rFonts w:ascii="宋体" w:hAnsi="宋体" w:cstheme="minorEastAsia"/>
                <w:bCs/>
                <w:sz w:val="16"/>
                <w:szCs w:val="16"/>
              </w:rPr>
            </w:pPr>
          </w:p>
        </w:tc>
        <w:tc>
          <w:tcPr>
            <w:tcW w:w="0" w:type="auto"/>
            <w:vAlign w:val="center"/>
          </w:tcPr>
          <w:p w14:paraId="743D97FE">
            <w:pPr>
              <w:jc w:val="both"/>
              <w:textAlignment w:val="center"/>
              <w:rPr>
                <w:rFonts w:ascii="宋体" w:hAnsi="宋体" w:cstheme="minorEastAsia"/>
                <w:bCs/>
                <w:sz w:val="16"/>
                <w:szCs w:val="16"/>
              </w:rPr>
            </w:pPr>
          </w:p>
        </w:tc>
        <w:tc>
          <w:tcPr>
            <w:tcW w:w="1016" w:type="dxa"/>
            <w:vAlign w:val="center"/>
          </w:tcPr>
          <w:p w14:paraId="79FCD4B2">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7378A061">
            <w:pPr>
              <w:jc w:val="both"/>
              <w:textAlignment w:val="center"/>
              <w:rPr>
                <w:rFonts w:ascii="宋体" w:hAnsi="宋体"/>
                <w:sz w:val="16"/>
                <w:szCs w:val="16"/>
              </w:rPr>
            </w:pPr>
            <w:r>
              <w:rPr>
                <w:rFonts w:ascii="宋体" w:hAnsi="宋体"/>
                <w:sz w:val="16"/>
                <w:szCs w:val="16"/>
              </w:rPr>
              <w:t>12</w:t>
            </w:r>
          </w:p>
        </w:tc>
        <w:tc>
          <w:tcPr>
            <w:tcW w:w="0" w:type="auto"/>
            <w:vAlign w:val="center"/>
          </w:tcPr>
          <w:p w14:paraId="75ADA2D8">
            <w:pPr>
              <w:jc w:val="both"/>
              <w:textAlignment w:val="center"/>
              <w:rPr>
                <w:rFonts w:ascii="宋体" w:hAnsi="宋体" w:cstheme="minorEastAsia"/>
                <w:bCs/>
                <w:sz w:val="16"/>
                <w:szCs w:val="16"/>
                <w:highlight w:val="yellow"/>
              </w:rPr>
            </w:pPr>
          </w:p>
        </w:tc>
        <w:tc>
          <w:tcPr>
            <w:tcW w:w="0" w:type="auto"/>
            <w:vAlign w:val="center"/>
          </w:tcPr>
          <w:p w14:paraId="214D312E">
            <w:pPr>
              <w:jc w:val="both"/>
              <w:textAlignment w:val="center"/>
              <w:rPr>
                <w:rFonts w:ascii="宋体" w:hAnsi="宋体" w:cstheme="minorEastAsia"/>
                <w:bCs/>
                <w:sz w:val="16"/>
                <w:szCs w:val="16"/>
                <w:highlight w:val="yellow"/>
              </w:rPr>
            </w:pPr>
          </w:p>
        </w:tc>
        <w:tc>
          <w:tcPr>
            <w:tcW w:w="0" w:type="auto"/>
            <w:vAlign w:val="center"/>
          </w:tcPr>
          <w:p w14:paraId="29647D2A">
            <w:pPr>
              <w:jc w:val="both"/>
              <w:textAlignment w:val="center"/>
              <w:rPr>
                <w:rFonts w:ascii="宋体" w:hAnsi="宋体" w:cstheme="minorEastAsia"/>
                <w:bCs/>
                <w:sz w:val="16"/>
                <w:szCs w:val="16"/>
                <w:highlight w:val="yellow"/>
              </w:rPr>
            </w:pPr>
          </w:p>
        </w:tc>
        <w:tc>
          <w:tcPr>
            <w:tcW w:w="0" w:type="auto"/>
            <w:shd w:val="clear" w:color="auto" w:fill="auto"/>
            <w:vAlign w:val="center"/>
          </w:tcPr>
          <w:p w14:paraId="0F228ABA">
            <w:pPr>
              <w:snapToGrid w:val="0"/>
              <w:jc w:val="both"/>
              <w:rPr>
                <w:rFonts w:ascii="宋体" w:hAnsi="宋体" w:cstheme="minorEastAsia"/>
                <w:bCs/>
                <w:sz w:val="16"/>
                <w:szCs w:val="16"/>
              </w:rPr>
            </w:pPr>
          </w:p>
        </w:tc>
      </w:tr>
      <w:tr w14:paraId="6519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B7F80D6">
            <w:pPr>
              <w:snapToGrid w:val="0"/>
              <w:jc w:val="both"/>
              <w:rPr>
                <w:rFonts w:ascii="宋体" w:hAnsi="宋体" w:cstheme="minorEastAsia"/>
                <w:bCs/>
                <w:sz w:val="16"/>
                <w:szCs w:val="16"/>
              </w:rPr>
            </w:pPr>
            <w:r>
              <w:rPr>
                <w:rFonts w:hint="eastAsia" w:ascii="宋体" w:hAnsi="宋体" w:cstheme="minorEastAsia"/>
                <w:bCs/>
                <w:sz w:val="16"/>
                <w:szCs w:val="16"/>
              </w:rPr>
              <w:t>6.2.3</w:t>
            </w:r>
          </w:p>
        </w:tc>
        <w:tc>
          <w:tcPr>
            <w:tcW w:w="1484" w:type="dxa"/>
            <w:tcBorders>
              <w:top w:val="single" w:color="auto" w:sz="4" w:space="0"/>
            </w:tcBorders>
            <w:vAlign w:val="center"/>
          </w:tcPr>
          <w:p w14:paraId="657E90F8">
            <w:pPr>
              <w:snapToGrid w:val="0"/>
              <w:jc w:val="both"/>
              <w:rPr>
                <w:rFonts w:ascii="宋体" w:hAnsi="宋体"/>
                <w:sz w:val="16"/>
                <w:szCs w:val="16"/>
              </w:rPr>
            </w:pPr>
            <w:r>
              <w:rPr>
                <w:rFonts w:hint="eastAsia" w:ascii="宋体" w:hAnsi="宋体"/>
                <w:sz w:val="16"/>
                <w:szCs w:val="16"/>
              </w:rPr>
              <w:t>缺陷图片深度学习及预警</w:t>
            </w:r>
          </w:p>
        </w:tc>
        <w:tc>
          <w:tcPr>
            <w:tcW w:w="4601" w:type="dxa"/>
            <w:vAlign w:val="center"/>
          </w:tcPr>
          <w:p w14:paraId="438C646B">
            <w:pPr>
              <w:snapToGrid w:val="0"/>
              <w:jc w:val="both"/>
              <w:rPr>
                <w:rFonts w:ascii="宋体" w:hAnsi="宋体"/>
                <w:sz w:val="16"/>
                <w:szCs w:val="16"/>
              </w:rPr>
            </w:pPr>
            <w:r>
              <w:rPr>
                <w:rFonts w:hint="eastAsia" w:ascii="宋体" w:hAnsi="宋体"/>
                <w:sz w:val="16"/>
                <w:szCs w:val="16"/>
              </w:rPr>
              <w:t>在</w:t>
            </w:r>
            <w:r>
              <w:rPr>
                <w:rFonts w:ascii="宋体" w:hAnsi="宋体"/>
                <w:sz w:val="16"/>
                <w:szCs w:val="16"/>
              </w:rPr>
              <w:t>12</w:t>
            </w:r>
            <w:r>
              <w:rPr>
                <w:rFonts w:hint="eastAsia" w:ascii="宋体" w:hAnsi="宋体"/>
                <w:sz w:val="16"/>
                <w:szCs w:val="16"/>
              </w:rPr>
              <w:t>套设备上实施，对卷接包装设备机组质量检测剔除数据进行深度分析，对图像检测设备采集到的缺陷图片进行深度分析和二次预警，结合设备健康状态，预测质量变化趋势，并进行工艺质量优化调整辅助决策。</w:t>
            </w:r>
          </w:p>
        </w:tc>
        <w:tc>
          <w:tcPr>
            <w:tcW w:w="2022" w:type="dxa"/>
            <w:vAlign w:val="center"/>
          </w:tcPr>
          <w:p w14:paraId="7BF52D0B">
            <w:pPr>
              <w:snapToGrid w:val="0"/>
              <w:jc w:val="both"/>
              <w:rPr>
                <w:rFonts w:ascii="宋体" w:hAnsi="宋体" w:cstheme="minorEastAsia"/>
                <w:bCs/>
                <w:sz w:val="16"/>
                <w:szCs w:val="16"/>
              </w:rPr>
            </w:pPr>
          </w:p>
        </w:tc>
        <w:tc>
          <w:tcPr>
            <w:tcW w:w="0" w:type="auto"/>
            <w:vAlign w:val="center"/>
          </w:tcPr>
          <w:p w14:paraId="07CDE67A">
            <w:pPr>
              <w:jc w:val="both"/>
              <w:textAlignment w:val="center"/>
              <w:rPr>
                <w:rFonts w:ascii="宋体" w:hAnsi="宋体" w:cstheme="minorEastAsia"/>
                <w:bCs/>
                <w:sz w:val="16"/>
                <w:szCs w:val="16"/>
              </w:rPr>
            </w:pPr>
          </w:p>
        </w:tc>
        <w:tc>
          <w:tcPr>
            <w:tcW w:w="0" w:type="auto"/>
            <w:vAlign w:val="center"/>
          </w:tcPr>
          <w:p w14:paraId="010F83F5">
            <w:pPr>
              <w:jc w:val="both"/>
              <w:textAlignment w:val="center"/>
              <w:rPr>
                <w:rFonts w:ascii="宋体" w:hAnsi="宋体" w:cstheme="minorEastAsia"/>
                <w:bCs/>
                <w:sz w:val="16"/>
                <w:szCs w:val="16"/>
              </w:rPr>
            </w:pPr>
          </w:p>
        </w:tc>
        <w:tc>
          <w:tcPr>
            <w:tcW w:w="1016" w:type="dxa"/>
            <w:vAlign w:val="center"/>
          </w:tcPr>
          <w:p w14:paraId="4B45F2DE">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55831693">
            <w:pPr>
              <w:jc w:val="both"/>
              <w:textAlignment w:val="center"/>
              <w:rPr>
                <w:rFonts w:ascii="宋体" w:hAnsi="宋体"/>
                <w:sz w:val="16"/>
                <w:szCs w:val="16"/>
              </w:rPr>
            </w:pPr>
            <w:r>
              <w:rPr>
                <w:rFonts w:ascii="宋体" w:hAnsi="宋体"/>
                <w:sz w:val="16"/>
                <w:szCs w:val="16"/>
              </w:rPr>
              <w:t>12</w:t>
            </w:r>
          </w:p>
        </w:tc>
        <w:tc>
          <w:tcPr>
            <w:tcW w:w="0" w:type="auto"/>
            <w:vAlign w:val="center"/>
          </w:tcPr>
          <w:p w14:paraId="2105E83C">
            <w:pPr>
              <w:jc w:val="both"/>
              <w:textAlignment w:val="center"/>
              <w:rPr>
                <w:rFonts w:ascii="宋体" w:hAnsi="宋体" w:cstheme="minorEastAsia"/>
                <w:bCs/>
                <w:sz w:val="16"/>
                <w:szCs w:val="16"/>
                <w:highlight w:val="yellow"/>
              </w:rPr>
            </w:pPr>
          </w:p>
        </w:tc>
        <w:tc>
          <w:tcPr>
            <w:tcW w:w="0" w:type="auto"/>
            <w:vAlign w:val="center"/>
          </w:tcPr>
          <w:p w14:paraId="7AAB0FAC">
            <w:pPr>
              <w:jc w:val="both"/>
              <w:textAlignment w:val="center"/>
              <w:rPr>
                <w:rFonts w:ascii="宋体" w:hAnsi="宋体" w:cstheme="minorEastAsia"/>
                <w:bCs/>
                <w:sz w:val="16"/>
                <w:szCs w:val="16"/>
                <w:highlight w:val="yellow"/>
              </w:rPr>
            </w:pPr>
          </w:p>
        </w:tc>
        <w:tc>
          <w:tcPr>
            <w:tcW w:w="0" w:type="auto"/>
            <w:vAlign w:val="center"/>
          </w:tcPr>
          <w:p w14:paraId="0F853D70">
            <w:pPr>
              <w:jc w:val="both"/>
              <w:textAlignment w:val="center"/>
              <w:rPr>
                <w:rFonts w:ascii="宋体" w:hAnsi="宋体" w:cstheme="minorEastAsia"/>
                <w:bCs/>
                <w:sz w:val="16"/>
                <w:szCs w:val="16"/>
                <w:highlight w:val="yellow"/>
              </w:rPr>
            </w:pPr>
          </w:p>
        </w:tc>
        <w:tc>
          <w:tcPr>
            <w:tcW w:w="0" w:type="auto"/>
            <w:shd w:val="clear" w:color="auto" w:fill="auto"/>
            <w:vAlign w:val="center"/>
          </w:tcPr>
          <w:p w14:paraId="0592A039">
            <w:pPr>
              <w:snapToGrid w:val="0"/>
              <w:jc w:val="both"/>
              <w:rPr>
                <w:rFonts w:ascii="宋体" w:hAnsi="宋体" w:cstheme="minorEastAsia"/>
                <w:bCs/>
                <w:sz w:val="16"/>
                <w:szCs w:val="16"/>
              </w:rPr>
            </w:pPr>
          </w:p>
        </w:tc>
      </w:tr>
      <w:tr w14:paraId="50BC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0FF5B0A">
            <w:pPr>
              <w:snapToGrid w:val="0"/>
              <w:jc w:val="both"/>
              <w:rPr>
                <w:rFonts w:ascii="宋体" w:hAnsi="宋体" w:cstheme="minorEastAsia"/>
                <w:bCs/>
                <w:sz w:val="16"/>
                <w:szCs w:val="16"/>
              </w:rPr>
            </w:pPr>
            <w:r>
              <w:rPr>
                <w:rFonts w:hint="eastAsia" w:ascii="宋体" w:hAnsi="宋体" w:cstheme="minorEastAsia"/>
                <w:bCs/>
                <w:sz w:val="16"/>
                <w:szCs w:val="16"/>
              </w:rPr>
              <w:t>6.2.4</w:t>
            </w:r>
          </w:p>
        </w:tc>
        <w:tc>
          <w:tcPr>
            <w:tcW w:w="1484" w:type="dxa"/>
            <w:tcBorders>
              <w:top w:val="single" w:color="auto" w:sz="4" w:space="0"/>
            </w:tcBorders>
            <w:vAlign w:val="center"/>
          </w:tcPr>
          <w:p w14:paraId="1F545FC8">
            <w:pPr>
              <w:snapToGrid w:val="0"/>
              <w:jc w:val="both"/>
              <w:rPr>
                <w:rFonts w:ascii="宋体" w:hAnsi="宋体"/>
                <w:sz w:val="16"/>
                <w:szCs w:val="16"/>
              </w:rPr>
            </w:pPr>
            <w:r>
              <w:rPr>
                <w:rFonts w:hint="eastAsia" w:ascii="宋体" w:hAnsi="宋体"/>
                <w:sz w:val="16"/>
                <w:szCs w:val="16"/>
              </w:rPr>
              <w:t>烟支吸阻智能控制</w:t>
            </w:r>
          </w:p>
        </w:tc>
        <w:tc>
          <w:tcPr>
            <w:tcW w:w="4601" w:type="dxa"/>
            <w:vAlign w:val="center"/>
          </w:tcPr>
          <w:p w14:paraId="02EB4AA2">
            <w:pPr>
              <w:snapToGrid w:val="0"/>
              <w:jc w:val="both"/>
              <w:rPr>
                <w:rFonts w:ascii="宋体" w:hAnsi="宋体"/>
                <w:sz w:val="16"/>
                <w:szCs w:val="16"/>
              </w:rPr>
            </w:pPr>
            <w:r>
              <w:rPr>
                <w:rFonts w:hint="eastAsia" w:ascii="宋体" w:hAnsi="宋体"/>
                <w:sz w:val="16"/>
                <w:szCs w:val="16"/>
              </w:rPr>
              <w:t>在</w:t>
            </w:r>
            <w:r>
              <w:rPr>
                <w:rFonts w:ascii="宋体" w:hAnsi="宋体"/>
                <w:sz w:val="16"/>
                <w:szCs w:val="16"/>
              </w:rPr>
              <w:t>6</w:t>
            </w:r>
            <w:r>
              <w:rPr>
                <w:rFonts w:hint="eastAsia" w:ascii="宋体" w:hAnsi="宋体"/>
                <w:sz w:val="16"/>
                <w:szCs w:val="16"/>
              </w:rPr>
              <w:t>台设备上实施，综合分析吸阻与通风率、重量之间的关联关系，利用烟支在线取样综合测试台的测试数据，结合烟支重量及激光打孔等数据构建烟支吸阻智能控制模型，通过对激光打孔设备参数修改实现烟支吸阻的智能控制。</w:t>
            </w:r>
          </w:p>
        </w:tc>
        <w:tc>
          <w:tcPr>
            <w:tcW w:w="2022" w:type="dxa"/>
            <w:vAlign w:val="center"/>
          </w:tcPr>
          <w:p w14:paraId="179AED90">
            <w:pPr>
              <w:snapToGrid w:val="0"/>
              <w:jc w:val="both"/>
              <w:rPr>
                <w:rFonts w:ascii="宋体" w:hAnsi="宋体" w:cstheme="minorEastAsia"/>
                <w:bCs/>
                <w:sz w:val="16"/>
                <w:szCs w:val="16"/>
              </w:rPr>
            </w:pPr>
          </w:p>
        </w:tc>
        <w:tc>
          <w:tcPr>
            <w:tcW w:w="0" w:type="auto"/>
            <w:vAlign w:val="center"/>
          </w:tcPr>
          <w:p w14:paraId="2D987672">
            <w:pPr>
              <w:jc w:val="both"/>
              <w:textAlignment w:val="center"/>
              <w:rPr>
                <w:rFonts w:ascii="宋体" w:hAnsi="宋体" w:cstheme="minorEastAsia"/>
                <w:bCs/>
                <w:sz w:val="16"/>
                <w:szCs w:val="16"/>
              </w:rPr>
            </w:pPr>
          </w:p>
        </w:tc>
        <w:tc>
          <w:tcPr>
            <w:tcW w:w="0" w:type="auto"/>
            <w:vAlign w:val="center"/>
          </w:tcPr>
          <w:p w14:paraId="4D04C8AF">
            <w:pPr>
              <w:jc w:val="both"/>
              <w:textAlignment w:val="center"/>
              <w:rPr>
                <w:rFonts w:ascii="宋体" w:hAnsi="宋体" w:cstheme="minorEastAsia"/>
                <w:bCs/>
                <w:sz w:val="16"/>
                <w:szCs w:val="16"/>
              </w:rPr>
            </w:pPr>
          </w:p>
        </w:tc>
        <w:tc>
          <w:tcPr>
            <w:tcW w:w="1016" w:type="dxa"/>
            <w:vAlign w:val="center"/>
          </w:tcPr>
          <w:p w14:paraId="4B93B02C">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7BDA7693">
            <w:pPr>
              <w:jc w:val="both"/>
              <w:textAlignment w:val="center"/>
              <w:rPr>
                <w:rFonts w:ascii="宋体" w:hAnsi="宋体"/>
                <w:sz w:val="16"/>
                <w:szCs w:val="16"/>
              </w:rPr>
            </w:pPr>
            <w:r>
              <w:rPr>
                <w:rFonts w:ascii="宋体" w:hAnsi="宋体"/>
                <w:sz w:val="16"/>
                <w:szCs w:val="16"/>
              </w:rPr>
              <w:t>6</w:t>
            </w:r>
          </w:p>
        </w:tc>
        <w:tc>
          <w:tcPr>
            <w:tcW w:w="0" w:type="auto"/>
            <w:vAlign w:val="center"/>
          </w:tcPr>
          <w:p w14:paraId="0703E981">
            <w:pPr>
              <w:jc w:val="both"/>
              <w:textAlignment w:val="center"/>
              <w:rPr>
                <w:rFonts w:ascii="宋体" w:hAnsi="宋体" w:cstheme="minorEastAsia"/>
                <w:bCs/>
                <w:sz w:val="16"/>
                <w:szCs w:val="16"/>
                <w:highlight w:val="yellow"/>
              </w:rPr>
            </w:pPr>
          </w:p>
        </w:tc>
        <w:tc>
          <w:tcPr>
            <w:tcW w:w="0" w:type="auto"/>
            <w:vAlign w:val="center"/>
          </w:tcPr>
          <w:p w14:paraId="3C21B655">
            <w:pPr>
              <w:jc w:val="both"/>
              <w:textAlignment w:val="center"/>
              <w:rPr>
                <w:rFonts w:ascii="宋体" w:hAnsi="宋体" w:cstheme="minorEastAsia"/>
                <w:bCs/>
                <w:sz w:val="16"/>
                <w:szCs w:val="16"/>
                <w:highlight w:val="yellow"/>
              </w:rPr>
            </w:pPr>
          </w:p>
        </w:tc>
        <w:tc>
          <w:tcPr>
            <w:tcW w:w="0" w:type="auto"/>
            <w:vAlign w:val="center"/>
          </w:tcPr>
          <w:p w14:paraId="745CA4C1">
            <w:pPr>
              <w:jc w:val="both"/>
              <w:textAlignment w:val="center"/>
              <w:rPr>
                <w:rFonts w:ascii="宋体" w:hAnsi="宋体" w:cstheme="minorEastAsia"/>
                <w:bCs/>
                <w:sz w:val="16"/>
                <w:szCs w:val="16"/>
                <w:highlight w:val="yellow"/>
              </w:rPr>
            </w:pPr>
          </w:p>
        </w:tc>
        <w:tc>
          <w:tcPr>
            <w:tcW w:w="0" w:type="auto"/>
            <w:shd w:val="clear" w:color="auto" w:fill="auto"/>
            <w:vAlign w:val="center"/>
          </w:tcPr>
          <w:p w14:paraId="21298410">
            <w:pPr>
              <w:snapToGrid w:val="0"/>
              <w:jc w:val="both"/>
              <w:rPr>
                <w:rFonts w:ascii="宋体" w:hAnsi="宋体" w:cstheme="minorEastAsia"/>
                <w:bCs/>
                <w:sz w:val="16"/>
                <w:szCs w:val="16"/>
              </w:rPr>
            </w:pPr>
          </w:p>
        </w:tc>
      </w:tr>
      <w:tr w14:paraId="418A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E58A7E0">
            <w:pPr>
              <w:snapToGrid w:val="0"/>
              <w:jc w:val="both"/>
              <w:rPr>
                <w:rFonts w:ascii="宋体" w:hAnsi="宋体" w:cstheme="minorEastAsia"/>
                <w:bCs/>
                <w:sz w:val="16"/>
                <w:szCs w:val="16"/>
              </w:rPr>
            </w:pPr>
            <w:r>
              <w:rPr>
                <w:rFonts w:hint="eastAsia" w:ascii="宋体" w:hAnsi="宋体" w:cstheme="minorEastAsia"/>
                <w:bCs/>
                <w:sz w:val="16"/>
                <w:szCs w:val="16"/>
              </w:rPr>
              <w:t>6.2.5</w:t>
            </w:r>
          </w:p>
        </w:tc>
        <w:tc>
          <w:tcPr>
            <w:tcW w:w="1484" w:type="dxa"/>
            <w:tcBorders>
              <w:top w:val="single" w:color="auto" w:sz="4" w:space="0"/>
            </w:tcBorders>
            <w:vAlign w:val="center"/>
          </w:tcPr>
          <w:p w14:paraId="0A2D1937">
            <w:pPr>
              <w:snapToGrid w:val="0"/>
              <w:jc w:val="both"/>
              <w:rPr>
                <w:rFonts w:ascii="宋体" w:hAnsi="宋体"/>
                <w:sz w:val="16"/>
                <w:szCs w:val="16"/>
              </w:rPr>
            </w:pPr>
            <w:r>
              <w:rPr>
                <w:rFonts w:hint="eastAsia" w:ascii="宋体" w:hAnsi="宋体"/>
                <w:sz w:val="16"/>
                <w:szCs w:val="16"/>
              </w:rPr>
              <w:t>搭口胶胶量在线监测与控制</w:t>
            </w:r>
          </w:p>
        </w:tc>
        <w:tc>
          <w:tcPr>
            <w:tcW w:w="4601" w:type="dxa"/>
            <w:vAlign w:val="center"/>
          </w:tcPr>
          <w:p w14:paraId="7F2D087A">
            <w:pPr>
              <w:snapToGrid w:val="0"/>
              <w:jc w:val="both"/>
              <w:rPr>
                <w:rFonts w:ascii="宋体" w:hAnsi="宋体"/>
                <w:sz w:val="16"/>
                <w:szCs w:val="16"/>
              </w:rPr>
            </w:pPr>
            <w:r>
              <w:rPr>
                <w:rFonts w:hint="eastAsia" w:ascii="宋体" w:hAnsi="宋体"/>
                <w:sz w:val="16"/>
                <w:szCs w:val="16"/>
              </w:rPr>
              <w:t>在</w:t>
            </w:r>
            <w:r>
              <w:rPr>
                <w:rFonts w:ascii="宋体" w:hAnsi="宋体"/>
                <w:sz w:val="16"/>
                <w:szCs w:val="16"/>
              </w:rPr>
              <w:t>10</w:t>
            </w:r>
            <w:r>
              <w:rPr>
                <w:rFonts w:hint="eastAsia" w:ascii="宋体" w:hAnsi="宋体"/>
                <w:sz w:val="16"/>
                <w:szCs w:val="16"/>
              </w:rPr>
              <w:t>台设备上实施，实时监控搭口胶流量，结合车速和流量设定值综合分析，实时校正胶量，出现较大偏差时报警停机。</w:t>
            </w:r>
          </w:p>
        </w:tc>
        <w:tc>
          <w:tcPr>
            <w:tcW w:w="2022" w:type="dxa"/>
            <w:vAlign w:val="center"/>
          </w:tcPr>
          <w:p w14:paraId="7DAB24AE">
            <w:pPr>
              <w:snapToGrid w:val="0"/>
              <w:jc w:val="both"/>
              <w:rPr>
                <w:rFonts w:ascii="宋体" w:hAnsi="宋体" w:cstheme="minorEastAsia"/>
                <w:bCs/>
                <w:sz w:val="16"/>
                <w:szCs w:val="16"/>
              </w:rPr>
            </w:pPr>
          </w:p>
        </w:tc>
        <w:tc>
          <w:tcPr>
            <w:tcW w:w="0" w:type="auto"/>
            <w:vAlign w:val="center"/>
          </w:tcPr>
          <w:p w14:paraId="29AB2ADD">
            <w:pPr>
              <w:jc w:val="both"/>
              <w:textAlignment w:val="center"/>
              <w:rPr>
                <w:rFonts w:ascii="宋体" w:hAnsi="宋体" w:cstheme="minorEastAsia"/>
                <w:bCs/>
                <w:sz w:val="16"/>
                <w:szCs w:val="16"/>
              </w:rPr>
            </w:pPr>
          </w:p>
        </w:tc>
        <w:tc>
          <w:tcPr>
            <w:tcW w:w="0" w:type="auto"/>
            <w:vAlign w:val="center"/>
          </w:tcPr>
          <w:p w14:paraId="2698194F">
            <w:pPr>
              <w:jc w:val="both"/>
              <w:textAlignment w:val="center"/>
              <w:rPr>
                <w:rFonts w:ascii="宋体" w:hAnsi="宋体" w:cstheme="minorEastAsia"/>
                <w:bCs/>
                <w:sz w:val="16"/>
                <w:szCs w:val="16"/>
              </w:rPr>
            </w:pPr>
          </w:p>
        </w:tc>
        <w:tc>
          <w:tcPr>
            <w:tcW w:w="1016" w:type="dxa"/>
            <w:vAlign w:val="center"/>
          </w:tcPr>
          <w:p w14:paraId="340FA7F1">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57AAA3E3">
            <w:pPr>
              <w:jc w:val="both"/>
              <w:textAlignment w:val="center"/>
              <w:rPr>
                <w:rFonts w:ascii="宋体" w:hAnsi="宋体"/>
                <w:sz w:val="16"/>
                <w:szCs w:val="16"/>
              </w:rPr>
            </w:pPr>
            <w:r>
              <w:rPr>
                <w:rFonts w:ascii="宋体" w:hAnsi="宋体"/>
                <w:sz w:val="16"/>
                <w:szCs w:val="16"/>
              </w:rPr>
              <w:t>10</w:t>
            </w:r>
          </w:p>
        </w:tc>
        <w:tc>
          <w:tcPr>
            <w:tcW w:w="0" w:type="auto"/>
            <w:vAlign w:val="center"/>
          </w:tcPr>
          <w:p w14:paraId="485E256A">
            <w:pPr>
              <w:jc w:val="both"/>
              <w:textAlignment w:val="center"/>
              <w:rPr>
                <w:rFonts w:ascii="宋体" w:hAnsi="宋体" w:cstheme="minorEastAsia"/>
                <w:bCs/>
                <w:sz w:val="16"/>
                <w:szCs w:val="16"/>
                <w:highlight w:val="yellow"/>
              </w:rPr>
            </w:pPr>
          </w:p>
        </w:tc>
        <w:tc>
          <w:tcPr>
            <w:tcW w:w="0" w:type="auto"/>
            <w:vAlign w:val="center"/>
          </w:tcPr>
          <w:p w14:paraId="5ECE2733">
            <w:pPr>
              <w:jc w:val="both"/>
              <w:textAlignment w:val="center"/>
              <w:rPr>
                <w:rFonts w:ascii="宋体" w:hAnsi="宋体" w:cstheme="minorEastAsia"/>
                <w:bCs/>
                <w:sz w:val="16"/>
                <w:szCs w:val="16"/>
                <w:highlight w:val="yellow"/>
              </w:rPr>
            </w:pPr>
          </w:p>
        </w:tc>
        <w:tc>
          <w:tcPr>
            <w:tcW w:w="0" w:type="auto"/>
            <w:vAlign w:val="center"/>
          </w:tcPr>
          <w:p w14:paraId="25C2CB9C">
            <w:pPr>
              <w:jc w:val="both"/>
              <w:textAlignment w:val="center"/>
              <w:rPr>
                <w:rFonts w:ascii="宋体" w:hAnsi="宋体" w:cstheme="minorEastAsia"/>
                <w:bCs/>
                <w:sz w:val="16"/>
                <w:szCs w:val="16"/>
                <w:highlight w:val="yellow"/>
              </w:rPr>
            </w:pPr>
          </w:p>
        </w:tc>
        <w:tc>
          <w:tcPr>
            <w:tcW w:w="0" w:type="auto"/>
            <w:shd w:val="clear" w:color="auto" w:fill="auto"/>
            <w:vAlign w:val="center"/>
          </w:tcPr>
          <w:p w14:paraId="3D09F1B8">
            <w:pPr>
              <w:snapToGrid w:val="0"/>
              <w:jc w:val="both"/>
              <w:rPr>
                <w:rFonts w:ascii="宋体" w:hAnsi="宋体" w:cstheme="minorEastAsia"/>
                <w:bCs/>
                <w:sz w:val="16"/>
                <w:szCs w:val="16"/>
              </w:rPr>
            </w:pPr>
          </w:p>
        </w:tc>
      </w:tr>
      <w:tr w14:paraId="610B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456B279">
            <w:pPr>
              <w:snapToGrid w:val="0"/>
              <w:jc w:val="both"/>
              <w:rPr>
                <w:rFonts w:ascii="宋体" w:hAnsi="宋体" w:cstheme="minorEastAsia"/>
                <w:b/>
                <w:bCs/>
                <w:sz w:val="16"/>
                <w:szCs w:val="16"/>
              </w:rPr>
            </w:pPr>
            <w:bookmarkStart w:id="253" w:name="_Hlk187680124"/>
            <w:r>
              <w:rPr>
                <w:rFonts w:hint="eastAsia" w:ascii="宋体" w:hAnsi="宋体" w:cstheme="minorEastAsia"/>
                <w:b/>
                <w:bCs/>
                <w:sz w:val="16"/>
                <w:szCs w:val="16"/>
              </w:rPr>
              <w:t>6.3</w:t>
            </w:r>
          </w:p>
        </w:tc>
        <w:tc>
          <w:tcPr>
            <w:tcW w:w="13138" w:type="dxa"/>
            <w:gridSpan w:val="11"/>
            <w:vAlign w:val="center"/>
          </w:tcPr>
          <w:p w14:paraId="2D0983A1">
            <w:pPr>
              <w:snapToGrid w:val="0"/>
              <w:jc w:val="both"/>
              <w:rPr>
                <w:rFonts w:ascii="宋体" w:hAnsi="宋体" w:cstheme="minorEastAsia"/>
                <w:b/>
                <w:bCs/>
                <w:sz w:val="16"/>
                <w:szCs w:val="16"/>
              </w:rPr>
            </w:pPr>
            <w:r>
              <w:rPr>
                <w:rFonts w:hint="eastAsia" w:ascii="宋体" w:hAnsi="宋体"/>
                <w:b/>
                <w:sz w:val="16"/>
                <w:szCs w:val="16"/>
              </w:rPr>
              <w:t>工厂智能制造能力成熟度诊断与优化</w:t>
            </w:r>
          </w:p>
        </w:tc>
      </w:tr>
      <w:bookmarkEnd w:id="253"/>
      <w:tr w14:paraId="634B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B01271B">
            <w:pPr>
              <w:snapToGrid w:val="0"/>
              <w:jc w:val="both"/>
              <w:rPr>
                <w:rFonts w:ascii="宋体" w:hAnsi="宋体" w:cstheme="minorEastAsia"/>
                <w:bCs/>
                <w:sz w:val="16"/>
                <w:szCs w:val="16"/>
              </w:rPr>
            </w:pPr>
            <w:r>
              <w:rPr>
                <w:rFonts w:hint="eastAsia" w:ascii="宋体" w:hAnsi="宋体" w:cstheme="minorEastAsia"/>
                <w:bCs/>
                <w:sz w:val="16"/>
                <w:szCs w:val="16"/>
              </w:rPr>
              <w:t>6.3.1</w:t>
            </w:r>
          </w:p>
        </w:tc>
        <w:tc>
          <w:tcPr>
            <w:tcW w:w="1484" w:type="dxa"/>
            <w:tcBorders>
              <w:top w:val="single" w:color="auto" w:sz="4" w:space="0"/>
            </w:tcBorders>
            <w:vAlign w:val="center"/>
          </w:tcPr>
          <w:p w14:paraId="4645DE12">
            <w:pPr>
              <w:snapToGrid w:val="0"/>
              <w:jc w:val="both"/>
              <w:rPr>
                <w:rFonts w:ascii="宋体" w:hAnsi="宋体"/>
                <w:sz w:val="16"/>
                <w:szCs w:val="16"/>
              </w:rPr>
            </w:pPr>
            <w:r>
              <w:rPr>
                <w:rFonts w:hint="eastAsia" w:ascii="宋体" w:hAnsi="宋体"/>
                <w:sz w:val="16"/>
                <w:szCs w:val="16"/>
              </w:rPr>
              <w:t>工厂智能制造能力成熟度诊断与优化</w:t>
            </w:r>
          </w:p>
        </w:tc>
        <w:tc>
          <w:tcPr>
            <w:tcW w:w="4601" w:type="dxa"/>
            <w:vAlign w:val="center"/>
          </w:tcPr>
          <w:p w14:paraId="01653947">
            <w:pPr>
              <w:snapToGrid w:val="0"/>
              <w:jc w:val="both"/>
              <w:rPr>
                <w:rFonts w:ascii="宋体" w:hAnsi="宋体"/>
                <w:sz w:val="16"/>
                <w:szCs w:val="16"/>
              </w:rPr>
            </w:pPr>
            <w:r>
              <w:rPr>
                <w:rFonts w:hint="eastAsia" w:ascii="宋体" w:hAnsi="宋体"/>
                <w:sz w:val="16"/>
                <w:szCs w:val="16"/>
              </w:rPr>
              <w:t>对标智能制造能力成熟度四级标准，为工厂开展智能制造水平提供诊断，形成智能制造能力提升深度诊断报告和解决方案。对本项目中涉及到的内容需按标准进行建设，并出具工厂智能制造成熟度四级符合性证书。</w:t>
            </w:r>
          </w:p>
        </w:tc>
        <w:tc>
          <w:tcPr>
            <w:tcW w:w="2022" w:type="dxa"/>
            <w:vAlign w:val="center"/>
          </w:tcPr>
          <w:p w14:paraId="2352F904">
            <w:pPr>
              <w:snapToGrid w:val="0"/>
              <w:jc w:val="both"/>
              <w:rPr>
                <w:rFonts w:ascii="宋体" w:hAnsi="宋体" w:cstheme="minorEastAsia"/>
                <w:bCs/>
                <w:sz w:val="16"/>
                <w:szCs w:val="16"/>
              </w:rPr>
            </w:pPr>
          </w:p>
        </w:tc>
        <w:tc>
          <w:tcPr>
            <w:tcW w:w="0" w:type="auto"/>
            <w:vAlign w:val="center"/>
          </w:tcPr>
          <w:p w14:paraId="4127C5FA">
            <w:pPr>
              <w:jc w:val="both"/>
              <w:textAlignment w:val="center"/>
              <w:rPr>
                <w:rFonts w:ascii="宋体" w:hAnsi="宋体" w:cstheme="minorEastAsia"/>
                <w:bCs/>
                <w:sz w:val="16"/>
                <w:szCs w:val="16"/>
              </w:rPr>
            </w:pPr>
          </w:p>
        </w:tc>
        <w:tc>
          <w:tcPr>
            <w:tcW w:w="0" w:type="auto"/>
            <w:vAlign w:val="center"/>
          </w:tcPr>
          <w:p w14:paraId="2DE2DDA7">
            <w:pPr>
              <w:jc w:val="both"/>
              <w:textAlignment w:val="center"/>
              <w:rPr>
                <w:rFonts w:ascii="宋体" w:hAnsi="宋体" w:cstheme="minorEastAsia"/>
                <w:bCs/>
                <w:sz w:val="16"/>
                <w:szCs w:val="16"/>
              </w:rPr>
            </w:pPr>
          </w:p>
        </w:tc>
        <w:tc>
          <w:tcPr>
            <w:tcW w:w="1016" w:type="dxa"/>
            <w:vAlign w:val="center"/>
          </w:tcPr>
          <w:p w14:paraId="735E18F2">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7BEFEE7A">
            <w:pPr>
              <w:jc w:val="both"/>
              <w:textAlignment w:val="center"/>
              <w:rPr>
                <w:rFonts w:ascii="宋体" w:hAnsi="宋体"/>
                <w:sz w:val="16"/>
                <w:szCs w:val="16"/>
              </w:rPr>
            </w:pPr>
            <w:r>
              <w:rPr>
                <w:rFonts w:ascii="宋体" w:hAnsi="宋体"/>
                <w:sz w:val="16"/>
                <w:szCs w:val="16"/>
              </w:rPr>
              <w:t>1</w:t>
            </w:r>
          </w:p>
        </w:tc>
        <w:tc>
          <w:tcPr>
            <w:tcW w:w="0" w:type="auto"/>
            <w:vAlign w:val="center"/>
          </w:tcPr>
          <w:p w14:paraId="3E9CB42F">
            <w:pPr>
              <w:jc w:val="both"/>
              <w:textAlignment w:val="center"/>
              <w:rPr>
                <w:rFonts w:ascii="宋体" w:hAnsi="宋体" w:cstheme="minorEastAsia"/>
                <w:bCs/>
                <w:sz w:val="16"/>
                <w:szCs w:val="16"/>
                <w:highlight w:val="yellow"/>
              </w:rPr>
            </w:pPr>
          </w:p>
        </w:tc>
        <w:tc>
          <w:tcPr>
            <w:tcW w:w="0" w:type="auto"/>
            <w:vAlign w:val="center"/>
          </w:tcPr>
          <w:p w14:paraId="1CB93E47">
            <w:pPr>
              <w:jc w:val="both"/>
              <w:textAlignment w:val="center"/>
              <w:rPr>
                <w:rFonts w:ascii="宋体" w:hAnsi="宋体" w:cstheme="minorEastAsia"/>
                <w:bCs/>
                <w:sz w:val="16"/>
                <w:szCs w:val="16"/>
                <w:highlight w:val="yellow"/>
              </w:rPr>
            </w:pPr>
          </w:p>
        </w:tc>
        <w:tc>
          <w:tcPr>
            <w:tcW w:w="0" w:type="auto"/>
            <w:vAlign w:val="center"/>
          </w:tcPr>
          <w:p w14:paraId="0996DD0C">
            <w:pPr>
              <w:jc w:val="both"/>
              <w:textAlignment w:val="center"/>
              <w:rPr>
                <w:rFonts w:ascii="宋体" w:hAnsi="宋体" w:cstheme="minorEastAsia"/>
                <w:bCs/>
                <w:sz w:val="16"/>
                <w:szCs w:val="16"/>
                <w:highlight w:val="yellow"/>
              </w:rPr>
            </w:pPr>
          </w:p>
        </w:tc>
        <w:tc>
          <w:tcPr>
            <w:tcW w:w="0" w:type="auto"/>
            <w:shd w:val="clear" w:color="auto" w:fill="auto"/>
            <w:vAlign w:val="center"/>
          </w:tcPr>
          <w:p w14:paraId="7BAAD21F">
            <w:pPr>
              <w:snapToGrid w:val="0"/>
              <w:jc w:val="both"/>
              <w:rPr>
                <w:rFonts w:ascii="宋体" w:hAnsi="宋体" w:cstheme="minorEastAsia"/>
                <w:bCs/>
                <w:sz w:val="16"/>
                <w:szCs w:val="16"/>
              </w:rPr>
            </w:pPr>
          </w:p>
        </w:tc>
      </w:tr>
      <w:tr w14:paraId="6C71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4F7857D">
            <w:pPr>
              <w:snapToGrid w:val="0"/>
              <w:jc w:val="both"/>
              <w:rPr>
                <w:rFonts w:ascii="宋体" w:hAnsi="宋体" w:cstheme="minorEastAsia"/>
                <w:b/>
                <w:bCs/>
                <w:sz w:val="16"/>
                <w:szCs w:val="16"/>
              </w:rPr>
            </w:pPr>
            <w:r>
              <w:rPr>
                <w:rFonts w:hint="eastAsia" w:ascii="宋体" w:hAnsi="宋体" w:cstheme="minorEastAsia"/>
                <w:b/>
                <w:bCs/>
                <w:sz w:val="16"/>
                <w:szCs w:val="16"/>
              </w:rPr>
              <w:t>7</w:t>
            </w:r>
          </w:p>
        </w:tc>
        <w:tc>
          <w:tcPr>
            <w:tcW w:w="1484" w:type="dxa"/>
            <w:tcBorders>
              <w:top w:val="single" w:color="auto" w:sz="4" w:space="0"/>
            </w:tcBorders>
            <w:vAlign w:val="center"/>
          </w:tcPr>
          <w:p w14:paraId="56C8F0AA">
            <w:pPr>
              <w:snapToGrid w:val="0"/>
              <w:jc w:val="both"/>
              <w:rPr>
                <w:rFonts w:ascii="宋体" w:hAnsi="宋体"/>
                <w:b/>
                <w:sz w:val="16"/>
                <w:szCs w:val="16"/>
              </w:rPr>
            </w:pPr>
            <w:r>
              <w:rPr>
                <w:rFonts w:hint="eastAsia" w:ascii="宋体" w:hAnsi="宋体"/>
                <w:b/>
                <w:sz w:val="16"/>
                <w:szCs w:val="16"/>
              </w:rPr>
              <w:t>安装调试费</w:t>
            </w:r>
          </w:p>
        </w:tc>
        <w:tc>
          <w:tcPr>
            <w:tcW w:w="4601" w:type="dxa"/>
            <w:vAlign w:val="center"/>
          </w:tcPr>
          <w:p w14:paraId="75C58518">
            <w:pPr>
              <w:snapToGrid w:val="0"/>
              <w:jc w:val="both"/>
              <w:rPr>
                <w:rFonts w:ascii="宋体" w:hAnsi="宋体"/>
                <w:sz w:val="16"/>
                <w:szCs w:val="16"/>
              </w:rPr>
            </w:pPr>
            <w:r>
              <w:rPr>
                <w:rFonts w:ascii="宋体" w:hAnsi="宋体"/>
                <w:sz w:val="16"/>
                <w:szCs w:val="16"/>
              </w:rPr>
              <w:t>\</w:t>
            </w:r>
          </w:p>
        </w:tc>
        <w:tc>
          <w:tcPr>
            <w:tcW w:w="2022" w:type="dxa"/>
            <w:vAlign w:val="center"/>
          </w:tcPr>
          <w:p w14:paraId="358FD3AB">
            <w:pPr>
              <w:snapToGrid w:val="0"/>
              <w:jc w:val="both"/>
              <w:rPr>
                <w:rFonts w:ascii="宋体" w:hAnsi="宋体" w:cstheme="minorEastAsia"/>
                <w:bCs/>
                <w:sz w:val="16"/>
                <w:szCs w:val="16"/>
              </w:rPr>
            </w:pPr>
          </w:p>
        </w:tc>
        <w:tc>
          <w:tcPr>
            <w:tcW w:w="0" w:type="auto"/>
            <w:vAlign w:val="center"/>
          </w:tcPr>
          <w:p w14:paraId="69B81AF7">
            <w:pPr>
              <w:jc w:val="both"/>
              <w:textAlignment w:val="center"/>
              <w:rPr>
                <w:rFonts w:ascii="宋体" w:hAnsi="宋体" w:cstheme="minorEastAsia"/>
                <w:bCs/>
                <w:sz w:val="16"/>
                <w:szCs w:val="16"/>
              </w:rPr>
            </w:pPr>
          </w:p>
        </w:tc>
        <w:tc>
          <w:tcPr>
            <w:tcW w:w="0" w:type="auto"/>
            <w:vAlign w:val="center"/>
          </w:tcPr>
          <w:p w14:paraId="56EF5962">
            <w:pPr>
              <w:jc w:val="both"/>
              <w:textAlignment w:val="center"/>
              <w:rPr>
                <w:rFonts w:ascii="宋体" w:hAnsi="宋体" w:cstheme="minorEastAsia"/>
                <w:bCs/>
                <w:sz w:val="16"/>
                <w:szCs w:val="16"/>
              </w:rPr>
            </w:pPr>
          </w:p>
        </w:tc>
        <w:tc>
          <w:tcPr>
            <w:tcW w:w="1016" w:type="dxa"/>
            <w:vAlign w:val="center"/>
          </w:tcPr>
          <w:p w14:paraId="3744F4C5">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6B6F002E">
            <w:pPr>
              <w:jc w:val="both"/>
              <w:textAlignment w:val="center"/>
              <w:rPr>
                <w:rFonts w:ascii="宋体" w:hAnsi="宋体"/>
                <w:sz w:val="16"/>
                <w:szCs w:val="16"/>
              </w:rPr>
            </w:pPr>
            <w:r>
              <w:rPr>
                <w:rFonts w:ascii="宋体" w:hAnsi="宋体"/>
                <w:sz w:val="16"/>
                <w:szCs w:val="16"/>
              </w:rPr>
              <w:t>1</w:t>
            </w:r>
          </w:p>
        </w:tc>
        <w:tc>
          <w:tcPr>
            <w:tcW w:w="0" w:type="auto"/>
            <w:vAlign w:val="center"/>
          </w:tcPr>
          <w:p w14:paraId="1C66E404">
            <w:pPr>
              <w:jc w:val="both"/>
              <w:textAlignment w:val="center"/>
              <w:rPr>
                <w:rFonts w:ascii="宋体" w:hAnsi="宋体" w:cstheme="minorEastAsia"/>
                <w:bCs/>
                <w:sz w:val="16"/>
                <w:szCs w:val="16"/>
                <w:highlight w:val="yellow"/>
              </w:rPr>
            </w:pPr>
          </w:p>
        </w:tc>
        <w:tc>
          <w:tcPr>
            <w:tcW w:w="0" w:type="auto"/>
            <w:vAlign w:val="center"/>
          </w:tcPr>
          <w:p w14:paraId="3246384F">
            <w:pPr>
              <w:jc w:val="both"/>
              <w:textAlignment w:val="center"/>
              <w:rPr>
                <w:rFonts w:ascii="宋体" w:hAnsi="宋体" w:cstheme="minorEastAsia"/>
                <w:bCs/>
                <w:sz w:val="16"/>
                <w:szCs w:val="16"/>
                <w:highlight w:val="yellow"/>
              </w:rPr>
            </w:pPr>
          </w:p>
        </w:tc>
        <w:tc>
          <w:tcPr>
            <w:tcW w:w="0" w:type="auto"/>
            <w:vAlign w:val="center"/>
          </w:tcPr>
          <w:p w14:paraId="4AEAF3C8">
            <w:pPr>
              <w:jc w:val="both"/>
              <w:textAlignment w:val="center"/>
              <w:rPr>
                <w:rFonts w:ascii="宋体" w:hAnsi="宋体" w:cstheme="minorEastAsia"/>
                <w:bCs/>
                <w:sz w:val="16"/>
                <w:szCs w:val="16"/>
                <w:highlight w:val="yellow"/>
              </w:rPr>
            </w:pPr>
          </w:p>
        </w:tc>
        <w:tc>
          <w:tcPr>
            <w:tcW w:w="0" w:type="auto"/>
            <w:shd w:val="clear" w:color="auto" w:fill="auto"/>
            <w:vAlign w:val="center"/>
          </w:tcPr>
          <w:p w14:paraId="32972BA1">
            <w:pPr>
              <w:snapToGrid w:val="0"/>
              <w:jc w:val="both"/>
              <w:rPr>
                <w:rFonts w:ascii="宋体" w:hAnsi="宋体" w:cstheme="minorEastAsia"/>
                <w:bCs/>
                <w:sz w:val="16"/>
                <w:szCs w:val="16"/>
              </w:rPr>
            </w:pPr>
          </w:p>
        </w:tc>
      </w:tr>
      <w:tr w14:paraId="772A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0B74C04C">
            <w:pPr>
              <w:snapToGrid w:val="0"/>
              <w:jc w:val="both"/>
              <w:rPr>
                <w:rFonts w:ascii="宋体" w:hAnsi="宋体" w:cstheme="minorEastAsia"/>
                <w:b/>
                <w:bCs/>
                <w:sz w:val="21"/>
                <w:szCs w:val="21"/>
              </w:rPr>
            </w:pPr>
            <w:r>
              <w:rPr>
                <w:rFonts w:hint="eastAsia" w:ascii="宋体" w:hAnsi="宋体" w:cstheme="minorEastAsia"/>
                <w:b/>
                <w:bCs/>
                <w:sz w:val="21"/>
                <w:szCs w:val="21"/>
              </w:rPr>
              <w:t>五</w:t>
            </w:r>
          </w:p>
        </w:tc>
        <w:tc>
          <w:tcPr>
            <w:tcW w:w="13138" w:type="dxa"/>
            <w:gridSpan w:val="11"/>
            <w:vAlign w:val="center"/>
          </w:tcPr>
          <w:p w14:paraId="1901DA92">
            <w:pPr>
              <w:snapToGrid w:val="0"/>
              <w:jc w:val="both"/>
              <w:rPr>
                <w:rFonts w:ascii="宋体" w:hAnsi="宋体" w:cstheme="minorEastAsia"/>
                <w:b/>
                <w:bCs/>
                <w:sz w:val="21"/>
                <w:szCs w:val="21"/>
              </w:rPr>
            </w:pPr>
            <w:r>
              <w:rPr>
                <w:rFonts w:hint="eastAsia" w:ascii="宋体" w:hAnsi="宋体" w:cstheme="minorEastAsia"/>
                <w:b/>
                <w:bCs/>
                <w:sz w:val="21"/>
                <w:szCs w:val="21"/>
              </w:rPr>
              <w:t>数字能源</w:t>
            </w:r>
          </w:p>
        </w:tc>
      </w:tr>
      <w:tr w14:paraId="7A57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4345E710">
            <w:pPr>
              <w:snapToGrid w:val="0"/>
              <w:jc w:val="both"/>
              <w:rPr>
                <w:rFonts w:ascii="宋体" w:hAnsi="宋体" w:cstheme="minorEastAsia"/>
                <w:b/>
                <w:bCs/>
                <w:sz w:val="16"/>
                <w:szCs w:val="16"/>
              </w:rPr>
            </w:pPr>
            <w:r>
              <w:rPr>
                <w:rFonts w:hint="eastAsia" w:ascii="宋体" w:hAnsi="宋体" w:cstheme="minorEastAsia"/>
                <w:b/>
                <w:bCs/>
                <w:sz w:val="16"/>
                <w:szCs w:val="16"/>
              </w:rPr>
              <w:t>1</w:t>
            </w:r>
          </w:p>
        </w:tc>
        <w:tc>
          <w:tcPr>
            <w:tcW w:w="13138" w:type="dxa"/>
            <w:gridSpan w:val="11"/>
            <w:vAlign w:val="center"/>
          </w:tcPr>
          <w:p w14:paraId="6BBE307E">
            <w:pPr>
              <w:snapToGrid w:val="0"/>
              <w:jc w:val="both"/>
              <w:rPr>
                <w:rFonts w:ascii="宋体" w:hAnsi="宋体" w:cstheme="minorEastAsia"/>
                <w:b/>
                <w:bCs/>
                <w:sz w:val="16"/>
                <w:szCs w:val="16"/>
              </w:rPr>
            </w:pPr>
            <w:r>
              <w:rPr>
                <w:rFonts w:hint="eastAsia" w:ascii="宋体" w:hAnsi="宋体" w:cstheme="minorEastAsia"/>
                <w:b/>
                <w:bCs/>
                <w:sz w:val="16"/>
                <w:szCs w:val="16"/>
              </w:rPr>
              <w:t>能源管理系统硬件</w:t>
            </w:r>
          </w:p>
        </w:tc>
      </w:tr>
      <w:tr w14:paraId="3E3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1C40C0FD">
            <w:pPr>
              <w:snapToGrid w:val="0"/>
              <w:jc w:val="both"/>
              <w:rPr>
                <w:rFonts w:ascii="宋体" w:hAnsi="宋体" w:cstheme="minorEastAsia"/>
                <w:b/>
                <w:bCs/>
                <w:sz w:val="16"/>
                <w:szCs w:val="16"/>
              </w:rPr>
            </w:pPr>
            <w:r>
              <w:rPr>
                <w:rFonts w:hint="eastAsia" w:ascii="宋体" w:hAnsi="宋体" w:cstheme="minorEastAsia"/>
                <w:b/>
                <w:bCs/>
                <w:sz w:val="16"/>
                <w:szCs w:val="16"/>
              </w:rPr>
              <w:t>1.1</w:t>
            </w:r>
          </w:p>
        </w:tc>
        <w:tc>
          <w:tcPr>
            <w:tcW w:w="13138" w:type="dxa"/>
            <w:gridSpan w:val="11"/>
            <w:vAlign w:val="center"/>
          </w:tcPr>
          <w:p w14:paraId="7B386972">
            <w:pPr>
              <w:snapToGrid w:val="0"/>
              <w:jc w:val="both"/>
              <w:rPr>
                <w:rFonts w:ascii="宋体" w:hAnsi="宋体" w:cstheme="minorEastAsia"/>
                <w:b/>
                <w:bCs/>
                <w:sz w:val="16"/>
                <w:szCs w:val="16"/>
              </w:rPr>
            </w:pPr>
            <w:r>
              <w:rPr>
                <w:rFonts w:hint="eastAsia" w:ascii="宋体" w:hAnsi="宋体" w:cstheme="minorEastAsia"/>
                <w:b/>
                <w:bCs/>
                <w:sz w:val="16"/>
                <w:szCs w:val="16"/>
              </w:rPr>
              <w:t>水表</w:t>
            </w:r>
          </w:p>
        </w:tc>
      </w:tr>
      <w:tr w14:paraId="70C1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23FB213">
            <w:pPr>
              <w:snapToGrid w:val="0"/>
              <w:jc w:val="both"/>
              <w:rPr>
                <w:rFonts w:ascii="宋体" w:hAnsi="宋体" w:cstheme="minorEastAsia"/>
                <w:bCs/>
                <w:sz w:val="16"/>
                <w:szCs w:val="16"/>
              </w:rPr>
            </w:pPr>
            <w:r>
              <w:rPr>
                <w:rFonts w:ascii="宋体" w:hAnsi="宋体"/>
                <w:sz w:val="16"/>
                <w:szCs w:val="16"/>
              </w:rPr>
              <w:t>1.1.1</w:t>
            </w:r>
          </w:p>
        </w:tc>
        <w:tc>
          <w:tcPr>
            <w:tcW w:w="1484" w:type="dxa"/>
            <w:tcBorders>
              <w:top w:val="single" w:color="auto" w:sz="4" w:space="0"/>
            </w:tcBorders>
            <w:vAlign w:val="center"/>
          </w:tcPr>
          <w:p w14:paraId="509F4224">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08B9449C">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DN20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4689CCDE">
            <w:pPr>
              <w:snapToGrid w:val="0"/>
              <w:jc w:val="both"/>
              <w:rPr>
                <w:rFonts w:ascii="宋体" w:hAnsi="宋体" w:cstheme="minorEastAsia"/>
                <w:bCs/>
                <w:sz w:val="16"/>
                <w:szCs w:val="16"/>
              </w:rPr>
            </w:pPr>
          </w:p>
        </w:tc>
        <w:tc>
          <w:tcPr>
            <w:tcW w:w="0" w:type="auto"/>
            <w:vAlign w:val="center"/>
          </w:tcPr>
          <w:p w14:paraId="2F854355">
            <w:pPr>
              <w:jc w:val="both"/>
              <w:textAlignment w:val="center"/>
              <w:rPr>
                <w:rFonts w:ascii="宋体" w:hAnsi="宋体" w:cstheme="minorEastAsia"/>
                <w:bCs/>
                <w:sz w:val="16"/>
                <w:szCs w:val="16"/>
              </w:rPr>
            </w:pPr>
          </w:p>
        </w:tc>
        <w:tc>
          <w:tcPr>
            <w:tcW w:w="0" w:type="auto"/>
            <w:vAlign w:val="center"/>
          </w:tcPr>
          <w:p w14:paraId="2674CFD3">
            <w:pPr>
              <w:jc w:val="both"/>
              <w:textAlignment w:val="center"/>
              <w:rPr>
                <w:rFonts w:ascii="宋体" w:hAnsi="宋体" w:cstheme="minorEastAsia"/>
                <w:bCs/>
                <w:sz w:val="16"/>
                <w:szCs w:val="16"/>
              </w:rPr>
            </w:pPr>
          </w:p>
        </w:tc>
        <w:tc>
          <w:tcPr>
            <w:tcW w:w="1016" w:type="dxa"/>
            <w:vAlign w:val="center"/>
          </w:tcPr>
          <w:p w14:paraId="6A55911D">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6FACFFF7">
            <w:pPr>
              <w:jc w:val="both"/>
              <w:textAlignment w:val="center"/>
              <w:rPr>
                <w:rFonts w:ascii="宋体" w:hAnsi="宋体"/>
                <w:sz w:val="16"/>
                <w:szCs w:val="16"/>
              </w:rPr>
            </w:pPr>
            <w:r>
              <w:rPr>
                <w:rFonts w:ascii="宋体" w:hAnsi="宋体"/>
                <w:sz w:val="16"/>
                <w:szCs w:val="16"/>
              </w:rPr>
              <w:t>4</w:t>
            </w:r>
          </w:p>
        </w:tc>
        <w:tc>
          <w:tcPr>
            <w:tcW w:w="0" w:type="auto"/>
            <w:vAlign w:val="center"/>
          </w:tcPr>
          <w:p w14:paraId="5AE49F4A">
            <w:pPr>
              <w:jc w:val="both"/>
              <w:textAlignment w:val="center"/>
              <w:rPr>
                <w:rFonts w:ascii="宋体" w:hAnsi="宋体" w:cstheme="minorEastAsia"/>
                <w:bCs/>
                <w:sz w:val="16"/>
                <w:szCs w:val="16"/>
                <w:highlight w:val="yellow"/>
              </w:rPr>
            </w:pPr>
          </w:p>
        </w:tc>
        <w:tc>
          <w:tcPr>
            <w:tcW w:w="0" w:type="auto"/>
            <w:vAlign w:val="center"/>
          </w:tcPr>
          <w:p w14:paraId="0FBFBDC4">
            <w:pPr>
              <w:jc w:val="both"/>
              <w:textAlignment w:val="center"/>
              <w:rPr>
                <w:rFonts w:ascii="宋体" w:hAnsi="宋体" w:cstheme="minorEastAsia"/>
                <w:bCs/>
                <w:sz w:val="16"/>
                <w:szCs w:val="16"/>
                <w:highlight w:val="yellow"/>
              </w:rPr>
            </w:pPr>
          </w:p>
        </w:tc>
        <w:tc>
          <w:tcPr>
            <w:tcW w:w="0" w:type="auto"/>
            <w:vAlign w:val="center"/>
          </w:tcPr>
          <w:p w14:paraId="49DFC08D">
            <w:pPr>
              <w:jc w:val="both"/>
              <w:textAlignment w:val="center"/>
              <w:rPr>
                <w:rFonts w:ascii="宋体" w:hAnsi="宋体" w:cstheme="minorEastAsia"/>
                <w:bCs/>
                <w:sz w:val="16"/>
                <w:szCs w:val="16"/>
                <w:highlight w:val="yellow"/>
              </w:rPr>
            </w:pPr>
          </w:p>
        </w:tc>
        <w:tc>
          <w:tcPr>
            <w:tcW w:w="0" w:type="auto"/>
            <w:shd w:val="clear" w:color="auto" w:fill="auto"/>
            <w:vAlign w:val="center"/>
          </w:tcPr>
          <w:p w14:paraId="27EAAB7A">
            <w:pPr>
              <w:snapToGrid w:val="0"/>
              <w:jc w:val="both"/>
              <w:rPr>
                <w:rFonts w:ascii="宋体" w:hAnsi="宋体" w:cstheme="minorEastAsia"/>
                <w:bCs/>
                <w:sz w:val="16"/>
                <w:szCs w:val="16"/>
              </w:rPr>
            </w:pPr>
          </w:p>
        </w:tc>
      </w:tr>
      <w:tr w14:paraId="208D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1E3D757">
            <w:pPr>
              <w:snapToGrid w:val="0"/>
              <w:jc w:val="both"/>
              <w:rPr>
                <w:rFonts w:ascii="宋体" w:hAnsi="宋体" w:cstheme="minorEastAsia"/>
                <w:bCs/>
                <w:sz w:val="16"/>
                <w:szCs w:val="16"/>
              </w:rPr>
            </w:pPr>
            <w:r>
              <w:rPr>
                <w:rFonts w:ascii="宋体" w:hAnsi="宋体"/>
                <w:sz w:val="16"/>
                <w:szCs w:val="16"/>
              </w:rPr>
              <w:t>1.1.2</w:t>
            </w:r>
          </w:p>
        </w:tc>
        <w:tc>
          <w:tcPr>
            <w:tcW w:w="1484" w:type="dxa"/>
            <w:tcBorders>
              <w:top w:val="single" w:color="auto" w:sz="4" w:space="0"/>
            </w:tcBorders>
            <w:vAlign w:val="center"/>
          </w:tcPr>
          <w:p w14:paraId="3CC8E75E">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0260D4EC">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DN25</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57D5180E">
            <w:pPr>
              <w:snapToGrid w:val="0"/>
              <w:jc w:val="both"/>
              <w:rPr>
                <w:rFonts w:ascii="宋体" w:hAnsi="宋体" w:cstheme="minorEastAsia"/>
                <w:bCs/>
                <w:sz w:val="16"/>
                <w:szCs w:val="16"/>
              </w:rPr>
            </w:pPr>
          </w:p>
        </w:tc>
        <w:tc>
          <w:tcPr>
            <w:tcW w:w="0" w:type="auto"/>
            <w:vAlign w:val="center"/>
          </w:tcPr>
          <w:p w14:paraId="2508C561">
            <w:pPr>
              <w:jc w:val="both"/>
              <w:textAlignment w:val="center"/>
              <w:rPr>
                <w:rFonts w:ascii="宋体" w:hAnsi="宋体" w:cstheme="minorEastAsia"/>
                <w:bCs/>
                <w:sz w:val="16"/>
                <w:szCs w:val="16"/>
              </w:rPr>
            </w:pPr>
          </w:p>
        </w:tc>
        <w:tc>
          <w:tcPr>
            <w:tcW w:w="0" w:type="auto"/>
            <w:vAlign w:val="center"/>
          </w:tcPr>
          <w:p w14:paraId="5C88E11E">
            <w:pPr>
              <w:jc w:val="both"/>
              <w:textAlignment w:val="center"/>
              <w:rPr>
                <w:rFonts w:ascii="宋体" w:hAnsi="宋体" w:cstheme="minorEastAsia"/>
                <w:bCs/>
                <w:sz w:val="16"/>
                <w:szCs w:val="16"/>
              </w:rPr>
            </w:pPr>
          </w:p>
        </w:tc>
        <w:tc>
          <w:tcPr>
            <w:tcW w:w="1016" w:type="dxa"/>
            <w:vAlign w:val="center"/>
          </w:tcPr>
          <w:p w14:paraId="0A3135A9">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1CE44E3E">
            <w:pPr>
              <w:jc w:val="both"/>
              <w:textAlignment w:val="center"/>
              <w:rPr>
                <w:rFonts w:ascii="宋体" w:hAnsi="宋体"/>
                <w:sz w:val="16"/>
                <w:szCs w:val="16"/>
              </w:rPr>
            </w:pPr>
            <w:r>
              <w:rPr>
                <w:rFonts w:ascii="宋体" w:hAnsi="宋体"/>
                <w:sz w:val="16"/>
                <w:szCs w:val="16"/>
              </w:rPr>
              <w:t>1</w:t>
            </w:r>
          </w:p>
        </w:tc>
        <w:tc>
          <w:tcPr>
            <w:tcW w:w="0" w:type="auto"/>
            <w:vAlign w:val="center"/>
          </w:tcPr>
          <w:p w14:paraId="7D9A5CB0">
            <w:pPr>
              <w:jc w:val="both"/>
              <w:textAlignment w:val="center"/>
              <w:rPr>
                <w:rFonts w:ascii="宋体" w:hAnsi="宋体" w:cstheme="minorEastAsia"/>
                <w:bCs/>
                <w:sz w:val="16"/>
                <w:szCs w:val="16"/>
                <w:highlight w:val="yellow"/>
              </w:rPr>
            </w:pPr>
          </w:p>
        </w:tc>
        <w:tc>
          <w:tcPr>
            <w:tcW w:w="0" w:type="auto"/>
            <w:vAlign w:val="center"/>
          </w:tcPr>
          <w:p w14:paraId="25E2C6AC">
            <w:pPr>
              <w:jc w:val="both"/>
              <w:textAlignment w:val="center"/>
              <w:rPr>
                <w:rFonts w:ascii="宋体" w:hAnsi="宋体" w:cstheme="minorEastAsia"/>
                <w:bCs/>
                <w:sz w:val="16"/>
                <w:szCs w:val="16"/>
                <w:highlight w:val="yellow"/>
              </w:rPr>
            </w:pPr>
          </w:p>
        </w:tc>
        <w:tc>
          <w:tcPr>
            <w:tcW w:w="0" w:type="auto"/>
            <w:vAlign w:val="center"/>
          </w:tcPr>
          <w:p w14:paraId="07EC7C58">
            <w:pPr>
              <w:jc w:val="both"/>
              <w:textAlignment w:val="center"/>
              <w:rPr>
                <w:rFonts w:ascii="宋体" w:hAnsi="宋体" w:cstheme="minorEastAsia"/>
                <w:bCs/>
                <w:sz w:val="16"/>
                <w:szCs w:val="16"/>
                <w:highlight w:val="yellow"/>
              </w:rPr>
            </w:pPr>
          </w:p>
        </w:tc>
        <w:tc>
          <w:tcPr>
            <w:tcW w:w="0" w:type="auto"/>
            <w:shd w:val="clear" w:color="auto" w:fill="auto"/>
            <w:vAlign w:val="center"/>
          </w:tcPr>
          <w:p w14:paraId="166AF6DE">
            <w:pPr>
              <w:snapToGrid w:val="0"/>
              <w:jc w:val="both"/>
              <w:rPr>
                <w:rFonts w:ascii="宋体" w:hAnsi="宋体" w:cstheme="minorEastAsia"/>
                <w:bCs/>
                <w:sz w:val="16"/>
                <w:szCs w:val="16"/>
              </w:rPr>
            </w:pPr>
          </w:p>
        </w:tc>
      </w:tr>
      <w:tr w14:paraId="1EF5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7DAAA8E">
            <w:pPr>
              <w:snapToGrid w:val="0"/>
              <w:jc w:val="both"/>
              <w:rPr>
                <w:rFonts w:ascii="宋体" w:hAnsi="宋体" w:cstheme="minorEastAsia"/>
                <w:bCs/>
                <w:sz w:val="16"/>
                <w:szCs w:val="16"/>
              </w:rPr>
            </w:pPr>
            <w:r>
              <w:rPr>
                <w:rFonts w:ascii="宋体" w:hAnsi="宋体"/>
                <w:sz w:val="16"/>
                <w:szCs w:val="16"/>
              </w:rPr>
              <w:t>1.1.3</w:t>
            </w:r>
          </w:p>
        </w:tc>
        <w:tc>
          <w:tcPr>
            <w:tcW w:w="1484" w:type="dxa"/>
            <w:tcBorders>
              <w:top w:val="single" w:color="auto" w:sz="4" w:space="0"/>
            </w:tcBorders>
            <w:vAlign w:val="center"/>
          </w:tcPr>
          <w:p w14:paraId="4ACDFCE6">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5B6BF24C">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DN32</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573B3948">
            <w:pPr>
              <w:snapToGrid w:val="0"/>
              <w:jc w:val="both"/>
              <w:rPr>
                <w:rFonts w:ascii="宋体" w:hAnsi="宋体" w:cstheme="minorEastAsia"/>
                <w:bCs/>
                <w:sz w:val="16"/>
                <w:szCs w:val="16"/>
              </w:rPr>
            </w:pPr>
          </w:p>
        </w:tc>
        <w:tc>
          <w:tcPr>
            <w:tcW w:w="0" w:type="auto"/>
            <w:vAlign w:val="center"/>
          </w:tcPr>
          <w:p w14:paraId="161159AC">
            <w:pPr>
              <w:jc w:val="both"/>
              <w:textAlignment w:val="center"/>
              <w:rPr>
                <w:rFonts w:ascii="宋体" w:hAnsi="宋体" w:cstheme="minorEastAsia"/>
                <w:bCs/>
                <w:sz w:val="16"/>
                <w:szCs w:val="16"/>
              </w:rPr>
            </w:pPr>
          </w:p>
        </w:tc>
        <w:tc>
          <w:tcPr>
            <w:tcW w:w="0" w:type="auto"/>
            <w:vAlign w:val="center"/>
          </w:tcPr>
          <w:p w14:paraId="32A9DF25">
            <w:pPr>
              <w:jc w:val="both"/>
              <w:textAlignment w:val="center"/>
              <w:rPr>
                <w:rFonts w:ascii="宋体" w:hAnsi="宋体" w:cstheme="minorEastAsia"/>
                <w:bCs/>
                <w:sz w:val="16"/>
                <w:szCs w:val="16"/>
              </w:rPr>
            </w:pPr>
          </w:p>
        </w:tc>
        <w:tc>
          <w:tcPr>
            <w:tcW w:w="1016" w:type="dxa"/>
            <w:vAlign w:val="center"/>
          </w:tcPr>
          <w:p w14:paraId="39E2691B">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3DE70268">
            <w:pPr>
              <w:jc w:val="both"/>
              <w:textAlignment w:val="center"/>
              <w:rPr>
                <w:rFonts w:ascii="宋体" w:hAnsi="宋体"/>
                <w:sz w:val="16"/>
                <w:szCs w:val="16"/>
              </w:rPr>
            </w:pPr>
            <w:r>
              <w:rPr>
                <w:rFonts w:ascii="宋体" w:hAnsi="宋体"/>
                <w:sz w:val="16"/>
                <w:szCs w:val="16"/>
              </w:rPr>
              <w:t>4</w:t>
            </w:r>
          </w:p>
        </w:tc>
        <w:tc>
          <w:tcPr>
            <w:tcW w:w="0" w:type="auto"/>
            <w:vAlign w:val="center"/>
          </w:tcPr>
          <w:p w14:paraId="62542233">
            <w:pPr>
              <w:jc w:val="both"/>
              <w:textAlignment w:val="center"/>
              <w:rPr>
                <w:rFonts w:ascii="宋体" w:hAnsi="宋体" w:cstheme="minorEastAsia"/>
                <w:bCs/>
                <w:sz w:val="16"/>
                <w:szCs w:val="16"/>
                <w:highlight w:val="yellow"/>
              </w:rPr>
            </w:pPr>
          </w:p>
        </w:tc>
        <w:tc>
          <w:tcPr>
            <w:tcW w:w="0" w:type="auto"/>
            <w:vAlign w:val="center"/>
          </w:tcPr>
          <w:p w14:paraId="50B0F73C">
            <w:pPr>
              <w:jc w:val="both"/>
              <w:textAlignment w:val="center"/>
              <w:rPr>
                <w:rFonts w:ascii="宋体" w:hAnsi="宋体" w:cstheme="minorEastAsia"/>
                <w:bCs/>
                <w:sz w:val="16"/>
                <w:szCs w:val="16"/>
                <w:highlight w:val="yellow"/>
              </w:rPr>
            </w:pPr>
          </w:p>
        </w:tc>
        <w:tc>
          <w:tcPr>
            <w:tcW w:w="0" w:type="auto"/>
            <w:vAlign w:val="center"/>
          </w:tcPr>
          <w:p w14:paraId="3009AA8A">
            <w:pPr>
              <w:jc w:val="both"/>
              <w:textAlignment w:val="center"/>
              <w:rPr>
                <w:rFonts w:ascii="宋体" w:hAnsi="宋体" w:cstheme="minorEastAsia"/>
                <w:bCs/>
                <w:sz w:val="16"/>
                <w:szCs w:val="16"/>
                <w:highlight w:val="yellow"/>
              </w:rPr>
            </w:pPr>
          </w:p>
        </w:tc>
        <w:tc>
          <w:tcPr>
            <w:tcW w:w="0" w:type="auto"/>
            <w:shd w:val="clear" w:color="auto" w:fill="auto"/>
            <w:vAlign w:val="center"/>
          </w:tcPr>
          <w:p w14:paraId="7DE03FA1">
            <w:pPr>
              <w:snapToGrid w:val="0"/>
              <w:jc w:val="both"/>
              <w:rPr>
                <w:rFonts w:ascii="宋体" w:hAnsi="宋体" w:cstheme="minorEastAsia"/>
                <w:bCs/>
                <w:sz w:val="16"/>
                <w:szCs w:val="16"/>
              </w:rPr>
            </w:pPr>
          </w:p>
        </w:tc>
      </w:tr>
      <w:tr w14:paraId="4C01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D5D6177">
            <w:pPr>
              <w:snapToGrid w:val="0"/>
              <w:jc w:val="both"/>
              <w:rPr>
                <w:rFonts w:ascii="宋体" w:hAnsi="宋体" w:cstheme="minorEastAsia"/>
                <w:bCs/>
                <w:sz w:val="16"/>
                <w:szCs w:val="16"/>
              </w:rPr>
            </w:pPr>
            <w:r>
              <w:rPr>
                <w:rFonts w:ascii="宋体" w:hAnsi="宋体"/>
                <w:sz w:val="16"/>
                <w:szCs w:val="16"/>
              </w:rPr>
              <w:t>1.1.4</w:t>
            </w:r>
          </w:p>
        </w:tc>
        <w:tc>
          <w:tcPr>
            <w:tcW w:w="1484" w:type="dxa"/>
            <w:tcBorders>
              <w:top w:val="single" w:color="auto" w:sz="4" w:space="0"/>
            </w:tcBorders>
            <w:vAlign w:val="center"/>
          </w:tcPr>
          <w:p w14:paraId="6270F97B">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231FC910">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DN40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15713B70">
            <w:pPr>
              <w:snapToGrid w:val="0"/>
              <w:jc w:val="both"/>
              <w:rPr>
                <w:rFonts w:ascii="宋体" w:hAnsi="宋体" w:cstheme="minorEastAsia"/>
                <w:bCs/>
                <w:sz w:val="16"/>
                <w:szCs w:val="16"/>
              </w:rPr>
            </w:pPr>
          </w:p>
        </w:tc>
        <w:tc>
          <w:tcPr>
            <w:tcW w:w="0" w:type="auto"/>
            <w:vAlign w:val="center"/>
          </w:tcPr>
          <w:p w14:paraId="3401FC3F">
            <w:pPr>
              <w:jc w:val="both"/>
              <w:textAlignment w:val="center"/>
              <w:rPr>
                <w:rFonts w:ascii="宋体" w:hAnsi="宋体" w:cstheme="minorEastAsia"/>
                <w:bCs/>
                <w:sz w:val="16"/>
                <w:szCs w:val="16"/>
              </w:rPr>
            </w:pPr>
          </w:p>
        </w:tc>
        <w:tc>
          <w:tcPr>
            <w:tcW w:w="0" w:type="auto"/>
            <w:vAlign w:val="center"/>
          </w:tcPr>
          <w:p w14:paraId="4B36DE71">
            <w:pPr>
              <w:jc w:val="both"/>
              <w:textAlignment w:val="center"/>
              <w:rPr>
                <w:rFonts w:ascii="宋体" w:hAnsi="宋体" w:cstheme="minorEastAsia"/>
                <w:bCs/>
                <w:sz w:val="16"/>
                <w:szCs w:val="16"/>
              </w:rPr>
            </w:pPr>
          </w:p>
        </w:tc>
        <w:tc>
          <w:tcPr>
            <w:tcW w:w="1016" w:type="dxa"/>
            <w:vAlign w:val="center"/>
          </w:tcPr>
          <w:p w14:paraId="130081ED">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158511A7">
            <w:pPr>
              <w:jc w:val="both"/>
              <w:textAlignment w:val="center"/>
              <w:rPr>
                <w:rFonts w:ascii="宋体" w:hAnsi="宋体"/>
                <w:sz w:val="16"/>
                <w:szCs w:val="16"/>
              </w:rPr>
            </w:pPr>
            <w:r>
              <w:rPr>
                <w:rFonts w:ascii="宋体" w:hAnsi="宋体"/>
                <w:sz w:val="16"/>
                <w:szCs w:val="16"/>
              </w:rPr>
              <w:t>1</w:t>
            </w:r>
          </w:p>
        </w:tc>
        <w:tc>
          <w:tcPr>
            <w:tcW w:w="0" w:type="auto"/>
            <w:vAlign w:val="center"/>
          </w:tcPr>
          <w:p w14:paraId="2D03021F">
            <w:pPr>
              <w:jc w:val="both"/>
              <w:textAlignment w:val="center"/>
              <w:rPr>
                <w:rFonts w:ascii="宋体" w:hAnsi="宋体" w:cstheme="minorEastAsia"/>
                <w:bCs/>
                <w:sz w:val="16"/>
                <w:szCs w:val="16"/>
                <w:highlight w:val="yellow"/>
              </w:rPr>
            </w:pPr>
          </w:p>
        </w:tc>
        <w:tc>
          <w:tcPr>
            <w:tcW w:w="0" w:type="auto"/>
            <w:vAlign w:val="center"/>
          </w:tcPr>
          <w:p w14:paraId="6775198E">
            <w:pPr>
              <w:jc w:val="both"/>
              <w:textAlignment w:val="center"/>
              <w:rPr>
                <w:rFonts w:ascii="宋体" w:hAnsi="宋体" w:cstheme="minorEastAsia"/>
                <w:bCs/>
                <w:sz w:val="16"/>
                <w:szCs w:val="16"/>
                <w:highlight w:val="yellow"/>
              </w:rPr>
            </w:pPr>
          </w:p>
        </w:tc>
        <w:tc>
          <w:tcPr>
            <w:tcW w:w="0" w:type="auto"/>
            <w:vAlign w:val="center"/>
          </w:tcPr>
          <w:p w14:paraId="12624291">
            <w:pPr>
              <w:jc w:val="both"/>
              <w:textAlignment w:val="center"/>
              <w:rPr>
                <w:rFonts w:ascii="宋体" w:hAnsi="宋体" w:cstheme="minorEastAsia"/>
                <w:bCs/>
                <w:sz w:val="16"/>
                <w:szCs w:val="16"/>
                <w:highlight w:val="yellow"/>
              </w:rPr>
            </w:pPr>
          </w:p>
        </w:tc>
        <w:tc>
          <w:tcPr>
            <w:tcW w:w="0" w:type="auto"/>
            <w:shd w:val="clear" w:color="auto" w:fill="auto"/>
            <w:vAlign w:val="center"/>
          </w:tcPr>
          <w:p w14:paraId="5EA07051">
            <w:pPr>
              <w:snapToGrid w:val="0"/>
              <w:jc w:val="both"/>
              <w:rPr>
                <w:rFonts w:ascii="宋体" w:hAnsi="宋体" w:cstheme="minorEastAsia"/>
                <w:bCs/>
                <w:sz w:val="16"/>
                <w:szCs w:val="16"/>
              </w:rPr>
            </w:pPr>
          </w:p>
        </w:tc>
      </w:tr>
      <w:tr w14:paraId="5E9E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ABF3493">
            <w:pPr>
              <w:snapToGrid w:val="0"/>
              <w:jc w:val="both"/>
              <w:rPr>
                <w:rFonts w:ascii="宋体" w:hAnsi="宋体" w:cstheme="minorEastAsia"/>
                <w:bCs/>
                <w:sz w:val="16"/>
                <w:szCs w:val="16"/>
              </w:rPr>
            </w:pPr>
            <w:r>
              <w:rPr>
                <w:rFonts w:ascii="宋体" w:hAnsi="宋体"/>
                <w:sz w:val="16"/>
                <w:szCs w:val="16"/>
              </w:rPr>
              <w:t>1.1.5</w:t>
            </w:r>
          </w:p>
        </w:tc>
        <w:tc>
          <w:tcPr>
            <w:tcW w:w="1484" w:type="dxa"/>
            <w:tcBorders>
              <w:top w:val="single" w:color="auto" w:sz="4" w:space="0"/>
            </w:tcBorders>
            <w:vAlign w:val="center"/>
          </w:tcPr>
          <w:p w14:paraId="1450E277">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7E0CBAD4">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DN50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496861C8">
            <w:pPr>
              <w:snapToGrid w:val="0"/>
              <w:jc w:val="both"/>
              <w:rPr>
                <w:rFonts w:ascii="宋体" w:hAnsi="宋体" w:cstheme="minorEastAsia"/>
                <w:bCs/>
                <w:sz w:val="16"/>
                <w:szCs w:val="16"/>
              </w:rPr>
            </w:pPr>
          </w:p>
        </w:tc>
        <w:tc>
          <w:tcPr>
            <w:tcW w:w="0" w:type="auto"/>
            <w:vAlign w:val="center"/>
          </w:tcPr>
          <w:p w14:paraId="447C1EC8">
            <w:pPr>
              <w:jc w:val="both"/>
              <w:textAlignment w:val="center"/>
              <w:rPr>
                <w:rFonts w:ascii="宋体" w:hAnsi="宋体" w:cstheme="minorEastAsia"/>
                <w:bCs/>
                <w:sz w:val="16"/>
                <w:szCs w:val="16"/>
              </w:rPr>
            </w:pPr>
          </w:p>
        </w:tc>
        <w:tc>
          <w:tcPr>
            <w:tcW w:w="0" w:type="auto"/>
            <w:vAlign w:val="center"/>
          </w:tcPr>
          <w:p w14:paraId="68B5B26D">
            <w:pPr>
              <w:jc w:val="both"/>
              <w:textAlignment w:val="center"/>
              <w:rPr>
                <w:rFonts w:ascii="宋体" w:hAnsi="宋体" w:cstheme="minorEastAsia"/>
                <w:bCs/>
                <w:sz w:val="16"/>
                <w:szCs w:val="16"/>
              </w:rPr>
            </w:pPr>
          </w:p>
        </w:tc>
        <w:tc>
          <w:tcPr>
            <w:tcW w:w="1016" w:type="dxa"/>
            <w:vAlign w:val="center"/>
          </w:tcPr>
          <w:p w14:paraId="1D8ADC49">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7331AA71">
            <w:pPr>
              <w:jc w:val="both"/>
              <w:textAlignment w:val="center"/>
              <w:rPr>
                <w:rFonts w:ascii="宋体" w:hAnsi="宋体"/>
                <w:sz w:val="16"/>
                <w:szCs w:val="16"/>
              </w:rPr>
            </w:pPr>
            <w:r>
              <w:rPr>
                <w:rFonts w:ascii="宋体" w:hAnsi="宋体"/>
                <w:sz w:val="16"/>
                <w:szCs w:val="16"/>
              </w:rPr>
              <w:t>7</w:t>
            </w:r>
          </w:p>
        </w:tc>
        <w:tc>
          <w:tcPr>
            <w:tcW w:w="0" w:type="auto"/>
            <w:vAlign w:val="center"/>
          </w:tcPr>
          <w:p w14:paraId="5364ADA8">
            <w:pPr>
              <w:jc w:val="both"/>
              <w:textAlignment w:val="center"/>
              <w:rPr>
                <w:rFonts w:ascii="宋体" w:hAnsi="宋体" w:cstheme="minorEastAsia"/>
                <w:bCs/>
                <w:sz w:val="16"/>
                <w:szCs w:val="16"/>
                <w:highlight w:val="yellow"/>
              </w:rPr>
            </w:pPr>
          </w:p>
        </w:tc>
        <w:tc>
          <w:tcPr>
            <w:tcW w:w="0" w:type="auto"/>
            <w:vAlign w:val="center"/>
          </w:tcPr>
          <w:p w14:paraId="5866E291">
            <w:pPr>
              <w:jc w:val="both"/>
              <w:textAlignment w:val="center"/>
              <w:rPr>
                <w:rFonts w:ascii="宋体" w:hAnsi="宋体" w:cstheme="minorEastAsia"/>
                <w:bCs/>
                <w:sz w:val="16"/>
                <w:szCs w:val="16"/>
                <w:highlight w:val="yellow"/>
              </w:rPr>
            </w:pPr>
          </w:p>
        </w:tc>
        <w:tc>
          <w:tcPr>
            <w:tcW w:w="0" w:type="auto"/>
            <w:vAlign w:val="center"/>
          </w:tcPr>
          <w:p w14:paraId="7E0EBB06">
            <w:pPr>
              <w:jc w:val="both"/>
              <w:textAlignment w:val="center"/>
              <w:rPr>
                <w:rFonts w:ascii="宋体" w:hAnsi="宋体" w:cstheme="minorEastAsia"/>
                <w:bCs/>
                <w:sz w:val="16"/>
                <w:szCs w:val="16"/>
                <w:highlight w:val="yellow"/>
              </w:rPr>
            </w:pPr>
          </w:p>
        </w:tc>
        <w:tc>
          <w:tcPr>
            <w:tcW w:w="0" w:type="auto"/>
            <w:shd w:val="clear" w:color="auto" w:fill="auto"/>
            <w:vAlign w:val="center"/>
          </w:tcPr>
          <w:p w14:paraId="1629DA08">
            <w:pPr>
              <w:snapToGrid w:val="0"/>
              <w:jc w:val="both"/>
              <w:rPr>
                <w:rFonts w:ascii="宋体" w:hAnsi="宋体" w:cstheme="minorEastAsia"/>
                <w:bCs/>
                <w:sz w:val="16"/>
                <w:szCs w:val="16"/>
              </w:rPr>
            </w:pPr>
          </w:p>
        </w:tc>
      </w:tr>
      <w:tr w14:paraId="6CCF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264F5E8">
            <w:pPr>
              <w:snapToGrid w:val="0"/>
              <w:jc w:val="both"/>
              <w:rPr>
                <w:rFonts w:ascii="宋体" w:hAnsi="宋体" w:cstheme="minorEastAsia"/>
                <w:bCs/>
                <w:sz w:val="16"/>
                <w:szCs w:val="16"/>
              </w:rPr>
            </w:pPr>
            <w:r>
              <w:rPr>
                <w:rFonts w:ascii="宋体" w:hAnsi="宋体"/>
                <w:sz w:val="16"/>
                <w:szCs w:val="16"/>
              </w:rPr>
              <w:t>1.1.6</w:t>
            </w:r>
          </w:p>
        </w:tc>
        <w:tc>
          <w:tcPr>
            <w:tcW w:w="1484" w:type="dxa"/>
            <w:tcBorders>
              <w:top w:val="single" w:color="auto" w:sz="4" w:space="0"/>
            </w:tcBorders>
            <w:vAlign w:val="center"/>
          </w:tcPr>
          <w:p w14:paraId="263ACCFA">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38D66ADD">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DN50</w:t>
            </w:r>
            <w:r>
              <w:rPr>
                <w:rFonts w:hint="eastAsia" w:ascii="宋体" w:hAnsi="宋体"/>
                <w:sz w:val="16"/>
                <w:szCs w:val="16"/>
              </w:rPr>
              <w:t>；压力：</w:t>
            </w:r>
            <w:r>
              <w:rPr>
                <w:rFonts w:ascii="宋体" w:hAnsi="宋体"/>
                <w:sz w:val="16"/>
                <w:szCs w:val="16"/>
              </w:rPr>
              <w:t>1MPa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14CE642C">
            <w:pPr>
              <w:snapToGrid w:val="0"/>
              <w:jc w:val="both"/>
              <w:rPr>
                <w:rFonts w:ascii="宋体" w:hAnsi="宋体" w:cstheme="minorEastAsia"/>
                <w:bCs/>
                <w:sz w:val="16"/>
                <w:szCs w:val="16"/>
              </w:rPr>
            </w:pPr>
          </w:p>
        </w:tc>
        <w:tc>
          <w:tcPr>
            <w:tcW w:w="0" w:type="auto"/>
            <w:vAlign w:val="center"/>
          </w:tcPr>
          <w:p w14:paraId="4CE5B530">
            <w:pPr>
              <w:jc w:val="both"/>
              <w:textAlignment w:val="center"/>
              <w:rPr>
                <w:rFonts w:ascii="宋体" w:hAnsi="宋体" w:cstheme="minorEastAsia"/>
                <w:bCs/>
                <w:sz w:val="16"/>
                <w:szCs w:val="16"/>
              </w:rPr>
            </w:pPr>
          </w:p>
        </w:tc>
        <w:tc>
          <w:tcPr>
            <w:tcW w:w="0" w:type="auto"/>
            <w:vAlign w:val="center"/>
          </w:tcPr>
          <w:p w14:paraId="2364DE09">
            <w:pPr>
              <w:jc w:val="both"/>
              <w:textAlignment w:val="center"/>
              <w:rPr>
                <w:rFonts w:ascii="宋体" w:hAnsi="宋体" w:cstheme="minorEastAsia"/>
                <w:bCs/>
                <w:sz w:val="16"/>
                <w:szCs w:val="16"/>
              </w:rPr>
            </w:pPr>
          </w:p>
        </w:tc>
        <w:tc>
          <w:tcPr>
            <w:tcW w:w="1016" w:type="dxa"/>
            <w:vAlign w:val="center"/>
          </w:tcPr>
          <w:p w14:paraId="6FA6D2D0">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6DF263B4">
            <w:pPr>
              <w:jc w:val="both"/>
              <w:textAlignment w:val="center"/>
              <w:rPr>
                <w:rFonts w:ascii="宋体" w:hAnsi="宋体"/>
                <w:sz w:val="16"/>
                <w:szCs w:val="16"/>
              </w:rPr>
            </w:pPr>
            <w:r>
              <w:rPr>
                <w:rFonts w:ascii="宋体" w:hAnsi="宋体"/>
                <w:sz w:val="16"/>
                <w:szCs w:val="16"/>
              </w:rPr>
              <w:t>1</w:t>
            </w:r>
          </w:p>
        </w:tc>
        <w:tc>
          <w:tcPr>
            <w:tcW w:w="0" w:type="auto"/>
            <w:vAlign w:val="center"/>
          </w:tcPr>
          <w:p w14:paraId="06E7F132">
            <w:pPr>
              <w:jc w:val="both"/>
              <w:textAlignment w:val="center"/>
              <w:rPr>
                <w:rFonts w:ascii="宋体" w:hAnsi="宋体" w:cstheme="minorEastAsia"/>
                <w:bCs/>
                <w:sz w:val="16"/>
                <w:szCs w:val="16"/>
                <w:highlight w:val="yellow"/>
              </w:rPr>
            </w:pPr>
          </w:p>
        </w:tc>
        <w:tc>
          <w:tcPr>
            <w:tcW w:w="0" w:type="auto"/>
            <w:vAlign w:val="center"/>
          </w:tcPr>
          <w:p w14:paraId="0B1CC7EF">
            <w:pPr>
              <w:jc w:val="both"/>
              <w:textAlignment w:val="center"/>
              <w:rPr>
                <w:rFonts w:ascii="宋体" w:hAnsi="宋体" w:cstheme="minorEastAsia"/>
                <w:bCs/>
                <w:sz w:val="16"/>
                <w:szCs w:val="16"/>
                <w:highlight w:val="yellow"/>
              </w:rPr>
            </w:pPr>
          </w:p>
        </w:tc>
        <w:tc>
          <w:tcPr>
            <w:tcW w:w="0" w:type="auto"/>
            <w:vAlign w:val="center"/>
          </w:tcPr>
          <w:p w14:paraId="6A2EDB36">
            <w:pPr>
              <w:jc w:val="both"/>
              <w:textAlignment w:val="center"/>
              <w:rPr>
                <w:rFonts w:ascii="宋体" w:hAnsi="宋体" w:cstheme="minorEastAsia"/>
                <w:bCs/>
                <w:sz w:val="16"/>
                <w:szCs w:val="16"/>
                <w:highlight w:val="yellow"/>
              </w:rPr>
            </w:pPr>
          </w:p>
        </w:tc>
        <w:tc>
          <w:tcPr>
            <w:tcW w:w="0" w:type="auto"/>
            <w:shd w:val="clear" w:color="auto" w:fill="auto"/>
            <w:vAlign w:val="center"/>
          </w:tcPr>
          <w:p w14:paraId="229C9A15">
            <w:pPr>
              <w:snapToGrid w:val="0"/>
              <w:jc w:val="both"/>
              <w:rPr>
                <w:rFonts w:ascii="宋体" w:hAnsi="宋体" w:cstheme="minorEastAsia"/>
                <w:bCs/>
                <w:sz w:val="16"/>
                <w:szCs w:val="16"/>
              </w:rPr>
            </w:pPr>
          </w:p>
        </w:tc>
      </w:tr>
      <w:tr w14:paraId="13B3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FE84057">
            <w:pPr>
              <w:snapToGrid w:val="0"/>
              <w:jc w:val="both"/>
              <w:rPr>
                <w:rFonts w:ascii="宋体" w:hAnsi="宋体" w:cstheme="minorEastAsia"/>
                <w:bCs/>
                <w:sz w:val="16"/>
                <w:szCs w:val="16"/>
              </w:rPr>
            </w:pPr>
            <w:r>
              <w:rPr>
                <w:rFonts w:ascii="宋体" w:hAnsi="宋体"/>
                <w:sz w:val="16"/>
                <w:szCs w:val="16"/>
              </w:rPr>
              <w:t>1.1.7</w:t>
            </w:r>
          </w:p>
        </w:tc>
        <w:tc>
          <w:tcPr>
            <w:tcW w:w="1484" w:type="dxa"/>
            <w:tcBorders>
              <w:top w:val="single" w:color="auto" w:sz="4" w:space="0"/>
            </w:tcBorders>
            <w:vAlign w:val="center"/>
          </w:tcPr>
          <w:p w14:paraId="0BF94B4F">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75CAD95B">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DN50</w:t>
            </w:r>
            <w:r>
              <w:rPr>
                <w:rFonts w:hint="eastAsia" w:ascii="宋体" w:hAnsi="宋体"/>
                <w:sz w:val="16"/>
                <w:szCs w:val="16"/>
              </w:rPr>
              <w:t>；压力：</w:t>
            </w:r>
            <w:r>
              <w:rPr>
                <w:rFonts w:ascii="宋体" w:hAnsi="宋体"/>
                <w:sz w:val="16"/>
                <w:szCs w:val="16"/>
              </w:rPr>
              <w:t>1MPa</w:t>
            </w:r>
            <w:r>
              <w:rPr>
                <w:rFonts w:hint="eastAsia" w:ascii="宋体" w:hAnsi="宋体"/>
                <w:sz w:val="16"/>
                <w:szCs w:val="16"/>
              </w:rPr>
              <w:t>；温度：</w:t>
            </w:r>
            <w:r>
              <w:rPr>
                <w:rFonts w:ascii="宋体" w:hAnsi="宋体"/>
                <w:sz w:val="16"/>
                <w:szCs w:val="16"/>
              </w:rPr>
              <w:t>130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02017917">
            <w:pPr>
              <w:snapToGrid w:val="0"/>
              <w:jc w:val="both"/>
              <w:rPr>
                <w:rFonts w:ascii="宋体" w:hAnsi="宋体" w:cstheme="minorEastAsia"/>
                <w:bCs/>
                <w:sz w:val="16"/>
                <w:szCs w:val="16"/>
              </w:rPr>
            </w:pPr>
          </w:p>
        </w:tc>
        <w:tc>
          <w:tcPr>
            <w:tcW w:w="0" w:type="auto"/>
            <w:vAlign w:val="center"/>
          </w:tcPr>
          <w:p w14:paraId="0D8F12BE">
            <w:pPr>
              <w:jc w:val="both"/>
              <w:textAlignment w:val="center"/>
              <w:rPr>
                <w:rFonts w:ascii="宋体" w:hAnsi="宋体" w:cstheme="minorEastAsia"/>
                <w:bCs/>
                <w:sz w:val="16"/>
                <w:szCs w:val="16"/>
              </w:rPr>
            </w:pPr>
          </w:p>
        </w:tc>
        <w:tc>
          <w:tcPr>
            <w:tcW w:w="0" w:type="auto"/>
            <w:vAlign w:val="center"/>
          </w:tcPr>
          <w:p w14:paraId="44CEBD05">
            <w:pPr>
              <w:jc w:val="both"/>
              <w:textAlignment w:val="center"/>
              <w:rPr>
                <w:rFonts w:ascii="宋体" w:hAnsi="宋体" w:cstheme="minorEastAsia"/>
                <w:bCs/>
                <w:sz w:val="16"/>
                <w:szCs w:val="16"/>
              </w:rPr>
            </w:pPr>
          </w:p>
        </w:tc>
        <w:tc>
          <w:tcPr>
            <w:tcW w:w="1016" w:type="dxa"/>
            <w:vAlign w:val="center"/>
          </w:tcPr>
          <w:p w14:paraId="4A3649EC">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1FBECC29">
            <w:pPr>
              <w:jc w:val="both"/>
              <w:textAlignment w:val="center"/>
              <w:rPr>
                <w:rFonts w:ascii="宋体" w:hAnsi="宋体"/>
                <w:sz w:val="16"/>
                <w:szCs w:val="16"/>
              </w:rPr>
            </w:pPr>
            <w:r>
              <w:rPr>
                <w:rFonts w:ascii="宋体" w:hAnsi="宋体"/>
                <w:sz w:val="16"/>
                <w:szCs w:val="16"/>
              </w:rPr>
              <w:t>1</w:t>
            </w:r>
          </w:p>
        </w:tc>
        <w:tc>
          <w:tcPr>
            <w:tcW w:w="0" w:type="auto"/>
            <w:vAlign w:val="center"/>
          </w:tcPr>
          <w:p w14:paraId="75AB0A2C">
            <w:pPr>
              <w:jc w:val="both"/>
              <w:textAlignment w:val="center"/>
              <w:rPr>
                <w:rFonts w:ascii="宋体" w:hAnsi="宋体" w:cstheme="minorEastAsia"/>
                <w:bCs/>
                <w:sz w:val="16"/>
                <w:szCs w:val="16"/>
                <w:highlight w:val="yellow"/>
              </w:rPr>
            </w:pPr>
          </w:p>
        </w:tc>
        <w:tc>
          <w:tcPr>
            <w:tcW w:w="0" w:type="auto"/>
            <w:vAlign w:val="center"/>
          </w:tcPr>
          <w:p w14:paraId="3DB22C8D">
            <w:pPr>
              <w:jc w:val="both"/>
              <w:textAlignment w:val="center"/>
              <w:rPr>
                <w:rFonts w:ascii="宋体" w:hAnsi="宋体" w:cstheme="minorEastAsia"/>
                <w:bCs/>
                <w:sz w:val="16"/>
                <w:szCs w:val="16"/>
                <w:highlight w:val="yellow"/>
              </w:rPr>
            </w:pPr>
          </w:p>
        </w:tc>
        <w:tc>
          <w:tcPr>
            <w:tcW w:w="0" w:type="auto"/>
            <w:vAlign w:val="center"/>
          </w:tcPr>
          <w:p w14:paraId="7763ECB8">
            <w:pPr>
              <w:jc w:val="both"/>
              <w:textAlignment w:val="center"/>
              <w:rPr>
                <w:rFonts w:ascii="宋体" w:hAnsi="宋体" w:cstheme="minorEastAsia"/>
                <w:bCs/>
                <w:sz w:val="16"/>
                <w:szCs w:val="16"/>
                <w:highlight w:val="yellow"/>
              </w:rPr>
            </w:pPr>
          </w:p>
        </w:tc>
        <w:tc>
          <w:tcPr>
            <w:tcW w:w="0" w:type="auto"/>
            <w:shd w:val="clear" w:color="auto" w:fill="auto"/>
            <w:vAlign w:val="center"/>
          </w:tcPr>
          <w:p w14:paraId="4F7D4455">
            <w:pPr>
              <w:snapToGrid w:val="0"/>
              <w:jc w:val="both"/>
              <w:rPr>
                <w:rFonts w:ascii="宋体" w:hAnsi="宋体" w:cstheme="minorEastAsia"/>
                <w:bCs/>
                <w:sz w:val="16"/>
                <w:szCs w:val="16"/>
              </w:rPr>
            </w:pPr>
          </w:p>
        </w:tc>
      </w:tr>
      <w:tr w14:paraId="4F99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F3252EE">
            <w:pPr>
              <w:snapToGrid w:val="0"/>
              <w:jc w:val="both"/>
              <w:rPr>
                <w:rFonts w:ascii="宋体" w:hAnsi="宋体" w:cstheme="minorEastAsia"/>
                <w:bCs/>
                <w:sz w:val="16"/>
                <w:szCs w:val="16"/>
              </w:rPr>
            </w:pPr>
            <w:r>
              <w:rPr>
                <w:rFonts w:ascii="宋体" w:hAnsi="宋体"/>
                <w:sz w:val="16"/>
                <w:szCs w:val="16"/>
              </w:rPr>
              <w:t>1.1.8</w:t>
            </w:r>
          </w:p>
        </w:tc>
        <w:tc>
          <w:tcPr>
            <w:tcW w:w="1484" w:type="dxa"/>
            <w:tcBorders>
              <w:top w:val="single" w:color="auto" w:sz="4" w:space="0"/>
            </w:tcBorders>
            <w:vAlign w:val="center"/>
          </w:tcPr>
          <w:p w14:paraId="28A459D7">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44175DBA">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DN65</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4F73937E">
            <w:pPr>
              <w:snapToGrid w:val="0"/>
              <w:jc w:val="both"/>
              <w:rPr>
                <w:rFonts w:ascii="宋体" w:hAnsi="宋体" w:cstheme="minorEastAsia"/>
                <w:bCs/>
                <w:sz w:val="16"/>
                <w:szCs w:val="16"/>
              </w:rPr>
            </w:pPr>
          </w:p>
        </w:tc>
        <w:tc>
          <w:tcPr>
            <w:tcW w:w="0" w:type="auto"/>
            <w:vAlign w:val="center"/>
          </w:tcPr>
          <w:p w14:paraId="1FEE2A55">
            <w:pPr>
              <w:jc w:val="both"/>
              <w:textAlignment w:val="center"/>
              <w:rPr>
                <w:rFonts w:ascii="宋体" w:hAnsi="宋体" w:cstheme="minorEastAsia"/>
                <w:bCs/>
                <w:sz w:val="16"/>
                <w:szCs w:val="16"/>
              </w:rPr>
            </w:pPr>
          </w:p>
        </w:tc>
        <w:tc>
          <w:tcPr>
            <w:tcW w:w="0" w:type="auto"/>
            <w:vAlign w:val="center"/>
          </w:tcPr>
          <w:p w14:paraId="0EDAC564">
            <w:pPr>
              <w:jc w:val="both"/>
              <w:textAlignment w:val="center"/>
              <w:rPr>
                <w:rFonts w:ascii="宋体" w:hAnsi="宋体" w:cstheme="minorEastAsia"/>
                <w:bCs/>
                <w:sz w:val="16"/>
                <w:szCs w:val="16"/>
              </w:rPr>
            </w:pPr>
          </w:p>
        </w:tc>
        <w:tc>
          <w:tcPr>
            <w:tcW w:w="1016" w:type="dxa"/>
            <w:vAlign w:val="center"/>
          </w:tcPr>
          <w:p w14:paraId="79D33DE1">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37F9D58D">
            <w:pPr>
              <w:jc w:val="both"/>
              <w:textAlignment w:val="center"/>
              <w:rPr>
                <w:rFonts w:ascii="宋体" w:hAnsi="宋体"/>
                <w:sz w:val="16"/>
                <w:szCs w:val="16"/>
              </w:rPr>
            </w:pPr>
            <w:r>
              <w:rPr>
                <w:rFonts w:ascii="宋体" w:hAnsi="宋体"/>
                <w:sz w:val="16"/>
                <w:szCs w:val="16"/>
              </w:rPr>
              <w:t>3</w:t>
            </w:r>
          </w:p>
        </w:tc>
        <w:tc>
          <w:tcPr>
            <w:tcW w:w="0" w:type="auto"/>
            <w:vAlign w:val="center"/>
          </w:tcPr>
          <w:p w14:paraId="068262F5">
            <w:pPr>
              <w:jc w:val="both"/>
              <w:textAlignment w:val="center"/>
              <w:rPr>
                <w:rFonts w:ascii="宋体" w:hAnsi="宋体" w:cstheme="minorEastAsia"/>
                <w:bCs/>
                <w:sz w:val="16"/>
                <w:szCs w:val="16"/>
                <w:highlight w:val="yellow"/>
              </w:rPr>
            </w:pPr>
          </w:p>
        </w:tc>
        <w:tc>
          <w:tcPr>
            <w:tcW w:w="0" w:type="auto"/>
            <w:vAlign w:val="center"/>
          </w:tcPr>
          <w:p w14:paraId="531B1796">
            <w:pPr>
              <w:jc w:val="both"/>
              <w:textAlignment w:val="center"/>
              <w:rPr>
                <w:rFonts w:ascii="宋体" w:hAnsi="宋体" w:cstheme="minorEastAsia"/>
                <w:bCs/>
                <w:sz w:val="16"/>
                <w:szCs w:val="16"/>
                <w:highlight w:val="yellow"/>
              </w:rPr>
            </w:pPr>
          </w:p>
        </w:tc>
        <w:tc>
          <w:tcPr>
            <w:tcW w:w="0" w:type="auto"/>
            <w:vAlign w:val="center"/>
          </w:tcPr>
          <w:p w14:paraId="5164B360">
            <w:pPr>
              <w:jc w:val="both"/>
              <w:textAlignment w:val="center"/>
              <w:rPr>
                <w:rFonts w:ascii="宋体" w:hAnsi="宋体" w:cstheme="minorEastAsia"/>
                <w:bCs/>
                <w:sz w:val="16"/>
                <w:szCs w:val="16"/>
                <w:highlight w:val="yellow"/>
              </w:rPr>
            </w:pPr>
          </w:p>
        </w:tc>
        <w:tc>
          <w:tcPr>
            <w:tcW w:w="0" w:type="auto"/>
            <w:shd w:val="clear" w:color="auto" w:fill="auto"/>
            <w:vAlign w:val="center"/>
          </w:tcPr>
          <w:p w14:paraId="1F425A92">
            <w:pPr>
              <w:snapToGrid w:val="0"/>
              <w:jc w:val="both"/>
              <w:rPr>
                <w:rFonts w:ascii="宋体" w:hAnsi="宋体" w:cstheme="minorEastAsia"/>
                <w:bCs/>
                <w:sz w:val="16"/>
                <w:szCs w:val="16"/>
              </w:rPr>
            </w:pPr>
          </w:p>
        </w:tc>
      </w:tr>
      <w:tr w14:paraId="2FCD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746FB36">
            <w:pPr>
              <w:snapToGrid w:val="0"/>
              <w:jc w:val="both"/>
              <w:rPr>
                <w:rFonts w:ascii="宋体" w:hAnsi="宋体" w:cstheme="minorEastAsia"/>
                <w:bCs/>
                <w:sz w:val="16"/>
                <w:szCs w:val="16"/>
              </w:rPr>
            </w:pPr>
            <w:r>
              <w:rPr>
                <w:rFonts w:ascii="宋体" w:hAnsi="宋体"/>
                <w:sz w:val="16"/>
                <w:szCs w:val="16"/>
              </w:rPr>
              <w:t>1.1.9</w:t>
            </w:r>
          </w:p>
        </w:tc>
        <w:tc>
          <w:tcPr>
            <w:tcW w:w="1484" w:type="dxa"/>
            <w:tcBorders>
              <w:top w:val="single" w:color="auto" w:sz="4" w:space="0"/>
            </w:tcBorders>
            <w:vAlign w:val="center"/>
          </w:tcPr>
          <w:p w14:paraId="09201406">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2EACCFA5">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DN65</w:t>
            </w:r>
            <w:r>
              <w:rPr>
                <w:rFonts w:hint="eastAsia" w:ascii="宋体" w:hAnsi="宋体"/>
                <w:sz w:val="16"/>
                <w:szCs w:val="16"/>
              </w:rPr>
              <w:t>；压力：</w:t>
            </w:r>
            <w:r>
              <w:rPr>
                <w:rFonts w:ascii="宋体" w:hAnsi="宋体"/>
                <w:sz w:val="16"/>
                <w:szCs w:val="16"/>
              </w:rPr>
              <w:t>1MPa</w:t>
            </w:r>
            <w:r>
              <w:rPr>
                <w:rFonts w:hint="eastAsia" w:ascii="宋体" w:hAnsi="宋体"/>
                <w:sz w:val="16"/>
                <w:szCs w:val="16"/>
              </w:rPr>
              <w:t>；温度：</w:t>
            </w:r>
            <w:r>
              <w:rPr>
                <w:rFonts w:ascii="宋体" w:hAnsi="宋体"/>
                <w:sz w:val="16"/>
                <w:szCs w:val="16"/>
              </w:rPr>
              <w:t>130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36A6BFE3">
            <w:pPr>
              <w:snapToGrid w:val="0"/>
              <w:jc w:val="both"/>
              <w:rPr>
                <w:rFonts w:ascii="宋体" w:hAnsi="宋体" w:cstheme="minorEastAsia"/>
                <w:bCs/>
                <w:sz w:val="16"/>
                <w:szCs w:val="16"/>
              </w:rPr>
            </w:pPr>
          </w:p>
        </w:tc>
        <w:tc>
          <w:tcPr>
            <w:tcW w:w="0" w:type="auto"/>
            <w:vAlign w:val="center"/>
          </w:tcPr>
          <w:p w14:paraId="361C443A">
            <w:pPr>
              <w:jc w:val="both"/>
              <w:textAlignment w:val="center"/>
              <w:rPr>
                <w:rFonts w:ascii="宋体" w:hAnsi="宋体" w:cstheme="minorEastAsia"/>
                <w:bCs/>
                <w:sz w:val="16"/>
                <w:szCs w:val="16"/>
              </w:rPr>
            </w:pPr>
          </w:p>
        </w:tc>
        <w:tc>
          <w:tcPr>
            <w:tcW w:w="0" w:type="auto"/>
            <w:vAlign w:val="center"/>
          </w:tcPr>
          <w:p w14:paraId="757239F6">
            <w:pPr>
              <w:jc w:val="both"/>
              <w:textAlignment w:val="center"/>
              <w:rPr>
                <w:rFonts w:ascii="宋体" w:hAnsi="宋体" w:cstheme="minorEastAsia"/>
                <w:bCs/>
                <w:sz w:val="16"/>
                <w:szCs w:val="16"/>
              </w:rPr>
            </w:pPr>
          </w:p>
        </w:tc>
        <w:tc>
          <w:tcPr>
            <w:tcW w:w="1016" w:type="dxa"/>
            <w:vAlign w:val="center"/>
          </w:tcPr>
          <w:p w14:paraId="3A268ADA">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73A9AA07">
            <w:pPr>
              <w:jc w:val="both"/>
              <w:textAlignment w:val="center"/>
              <w:rPr>
                <w:rFonts w:ascii="宋体" w:hAnsi="宋体"/>
                <w:sz w:val="16"/>
                <w:szCs w:val="16"/>
              </w:rPr>
            </w:pPr>
            <w:r>
              <w:rPr>
                <w:rFonts w:ascii="宋体" w:hAnsi="宋体"/>
                <w:sz w:val="16"/>
                <w:szCs w:val="16"/>
              </w:rPr>
              <w:t>1</w:t>
            </w:r>
          </w:p>
        </w:tc>
        <w:tc>
          <w:tcPr>
            <w:tcW w:w="0" w:type="auto"/>
            <w:vAlign w:val="center"/>
          </w:tcPr>
          <w:p w14:paraId="4EECD0C5">
            <w:pPr>
              <w:jc w:val="both"/>
              <w:textAlignment w:val="center"/>
              <w:rPr>
                <w:rFonts w:ascii="宋体" w:hAnsi="宋体" w:cstheme="minorEastAsia"/>
                <w:bCs/>
                <w:sz w:val="16"/>
                <w:szCs w:val="16"/>
                <w:highlight w:val="yellow"/>
              </w:rPr>
            </w:pPr>
          </w:p>
        </w:tc>
        <w:tc>
          <w:tcPr>
            <w:tcW w:w="0" w:type="auto"/>
            <w:vAlign w:val="center"/>
          </w:tcPr>
          <w:p w14:paraId="6E11E3B7">
            <w:pPr>
              <w:jc w:val="both"/>
              <w:textAlignment w:val="center"/>
              <w:rPr>
                <w:rFonts w:ascii="宋体" w:hAnsi="宋体" w:cstheme="minorEastAsia"/>
                <w:bCs/>
                <w:sz w:val="16"/>
                <w:szCs w:val="16"/>
                <w:highlight w:val="yellow"/>
              </w:rPr>
            </w:pPr>
          </w:p>
        </w:tc>
        <w:tc>
          <w:tcPr>
            <w:tcW w:w="0" w:type="auto"/>
            <w:vAlign w:val="center"/>
          </w:tcPr>
          <w:p w14:paraId="3F59CEA1">
            <w:pPr>
              <w:jc w:val="both"/>
              <w:textAlignment w:val="center"/>
              <w:rPr>
                <w:rFonts w:ascii="宋体" w:hAnsi="宋体" w:cstheme="minorEastAsia"/>
                <w:bCs/>
                <w:sz w:val="16"/>
                <w:szCs w:val="16"/>
                <w:highlight w:val="yellow"/>
              </w:rPr>
            </w:pPr>
          </w:p>
        </w:tc>
        <w:tc>
          <w:tcPr>
            <w:tcW w:w="0" w:type="auto"/>
            <w:shd w:val="clear" w:color="auto" w:fill="auto"/>
            <w:vAlign w:val="center"/>
          </w:tcPr>
          <w:p w14:paraId="7358C6BC">
            <w:pPr>
              <w:snapToGrid w:val="0"/>
              <w:jc w:val="both"/>
              <w:rPr>
                <w:rFonts w:ascii="宋体" w:hAnsi="宋体" w:cstheme="minorEastAsia"/>
                <w:bCs/>
                <w:sz w:val="16"/>
                <w:szCs w:val="16"/>
              </w:rPr>
            </w:pPr>
          </w:p>
        </w:tc>
      </w:tr>
      <w:tr w14:paraId="4673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7D530F8">
            <w:pPr>
              <w:snapToGrid w:val="0"/>
              <w:jc w:val="both"/>
              <w:rPr>
                <w:rFonts w:ascii="宋体" w:hAnsi="宋体" w:cstheme="minorEastAsia"/>
                <w:bCs/>
                <w:sz w:val="16"/>
                <w:szCs w:val="16"/>
              </w:rPr>
            </w:pPr>
            <w:r>
              <w:rPr>
                <w:rFonts w:ascii="宋体" w:hAnsi="宋体"/>
                <w:sz w:val="16"/>
                <w:szCs w:val="16"/>
              </w:rPr>
              <w:t>1.1.10</w:t>
            </w:r>
          </w:p>
        </w:tc>
        <w:tc>
          <w:tcPr>
            <w:tcW w:w="1484" w:type="dxa"/>
            <w:tcBorders>
              <w:top w:val="single" w:color="auto" w:sz="4" w:space="0"/>
            </w:tcBorders>
            <w:vAlign w:val="center"/>
          </w:tcPr>
          <w:p w14:paraId="78C49306">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284953D4">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DN63*en5.8</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2021AF3B">
            <w:pPr>
              <w:snapToGrid w:val="0"/>
              <w:jc w:val="both"/>
              <w:rPr>
                <w:rFonts w:ascii="宋体" w:hAnsi="宋体" w:cstheme="minorEastAsia"/>
                <w:bCs/>
                <w:sz w:val="16"/>
                <w:szCs w:val="16"/>
              </w:rPr>
            </w:pPr>
          </w:p>
        </w:tc>
        <w:tc>
          <w:tcPr>
            <w:tcW w:w="0" w:type="auto"/>
            <w:vAlign w:val="center"/>
          </w:tcPr>
          <w:p w14:paraId="474C1B49">
            <w:pPr>
              <w:jc w:val="both"/>
              <w:textAlignment w:val="center"/>
              <w:rPr>
                <w:rFonts w:ascii="宋体" w:hAnsi="宋体" w:cstheme="minorEastAsia"/>
                <w:bCs/>
                <w:sz w:val="16"/>
                <w:szCs w:val="16"/>
              </w:rPr>
            </w:pPr>
          </w:p>
        </w:tc>
        <w:tc>
          <w:tcPr>
            <w:tcW w:w="0" w:type="auto"/>
            <w:vAlign w:val="center"/>
          </w:tcPr>
          <w:p w14:paraId="4DBFA9D8">
            <w:pPr>
              <w:jc w:val="both"/>
              <w:textAlignment w:val="center"/>
              <w:rPr>
                <w:rFonts w:ascii="宋体" w:hAnsi="宋体" w:cstheme="minorEastAsia"/>
                <w:bCs/>
                <w:sz w:val="16"/>
                <w:szCs w:val="16"/>
              </w:rPr>
            </w:pPr>
          </w:p>
        </w:tc>
        <w:tc>
          <w:tcPr>
            <w:tcW w:w="1016" w:type="dxa"/>
            <w:vAlign w:val="center"/>
          </w:tcPr>
          <w:p w14:paraId="4CE393A4">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51A3E20E">
            <w:pPr>
              <w:jc w:val="both"/>
              <w:textAlignment w:val="center"/>
              <w:rPr>
                <w:rFonts w:ascii="宋体" w:hAnsi="宋体"/>
                <w:sz w:val="16"/>
                <w:szCs w:val="16"/>
              </w:rPr>
            </w:pPr>
            <w:r>
              <w:rPr>
                <w:rFonts w:ascii="宋体" w:hAnsi="宋体"/>
                <w:sz w:val="16"/>
                <w:szCs w:val="16"/>
              </w:rPr>
              <w:t>1</w:t>
            </w:r>
          </w:p>
        </w:tc>
        <w:tc>
          <w:tcPr>
            <w:tcW w:w="0" w:type="auto"/>
            <w:vAlign w:val="center"/>
          </w:tcPr>
          <w:p w14:paraId="17240702">
            <w:pPr>
              <w:jc w:val="both"/>
              <w:textAlignment w:val="center"/>
              <w:rPr>
                <w:rFonts w:ascii="宋体" w:hAnsi="宋体" w:cstheme="minorEastAsia"/>
                <w:bCs/>
                <w:sz w:val="16"/>
                <w:szCs w:val="16"/>
                <w:highlight w:val="yellow"/>
              </w:rPr>
            </w:pPr>
          </w:p>
        </w:tc>
        <w:tc>
          <w:tcPr>
            <w:tcW w:w="0" w:type="auto"/>
            <w:vAlign w:val="center"/>
          </w:tcPr>
          <w:p w14:paraId="5C2D9BFC">
            <w:pPr>
              <w:jc w:val="both"/>
              <w:textAlignment w:val="center"/>
              <w:rPr>
                <w:rFonts w:ascii="宋体" w:hAnsi="宋体" w:cstheme="minorEastAsia"/>
                <w:bCs/>
                <w:sz w:val="16"/>
                <w:szCs w:val="16"/>
                <w:highlight w:val="yellow"/>
              </w:rPr>
            </w:pPr>
          </w:p>
        </w:tc>
        <w:tc>
          <w:tcPr>
            <w:tcW w:w="0" w:type="auto"/>
            <w:vAlign w:val="center"/>
          </w:tcPr>
          <w:p w14:paraId="5CC5FE98">
            <w:pPr>
              <w:jc w:val="both"/>
              <w:textAlignment w:val="center"/>
              <w:rPr>
                <w:rFonts w:ascii="宋体" w:hAnsi="宋体" w:cstheme="minorEastAsia"/>
                <w:bCs/>
                <w:sz w:val="16"/>
                <w:szCs w:val="16"/>
                <w:highlight w:val="yellow"/>
              </w:rPr>
            </w:pPr>
          </w:p>
        </w:tc>
        <w:tc>
          <w:tcPr>
            <w:tcW w:w="0" w:type="auto"/>
            <w:shd w:val="clear" w:color="auto" w:fill="auto"/>
            <w:vAlign w:val="center"/>
          </w:tcPr>
          <w:p w14:paraId="32C4E436">
            <w:pPr>
              <w:snapToGrid w:val="0"/>
              <w:jc w:val="both"/>
              <w:rPr>
                <w:rFonts w:ascii="宋体" w:hAnsi="宋体" w:cstheme="minorEastAsia"/>
                <w:bCs/>
                <w:sz w:val="16"/>
                <w:szCs w:val="16"/>
              </w:rPr>
            </w:pPr>
          </w:p>
        </w:tc>
      </w:tr>
      <w:tr w14:paraId="3B06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1C152CE">
            <w:pPr>
              <w:snapToGrid w:val="0"/>
              <w:jc w:val="both"/>
              <w:rPr>
                <w:rFonts w:ascii="宋体" w:hAnsi="宋体" w:cstheme="minorEastAsia"/>
                <w:bCs/>
                <w:sz w:val="16"/>
                <w:szCs w:val="16"/>
              </w:rPr>
            </w:pPr>
            <w:r>
              <w:rPr>
                <w:rFonts w:ascii="宋体" w:hAnsi="宋体"/>
                <w:sz w:val="16"/>
                <w:szCs w:val="16"/>
              </w:rPr>
              <w:t>1.1.11</w:t>
            </w:r>
          </w:p>
        </w:tc>
        <w:tc>
          <w:tcPr>
            <w:tcW w:w="1484" w:type="dxa"/>
            <w:tcBorders>
              <w:top w:val="single" w:color="auto" w:sz="4" w:space="0"/>
            </w:tcBorders>
            <w:vAlign w:val="center"/>
          </w:tcPr>
          <w:p w14:paraId="50928F30">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218C02ED">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DN80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1358F373">
            <w:pPr>
              <w:snapToGrid w:val="0"/>
              <w:jc w:val="both"/>
              <w:rPr>
                <w:rFonts w:ascii="宋体" w:hAnsi="宋体" w:cstheme="minorEastAsia"/>
                <w:bCs/>
                <w:sz w:val="16"/>
                <w:szCs w:val="16"/>
              </w:rPr>
            </w:pPr>
          </w:p>
        </w:tc>
        <w:tc>
          <w:tcPr>
            <w:tcW w:w="0" w:type="auto"/>
            <w:vAlign w:val="center"/>
          </w:tcPr>
          <w:p w14:paraId="568042D7">
            <w:pPr>
              <w:jc w:val="both"/>
              <w:textAlignment w:val="center"/>
              <w:rPr>
                <w:rFonts w:ascii="宋体" w:hAnsi="宋体" w:cstheme="minorEastAsia"/>
                <w:bCs/>
                <w:sz w:val="16"/>
                <w:szCs w:val="16"/>
              </w:rPr>
            </w:pPr>
          </w:p>
        </w:tc>
        <w:tc>
          <w:tcPr>
            <w:tcW w:w="0" w:type="auto"/>
            <w:vAlign w:val="center"/>
          </w:tcPr>
          <w:p w14:paraId="11911790">
            <w:pPr>
              <w:jc w:val="both"/>
              <w:textAlignment w:val="center"/>
              <w:rPr>
                <w:rFonts w:ascii="宋体" w:hAnsi="宋体" w:cstheme="minorEastAsia"/>
                <w:bCs/>
                <w:sz w:val="16"/>
                <w:szCs w:val="16"/>
              </w:rPr>
            </w:pPr>
          </w:p>
        </w:tc>
        <w:tc>
          <w:tcPr>
            <w:tcW w:w="1016" w:type="dxa"/>
            <w:vAlign w:val="center"/>
          </w:tcPr>
          <w:p w14:paraId="0641A08B">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1EB8B4F0">
            <w:pPr>
              <w:jc w:val="both"/>
              <w:textAlignment w:val="center"/>
              <w:rPr>
                <w:rFonts w:ascii="宋体" w:hAnsi="宋体"/>
                <w:sz w:val="16"/>
                <w:szCs w:val="16"/>
              </w:rPr>
            </w:pPr>
            <w:r>
              <w:rPr>
                <w:rFonts w:ascii="宋体" w:hAnsi="宋体"/>
                <w:sz w:val="16"/>
                <w:szCs w:val="16"/>
              </w:rPr>
              <w:t>1</w:t>
            </w:r>
          </w:p>
        </w:tc>
        <w:tc>
          <w:tcPr>
            <w:tcW w:w="0" w:type="auto"/>
            <w:vAlign w:val="center"/>
          </w:tcPr>
          <w:p w14:paraId="2F0216C2">
            <w:pPr>
              <w:jc w:val="both"/>
              <w:textAlignment w:val="center"/>
              <w:rPr>
                <w:rFonts w:ascii="宋体" w:hAnsi="宋体" w:cstheme="minorEastAsia"/>
                <w:bCs/>
                <w:sz w:val="16"/>
                <w:szCs w:val="16"/>
                <w:highlight w:val="yellow"/>
              </w:rPr>
            </w:pPr>
          </w:p>
        </w:tc>
        <w:tc>
          <w:tcPr>
            <w:tcW w:w="0" w:type="auto"/>
            <w:vAlign w:val="center"/>
          </w:tcPr>
          <w:p w14:paraId="7E2FD376">
            <w:pPr>
              <w:jc w:val="both"/>
              <w:textAlignment w:val="center"/>
              <w:rPr>
                <w:rFonts w:ascii="宋体" w:hAnsi="宋体" w:cstheme="minorEastAsia"/>
                <w:bCs/>
                <w:sz w:val="16"/>
                <w:szCs w:val="16"/>
                <w:highlight w:val="yellow"/>
              </w:rPr>
            </w:pPr>
          </w:p>
        </w:tc>
        <w:tc>
          <w:tcPr>
            <w:tcW w:w="0" w:type="auto"/>
            <w:vAlign w:val="center"/>
          </w:tcPr>
          <w:p w14:paraId="0BD03E8C">
            <w:pPr>
              <w:jc w:val="both"/>
              <w:textAlignment w:val="center"/>
              <w:rPr>
                <w:rFonts w:ascii="宋体" w:hAnsi="宋体" w:cstheme="minorEastAsia"/>
                <w:bCs/>
                <w:sz w:val="16"/>
                <w:szCs w:val="16"/>
                <w:highlight w:val="yellow"/>
              </w:rPr>
            </w:pPr>
          </w:p>
        </w:tc>
        <w:tc>
          <w:tcPr>
            <w:tcW w:w="0" w:type="auto"/>
            <w:shd w:val="clear" w:color="auto" w:fill="auto"/>
            <w:vAlign w:val="center"/>
          </w:tcPr>
          <w:p w14:paraId="4EFC2AE5">
            <w:pPr>
              <w:snapToGrid w:val="0"/>
              <w:jc w:val="both"/>
              <w:rPr>
                <w:rFonts w:ascii="宋体" w:hAnsi="宋体" w:cstheme="minorEastAsia"/>
                <w:bCs/>
                <w:sz w:val="16"/>
                <w:szCs w:val="16"/>
              </w:rPr>
            </w:pPr>
          </w:p>
        </w:tc>
      </w:tr>
      <w:tr w14:paraId="69CC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91EDB0B">
            <w:pPr>
              <w:snapToGrid w:val="0"/>
              <w:jc w:val="both"/>
              <w:rPr>
                <w:rFonts w:ascii="宋体" w:hAnsi="宋体" w:cstheme="minorEastAsia"/>
                <w:bCs/>
                <w:sz w:val="16"/>
                <w:szCs w:val="16"/>
              </w:rPr>
            </w:pPr>
            <w:r>
              <w:rPr>
                <w:rFonts w:ascii="宋体" w:hAnsi="宋体"/>
                <w:sz w:val="16"/>
                <w:szCs w:val="16"/>
              </w:rPr>
              <w:t>1.1.12</w:t>
            </w:r>
          </w:p>
        </w:tc>
        <w:tc>
          <w:tcPr>
            <w:tcW w:w="1484" w:type="dxa"/>
            <w:tcBorders>
              <w:top w:val="single" w:color="auto" w:sz="4" w:space="0"/>
            </w:tcBorders>
            <w:vAlign w:val="center"/>
          </w:tcPr>
          <w:p w14:paraId="4FC5FD00">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7987D831">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DN80</w:t>
            </w:r>
            <w:r>
              <w:rPr>
                <w:rFonts w:hint="eastAsia" w:ascii="宋体" w:hAnsi="宋体"/>
                <w:sz w:val="16"/>
                <w:szCs w:val="16"/>
              </w:rPr>
              <w:t>；压力：</w:t>
            </w:r>
            <w:r>
              <w:rPr>
                <w:rFonts w:ascii="宋体" w:hAnsi="宋体"/>
                <w:sz w:val="16"/>
                <w:szCs w:val="16"/>
              </w:rPr>
              <w:t>1MPa</w:t>
            </w:r>
            <w:r>
              <w:rPr>
                <w:rFonts w:hint="eastAsia" w:ascii="宋体" w:hAnsi="宋体"/>
                <w:sz w:val="16"/>
                <w:szCs w:val="16"/>
              </w:rPr>
              <w:t>；温度：</w:t>
            </w:r>
            <w:r>
              <w:rPr>
                <w:rFonts w:ascii="宋体" w:hAnsi="宋体"/>
                <w:sz w:val="16"/>
                <w:szCs w:val="16"/>
              </w:rPr>
              <w:t>130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6B7DBEEB">
            <w:pPr>
              <w:snapToGrid w:val="0"/>
              <w:jc w:val="both"/>
              <w:rPr>
                <w:rFonts w:ascii="宋体" w:hAnsi="宋体" w:cstheme="minorEastAsia"/>
                <w:bCs/>
                <w:sz w:val="16"/>
                <w:szCs w:val="16"/>
              </w:rPr>
            </w:pPr>
          </w:p>
        </w:tc>
        <w:tc>
          <w:tcPr>
            <w:tcW w:w="0" w:type="auto"/>
            <w:vAlign w:val="center"/>
          </w:tcPr>
          <w:p w14:paraId="52122598">
            <w:pPr>
              <w:jc w:val="both"/>
              <w:textAlignment w:val="center"/>
              <w:rPr>
                <w:rFonts w:ascii="宋体" w:hAnsi="宋体" w:cstheme="minorEastAsia"/>
                <w:bCs/>
                <w:sz w:val="16"/>
                <w:szCs w:val="16"/>
              </w:rPr>
            </w:pPr>
          </w:p>
        </w:tc>
        <w:tc>
          <w:tcPr>
            <w:tcW w:w="0" w:type="auto"/>
            <w:vAlign w:val="center"/>
          </w:tcPr>
          <w:p w14:paraId="1D392B89">
            <w:pPr>
              <w:jc w:val="both"/>
              <w:textAlignment w:val="center"/>
              <w:rPr>
                <w:rFonts w:ascii="宋体" w:hAnsi="宋体" w:cstheme="minorEastAsia"/>
                <w:bCs/>
                <w:sz w:val="16"/>
                <w:szCs w:val="16"/>
              </w:rPr>
            </w:pPr>
          </w:p>
        </w:tc>
        <w:tc>
          <w:tcPr>
            <w:tcW w:w="1016" w:type="dxa"/>
            <w:vAlign w:val="center"/>
          </w:tcPr>
          <w:p w14:paraId="3547EF27">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23AE707B">
            <w:pPr>
              <w:jc w:val="both"/>
              <w:textAlignment w:val="center"/>
              <w:rPr>
                <w:rFonts w:ascii="宋体" w:hAnsi="宋体"/>
                <w:sz w:val="16"/>
                <w:szCs w:val="16"/>
              </w:rPr>
            </w:pPr>
            <w:r>
              <w:rPr>
                <w:rFonts w:ascii="宋体" w:hAnsi="宋体"/>
                <w:sz w:val="16"/>
                <w:szCs w:val="16"/>
              </w:rPr>
              <w:t>1</w:t>
            </w:r>
          </w:p>
        </w:tc>
        <w:tc>
          <w:tcPr>
            <w:tcW w:w="0" w:type="auto"/>
            <w:vAlign w:val="center"/>
          </w:tcPr>
          <w:p w14:paraId="761DD2D5">
            <w:pPr>
              <w:jc w:val="both"/>
              <w:textAlignment w:val="center"/>
              <w:rPr>
                <w:rFonts w:ascii="宋体" w:hAnsi="宋体" w:cstheme="minorEastAsia"/>
                <w:bCs/>
                <w:sz w:val="16"/>
                <w:szCs w:val="16"/>
                <w:highlight w:val="yellow"/>
              </w:rPr>
            </w:pPr>
          </w:p>
        </w:tc>
        <w:tc>
          <w:tcPr>
            <w:tcW w:w="0" w:type="auto"/>
            <w:vAlign w:val="center"/>
          </w:tcPr>
          <w:p w14:paraId="712E1F66">
            <w:pPr>
              <w:jc w:val="both"/>
              <w:textAlignment w:val="center"/>
              <w:rPr>
                <w:rFonts w:ascii="宋体" w:hAnsi="宋体" w:cstheme="minorEastAsia"/>
                <w:bCs/>
                <w:sz w:val="16"/>
                <w:szCs w:val="16"/>
                <w:highlight w:val="yellow"/>
              </w:rPr>
            </w:pPr>
          </w:p>
        </w:tc>
        <w:tc>
          <w:tcPr>
            <w:tcW w:w="0" w:type="auto"/>
            <w:vAlign w:val="center"/>
          </w:tcPr>
          <w:p w14:paraId="11778D29">
            <w:pPr>
              <w:jc w:val="both"/>
              <w:textAlignment w:val="center"/>
              <w:rPr>
                <w:rFonts w:ascii="宋体" w:hAnsi="宋体" w:cstheme="minorEastAsia"/>
                <w:bCs/>
                <w:sz w:val="16"/>
                <w:szCs w:val="16"/>
                <w:highlight w:val="yellow"/>
              </w:rPr>
            </w:pPr>
          </w:p>
        </w:tc>
        <w:tc>
          <w:tcPr>
            <w:tcW w:w="0" w:type="auto"/>
            <w:shd w:val="clear" w:color="auto" w:fill="auto"/>
            <w:vAlign w:val="center"/>
          </w:tcPr>
          <w:p w14:paraId="326F102C">
            <w:pPr>
              <w:snapToGrid w:val="0"/>
              <w:jc w:val="both"/>
              <w:rPr>
                <w:rFonts w:ascii="宋体" w:hAnsi="宋体" w:cstheme="minorEastAsia"/>
                <w:bCs/>
                <w:sz w:val="16"/>
                <w:szCs w:val="16"/>
              </w:rPr>
            </w:pPr>
          </w:p>
        </w:tc>
      </w:tr>
      <w:tr w14:paraId="2E3D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B56B536">
            <w:pPr>
              <w:snapToGrid w:val="0"/>
              <w:jc w:val="both"/>
              <w:rPr>
                <w:rFonts w:ascii="宋体" w:hAnsi="宋体" w:cstheme="minorEastAsia"/>
                <w:bCs/>
                <w:sz w:val="16"/>
                <w:szCs w:val="16"/>
              </w:rPr>
            </w:pPr>
            <w:r>
              <w:rPr>
                <w:rFonts w:ascii="宋体" w:hAnsi="宋体"/>
                <w:sz w:val="16"/>
                <w:szCs w:val="16"/>
              </w:rPr>
              <w:t>1.1.13</w:t>
            </w:r>
          </w:p>
        </w:tc>
        <w:tc>
          <w:tcPr>
            <w:tcW w:w="1484" w:type="dxa"/>
            <w:tcBorders>
              <w:top w:val="single" w:color="auto" w:sz="4" w:space="0"/>
            </w:tcBorders>
            <w:vAlign w:val="center"/>
          </w:tcPr>
          <w:p w14:paraId="2872C737">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5651405A">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DN80</w:t>
            </w:r>
            <w:r>
              <w:rPr>
                <w:rFonts w:hint="eastAsia" w:ascii="宋体" w:hAnsi="宋体"/>
                <w:sz w:val="16"/>
                <w:szCs w:val="16"/>
              </w:rPr>
              <w:t>；压力：</w:t>
            </w:r>
            <w:r>
              <w:rPr>
                <w:rFonts w:ascii="宋体" w:hAnsi="宋体"/>
                <w:sz w:val="16"/>
                <w:szCs w:val="16"/>
              </w:rPr>
              <w:t>1MPa</w:t>
            </w:r>
            <w:r>
              <w:rPr>
                <w:rFonts w:hint="eastAsia" w:ascii="宋体" w:hAnsi="宋体"/>
                <w:sz w:val="16"/>
                <w:szCs w:val="16"/>
              </w:rPr>
              <w:t>；温度：</w:t>
            </w:r>
            <w:r>
              <w:rPr>
                <w:rFonts w:ascii="宋体" w:hAnsi="宋体"/>
                <w:sz w:val="16"/>
                <w:szCs w:val="16"/>
              </w:rPr>
              <w:t>90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061E9F74">
            <w:pPr>
              <w:snapToGrid w:val="0"/>
              <w:jc w:val="both"/>
              <w:rPr>
                <w:rFonts w:ascii="宋体" w:hAnsi="宋体" w:cstheme="minorEastAsia"/>
                <w:bCs/>
                <w:sz w:val="16"/>
                <w:szCs w:val="16"/>
              </w:rPr>
            </w:pPr>
          </w:p>
        </w:tc>
        <w:tc>
          <w:tcPr>
            <w:tcW w:w="0" w:type="auto"/>
            <w:vAlign w:val="center"/>
          </w:tcPr>
          <w:p w14:paraId="5FD7E80D">
            <w:pPr>
              <w:jc w:val="both"/>
              <w:textAlignment w:val="center"/>
              <w:rPr>
                <w:rFonts w:ascii="宋体" w:hAnsi="宋体" w:cstheme="minorEastAsia"/>
                <w:bCs/>
                <w:sz w:val="16"/>
                <w:szCs w:val="16"/>
              </w:rPr>
            </w:pPr>
          </w:p>
        </w:tc>
        <w:tc>
          <w:tcPr>
            <w:tcW w:w="0" w:type="auto"/>
            <w:vAlign w:val="center"/>
          </w:tcPr>
          <w:p w14:paraId="78EE1C6D">
            <w:pPr>
              <w:jc w:val="both"/>
              <w:textAlignment w:val="center"/>
              <w:rPr>
                <w:rFonts w:ascii="宋体" w:hAnsi="宋体" w:cstheme="minorEastAsia"/>
                <w:bCs/>
                <w:sz w:val="16"/>
                <w:szCs w:val="16"/>
              </w:rPr>
            </w:pPr>
          </w:p>
        </w:tc>
        <w:tc>
          <w:tcPr>
            <w:tcW w:w="1016" w:type="dxa"/>
            <w:vAlign w:val="center"/>
          </w:tcPr>
          <w:p w14:paraId="61C57C67">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70427087">
            <w:pPr>
              <w:jc w:val="both"/>
              <w:textAlignment w:val="center"/>
              <w:rPr>
                <w:rFonts w:ascii="宋体" w:hAnsi="宋体"/>
                <w:sz w:val="16"/>
                <w:szCs w:val="16"/>
              </w:rPr>
            </w:pPr>
            <w:r>
              <w:rPr>
                <w:rFonts w:ascii="宋体" w:hAnsi="宋体"/>
                <w:sz w:val="16"/>
                <w:szCs w:val="16"/>
              </w:rPr>
              <w:t>1</w:t>
            </w:r>
          </w:p>
        </w:tc>
        <w:tc>
          <w:tcPr>
            <w:tcW w:w="0" w:type="auto"/>
            <w:vAlign w:val="center"/>
          </w:tcPr>
          <w:p w14:paraId="3FE3E793">
            <w:pPr>
              <w:jc w:val="both"/>
              <w:textAlignment w:val="center"/>
              <w:rPr>
                <w:rFonts w:ascii="宋体" w:hAnsi="宋体" w:cstheme="minorEastAsia"/>
                <w:bCs/>
                <w:sz w:val="16"/>
                <w:szCs w:val="16"/>
                <w:highlight w:val="yellow"/>
              </w:rPr>
            </w:pPr>
          </w:p>
        </w:tc>
        <w:tc>
          <w:tcPr>
            <w:tcW w:w="0" w:type="auto"/>
            <w:vAlign w:val="center"/>
          </w:tcPr>
          <w:p w14:paraId="2537C80C">
            <w:pPr>
              <w:jc w:val="both"/>
              <w:textAlignment w:val="center"/>
              <w:rPr>
                <w:rFonts w:ascii="宋体" w:hAnsi="宋体" w:cstheme="minorEastAsia"/>
                <w:bCs/>
                <w:sz w:val="16"/>
                <w:szCs w:val="16"/>
                <w:highlight w:val="yellow"/>
              </w:rPr>
            </w:pPr>
          </w:p>
        </w:tc>
        <w:tc>
          <w:tcPr>
            <w:tcW w:w="0" w:type="auto"/>
            <w:vAlign w:val="center"/>
          </w:tcPr>
          <w:p w14:paraId="68023F6F">
            <w:pPr>
              <w:jc w:val="both"/>
              <w:textAlignment w:val="center"/>
              <w:rPr>
                <w:rFonts w:ascii="宋体" w:hAnsi="宋体" w:cstheme="minorEastAsia"/>
                <w:bCs/>
                <w:sz w:val="16"/>
                <w:szCs w:val="16"/>
                <w:highlight w:val="yellow"/>
              </w:rPr>
            </w:pPr>
          </w:p>
        </w:tc>
        <w:tc>
          <w:tcPr>
            <w:tcW w:w="0" w:type="auto"/>
            <w:shd w:val="clear" w:color="auto" w:fill="auto"/>
            <w:vAlign w:val="center"/>
          </w:tcPr>
          <w:p w14:paraId="394885AD">
            <w:pPr>
              <w:snapToGrid w:val="0"/>
              <w:jc w:val="both"/>
              <w:rPr>
                <w:rFonts w:ascii="宋体" w:hAnsi="宋体" w:cstheme="minorEastAsia"/>
                <w:bCs/>
                <w:sz w:val="16"/>
                <w:szCs w:val="16"/>
              </w:rPr>
            </w:pPr>
          </w:p>
        </w:tc>
      </w:tr>
      <w:tr w14:paraId="2876D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99FE2A6">
            <w:pPr>
              <w:snapToGrid w:val="0"/>
              <w:jc w:val="both"/>
              <w:rPr>
                <w:rFonts w:ascii="宋体" w:hAnsi="宋体" w:cstheme="minorEastAsia"/>
                <w:bCs/>
                <w:sz w:val="16"/>
                <w:szCs w:val="16"/>
              </w:rPr>
            </w:pPr>
            <w:r>
              <w:rPr>
                <w:rFonts w:ascii="宋体" w:hAnsi="宋体"/>
                <w:sz w:val="16"/>
                <w:szCs w:val="16"/>
              </w:rPr>
              <w:t>1.1.14</w:t>
            </w:r>
          </w:p>
        </w:tc>
        <w:tc>
          <w:tcPr>
            <w:tcW w:w="1484" w:type="dxa"/>
            <w:tcBorders>
              <w:top w:val="single" w:color="auto" w:sz="4" w:space="0"/>
            </w:tcBorders>
            <w:vAlign w:val="center"/>
          </w:tcPr>
          <w:p w14:paraId="05C6EFA5">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3BE451CD">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DN100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4122FC8A">
            <w:pPr>
              <w:snapToGrid w:val="0"/>
              <w:jc w:val="both"/>
              <w:rPr>
                <w:rFonts w:ascii="宋体" w:hAnsi="宋体" w:cstheme="minorEastAsia"/>
                <w:bCs/>
                <w:sz w:val="16"/>
                <w:szCs w:val="16"/>
              </w:rPr>
            </w:pPr>
          </w:p>
        </w:tc>
        <w:tc>
          <w:tcPr>
            <w:tcW w:w="0" w:type="auto"/>
            <w:vAlign w:val="center"/>
          </w:tcPr>
          <w:p w14:paraId="763F1684">
            <w:pPr>
              <w:jc w:val="both"/>
              <w:textAlignment w:val="center"/>
              <w:rPr>
                <w:rFonts w:ascii="宋体" w:hAnsi="宋体" w:cstheme="minorEastAsia"/>
                <w:bCs/>
                <w:sz w:val="16"/>
                <w:szCs w:val="16"/>
              </w:rPr>
            </w:pPr>
          </w:p>
        </w:tc>
        <w:tc>
          <w:tcPr>
            <w:tcW w:w="0" w:type="auto"/>
            <w:vAlign w:val="center"/>
          </w:tcPr>
          <w:p w14:paraId="6D4FC4BB">
            <w:pPr>
              <w:jc w:val="both"/>
              <w:textAlignment w:val="center"/>
              <w:rPr>
                <w:rFonts w:ascii="宋体" w:hAnsi="宋体" w:cstheme="minorEastAsia"/>
                <w:bCs/>
                <w:sz w:val="16"/>
                <w:szCs w:val="16"/>
              </w:rPr>
            </w:pPr>
          </w:p>
        </w:tc>
        <w:tc>
          <w:tcPr>
            <w:tcW w:w="1016" w:type="dxa"/>
            <w:vAlign w:val="center"/>
          </w:tcPr>
          <w:p w14:paraId="283B20A9">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7F60CE6E">
            <w:pPr>
              <w:jc w:val="both"/>
              <w:textAlignment w:val="center"/>
              <w:rPr>
                <w:rFonts w:ascii="宋体" w:hAnsi="宋体"/>
                <w:sz w:val="16"/>
                <w:szCs w:val="16"/>
              </w:rPr>
            </w:pPr>
            <w:r>
              <w:rPr>
                <w:rFonts w:ascii="宋体" w:hAnsi="宋体"/>
                <w:sz w:val="16"/>
                <w:szCs w:val="16"/>
              </w:rPr>
              <w:t>5</w:t>
            </w:r>
          </w:p>
        </w:tc>
        <w:tc>
          <w:tcPr>
            <w:tcW w:w="0" w:type="auto"/>
            <w:vAlign w:val="center"/>
          </w:tcPr>
          <w:p w14:paraId="3FDC4666">
            <w:pPr>
              <w:jc w:val="both"/>
              <w:textAlignment w:val="center"/>
              <w:rPr>
                <w:rFonts w:ascii="宋体" w:hAnsi="宋体" w:cstheme="minorEastAsia"/>
                <w:bCs/>
                <w:sz w:val="16"/>
                <w:szCs w:val="16"/>
                <w:highlight w:val="yellow"/>
              </w:rPr>
            </w:pPr>
          </w:p>
        </w:tc>
        <w:tc>
          <w:tcPr>
            <w:tcW w:w="0" w:type="auto"/>
            <w:vAlign w:val="center"/>
          </w:tcPr>
          <w:p w14:paraId="00859B63">
            <w:pPr>
              <w:jc w:val="both"/>
              <w:textAlignment w:val="center"/>
              <w:rPr>
                <w:rFonts w:ascii="宋体" w:hAnsi="宋体" w:cstheme="minorEastAsia"/>
                <w:bCs/>
                <w:sz w:val="16"/>
                <w:szCs w:val="16"/>
                <w:highlight w:val="yellow"/>
              </w:rPr>
            </w:pPr>
          </w:p>
        </w:tc>
        <w:tc>
          <w:tcPr>
            <w:tcW w:w="0" w:type="auto"/>
            <w:vAlign w:val="center"/>
          </w:tcPr>
          <w:p w14:paraId="20A6E0C3">
            <w:pPr>
              <w:jc w:val="both"/>
              <w:textAlignment w:val="center"/>
              <w:rPr>
                <w:rFonts w:ascii="宋体" w:hAnsi="宋体" w:cstheme="minorEastAsia"/>
                <w:bCs/>
                <w:sz w:val="16"/>
                <w:szCs w:val="16"/>
                <w:highlight w:val="yellow"/>
              </w:rPr>
            </w:pPr>
          </w:p>
        </w:tc>
        <w:tc>
          <w:tcPr>
            <w:tcW w:w="0" w:type="auto"/>
            <w:shd w:val="clear" w:color="auto" w:fill="auto"/>
            <w:vAlign w:val="center"/>
          </w:tcPr>
          <w:p w14:paraId="3D094A5E">
            <w:pPr>
              <w:snapToGrid w:val="0"/>
              <w:jc w:val="both"/>
              <w:rPr>
                <w:rFonts w:ascii="宋体" w:hAnsi="宋体" w:cstheme="minorEastAsia"/>
                <w:bCs/>
                <w:sz w:val="16"/>
                <w:szCs w:val="16"/>
              </w:rPr>
            </w:pPr>
          </w:p>
        </w:tc>
      </w:tr>
      <w:tr w14:paraId="0329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B2F9754">
            <w:pPr>
              <w:snapToGrid w:val="0"/>
              <w:jc w:val="both"/>
              <w:rPr>
                <w:rFonts w:ascii="宋体" w:hAnsi="宋体" w:cstheme="minorEastAsia"/>
                <w:bCs/>
                <w:sz w:val="16"/>
                <w:szCs w:val="16"/>
              </w:rPr>
            </w:pPr>
            <w:r>
              <w:rPr>
                <w:rFonts w:ascii="宋体" w:hAnsi="宋体"/>
                <w:sz w:val="16"/>
                <w:szCs w:val="16"/>
              </w:rPr>
              <w:t>1.1.15</w:t>
            </w:r>
          </w:p>
        </w:tc>
        <w:tc>
          <w:tcPr>
            <w:tcW w:w="1484" w:type="dxa"/>
            <w:tcBorders>
              <w:top w:val="single" w:color="auto" w:sz="4" w:space="0"/>
            </w:tcBorders>
            <w:vAlign w:val="center"/>
          </w:tcPr>
          <w:p w14:paraId="3BCD38A0">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4B022B0E">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DN125</w:t>
            </w:r>
            <w:r>
              <w:rPr>
                <w:rFonts w:hint="eastAsia" w:ascii="宋体" w:hAnsi="宋体"/>
                <w:sz w:val="16"/>
                <w:szCs w:val="16"/>
              </w:rPr>
              <w:t>；压力：</w:t>
            </w:r>
            <w:r>
              <w:rPr>
                <w:rFonts w:ascii="宋体" w:hAnsi="宋体"/>
                <w:sz w:val="16"/>
                <w:szCs w:val="16"/>
              </w:rPr>
              <w:t>1MPa</w:t>
            </w:r>
            <w:r>
              <w:rPr>
                <w:rFonts w:hint="eastAsia" w:ascii="宋体" w:hAnsi="宋体"/>
                <w:sz w:val="16"/>
                <w:szCs w:val="16"/>
              </w:rPr>
              <w:t>；温度：</w:t>
            </w:r>
            <w:r>
              <w:rPr>
                <w:rFonts w:ascii="宋体" w:hAnsi="宋体"/>
                <w:sz w:val="16"/>
                <w:szCs w:val="16"/>
              </w:rPr>
              <w:t>130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2D3A99F2">
            <w:pPr>
              <w:snapToGrid w:val="0"/>
              <w:jc w:val="both"/>
              <w:rPr>
                <w:rFonts w:ascii="宋体" w:hAnsi="宋体" w:cstheme="minorEastAsia"/>
                <w:bCs/>
                <w:sz w:val="16"/>
                <w:szCs w:val="16"/>
              </w:rPr>
            </w:pPr>
          </w:p>
        </w:tc>
        <w:tc>
          <w:tcPr>
            <w:tcW w:w="0" w:type="auto"/>
            <w:vAlign w:val="center"/>
          </w:tcPr>
          <w:p w14:paraId="3C3094EF">
            <w:pPr>
              <w:jc w:val="both"/>
              <w:textAlignment w:val="center"/>
              <w:rPr>
                <w:rFonts w:ascii="宋体" w:hAnsi="宋体" w:cstheme="minorEastAsia"/>
                <w:bCs/>
                <w:sz w:val="16"/>
                <w:szCs w:val="16"/>
              </w:rPr>
            </w:pPr>
          </w:p>
        </w:tc>
        <w:tc>
          <w:tcPr>
            <w:tcW w:w="0" w:type="auto"/>
            <w:vAlign w:val="center"/>
          </w:tcPr>
          <w:p w14:paraId="2ECE5B42">
            <w:pPr>
              <w:jc w:val="both"/>
              <w:textAlignment w:val="center"/>
              <w:rPr>
                <w:rFonts w:ascii="宋体" w:hAnsi="宋体" w:cstheme="minorEastAsia"/>
                <w:bCs/>
                <w:sz w:val="16"/>
                <w:szCs w:val="16"/>
              </w:rPr>
            </w:pPr>
          </w:p>
        </w:tc>
        <w:tc>
          <w:tcPr>
            <w:tcW w:w="1016" w:type="dxa"/>
            <w:vAlign w:val="center"/>
          </w:tcPr>
          <w:p w14:paraId="3D8FC2ED">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4F35D0AB">
            <w:pPr>
              <w:jc w:val="both"/>
              <w:textAlignment w:val="center"/>
              <w:rPr>
                <w:rFonts w:ascii="宋体" w:hAnsi="宋体"/>
                <w:sz w:val="16"/>
                <w:szCs w:val="16"/>
              </w:rPr>
            </w:pPr>
            <w:r>
              <w:rPr>
                <w:rFonts w:ascii="宋体" w:hAnsi="宋体"/>
                <w:sz w:val="16"/>
                <w:szCs w:val="16"/>
              </w:rPr>
              <w:t>1</w:t>
            </w:r>
          </w:p>
        </w:tc>
        <w:tc>
          <w:tcPr>
            <w:tcW w:w="0" w:type="auto"/>
            <w:vAlign w:val="center"/>
          </w:tcPr>
          <w:p w14:paraId="5E931067">
            <w:pPr>
              <w:jc w:val="both"/>
              <w:textAlignment w:val="center"/>
              <w:rPr>
                <w:rFonts w:ascii="宋体" w:hAnsi="宋体" w:cstheme="minorEastAsia"/>
                <w:bCs/>
                <w:sz w:val="16"/>
                <w:szCs w:val="16"/>
                <w:highlight w:val="yellow"/>
              </w:rPr>
            </w:pPr>
          </w:p>
        </w:tc>
        <w:tc>
          <w:tcPr>
            <w:tcW w:w="0" w:type="auto"/>
            <w:vAlign w:val="center"/>
          </w:tcPr>
          <w:p w14:paraId="4AE928EB">
            <w:pPr>
              <w:jc w:val="both"/>
              <w:textAlignment w:val="center"/>
              <w:rPr>
                <w:rFonts w:ascii="宋体" w:hAnsi="宋体" w:cstheme="minorEastAsia"/>
                <w:bCs/>
                <w:sz w:val="16"/>
                <w:szCs w:val="16"/>
                <w:highlight w:val="yellow"/>
              </w:rPr>
            </w:pPr>
          </w:p>
        </w:tc>
        <w:tc>
          <w:tcPr>
            <w:tcW w:w="0" w:type="auto"/>
            <w:vAlign w:val="center"/>
          </w:tcPr>
          <w:p w14:paraId="6DD38F9E">
            <w:pPr>
              <w:jc w:val="both"/>
              <w:textAlignment w:val="center"/>
              <w:rPr>
                <w:rFonts w:ascii="宋体" w:hAnsi="宋体" w:cstheme="minorEastAsia"/>
                <w:bCs/>
                <w:sz w:val="16"/>
                <w:szCs w:val="16"/>
                <w:highlight w:val="yellow"/>
              </w:rPr>
            </w:pPr>
          </w:p>
        </w:tc>
        <w:tc>
          <w:tcPr>
            <w:tcW w:w="0" w:type="auto"/>
            <w:shd w:val="clear" w:color="auto" w:fill="auto"/>
            <w:vAlign w:val="center"/>
          </w:tcPr>
          <w:p w14:paraId="68398ED7">
            <w:pPr>
              <w:snapToGrid w:val="0"/>
              <w:jc w:val="both"/>
              <w:rPr>
                <w:rFonts w:ascii="宋体" w:hAnsi="宋体" w:cstheme="minorEastAsia"/>
                <w:bCs/>
                <w:sz w:val="16"/>
                <w:szCs w:val="16"/>
              </w:rPr>
            </w:pPr>
          </w:p>
        </w:tc>
      </w:tr>
      <w:tr w14:paraId="1313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4610F70">
            <w:pPr>
              <w:snapToGrid w:val="0"/>
              <w:jc w:val="both"/>
              <w:rPr>
                <w:rFonts w:ascii="宋体" w:hAnsi="宋体" w:cstheme="minorEastAsia"/>
                <w:bCs/>
                <w:sz w:val="16"/>
                <w:szCs w:val="16"/>
              </w:rPr>
            </w:pPr>
            <w:r>
              <w:rPr>
                <w:rFonts w:ascii="宋体" w:hAnsi="宋体"/>
                <w:sz w:val="16"/>
                <w:szCs w:val="16"/>
              </w:rPr>
              <w:t>1.1.16</w:t>
            </w:r>
          </w:p>
        </w:tc>
        <w:tc>
          <w:tcPr>
            <w:tcW w:w="1484" w:type="dxa"/>
            <w:tcBorders>
              <w:top w:val="single" w:color="auto" w:sz="4" w:space="0"/>
            </w:tcBorders>
            <w:vAlign w:val="center"/>
          </w:tcPr>
          <w:p w14:paraId="4A9A4256">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1AEFB762">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DN150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795AF1C8">
            <w:pPr>
              <w:snapToGrid w:val="0"/>
              <w:jc w:val="both"/>
              <w:rPr>
                <w:rFonts w:ascii="宋体" w:hAnsi="宋体" w:cstheme="minorEastAsia"/>
                <w:bCs/>
                <w:sz w:val="16"/>
                <w:szCs w:val="16"/>
              </w:rPr>
            </w:pPr>
          </w:p>
        </w:tc>
        <w:tc>
          <w:tcPr>
            <w:tcW w:w="0" w:type="auto"/>
            <w:vAlign w:val="center"/>
          </w:tcPr>
          <w:p w14:paraId="30FA74ED">
            <w:pPr>
              <w:jc w:val="both"/>
              <w:textAlignment w:val="center"/>
              <w:rPr>
                <w:rFonts w:ascii="宋体" w:hAnsi="宋体" w:cstheme="minorEastAsia"/>
                <w:bCs/>
                <w:sz w:val="16"/>
                <w:szCs w:val="16"/>
              </w:rPr>
            </w:pPr>
          </w:p>
        </w:tc>
        <w:tc>
          <w:tcPr>
            <w:tcW w:w="0" w:type="auto"/>
            <w:vAlign w:val="center"/>
          </w:tcPr>
          <w:p w14:paraId="136477E6">
            <w:pPr>
              <w:jc w:val="both"/>
              <w:textAlignment w:val="center"/>
              <w:rPr>
                <w:rFonts w:ascii="宋体" w:hAnsi="宋体" w:cstheme="minorEastAsia"/>
                <w:bCs/>
                <w:sz w:val="16"/>
                <w:szCs w:val="16"/>
              </w:rPr>
            </w:pPr>
          </w:p>
        </w:tc>
        <w:tc>
          <w:tcPr>
            <w:tcW w:w="1016" w:type="dxa"/>
            <w:vAlign w:val="center"/>
          </w:tcPr>
          <w:p w14:paraId="10587731">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2CE154F7">
            <w:pPr>
              <w:jc w:val="both"/>
              <w:textAlignment w:val="center"/>
              <w:rPr>
                <w:rFonts w:ascii="宋体" w:hAnsi="宋体"/>
                <w:sz w:val="16"/>
                <w:szCs w:val="16"/>
              </w:rPr>
            </w:pPr>
            <w:r>
              <w:rPr>
                <w:rFonts w:ascii="宋体" w:hAnsi="宋体"/>
                <w:sz w:val="16"/>
                <w:szCs w:val="16"/>
              </w:rPr>
              <w:t>3</w:t>
            </w:r>
          </w:p>
        </w:tc>
        <w:tc>
          <w:tcPr>
            <w:tcW w:w="0" w:type="auto"/>
            <w:vAlign w:val="center"/>
          </w:tcPr>
          <w:p w14:paraId="5B854A1E">
            <w:pPr>
              <w:jc w:val="both"/>
              <w:textAlignment w:val="center"/>
              <w:rPr>
                <w:rFonts w:ascii="宋体" w:hAnsi="宋体" w:cstheme="minorEastAsia"/>
                <w:bCs/>
                <w:sz w:val="16"/>
                <w:szCs w:val="16"/>
                <w:highlight w:val="yellow"/>
              </w:rPr>
            </w:pPr>
          </w:p>
        </w:tc>
        <w:tc>
          <w:tcPr>
            <w:tcW w:w="0" w:type="auto"/>
            <w:vAlign w:val="center"/>
          </w:tcPr>
          <w:p w14:paraId="23793831">
            <w:pPr>
              <w:jc w:val="both"/>
              <w:textAlignment w:val="center"/>
              <w:rPr>
                <w:rFonts w:ascii="宋体" w:hAnsi="宋体" w:cstheme="minorEastAsia"/>
                <w:bCs/>
                <w:sz w:val="16"/>
                <w:szCs w:val="16"/>
                <w:highlight w:val="yellow"/>
              </w:rPr>
            </w:pPr>
          </w:p>
        </w:tc>
        <w:tc>
          <w:tcPr>
            <w:tcW w:w="0" w:type="auto"/>
            <w:vAlign w:val="center"/>
          </w:tcPr>
          <w:p w14:paraId="7C6D7ABA">
            <w:pPr>
              <w:jc w:val="both"/>
              <w:textAlignment w:val="center"/>
              <w:rPr>
                <w:rFonts w:ascii="宋体" w:hAnsi="宋体" w:cstheme="minorEastAsia"/>
                <w:bCs/>
                <w:sz w:val="16"/>
                <w:szCs w:val="16"/>
                <w:highlight w:val="yellow"/>
              </w:rPr>
            </w:pPr>
          </w:p>
        </w:tc>
        <w:tc>
          <w:tcPr>
            <w:tcW w:w="0" w:type="auto"/>
            <w:shd w:val="clear" w:color="auto" w:fill="auto"/>
            <w:vAlign w:val="center"/>
          </w:tcPr>
          <w:p w14:paraId="0F0A23FD">
            <w:pPr>
              <w:snapToGrid w:val="0"/>
              <w:jc w:val="both"/>
              <w:rPr>
                <w:rFonts w:ascii="宋体" w:hAnsi="宋体" w:cstheme="minorEastAsia"/>
                <w:bCs/>
                <w:sz w:val="16"/>
                <w:szCs w:val="16"/>
              </w:rPr>
            </w:pPr>
          </w:p>
        </w:tc>
      </w:tr>
      <w:tr w14:paraId="5CF5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3FA4C9B">
            <w:pPr>
              <w:snapToGrid w:val="0"/>
              <w:jc w:val="both"/>
              <w:rPr>
                <w:rFonts w:ascii="宋体" w:hAnsi="宋体" w:cstheme="minorEastAsia"/>
                <w:bCs/>
                <w:sz w:val="16"/>
                <w:szCs w:val="16"/>
              </w:rPr>
            </w:pPr>
            <w:r>
              <w:rPr>
                <w:rFonts w:ascii="宋体" w:hAnsi="宋体"/>
                <w:sz w:val="16"/>
                <w:szCs w:val="16"/>
              </w:rPr>
              <w:t>1.1.17</w:t>
            </w:r>
          </w:p>
        </w:tc>
        <w:tc>
          <w:tcPr>
            <w:tcW w:w="1484" w:type="dxa"/>
            <w:tcBorders>
              <w:top w:val="single" w:color="auto" w:sz="4" w:space="0"/>
            </w:tcBorders>
            <w:vAlign w:val="center"/>
          </w:tcPr>
          <w:p w14:paraId="4459C3A1">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42B2D1DA">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DN200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61297448">
            <w:pPr>
              <w:snapToGrid w:val="0"/>
              <w:jc w:val="both"/>
              <w:rPr>
                <w:rFonts w:ascii="宋体" w:hAnsi="宋体" w:cstheme="minorEastAsia"/>
                <w:bCs/>
                <w:sz w:val="16"/>
                <w:szCs w:val="16"/>
              </w:rPr>
            </w:pPr>
          </w:p>
        </w:tc>
        <w:tc>
          <w:tcPr>
            <w:tcW w:w="0" w:type="auto"/>
            <w:vAlign w:val="center"/>
          </w:tcPr>
          <w:p w14:paraId="0E5ED111">
            <w:pPr>
              <w:jc w:val="both"/>
              <w:textAlignment w:val="center"/>
              <w:rPr>
                <w:rFonts w:ascii="宋体" w:hAnsi="宋体" w:cstheme="minorEastAsia"/>
                <w:bCs/>
                <w:sz w:val="16"/>
                <w:szCs w:val="16"/>
              </w:rPr>
            </w:pPr>
          </w:p>
        </w:tc>
        <w:tc>
          <w:tcPr>
            <w:tcW w:w="0" w:type="auto"/>
            <w:vAlign w:val="center"/>
          </w:tcPr>
          <w:p w14:paraId="668723A8">
            <w:pPr>
              <w:jc w:val="both"/>
              <w:textAlignment w:val="center"/>
              <w:rPr>
                <w:rFonts w:ascii="宋体" w:hAnsi="宋体" w:cstheme="minorEastAsia"/>
                <w:bCs/>
                <w:sz w:val="16"/>
                <w:szCs w:val="16"/>
              </w:rPr>
            </w:pPr>
          </w:p>
        </w:tc>
        <w:tc>
          <w:tcPr>
            <w:tcW w:w="1016" w:type="dxa"/>
            <w:vAlign w:val="center"/>
          </w:tcPr>
          <w:p w14:paraId="696FE3DB">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0485441F">
            <w:pPr>
              <w:jc w:val="both"/>
              <w:textAlignment w:val="center"/>
              <w:rPr>
                <w:rFonts w:ascii="宋体" w:hAnsi="宋体"/>
                <w:sz w:val="16"/>
                <w:szCs w:val="16"/>
              </w:rPr>
            </w:pPr>
            <w:r>
              <w:rPr>
                <w:rFonts w:ascii="宋体" w:hAnsi="宋体"/>
                <w:sz w:val="16"/>
                <w:szCs w:val="16"/>
              </w:rPr>
              <w:t>1</w:t>
            </w:r>
          </w:p>
        </w:tc>
        <w:tc>
          <w:tcPr>
            <w:tcW w:w="0" w:type="auto"/>
            <w:vAlign w:val="center"/>
          </w:tcPr>
          <w:p w14:paraId="0792FA89">
            <w:pPr>
              <w:jc w:val="both"/>
              <w:textAlignment w:val="center"/>
              <w:rPr>
                <w:rFonts w:ascii="宋体" w:hAnsi="宋体" w:cstheme="minorEastAsia"/>
                <w:bCs/>
                <w:sz w:val="16"/>
                <w:szCs w:val="16"/>
                <w:highlight w:val="yellow"/>
              </w:rPr>
            </w:pPr>
          </w:p>
        </w:tc>
        <w:tc>
          <w:tcPr>
            <w:tcW w:w="0" w:type="auto"/>
            <w:vAlign w:val="center"/>
          </w:tcPr>
          <w:p w14:paraId="2CA1FFC2">
            <w:pPr>
              <w:jc w:val="both"/>
              <w:textAlignment w:val="center"/>
              <w:rPr>
                <w:rFonts w:ascii="宋体" w:hAnsi="宋体" w:cstheme="minorEastAsia"/>
                <w:bCs/>
                <w:sz w:val="16"/>
                <w:szCs w:val="16"/>
                <w:highlight w:val="yellow"/>
              </w:rPr>
            </w:pPr>
          </w:p>
        </w:tc>
        <w:tc>
          <w:tcPr>
            <w:tcW w:w="0" w:type="auto"/>
            <w:vAlign w:val="center"/>
          </w:tcPr>
          <w:p w14:paraId="5DDD92D6">
            <w:pPr>
              <w:jc w:val="both"/>
              <w:textAlignment w:val="center"/>
              <w:rPr>
                <w:rFonts w:ascii="宋体" w:hAnsi="宋体" w:cstheme="minorEastAsia"/>
                <w:bCs/>
                <w:sz w:val="16"/>
                <w:szCs w:val="16"/>
                <w:highlight w:val="yellow"/>
              </w:rPr>
            </w:pPr>
          </w:p>
        </w:tc>
        <w:tc>
          <w:tcPr>
            <w:tcW w:w="0" w:type="auto"/>
            <w:shd w:val="clear" w:color="auto" w:fill="auto"/>
            <w:vAlign w:val="center"/>
          </w:tcPr>
          <w:p w14:paraId="18570206">
            <w:pPr>
              <w:snapToGrid w:val="0"/>
              <w:jc w:val="both"/>
              <w:rPr>
                <w:rFonts w:ascii="宋体" w:hAnsi="宋体" w:cstheme="minorEastAsia"/>
                <w:bCs/>
                <w:sz w:val="16"/>
                <w:szCs w:val="16"/>
              </w:rPr>
            </w:pPr>
          </w:p>
        </w:tc>
      </w:tr>
      <w:tr w14:paraId="531A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A3E09B6">
            <w:pPr>
              <w:snapToGrid w:val="0"/>
              <w:jc w:val="both"/>
              <w:rPr>
                <w:rFonts w:ascii="宋体" w:hAnsi="宋体" w:cstheme="minorEastAsia"/>
                <w:bCs/>
                <w:sz w:val="16"/>
                <w:szCs w:val="16"/>
              </w:rPr>
            </w:pPr>
            <w:r>
              <w:rPr>
                <w:rFonts w:ascii="宋体" w:hAnsi="宋体"/>
                <w:sz w:val="16"/>
                <w:szCs w:val="16"/>
              </w:rPr>
              <w:t>1.1.18</w:t>
            </w:r>
          </w:p>
        </w:tc>
        <w:tc>
          <w:tcPr>
            <w:tcW w:w="1484" w:type="dxa"/>
            <w:tcBorders>
              <w:top w:val="single" w:color="auto" w:sz="4" w:space="0"/>
            </w:tcBorders>
            <w:vAlign w:val="center"/>
          </w:tcPr>
          <w:p w14:paraId="4907712B">
            <w:pPr>
              <w:snapToGrid w:val="0"/>
              <w:jc w:val="both"/>
              <w:rPr>
                <w:rFonts w:ascii="宋体" w:hAnsi="宋体"/>
                <w:sz w:val="16"/>
                <w:szCs w:val="16"/>
              </w:rPr>
            </w:pPr>
            <w:r>
              <w:rPr>
                <w:rFonts w:hint="eastAsia" w:ascii="宋体" w:hAnsi="宋体"/>
                <w:sz w:val="16"/>
                <w:szCs w:val="16"/>
              </w:rPr>
              <w:t>水表</w:t>
            </w:r>
          </w:p>
        </w:tc>
        <w:tc>
          <w:tcPr>
            <w:tcW w:w="4601" w:type="dxa"/>
            <w:vAlign w:val="center"/>
          </w:tcPr>
          <w:p w14:paraId="3D8D6799">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DN250</w:t>
            </w:r>
            <w:r>
              <w:rPr>
                <w:rFonts w:hint="eastAsia" w:ascii="宋体" w:hAnsi="宋体"/>
                <w:sz w:val="16"/>
                <w:szCs w:val="16"/>
              </w:rPr>
              <w:t>；压力：</w:t>
            </w:r>
            <w:r>
              <w:rPr>
                <w:rFonts w:ascii="宋体" w:hAnsi="宋体"/>
                <w:sz w:val="16"/>
                <w:szCs w:val="16"/>
              </w:rPr>
              <w:t>0.4MPa</w:t>
            </w:r>
            <w:r>
              <w:rPr>
                <w:rFonts w:hint="eastAsia" w:ascii="宋体" w:hAnsi="宋体"/>
                <w:sz w:val="16"/>
                <w:szCs w:val="16"/>
              </w:rPr>
              <w:t>；温度：</w:t>
            </w:r>
            <w:r>
              <w:rPr>
                <w:rFonts w:ascii="宋体" w:hAnsi="宋体"/>
                <w:sz w:val="16"/>
                <w:szCs w:val="16"/>
              </w:rPr>
              <w:t>30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74CC1E6A">
            <w:pPr>
              <w:snapToGrid w:val="0"/>
              <w:jc w:val="both"/>
              <w:rPr>
                <w:rFonts w:ascii="宋体" w:hAnsi="宋体" w:cstheme="minorEastAsia"/>
                <w:bCs/>
                <w:sz w:val="16"/>
                <w:szCs w:val="16"/>
              </w:rPr>
            </w:pPr>
          </w:p>
        </w:tc>
        <w:tc>
          <w:tcPr>
            <w:tcW w:w="0" w:type="auto"/>
            <w:vAlign w:val="center"/>
          </w:tcPr>
          <w:p w14:paraId="55B7AD6F">
            <w:pPr>
              <w:jc w:val="both"/>
              <w:textAlignment w:val="center"/>
              <w:rPr>
                <w:rFonts w:ascii="宋体" w:hAnsi="宋体" w:cstheme="minorEastAsia"/>
                <w:bCs/>
                <w:sz w:val="16"/>
                <w:szCs w:val="16"/>
              </w:rPr>
            </w:pPr>
          </w:p>
        </w:tc>
        <w:tc>
          <w:tcPr>
            <w:tcW w:w="0" w:type="auto"/>
            <w:vAlign w:val="center"/>
          </w:tcPr>
          <w:p w14:paraId="02856EF1">
            <w:pPr>
              <w:jc w:val="both"/>
              <w:textAlignment w:val="center"/>
              <w:rPr>
                <w:rFonts w:ascii="宋体" w:hAnsi="宋体" w:cstheme="minorEastAsia"/>
                <w:bCs/>
                <w:sz w:val="16"/>
                <w:szCs w:val="16"/>
              </w:rPr>
            </w:pPr>
          </w:p>
        </w:tc>
        <w:tc>
          <w:tcPr>
            <w:tcW w:w="1016" w:type="dxa"/>
            <w:vAlign w:val="center"/>
          </w:tcPr>
          <w:p w14:paraId="53FDD171">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4B58B73E">
            <w:pPr>
              <w:jc w:val="both"/>
              <w:textAlignment w:val="center"/>
              <w:rPr>
                <w:rFonts w:ascii="宋体" w:hAnsi="宋体"/>
                <w:sz w:val="16"/>
                <w:szCs w:val="16"/>
              </w:rPr>
            </w:pPr>
            <w:r>
              <w:rPr>
                <w:rFonts w:ascii="宋体" w:hAnsi="宋体"/>
                <w:sz w:val="16"/>
                <w:szCs w:val="16"/>
              </w:rPr>
              <w:t>1</w:t>
            </w:r>
          </w:p>
        </w:tc>
        <w:tc>
          <w:tcPr>
            <w:tcW w:w="0" w:type="auto"/>
            <w:vAlign w:val="center"/>
          </w:tcPr>
          <w:p w14:paraId="257A922D">
            <w:pPr>
              <w:jc w:val="both"/>
              <w:textAlignment w:val="center"/>
              <w:rPr>
                <w:rFonts w:ascii="宋体" w:hAnsi="宋体" w:cstheme="minorEastAsia"/>
                <w:bCs/>
                <w:sz w:val="16"/>
                <w:szCs w:val="16"/>
                <w:highlight w:val="yellow"/>
              </w:rPr>
            </w:pPr>
          </w:p>
        </w:tc>
        <w:tc>
          <w:tcPr>
            <w:tcW w:w="0" w:type="auto"/>
            <w:vAlign w:val="center"/>
          </w:tcPr>
          <w:p w14:paraId="6A469B37">
            <w:pPr>
              <w:jc w:val="both"/>
              <w:textAlignment w:val="center"/>
              <w:rPr>
                <w:rFonts w:ascii="宋体" w:hAnsi="宋体" w:cstheme="minorEastAsia"/>
                <w:bCs/>
                <w:sz w:val="16"/>
                <w:szCs w:val="16"/>
                <w:highlight w:val="yellow"/>
              </w:rPr>
            </w:pPr>
          </w:p>
        </w:tc>
        <w:tc>
          <w:tcPr>
            <w:tcW w:w="0" w:type="auto"/>
            <w:vAlign w:val="center"/>
          </w:tcPr>
          <w:p w14:paraId="31BD8923">
            <w:pPr>
              <w:jc w:val="both"/>
              <w:textAlignment w:val="center"/>
              <w:rPr>
                <w:rFonts w:ascii="宋体" w:hAnsi="宋体" w:cstheme="minorEastAsia"/>
                <w:bCs/>
                <w:sz w:val="16"/>
                <w:szCs w:val="16"/>
                <w:highlight w:val="yellow"/>
              </w:rPr>
            </w:pPr>
          </w:p>
        </w:tc>
        <w:tc>
          <w:tcPr>
            <w:tcW w:w="0" w:type="auto"/>
            <w:shd w:val="clear" w:color="auto" w:fill="auto"/>
            <w:vAlign w:val="center"/>
          </w:tcPr>
          <w:p w14:paraId="4F42DCBB">
            <w:pPr>
              <w:snapToGrid w:val="0"/>
              <w:jc w:val="both"/>
              <w:rPr>
                <w:rFonts w:ascii="宋体" w:hAnsi="宋体" w:cstheme="minorEastAsia"/>
                <w:bCs/>
                <w:sz w:val="16"/>
                <w:szCs w:val="16"/>
              </w:rPr>
            </w:pPr>
          </w:p>
        </w:tc>
      </w:tr>
      <w:tr w14:paraId="0A3B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trPr>
        <w:tc>
          <w:tcPr>
            <w:tcW w:w="856" w:type="dxa"/>
            <w:vAlign w:val="center"/>
          </w:tcPr>
          <w:p w14:paraId="72E69093">
            <w:pPr>
              <w:snapToGrid w:val="0"/>
              <w:jc w:val="both"/>
              <w:rPr>
                <w:rFonts w:ascii="宋体" w:hAnsi="宋体" w:cstheme="minorEastAsia"/>
                <w:b/>
                <w:bCs/>
                <w:sz w:val="16"/>
                <w:szCs w:val="16"/>
              </w:rPr>
            </w:pPr>
            <w:r>
              <w:rPr>
                <w:rFonts w:hint="eastAsia" w:ascii="宋体" w:hAnsi="宋体" w:cstheme="minorEastAsia"/>
                <w:b/>
                <w:bCs/>
                <w:sz w:val="16"/>
                <w:szCs w:val="16"/>
              </w:rPr>
              <w:t>1.2</w:t>
            </w:r>
          </w:p>
        </w:tc>
        <w:tc>
          <w:tcPr>
            <w:tcW w:w="13138" w:type="dxa"/>
            <w:gridSpan w:val="11"/>
            <w:vAlign w:val="center"/>
          </w:tcPr>
          <w:p w14:paraId="12455E34">
            <w:pPr>
              <w:snapToGrid w:val="0"/>
              <w:jc w:val="both"/>
              <w:rPr>
                <w:rFonts w:ascii="宋体" w:hAnsi="宋体" w:cstheme="minorEastAsia"/>
                <w:b/>
                <w:bCs/>
                <w:sz w:val="16"/>
                <w:szCs w:val="16"/>
              </w:rPr>
            </w:pPr>
            <w:r>
              <w:rPr>
                <w:rFonts w:hint="eastAsia" w:ascii="宋体" w:hAnsi="宋体" w:cstheme="minorEastAsia"/>
                <w:b/>
                <w:bCs/>
                <w:sz w:val="16"/>
                <w:szCs w:val="16"/>
              </w:rPr>
              <w:t>电表</w:t>
            </w:r>
          </w:p>
        </w:tc>
      </w:tr>
      <w:tr w14:paraId="32CF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4D1CA92">
            <w:pPr>
              <w:snapToGrid w:val="0"/>
              <w:jc w:val="both"/>
              <w:rPr>
                <w:rFonts w:ascii="宋体" w:hAnsi="宋体" w:cstheme="minorEastAsia"/>
                <w:bCs/>
                <w:sz w:val="16"/>
                <w:szCs w:val="16"/>
              </w:rPr>
            </w:pPr>
            <w:r>
              <w:rPr>
                <w:rFonts w:hint="eastAsia" w:ascii="宋体" w:hAnsi="宋体" w:cstheme="minorEastAsia"/>
                <w:bCs/>
                <w:sz w:val="16"/>
                <w:szCs w:val="16"/>
              </w:rPr>
              <w:t>1.2.1</w:t>
            </w:r>
          </w:p>
        </w:tc>
        <w:tc>
          <w:tcPr>
            <w:tcW w:w="1484" w:type="dxa"/>
            <w:tcBorders>
              <w:top w:val="single" w:color="auto" w:sz="4" w:space="0"/>
            </w:tcBorders>
            <w:vAlign w:val="center"/>
          </w:tcPr>
          <w:p w14:paraId="3F550D25">
            <w:pPr>
              <w:snapToGrid w:val="0"/>
              <w:jc w:val="both"/>
              <w:rPr>
                <w:rFonts w:ascii="宋体" w:hAnsi="宋体"/>
                <w:sz w:val="16"/>
                <w:szCs w:val="16"/>
              </w:rPr>
            </w:pPr>
            <w:r>
              <w:rPr>
                <w:rFonts w:hint="eastAsia" w:ascii="宋体" w:hAnsi="宋体"/>
                <w:sz w:val="16"/>
                <w:szCs w:val="16"/>
              </w:rPr>
              <w:t>电表</w:t>
            </w:r>
          </w:p>
        </w:tc>
        <w:tc>
          <w:tcPr>
            <w:tcW w:w="4601" w:type="dxa"/>
            <w:vAlign w:val="center"/>
          </w:tcPr>
          <w:p w14:paraId="3CE61092">
            <w:pPr>
              <w:snapToGrid w:val="0"/>
              <w:jc w:val="both"/>
              <w:rPr>
                <w:rFonts w:ascii="宋体" w:hAnsi="宋体"/>
                <w:sz w:val="16"/>
                <w:szCs w:val="16"/>
              </w:rPr>
            </w:pPr>
            <w:r>
              <w:rPr>
                <w:rFonts w:hint="eastAsia" w:ascii="宋体" w:hAnsi="宋体"/>
                <w:sz w:val="16"/>
                <w:szCs w:val="16"/>
              </w:rPr>
              <w:t>电压额定值：</w:t>
            </w:r>
            <w:r>
              <w:rPr>
                <w:rFonts w:ascii="宋体" w:hAnsi="宋体"/>
                <w:sz w:val="16"/>
                <w:szCs w:val="16"/>
              </w:rPr>
              <w:t>400V</w:t>
            </w:r>
            <w:r>
              <w:rPr>
                <w:rFonts w:hint="eastAsia" w:ascii="宋体" w:hAnsi="宋体"/>
                <w:sz w:val="16"/>
                <w:szCs w:val="16"/>
              </w:rPr>
              <w:t>；电流额定值：</w:t>
            </w:r>
            <w:r>
              <w:rPr>
                <w:rFonts w:ascii="宋体" w:hAnsi="宋体"/>
                <w:sz w:val="16"/>
                <w:szCs w:val="16"/>
              </w:rPr>
              <w:t>1A</w:t>
            </w:r>
            <w:r>
              <w:rPr>
                <w:rFonts w:hint="eastAsia" w:ascii="宋体" w:hAnsi="宋体"/>
                <w:sz w:val="16"/>
                <w:szCs w:val="16"/>
              </w:rPr>
              <w:t>；准确度等级：</w:t>
            </w:r>
            <w:r>
              <w:rPr>
                <w:rFonts w:ascii="宋体" w:hAnsi="宋体"/>
                <w:sz w:val="16"/>
                <w:szCs w:val="16"/>
              </w:rPr>
              <w:t>0.5S</w:t>
            </w:r>
            <w:r>
              <w:rPr>
                <w:rFonts w:hint="eastAsia" w:ascii="宋体" w:hAnsi="宋体"/>
                <w:sz w:val="16"/>
                <w:szCs w:val="16"/>
              </w:rPr>
              <w:t>；频率：</w:t>
            </w:r>
            <w:r>
              <w:rPr>
                <w:rFonts w:ascii="宋体" w:hAnsi="宋体"/>
                <w:sz w:val="16"/>
                <w:szCs w:val="16"/>
              </w:rPr>
              <w:t>50hz</w:t>
            </w:r>
            <w:r>
              <w:rPr>
                <w:rFonts w:hint="eastAsia" w:ascii="宋体" w:hAnsi="宋体"/>
                <w:sz w:val="16"/>
                <w:szCs w:val="16"/>
              </w:rPr>
              <w:t>；通信：</w:t>
            </w:r>
            <w:r>
              <w:rPr>
                <w:rFonts w:ascii="宋体" w:hAnsi="宋体"/>
                <w:sz w:val="16"/>
                <w:szCs w:val="16"/>
              </w:rPr>
              <w:t>RS485 modbus-RTU</w:t>
            </w:r>
            <w:r>
              <w:rPr>
                <w:rFonts w:hint="eastAsia" w:ascii="宋体" w:hAnsi="宋体"/>
                <w:sz w:val="16"/>
                <w:szCs w:val="16"/>
              </w:rPr>
              <w:t>；需要有交流电压、电流、功率因数、有功功率、无功功率、视在功率、频率等基本电能参数（含</w:t>
            </w:r>
            <w:r>
              <w:rPr>
                <w:rFonts w:ascii="宋体" w:hAnsi="宋体"/>
                <w:sz w:val="16"/>
                <w:szCs w:val="16"/>
              </w:rPr>
              <w:t>114</w:t>
            </w:r>
            <w:r>
              <w:rPr>
                <w:rFonts w:hint="eastAsia" w:ascii="宋体" w:hAnsi="宋体"/>
                <w:sz w:val="16"/>
                <w:szCs w:val="16"/>
              </w:rPr>
              <w:t>台电流互感器）。</w:t>
            </w:r>
          </w:p>
        </w:tc>
        <w:tc>
          <w:tcPr>
            <w:tcW w:w="2022" w:type="dxa"/>
            <w:vAlign w:val="center"/>
          </w:tcPr>
          <w:p w14:paraId="6116797E">
            <w:pPr>
              <w:snapToGrid w:val="0"/>
              <w:jc w:val="both"/>
              <w:rPr>
                <w:rFonts w:ascii="宋体" w:hAnsi="宋体" w:cstheme="minorEastAsia"/>
                <w:bCs/>
                <w:sz w:val="16"/>
                <w:szCs w:val="16"/>
              </w:rPr>
            </w:pPr>
          </w:p>
        </w:tc>
        <w:tc>
          <w:tcPr>
            <w:tcW w:w="0" w:type="auto"/>
            <w:vAlign w:val="center"/>
          </w:tcPr>
          <w:p w14:paraId="363FC96A">
            <w:pPr>
              <w:jc w:val="both"/>
              <w:textAlignment w:val="center"/>
              <w:rPr>
                <w:rFonts w:ascii="宋体" w:hAnsi="宋体" w:cstheme="minorEastAsia"/>
                <w:bCs/>
                <w:sz w:val="16"/>
                <w:szCs w:val="16"/>
              </w:rPr>
            </w:pPr>
          </w:p>
        </w:tc>
        <w:tc>
          <w:tcPr>
            <w:tcW w:w="0" w:type="auto"/>
            <w:vAlign w:val="center"/>
          </w:tcPr>
          <w:p w14:paraId="481EBDE6">
            <w:pPr>
              <w:jc w:val="both"/>
              <w:textAlignment w:val="center"/>
              <w:rPr>
                <w:rFonts w:ascii="宋体" w:hAnsi="宋体" w:cstheme="minorEastAsia"/>
                <w:bCs/>
                <w:sz w:val="16"/>
                <w:szCs w:val="16"/>
              </w:rPr>
            </w:pPr>
          </w:p>
        </w:tc>
        <w:tc>
          <w:tcPr>
            <w:tcW w:w="1016" w:type="dxa"/>
            <w:vAlign w:val="center"/>
          </w:tcPr>
          <w:p w14:paraId="5E680AF4">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587909C8">
            <w:pPr>
              <w:jc w:val="both"/>
              <w:textAlignment w:val="center"/>
              <w:rPr>
                <w:rFonts w:ascii="宋体" w:hAnsi="宋体"/>
                <w:sz w:val="16"/>
                <w:szCs w:val="16"/>
              </w:rPr>
            </w:pPr>
            <w:r>
              <w:rPr>
                <w:rFonts w:ascii="宋体" w:hAnsi="宋体"/>
                <w:sz w:val="16"/>
                <w:szCs w:val="16"/>
              </w:rPr>
              <w:t>307</w:t>
            </w:r>
          </w:p>
        </w:tc>
        <w:tc>
          <w:tcPr>
            <w:tcW w:w="0" w:type="auto"/>
            <w:vAlign w:val="center"/>
          </w:tcPr>
          <w:p w14:paraId="36792103">
            <w:pPr>
              <w:jc w:val="both"/>
              <w:textAlignment w:val="center"/>
              <w:rPr>
                <w:rFonts w:ascii="宋体" w:hAnsi="宋体" w:cstheme="minorEastAsia"/>
                <w:bCs/>
                <w:sz w:val="16"/>
                <w:szCs w:val="16"/>
                <w:highlight w:val="yellow"/>
              </w:rPr>
            </w:pPr>
          </w:p>
        </w:tc>
        <w:tc>
          <w:tcPr>
            <w:tcW w:w="0" w:type="auto"/>
            <w:vAlign w:val="center"/>
          </w:tcPr>
          <w:p w14:paraId="5FF44462">
            <w:pPr>
              <w:jc w:val="both"/>
              <w:textAlignment w:val="center"/>
              <w:rPr>
                <w:rFonts w:ascii="宋体" w:hAnsi="宋体" w:cstheme="minorEastAsia"/>
                <w:bCs/>
                <w:sz w:val="16"/>
                <w:szCs w:val="16"/>
                <w:highlight w:val="yellow"/>
              </w:rPr>
            </w:pPr>
          </w:p>
        </w:tc>
        <w:tc>
          <w:tcPr>
            <w:tcW w:w="0" w:type="auto"/>
            <w:vAlign w:val="center"/>
          </w:tcPr>
          <w:p w14:paraId="38F04AB4">
            <w:pPr>
              <w:jc w:val="both"/>
              <w:textAlignment w:val="center"/>
              <w:rPr>
                <w:rFonts w:ascii="宋体" w:hAnsi="宋体" w:cstheme="minorEastAsia"/>
                <w:bCs/>
                <w:sz w:val="16"/>
                <w:szCs w:val="16"/>
                <w:highlight w:val="yellow"/>
              </w:rPr>
            </w:pPr>
          </w:p>
        </w:tc>
        <w:tc>
          <w:tcPr>
            <w:tcW w:w="0" w:type="auto"/>
            <w:shd w:val="clear" w:color="auto" w:fill="auto"/>
            <w:vAlign w:val="center"/>
          </w:tcPr>
          <w:p w14:paraId="756EB2D4">
            <w:pPr>
              <w:snapToGrid w:val="0"/>
              <w:jc w:val="both"/>
              <w:rPr>
                <w:rFonts w:ascii="宋体" w:hAnsi="宋体" w:cstheme="minorEastAsia"/>
                <w:bCs/>
                <w:sz w:val="16"/>
                <w:szCs w:val="16"/>
              </w:rPr>
            </w:pPr>
          </w:p>
        </w:tc>
      </w:tr>
      <w:tr w14:paraId="4A28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79AF74D6">
            <w:pPr>
              <w:snapToGrid w:val="0"/>
              <w:jc w:val="both"/>
              <w:rPr>
                <w:rFonts w:ascii="宋体" w:hAnsi="宋体" w:cstheme="minorEastAsia"/>
                <w:b/>
                <w:bCs/>
                <w:sz w:val="16"/>
                <w:szCs w:val="16"/>
              </w:rPr>
            </w:pPr>
            <w:r>
              <w:rPr>
                <w:rFonts w:hint="eastAsia" w:ascii="宋体" w:hAnsi="宋体" w:cstheme="minorEastAsia"/>
                <w:b/>
                <w:bCs/>
                <w:sz w:val="16"/>
                <w:szCs w:val="16"/>
              </w:rPr>
              <w:t>1.3</w:t>
            </w:r>
          </w:p>
        </w:tc>
        <w:tc>
          <w:tcPr>
            <w:tcW w:w="13138" w:type="dxa"/>
            <w:gridSpan w:val="11"/>
            <w:vAlign w:val="center"/>
          </w:tcPr>
          <w:p w14:paraId="5B2233C5">
            <w:pPr>
              <w:snapToGrid w:val="0"/>
              <w:jc w:val="both"/>
              <w:rPr>
                <w:rFonts w:ascii="宋体" w:hAnsi="宋体" w:cstheme="minorEastAsia"/>
                <w:b/>
                <w:bCs/>
                <w:sz w:val="16"/>
                <w:szCs w:val="16"/>
              </w:rPr>
            </w:pPr>
            <w:r>
              <w:rPr>
                <w:rFonts w:hint="eastAsia" w:ascii="宋体" w:hAnsi="宋体"/>
                <w:b/>
                <w:sz w:val="16"/>
                <w:szCs w:val="16"/>
              </w:rPr>
              <w:t>蒸汽计量表</w:t>
            </w:r>
          </w:p>
        </w:tc>
      </w:tr>
      <w:tr w14:paraId="64DF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5AC52AD8">
            <w:pPr>
              <w:snapToGrid w:val="0"/>
              <w:jc w:val="both"/>
              <w:rPr>
                <w:rFonts w:ascii="宋体" w:hAnsi="宋体" w:cstheme="minorEastAsia"/>
                <w:bCs/>
                <w:sz w:val="16"/>
                <w:szCs w:val="16"/>
              </w:rPr>
            </w:pPr>
            <w:r>
              <w:rPr>
                <w:rFonts w:ascii="宋体" w:hAnsi="宋体"/>
                <w:color w:val="000000"/>
                <w:sz w:val="16"/>
                <w:szCs w:val="16"/>
              </w:rPr>
              <w:t>1.3.1</w:t>
            </w:r>
          </w:p>
        </w:tc>
        <w:tc>
          <w:tcPr>
            <w:tcW w:w="1484" w:type="dxa"/>
            <w:tcBorders>
              <w:top w:val="single" w:color="auto" w:sz="4" w:space="0"/>
            </w:tcBorders>
            <w:vAlign w:val="center"/>
          </w:tcPr>
          <w:p w14:paraId="59099701">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5FF2E8D6">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DN40</w:t>
            </w:r>
            <w:r>
              <w:rPr>
                <w:rFonts w:hint="eastAsia" w:ascii="宋体" w:hAnsi="宋体"/>
                <w:sz w:val="16"/>
                <w:szCs w:val="16"/>
              </w:rPr>
              <w:t>；压力：</w:t>
            </w:r>
            <w:r>
              <w:rPr>
                <w:rFonts w:ascii="宋体" w:hAnsi="宋体"/>
                <w:sz w:val="16"/>
                <w:szCs w:val="16"/>
              </w:rPr>
              <w:t>1.4MPa</w:t>
            </w:r>
            <w:r>
              <w:rPr>
                <w:rFonts w:hint="eastAsia" w:ascii="宋体" w:hAnsi="宋体"/>
                <w:sz w:val="16"/>
                <w:szCs w:val="16"/>
              </w:rPr>
              <w:t>；温度：</w:t>
            </w:r>
            <w:r>
              <w:rPr>
                <w:rFonts w:ascii="宋体" w:hAnsi="宋体"/>
                <w:sz w:val="16"/>
                <w:szCs w:val="16"/>
              </w:rPr>
              <w:t>350</w:t>
            </w:r>
            <w:r>
              <w:rPr>
                <w:rFonts w:hint="eastAsia" w:ascii="宋体" w:hAnsi="宋体"/>
                <w:sz w:val="16"/>
                <w:szCs w:val="16"/>
              </w:rPr>
              <w:t>℃；通信：</w:t>
            </w:r>
            <w:r>
              <w:rPr>
                <w:rFonts w:ascii="宋体" w:hAnsi="宋体"/>
                <w:sz w:val="16"/>
                <w:szCs w:val="16"/>
              </w:rPr>
              <w:t>PROFIBUS PA</w:t>
            </w:r>
            <w:r>
              <w:rPr>
                <w:rFonts w:hint="eastAsia" w:ascii="宋体" w:hAnsi="宋体"/>
                <w:sz w:val="16"/>
                <w:szCs w:val="16"/>
              </w:rPr>
              <w:t>；带模拟量测量模块</w:t>
            </w:r>
          </w:p>
        </w:tc>
        <w:tc>
          <w:tcPr>
            <w:tcW w:w="2022" w:type="dxa"/>
            <w:vAlign w:val="center"/>
          </w:tcPr>
          <w:p w14:paraId="04DB5407">
            <w:pPr>
              <w:snapToGrid w:val="0"/>
              <w:jc w:val="both"/>
              <w:rPr>
                <w:rFonts w:ascii="宋体" w:hAnsi="宋体" w:cstheme="minorEastAsia"/>
                <w:bCs/>
                <w:sz w:val="16"/>
                <w:szCs w:val="16"/>
              </w:rPr>
            </w:pPr>
          </w:p>
        </w:tc>
        <w:tc>
          <w:tcPr>
            <w:tcW w:w="0" w:type="auto"/>
            <w:vAlign w:val="center"/>
          </w:tcPr>
          <w:p w14:paraId="6D3354CD">
            <w:pPr>
              <w:jc w:val="both"/>
              <w:textAlignment w:val="center"/>
              <w:rPr>
                <w:rFonts w:ascii="宋体" w:hAnsi="宋体" w:cstheme="minorEastAsia"/>
                <w:bCs/>
                <w:sz w:val="16"/>
                <w:szCs w:val="16"/>
              </w:rPr>
            </w:pPr>
          </w:p>
        </w:tc>
        <w:tc>
          <w:tcPr>
            <w:tcW w:w="0" w:type="auto"/>
            <w:vAlign w:val="center"/>
          </w:tcPr>
          <w:p w14:paraId="65492884">
            <w:pPr>
              <w:jc w:val="both"/>
              <w:textAlignment w:val="center"/>
              <w:rPr>
                <w:rFonts w:ascii="宋体" w:hAnsi="宋体" w:cstheme="minorEastAsia"/>
                <w:bCs/>
                <w:sz w:val="16"/>
                <w:szCs w:val="16"/>
              </w:rPr>
            </w:pPr>
          </w:p>
        </w:tc>
        <w:tc>
          <w:tcPr>
            <w:tcW w:w="1016" w:type="dxa"/>
            <w:vAlign w:val="center"/>
          </w:tcPr>
          <w:p w14:paraId="42A44D75">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343C64DC">
            <w:pPr>
              <w:jc w:val="both"/>
              <w:textAlignment w:val="center"/>
              <w:rPr>
                <w:rFonts w:ascii="宋体" w:hAnsi="宋体"/>
                <w:sz w:val="16"/>
                <w:szCs w:val="16"/>
              </w:rPr>
            </w:pPr>
            <w:r>
              <w:rPr>
                <w:rFonts w:ascii="宋体" w:hAnsi="宋体"/>
                <w:sz w:val="16"/>
                <w:szCs w:val="16"/>
              </w:rPr>
              <w:t>1</w:t>
            </w:r>
          </w:p>
        </w:tc>
        <w:tc>
          <w:tcPr>
            <w:tcW w:w="0" w:type="auto"/>
            <w:vAlign w:val="center"/>
          </w:tcPr>
          <w:p w14:paraId="0BF62038">
            <w:pPr>
              <w:jc w:val="both"/>
              <w:textAlignment w:val="center"/>
              <w:rPr>
                <w:rFonts w:ascii="宋体" w:hAnsi="宋体" w:cstheme="minorEastAsia"/>
                <w:bCs/>
                <w:sz w:val="16"/>
                <w:szCs w:val="16"/>
                <w:highlight w:val="yellow"/>
              </w:rPr>
            </w:pPr>
          </w:p>
        </w:tc>
        <w:tc>
          <w:tcPr>
            <w:tcW w:w="0" w:type="auto"/>
            <w:vAlign w:val="center"/>
          </w:tcPr>
          <w:p w14:paraId="7C3EC514">
            <w:pPr>
              <w:jc w:val="both"/>
              <w:textAlignment w:val="center"/>
              <w:rPr>
                <w:rFonts w:ascii="宋体" w:hAnsi="宋体" w:cstheme="minorEastAsia"/>
                <w:bCs/>
                <w:sz w:val="16"/>
                <w:szCs w:val="16"/>
                <w:highlight w:val="yellow"/>
              </w:rPr>
            </w:pPr>
          </w:p>
        </w:tc>
        <w:tc>
          <w:tcPr>
            <w:tcW w:w="0" w:type="auto"/>
            <w:vAlign w:val="center"/>
          </w:tcPr>
          <w:p w14:paraId="0F1B8E13">
            <w:pPr>
              <w:jc w:val="both"/>
              <w:textAlignment w:val="center"/>
              <w:rPr>
                <w:rFonts w:ascii="宋体" w:hAnsi="宋体" w:cstheme="minorEastAsia"/>
                <w:bCs/>
                <w:sz w:val="16"/>
                <w:szCs w:val="16"/>
                <w:highlight w:val="yellow"/>
              </w:rPr>
            </w:pPr>
          </w:p>
        </w:tc>
        <w:tc>
          <w:tcPr>
            <w:tcW w:w="0" w:type="auto"/>
            <w:shd w:val="clear" w:color="auto" w:fill="auto"/>
            <w:vAlign w:val="center"/>
          </w:tcPr>
          <w:p w14:paraId="2F26217B">
            <w:pPr>
              <w:snapToGrid w:val="0"/>
              <w:jc w:val="both"/>
              <w:rPr>
                <w:rFonts w:ascii="宋体" w:hAnsi="宋体" w:cstheme="minorEastAsia"/>
                <w:bCs/>
                <w:sz w:val="16"/>
                <w:szCs w:val="16"/>
              </w:rPr>
            </w:pPr>
          </w:p>
        </w:tc>
      </w:tr>
      <w:tr w14:paraId="4F9A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2393158">
            <w:pPr>
              <w:snapToGrid w:val="0"/>
              <w:jc w:val="both"/>
              <w:rPr>
                <w:rFonts w:ascii="宋体" w:hAnsi="宋体" w:cstheme="minorEastAsia"/>
                <w:bCs/>
                <w:sz w:val="16"/>
                <w:szCs w:val="16"/>
              </w:rPr>
            </w:pPr>
            <w:r>
              <w:rPr>
                <w:rFonts w:ascii="宋体" w:hAnsi="宋体"/>
                <w:color w:val="000000"/>
                <w:sz w:val="16"/>
                <w:szCs w:val="16"/>
              </w:rPr>
              <w:t>1.3.2</w:t>
            </w:r>
          </w:p>
        </w:tc>
        <w:tc>
          <w:tcPr>
            <w:tcW w:w="1484" w:type="dxa"/>
            <w:tcBorders>
              <w:top w:val="single" w:color="auto" w:sz="4" w:space="0"/>
            </w:tcBorders>
            <w:vAlign w:val="center"/>
          </w:tcPr>
          <w:p w14:paraId="4726ED10">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3B614E76">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DN50</w:t>
            </w:r>
            <w:r>
              <w:rPr>
                <w:rFonts w:hint="eastAsia" w:ascii="宋体" w:hAnsi="宋体"/>
                <w:sz w:val="16"/>
                <w:szCs w:val="16"/>
              </w:rPr>
              <w:t>；压力：</w:t>
            </w:r>
            <w:r>
              <w:rPr>
                <w:rFonts w:ascii="宋体" w:hAnsi="宋体"/>
                <w:sz w:val="16"/>
                <w:szCs w:val="16"/>
              </w:rPr>
              <w:t>1.1MPa</w:t>
            </w:r>
            <w:r>
              <w:rPr>
                <w:rFonts w:hint="eastAsia" w:ascii="宋体" w:hAnsi="宋体"/>
                <w:sz w:val="16"/>
                <w:szCs w:val="16"/>
              </w:rPr>
              <w:t>；温度：</w:t>
            </w:r>
            <w:r>
              <w:rPr>
                <w:rFonts w:ascii="宋体" w:hAnsi="宋体"/>
                <w:sz w:val="16"/>
                <w:szCs w:val="16"/>
              </w:rPr>
              <w:t>200</w:t>
            </w:r>
            <w:r>
              <w:rPr>
                <w:rFonts w:hint="eastAsia" w:ascii="宋体" w:hAnsi="宋体"/>
                <w:sz w:val="16"/>
                <w:szCs w:val="16"/>
              </w:rPr>
              <w:t>℃；通信：</w:t>
            </w:r>
            <w:r>
              <w:rPr>
                <w:rFonts w:ascii="宋体" w:hAnsi="宋体"/>
                <w:sz w:val="16"/>
                <w:szCs w:val="16"/>
              </w:rPr>
              <w:t>PROFIBUS PA</w:t>
            </w:r>
          </w:p>
        </w:tc>
        <w:tc>
          <w:tcPr>
            <w:tcW w:w="2022" w:type="dxa"/>
            <w:vAlign w:val="center"/>
          </w:tcPr>
          <w:p w14:paraId="1F0BE1EE">
            <w:pPr>
              <w:snapToGrid w:val="0"/>
              <w:jc w:val="both"/>
              <w:rPr>
                <w:rFonts w:ascii="宋体" w:hAnsi="宋体" w:cstheme="minorEastAsia"/>
                <w:bCs/>
                <w:sz w:val="16"/>
                <w:szCs w:val="16"/>
              </w:rPr>
            </w:pPr>
          </w:p>
        </w:tc>
        <w:tc>
          <w:tcPr>
            <w:tcW w:w="0" w:type="auto"/>
            <w:vAlign w:val="center"/>
          </w:tcPr>
          <w:p w14:paraId="25E731DE">
            <w:pPr>
              <w:jc w:val="both"/>
              <w:textAlignment w:val="center"/>
              <w:rPr>
                <w:rFonts w:ascii="宋体" w:hAnsi="宋体" w:cstheme="minorEastAsia"/>
                <w:bCs/>
                <w:sz w:val="16"/>
                <w:szCs w:val="16"/>
              </w:rPr>
            </w:pPr>
          </w:p>
        </w:tc>
        <w:tc>
          <w:tcPr>
            <w:tcW w:w="0" w:type="auto"/>
            <w:vAlign w:val="center"/>
          </w:tcPr>
          <w:p w14:paraId="3170D349">
            <w:pPr>
              <w:jc w:val="both"/>
              <w:textAlignment w:val="center"/>
              <w:rPr>
                <w:rFonts w:ascii="宋体" w:hAnsi="宋体" w:cstheme="minorEastAsia"/>
                <w:bCs/>
                <w:sz w:val="16"/>
                <w:szCs w:val="16"/>
              </w:rPr>
            </w:pPr>
          </w:p>
        </w:tc>
        <w:tc>
          <w:tcPr>
            <w:tcW w:w="1016" w:type="dxa"/>
            <w:vAlign w:val="center"/>
          </w:tcPr>
          <w:p w14:paraId="506675DB">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05C42057">
            <w:pPr>
              <w:jc w:val="both"/>
              <w:textAlignment w:val="center"/>
              <w:rPr>
                <w:rFonts w:ascii="宋体" w:hAnsi="宋体"/>
                <w:sz w:val="16"/>
                <w:szCs w:val="16"/>
              </w:rPr>
            </w:pPr>
            <w:r>
              <w:rPr>
                <w:rFonts w:ascii="宋体" w:hAnsi="宋体"/>
                <w:sz w:val="16"/>
                <w:szCs w:val="16"/>
              </w:rPr>
              <w:t>1</w:t>
            </w:r>
          </w:p>
        </w:tc>
        <w:tc>
          <w:tcPr>
            <w:tcW w:w="0" w:type="auto"/>
            <w:vAlign w:val="center"/>
          </w:tcPr>
          <w:p w14:paraId="50194B8C">
            <w:pPr>
              <w:jc w:val="both"/>
              <w:textAlignment w:val="center"/>
              <w:rPr>
                <w:rFonts w:ascii="宋体" w:hAnsi="宋体" w:cstheme="minorEastAsia"/>
                <w:bCs/>
                <w:sz w:val="16"/>
                <w:szCs w:val="16"/>
                <w:highlight w:val="yellow"/>
              </w:rPr>
            </w:pPr>
          </w:p>
        </w:tc>
        <w:tc>
          <w:tcPr>
            <w:tcW w:w="0" w:type="auto"/>
            <w:vAlign w:val="center"/>
          </w:tcPr>
          <w:p w14:paraId="75741E8F">
            <w:pPr>
              <w:jc w:val="both"/>
              <w:textAlignment w:val="center"/>
              <w:rPr>
                <w:rFonts w:ascii="宋体" w:hAnsi="宋体" w:cstheme="minorEastAsia"/>
                <w:bCs/>
                <w:sz w:val="16"/>
                <w:szCs w:val="16"/>
                <w:highlight w:val="yellow"/>
              </w:rPr>
            </w:pPr>
          </w:p>
        </w:tc>
        <w:tc>
          <w:tcPr>
            <w:tcW w:w="0" w:type="auto"/>
            <w:vAlign w:val="center"/>
          </w:tcPr>
          <w:p w14:paraId="02C558F3">
            <w:pPr>
              <w:jc w:val="both"/>
              <w:textAlignment w:val="center"/>
              <w:rPr>
                <w:rFonts w:ascii="宋体" w:hAnsi="宋体" w:cstheme="minorEastAsia"/>
                <w:bCs/>
                <w:sz w:val="16"/>
                <w:szCs w:val="16"/>
                <w:highlight w:val="yellow"/>
              </w:rPr>
            </w:pPr>
          </w:p>
        </w:tc>
        <w:tc>
          <w:tcPr>
            <w:tcW w:w="0" w:type="auto"/>
            <w:shd w:val="clear" w:color="auto" w:fill="auto"/>
            <w:vAlign w:val="center"/>
          </w:tcPr>
          <w:p w14:paraId="67F225A3">
            <w:pPr>
              <w:snapToGrid w:val="0"/>
              <w:jc w:val="both"/>
              <w:rPr>
                <w:rFonts w:ascii="宋体" w:hAnsi="宋体" w:cstheme="minorEastAsia"/>
                <w:bCs/>
                <w:sz w:val="16"/>
                <w:szCs w:val="16"/>
              </w:rPr>
            </w:pPr>
          </w:p>
        </w:tc>
      </w:tr>
      <w:tr w14:paraId="1961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7F45E63B">
            <w:pPr>
              <w:snapToGrid w:val="0"/>
              <w:jc w:val="both"/>
              <w:rPr>
                <w:rFonts w:ascii="宋体" w:hAnsi="宋体" w:cstheme="minorEastAsia"/>
                <w:bCs/>
                <w:sz w:val="16"/>
                <w:szCs w:val="16"/>
              </w:rPr>
            </w:pPr>
            <w:r>
              <w:rPr>
                <w:rFonts w:ascii="宋体" w:hAnsi="宋体"/>
                <w:color w:val="000000"/>
                <w:sz w:val="16"/>
                <w:szCs w:val="16"/>
              </w:rPr>
              <w:t>1.3.3</w:t>
            </w:r>
          </w:p>
        </w:tc>
        <w:tc>
          <w:tcPr>
            <w:tcW w:w="1484" w:type="dxa"/>
            <w:tcBorders>
              <w:top w:val="single" w:color="auto" w:sz="4" w:space="0"/>
            </w:tcBorders>
            <w:vAlign w:val="center"/>
          </w:tcPr>
          <w:p w14:paraId="379E53A7">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4FFC0F00">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DN65</w:t>
            </w:r>
            <w:r>
              <w:rPr>
                <w:rFonts w:hint="eastAsia" w:ascii="宋体" w:hAnsi="宋体"/>
                <w:sz w:val="16"/>
                <w:szCs w:val="16"/>
              </w:rPr>
              <w:t>；压力：</w:t>
            </w:r>
            <w:r>
              <w:rPr>
                <w:rFonts w:ascii="宋体" w:hAnsi="宋体"/>
                <w:sz w:val="16"/>
                <w:szCs w:val="16"/>
              </w:rPr>
              <w:t>1.1MPa</w:t>
            </w:r>
            <w:r>
              <w:rPr>
                <w:rFonts w:hint="eastAsia" w:ascii="宋体" w:hAnsi="宋体"/>
                <w:sz w:val="16"/>
                <w:szCs w:val="16"/>
              </w:rPr>
              <w:t>；温度：</w:t>
            </w:r>
            <w:r>
              <w:rPr>
                <w:rFonts w:ascii="宋体" w:hAnsi="宋体"/>
                <w:sz w:val="16"/>
                <w:szCs w:val="16"/>
              </w:rPr>
              <w:t>200</w:t>
            </w:r>
            <w:r>
              <w:rPr>
                <w:rFonts w:hint="eastAsia" w:ascii="宋体" w:hAnsi="宋体"/>
                <w:sz w:val="16"/>
                <w:szCs w:val="16"/>
              </w:rPr>
              <w:t>℃；通信：</w:t>
            </w:r>
            <w:r>
              <w:rPr>
                <w:rFonts w:ascii="宋体" w:hAnsi="宋体"/>
                <w:sz w:val="16"/>
                <w:szCs w:val="16"/>
              </w:rPr>
              <w:t>PROFIBUS PA</w:t>
            </w:r>
          </w:p>
        </w:tc>
        <w:tc>
          <w:tcPr>
            <w:tcW w:w="2022" w:type="dxa"/>
            <w:vAlign w:val="center"/>
          </w:tcPr>
          <w:p w14:paraId="13D84AF8">
            <w:pPr>
              <w:snapToGrid w:val="0"/>
              <w:jc w:val="both"/>
              <w:rPr>
                <w:rFonts w:ascii="宋体" w:hAnsi="宋体" w:cstheme="minorEastAsia"/>
                <w:bCs/>
                <w:sz w:val="16"/>
                <w:szCs w:val="16"/>
              </w:rPr>
            </w:pPr>
          </w:p>
        </w:tc>
        <w:tc>
          <w:tcPr>
            <w:tcW w:w="0" w:type="auto"/>
            <w:vAlign w:val="center"/>
          </w:tcPr>
          <w:p w14:paraId="6BC0C902">
            <w:pPr>
              <w:jc w:val="both"/>
              <w:textAlignment w:val="center"/>
              <w:rPr>
                <w:rFonts w:ascii="宋体" w:hAnsi="宋体" w:cstheme="minorEastAsia"/>
                <w:bCs/>
                <w:sz w:val="16"/>
                <w:szCs w:val="16"/>
              </w:rPr>
            </w:pPr>
          </w:p>
        </w:tc>
        <w:tc>
          <w:tcPr>
            <w:tcW w:w="0" w:type="auto"/>
            <w:vAlign w:val="center"/>
          </w:tcPr>
          <w:p w14:paraId="5DEC456A">
            <w:pPr>
              <w:jc w:val="both"/>
              <w:textAlignment w:val="center"/>
              <w:rPr>
                <w:rFonts w:ascii="宋体" w:hAnsi="宋体" w:cstheme="minorEastAsia"/>
                <w:bCs/>
                <w:sz w:val="16"/>
                <w:szCs w:val="16"/>
              </w:rPr>
            </w:pPr>
          </w:p>
        </w:tc>
        <w:tc>
          <w:tcPr>
            <w:tcW w:w="1016" w:type="dxa"/>
            <w:vAlign w:val="center"/>
          </w:tcPr>
          <w:p w14:paraId="4C2FDEBB">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63808300">
            <w:pPr>
              <w:jc w:val="both"/>
              <w:textAlignment w:val="center"/>
              <w:rPr>
                <w:rFonts w:ascii="宋体" w:hAnsi="宋体"/>
                <w:sz w:val="16"/>
                <w:szCs w:val="16"/>
              </w:rPr>
            </w:pPr>
            <w:r>
              <w:rPr>
                <w:rFonts w:ascii="宋体" w:hAnsi="宋体"/>
                <w:sz w:val="16"/>
                <w:szCs w:val="16"/>
              </w:rPr>
              <w:t>1</w:t>
            </w:r>
          </w:p>
        </w:tc>
        <w:tc>
          <w:tcPr>
            <w:tcW w:w="0" w:type="auto"/>
            <w:vAlign w:val="center"/>
          </w:tcPr>
          <w:p w14:paraId="542E7363">
            <w:pPr>
              <w:jc w:val="both"/>
              <w:textAlignment w:val="center"/>
              <w:rPr>
                <w:rFonts w:ascii="宋体" w:hAnsi="宋体" w:cstheme="minorEastAsia"/>
                <w:bCs/>
                <w:sz w:val="16"/>
                <w:szCs w:val="16"/>
                <w:highlight w:val="yellow"/>
              </w:rPr>
            </w:pPr>
          </w:p>
        </w:tc>
        <w:tc>
          <w:tcPr>
            <w:tcW w:w="0" w:type="auto"/>
            <w:vAlign w:val="center"/>
          </w:tcPr>
          <w:p w14:paraId="150D7562">
            <w:pPr>
              <w:jc w:val="both"/>
              <w:textAlignment w:val="center"/>
              <w:rPr>
                <w:rFonts w:ascii="宋体" w:hAnsi="宋体" w:cstheme="minorEastAsia"/>
                <w:bCs/>
                <w:sz w:val="16"/>
                <w:szCs w:val="16"/>
                <w:highlight w:val="yellow"/>
              </w:rPr>
            </w:pPr>
          </w:p>
        </w:tc>
        <w:tc>
          <w:tcPr>
            <w:tcW w:w="0" w:type="auto"/>
            <w:vAlign w:val="center"/>
          </w:tcPr>
          <w:p w14:paraId="405CF0F7">
            <w:pPr>
              <w:jc w:val="both"/>
              <w:textAlignment w:val="center"/>
              <w:rPr>
                <w:rFonts w:ascii="宋体" w:hAnsi="宋体" w:cstheme="minorEastAsia"/>
                <w:bCs/>
                <w:sz w:val="16"/>
                <w:szCs w:val="16"/>
                <w:highlight w:val="yellow"/>
              </w:rPr>
            </w:pPr>
          </w:p>
        </w:tc>
        <w:tc>
          <w:tcPr>
            <w:tcW w:w="0" w:type="auto"/>
            <w:shd w:val="clear" w:color="auto" w:fill="auto"/>
            <w:vAlign w:val="center"/>
          </w:tcPr>
          <w:p w14:paraId="48950EB1">
            <w:pPr>
              <w:snapToGrid w:val="0"/>
              <w:jc w:val="both"/>
              <w:rPr>
                <w:rFonts w:ascii="宋体" w:hAnsi="宋体" w:cstheme="minorEastAsia"/>
                <w:bCs/>
                <w:sz w:val="16"/>
                <w:szCs w:val="16"/>
              </w:rPr>
            </w:pPr>
          </w:p>
        </w:tc>
      </w:tr>
      <w:tr w14:paraId="1E32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4DEF32DE">
            <w:pPr>
              <w:snapToGrid w:val="0"/>
              <w:jc w:val="both"/>
              <w:rPr>
                <w:rFonts w:ascii="宋体" w:hAnsi="宋体" w:cstheme="minorEastAsia"/>
                <w:bCs/>
                <w:sz w:val="16"/>
                <w:szCs w:val="16"/>
              </w:rPr>
            </w:pPr>
            <w:r>
              <w:rPr>
                <w:rFonts w:ascii="宋体" w:hAnsi="宋体"/>
                <w:color w:val="000000"/>
                <w:sz w:val="16"/>
                <w:szCs w:val="16"/>
              </w:rPr>
              <w:t>1.3.4</w:t>
            </w:r>
          </w:p>
        </w:tc>
        <w:tc>
          <w:tcPr>
            <w:tcW w:w="1484" w:type="dxa"/>
            <w:tcBorders>
              <w:top w:val="single" w:color="auto" w:sz="4" w:space="0"/>
            </w:tcBorders>
            <w:vAlign w:val="center"/>
          </w:tcPr>
          <w:p w14:paraId="6C7F427E">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6926BF6D">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DN80</w:t>
            </w:r>
            <w:r>
              <w:rPr>
                <w:rFonts w:hint="eastAsia" w:ascii="宋体" w:hAnsi="宋体"/>
                <w:sz w:val="16"/>
                <w:szCs w:val="16"/>
              </w:rPr>
              <w:t>；压力：</w:t>
            </w:r>
            <w:r>
              <w:rPr>
                <w:rFonts w:ascii="宋体" w:hAnsi="宋体"/>
                <w:sz w:val="16"/>
                <w:szCs w:val="16"/>
              </w:rPr>
              <w:t>1.1MPa</w:t>
            </w:r>
            <w:r>
              <w:rPr>
                <w:rFonts w:hint="eastAsia" w:ascii="宋体" w:hAnsi="宋体"/>
                <w:sz w:val="16"/>
                <w:szCs w:val="16"/>
              </w:rPr>
              <w:t>；温度：</w:t>
            </w:r>
            <w:r>
              <w:rPr>
                <w:rFonts w:ascii="宋体" w:hAnsi="宋体"/>
                <w:sz w:val="16"/>
                <w:szCs w:val="16"/>
              </w:rPr>
              <w:t>200</w:t>
            </w:r>
            <w:r>
              <w:rPr>
                <w:rFonts w:hint="eastAsia" w:ascii="宋体" w:hAnsi="宋体"/>
                <w:sz w:val="16"/>
                <w:szCs w:val="16"/>
              </w:rPr>
              <w:t>℃；通信：</w:t>
            </w:r>
            <w:r>
              <w:rPr>
                <w:rFonts w:ascii="宋体" w:hAnsi="宋体"/>
                <w:sz w:val="16"/>
                <w:szCs w:val="16"/>
              </w:rPr>
              <w:t>PROFIBUS PA</w:t>
            </w:r>
          </w:p>
        </w:tc>
        <w:tc>
          <w:tcPr>
            <w:tcW w:w="2022" w:type="dxa"/>
            <w:vAlign w:val="center"/>
          </w:tcPr>
          <w:p w14:paraId="0E8AA8EB">
            <w:pPr>
              <w:snapToGrid w:val="0"/>
              <w:jc w:val="both"/>
              <w:rPr>
                <w:rFonts w:ascii="宋体" w:hAnsi="宋体" w:cstheme="minorEastAsia"/>
                <w:bCs/>
                <w:sz w:val="16"/>
                <w:szCs w:val="16"/>
              </w:rPr>
            </w:pPr>
          </w:p>
        </w:tc>
        <w:tc>
          <w:tcPr>
            <w:tcW w:w="0" w:type="auto"/>
            <w:vAlign w:val="center"/>
          </w:tcPr>
          <w:p w14:paraId="787EFD8F">
            <w:pPr>
              <w:jc w:val="both"/>
              <w:textAlignment w:val="center"/>
              <w:rPr>
                <w:rFonts w:ascii="宋体" w:hAnsi="宋体" w:cstheme="minorEastAsia"/>
                <w:bCs/>
                <w:sz w:val="16"/>
                <w:szCs w:val="16"/>
              </w:rPr>
            </w:pPr>
          </w:p>
        </w:tc>
        <w:tc>
          <w:tcPr>
            <w:tcW w:w="0" w:type="auto"/>
            <w:vAlign w:val="center"/>
          </w:tcPr>
          <w:p w14:paraId="3AD24E03">
            <w:pPr>
              <w:jc w:val="both"/>
              <w:textAlignment w:val="center"/>
              <w:rPr>
                <w:rFonts w:ascii="宋体" w:hAnsi="宋体" w:cstheme="minorEastAsia"/>
                <w:bCs/>
                <w:sz w:val="16"/>
                <w:szCs w:val="16"/>
              </w:rPr>
            </w:pPr>
          </w:p>
        </w:tc>
        <w:tc>
          <w:tcPr>
            <w:tcW w:w="1016" w:type="dxa"/>
            <w:vAlign w:val="center"/>
          </w:tcPr>
          <w:p w14:paraId="310794B2">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0AE02EB5">
            <w:pPr>
              <w:jc w:val="both"/>
              <w:textAlignment w:val="center"/>
              <w:rPr>
                <w:rFonts w:ascii="宋体" w:hAnsi="宋体"/>
                <w:sz w:val="16"/>
                <w:szCs w:val="16"/>
              </w:rPr>
            </w:pPr>
            <w:r>
              <w:rPr>
                <w:rFonts w:ascii="宋体" w:hAnsi="宋体"/>
                <w:sz w:val="16"/>
                <w:szCs w:val="16"/>
              </w:rPr>
              <w:t>4</w:t>
            </w:r>
          </w:p>
        </w:tc>
        <w:tc>
          <w:tcPr>
            <w:tcW w:w="0" w:type="auto"/>
            <w:vAlign w:val="center"/>
          </w:tcPr>
          <w:p w14:paraId="556C9884">
            <w:pPr>
              <w:jc w:val="both"/>
              <w:textAlignment w:val="center"/>
              <w:rPr>
                <w:rFonts w:ascii="宋体" w:hAnsi="宋体" w:cstheme="minorEastAsia"/>
                <w:bCs/>
                <w:sz w:val="16"/>
                <w:szCs w:val="16"/>
                <w:highlight w:val="yellow"/>
              </w:rPr>
            </w:pPr>
          </w:p>
        </w:tc>
        <w:tc>
          <w:tcPr>
            <w:tcW w:w="0" w:type="auto"/>
            <w:vAlign w:val="center"/>
          </w:tcPr>
          <w:p w14:paraId="4223D3B9">
            <w:pPr>
              <w:jc w:val="both"/>
              <w:textAlignment w:val="center"/>
              <w:rPr>
                <w:rFonts w:ascii="宋体" w:hAnsi="宋体" w:cstheme="minorEastAsia"/>
                <w:bCs/>
                <w:sz w:val="16"/>
                <w:szCs w:val="16"/>
                <w:highlight w:val="yellow"/>
              </w:rPr>
            </w:pPr>
          </w:p>
        </w:tc>
        <w:tc>
          <w:tcPr>
            <w:tcW w:w="0" w:type="auto"/>
            <w:vAlign w:val="center"/>
          </w:tcPr>
          <w:p w14:paraId="737E3CE4">
            <w:pPr>
              <w:jc w:val="both"/>
              <w:textAlignment w:val="center"/>
              <w:rPr>
                <w:rFonts w:ascii="宋体" w:hAnsi="宋体" w:cstheme="minorEastAsia"/>
                <w:bCs/>
                <w:sz w:val="16"/>
                <w:szCs w:val="16"/>
                <w:highlight w:val="yellow"/>
              </w:rPr>
            </w:pPr>
          </w:p>
        </w:tc>
        <w:tc>
          <w:tcPr>
            <w:tcW w:w="0" w:type="auto"/>
            <w:shd w:val="clear" w:color="auto" w:fill="auto"/>
            <w:vAlign w:val="center"/>
          </w:tcPr>
          <w:p w14:paraId="4CF2EB1E">
            <w:pPr>
              <w:snapToGrid w:val="0"/>
              <w:jc w:val="both"/>
              <w:rPr>
                <w:rFonts w:ascii="宋体" w:hAnsi="宋体" w:cstheme="minorEastAsia"/>
                <w:bCs/>
                <w:sz w:val="16"/>
                <w:szCs w:val="16"/>
              </w:rPr>
            </w:pPr>
          </w:p>
        </w:tc>
      </w:tr>
      <w:tr w14:paraId="6D50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A35A58B">
            <w:pPr>
              <w:snapToGrid w:val="0"/>
              <w:jc w:val="both"/>
              <w:rPr>
                <w:rFonts w:ascii="宋体" w:hAnsi="宋体" w:cstheme="minorEastAsia"/>
                <w:bCs/>
                <w:sz w:val="16"/>
                <w:szCs w:val="16"/>
              </w:rPr>
            </w:pPr>
            <w:r>
              <w:rPr>
                <w:rFonts w:ascii="宋体" w:hAnsi="宋体"/>
                <w:color w:val="000000"/>
                <w:sz w:val="16"/>
                <w:szCs w:val="16"/>
              </w:rPr>
              <w:t>1.3.5</w:t>
            </w:r>
          </w:p>
        </w:tc>
        <w:tc>
          <w:tcPr>
            <w:tcW w:w="1484" w:type="dxa"/>
            <w:tcBorders>
              <w:top w:val="single" w:color="auto" w:sz="4" w:space="0"/>
            </w:tcBorders>
            <w:vAlign w:val="center"/>
          </w:tcPr>
          <w:p w14:paraId="171C7E85">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3B2E708F">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DN80</w:t>
            </w:r>
            <w:r>
              <w:rPr>
                <w:rFonts w:hint="eastAsia" w:ascii="宋体" w:hAnsi="宋体"/>
                <w:sz w:val="16"/>
                <w:szCs w:val="16"/>
              </w:rPr>
              <w:t>；压力：</w:t>
            </w:r>
            <w:r>
              <w:rPr>
                <w:rFonts w:ascii="宋体" w:hAnsi="宋体"/>
                <w:sz w:val="16"/>
                <w:szCs w:val="16"/>
              </w:rPr>
              <w:t>1.1MPa</w:t>
            </w:r>
            <w:r>
              <w:rPr>
                <w:rFonts w:hint="eastAsia" w:ascii="宋体" w:hAnsi="宋体"/>
                <w:sz w:val="16"/>
                <w:szCs w:val="16"/>
              </w:rPr>
              <w:t>；温度：</w:t>
            </w:r>
            <w:r>
              <w:rPr>
                <w:rFonts w:ascii="宋体" w:hAnsi="宋体"/>
                <w:sz w:val="16"/>
                <w:szCs w:val="16"/>
              </w:rPr>
              <w:t>200</w:t>
            </w:r>
            <w:r>
              <w:rPr>
                <w:rFonts w:hint="eastAsia" w:ascii="宋体" w:hAnsi="宋体"/>
                <w:sz w:val="16"/>
                <w:szCs w:val="16"/>
              </w:rPr>
              <w:t>℃；通信：</w:t>
            </w:r>
            <w:r>
              <w:rPr>
                <w:rFonts w:ascii="宋体" w:hAnsi="宋体"/>
                <w:sz w:val="16"/>
                <w:szCs w:val="16"/>
              </w:rPr>
              <w:t>PROFIBUS PA</w:t>
            </w:r>
            <w:r>
              <w:rPr>
                <w:rFonts w:hint="eastAsia" w:ascii="宋体" w:hAnsi="宋体"/>
                <w:sz w:val="16"/>
                <w:szCs w:val="16"/>
              </w:rPr>
              <w:t>；带模拟量测量模块</w:t>
            </w:r>
          </w:p>
        </w:tc>
        <w:tc>
          <w:tcPr>
            <w:tcW w:w="2022" w:type="dxa"/>
            <w:vAlign w:val="center"/>
          </w:tcPr>
          <w:p w14:paraId="7FA0F949">
            <w:pPr>
              <w:snapToGrid w:val="0"/>
              <w:jc w:val="both"/>
              <w:rPr>
                <w:rFonts w:ascii="宋体" w:hAnsi="宋体" w:cstheme="minorEastAsia"/>
                <w:bCs/>
                <w:sz w:val="16"/>
                <w:szCs w:val="16"/>
              </w:rPr>
            </w:pPr>
          </w:p>
        </w:tc>
        <w:tc>
          <w:tcPr>
            <w:tcW w:w="0" w:type="auto"/>
            <w:vAlign w:val="center"/>
          </w:tcPr>
          <w:p w14:paraId="5D884F77">
            <w:pPr>
              <w:jc w:val="both"/>
              <w:textAlignment w:val="center"/>
              <w:rPr>
                <w:rFonts w:ascii="宋体" w:hAnsi="宋体" w:cstheme="minorEastAsia"/>
                <w:bCs/>
                <w:sz w:val="16"/>
                <w:szCs w:val="16"/>
              </w:rPr>
            </w:pPr>
          </w:p>
        </w:tc>
        <w:tc>
          <w:tcPr>
            <w:tcW w:w="0" w:type="auto"/>
            <w:vAlign w:val="center"/>
          </w:tcPr>
          <w:p w14:paraId="515D8270">
            <w:pPr>
              <w:jc w:val="both"/>
              <w:textAlignment w:val="center"/>
              <w:rPr>
                <w:rFonts w:ascii="宋体" w:hAnsi="宋体" w:cstheme="minorEastAsia"/>
                <w:bCs/>
                <w:sz w:val="16"/>
                <w:szCs w:val="16"/>
              </w:rPr>
            </w:pPr>
          </w:p>
        </w:tc>
        <w:tc>
          <w:tcPr>
            <w:tcW w:w="1016" w:type="dxa"/>
            <w:vAlign w:val="center"/>
          </w:tcPr>
          <w:p w14:paraId="0B61E658">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45CE87C6">
            <w:pPr>
              <w:jc w:val="both"/>
              <w:textAlignment w:val="center"/>
              <w:rPr>
                <w:rFonts w:ascii="宋体" w:hAnsi="宋体"/>
                <w:sz w:val="16"/>
                <w:szCs w:val="16"/>
              </w:rPr>
            </w:pPr>
            <w:r>
              <w:rPr>
                <w:rFonts w:ascii="宋体" w:hAnsi="宋体"/>
                <w:sz w:val="16"/>
                <w:szCs w:val="16"/>
              </w:rPr>
              <w:t>1</w:t>
            </w:r>
          </w:p>
        </w:tc>
        <w:tc>
          <w:tcPr>
            <w:tcW w:w="0" w:type="auto"/>
            <w:vAlign w:val="center"/>
          </w:tcPr>
          <w:p w14:paraId="1F3B8D8D">
            <w:pPr>
              <w:jc w:val="both"/>
              <w:textAlignment w:val="center"/>
              <w:rPr>
                <w:rFonts w:ascii="宋体" w:hAnsi="宋体" w:cstheme="minorEastAsia"/>
                <w:bCs/>
                <w:sz w:val="16"/>
                <w:szCs w:val="16"/>
                <w:highlight w:val="yellow"/>
              </w:rPr>
            </w:pPr>
          </w:p>
        </w:tc>
        <w:tc>
          <w:tcPr>
            <w:tcW w:w="0" w:type="auto"/>
            <w:vAlign w:val="center"/>
          </w:tcPr>
          <w:p w14:paraId="4AB20CCD">
            <w:pPr>
              <w:jc w:val="both"/>
              <w:textAlignment w:val="center"/>
              <w:rPr>
                <w:rFonts w:ascii="宋体" w:hAnsi="宋体" w:cstheme="minorEastAsia"/>
                <w:bCs/>
                <w:sz w:val="16"/>
                <w:szCs w:val="16"/>
                <w:highlight w:val="yellow"/>
              </w:rPr>
            </w:pPr>
          </w:p>
        </w:tc>
        <w:tc>
          <w:tcPr>
            <w:tcW w:w="0" w:type="auto"/>
            <w:vAlign w:val="center"/>
          </w:tcPr>
          <w:p w14:paraId="2BA1DF41">
            <w:pPr>
              <w:jc w:val="both"/>
              <w:textAlignment w:val="center"/>
              <w:rPr>
                <w:rFonts w:ascii="宋体" w:hAnsi="宋体" w:cstheme="minorEastAsia"/>
                <w:bCs/>
                <w:sz w:val="16"/>
                <w:szCs w:val="16"/>
                <w:highlight w:val="yellow"/>
              </w:rPr>
            </w:pPr>
          </w:p>
        </w:tc>
        <w:tc>
          <w:tcPr>
            <w:tcW w:w="0" w:type="auto"/>
            <w:shd w:val="clear" w:color="auto" w:fill="auto"/>
            <w:vAlign w:val="center"/>
          </w:tcPr>
          <w:p w14:paraId="7BFE7EBA">
            <w:pPr>
              <w:snapToGrid w:val="0"/>
              <w:jc w:val="both"/>
              <w:rPr>
                <w:rFonts w:ascii="宋体" w:hAnsi="宋体" w:cstheme="minorEastAsia"/>
                <w:bCs/>
                <w:sz w:val="16"/>
                <w:szCs w:val="16"/>
              </w:rPr>
            </w:pPr>
          </w:p>
        </w:tc>
      </w:tr>
      <w:tr w14:paraId="2F30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78A6A68">
            <w:pPr>
              <w:snapToGrid w:val="0"/>
              <w:jc w:val="both"/>
              <w:rPr>
                <w:rFonts w:ascii="宋体" w:hAnsi="宋体" w:cstheme="minorEastAsia"/>
                <w:bCs/>
                <w:sz w:val="16"/>
                <w:szCs w:val="16"/>
              </w:rPr>
            </w:pPr>
            <w:r>
              <w:rPr>
                <w:rFonts w:ascii="宋体" w:hAnsi="宋体"/>
                <w:color w:val="000000"/>
                <w:sz w:val="16"/>
                <w:szCs w:val="16"/>
              </w:rPr>
              <w:t>1.3.6</w:t>
            </w:r>
          </w:p>
        </w:tc>
        <w:tc>
          <w:tcPr>
            <w:tcW w:w="1484" w:type="dxa"/>
            <w:tcBorders>
              <w:top w:val="single" w:color="auto" w:sz="4" w:space="0"/>
            </w:tcBorders>
            <w:vAlign w:val="center"/>
          </w:tcPr>
          <w:p w14:paraId="2420F4EB">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1F60ACBF">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DN150</w:t>
            </w:r>
            <w:r>
              <w:rPr>
                <w:rFonts w:hint="eastAsia" w:ascii="宋体" w:hAnsi="宋体"/>
                <w:sz w:val="16"/>
                <w:szCs w:val="16"/>
              </w:rPr>
              <w:t>；压力：</w:t>
            </w:r>
            <w:r>
              <w:rPr>
                <w:rFonts w:ascii="宋体" w:hAnsi="宋体"/>
                <w:sz w:val="16"/>
                <w:szCs w:val="16"/>
              </w:rPr>
              <w:t>1.1MPa</w:t>
            </w:r>
            <w:r>
              <w:rPr>
                <w:rFonts w:hint="eastAsia" w:ascii="宋体" w:hAnsi="宋体"/>
                <w:sz w:val="16"/>
                <w:szCs w:val="16"/>
              </w:rPr>
              <w:t>；温度：</w:t>
            </w:r>
            <w:r>
              <w:rPr>
                <w:rFonts w:ascii="宋体" w:hAnsi="宋体"/>
                <w:sz w:val="16"/>
                <w:szCs w:val="16"/>
              </w:rPr>
              <w:t>200</w:t>
            </w:r>
            <w:r>
              <w:rPr>
                <w:rFonts w:hint="eastAsia" w:ascii="宋体" w:hAnsi="宋体"/>
                <w:sz w:val="16"/>
                <w:szCs w:val="16"/>
              </w:rPr>
              <w:t>℃；通信：</w:t>
            </w:r>
            <w:r>
              <w:rPr>
                <w:rFonts w:ascii="宋体" w:hAnsi="宋体"/>
                <w:sz w:val="16"/>
                <w:szCs w:val="16"/>
              </w:rPr>
              <w:t>PROFIBUS PA</w:t>
            </w:r>
            <w:r>
              <w:rPr>
                <w:rFonts w:hint="eastAsia" w:ascii="宋体" w:hAnsi="宋体"/>
                <w:sz w:val="16"/>
                <w:szCs w:val="16"/>
              </w:rPr>
              <w:t>；带模拟量测量模块</w:t>
            </w:r>
          </w:p>
        </w:tc>
        <w:tc>
          <w:tcPr>
            <w:tcW w:w="2022" w:type="dxa"/>
            <w:vAlign w:val="center"/>
          </w:tcPr>
          <w:p w14:paraId="5ACFD8E7">
            <w:pPr>
              <w:snapToGrid w:val="0"/>
              <w:jc w:val="both"/>
              <w:rPr>
                <w:rFonts w:ascii="宋体" w:hAnsi="宋体" w:cstheme="minorEastAsia"/>
                <w:bCs/>
                <w:sz w:val="16"/>
                <w:szCs w:val="16"/>
              </w:rPr>
            </w:pPr>
          </w:p>
        </w:tc>
        <w:tc>
          <w:tcPr>
            <w:tcW w:w="0" w:type="auto"/>
            <w:vAlign w:val="center"/>
          </w:tcPr>
          <w:p w14:paraId="72C0F4A0">
            <w:pPr>
              <w:jc w:val="both"/>
              <w:textAlignment w:val="center"/>
              <w:rPr>
                <w:rFonts w:ascii="宋体" w:hAnsi="宋体" w:cstheme="minorEastAsia"/>
                <w:bCs/>
                <w:sz w:val="16"/>
                <w:szCs w:val="16"/>
              </w:rPr>
            </w:pPr>
          </w:p>
        </w:tc>
        <w:tc>
          <w:tcPr>
            <w:tcW w:w="0" w:type="auto"/>
            <w:vAlign w:val="center"/>
          </w:tcPr>
          <w:p w14:paraId="6F758EBD">
            <w:pPr>
              <w:jc w:val="both"/>
              <w:textAlignment w:val="center"/>
              <w:rPr>
                <w:rFonts w:ascii="宋体" w:hAnsi="宋体" w:cstheme="minorEastAsia"/>
                <w:bCs/>
                <w:sz w:val="16"/>
                <w:szCs w:val="16"/>
              </w:rPr>
            </w:pPr>
          </w:p>
        </w:tc>
        <w:tc>
          <w:tcPr>
            <w:tcW w:w="1016" w:type="dxa"/>
            <w:vAlign w:val="center"/>
          </w:tcPr>
          <w:p w14:paraId="0BF1E92A">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5A8AB783">
            <w:pPr>
              <w:jc w:val="both"/>
              <w:textAlignment w:val="center"/>
              <w:rPr>
                <w:rFonts w:ascii="宋体" w:hAnsi="宋体"/>
                <w:sz w:val="16"/>
                <w:szCs w:val="16"/>
              </w:rPr>
            </w:pPr>
            <w:r>
              <w:rPr>
                <w:rFonts w:ascii="宋体" w:hAnsi="宋体"/>
                <w:sz w:val="16"/>
                <w:szCs w:val="16"/>
              </w:rPr>
              <w:t>1</w:t>
            </w:r>
          </w:p>
        </w:tc>
        <w:tc>
          <w:tcPr>
            <w:tcW w:w="0" w:type="auto"/>
            <w:vAlign w:val="center"/>
          </w:tcPr>
          <w:p w14:paraId="16AF12D4">
            <w:pPr>
              <w:jc w:val="both"/>
              <w:textAlignment w:val="center"/>
              <w:rPr>
                <w:rFonts w:ascii="宋体" w:hAnsi="宋体" w:cstheme="minorEastAsia"/>
                <w:bCs/>
                <w:sz w:val="16"/>
                <w:szCs w:val="16"/>
                <w:highlight w:val="yellow"/>
              </w:rPr>
            </w:pPr>
          </w:p>
        </w:tc>
        <w:tc>
          <w:tcPr>
            <w:tcW w:w="0" w:type="auto"/>
            <w:vAlign w:val="center"/>
          </w:tcPr>
          <w:p w14:paraId="55721A9E">
            <w:pPr>
              <w:jc w:val="both"/>
              <w:textAlignment w:val="center"/>
              <w:rPr>
                <w:rFonts w:ascii="宋体" w:hAnsi="宋体" w:cstheme="minorEastAsia"/>
                <w:bCs/>
                <w:sz w:val="16"/>
                <w:szCs w:val="16"/>
                <w:highlight w:val="yellow"/>
              </w:rPr>
            </w:pPr>
          </w:p>
        </w:tc>
        <w:tc>
          <w:tcPr>
            <w:tcW w:w="0" w:type="auto"/>
            <w:vAlign w:val="center"/>
          </w:tcPr>
          <w:p w14:paraId="157403CE">
            <w:pPr>
              <w:jc w:val="both"/>
              <w:textAlignment w:val="center"/>
              <w:rPr>
                <w:rFonts w:ascii="宋体" w:hAnsi="宋体" w:cstheme="minorEastAsia"/>
                <w:bCs/>
                <w:sz w:val="16"/>
                <w:szCs w:val="16"/>
                <w:highlight w:val="yellow"/>
              </w:rPr>
            </w:pPr>
          </w:p>
        </w:tc>
        <w:tc>
          <w:tcPr>
            <w:tcW w:w="0" w:type="auto"/>
            <w:shd w:val="clear" w:color="auto" w:fill="auto"/>
            <w:vAlign w:val="center"/>
          </w:tcPr>
          <w:p w14:paraId="1EC2B899">
            <w:pPr>
              <w:snapToGrid w:val="0"/>
              <w:jc w:val="both"/>
              <w:rPr>
                <w:rFonts w:ascii="宋体" w:hAnsi="宋体" w:cstheme="minorEastAsia"/>
                <w:bCs/>
                <w:sz w:val="16"/>
                <w:szCs w:val="16"/>
              </w:rPr>
            </w:pPr>
          </w:p>
        </w:tc>
      </w:tr>
      <w:tr w14:paraId="0DA2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677EE61">
            <w:pPr>
              <w:snapToGrid w:val="0"/>
              <w:jc w:val="both"/>
              <w:rPr>
                <w:rFonts w:ascii="宋体" w:hAnsi="宋体" w:cstheme="minorEastAsia"/>
                <w:bCs/>
                <w:sz w:val="16"/>
                <w:szCs w:val="16"/>
              </w:rPr>
            </w:pPr>
            <w:r>
              <w:rPr>
                <w:rFonts w:ascii="宋体" w:hAnsi="宋体"/>
                <w:color w:val="000000"/>
                <w:sz w:val="16"/>
                <w:szCs w:val="16"/>
              </w:rPr>
              <w:t>1.3.7</w:t>
            </w:r>
          </w:p>
        </w:tc>
        <w:tc>
          <w:tcPr>
            <w:tcW w:w="1484" w:type="dxa"/>
            <w:tcBorders>
              <w:top w:val="single" w:color="auto" w:sz="4" w:space="0"/>
            </w:tcBorders>
            <w:vAlign w:val="center"/>
          </w:tcPr>
          <w:p w14:paraId="7200F386">
            <w:pPr>
              <w:snapToGrid w:val="0"/>
              <w:jc w:val="both"/>
              <w:rPr>
                <w:rFonts w:ascii="宋体" w:hAnsi="宋体"/>
                <w:sz w:val="16"/>
                <w:szCs w:val="16"/>
              </w:rPr>
            </w:pPr>
            <w:r>
              <w:rPr>
                <w:rFonts w:hint="eastAsia" w:ascii="宋体" w:hAnsi="宋体"/>
                <w:sz w:val="16"/>
                <w:szCs w:val="16"/>
              </w:rPr>
              <w:t>蒸汽计量表</w:t>
            </w:r>
          </w:p>
        </w:tc>
        <w:tc>
          <w:tcPr>
            <w:tcW w:w="4601" w:type="dxa"/>
            <w:vAlign w:val="center"/>
          </w:tcPr>
          <w:p w14:paraId="298B584A">
            <w:pPr>
              <w:snapToGrid w:val="0"/>
              <w:jc w:val="both"/>
              <w:rPr>
                <w:rFonts w:ascii="宋体" w:hAnsi="宋体"/>
                <w:sz w:val="16"/>
                <w:szCs w:val="16"/>
              </w:rPr>
            </w:pPr>
            <w:r>
              <w:rPr>
                <w:rFonts w:hint="eastAsia" w:ascii="宋体" w:hAnsi="宋体"/>
                <w:sz w:val="16"/>
                <w:szCs w:val="16"/>
              </w:rPr>
              <w:t>具有高线性度、高长期稳定性；带温压补偿功能，自校验功能，传感器无漂移；抗温度冲击和水锤冲击；适用饱和蒸汽、过热蒸汽；管径：</w:t>
            </w:r>
            <w:r>
              <w:rPr>
                <w:rFonts w:ascii="宋体" w:hAnsi="宋体"/>
                <w:sz w:val="16"/>
                <w:szCs w:val="16"/>
              </w:rPr>
              <w:t>DN150</w:t>
            </w:r>
            <w:r>
              <w:rPr>
                <w:rFonts w:hint="eastAsia" w:ascii="宋体" w:hAnsi="宋体"/>
                <w:sz w:val="16"/>
                <w:szCs w:val="16"/>
              </w:rPr>
              <w:t>；压力：</w:t>
            </w:r>
            <w:r>
              <w:rPr>
                <w:rFonts w:ascii="宋体" w:hAnsi="宋体"/>
                <w:sz w:val="16"/>
                <w:szCs w:val="16"/>
              </w:rPr>
              <w:t>1.1MPa</w:t>
            </w:r>
            <w:r>
              <w:rPr>
                <w:rFonts w:hint="eastAsia" w:ascii="宋体" w:hAnsi="宋体"/>
                <w:sz w:val="16"/>
                <w:szCs w:val="16"/>
              </w:rPr>
              <w:t>；温度：</w:t>
            </w:r>
            <w:r>
              <w:rPr>
                <w:rFonts w:ascii="宋体" w:hAnsi="宋体"/>
                <w:sz w:val="16"/>
                <w:szCs w:val="16"/>
              </w:rPr>
              <w:t>200</w:t>
            </w:r>
            <w:r>
              <w:rPr>
                <w:rFonts w:hint="eastAsia" w:ascii="宋体" w:hAnsi="宋体"/>
                <w:sz w:val="16"/>
                <w:szCs w:val="16"/>
              </w:rPr>
              <w:t>℃；通信：</w:t>
            </w:r>
            <w:r>
              <w:rPr>
                <w:rFonts w:ascii="宋体" w:hAnsi="宋体"/>
                <w:sz w:val="16"/>
                <w:szCs w:val="16"/>
              </w:rPr>
              <w:t>PROFIBUS PA</w:t>
            </w:r>
          </w:p>
        </w:tc>
        <w:tc>
          <w:tcPr>
            <w:tcW w:w="2022" w:type="dxa"/>
            <w:vAlign w:val="center"/>
          </w:tcPr>
          <w:p w14:paraId="61C6C50E">
            <w:pPr>
              <w:snapToGrid w:val="0"/>
              <w:jc w:val="both"/>
              <w:rPr>
                <w:rFonts w:ascii="宋体" w:hAnsi="宋体" w:cstheme="minorEastAsia"/>
                <w:bCs/>
                <w:sz w:val="16"/>
                <w:szCs w:val="16"/>
              </w:rPr>
            </w:pPr>
          </w:p>
        </w:tc>
        <w:tc>
          <w:tcPr>
            <w:tcW w:w="0" w:type="auto"/>
            <w:vAlign w:val="center"/>
          </w:tcPr>
          <w:p w14:paraId="21829071">
            <w:pPr>
              <w:jc w:val="both"/>
              <w:textAlignment w:val="center"/>
              <w:rPr>
                <w:rFonts w:ascii="宋体" w:hAnsi="宋体" w:cstheme="minorEastAsia"/>
                <w:bCs/>
                <w:sz w:val="16"/>
                <w:szCs w:val="16"/>
              </w:rPr>
            </w:pPr>
          </w:p>
        </w:tc>
        <w:tc>
          <w:tcPr>
            <w:tcW w:w="0" w:type="auto"/>
            <w:vAlign w:val="center"/>
          </w:tcPr>
          <w:p w14:paraId="28EBF72C">
            <w:pPr>
              <w:jc w:val="both"/>
              <w:textAlignment w:val="center"/>
              <w:rPr>
                <w:rFonts w:ascii="宋体" w:hAnsi="宋体" w:cstheme="minorEastAsia"/>
                <w:bCs/>
                <w:sz w:val="16"/>
                <w:szCs w:val="16"/>
              </w:rPr>
            </w:pPr>
          </w:p>
        </w:tc>
        <w:tc>
          <w:tcPr>
            <w:tcW w:w="1016" w:type="dxa"/>
            <w:vAlign w:val="center"/>
          </w:tcPr>
          <w:p w14:paraId="7F762EB1">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73EA4917">
            <w:pPr>
              <w:jc w:val="both"/>
              <w:textAlignment w:val="center"/>
              <w:rPr>
                <w:rFonts w:ascii="宋体" w:hAnsi="宋体"/>
                <w:sz w:val="16"/>
                <w:szCs w:val="16"/>
              </w:rPr>
            </w:pPr>
            <w:r>
              <w:rPr>
                <w:rFonts w:ascii="宋体" w:hAnsi="宋体"/>
                <w:sz w:val="16"/>
                <w:szCs w:val="16"/>
              </w:rPr>
              <w:t>1</w:t>
            </w:r>
          </w:p>
        </w:tc>
        <w:tc>
          <w:tcPr>
            <w:tcW w:w="0" w:type="auto"/>
            <w:vAlign w:val="center"/>
          </w:tcPr>
          <w:p w14:paraId="7E02DCE1">
            <w:pPr>
              <w:jc w:val="both"/>
              <w:textAlignment w:val="center"/>
              <w:rPr>
                <w:rFonts w:ascii="宋体" w:hAnsi="宋体" w:cstheme="minorEastAsia"/>
                <w:bCs/>
                <w:sz w:val="16"/>
                <w:szCs w:val="16"/>
                <w:highlight w:val="yellow"/>
              </w:rPr>
            </w:pPr>
          </w:p>
        </w:tc>
        <w:tc>
          <w:tcPr>
            <w:tcW w:w="0" w:type="auto"/>
            <w:vAlign w:val="center"/>
          </w:tcPr>
          <w:p w14:paraId="4EE0A8BC">
            <w:pPr>
              <w:jc w:val="both"/>
              <w:textAlignment w:val="center"/>
              <w:rPr>
                <w:rFonts w:ascii="宋体" w:hAnsi="宋体" w:cstheme="minorEastAsia"/>
                <w:bCs/>
                <w:sz w:val="16"/>
                <w:szCs w:val="16"/>
                <w:highlight w:val="yellow"/>
              </w:rPr>
            </w:pPr>
          </w:p>
        </w:tc>
        <w:tc>
          <w:tcPr>
            <w:tcW w:w="0" w:type="auto"/>
            <w:vAlign w:val="center"/>
          </w:tcPr>
          <w:p w14:paraId="1BB61E06">
            <w:pPr>
              <w:jc w:val="both"/>
              <w:textAlignment w:val="center"/>
              <w:rPr>
                <w:rFonts w:ascii="宋体" w:hAnsi="宋体" w:cstheme="minorEastAsia"/>
                <w:bCs/>
                <w:sz w:val="16"/>
                <w:szCs w:val="16"/>
                <w:highlight w:val="yellow"/>
              </w:rPr>
            </w:pPr>
          </w:p>
        </w:tc>
        <w:tc>
          <w:tcPr>
            <w:tcW w:w="0" w:type="auto"/>
            <w:shd w:val="clear" w:color="auto" w:fill="auto"/>
            <w:vAlign w:val="center"/>
          </w:tcPr>
          <w:p w14:paraId="34AA8AF8">
            <w:pPr>
              <w:snapToGrid w:val="0"/>
              <w:jc w:val="both"/>
              <w:rPr>
                <w:rFonts w:ascii="宋体" w:hAnsi="宋体" w:cstheme="minorEastAsia"/>
                <w:bCs/>
                <w:sz w:val="16"/>
                <w:szCs w:val="16"/>
              </w:rPr>
            </w:pPr>
          </w:p>
        </w:tc>
      </w:tr>
      <w:tr w14:paraId="2649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6C1938E0">
            <w:pPr>
              <w:snapToGrid w:val="0"/>
              <w:jc w:val="both"/>
              <w:rPr>
                <w:rFonts w:ascii="宋体" w:hAnsi="宋体" w:cstheme="minorEastAsia"/>
                <w:b/>
                <w:bCs/>
                <w:sz w:val="16"/>
                <w:szCs w:val="16"/>
              </w:rPr>
            </w:pPr>
            <w:r>
              <w:rPr>
                <w:rFonts w:hint="eastAsia" w:ascii="宋体" w:hAnsi="宋体" w:cstheme="minorEastAsia"/>
                <w:b/>
                <w:bCs/>
                <w:sz w:val="16"/>
                <w:szCs w:val="16"/>
              </w:rPr>
              <w:t>1.4</w:t>
            </w:r>
          </w:p>
        </w:tc>
        <w:tc>
          <w:tcPr>
            <w:tcW w:w="13138" w:type="dxa"/>
            <w:gridSpan w:val="11"/>
            <w:vAlign w:val="center"/>
          </w:tcPr>
          <w:p w14:paraId="1EA7CBFC">
            <w:pPr>
              <w:snapToGrid w:val="0"/>
              <w:jc w:val="both"/>
              <w:rPr>
                <w:rFonts w:ascii="宋体" w:hAnsi="宋体" w:cstheme="minorEastAsia"/>
                <w:b/>
                <w:bCs/>
                <w:sz w:val="16"/>
                <w:szCs w:val="16"/>
              </w:rPr>
            </w:pPr>
            <w:r>
              <w:rPr>
                <w:rFonts w:hint="eastAsia" w:ascii="宋体" w:hAnsi="宋体"/>
                <w:b/>
                <w:sz w:val="16"/>
                <w:szCs w:val="16"/>
              </w:rPr>
              <w:t>空压气计量表</w:t>
            </w:r>
          </w:p>
        </w:tc>
      </w:tr>
      <w:tr w14:paraId="2CF7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1D24546">
            <w:pPr>
              <w:snapToGrid w:val="0"/>
              <w:jc w:val="both"/>
              <w:rPr>
                <w:rFonts w:ascii="宋体" w:hAnsi="宋体" w:cstheme="minorEastAsia"/>
                <w:bCs/>
                <w:sz w:val="16"/>
                <w:szCs w:val="16"/>
              </w:rPr>
            </w:pPr>
            <w:r>
              <w:rPr>
                <w:rFonts w:ascii="宋体" w:hAnsi="宋体"/>
                <w:sz w:val="16"/>
                <w:szCs w:val="16"/>
              </w:rPr>
              <w:t>1.4.1</w:t>
            </w:r>
          </w:p>
        </w:tc>
        <w:tc>
          <w:tcPr>
            <w:tcW w:w="1484" w:type="dxa"/>
            <w:tcBorders>
              <w:top w:val="single" w:color="auto" w:sz="4" w:space="0"/>
            </w:tcBorders>
            <w:vAlign w:val="center"/>
          </w:tcPr>
          <w:p w14:paraId="1AB84880">
            <w:pPr>
              <w:snapToGrid w:val="0"/>
              <w:jc w:val="both"/>
              <w:rPr>
                <w:rFonts w:ascii="宋体" w:hAnsi="宋体"/>
                <w:sz w:val="16"/>
                <w:szCs w:val="16"/>
              </w:rPr>
            </w:pPr>
            <w:r>
              <w:rPr>
                <w:rFonts w:hint="eastAsia" w:ascii="宋体" w:hAnsi="宋体"/>
                <w:sz w:val="16"/>
                <w:szCs w:val="16"/>
              </w:rPr>
              <w:t>空压气计量表</w:t>
            </w:r>
          </w:p>
        </w:tc>
        <w:tc>
          <w:tcPr>
            <w:tcW w:w="4601" w:type="dxa"/>
            <w:vAlign w:val="center"/>
          </w:tcPr>
          <w:p w14:paraId="2AC22793">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DN50</w:t>
            </w:r>
            <w:r>
              <w:rPr>
                <w:rFonts w:hint="eastAsia" w:ascii="宋体" w:hAnsi="宋体"/>
                <w:sz w:val="16"/>
                <w:szCs w:val="16"/>
              </w:rPr>
              <w:t>；压力：</w:t>
            </w:r>
            <w:r>
              <w:rPr>
                <w:rFonts w:ascii="宋体" w:hAnsi="宋体"/>
                <w:sz w:val="16"/>
                <w:szCs w:val="16"/>
              </w:rPr>
              <w:t>0.8MPa</w:t>
            </w:r>
            <w:r>
              <w:rPr>
                <w:rFonts w:hint="eastAsia" w:ascii="宋体" w:hAnsi="宋体"/>
                <w:sz w:val="16"/>
                <w:szCs w:val="16"/>
              </w:rPr>
              <w:t>；温度：</w:t>
            </w:r>
            <w:r>
              <w:rPr>
                <w:rFonts w:ascii="宋体" w:hAnsi="宋体"/>
                <w:sz w:val="16"/>
                <w:szCs w:val="16"/>
              </w:rPr>
              <w:t>80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7574FA68">
            <w:pPr>
              <w:snapToGrid w:val="0"/>
              <w:jc w:val="both"/>
              <w:rPr>
                <w:rFonts w:ascii="宋体" w:hAnsi="宋体" w:cstheme="minorEastAsia"/>
                <w:bCs/>
                <w:sz w:val="16"/>
                <w:szCs w:val="16"/>
              </w:rPr>
            </w:pPr>
          </w:p>
        </w:tc>
        <w:tc>
          <w:tcPr>
            <w:tcW w:w="0" w:type="auto"/>
            <w:vAlign w:val="center"/>
          </w:tcPr>
          <w:p w14:paraId="23B756FA">
            <w:pPr>
              <w:jc w:val="both"/>
              <w:textAlignment w:val="center"/>
              <w:rPr>
                <w:rFonts w:ascii="宋体" w:hAnsi="宋体" w:cstheme="minorEastAsia"/>
                <w:bCs/>
                <w:sz w:val="16"/>
                <w:szCs w:val="16"/>
              </w:rPr>
            </w:pPr>
          </w:p>
        </w:tc>
        <w:tc>
          <w:tcPr>
            <w:tcW w:w="0" w:type="auto"/>
            <w:vAlign w:val="center"/>
          </w:tcPr>
          <w:p w14:paraId="4B907D93">
            <w:pPr>
              <w:jc w:val="both"/>
              <w:textAlignment w:val="center"/>
              <w:rPr>
                <w:rFonts w:ascii="宋体" w:hAnsi="宋体" w:cstheme="minorEastAsia"/>
                <w:bCs/>
                <w:sz w:val="16"/>
                <w:szCs w:val="16"/>
              </w:rPr>
            </w:pPr>
          </w:p>
        </w:tc>
        <w:tc>
          <w:tcPr>
            <w:tcW w:w="1016" w:type="dxa"/>
            <w:vAlign w:val="center"/>
          </w:tcPr>
          <w:p w14:paraId="012E588F">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6A08057E">
            <w:pPr>
              <w:jc w:val="both"/>
              <w:textAlignment w:val="center"/>
              <w:rPr>
                <w:rFonts w:ascii="宋体" w:hAnsi="宋体"/>
                <w:sz w:val="16"/>
                <w:szCs w:val="16"/>
              </w:rPr>
            </w:pPr>
            <w:r>
              <w:rPr>
                <w:rFonts w:ascii="宋体" w:hAnsi="宋体"/>
                <w:sz w:val="16"/>
                <w:szCs w:val="16"/>
              </w:rPr>
              <w:t>2</w:t>
            </w:r>
          </w:p>
        </w:tc>
        <w:tc>
          <w:tcPr>
            <w:tcW w:w="0" w:type="auto"/>
            <w:vAlign w:val="center"/>
          </w:tcPr>
          <w:p w14:paraId="50C79EAC">
            <w:pPr>
              <w:jc w:val="both"/>
              <w:textAlignment w:val="center"/>
              <w:rPr>
                <w:rFonts w:ascii="宋体" w:hAnsi="宋体" w:cstheme="minorEastAsia"/>
                <w:bCs/>
                <w:sz w:val="16"/>
                <w:szCs w:val="16"/>
                <w:highlight w:val="yellow"/>
              </w:rPr>
            </w:pPr>
          </w:p>
        </w:tc>
        <w:tc>
          <w:tcPr>
            <w:tcW w:w="0" w:type="auto"/>
            <w:vAlign w:val="center"/>
          </w:tcPr>
          <w:p w14:paraId="151F0102">
            <w:pPr>
              <w:jc w:val="both"/>
              <w:textAlignment w:val="center"/>
              <w:rPr>
                <w:rFonts w:ascii="宋体" w:hAnsi="宋体" w:cstheme="minorEastAsia"/>
                <w:bCs/>
                <w:sz w:val="16"/>
                <w:szCs w:val="16"/>
                <w:highlight w:val="yellow"/>
              </w:rPr>
            </w:pPr>
          </w:p>
        </w:tc>
        <w:tc>
          <w:tcPr>
            <w:tcW w:w="0" w:type="auto"/>
            <w:vAlign w:val="center"/>
          </w:tcPr>
          <w:p w14:paraId="61765901">
            <w:pPr>
              <w:jc w:val="both"/>
              <w:textAlignment w:val="center"/>
              <w:rPr>
                <w:rFonts w:ascii="宋体" w:hAnsi="宋体" w:cstheme="minorEastAsia"/>
                <w:bCs/>
                <w:sz w:val="16"/>
                <w:szCs w:val="16"/>
                <w:highlight w:val="yellow"/>
              </w:rPr>
            </w:pPr>
          </w:p>
        </w:tc>
        <w:tc>
          <w:tcPr>
            <w:tcW w:w="0" w:type="auto"/>
            <w:shd w:val="clear" w:color="auto" w:fill="auto"/>
            <w:vAlign w:val="center"/>
          </w:tcPr>
          <w:p w14:paraId="14416CCF">
            <w:pPr>
              <w:snapToGrid w:val="0"/>
              <w:jc w:val="both"/>
              <w:rPr>
                <w:rFonts w:ascii="宋体" w:hAnsi="宋体" w:cstheme="minorEastAsia"/>
                <w:bCs/>
                <w:sz w:val="16"/>
                <w:szCs w:val="16"/>
              </w:rPr>
            </w:pPr>
          </w:p>
        </w:tc>
      </w:tr>
      <w:tr w14:paraId="6B4F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F782243">
            <w:pPr>
              <w:snapToGrid w:val="0"/>
              <w:jc w:val="both"/>
              <w:rPr>
                <w:rFonts w:ascii="宋体" w:hAnsi="宋体" w:cstheme="minorEastAsia"/>
                <w:bCs/>
                <w:sz w:val="16"/>
                <w:szCs w:val="16"/>
              </w:rPr>
            </w:pPr>
            <w:r>
              <w:rPr>
                <w:rFonts w:ascii="宋体" w:hAnsi="宋体"/>
                <w:sz w:val="16"/>
                <w:szCs w:val="16"/>
              </w:rPr>
              <w:t>1.4.2</w:t>
            </w:r>
          </w:p>
        </w:tc>
        <w:tc>
          <w:tcPr>
            <w:tcW w:w="1484" w:type="dxa"/>
            <w:tcBorders>
              <w:top w:val="single" w:color="auto" w:sz="4" w:space="0"/>
            </w:tcBorders>
            <w:vAlign w:val="center"/>
          </w:tcPr>
          <w:p w14:paraId="7EC7357C">
            <w:pPr>
              <w:snapToGrid w:val="0"/>
              <w:jc w:val="both"/>
              <w:rPr>
                <w:rFonts w:ascii="宋体" w:hAnsi="宋体"/>
                <w:sz w:val="16"/>
                <w:szCs w:val="16"/>
              </w:rPr>
            </w:pPr>
            <w:r>
              <w:rPr>
                <w:rFonts w:hint="eastAsia" w:ascii="宋体" w:hAnsi="宋体"/>
                <w:sz w:val="16"/>
                <w:szCs w:val="16"/>
              </w:rPr>
              <w:t>空压气计量表</w:t>
            </w:r>
          </w:p>
        </w:tc>
        <w:tc>
          <w:tcPr>
            <w:tcW w:w="4601" w:type="dxa"/>
            <w:vAlign w:val="center"/>
          </w:tcPr>
          <w:p w14:paraId="3B5BCB63">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DN80</w:t>
            </w:r>
            <w:r>
              <w:rPr>
                <w:rFonts w:hint="eastAsia" w:ascii="宋体" w:hAnsi="宋体"/>
                <w:sz w:val="16"/>
                <w:szCs w:val="16"/>
              </w:rPr>
              <w:t>；压力：</w:t>
            </w:r>
            <w:r>
              <w:rPr>
                <w:rFonts w:ascii="宋体" w:hAnsi="宋体"/>
                <w:sz w:val="16"/>
                <w:szCs w:val="16"/>
              </w:rPr>
              <w:t>0.8MPa</w:t>
            </w:r>
            <w:r>
              <w:rPr>
                <w:rFonts w:hint="eastAsia" w:ascii="宋体" w:hAnsi="宋体"/>
                <w:sz w:val="16"/>
                <w:szCs w:val="16"/>
              </w:rPr>
              <w:t>；温度：</w:t>
            </w:r>
            <w:r>
              <w:rPr>
                <w:rFonts w:ascii="宋体" w:hAnsi="宋体"/>
                <w:sz w:val="16"/>
                <w:szCs w:val="16"/>
              </w:rPr>
              <w:t>80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4B9659D3">
            <w:pPr>
              <w:snapToGrid w:val="0"/>
              <w:jc w:val="both"/>
              <w:rPr>
                <w:rFonts w:ascii="宋体" w:hAnsi="宋体" w:cstheme="minorEastAsia"/>
                <w:bCs/>
                <w:sz w:val="16"/>
                <w:szCs w:val="16"/>
              </w:rPr>
            </w:pPr>
          </w:p>
        </w:tc>
        <w:tc>
          <w:tcPr>
            <w:tcW w:w="0" w:type="auto"/>
            <w:vAlign w:val="center"/>
          </w:tcPr>
          <w:p w14:paraId="6200CAB8">
            <w:pPr>
              <w:jc w:val="both"/>
              <w:textAlignment w:val="center"/>
              <w:rPr>
                <w:rFonts w:ascii="宋体" w:hAnsi="宋体" w:cstheme="minorEastAsia"/>
                <w:bCs/>
                <w:sz w:val="16"/>
                <w:szCs w:val="16"/>
              </w:rPr>
            </w:pPr>
          </w:p>
        </w:tc>
        <w:tc>
          <w:tcPr>
            <w:tcW w:w="0" w:type="auto"/>
            <w:vAlign w:val="center"/>
          </w:tcPr>
          <w:p w14:paraId="536DD13B">
            <w:pPr>
              <w:jc w:val="both"/>
              <w:textAlignment w:val="center"/>
              <w:rPr>
                <w:rFonts w:ascii="宋体" w:hAnsi="宋体" w:cstheme="minorEastAsia"/>
                <w:bCs/>
                <w:sz w:val="16"/>
                <w:szCs w:val="16"/>
              </w:rPr>
            </w:pPr>
          </w:p>
        </w:tc>
        <w:tc>
          <w:tcPr>
            <w:tcW w:w="1016" w:type="dxa"/>
            <w:vAlign w:val="center"/>
          </w:tcPr>
          <w:p w14:paraId="37009CDA">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2D8E178F">
            <w:pPr>
              <w:jc w:val="both"/>
              <w:textAlignment w:val="center"/>
              <w:rPr>
                <w:rFonts w:ascii="宋体" w:hAnsi="宋体"/>
                <w:sz w:val="16"/>
                <w:szCs w:val="16"/>
              </w:rPr>
            </w:pPr>
            <w:r>
              <w:rPr>
                <w:rFonts w:ascii="宋体" w:hAnsi="宋体"/>
                <w:sz w:val="16"/>
                <w:szCs w:val="16"/>
              </w:rPr>
              <w:t>3</w:t>
            </w:r>
          </w:p>
        </w:tc>
        <w:tc>
          <w:tcPr>
            <w:tcW w:w="0" w:type="auto"/>
            <w:vAlign w:val="center"/>
          </w:tcPr>
          <w:p w14:paraId="3F2AA3EA">
            <w:pPr>
              <w:jc w:val="both"/>
              <w:textAlignment w:val="center"/>
              <w:rPr>
                <w:rFonts w:ascii="宋体" w:hAnsi="宋体" w:cstheme="minorEastAsia"/>
                <w:bCs/>
                <w:sz w:val="16"/>
                <w:szCs w:val="16"/>
                <w:highlight w:val="yellow"/>
              </w:rPr>
            </w:pPr>
          </w:p>
        </w:tc>
        <w:tc>
          <w:tcPr>
            <w:tcW w:w="0" w:type="auto"/>
            <w:vAlign w:val="center"/>
          </w:tcPr>
          <w:p w14:paraId="61DF0F1D">
            <w:pPr>
              <w:jc w:val="both"/>
              <w:textAlignment w:val="center"/>
              <w:rPr>
                <w:rFonts w:ascii="宋体" w:hAnsi="宋体" w:cstheme="minorEastAsia"/>
                <w:bCs/>
                <w:sz w:val="16"/>
                <w:szCs w:val="16"/>
                <w:highlight w:val="yellow"/>
              </w:rPr>
            </w:pPr>
          </w:p>
        </w:tc>
        <w:tc>
          <w:tcPr>
            <w:tcW w:w="0" w:type="auto"/>
            <w:vAlign w:val="center"/>
          </w:tcPr>
          <w:p w14:paraId="4553B3D6">
            <w:pPr>
              <w:jc w:val="both"/>
              <w:textAlignment w:val="center"/>
              <w:rPr>
                <w:rFonts w:ascii="宋体" w:hAnsi="宋体" w:cstheme="minorEastAsia"/>
                <w:bCs/>
                <w:sz w:val="16"/>
                <w:szCs w:val="16"/>
                <w:highlight w:val="yellow"/>
              </w:rPr>
            </w:pPr>
          </w:p>
        </w:tc>
        <w:tc>
          <w:tcPr>
            <w:tcW w:w="0" w:type="auto"/>
            <w:shd w:val="clear" w:color="auto" w:fill="auto"/>
            <w:vAlign w:val="center"/>
          </w:tcPr>
          <w:p w14:paraId="3726EC96">
            <w:pPr>
              <w:snapToGrid w:val="0"/>
              <w:jc w:val="both"/>
              <w:rPr>
                <w:rFonts w:ascii="宋体" w:hAnsi="宋体" w:cstheme="minorEastAsia"/>
                <w:bCs/>
                <w:sz w:val="16"/>
                <w:szCs w:val="16"/>
              </w:rPr>
            </w:pPr>
          </w:p>
        </w:tc>
      </w:tr>
      <w:tr w14:paraId="008F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54AAED9C">
            <w:pPr>
              <w:snapToGrid w:val="0"/>
              <w:jc w:val="both"/>
              <w:rPr>
                <w:rFonts w:ascii="宋体" w:hAnsi="宋体" w:cstheme="minorEastAsia"/>
                <w:bCs/>
                <w:sz w:val="16"/>
                <w:szCs w:val="16"/>
              </w:rPr>
            </w:pPr>
            <w:r>
              <w:rPr>
                <w:rFonts w:ascii="宋体" w:hAnsi="宋体"/>
                <w:sz w:val="16"/>
                <w:szCs w:val="16"/>
              </w:rPr>
              <w:t>1.4.3</w:t>
            </w:r>
          </w:p>
        </w:tc>
        <w:tc>
          <w:tcPr>
            <w:tcW w:w="1484" w:type="dxa"/>
            <w:tcBorders>
              <w:top w:val="single" w:color="auto" w:sz="4" w:space="0"/>
            </w:tcBorders>
            <w:vAlign w:val="center"/>
          </w:tcPr>
          <w:p w14:paraId="3C6A505D">
            <w:pPr>
              <w:snapToGrid w:val="0"/>
              <w:jc w:val="both"/>
              <w:rPr>
                <w:rFonts w:ascii="宋体" w:hAnsi="宋体"/>
                <w:sz w:val="16"/>
                <w:szCs w:val="16"/>
              </w:rPr>
            </w:pPr>
            <w:r>
              <w:rPr>
                <w:rFonts w:hint="eastAsia" w:ascii="宋体" w:hAnsi="宋体"/>
                <w:sz w:val="16"/>
                <w:szCs w:val="16"/>
              </w:rPr>
              <w:t>空压气计量表</w:t>
            </w:r>
          </w:p>
        </w:tc>
        <w:tc>
          <w:tcPr>
            <w:tcW w:w="4601" w:type="dxa"/>
            <w:vAlign w:val="center"/>
          </w:tcPr>
          <w:p w14:paraId="5599DFB1">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DN200</w:t>
            </w:r>
            <w:r>
              <w:rPr>
                <w:rFonts w:hint="eastAsia" w:ascii="宋体" w:hAnsi="宋体"/>
                <w:sz w:val="16"/>
                <w:szCs w:val="16"/>
              </w:rPr>
              <w:t>；压力：</w:t>
            </w:r>
            <w:r>
              <w:rPr>
                <w:rFonts w:ascii="宋体" w:hAnsi="宋体"/>
                <w:sz w:val="16"/>
                <w:szCs w:val="16"/>
              </w:rPr>
              <w:t>0.8MPa</w:t>
            </w:r>
            <w:r>
              <w:rPr>
                <w:rFonts w:hint="eastAsia" w:ascii="宋体" w:hAnsi="宋体"/>
                <w:sz w:val="16"/>
                <w:szCs w:val="16"/>
              </w:rPr>
              <w:t>；温度：</w:t>
            </w:r>
            <w:r>
              <w:rPr>
                <w:rFonts w:ascii="宋体" w:hAnsi="宋体"/>
                <w:sz w:val="16"/>
                <w:szCs w:val="16"/>
              </w:rPr>
              <w:t>80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0B277653">
            <w:pPr>
              <w:snapToGrid w:val="0"/>
              <w:jc w:val="both"/>
              <w:rPr>
                <w:rFonts w:ascii="宋体" w:hAnsi="宋体" w:cstheme="minorEastAsia"/>
                <w:bCs/>
                <w:sz w:val="16"/>
                <w:szCs w:val="16"/>
              </w:rPr>
            </w:pPr>
          </w:p>
        </w:tc>
        <w:tc>
          <w:tcPr>
            <w:tcW w:w="0" w:type="auto"/>
            <w:vAlign w:val="center"/>
          </w:tcPr>
          <w:p w14:paraId="03F30CA6">
            <w:pPr>
              <w:jc w:val="both"/>
              <w:textAlignment w:val="center"/>
              <w:rPr>
                <w:rFonts w:ascii="宋体" w:hAnsi="宋体" w:cstheme="minorEastAsia"/>
                <w:bCs/>
                <w:sz w:val="16"/>
                <w:szCs w:val="16"/>
              </w:rPr>
            </w:pPr>
          </w:p>
        </w:tc>
        <w:tc>
          <w:tcPr>
            <w:tcW w:w="0" w:type="auto"/>
            <w:vAlign w:val="center"/>
          </w:tcPr>
          <w:p w14:paraId="1E38DC27">
            <w:pPr>
              <w:jc w:val="both"/>
              <w:textAlignment w:val="center"/>
              <w:rPr>
                <w:rFonts w:ascii="宋体" w:hAnsi="宋体" w:cstheme="minorEastAsia"/>
                <w:bCs/>
                <w:sz w:val="16"/>
                <w:szCs w:val="16"/>
              </w:rPr>
            </w:pPr>
          </w:p>
        </w:tc>
        <w:tc>
          <w:tcPr>
            <w:tcW w:w="1016" w:type="dxa"/>
            <w:vAlign w:val="center"/>
          </w:tcPr>
          <w:p w14:paraId="06627F37">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0BB7198E">
            <w:pPr>
              <w:jc w:val="both"/>
              <w:textAlignment w:val="center"/>
              <w:rPr>
                <w:rFonts w:ascii="宋体" w:hAnsi="宋体"/>
                <w:sz w:val="16"/>
                <w:szCs w:val="16"/>
              </w:rPr>
            </w:pPr>
            <w:r>
              <w:rPr>
                <w:rFonts w:ascii="宋体" w:hAnsi="宋体"/>
                <w:sz w:val="16"/>
                <w:szCs w:val="16"/>
              </w:rPr>
              <w:t>1</w:t>
            </w:r>
          </w:p>
        </w:tc>
        <w:tc>
          <w:tcPr>
            <w:tcW w:w="0" w:type="auto"/>
            <w:vAlign w:val="center"/>
          </w:tcPr>
          <w:p w14:paraId="0A5C1563">
            <w:pPr>
              <w:jc w:val="both"/>
              <w:textAlignment w:val="center"/>
              <w:rPr>
                <w:rFonts w:ascii="宋体" w:hAnsi="宋体" w:cstheme="minorEastAsia"/>
                <w:bCs/>
                <w:sz w:val="16"/>
                <w:szCs w:val="16"/>
                <w:highlight w:val="yellow"/>
              </w:rPr>
            </w:pPr>
          </w:p>
        </w:tc>
        <w:tc>
          <w:tcPr>
            <w:tcW w:w="0" w:type="auto"/>
            <w:vAlign w:val="center"/>
          </w:tcPr>
          <w:p w14:paraId="09AD1E4E">
            <w:pPr>
              <w:jc w:val="both"/>
              <w:textAlignment w:val="center"/>
              <w:rPr>
                <w:rFonts w:ascii="宋体" w:hAnsi="宋体" w:cstheme="minorEastAsia"/>
                <w:bCs/>
                <w:sz w:val="16"/>
                <w:szCs w:val="16"/>
                <w:highlight w:val="yellow"/>
              </w:rPr>
            </w:pPr>
          </w:p>
        </w:tc>
        <w:tc>
          <w:tcPr>
            <w:tcW w:w="0" w:type="auto"/>
            <w:vAlign w:val="center"/>
          </w:tcPr>
          <w:p w14:paraId="517057AC">
            <w:pPr>
              <w:jc w:val="both"/>
              <w:textAlignment w:val="center"/>
              <w:rPr>
                <w:rFonts w:ascii="宋体" w:hAnsi="宋体" w:cstheme="minorEastAsia"/>
                <w:bCs/>
                <w:sz w:val="16"/>
                <w:szCs w:val="16"/>
                <w:highlight w:val="yellow"/>
              </w:rPr>
            </w:pPr>
          </w:p>
        </w:tc>
        <w:tc>
          <w:tcPr>
            <w:tcW w:w="0" w:type="auto"/>
            <w:shd w:val="clear" w:color="auto" w:fill="auto"/>
            <w:vAlign w:val="center"/>
          </w:tcPr>
          <w:p w14:paraId="5DE04A4F">
            <w:pPr>
              <w:snapToGrid w:val="0"/>
              <w:jc w:val="both"/>
              <w:rPr>
                <w:rFonts w:ascii="宋体" w:hAnsi="宋体" w:cstheme="minorEastAsia"/>
                <w:bCs/>
                <w:sz w:val="16"/>
                <w:szCs w:val="16"/>
              </w:rPr>
            </w:pPr>
          </w:p>
        </w:tc>
      </w:tr>
      <w:tr w14:paraId="1418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4F298FFE">
            <w:pPr>
              <w:snapToGrid w:val="0"/>
              <w:jc w:val="both"/>
              <w:rPr>
                <w:rFonts w:ascii="宋体" w:hAnsi="宋体" w:cstheme="minorEastAsia"/>
                <w:b/>
                <w:bCs/>
                <w:sz w:val="16"/>
                <w:szCs w:val="16"/>
              </w:rPr>
            </w:pPr>
            <w:r>
              <w:rPr>
                <w:rFonts w:hint="eastAsia" w:ascii="宋体" w:hAnsi="宋体" w:cstheme="minorEastAsia"/>
                <w:b/>
                <w:bCs/>
                <w:sz w:val="16"/>
                <w:szCs w:val="16"/>
              </w:rPr>
              <w:t>1.5</w:t>
            </w:r>
          </w:p>
        </w:tc>
        <w:tc>
          <w:tcPr>
            <w:tcW w:w="13138" w:type="dxa"/>
            <w:gridSpan w:val="11"/>
            <w:vAlign w:val="center"/>
          </w:tcPr>
          <w:p w14:paraId="0885E7C2">
            <w:pPr>
              <w:snapToGrid w:val="0"/>
              <w:jc w:val="both"/>
              <w:rPr>
                <w:rFonts w:ascii="宋体" w:hAnsi="宋体" w:cstheme="minorEastAsia"/>
                <w:b/>
                <w:bCs/>
                <w:sz w:val="16"/>
                <w:szCs w:val="16"/>
              </w:rPr>
            </w:pPr>
            <w:r>
              <w:rPr>
                <w:rFonts w:hint="eastAsia" w:ascii="宋体" w:hAnsi="宋体"/>
                <w:b/>
                <w:sz w:val="16"/>
                <w:szCs w:val="16"/>
              </w:rPr>
              <w:t>负压气计量表</w:t>
            </w:r>
          </w:p>
        </w:tc>
      </w:tr>
      <w:tr w14:paraId="2685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F9F222D">
            <w:pPr>
              <w:snapToGrid w:val="0"/>
              <w:jc w:val="both"/>
              <w:rPr>
                <w:rFonts w:ascii="宋体" w:hAnsi="宋体" w:cstheme="minorEastAsia"/>
                <w:bCs/>
                <w:sz w:val="16"/>
                <w:szCs w:val="16"/>
              </w:rPr>
            </w:pPr>
            <w:r>
              <w:rPr>
                <w:rFonts w:ascii="宋体" w:hAnsi="宋体"/>
                <w:color w:val="000000"/>
                <w:sz w:val="16"/>
                <w:szCs w:val="16"/>
              </w:rPr>
              <w:t>1.5.1</w:t>
            </w:r>
          </w:p>
        </w:tc>
        <w:tc>
          <w:tcPr>
            <w:tcW w:w="1484" w:type="dxa"/>
            <w:tcBorders>
              <w:top w:val="single" w:color="auto" w:sz="4" w:space="0"/>
            </w:tcBorders>
            <w:vAlign w:val="center"/>
          </w:tcPr>
          <w:p w14:paraId="36EEE4C7">
            <w:pPr>
              <w:snapToGrid w:val="0"/>
              <w:jc w:val="both"/>
              <w:rPr>
                <w:rFonts w:ascii="宋体" w:hAnsi="宋体"/>
                <w:sz w:val="16"/>
                <w:szCs w:val="16"/>
              </w:rPr>
            </w:pPr>
            <w:r>
              <w:rPr>
                <w:rFonts w:hint="eastAsia" w:ascii="宋体" w:hAnsi="宋体"/>
                <w:sz w:val="16"/>
                <w:szCs w:val="16"/>
              </w:rPr>
              <w:t>负压计量表</w:t>
            </w:r>
          </w:p>
        </w:tc>
        <w:tc>
          <w:tcPr>
            <w:tcW w:w="4601" w:type="dxa"/>
            <w:vAlign w:val="center"/>
          </w:tcPr>
          <w:p w14:paraId="05CB6FC4">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DN80</w:t>
            </w:r>
            <w:r>
              <w:rPr>
                <w:rFonts w:hint="eastAsia" w:ascii="宋体" w:hAnsi="宋体"/>
                <w:sz w:val="16"/>
                <w:szCs w:val="16"/>
              </w:rPr>
              <w:t>；压力：</w:t>
            </w:r>
            <w:r>
              <w:rPr>
                <w:rFonts w:ascii="宋体" w:hAnsi="宋体"/>
                <w:sz w:val="16"/>
                <w:szCs w:val="16"/>
              </w:rPr>
              <w:t>-0.1MPa</w:t>
            </w:r>
            <w:r>
              <w:rPr>
                <w:rFonts w:hint="eastAsia" w:ascii="宋体" w:hAnsi="宋体"/>
                <w:sz w:val="16"/>
                <w:szCs w:val="16"/>
              </w:rPr>
              <w:t>；温度：</w:t>
            </w:r>
            <w:r>
              <w:rPr>
                <w:rFonts w:ascii="宋体" w:hAnsi="宋体"/>
                <w:sz w:val="16"/>
                <w:szCs w:val="16"/>
              </w:rPr>
              <w:t>50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688B5651">
            <w:pPr>
              <w:snapToGrid w:val="0"/>
              <w:jc w:val="both"/>
              <w:rPr>
                <w:rFonts w:ascii="宋体" w:hAnsi="宋体" w:cstheme="minorEastAsia"/>
                <w:bCs/>
                <w:sz w:val="16"/>
                <w:szCs w:val="16"/>
              </w:rPr>
            </w:pPr>
          </w:p>
        </w:tc>
        <w:tc>
          <w:tcPr>
            <w:tcW w:w="0" w:type="auto"/>
            <w:vAlign w:val="center"/>
          </w:tcPr>
          <w:p w14:paraId="447B5065">
            <w:pPr>
              <w:jc w:val="both"/>
              <w:textAlignment w:val="center"/>
              <w:rPr>
                <w:rFonts w:ascii="宋体" w:hAnsi="宋体" w:cstheme="minorEastAsia"/>
                <w:bCs/>
                <w:sz w:val="16"/>
                <w:szCs w:val="16"/>
              </w:rPr>
            </w:pPr>
          </w:p>
        </w:tc>
        <w:tc>
          <w:tcPr>
            <w:tcW w:w="0" w:type="auto"/>
            <w:vAlign w:val="center"/>
          </w:tcPr>
          <w:p w14:paraId="49C80CE8">
            <w:pPr>
              <w:jc w:val="both"/>
              <w:textAlignment w:val="center"/>
              <w:rPr>
                <w:rFonts w:ascii="宋体" w:hAnsi="宋体" w:cstheme="minorEastAsia"/>
                <w:bCs/>
                <w:sz w:val="16"/>
                <w:szCs w:val="16"/>
              </w:rPr>
            </w:pPr>
          </w:p>
        </w:tc>
        <w:tc>
          <w:tcPr>
            <w:tcW w:w="1016" w:type="dxa"/>
            <w:vAlign w:val="center"/>
          </w:tcPr>
          <w:p w14:paraId="1AA3EE6F">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1DFEDD1C">
            <w:pPr>
              <w:jc w:val="both"/>
              <w:textAlignment w:val="center"/>
              <w:rPr>
                <w:rFonts w:ascii="宋体" w:hAnsi="宋体"/>
                <w:sz w:val="16"/>
                <w:szCs w:val="16"/>
              </w:rPr>
            </w:pPr>
            <w:r>
              <w:rPr>
                <w:rFonts w:ascii="宋体" w:hAnsi="宋体"/>
                <w:sz w:val="16"/>
                <w:szCs w:val="16"/>
              </w:rPr>
              <w:t>1</w:t>
            </w:r>
          </w:p>
        </w:tc>
        <w:tc>
          <w:tcPr>
            <w:tcW w:w="0" w:type="auto"/>
            <w:vAlign w:val="center"/>
          </w:tcPr>
          <w:p w14:paraId="55754B45">
            <w:pPr>
              <w:jc w:val="both"/>
              <w:textAlignment w:val="center"/>
              <w:rPr>
                <w:rFonts w:ascii="宋体" w:hAnsi="宋体" w:cstheme="minorEastAsia"/>
                <w:bCs/>
                <w:sz w:val="16"/>
                <w:szCs w:val="16"/>
                <w:highlight w:val="yellow"/>
              </w:rPr>
            </w:pPr>
          </w:p>
        </w:tc>
        <w:tc>
          <w:tcPr>
            <w:tcW w:w="0" w:type="auto"/>
            <w:vAlign w:val="center"/>
          </w:tcPr>
          <w:p w14:paraId="0FD57694">
            <w:pPr>
              <w:jc w:val="both"/>
              <w:textAlignment w:val="center"/>
              <w:rPr>
                <w:rFonts w:ascii="宋体" w:hAnsi="宋体" w:cstheme="minorEastAsia"/>
                <w:bCs/>
                <w:sz w:val="16"/>
                <w:szCs w:val="16"/>
                <w:highlight w:val="yellow"/>
              </w:rPr>
            </w:pPr>
          </w:p>
        </w:tc>
        <w:tc>
          <w:tcPr>
            <w:tcW w:w="0" w:type="auto"/>
            <w:vAlign w:val="center"/>
          </w:tcPr>
          <w:p w14:paraId="0B32BD72">
            <w:pPr>
              <w:jc w:val="both"/>
              <w:textAlignment w:val="center"/>
              <w:rPr>
                <w:rFonts w:ascii="宋体" w:hAnsi="宋体" w:cstheme="minorEastAsia"/>
                <w:bCs/>
                <w:sz w:val="16"/>
                <w:szCs w:val="16"/>
                <w:highlight w:val="yellow"/>
              </w:rPr>
            </w:pPr>
          </w:p>
        </w:tc>
        <w:tc>
          <w:tcPr>
            <w:tcW w:w="0" w:type="auto"/>
            <w:shd w:val="clear" w:color="auto" w:fill="auto"/>
            <w:vAlign w:val="center"/>
          </w:tcPr>
          <w:p w14:paraId="349A824D">
            <w:pPr>
              <w:snapToGrid w:val="0"/>
              <w:jc w:val="both"/>
              <w:rPr>
                <w:rFonts w:ascii="宋体" w:hAnsi="宋体" w:cstheme="minorEastAsia"/>
                <w:bCs/>
                <w:sz w:val="16"/>
                <w:szCs w:val="16"/>
              </w:rPr>
            </w:pPr>
          </w:p>
        </w:tc>
      </w:tr>
      <w:tr w14:paraId="1A75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C85E2F1">
            <w:pPr>
              <w:snapToGrid w:val="0"/>
              <w:jc w:val="both"/>
              <w:rPr>
                <w:rFonts w:ascii="宋体" w:hAnsi="宋体" w:cstheme="minorEastAsia"/>
                <w:bCs/>
                <w:sz w:val="16"/>
                <w:szCs w:val="16"/>
              </w:rPr>
            </w:pPr>
            <w:r>
              <w:rPr>
                <w:rFonts w:ascii="宋体" w:hAnsi="宋体"/>
                <w:color w:val="000000"/>
                <w:sz w:val="16"/>
                <w:szCs w:val="16"/>
              </w:rPr>
              <w:t>1.5.2</w:t>
            </w:r>
          </w:p>
        </w:tc>
        <w:tc>
          <w:tcPr>
            <w:tcW w:w="1484" w:type="dxa"/>
            <w:tcBorders>
              <w:top w:val="single" w:color="auto" w:sz="4" w:space="0"/>
            </w:tcBorders>
            <w:vAlign w:val="center"/>
          </w:tcPr>
          <w:p w14:paraId="67603175">
            <w:pPr>
              <w:snapToGrid w:val="0"/>
              <w:jc w:val="both"/>
              <w:rPr>
                <w:rFonts w:ascii="宋体" w:hAnsi="宋体"/>
                <w:sz w:val="16"/>
                <w:szCs w:val="16"/>
              </w:rPr>
            </w:pPr>
            <w:r>
              <w:rPr>
                <w:rFonts w:hint="eastAsia" w:ascii="宋体" w:hAnsi="宋体"/>
                <w:sz w:val="16"/>
                <w:szCs w:val="16"/>
              </w:rPr>
              <w:t>负压计量表</w:t>
            </w:r>
          </w:p>
        </w:tc>
        <w:tc>
          <w:tcPr>
            <w:tcW w:w="4601" w:type="dxa"/>
            <w:vAlign w:val="center"/>
          </w:tcPr>
          <w:p w14:paraId="705643B9">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DN200</w:t>
            </w:r>
            <w:r>
              <w:rPr>
                <w:rFonts w:hint="eastAsia" w:ascii="宋体" w:hAnsi="宋体"/>
                <w:sz w:val="16"/>
                <w:szCs w:val="16"/>
              </w:rPr>
              <w:t>；压力：</w:t>
            </w:r>
            <w:r>
              <w:rPr>
                <w:rFonts w:ascii="宋体" w:hAnsi="宋体"/>
                <w:sz w:val="16"/>
                <w:szCs w:val="16"/>
              </w:rPr>
              <w:t>-0.1MPa</w:t>
            </w:r>
            <w:r>
              <w:rPr>
                <w:rFonts w:hint="eastAsia" w:ascii="宋体" w:hAnsi="宋体"/>
                <w:sz w:val="16"/>
                <w:szCs w:val="16"/>
              </w:rPr>
              <w:t>；温度：</w:t>
            </w:r>
            <w:r>
              <w:rPr>
                <w:rFonts w:ascii="宋体" w:hAnsi="宋体"/>
                <w:sz w:val="16"/>
                <w:szCs w:val="16"/>
              </w:rPr>
              <w:t>50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3870F177">
            <w:pPr>
              <w:snapToGrid w:val="0"/>
              <w:jc w:val="both"/>
              <w:rPr>
                <w:rFonts w:ascii="宋体" w:hAnsi="宋体" w:cstheme="minorEastAsia"/>
                <w:bCs/>
                <w:sz w:val="16"/>
                <w:szCs w:val="16"/>
              </w:rPr>
            </w:pPr>
          </w:p>
        </w:tc>
        <w:tc>
          <w:tcPr>
            <w:tcW w:w="0" w:type="auto"/>
            <w:vAlign w:val="center"/>
          </w:tcPr>
          <w:p w14:paraId="5FEC3360">
            <w:pPr>
              <w:jc w:val="both"/>
              <w:textAlignment w:val="center"/>
              <w:rPr>
                <w:rFonts w:ascii="宋体" w:hAnsi="宋体" w:cstheme="minorEastAsia"/>
                <w:bCs/>
                <w:sz w:val="16"/>
                <w:szCs w:val="16"/>
              </w:rPr>
            </w:pPr>
          </w:p>
        </w:tc>
        <w:tc>
          <w:tcPr>
            <w:tcW w:w="0" w:type="auto"/>
            <w:vAlign w:val="center"/>
          </w:tcPr>
          <w:p w14:paraId="037BDF37">
            <w:pPr>
              <w:jc w:val="both"/>
              <w:textAlignment w:val="center"/>
              <w:rPr>
                <w:rFonts w:ascii="宋体" w:hAnsi="宋体" w:cstheme="minorEastAsia"/>
                <w:bCs/>
                <w:sz w:val="16"/>
                <w:szCs w:val="16"/>
              </w:rPr>
            </w:pPr>
          </w:p>
        </w:tc>
        <w:tc>
          <w:tcPr>
            <w:tcW w:w="1016" w:type="dxa"/>
            <w:vAlign w:val="center"/>
          </w:tcPr>
          <w:p w14:paraId="422F05B1">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20FA206F">
            <w:pPr>
              <w:jc w:val="both"/>
              <w:textAlignment w:val="center"/>
              <w:rPr>
                <w:rFonts w:ascii="宋体" w:hAnsi="宋体"/>
                <w:sz w:val="16"/>
                <w:szCs w:val="16"/>
              </w:rPr>
            </w:pPr>
            <w:r>
              <w:rPr>
                <w:rFonts w:ascii="宋体" w:hAnsi="宋体"/>
                <w:sz w:val="16"/>
                <w:szCs w:val="16"/>
              </w:rPr>
              <w:t>6</w:t>
            </w:r>
          </w:p>
        </w:tc>
        <w:tc>
          <w:tcPr>
            <w:tcW w:w="0" w:type="auto"/>
            <w:vAlign w:val="center"/>
          </w:tcPr>
          <w:p w14:paraId="36BB0097">
            <w:pPr>
              <w:jc w:val="both"/>
              <w:textAlignment w:val="center"/>
              <w:rPr>
                <w:rFonts w:ascii="宋体" w:hAnsi="宋体" w:cstheme="minorEastAsia"/>
                <w:bCs/>
                <w:sz w:val="16"/>
                <w:szCs w:val="16"/>
                <w:highlight w:val="yellow"/>
              </w:rPr>
            </w:pPr>
          </w:p>
        </w:tc>
        <w:tc>
          <w:tcPr>
            <w:tcW w:w="0" w:type="auto"/>
            <w:vAlign w:val="center"/>
          </w:tcPr>
          <w:p w14:paraId="3F127886">
            <w:pPr>
              <w:jc w:val="both"/>
              <w:textAlignment w:val="center"/>
              <w:rPr>
                <w:rFonts w:ascii="宋体" w:hAnsi="宋体" w:cstheme="minorEastAsia"/>
                <w:bCs/>
                <w:sz w:val="16"/>
                <w:szCs w:val="16"/>
                <w:highlight w:val="yellow"/>
              </w:rPr>
            </w:pPr>
          </w:p>
        </w:tc>
        <w:tc>
          <w:tcPr>
            <w:tcW w:w="0" w:type="auto"/>
            <w:vAlign w:val="center"/>
          </w:tcPr>
          <w:p w14:paraId="42A67416">
            <w:pPr>
              <w:jc w:val="both"/>
              <w:textAlignment w:val="center"/>
              <w:rPr>
                <w:rFonts w:ascii="宋体" w:hAnsi="宋体" w:cstheme="minorEastAsia"/>
                <w:bCs/>
                <w:sz w:val="16"/>
                <w:szCs w:val="16"/>
                <w:highlight w:val="yellow"/>
              </w:rPr>
            </w:pPr>
          </w:p>
        </w:tc>
        <w:tc>
          <w:tcPr>
            <w:tcW w:w="0" w:type="auto"/>
            <w:shd w:val="clear" w:color="auto" w:fill="auto"/>
            <w:vAlign w:val="center"/>
          </w:tcPr>
          <w:p w14:paraId="06C04DCE">
            <w:pPr>
              <w:snapToGrid w:val="0"/>
              <w:jc w:val="both"/>
              <w:rPr>
                <w:rFonts w:ascii="宋体" w:hAnsi="宋体" w:cstheme="minorEastAsia"/>
                <w:bCs/>
                <w:sz w:val="16"/>
                <w:szCs w:val="16"/>
              </w:rPr>
            </w:pPr>
          </w:p>
        </w:tc>
      </w:tr>
      <w:tr w14:paraId="403D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CCFB252">
            <w:pPr>
              <w:snapToGrid w:val="0"/>
              <w:jc w:val="both"/>
              <w:rPr>
                <w:rFonts w:ascii="宋体" w:hAnsi="宋体" w:cstheme="minorEastAsia"/>
                <w:bCs/>
                <w:sz w:val="16"/>
                <w:szCs w:val="16"/>
              </w:rPr>
            </w:pPr>
            <w:r>
              <w:rPr>
                <w:rFonts w:ascii="宋体" w:hAnsi="宋体"/>
                <w:color w:val="000000"/>
                <w:sz w:val="16"/>
                <w:szCs w:val="16"/>
              </w:rPr>
              <w:t>1.5.3</w:t>
            </w:r>
          </w:p>
        </w:tc>
        <w:tc>
          <w:tcPr>
            <w:tcW w:w="1484" w:type="dxa"/>
            <w:tcBorders>
              <w:top w:val="single" w:color="auto" w:sz="4" w:space="0"/>
            </w:tcBorders>
            <w:vAlign w:val="center"/>
          </w:tcPr>
          <w:p w14:paraId="36F8AF82">
            <w:pPr>
              <w:snapToGrid w:val="0"/>
              <w:jc w:val="both"/>
              <w:rPr>
                <w:rFonts w:ascii="宋体" w:hAnsi="宋体"/>
                <w:sz w:val="16"/>
                <w:szCs w:val="16"/>
              </w:rPr>
            </w:pPr>
            <w:r>
              <w:rPr>
                <w:rFonts w:hint="eastAsia" w:ascii="宋体" w:hAnsi="宋体"/>
                <w:sz w:val="16"/>
                <w:szCs w:val="16"/>
              </w:rPr>
              <w:t>负压计量表</w:t>
            </w:r>
          </w:p>
        </w:tc>
        <w:tc>
          <w:tcPr>
            <w:tcW w:w="4601" w:type="dxa"/>
            <w:vAlign w:val="center"/>
          </w:tcPr>
          <w:p w14:paraId="7D71DF25">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DN300</w:t>
            </w:r>
            <w:r>
              <w:rPr>
                <w:rFonts w:hint="eastAsia" w:ascii="宋体" w:hAnsi="宋体"/>
                <w:sz w:val="16"/>
                <w:szCs w:val="16"/>
              </w:rPr>
              <w:t>；压力：</w:t>
            </w:r>
            <w:r>
              <w:rPr>
                <w:rFonts w:ascii="宋体" w:hAnsi="宋体"/>
                <w:sz w:val="16"/>
                <w:szCs w:val="16"/>
              </w:rPr>
              <w:t>-0.1MPa</w:t>
            </w:r>
            <w:r>
              <w:rPr>
                <w:rFonts w:hint="eastAsia" w:ascii="宋体" w:hAnsi="宋体"/>
                <w:sz w:val="16"/>
                <w:szCs w:val="16"/>
              </w:rPr>
              <w:t>；温度：</w:t>
            </w:r>
            <w:r>
              <w:rPr>
                <w:rFonts w:ascii="宋体" w:hAnsi="宋体"/>
                <w:sz w:val="16"/>
                <w:szCs w:val="16"/>
              </w:rPr>
              <w:t>50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148A953E">
            <w:pPr>
              <w:snapToGrid w:val="0"/>
              <w:jc w:val="both"/>
              <w:rPr>
                <w:rFonts w:ascii="宋体" w:hAnsi="宋体" w:cstheme="minorEastAsia"/>
                <w:bCs/>
                <w:sz w:val="16"/>
                <w:szCs w:val="16"/>
              </w:rPr>
            </w:pPr>
          </w:p>
        </w:tc>
        <w:tc>
          <w:tcPr>
            <w:tcW w:w="0" w:type="auto"/>
            <w:vAlign w:val="center"/>
          </w:tcPr>
          <w:p w14:paraId="238C164F">
            <w:pPr>
              <w:jc w:val="both"/>
              <w:textAlignment w:val="center"/>
              <w:rPr>
                <w:rFonts w:ascii="宋体" w:hAnsi="宋体" w:cstheme="minorEastAsia"/>
                <w:bCs/>
                <w:sz w:val="16"/>
                <w:szCs w:val="16"/>
              </w:rPr>
            </w:pPr>
          </w:p>
        </w:tc>
        <w:tc>
          <w:tcPr>
            <w:tcW w:w="0" w:type="auto"/>
            <w:vAlign w:val="center"/>
          </w:tcPr>
          <w:p w14:paraId="5040A3AC">
            <w:pPr>
              <w:jc w:val="both"/>
              <w:textAlignment w:val="center"/>
              <w:rPr>
                <w:rFonts w:ascii="宋体" w:hAnsi="宋体" w:cstheme="minorEastAsia"/>
                <w:bCs/>
                <w:sz w:val="16"/>
                <w:szCs w:val="16"/>
              </w:rPr>
            </w:pPr>
          </w:p>
        </w:tc>
        <w:tc>
          <w:tcPr>
            <w:tcW w:w="1016" w:type="dxa"/>
            <w:vAlign w:val="center"/>
          </w:tcPr>
          <w:p w14:paraId="5AD3E88E">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0E8D7F15">
            <w:pPr>
              <w:jc w:val="both"/>
              <w:textAlignment w:val="center"/>
              <w:rPr>
                <w:rFonts w:ascii="宋体" w:hAnsi="宋体"/>
                <w:sz w:val="16"/>
                <w:szCs w:val="16"/>
              </w:rPr>
            </w:pPr>
            <w:r>
              <w:rPr>
                <w:rFonts w:ascii="宋体" w:hAnsi="宋体"/>
                <w:sz w:val="16"/>
                <w:szCs w:val="16"/>
              </w:rPr>
              <w:t>5</w:t>
            </w:r>
          </w:p>
        </w:tc>
        <w:tc>
          <w:tcPr>
            <w:tcW w:w="0" w:type="auto"/>
            <w:vAlign w:val="center"/>
          </w:tcPr>
          <w:p w14:paraId="655106E4">
            <w:pPr>
              <w:jc w:val="both"/>
              <w:textAlignment w:val="center"/>
              <w:rPr>
                <w:rFonts w:ascii="宋体" w:hAnsi="宋体" w:cstheme="minorEastAsia"/>
                <w:bCs/>
                <w:sz w:val="16"/>
                <w:szCs w:val="16"/>
                <w:highlight w:val="yellow"/>
              </w:rPr>
            </w:pPr>
          </w:p>
        </w:tc>
        <w:tc>
          <w:tcPr>
            <w:tcW w:w="0" w:type="auto"/>
            <w:vAlign w:val="center"/>
          </w:tcPr>
          <w:p w14:paraId="708256DB">
            <w:pPr>
              <w:jc w:val="both"/>
              <w:textAlignment w:val="center"/>
              <w:rPr>
                <w:rFonts w:ascii="宋体" w:hAnsi="宋体" w:cstheme="minorEastAsia"/>
                <w:bCs/>
                <w:sz w:val="16"/>
                <w:szCs w:val="16"/>
                <w:highlight w:val="yellow"/>
              </w:rPr>
            </w:pPr>
          </w:p>
        </w:tc>
        <w:tc>
          <w:tcPr>
            <w:tcW w:w="0" w:type="auto"/>
            <w:vAlign w:val="center"/>
          </w:tcPr>
          <w:p w14:paraId="534AFD54">
            <w:pPr>
              <w:jc w:val="both"/>
              <w:textAlignment w:val="center"/>
              <w:rPr>
                <w:rFonts w:ascii="宋体" w:hAnsi="宋体" w:cstheme="minorEastAsia"/>
                <w:bCs/>
                <w:sz w:val="16"/>
                <w:szCs w:val="16"/>
                <w:highlight w:val="yellow"/>
              </w:rPr>
            </w:pPr>
          </w:p>
        </w:tc>
        <w:tc>
          <w:tcPr>
            <w:tcW w:w="0" w:type="auto"/>
            <w:shd w:val="clear" w:color="auto" w:fill="auto"/>
            <w:vAlign w:val="center"/>
          </w:tcPr>
          <w:p w14:paraId="7EE55D66">
            <w:pPr>
              <w:snapToGrid w:val="0"/>
              <w:jc w:val="both"/>
              <w:rPr>
                <w:rFonts w:ascii="宋体" w:hAnsi="宋体" w:cstheme="minorEastAsia"/>
                <w:bCs/>
                <w:sz w:val="16"/>
                <w:szCs w:val="16"/>
              </w:rPr>
            </w:pPr>
          </w:p>
        </w:tc>
      </w:tr>
      <w:tr w14:paraId="39C7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F9F3A6A">
            <w:pPr>
              <w:snapToGrid w:val="0"/>
              <w:jc w:val="both"/>
              <w:rPr>
                <w:rFonts w:ascii="宋体" w:hAnsi="宋体" w:cstheme="minorEastAsia"/>
                <w:bCs/>
                <w:sz w:val="16"/>
                <w:szCs w:val="16"/>
              </w:rPr>
            </w:pPr>
            <w:r>
              <w:rPr>
                <w:rFonts w:ascii="宋体" w:hAnsi="宋体"/>
                <w:color w:val="000000"/>
                <w:sz w:val="16"/>
                <w:szCs w:val="16"/>
              </w:rPr>
              <w:t>1.5.4</w:t>
            </w:r>
          </w:p>
        </w:tc>
        <w:tc>
          <w:tcPr>
            <w:tcW w:w="1484" w:type="dxa"/>
            <w:tcBorders>
              <w:top w:val="single" w:color="auto" w:sz="4" w:space="0"/>
            </w:tcBorders>
            <w:vAlign w:val="center"/>
          </w:tcPr>
          <w:p w14:paraId="1A90FD54">
            <w:pPr>
              <w:snapToGrid w:val="0"/>
              <w:jc w:val="both"/>
              <w:rPr>
                <w:rFonts w:ascii="宋体" w:hAnsi="宋体"/>
                <w:sz w:val="16"/>
                <w:szCs w:val="16"/>
              </w:rPr>
            </w:pPr>
            <w:r>
              <w:rPr>
                <w:rFonts w:hint="eastAsia" w:ascii="宋体" w:hAnsi="宋体"/>
                <w:sz w:val="16"/>
                <w:szCs w:val="16"/>
              </w:rPr>
              <w:t>负压计量表</w:t>
            </w:r>
          </w:p>
        </w:tc>
        <w:tc>
          <w:tcPr>
            <w:tcW w:w="4601" w:type="dxa"/>
            <w:vAlign w:val="center"/>
          </w:tcPr>
          <w:p w14:paraId="47534D11">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DN500</w:t>
            </w:r>
            <w:r>
              <w:rPr>
                <w:rFonts w:hint="eastAsia" w:ascii="宋体" w:hAnsi="宋体"/>
                <w:sz w:val="16"/>
                <w:szCs w:val="16"/>
              </w:rPr>
              <w:t>；压力：</w:t>
            </w:r>
            <w:r>
              <w:rPr>
                <w:rFonts w:ascii="宋体" w:hAnsi="宋体"/>
                <w:sz w:val="16"/>
                <w:szCs w:val="16"/>
              </w:rPr>
              <w:t>-0.1MPa</w:t>
            </w:r>
            <w:r>
              <w:rPr>
                <w:rFonts w:hint="eastAsia" w:ascii="宋体" w:hAnsi="宋体"/>
                <w:sz w:val="16"/>
                <w:szCs w:val="16"/>
              </w:rPr>
              <w:t>；温度：</w:t>
            </w:r>
            <w:r>
              <w:rPr>
                <w:rFonts w:ascii="宋体" w:hAnsi="宋体"/>
                <w:sz w:val="16"/>
                <w:szCs w:val="16"/>
              </w:rPr>
              <w:t>50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61C05EF0">
            <w:pPr>
              <w:snapToGrid w:val="0"/>
              <w:jc w:val="both"/>
              <w:rPr>
                <w:rFonts w:ascii="宋体" w:hAnsi="宋体" w:cstheme="minorEastAsia"/>
                <w:bCs/>
                <w:sz w:val="16"/>
                <w:szCs w:val="16"/>
              </w:rPr>
            </w:pPr>
          </w:p>
        </w:tc>
        <w:tc>
          <w:tcPr>
            <w:tcW w:w="0" w:type="auto"/>
            <w:vAlign w:val="center"/>
          </w:tcPr>
          <w:p w14:paraId="2C070E41">
            <w:pPr>
              <w:jc w:val="both"/>
              <w:textAlignment w:val="center"/>
              <w:rPr>
                <w:rFonts w:ascii="宋体" w:hAnsi="宋体" w:cstheme="minorEastAsia"/>
                <w:bCs/>
                <w:sz w:val="16"/>
                <w:szCs w:val="16"/>
              </w:rPr>
            </w:pPr>
          </w:p>
        </w:tc>
        <w:tc>
          <w:tcPr>
            <w:tcW w:w="0" w:type="auto"/>
            <w:vAlign w:val="center"/>
          </w:tcPr>
          <w:p w14:paraId="25BAB120">
            <w:pPr>
              <w:jc w:val="both"/>
              <w:textAlignment w:val="center"/>
              <w:rPr>
                <w:rFonts w:ascii="宋体" w:hAnsi="宋体" w:cstheme="minorEastAsia"/>
                <w:bCs/>
                <w:sz w:val="16"/>
                <w:szCs w:val="16"/>
              </w:rPr>
            </w:pPr>
          </w:p>
        </w:tc>
        <w:tc>
          <w:tcPr>
            <w:tcW w:w="1016" w:type="dxa"/>
            <w:vAlign w:val="center"/>
          </w:tcPr>
          <w:p w14:paraId="0629E67B">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107BA599">
            <w:pPr>
              <w:jc w:val="both"/>
              <w:textAlignment w:val="center"/>
              <w:rPr>
                <w:rFonts w:ascii="宋体" w:hAnsi="宋体"/>
                <w:sz w:val="16"/>
                <w:szCs w:val="16"/>
              </w:rPr>
            </w:pPr>
            <w:r>
              <w:rPr>
                <w:rFonts w:ascii="宋体" w:hAnsi="宋体"/>
                <w:sz w:val="16"/>
                <w:szCs w:val="16"/>
              </w:rPr>
              <w:t>1</w:t>
            </w:r>
          </w:p>
        </w:tc>
        <w:tc>
          <w:tcPr>
            <w:tcW w:w="0" w:type="auto"/>
            <w:vAlign w:val="center"/>
          </w:tcPr>
          <w:p w14:paraId="728C98CC">
            <w:pPr>
              <w:jc w:val="both"/>
              <w:textAlignment w:val="center"/>
              <w:rPr>
                <w:rFonts w:ascii="宋体" w:hAnsi="宋体" w:cstheme="minorEastAsia"/>
                <w:bCs/>
                <w:sz w:val="16"/>
                <w:szCs w:val="16"/>
                <w:highlight w:val="yellow"/>
              </w:rPr>
            </w:pPr>
          </w:p>
        </w:tc>
        <w:tc>
          <w:tcPr>
            <w:tcW w:w="0" w:type="auto"/>
            <w:vAlign w:val="center"/>
          </w:tcPr>
          <w:p w14:paraId="16CECF7C">
            <w:pPr>
              <w:jc w:val="both"/>
              <w:textAlignment w:val="center"/>
              <w:rPr>
                <w:rFonts w:ascii="宋体" w:hAnsi="宋体" w:cstheme="minorEastAsia"/>
                <w:bCs/>
                <w:sz w:val="16"/>
                <w:szCs w:val="16"/>
                <w:highlight w:val="yellow"/>
              </w:rPr>
            </w:pPr>
          </w:p>
        </w:tc>
        <w:tc>
          <w:tcPr>
            <w:tcW w:w="0" w:type="auto"/>
            <w:vAlign w:val="center"/>
          </w:tcPr>
          <w:p w14:paraId="16FA87D0">
            <w:pPr>
              <w:jc w:val="both"/>
              <w:textAlignment w:val="center"/>
              <w:rPr>
                <w:rFonts w:ascii="宋体" w:hAnsi="宋体" w:cstheme="minorEastAsia"/>
                <w:bCs/>
                <w:sz w:val="16"/>
                <w:szCs w:val="16"/>
                <w:highlight w:val="yellow"/>
              </w:rPr>
            </w:pPr>
          </w:p>
        </w:tc>
        <w:tc>
          <w:tcPr>
            <w:tcW w:w="0" w:type="auto"/>
            <w:shd w:val="clear" w:color="auto" w:fill="auto"/>
            <w:vAlign w:val="center"/>
          </w:tcPr>
          <w:p w14:paraId="24390025">
            <w:pPr>
              <w:snapToGrid w:val="0"/>
              <w:jc w:val="both"/>
              <w:rPr>
                <w:rFonts w:ascii="宋体" w:hAnsi="宋体" w:cstheme="minorEastAsia"/>
                <w:bCs/>
                <w:sz w:val="16"/>
                <w:szCs w:val="16"/>
              </w:rPr>
            </w:pPr>
          </w:p>
        </w:tc>
      </w:tr>
      <w:tr w14:paraId="79A8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0996FF3">
            <w:pPr>
              <w:snapToGrid w:val="0"/>
              <w:jc w:val="both"/>
              <w:rPr>
                <w:rFonts w:ascii="宋体" w:hAnsi="宋体" w:cstheme="minorEastAsia"/>
                <w:b/>
                <w:bCs/>
                <w:sz w:val="16"/>
                <w:szCs w:val="16"/>
              </w:rPr>
            </w:pPr>
            <w:r>
              <w:rPr>
                <w:rFonts w:hint="eastAsia" w:ascii="宋体" w:hAnsi="宋体" w:cstheme="minorEastAsia"/>
                <w:b/>
                <w:bCs/>
                <w:sz w:val="16"/>
                <w:szCs w:val="16"/>
              </w:rPr>
              <w:t>1.6</w:t>
            </w:r>
          </w:p>
        </w:tc>
        <w:tc>
          <w:tcPr>
            <w:tcW w:w="13138" w:type="dxa"/>
            <w:gridSpan w:val="11"/>
            <w:vAlign w:val="center"/>
          </w:tcPr>
          <w:p w14:paraId="3968844F">
            <w:pPr>
              <w:snapToGrid w:val="0"/>
              <w:jc w:val="both"/>
              <w:rPr>
                <w:rFonts w:ascii="宋体" w:hAnsi="宋体" w:cstheme="minorEastAsia"/>
                <w:b/>
                <w:bCs/>
                <w:sz w:val="16"/>
                <w:szCs w:val="16"/>
              </w:rPr>
            </w:pPr>
            <w:r>
              <w:rPr>
                <w:rFonts w:hint="eastAsia" w:ascii="宋体" w:hAnsi="宋体"/>
                <w:b/>
                <w:sz w:val="16"/>
                <w:szCs w:val="16"/>
              </w:rPr>
              <w:t>天然气计量表</w:t>
            </w:r>
          </w:p>
        </w:tc>
      </w:tr>
      <w:tr w14:paraId="67BE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DE7B679">
            <w:pPr>
              <w:snapToGrid w:val="0"/>
              <w:jc w:val="both"/>
              <w:rPr>
                <w:rFonts w:ascii="宋体" w:hAnsi="宋体" w:cstheme="minorEastAsia"/>
                <w:bCs/>
                <w:sz w:val="16"/>
                <w:szCs w:val="16"/>
              </w:rPr>
            </w:pPr>
            <w:r>
              <w:rPr>
                <w:rFonts w:hint="eastAsia" w:ascii="宋体" w:hAnsi="宋体" w:cstheme="minorEastAsia"/>
                <w:bCs/>
                <w:sz w:val="16"/>
                <w:szCs w:val="16"/>
              </w:rPr>
              <w:t>1.6.1</w:t>
            </w:r>
          </w:p>
        </w:tc>
        <w:tc>
          <w:tcPr>
            <w:tcW w:w="1484" w:type="dxa"/>
            <w:tcBorders>
              <w:top w:val="single" w:color="auto" w:sz="4" w:space="0"/>
            </w:tcBorders>
            <w:vAlign w:val="center"/>
          </w:tcPr>
          <w:p w14:paraId="2D50099D">
            <w:pPr>
              <w:snapToGrid w:val="0"/>
              <w:jc w:val="both"/>
              <w:rPr>
                <w:rFonts w:ascii="宋体" w:hAnsi="宋体"/>
                <w:sz w:val="16"/>
                <w:szCs w:val="16"/>
              </w:rPr>
            </w:pPr>
            <w:r>
              <w:rPr>
                <w:rFonts w:hint="eastAsia" w:ascii="宋体" w:hAnsi="宋体"/>
                <w:sz w:val="16"/>
                <w:szCs w:val="16"/>
              </w:rPr>
              <w:t>天然气计量表</w:t>
            </w:r>
          </w:p>
        </w:tc>
        <w:tc>
          <w:tcPr>
            <w:tcW w:w="4601" w:type="dxa"/>
            <w:vAlign w:val="center"/>
          </w:tcPr>
          <w:p w14:paraId="728D94B6">
            <w:pPr>
              <w:snapToGrid w:val="0"/>
              <w:jc w:val="both"/>
              <w:rPr>
                <w:rFonts w:ascii="宋体" w:hAnsi="宋体"/>
                <w:sz w:val="16"/>
                <w:szCs w:val="16"/>
              </w:rPr>
            </w:pPr>
            <w:r>
              <w:rPr>
                <w:rFonts w:hint="eastAsia" w:ascii="宋体" w:hAnsi="宋体"/>
                <w:sz w:val="16"/>
                <w:szCs w:val="16"/>
              </w:rPr>
              <w:t>管径：</w:t>
            </w:r>
            <w:r>
              <w:rPr>
                <w:rFonts w:ascii="宋体" w:hAnsi="宋体"/>
                <w:sz w:val="16"/>
                <w:szCs w:val="16"/>
              </w:rPr>
              <w:t>DN50</w:t>
            </w:r>
            <w:r>
              <w:rPr>
                <w:rFonts w:hint="eastAsia" w:ascii="宋体" w:hAnsi="宋体"/>
                <w:sz w:val="16"/>
                <w:szCs w:val="16"/>
              </w:rPr>
              <w:t>；压力：</w:t>
            </w:r>
            <w:r>
              <w:rPr>
                <w:rFonts w:ascii="宋体" w:hAnsi="宋体"/>
                <w:sz w:val="16"/>
                <w:szCs w:val="16"/>
              </w:rPr>
              <w:t>0.2MPa</w:t>
            </w:r>
            <w:r>
              <w:rPr>
                <w:rFonts w:hint="eastAsia" w:ascii="宋体" w:hAnsi="宋体"/>
                <w:sz w:val="16"/>
                <w:szCs w:val="16"/>
              </w:rPr>
              <w:t>；温度：</w:t>
            </w:r>
            <w:r>
              <w:rPr>
                <w:rFonts w:ascii="宋体" w:hAnsi="宋体"/>
                <w:sz w:val="16"/>
                <w:szCs w:val="16"/>
              </w:rPr>
              <w:t>50</w:t>
            </w:r>
            <w:r>
              <w:rPr>
                <w:rFonts w:hint="eastAsia" w:ascii="宋体" w:hAnsi="宋体"/>
                <w:sz w:val="16"/>
                <w:szCs w:val="16"/>
              </w:rPr>
              <w:t>℃；通信：无线或</w:t>
            </w:r>
            <w:r>
              <w:rPr>
                <w:rFonts w:ascii="宋体" w:hAnsi="宋体"/>
                <w:sz w:val="16"/>
                <w:szCs w:val="16"/>
              </w:rPr>
              <w:t>RS485 modbus-RTU</w:t>
            </w:r>
          </w:p>
        </w:tc>
        <w:tc>
          <w:tcPr>
            <w:tcW w:w="2022" w:type="dxa"/>
            <w:vAlign w:val="center"/>
          </w:tcPr>
          <w:p w14:paraId="3C8F11AA">
            <w:pPr>
              <w:snapToGrid w:val="0"/>
              <w:jc w:val="both"/>
              <w:rPr>
                <w:rFonts w:ascii="宋体" w:hAnsi="宋体" w:cstheme="minorEastAsia"/>
                <w:bCs/>
                <w:sz w:val="16"/>
                <w:szCs w:val="16"/>
              </w:rPr>
            </w:pPr>
          </w:p>
        </w:tc>
        <w:tc>
          <w:tcPr>
            <w:tcW w:w="0" w:type="auto"/>
            <w:vAlign w:val="center"/>
          </w:tcPr>
          <w:p w14:paraId="57A570DC">
            <w:pPr>
              <w:jc w:val="both"/>
              <w:textAlignment w:val="center"/>
              <w:rPr>
                <w:rFonts w:ascii="宋体" w:hAnsi="宋体" w:cstheme="minorEastAsia"/>
                <w:bCs/>
                <w:sz w:val="16"/>
                <w:szCs w:val="16"/>
              </w:rPr>
            </w:pPr>
          </w:p>
        </w:tc>
        <w:tc>
          <w:tcPr>
            <w:tcW w:w="0" w:type="auto"/>
            <w:vAlign w:val="center"/>
          </w:tcPr>
          <w:p w14:paraId="00E79A6B">
            <w:pPr>
              <w:jc w:val="both"/>
              <w:textAlignment w:val="center"/>
              <w:rPr>
                <w:rFonts w:ascii="宋体" w:hAnsi="宋体" w:cstheme="minorEastAsia"/>
                <w:bCs/>
                <w:sz w:val="16"/>
                <w:szCs w:val="16"/>
              </w:rPr>
            </w:pPr>
          </w:p>
        </w:tc>
        <w:tc>
          <w:tcPr>
            <w:tcW w:w="1016" w:type="dxa"/>
            <w:vAlign w:val="center"/>
          </w:tcPr>
          <w:p w14:paraId="501B9CF6">
            <w:pPr>
              <w:jc w:val="both"/>
              <w:textAlignment w:val="center"/>
              <w:rPr>
                <w:rFonts w:ascii="宋体" w:hAnsi="宋体"/>
                <w:sz w:val="16"/>
                <w:szCs w:val="16"/>
              </w:rPr>
            </w:pPr>
            <w:r>
              <w:rPr>
                <w:rFonts w:hint="eastAsia" w:ascii="宋体" w:hAnsi="宋体"/>
                <w:sz w:val="16"/>
                <w:szCs w:val="16"/>
              </w:rPr>
              <w:t>块</w:t>
            </w:r>
          </w:p>
        </w:tc>
        <w:tc>
          <w:tcPr>
            <w:tcW w:w="609" w:type="dxa"/>
            <w:vAlign w:val="center"/>
          </w:tcPr>
          <w:p w14:paraId="4E617C02">
            <w:pPr>
              <w:jc w:val="both"/>
              <w:textAlignment w:val="center"/>
              <w:rPr>
                <w:rFonts w:ascii="宋体" w:hAnsi="宋体"/>
                <w:sz w:val="16"/>
                <w:szCs w:val="16"/>
              </w:rPr>
            </w:pPr>
            <w:r>
              <w:rPr>
                <w:rFonts w:ascii="宋体" w:hAnsi="宋体"/>
                <w:sz w:val="16"/>
                <w:szCs w:val="16"/>
              </w:rPr>
              <w:t>3</w:t>
            </w:r>
          </w:p>
        </w:tc>
        <w:tc>
          <w:tcPr>
            <w:tcW w:w="0" w:type="auto"/>
            <w:vAlign w:val="center"/>
          </w:tcPr>
          <w:p w14:paraId="0CDF3A96">
            <w:pPr>
              <w:jc w:val="both"/>
              <w:textAlignment w:val="center"/>
              <w:rPr>
                <w:rFonts w:ascii="宋体" w:hAnsi="宋体" w:cstheme="minorEastAsia"/>
                <w:bCs/>
                <w:sz w:val="16"/>
                <w:szCs w:val="16"/>
                <w:highlight w:val="yellow"/>
              </w:rPr>
            </w:pPr>
          </w:p>
        </w:tc>
        <w:tc>
          <w:tcPr>
            <w:tcW w:w="0" w:type="auto"/>
            <w:vAlign w:val="center"/>
          </w:tcPr>
          <w:p w14:paraId="6AD74882">
            <w:pPr>
              <w:jc w:val="both"/>
              <w:textAlignment w:val="center"/>
              <w:rPr>
                <w:rFonts w:ascii="宋体" w:hAnsi="宋体" w:cstheme="minorEastAsia"/>
                <w:bCs/>
                <w:sz w:val="16"/>
                <w:szCs w:val="16"/>
                <w:highlight w:val="yellow"/>
              </w:rPr>
            </w:pPr>
          </w:p>
        </w:tc>
        <w:tc>
          <w:tcPr>
            <w:tcW w:w="0" w:type="auto"/>
            <w:vAlign w:val="center"/>
          </w:tcPr>
          <w:p w14:paraId="60059005">
            <w:pPr>
              <w:jc w:val="both"/>
              <w:textAlignment w:val="center"/>
              <w:rPr>
                <w:rFonts w:ascii="宋体" w:hAnsi="宋体" w:cstheme="minorEastAsia"/>
                <w:bCs/>
                <w:sz w:val="16"/>
                <w:szCs w:val="16"/>
                <w:highlight w:val="yellow"/>
              </w:rPr>
            </w:pPr>
          </w:p>
        </w:tc>
        <w:tc>
          <w:tcPr>
            <w:tcW w:w="0" w:type="auto"/>
            <w:shd w:val="clear" w:color="auto" w:fill="auto"/>
            <w:vAlign w:val="center"/>
          </w:tcPr>
          <w:p w14:paraId="50730621">
            <w:pPr>
              <w:snapToGrid w:val="0"/>
              <w:jc w:val="both"/>
              <w:rPr>
                <w:rFonts w:ascii="宋体" w:hAnsi="宋体" w:cstheme="minorEastAsia"/>
                <w:bCs/>
                <w:sz w:val="16"/>
                <w:szCs w:val="16"/>
              </w:rPr>
            </w:pPr>
          </w:p>
        </w:tc>
      </w:tr>
      <w:tr w14:paraId="547C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7074190E">
            <w:pPr>
              <w:snapToGrid w:val="0"/>
              <w:jc w:val="both"/>
              <w:rPr>
                <w:rFonts w:ascii="宋体" w:hAnsi="宋体" w:cstheme="minorEastAsia"/>
                <w:b/>
                <w:bCs/>
                <w:sz w:val="16"/>
                <w:szCs w:val="16"/>
              </w:rPr>
            </w:pPr>
            <w:r>
              <w:rPr>
                <w:rFonts w:hint="eastAsia" w:ascii="宋体" w:hAnsi="宋体" w:cstheme="minorEastAsia"/>
                <w:b/>
                <w:bCs/>
                <w:sz w:val="16"/>
                <w:szCs w:val="16"/>
              </w:rPr>
              <w:t>1.7</w:t>
            </w:r>
          </w:p>
        </w:tc>
        <w:tc>
          <w:tcPr>
            <w:tcW w:w="13138" w:type="dxa"/>
            <w:gridSpan w:val="11"/>
            <w:vAlign w:val="center"/>
          </w:tcPr>
          <w:p w14:paraId="30F224D9">
            <w:pPr>
              <w:snapToGrid w:val="0"/>
              <w:jc w:val="both"/>
              <w:rPr>
                <w:rFonts w:ascii="宋体" w:hAnsi="宋体" w:cstheme="minorEastAsia"/>
                <w:b/>
                <w:bCs/>
                <w:sz w:val="16"/>
                <w:szCs w:val="16"/>
              </w:rPr>
            </w:pPr>
            <w:r>
              <w:rPr>
                <w:rFonts w:hint="eastAsia" w:ascii="宋体" w:hAnsi="宋体"/>
                <w:b/>
                <w:sz w:val="16"/>
                <w:szCs w:val="16"/>
              </w:rPr>
              <w:t>无线通信数采</w:t>
            </w:r>
          </w:p>
        </w:tc>
      </w:tr>
      <w:tr w14:paraId="3075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36C383C">
            <w:pPr>
              <w:snapToGrid w:val="0"/>
              <w:jc w:val="both"/>
              <w:rPr>
                <w:rFonts w:ascii="宋体" w:hAnsi="宋体" w:cstheme="minorEastAsia"/>
                <w:bCs/>
                <w:sz w:val="16"/>
                <w:szCs w:val="16"/>
              </w:rPr>
            </w:pPr>
            <w:r>
              <w:rPr>
                <w:rFonts w:ascii="宋体" w:hAnsi="宋体"/>
                <w:color w:val="000000"/>
                <w:sz w:val="16"/>
                <w:szCs w:val="16"/>
              </w:rPr>
              <w:t>1.7.1</w:t>
            </w:r>
          </w:p>
        </w:tc>
        <w:tc>
          <w:tcPr>
            <w:tcW w:w="1484" w:type="dxa"/>
            <w:tcBorders>
              <w:top w:val="single" w:color="auto" w:sz="4" w:space="0"/>
            </w:tcBorders>
            <w:vAlign w:val="center"/>
          </w:tcPr>
          <w:p w14:paraId="09B618F0">
            <w:pPr>
              <w:snapToGrid w:val="0"/>
              <w:jc w:val="both"/>
              <w:rPr>
                <w:rFonts w:ascii="宋体" w:hAnsi="宋体"/>
                <w:sz w:val="16"/>
                <w:szCs w:val="16"/>
              </w:rPr>
            </w:pPr>
            <w:r>
              <w:rPr>
                <w:rFonts w:hint="eastAsia" w:ascii="宋体" w:hAnsi="宋体"/>
                <w:sz w:val="16"/>
                <w:szCs w:val="16"/>
              </w:rPr>
              <w:t>无线数采发射端</w:t>
            </w:r>
          </w:p>
        </w:tc>
        <w:tc>
          <w:tcPr>
            <w:tcW w:w="4601" w:type="dxa"/>
            <w:vAlign w:val="center"/>
          </w:tcPr>
          <w:p w14:paraId="29E75913">
            <w:pPr>
              <w:snapToGrid w:val="0"/>
              <w:jc w:val="both"/>
              <w:rPr>
                <w:rFonts w:ascii="宋体" w:hAnsi="宋体"/>
                <w:sz w:val="16"/>
                <w:szCs w:val="16"/>
              </w:rPr>
            </w:pPr>
            <w:r>
              <w:rPr>
                <w:rFonts w:ascii="宋体" w:hAnsi="宋体"/>
                <w:sz w:val="16"/>
                <w:szCs w:val="16"/>
              </w:rPr>
              <w:t>LORA</w:t>
            </w:r>
            <w:r>
              <w:rPr>
                <w:rFonts w:hint="eastAsia" w:ascii="宋体" w:hAnsi="宋体"/>
                <w:sz w:val="16"/>
                <w:szCs w:val="16"/>
              </w:rPr>
              <w:t>发射端</w:t>
            </w:r>
            <w:r>
              <w:rPr>
                <w:rFonts w:ascii="宋体" w:hAnsi="宋体"/>
                <w:sz w:val="16"/>
                <w:szCs w:val="16"/>
              </w:rPr>
              <w:t>,</w:t>
            </w:r>
            <w:r>
              <w:rPr>
                <w:rFonts w:hint="eastAsia" w:ascii="宋体" w:hAnsi="宋体"/>
                <w:sz w:val="16"/>
                <w:szCs w:val="16"/>
              </w:rPr>
              <w:t>直线通信距离不小于</w:t>
            </w:r>
            <w:r>
              <w:rPr>
                <w:rFonts w:ascii="宋体" w:hAnsi="宋体"/>
                <w:sz w:val="16"/>
                <w:szCs w:val="16"/>
              </w:rPr>
              <w:t>1km</w:t>
            </w:r>
          </w:p>
        </w:tc>
        <w:tc>
          <w:tcPr>
            <w:tcW w:w="2022" w:type="dxa"/>
            <w:vAlign w:val="center"/>
          </w:tcPr>
          <w:p w14:paraId="2B50F5FC">
            <w:pPr>
              <w:snapToGrid w:val="0"/>
              <w:jc w:val="both"/>
              <w:rPr>
                <w:rFonts w:ascii="宋体" w:hAnsi="宋体" w:cstheme="minorEastAsia"/>
                <w:bCs/>
                <w:sz w:val="16"/>
                <w:szCs w:val="16"/>
              </w:rPr>
            </w:pPr>
          </w:p>
        </w:tc>
        <w:tc>
          <w:tcPr>
            <w:tcW w:w="0" w:type="auto"/>
            <w:vAlign w:val="center"/>
          </w:tcPr>
          <w:p w14:paraId="5BF99458">
            <w:pPr>
              <w:jc w:val="both"/>
              <w:textAlignment w:val="center"/>
              <w:rPr>
                <w:rFonts w:ascii="宋体" w:hAnsi="宋体" w:cstheme="minorEastAsia"/>
                <w:bCs/>
                <w:sz w:val="16"/>
                <w:szCs w:val="16"/>
              </w:rPr>
            </w:pPr>
          </w:p>
        </w:tc>
        <w:tc>
          <w:tcPr>
            <w:tcW w:w="0" w:type="auto"/>
            <w:vAlign w:val="center"/>
          </w:tcPr>
          <w:p w14:paraId="10BCDEF8">
            <w:pPr>
              <w:jc w:val="both"/>
              <w:textAlignment w:val="center"/>
              <w:rPr>
                <w:rFonts w:ascii="宋体" w:hAnsi="宋体" w:cstheme="minorEastAsia"/>
                <w:bCs/>
                <w:sz w:val="16"/>
                <w:szCs w:val="16"/>
              </w:rPr>
            </w:pPr>
          </w:p>
        </w:tc>
        <w:tc>
          <w:tcPr>
            <w:tcW w:w="1016" w:type="dxa"/>
            <w:vAlign w:val="center"/>
          </w:tcPr>
          <w:p w14:paraId="38C29242">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1B71B05E">
            <w:pPr>
              <w:jc w:val="both"/>
              <w:textAlignment w:val="center"/>
              <w:rPr>
                <w:rFonts w:ascii="宋体" w:hAnsi="宋体"/>
                <w:sz w:val="16"/>
                <w:szCs w:val="16"/>
              </w:rPr>
            </w:pPr>
            <w:r>
              <w:rPr>
                <w:rFonts w:ascii="宋体" w:hAnsi="宋体"/>
                <w:sz w:val="16"/>
                <w:szCs w:val="16"/>
              </w:rPr>
              <w:t>46</w:t>
            </w:r>
          </w:p>
        </w:tc>
        <w:tc>
          <w:tcPr>
            <w:tcW w:w="0" w:type="auto"/>
            <w:vAlign w:val="center"/>
          </w:tcPr>
          <w:p w14:paraId="7387B713">
            <w:pPr>
              <w:jc w:val="both"/>
              <w:textAlignment w:val="center"/>
              <w:rPr>
                <w:rFonts w:ascii="宋体" w:hAnsi="宋体" w:cstheme="minorEastAsia"/>
                <w:bCs/>
                <w:sz w:val="16"/>
                <w:szCs w:val="16"/>
                <w:highlight w:val="yellow"/>
              </w:rPr>
            </w:pPr>
          </w:p>
        </w:tc>
        <w:tc>
          <w:tcPr>
            <w:tcW w:w="0" w:type="auto"/>
            <w:vAlign w:val="center"/>
          </w:tcPr>
          <w:p w14:paraId="38874532">
            <w:pPr>
              <w:jc w:val="both"/>
              <w:textAlignment w:val="center"/>
              <w:rPr>
                <w:rFonts w:ascii="宋体" w:hAnsi="宋体" w:cstheme="minorEastAsia"/>
                <w:bCs/>
                <w:sz w:val="16"/>
                <w:szCs w:val="16"/>
                <w:highlight w:val="yellow"/>
              </w:rPr>
            </w:pPr>
          </w:p>
        </w:tc>
        <w:tc>
          <w:tcPr>
            <w:tcW w:w="0" w:type="auto"/>
            <w:vAlign w:val="center"/>
          </w:tcPr>
          <w:p w14:paraId="38765B38">
            <w:pPr>
              <w:jc w:val="both"/>
              <w:textAlignment w:val="center"/>
              <w:rPr>
                <w:rFonts w:ascii="宋体" w:hAnsi="宋体" w:cstheme="minorEastAsia"/>
                <w:bCs/>
                <w:sz w:val="16"/>
                <w:szCs w:val="16"/>
                <w:highlight w:val="yellow"/>
              </w:rPr>
            </w:pPr>
          </w:p>
        </w:tc>
        <w:tc>
          <w:tcPr>
            <w:tcW w:w="0" w:type="auto"/>
            <w:shd w:val="clear" w:color="auto" w:fill="auto"/>
            <w:vAlign w:val="center"/>
          </w:tcPr>
          <w:p w14:paraId="2F9634D5">
            <w:pPr>
              <w:snapToGrid w:val="0"/>
              <w:jc w:val="both"/>
              <w:rPr>
                <w:rFonts w:ascii="宋体" w:hAnsi="宋体" w:cstheme="minorEastAsia"/>
                <w:bCs/>
                <w:sz w:val="16"/>
                <w:szCs w:val="16"/>
              </w:rPr>
            </w:pPr>
          </w:p>
        </w:tc>
      </w:tr>
      <w:tr w14:paraId="43C6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B7F6B50">
            <w:pPr>
              <w:snapToGrid w:val="0"/>
              <w:jc w:val="both"/>
              <w:rPr>
                <w:rFonts w:ascii="宋体" w:hAnsi="宋体" w:cstheme="minorEastAsia"/>
                <w:bCs/>
                <w:sz w:val="16"/>
                <w:szCs w:val="16"/>
              </w:rPr>
            </w:pPr>
            <w:r>
              <w:rPr>
                <w:rFonts w:ascii="宋体" w:hAnsi="宋体"/>
                <w:color w:val="000000"/>
                <w:sz w:val="16"/>
                <w:szCs w:val="16"/>
              </w:rPr>
              <w:t>1.7.2</w:t>
            </w:r>
          </w:p>
        </w:tc>
        <w:tc>
          <w:tcPr>
            <w:tcW w:w="1484" w:type="dxa"/>
            <w:tcBorders>
              <w:top w:val="single" w:color="auto" w:sz="4" w:space="0"/>
            </w:tcBorders>
            <w:vAlign w:val="center"/>
          </w:tcPr>
          <w:p w14:paraId="5244A39E">
            <w:pPr>
              <w:snapToGrid w:val="0"/>
              <w:jc w:val="both"/>
              <w:rPr>
                <w:rFonts w:ascii="宋体" w:hAnsi="宋体"/>
                <w:sz w:val="16"/>
                <w:szCs w:val="16"/>
              </w:rPr>
            </w:pPr>
            <w:r>
              <w:rPr>
                <w:rFonts w:hint="eastAsia" w:ascii="宋体" w:hAnsi="宋体"/>
                <w:sz w:val="16"/>
                <w:szCs w:val="16"/>
              </w:rPr>
              <w:t>无线接收接收端</w:t>
            </w:r>
          </w:p>
        </w:tc>
        <w:tc>
          <w:tcPr>
            <w:tcW w:w="4601" w:type="dxa"/>
            <w:vAlign w:val="center"/>
          </w:tcPr>
          <w:p w14:paraId="2E45D026">
            <w:pPr>
              <w:snapToGrid w:val="0"/>
              <w:jc w:val="both"/>
              <w:rPr>
                <w:rFonts w:ascii="宋体" w:hAnsi="宋体"/>
                <w:sz w:val="16"/>
                <w:szCs w:val="16"/>
              </w:rPr>
            </w:pPr>
            <w:r>
              <w:rPr>
                <w:rFonts w:ascii="宋体" w:hAnsi="宋体"/>
                <w:sz w:val="16"/>
                <w:szCs w:val="16"/>
              </w:rPr>
              <w:t>LORA</w:t>
            </w:r>
            <w:r>
              <w:rPr>
                <w:rFonts w:hint="eastAsia" w:ascii="宋体" w:hAnsi="宋体"/>
                <w:sz w:val="16"/>
                <w:szCs w:val="16"/>
              </w:rPr>
              <w:t>接收端</w:t>
            </w:r>
            <w:r>
              <w:rPr>
                <w:rFonts w:ascii="宋体" w:hAnsi="宋体"/>
                <w:sz w:val="16"/>
                <w:szCs w:val="16"/>
              </w:rPr>
              <w:t>,</w:t>
            </w:r>
            <w:r>
              <w:rPr>
                <w:rFonts w:hint="eastAsia" w:ascii="宋体" w:hAnsi="宋体"/>
                <w:sz w:val="16"/>
                <w:szCs w:val="16"/>
              </w:rPr>
              <w:t>直线通信距离不小于</w:t>
            </w:r>
            <w:r>
              <w:rPr>
                <w:rFonts w:ascii="宋体" w:hAnsi="宋体"/>
                <w:sz w:val="16"/>
                <w:szCs w:val="16"/>
              </w:rPr>
              <w:t>1km</w:t>
            </w:r>
          </w:p>
        </w:tc>
        <w:tc>
          <w:tcPr>
            <w:tcW w:w="2022" w:type="dxa"/>
            <w:vAlign w:val="center"/>
          </w:tcPr>
          <w:p w14:paraId="474EFCEC">
            <w:pPr>
              <w:snapToGrid w:val="0"/>
              <w:jc w:val="both"/>
              <w:rPr>
                <w:rFonts w:ascii="宋体" w:hAnsi="宋体" w:cstheme="minorEastAsia"/>
                <w:bCs/>
                <w:sz w:val="16"/>
                <w:szCs w:val="16"/>
              </w:rPr>
            </w:pPr>
          </w:p>
        </w:tc>
        <w:tc>
          <w:tcPr>
            <w:tcW w:w="0" w:type="auto"/>
            <w:vAlign w:val="center"/>
          </w:tcPr>
          <w:p w14:paraId="3C49CFA3">
            <w:pPr>
              <w:jc w:val="both"/>
              <w:textAlignment w:val="center"/>
              <w:rPr>
                <w:rFonts w:ascii="宋体" w:hAnsi="宋体" w:cstheme="minorEastAsia"/>
                <w:bCs/>
                <w:sz w:val="16"/>
                <w:szCs w:val="16"/>
              </w:rPr>
            </w:pPr>
          </w:p>
        </w:tc>
        <w:tc>
          <w:tcPr>
            <w:tcW w:w="0" w:type="auto"/>
            <w:vAlign w:val="center"/>
          </w:tcPr>
          <w:p w14:paraId="76AF7B40">
            <w:pPr>
              <w:jc w:val="both"/>
              <w:textAlignment w:val="center"/>
              <w:rPr>
                <w:rFonts w:ascii="宋体" w:hAnsi="宋体" w:cstheme="minorEastAsia"/>
                <w:bCs/>
                <w:sz w:val="16"/>
                <w:szCs w:val="16"/>
              </w:rPr>
            </w:pPr>
          </w:p>
        </w:tc>
        <w:tc>
          <w:tcPr>
            <w:tcW w:w="1016" w:type="dxa"/>
            <w:vAlign w:val="center"/>
          </w:tcPr>
          <w:p w14:paraId="45183AB0">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4D905644">
            <w:pPr>
              <w:jc w:val="both"/>
              <w:textAlignment w:val="center"/>
              <w:rPr>
                <w:rFonts w:ascii="宋体" w:hAnsi="宋体"/>
                <w:sz w:val="16"/>
                <w:szCs w:val="16"/>
              </w:rPr>
            </w:pPr>
            <w:r>
              <w:rPr>
                <w:rFonts w:ascii="宋体" w:hAnsi="宋体"/>
                <w:sz w:val="16"/>
                <w:szCs w:val="16"/>
              </w:rPr>
              <w:t>8</w:t>
            </w:r>
          </w:p>
        </w:tc>
        <w:tc>
          <w:tcPr>
            <w:tcW w:w="0" w:type="auto"/>
            <w:vAlign w:val="center"/>
          </w:tcPr>
          <w:p w14:paraId="354A50DC">
            <w:pPr>
              <w:jc w:val="both"/>
              <w:textAlignment w:val="center"/>
              <w:rPr>
                <w:rFonts w:ascii="宋体" w:hAnsi="宋体" w:cstheme="minorEastAsia"/>
                <w:bCs/>
                <w:sz w:val="16"/>
                <w:szCs w:val="16"/>
                <w:highlight w:val="yellow"/>
              </w:rPr>
            </w:pPr>
          </w:p>
        </w:tc>
        <w:tc>
          <w:tcPr>
            <w:tcW w:w="0" w:type="auto"/>
            <w:vAlign w:val="center"/>
          </w:tcPr>
          <w:p w14:paraId="7F0CDFCF">
            <w:pPr>
              <w:jc w:val="both"/>
              <w:textAlignment w:val="center"/>
              <w:rPr>
                <w:rFonts w:ascii="宋体" w:hAnsi="宋体" w:cstheme="minorEastAsia"/>
                <w:bCs/>
                <w:sz w:val="16"/>
                <w:szCs w:val="16"/>
                <w:highlight w:val="yellow"/>
              </w:rPr>
            </w:pPr>
          </w:p>
        </w:tc>
        <w:tc>
          <w:tcPr>
            <w:tcW w:w="0" w:type="auto"/>
            <w:vAlign w:val="center"/>
          </w:tcPr>
          <w:p w14:paraId="2BF30AE0">
            <w:pPr>
              <w:jc w:val="both"/>
              <w:textAlignment w:val="center"/>
              <w:rPr>
                <w:rFonts w:ascii="宋体" w:hAnsi="宋体" w:cstheme="minorEastAsia"/>
                <w:bCs/>
                <w:sz w:val="16"/>
                <w:szCs w:val="16"/>
                <w:highlight w:val="yellow"/>
              </w:rPr>
            </w:pPr>
          </w:p>
        </w:tc>
        <w:tc>
          <w:tcPr>
            <w:tcW w:w="0" w:type="auto"/>
            <w:shd w:val="clear" w:color="auto" w:fill="auto"/>
            <w:vAlign w:val="center"/>
          </w:tcPr>
          <w:p w14:paraId="25F504D3">
            <w:pPr>
              <w:snapToGrid w:val="0"/>
              <w:jc w:val="both"/>
              <w:rPr>
                <w:rFonts w:ascii="宋体" w:hAnsi="宋体" w:cstheme="minorEastAsia"/>
                <w:bCs/>
                <w:sz w:val="16"/>
                <w:szCs w:val="16"/>
              </w:rPr>
            </w:pPr>
          </w:p>
        </w:tc>
      </w:tr>
      <w:tr w14:paraId="00F4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E38344E">
            <w:pPr>
              <w:snapToGrid w:val="0"/>
              <w:jc w:val="both"/>
              <w:rPr>
                <w:rFonts w:ascii="宋体" w:hAnsi="宋体" w:cstheme="minorEastAsia"/>
                <w:bCs/>
                <w:sz w:val="16"/>
                <w:szCs w:val="16"/>
              </w:rPr>
            </w:pPr>
            <w:r>
              <w:rPr>
                <w:rFonts w:ascii="宋体" w:hAnsi="宋体"/>
                <w:color w:val="000000"/>
                <w:sz w:val="16"/>
                <w:szCs w:val="16"/>
              </w:rPr>
              <w:t>1.7.3</w:t>
            </w:r>
          </w:p>
        </w:tc>
        <w:tc>
          <w:tcPr>
            <w:tcW w:w="1484" w:type="dxa"/>
            <w:tcBorders>
              <w:top w:val="single" w:color="auto" w:sz="4" w:space="0"/>
            </w:tcBorders>
            <w:vAlign w:val="center"/>
          </w:tcPr>
          <w:p w14:paraId="0D3B5EF8">
            <w:pPr>
              <w:snapToGrid w:val="0"/>
              <w:jc w:val="both"/>
              <w:rPr>
                <w:rFonts w:ascii="宋体" w:hAnsi="宋体"/>
                <w:sz w:val="16"/>
                <w:szCs w:val="16"/>
              </w:rPr>
            </w:pPr>
            <w:r>
              <w:rPr>
                <w:rFonts w:hint="eastAsia" w:ascii="宋体" w:hAnsi="宋体"/>
                <w:sz w:val="16"/>
                <w:szCs w:val="16"/>
              </w:rPr>
              <w:t>光纤交换机</w:t>
            </w:r>
          </w:p>
        </w:tc>
        <w:tc>
          <w:tcPr>
            <w:tcW w:w="4601" w:type="dxa"/>
            <w:vAlign w:val="center"/>
          </w:tcPr>
          <w:p w14:paraId="39B70046">
            <w:pPr>
              <w:snapToGrid w:val="0"/>
              <w:jc w:val="both"/>
              <w:rPr>
                <w:rFonts w:ascii="宋体" w:hAnsi="宋体"/>
                <w:sz w:val="16"/>
                <w:szCs w:val="16"/>
              </w:rPr>
            </w:pPr>
            <w:r>
              <w:rPr>
                <w:rFonts w:hint="eastAsia" w:ascii="宋体" w:hAnsi="宋体"/>
                <w:sz w:val="16"/>
                <w:szCs w:val="16"/>
              </w:rPr>
              <w:t>千兆光纤交换机，</w:t>
            </w:r>
            <w:r>
              <w:rPr>
                <w:rFonts w:ascii="宋体" w:hAnsi="宋体"/>
                <w:sz w:val="16"/>
                <w:szCs w:val="16"/>
              </w:rPr>
              <w:t>8</w:t>
            </w:r>
            <w:r>
              <w:rPr>
                <w:rFonts w:hint="eastAsia" w:ascii="宋体" w:hAnsi="宋体"/>
                <w:sz w:val="16"/>
                <w:szCs w:val="16"/>
              </w:rPr>
              <w:t>电</w:t>
            </w:r>
            <w:r>
              <w:rPr>
                <w:rFonts w:ascii="宋体" w:hAnsi="宋体"/>
                <w:sz w:val="16"/>
                <w:szCs w:val="16"/>
              </w:rPr>
              <w:t>+2</w:t>
            </w:r>
            <w:r>
              <w:rPr>
                <w:rFonts w:hint="eastAsia" w:ascii="宋体" w:hAnsi="宋体"/>
                <w:sz w:val="16"/>
                <w:szCs w:val="16"/>
              </w:rPr>
              <w:t>光，含</w:t>
            </w:r>
            <w:r>
              <w:rPr>
                <w:rFonts w:ascii="宋体" w:hAnsi="宋体"/>
                <w:sz w:val="16"/>
                <w:szCs w:val="16"/>
              </w:rPr>
              <w:t>SFP</w:t>
            </w:r>
            <w:r>
              <w:rPr>
                <w:rFonts w:hint="eastAsia" w:ascii="宋体" w:hAnsi="宋体"/>
                <w:sz w:val="16"/>
                <w:szCs w:val="16"/>
              </w:rPr>
              <w:t>模块</w:t>
            </w:r>
          </w:p>
        </w:tc>
        <w:tc>
          <w:tcPr>
            <w:tcW w:w="2022" w:type="dxa"/>
            <w:vAlign w:val="center"/>
          </w:tcPr>
          <w:p w14:paraId="3C924F67">
            <w:pPr>
              <w:snapToGrid w:val="0"/>
              <w:jc w:val="both"/>
              <w:rPr>
                <w:rFonts w:ascii="宋体" w:hAnsi="宋体" w:cstheme="minorEastAsia"/>
                <w:bCs/>
                <w:sz w:val="16"/>
                <w:szCs w:val="16"/>
              </w:rPr>
            </w:pPr>
          </w:p>
        </w:tc>
        <w:tc>
          <w:tcPr>
            <w:tcW w:w="0" w:type="auto"/>
            <w:vAlign w:val="center"/>
          </w:tcPr>
          <w:p w14:paraId="53FCF151">
            <w:pPr>
              <w:jc w:val="both"/>
              <w:textAlignment w:val="center"/>
              <w:rPr>
                <w:rFonts w:ascii="宋体" w:hAnsi="宋体" w:cstheme="minorEastAsia"/>
                <w:bCs/>
                <w:sz w:val="16"/>
                <w:szCs w:val="16"/>
              </w:rPr>
            </w:pPr>
          </w:p>
        </w:tc>
        <w:tc>
          <w:tcPr>
            <w:tcW w:w="0" w:type="auto"/>
            <w:vAlign w:val="center"/>
          </w:tcPr>
          <w:p w14:paraId="29C29488">
            <w:pPr>
              <w:jc w:val="both"/>
              <w:textAlignment w:val="center"/>
              <w:rPr>
                <w:rFonts w:ascii="宋体" w:hAnsi="宋体" w:cstheme="minorEastAsia"/>
                <w:bCs/>
                <w:sz w:val="16"/>
                <w:szCs w:val="16"/>
              </w:rPr>
            </w:pPr>
          </w:p>
        </w:tc>
        <w:tc>
          <w:tcPr>
            <w:tcW w:w="1016" w:type="dxa"/>
            <w:vAlign w:val="center"/>
          </w:tcPr>
          <w:p w14:paraId="28C8F2A9">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4011FB49">
            <w:pPr>
              <w:jc w:val="both"/>
              <w:textAlignment w:val="center"/>
              <w:rPr>
                <w:rFonts w:ascii="宋体" w:hAnsi="宋体"/>
                <w:sz w:val="16"/>
                <w:szCs w:val="16"/>
              </w:rPr>
            </w:pPr>
            <w:r>
              <w:rPr>
                <w:rFonts w:ascii="宋体" w:hAnsi="宋体"/>
                <w:sz w:val="16"/>
                <w:szCs w:val="16"/>
              </w:rPr>
              <w:t>8</w:t>
            </w:r>
          </w:p>
        </w:tc>
        <w:tc>
          <w:tcPr>
            <w:tcW w:w="0" w:type="auto"/>
            <w:vAlign w:val="center"/>
          </w:tcPr>
          <w:p w14:paraId="0CE1FAB6">
            <w:pPr>
              <w:jc w:val="both"/>
              <w:textAlignment w:val="center"/>
              <w:rPr>
                <w:rFonts w:ascii="宋体" w:hAnsi="宋体" w:cstheme="minorEastAsia"/>
                <w:bCs/>
                <w:sz w:val="16"/>
                <w:szCs w:val="16"/>
                <w:highlight w:val="yellow"/>
              </w:rPr>
            </w:pPr>
          </w:p>
        </w:tc>
        <w:tc>
          <w:tcPr>
            <w:tcW w:w="0" w:type="auto"/>
            <w:vAlign w:val="center"/>
          </w:tcPr>
          <w:p w14:paraId="545BCDC4">
            <w:pPr>
              <w:jc w:val="both"/>
              <w:textAlignment w:val="center"/>
              <w:rPr>
                <w:rFonts w:ascii="宋体" w:hAnsi="宋体" w:cstheme="minorEastAsia"/>
                <w:bCs/>
                <w:sz w:val="16"/>
                <w:szCs w:val="16"/>
                <w:highlight w:val="yellow"/>
              </w:rPr>
            </w:pPr>
          </w:p>
        </w:tc>
        <w:tc>
          <w:tcPr>
            <w:tcW w:w="0" w:type="auto"/>
            <w:vAlign w:val="center"/>
          </w:tcPr>
          <w:p w14:paraId="60F1B423">
            <w:pPr>
              <w:jc w:val="both"/>
              <w:textAlignment w:val="center"/>
              <w:rPr>
                <w:rFonts w:ascii="宋体" w:hAnsi="宋体" w:cstheme="minorEastAsia"/>
                <w:bCs/>
                <w:sz w:val="16"/>
                <w:szCs w:val="16"/>
                <w:highlight w:val="yellow"/>
              </w:rPr>
            </w:pPr>
          </w:p>
        </w:tc>
        <w:tc>
          <w:tcPr>
            <w:tcW w:w="0" w:type="auto"/>
            <w:shd w:val="clear" w:color="auto" w:fill="auto"/>
            <w:vAlign w:val="center"/>
          </w:tcPr>
          <w:p w14:paraId="33989E0C">
            <w:pPr>
              <w:snapToGrid w:val="0"/>
              <w:jc w:val="both"/>
              <w:rPr>
                <w:rFonts w:ascii="宋体" w:hAnsi="宋体" w:cstheme="minorEastAsia"/>
                <w:bCs/>
                <w:sz w:val="16"/>
                <w:szCs w:val="16"/>
              </w:rPr>
            </w:pPr>
          </w:p>
        </w:tc>
      </w:tr>
      <w:tr w14:paraId="1AB9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69B59352">
            <w:pPr>
              <w:snapToGrid w:val="0"/>
              <w:jc w:val="both"/>
              <w:rPr>
                <w:rFonts w:ascii="宋体" w:hAnsi="宋体" w:cstheme="minorEastAsia"/>
                <w:bCs/>
                <w:sz w:val="16"/>
                <w:szCs w:val="16"/>
              </w:rPr>
            </w:pPr>
            <w:r>
              <w:rPr>
                <w:rFonts w:ascii="宋体" w:hAnsi="宋体"/>
                <w:color w:val="000000"/>
                <w:sz w:val="16"/>
                <w:szCs w:val="16"/>
              </w:rPr>
              <w:t>1.7.4</w:t>
            </w:r>
          </w:p>
        </w:tc>
        <w:tc>
          <w:tcPr>
            <w:tcW w:w="1484" w:type="dxa"/>
            <w:tcBorders>
              <w:top w:val="single" w:color="auto" w:sz="4" w:space="0"/>
            </w:tcBorders>
            <w:vAlign w:val="center"/>
          </w:tcPr>
          <w:p w14:paraId="75E1A90C">
            <w:pPr>
              <w:snapToGrid w:val="0"/>
              <w:jc w:val="both"/>
              <w:rPr>
                <w:rFonts w:ascii="宋体" w:hAnsi="宋体"/>
                <w:sz w:val="16"/>
                <w:szCs w:val="16"/>
              </w:rPr>
            </w:pPr>
            <w:r>
              <w:rPr>
                <w:rFonts w:hint="eastAsia" w:ascii="宋体" w:hAnsi="宋体"/>
                <w:sz w:val="16"/>
                <w:szCs w:val="16"/>
              </w:rPr>
              <w:t>数采箱</w:t>
            </w:r>
          </w:p>
        </w:tc>
        <w:tc>
          <w:tcPr>
            <w:tcW w:w="4601" w:type="dxa"/>
            <w:vAlign w:val="center"/>
          </w:tcPr>
          <w:p w14:paraId="6D1F1FA7">
            <w:pPr>
              <w:snapToGrid w:val="0"/>
              <w:jc w:val="both"/>
              <w:rPr>
                <w:rFonts w:ascii="宋体" w:hAnsi="宋体"/>
                <w:sz w:val="16"/>
                <w:szCs w:val="16"/>
              </w:rPr>
            </w:pPr>
            <w:r>
              <w:rPr>
                <w:rFonts w:hint="eastAsia" w:ascii="宋体" w:hAnsi="宋体"/>
                <w:sz w:val="16"/>
                <w:szCs w:val="16"/>
              </w:rPr>
              <w:t>室外遮雨棚、导轨、柜内配电断路器、浪涌保护器、接线端子、电源等；</w:t>
            </w:r>
          </w:p>
        </w:tc>
        <w:tc>
          <w:tcPr>
            <w:tcW w:w="2022" w:type="dxa"/>
            <w:vAlign w:val="center"/>
          </w:tcPr>
          <w:p w14:paraId="5E0E31E4">
            <w:pPr>
              <w:snapToGrid w:val="0"/>
              <w:jc w:val="both"/>
              <w:rPr>
                <w:rFonts w:ascii="宋体" w:hAnsi="宋体" w:cstheme="minorEastAsia"/>
                <w:bCs/>
                <w:sz w:val="16"/>
                <w:szCs w:val="16"/>
              </w:rPr>
            </w:pPr>
          </w:p>
        </w:tc>
        <w:tc>
          <w:tcPr>
            <w:tcW w:w="0" w:type="auto"/>
            <w:vAlign w:val="center"/>
          </w:tcPr>
          <w:p w14:paraId="619CEB24">
            <w:pPr>
              <w:jc w:val="both"/>
              <w:textAlignment w:val="center"/>
              <w:rPr>
                <w:rFonts w:ascii="宋体" w:hAnsi="宋体" w:cstheme="minorEastAsia"/>
                <w:bCs/>
                <w:sz w:val="16"/>
                <w:szCs w:val="16"/>
              </w:rPr>
            </w:pPr>
          </w:p>
        </w:tc>
        <w:tc>
          <w:tcPr>
            <w:tcW w:w="0" w:type="auto"/>
            <w:vAlign w:val="center"/>
          </w:tcPr>
          <w:p w14:paraId="5BF5B2D2">
            <w:pPr>
              <w:jc w:val="both"/>
              <w:textAlignment w:val="center"/>
              <w:rPr>
                <w:rFonts w:ascii="宋体" w:hAnsi="宋体" w:cstheme="minorEastAsia"/>
                <w:bCs/>
                <w:sz w:val="16"/>
                <w:szCs w:val="16"/>
              </w:rPr>
            </w:pPr>
          </w:p>
        </w:tc>
        <w:tc>
          <w:tcPr>
            <w:tcW w:w="1016" w:type="dxa"/>
            <w:vAlign w:val="center"/>
          </w:tcPr>
          <w:p w14:paraId="7BDA0DF5">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775670E1">
            <w:pPr>
              <w:jc w:val="both"/>
              <w:textAlignment w:val="center"/>
              <w:rPr>
                <w:rFonts w:ascii="宋体" w:hAnsi="宋体"/>
                <w:sz w:val="16"/>
                <w:szCs w:val="16"/>
              </w:rPr>
            </w:pPr>
            <w:r>
              <w:rPr>
                <w:rFonts w:ascii="宋体" w:hAnsi="宋体"/>
                <w:sz w:val="16"/>
                <w:szCs w:val="16"/>
              </w:rPr>
              <w:t>8</w:t>
            </w:r>
          </w:p>
        </w:tc>
        <w:tc>
          <w:tcPr>
            <w:tcW w:w="0" w:type="auto"/>
            <w:vAlign w:val="center"/>
          </w:tcPr>
          <w:p w14:paraId="4A3551C3">
            <w:pPr>
              <w:jc w:val="both"/>
              <w:textAlignment w:val="center"/>
              <w:rPr>
                <w:rFonts w:ascii="宋体" w:hAnsi="宋体" w:cstheme="minorEastAsia"/>
                <w:bCs/>
                <w:sz w:val="16"/>
                <w:szCs w:val="16"/>
                <w:highlight w:val="yellow"/>
              </w:rPr>
            </w:pPr>
          </w:p>
        </w:tc>
        <w:tc>
          <w:tcPr>
            <w:tcW w:w="0" w:type="auto"/>
            <w:vAlign w:val="center"/>
          </w:tcPr>
          <w:p w14:paraId="7A8E8093">
            <w:pPr>
              <w:jc w:val="both"/>
              <w:textAlignment w:val="center"/>
              <w:rPr>
                <w:rFonts w:ascii="宋体" w:hAnsi="宋体" w:cstheme="minorEastAsia"/>
                <w:bCs/>
                <w:sz w:val="16"/>
                <w:szCs w:val="16"/>
                <w:highlight w:val="yellow"/>
              </w:rPr>
            </w:pPr>
          </w:p>
        </w:tc>
        <w:tc>
          <w:tcPr>
            <w:tcW w:w="0" w:type="auto"/>
            <w:vAlign w:val="center"/>
          </w:tcPr>
          <w:p w14:paraId="47E78655">
            <w:pPr>
              <w:jc w:val="both"/>
              <w:textAlignment w:val="center"/>
              <w:rPr>
                <w:rFonts w:ascii="宋体" w:hAnsi="宋体" w:cstheme="minorEastAsia"/>
                <w:bCs/>
                <w:sz w:val="16"/>
                <w:szCs w:val="16"/>
                <w:highlight w:val="yellow"/>
              </w:rPr>
            </w:pPr>
          </w:p>
        </w:tc>
        <w:tc>
          <w:tcPr>
            <w:tcW w:w="0" w:type="auto"/>
            <w:shd w:val="clear" w:color="auto" w:fill="auto"/>
            <w:vAlign w:val="center"/>
          </w:tcPr>
          <w:p w14:paraId="18193955">
            <w:pPr>
              <w:snapToGrid w:val="0"/>
              <w:jc w:val="both"/>
              <w:rPr>
                <w:rFonts w:ascii="宋体" w:hAnsi="宋体" w:cstheme="minorEastAsia"/>
                <w:bCs/>
                <w:sz w:val="16"/>
                <w:szCs w:val="16"/>
              </w:rPr>
            </w:pPr>
          </w:p>
        </w:tc>
      </w:tr>
      <w:tr w14:paraId="1BA8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CE079F6">
            <w:pPr>
              <w:snapToGrid w:val="0"/>
              <w:jc w:val="both"/>
              <w:rPr>
                <w:rFonts w:ascii="宋体" w:hAnsi="宋体" w:cstheme="minorEastAsia"/>
                <w:bCs/>
                <w:sz w:val="16"/>
                <w:szCs w:val="16"/>
              </w:rPr>
            </w:pPr>
            <w:r>
              <w:rPr>
                <w:rFonts w:ascii="宋体" w:hAnsi="宋体"/>
                <w:color w:val="000000"/>
                <w:sz w:val="16"/>
                <w:szCs w:val="16"/>
              </w:rPr>
              <w:t>1.7.5</w:t>
            </w:r>
          </w:p>
        </w:tc>
        <w:tc>
          <w:tcPr>
            <w:tcW w:w="1484" w:type="dxa"/>
            <w:tcBorders>
              <w:top w:val="single" w:color="auto" w:sz="4" w:space="0"/>
            </w:tcBorders>
            <w:vAlign w:val="center"/>
          </w:tcPr>
          <w:p w14:paraId="5AB3B45F">
            <w:pPr>
              <w:snapToGrid w:val="0"/>
              <w:jc w:val="both"/>
              <w:rPr>
                <w:rFonts w:ascii="宋体" w:hAnsi="宋体"/>
                <w:sz w:val="16"/>
                <w:szCs w:val="16"/>
              </w:rPr>
            </w:pPr>
            <w:r>
              <w:rPr>
                <w:rFonts w:hint="eastAsia" w:ascii="宋体" w:hAnsi="宋体"/>
                <w:sz w:val="16"/>
                <w:szCs w:val="16"/>
              </w:rPr>
              <w:t>收发端不锈钢数采箱</w:t>
            </w:r>
          </w:p>
        </w:tc>
        <w:tc>
          <w:tcPr>
            <w:tcW w:w="4601" w:type="dxa"/>
            <w:vAlign w:val="center"/>
          </w:tcPr>
          <w:p w14:paraId="3B1B90D4">
            <w:pPr>
              <w:snapToGrid w:val="0"/>
              <w:jc w:val="both"/>
              <w:rPr>
                <w:rFonts w:ascii="宋体" w:hAnsi="宋体"/>
                <w:sz w:val="16"/>
                <w:szCs w:val="16"/>
              </w:rPr>
            </w:pPr>
            <w:r>
              <w:rPr>
                <w:rFonts w:hint="eastAsia" w:ascii="宋体" w:hAnsi="宋体"/>
                <w:sz w:val="16"/>
                <w:szCs w:val="16"/>
              </w:rPr>
              <w:t>室外不锈钢数采箱，室外遮雨棚、导轨、柜内配电断路器、浪涌保护器、接线端子、电源等；</w:t>
            </w:r>
          </w:p>
        </w:tc>
        <w:tc>
          <w:tcPr>
            <w:tcW w:w="2022" w:type="dxa"/>
            <w:vAlign w:val="center"/>
          </w:tcPr>
          <w:p w14:paraId="2B8FF992">
            <w:pPr>
              <w:snapToGrid w:val="0"/>
              <w:jc w:val="both"/>
              <w:rPr>
                <w:rFonts w:ascii="宋体" w:hAnsi="宋体" w:cstheme="minorEastAsia"/>
                <w:bCs/>
                <w:sz w:val="16"/>
                <w:szCs w:val="16"/>
              </w:rPr>
            </w:pPr>
          </w:p>
        </w:tc>
        <w:tc>
          <w:tcPr>
            <w:tcW w:w="0" w:type="auto"/>
            <w:vAlign w:val="center"/>
          </w:tcPr>
          <w:p w14:paraId="4D6626BD">
            <w:pPr>
              <w:jc w:val="both"/>
              <w:textAlignment w:val="center"/>
              <w:rPr>
                <w:rFonts w:ascii="宋体" w:hAnsi="宋体" w:cstheme="minorEastAsia"/>
                <w:bCs/>
                <w:sz w:val="16"/>
                <w:szCs w:val="16"/>
              </w:rPr>
            </w:pPr>
          </w:p>
        </w:tc>
        <w:tc>
          <w:tcPr>
            <w:tcW w:w="0" w:type="auto"/>
            <w:vAlign w:val="center"/>
          </w:tcPr>
          <w:p w14:paraId="62E8EC30">
            <w:pPr>
              <w:jc w:val="both"/>
              <w:textAlignment w:val="center"/>
              <w:rPr>
                <w:rFonts w:ascii="宋体" w:hAnsi="宋体" w:cstheme="minorEastAsia"/>
                <w:bCs/>
                <w:sz w:val="16"/>
                <w:szCs w:val="16"/>
              </w:rPr>
            </w:pPr>
          </w:p>
        </w:tc>
        <w:tc>
          <w:tcPr>
            <w:tcW w:w="1016" w:type="dxa"/>
            <w:vAlign w:val="center"/>
          </w:tcPr>
          <w:p w14:paraId="1CB9CAE0">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1EA8BA42">
            <w:pPr>
              <w:jc w:val="both"/>
              <w:textAlignment w:val="center"/>
              <w:rPr>
                <w:rFonts w:ascii="宋体" w:hAnsi="宋体"/>
                <w:sz w:val="16"/>
                <w:szCs w:val="16"/>
              </w:rPr>
            </w:pPr>
            <w:r>
              <w:rPr>
                <w:rFonts w:ascii="宋体" w:hAnsi="宋体"/>
                <w:sz w:val="16"/>
                <w:szCs w:val="16"/>
              </w:rPr>
              <w:t>39</w:t>
            </w:r>
          </w:p>
        </w:tc>
        <w:tc>
          <w:tcPr>
            <w:tcW w:w="0" w:type="auto"/>
            <w:vAlign w:val="center"/>
          </w:tcPr>
          <w:p w14:paraId="49FE495F">
            <w:pPr>
              <w:jc w:val="both"/>
              <w:textAlignment w:val="center"/>
              <w:rPr>
                <w:rFonts w:ascii="宋体" w:hAnsi="宋体" w:cstheme="minorEastAsia"/>
                <w:bCs/>
                <w:sz w:val="16"/>
                <w:szCs w:val="16"/>
                <w:highlight w:val="yellow"/>
              </w:rPr>
            </w:pPr>
          </w:p>
        </w:tc>
        <w:tc>
          <w:tcPr>
            <w:tcW w:w="0" w:type="auto"/>
            <w:vAlign w:val="center"/>
          </w:tcPr>
          <w:p w14:paraId="3B51A1B8">
            <w:pPr>
              <w:jc w:val="both"/>
              <w:textAlignment w:val="center"/>
              <w:rPr>
                <w:rFonts w:ascii="宋体" w:hAnsi="宋体" w:cstheme="minorEastAsia"/>
                <w:bCs/>
                <w:sz w:val="16"/>
                <w:szCs w:val="16"/>
                <w:highlight w:val="yellow"/>
              </w:rPr>
            </w:pPr>
          </w:p>
        </w:tc>
        <w:tc>
          <w:tcPr>
            <w:tcW w:w="0" w:type="auto"/>
            <w:vAlign w:val="center"/>
          </w:tcPr>
          <w:p w14:paraId="45B5F260">
            <w:pPr>
              <w:jc w:val="both"/>
              <w:textAlignment w:val="center"/>
              <w:rPr>
                <w:rFonts w:ascii="宋体" w:hAnsi="宋体" w:cstheme="minorEastAsia"/>
                <w:bCs/>
                <w:sz w:val="16"/>
                <w:szCs w:val="16"/>
                <w:highlight w:val="yellow"/>
              </w:rPr>
            </w:pPr>
          </w:p>
        </w:tc>
        <w:tc>
          <w:tcPr>
            <w:tcW w:w="0" w:type="auto"/>
            <w:shd w:val="clear" w:color="auto" w:fill="auto"/>
            <w:vAlign w:val="center"/>
          </w:tcPr>
          <w:p w14:paraId="7020213E">
            <w:pPr>
              <w:snapToGrid w:val="0"/>
              <w:jc w:val="both"/>
              <w:rPr>
                <w:rFonts w:ascii="宋体" w:hAnsi="宋体" w:cstheme="minorEastAsia"/>
                <w:bCs/>
                <w:sz w:val="16"/>
                <w:szCs w:val="16"/>
              </w:rPr>
            </w:pPr>
          </w:p>
        </w:tc>
      </w:tr>
      <w:tr w14:paraId="3734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3AF61F6">
            <w:pPr>
              <w:snapToGrid w:val="0"/>
              <w:jc w:val="both"/>
              <w:rPr>
                <w:rFonts w:ascii="宋体" w:hAnsi="宋体" w:cstheme="minorEastAsia"/>
                <w:b/>
                <w:bCs/>
                <w:sz w:val="16"/>
                <w:szCs w:val="16"/>
              </w:rPr>
            </w:pPr>
            <w:r>
              <w:rPr>
                <w:rFonts w:hint="eastAsia" w:ascii="宋体" w:hAnsi="宋体" w:cstheme="minorEastAsia"/>
                <w:b/>
                <w:bCs/>
                <w:sz w:val="16"/>
                <w:szCs w:val="16"/>
              </w:rPr>
              <w:t>1.8</w:t>
            </w:r>
          </w:p>
        </w:tc>
        <w:tc>
          <w:tcPr>
            <w:tcW w:w="13138" w:type="dxa"/>
            <w:gridSpan w:val="11"/>
            <w:vAlign w:val="center"/>
          </w:tcPr>
          <w:p w14:paraId="1A4DD6C3">
            <w:pPr>
              <w:snapToGrid w:val="0"/>
              <w:jc w:val="both"/>
              <w:rPr>
                <w:rFonts w:ascii="宋体" w:hAnsi="宋体" w:cstheme="minorEastAsia"/>
                <w:b/>
                <w:bCs/>
                <w:sz w:val="16"/>
                <w:szCs w:val="16"/>
              </w:rPr>
            </w:pPr>
            <w:r>
              <w:rPr>
                <w:rFonts w:hint="eastAsia" w:ascii="宋体" w:hAnsi="宋体"/>
                <w:b/>
                <w:sz w:val="16"/>
                <w:szCs w:val="16"/>
              </w:rPr>
              <w:t>配电数采站</w:t>
            </w:r>
          </w:p>
        </w:tc>
      </w:tr>
      <w:tr w14:paraId="5A4C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1F1CDB9E">
            <w:pPr>
              <w:snapToGrid w:val="0"/>
              <w:jc w:val="both"/>
              <w:rPr>
                <w:rFonts w:ascii="宋体" w:hAnsi="宋体" w:cstheme="minorEastAsia"/>
                <w:bCs/>
                <w:sz w:val="16"/>
                <w:szCs w:val="16"/>
              </w:rPr>
            </w:pPr>
            <w:r>
              <w:rPr>
                <w:rFonts w:ascii="宋体" w:hAnsi="宋体"/>
                <w:color w:val="000000"/>
                <w:sz w:val="16"/>
                <w:szCs w:val="16"/>
              </w:rPr>
              <w:t>1.8.1</w:t>
            </w:r>
          </w:p>
        </w:tc>
        <w:tc>
          <w:tcPr>
            <w:tcW w:w="1484" w:type="dxa"/>
            <w:tcBorders>
              <w:top w:val="single" w:color="auto" w:sz="4" w:space="0"/>
            </w:tcBorders>
            <w:vAlign w:val="center"/>
          </w:tcPr>
          <w:p w14:paraId="3121F63F">
            <w:pPr>
              <w:snapToGrid w:val="0"/>
              <w:jc w:val="both"/>
              <w:rPr>
                <w:rFonts w:ascii="宋体" w:hAnsi="宋体"/>
                <w:sz w:val="16"/>
                <w:szCs w:val="16"/>
              </w:rPr>
            </w:pPr>
            <w:r>
              <w:rPr>
                <w:rFonts w:hint="eastAsia" w:ascii="宋体" w:hAnsi="宋体"/>
                <w:sz w:val="16"/>
                <w:szCs w:val="16"/>
              </w:rPr>
              <w:t>通信管理机</w:t>
            </w:r>
          </w:p>
        </w:tc>
        <w:tc>
          <w:tcPr>
            <w:tcW w:w="4601" w:type="dxa"/>
            <w:vAlign w:val="center"/>
          </w:tcPr>
          <w:p w14:paraId="7EF08B0D">
            <w:pPr>
              <w:snapToGrid w:val="0"/>
              <w:jc w:val="both"/>
              <w:rPr>
                <w:rFonts w:ascii="宋体" w:hAnsi="宋体"/>
                <w:sz w:val="16"/>
                <w:szCs w:val="16"/>
              </w:rPr>
            </w:pPr>
            <w:r>
              <w:rPr>
                <w:rFonts w:hint="eastAsia" w:ascii="宋体" w:hAnsi="宋体"/>
                <w:sz w:val="16"/>
                <w:szCs w:val="16"/>
              </w:rPr>
              <w:t>内置</w:t>
            </w:r>
            <w:r>
              <w:rPr>
                <w:rFonts w:ascii="宋体" w:hAnsi="宋体"/>
                <w:sz w:val="16"/>
                <w:szCs w:val="16"/>
              </w:rPr>
              <w:t>Ncomm</w:t>
            </w:r>
            <w:r>
              <w:rPr>
                <w:rFonts w:hint="eastAsia" w:ascii="宋体" w:hAnsi="宋体"/>
                <w:sz w:val="16"/>
                <w:szCs w:val="16"/>
              </w:rPr>
              <w:t>通信软件</w:t>
            </w:r>
            <w:r>
              <w:rPr>
                <w:rFonts w:ascii="宋体" w:hAnsi="宋体"/>
                <w:sz w:val="16"/>
                <w:szCs w:val="16"/>
              </w:rPr>
              <w:t xml:space="preserve"> ARM9</w:t>
            </w:r>
            <w:r>
              <w:rPr>
                <w:rFonts w:hint="eastAsia" w:ascii="宋体" w:hAnsi="宋体"/>
                <w:sz w:val="16"/>
                <w:szCs w:val="16"/>
              </w:rPr>
              <w:t>核心</w:t>
            </w:r>
            <w:r>
              <w:rPr>
                <w:rFonts w:ascii="宋体" w:hAnsi="宋体"/>
                <w:sz w:val="16"/>
                <w:szCs w:val="16"/>
              </w:rPr>
              <w:t xml:space="preserve"> 128M</w:t>
            </w:r>
            <w:r>
              <w:rPr>
                <w:rFonts w:hint="eastAsia" w:ascii="宋体" w:hAnsi="宋体"/>
                <w:sz w:val="16"/>
                <w:szCs w:val="16"/>
              </w:rPr>
              <w:t>内存</w:t>
            </w:r>
            <w:r>
              <w:rPr>
                <w:rFonts w:ascii="宋体" w:hAnsi="宋体"/>
                <w:sz w:val="16"/>
                <w:szCs w:val="16"/>
              </w:rPr>
              <w:t xml:space="preserve">  2</w:t>
            </w:r>
            <w:r>
              <w:rPr>
                <w:rFonts w:hint="eastAsia" w:ascii="宋体" w:hAnsi="宋体"/>
                <w:sz w:val="16"/>
                <w:szCs w:val="16"/>
              </w:rPr>
              <w:t>个网口</w:t>
            </w:r>
            <w:r>
              <w:rPr>
                <w:rFonts w:ascii="宋体" w:hAnsi="宋体"/>
                <w:sz w:val="16"/>
                <w:szCs w:val="16"/>
              </w:rPr>
              <w:t>16</w:t>
            </w:r>
            <w:r>
              <w:rPr>
                <w:rFonts w:hint="eastAsia" w:ascii="宋体" w:hAnsi="宋体"/>
                <w:sz w:val="16"/>
                <w:szCs w:val="16"/>
              </w:rPr>
              <w:t>个串口通信管理机</w:t>
            </w:r>
            <w:r>
              <w:rPr>
                <w:rFonts w:ascii="宋体" w:hAnsi="宋体"/>
                <w:sz w:val="16"/>
                <w:szCs w:val="16"/>
              </w:rPr>
              <w:t xml:space="preserve"> </w:t>
            </w:r>
            <w:r>
              <w:rPr>
                <w:rFonts w:hint="eastAsia" w:ascii="宋体" w:hAnsi="宋体"/>
                <w:sz w:val="16"/>
                <w:szCs w:val="16"/>
              </w:rPr>
              <w:t>机架式安装</w:t>
            </w:r>
            <w:r>
              <w:rPr>
                <w:rFonts w:ascii="宋体" w:hAnsi="宋体"/>
                <w:sz w:val="16"/>
                <w:szCs w:val="16"/>
              </w:rPr>
              <w:t xml:space="preserve"> </w:t>
            </w:r>
            <w:r>
              <w:rPr>
                <w:rFonts w:hint="eastAsia" w:ascii="宋体" w:hAnsi="宋体"/>
                <w:sz w:val="16"/>
                <w:szCs w:val="16"/>
              </w:rPr>
              <w:t>工作温度：</w:t>
            </w:r>
            <w:r>
              <w:rPr>
                <w:rFonts w:ascii="宋体" w:hAnsi="宋体"/>
                <w:sz w:val="16"/>
                <w:szCs w:val="16"/>
              </w:rPr>
              <w:t>-40~80</w:t>
            </w:r>
            <w:r>
              <w:rPr>
                <w:rFonts w:hint="eastAsia" w:ascii="宋体" w:hAnsi="宋体"/>
                <w:sz w:val="16"/>
                <w:szCs w:val="16"/>
              </w:rPr>
              <w:t>℃，支持</w:t>
            </w:r>
            <w:r>
              <w:rPr>
                <w:rFonts w:ascii="宋体" w:hAnsi="宋体"/>
                <w:sz w:val="16"/>
                <w:szCs w:val="16"/>
              </w:rPr>
              <w:t>20000</w:t>
            </w:r>
            <w:r>
              <w:rPr>
                <w:rFonts w:hint="eastAsia" w:ascii="宋体" w:hAnsi="宋体"/>
                <w:sz w:val="16"/>
                <w:szCs w:val="16"/>
              </w:rPr>
              <w:t>测点，</w:t>
            </w:r>
            <w:r>
              <w:rPr>
                <w:rFonts w:ascii="宋体" w:hAnsi="宋体"/>
                <w:sz w:val="16"/>
                <w:szCs w:val="16"/>
              </w:rPr>
              <w:t>16</w:t>
            </w:r>
            <w:r>
              <w:rPr>
                <w:rFonts w:hint="eastAsia" w:ascii="宋体" w:hAnsi="宋体"/>
                <w:sz w:val="16"/>
                <w:szCs w:val="16"/>
              </w:rPr>
              <w:t>口通信管理机</w:t>
            </w:r>
          </w:p>
        </w:tc>
        <w:tc>
          <w:tcPr>
            <w:tcW w:w="2022" w:type="dxa"/>
            <w:vAlign w:val="center"/>
          </w:tcPr>
          <w:p w14:paraId="6D136C74">
            <w:pPr>
              <w:snapToGrid w:val="0"/>
              <w:jc w:val="both"/>
              <w:rPr>
                <w:rFonts w:ascii="宋体" w:hAnsi="宋体" w:cstheme="minorEastAsia"/>
                <w:bCs/>
                <w:sz w:val="16"/>
                <w:szCs w:val="16"/>
              </w:rPr>
            </w:pPr>
          </w:p>
        </w:tc>
        <w:tc>
          <w:tcPr>
            <w:tcW w:w="0" w:type="auto"/>
            <w:vAlign w:val="center"/>
          </w:tcPr>
          <w:p w14:paraId="1D348C5D">
            <w:pPr>
              <w:jc w:val="both"/>
              <w:textAlignment w:val="center"/>
              <w:rPr>
                <w:rFonts w:ascii="宋体" w:hAnsi="宋体" w:cstheme="minorEastAsia"/>
                <w:bCs/>
                <w:sz w:val="16"/>
                <w:szCs w:val="16"/>
              </w:rPr>
            </w:pPr>
          </w:p>
        </w:tc>
        <w:tc>
          <w:tcPr>
            <w:tcW w:w="0" w:type="auto"/>
            <w:vAlign w:val="center"/>
          </w:tcPr>
          <w:p w14:paraId="03F986C2">
            <w:pPr>
              <w:jc w:val="both"/>
              <w:textAlignment w:val="center"/>
              <w:rPr>
                <w:rFonts w:ascii="宋体" w:hAnsi="宋体" w:cstheme="minorEastAsia"/>
                <w:bCs/>
                <w:sz w:val="16"/>
                <w:szCs w:val="16"/>
              </w:rPr>
            </w:pPr>
          </w:p>
        </w:tc>
        <w:tc>
          <w:tcPr>
            <w:tcW w:w="1016" w:type="dxa"/>
            <w:vAlign w:val="center"/>
          </w:tcPr>
          <w:p w14:paraId="16B37215">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7D2C4C8B">
            <w:pPr>
              <w:jc w:val="both"/>
              <w:textAlignment w:val="center"/>
              <w:rPr>
                <w:rFonts w:ascii="宋体" w:hAnsi="宋体"/>
                <w:sz w:val="16"/>
                <w:szCs w:val="16"/>
              </w:rPr>
            </w:pPr>
            <w:r>
              <w:rPr>
                <w:rFonts w:ascii="宋体" w:hAnsi="宋体"/>
                <w:sz w:val="16"/>
                <w:szCs w:val="16"/>
              </w:rPr>
              <w:t>4</w:t>
            </w:r>
          </w:p>
        </w:tc>
        <w:tc>
          <w:tcPr>
            <w:tcW w:w="0" w:type="auto"/>
            <w:vAlign w:val="center"/>
          </w:tcPr>
          <w:p w14:paraId="27816430">
            <w:pPr>
              <w:jc w:val="both"/>
              <w:textAlignment w:val="center"/>
              <w:rPr>
                <w:rFonts w:ascii="宋体" w:hAnsi="宋体" w:cstheme="minorEastAsia"/>
                <w:bCs/>
                <w:sz w:val="16"/>
                <w:szCs w:val="16"/>
                <w:highlight w:val="yellow"/>
              </w:rPr>
            </w:pPr>
          </w:p>
        </w:tc>
        <w:tc>
          <w:tcPr>
            <w:tcW w:w="0" w:type="auto"/>
            <w:vAlign w:val="center"/>
          </w:tcPr>
          <w:p w14:paraId="29ED4A4C">
            <w:pPr>
              <w:jc w:val="both"/>
              <w:textAlignment w:val="center"/>
              <w:rPr>
                <w:rFonts w:ascii="宋体" w:hAnsi="宋体" w:cstheme="minorEastAsia"/>
                <w:bCs/>
                <w:sz w:val="16"/>
                <w:szCs w:val="16"/>
                <w:highlight w:val="yellow"/>
              </w:rPr>
            </w:pPr>
          </w:p>
        </w:tc>
        <w:tc>
          <w:tcPr>
            <w:tcW w:w="0" w:type="auto"/>
            <w:vAlign w:val="center"/>
          </w:tcPr>
          <w:p w14:paraId="0F481CAE">
            <w:pPr>
              <w:jc w:val="both"/>
              <w:textAlignment w:val="center"/>
              <w:rPr>
                <w:rFonts w:ascii="宋体" w:hAnsi="宋体" w:cstheme="minorEastAsia"/>
                <w:bCs/>
                <w:sz w:val="16"/>
                <w:szCs w:val="16"/>
                <w:highlight w:val="yellow"/>
              </w:rPr>
            </w:pPr>
          </w:p>
        </w:tc>
        <w:tc>
          <w:tcPr>
            <w:tcW w:w="0" w:type="auto"/>
            <w:shd w:val="clear" w:color="auto" w:fill="auto"/>
            <w:vAlign w:val="center"/>
          </w:tcPr>
          <w:p w14:paraId="5C80F53C">
            <w:pPr>
              <w:snapToGrid w:val="0"/>
              <w:jc w:val="both"/>
              <w:rPr>
                <w:rFonts w:ascii="宋体" w:hAnsi="宋体" w:cstheme="minorEastAsia"/>
                <w:bCs/>
                <w:sz w:val="16"/>
                <w:szCs w:val="16"/>
              </w:rPr>
            </w:pPr>
          </w:p>
        </w:tc>
      </w:tr>
      <w:tr w14:paraId="4B0A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0E91958">
            <w:pPr>
              <w:snapToGrid w:val="0"/>
              <w:jc w:val="both"/>
              <w:rPr>
                <w:rFonts w:ascii="宋体" w:hAnsi="宋体" w:cstheme="minorEastAsia"/>
                <w:bCs/>
                <w:sz w:val="16"/>
                <w:szCs w:val="16"/>
              </w:rPr>
            </w:pPr>
            <w:r>
              <w:rPr>
                <w:rFonts w:ascii="宋体" w:hAnsi="宋体"/>
                <w:color w:val="000000"/>
                <w:sz w:val="16"/>
                <w:szCs w:val="16"/>
              </w:rPr>
              <w:t>1.8.2</w:t>
            </w:r>
          </w:p>
        </w:tc>
        <w:tc>
          <w:tcPr>
            <w:tcW w:w="1484" w:type="dxa"/>
            <w:tcBorders>
              <w:top w:val="single" w:color="auto" w:sz="4" w:space="0"/>
            </w:tcBorders>
            <w:vAlign w:val="center"/>
          </w:tcPr>
          <w:p w14:paraId="197E1FEF">
            <w:pPr>
              <w:snapToGrid w:val="0"/>
              <w:jc w:val="both"/>
              <w:rPr>
                <w:rFonts w:ascii="宋体" w:hAnsi="宋体"/>
                <w:sz w:val="16"/>
                <w:szCs w:val="16"/>
              </w:rPr>
            </w:pPr>
            <w:r>
              <w:rPr>
                <w:rFonts w:hint="eastAsia" w:ascii="宋体" w:hAnsi="宋体"/>
                <w:sz w:val="16"/>
                <w:szCs w:val="16"/>
              </w:rPr>
              <w:t>通信管理机</w:t>
            </w:r>
          </w:p>
        </w:tc>
        <w:tc>
          <w:tcPr>
            <w:tcW w:w="4601" w:type="dxa"/>
            <w:vAlign w:val="center"/>
          </w:tcPr>
          <w:p w14:paraId="169BDAEF">
            <w:pPr>
              <w:snapToGrid w:val="0"/>
              <w:jc w:val="both"/>
              <w:rPr>
                <w:rFonts w:ascii="宋体" w:hAnsi="宋体"/>
                <w:sz w:val="16"/>
                <w:szCs w:val="16"/>
              </w:rPr>
            </w:pPr>
            <w:r>
              <w:rPr>
                <w:rFonts w:hint="eastAsia" w:ascii="宋体" w:hAnsi="宋体"/>
                <w:sz w:val="16"/>
                <w:szCs w:val="16"/>
              </w:rPr>
              <w:t>内置</w:t>
            </w:r>
            <w:r>
              <w:rPr>
                <w:rFonts w:ascii="宋体" w:hAnsi="宋体"/>
                <w:sz w:val="16"/>
                <w:szCs w:val="16"/>
              </w:rPr>
              <w:t>Ncomm</w:t>
            </w:r>
            <w:r>
              <w:rPr>
                <w:rFonts w:hint="eastAsia" w:ascii="宋体" w:hAnsi="宋体"/>
                <w:sz w:val="16"/>
                <w:szCs w:val="16"/>
              </w:rPr>
              <w:t>通信软件</w:t>
            </w:r>
            <w:r>
              <w:rPr>
                <w:rFonts w:ascii="宋体" w:hAnsi="宋体"/>
                <w:sz w:val="16"/>
                <w:szCs w:val="16"/>
              </w:rPr>
              <w:t xml:space="preserve"> ARM9</w:t>
            </w:r>
            <w:r>
              <w:rPr>
                <w:rFonts w:hint="eastAsia" w:ascii="宋体" w:hAnsi="宋体"/>
                <w:sz w:val="16"/>
                <w:szCs w:val="16"/>
              </w:rPr>
              <w:t>核心</w:t>
            </w:r>
            <w:r>
              <w:rPr>
                <w:rFonts w:ascii="宋体" w:hAnsi="宋体"/>
                <w:sz w:val="16"/>
                <w:szCs w:val="16"/>
              </w:rPr>
              <w:t xml:space="preserve">  128M</w:t>
            </w:r>
            <w:r>
              <w:rPr>
                <w:rFonts w:hint="eastAsia" w:ascii="宋体" w:hAnsi="宋体"/>
                <w:sz w:val="16"/>
                <w:szCs w:val="16"/>
              </w:rPr>
              <w:t>内存</w:t>
            </w:r>
            <w:r>
              <w:rPr>
                <w:rFonts w:ascii="宋体" w:hAnsi="宋体"/>
                <w:sz w:val="16"/>
                <w:szCs w:val="16"/>
              </w:rPr>
              <w:t xml:space="preserve"> 1</w:t>
            </w:r>
            <w:r>
              <w:rPr>
                <w:rFonts w:hint="eastAsia" w:ascii="宋体" w:hAnsi="宋体"/>
                <w:sz w:val="16"/>
                <w:szCs w:val="16"/>
              </w:rPr>
              <w:t>个网口</w:t>
            </w:r>
            <w:r>
              <w:rPr>
                <w:rFonts w:ascii="宋体" w:hAnsi="宋体"/>
                <w:sz w:val="16"/>
                <w:szCs w:val="16"/>
              </w:rPr>
              <w:t>8</w:t>
            </w:r>
            <w:r>
              <w:rPr>
                <w:rFonts w:hint="eastAsia" w:ascii="宋体" w:hAnsi="宋体"/>
                <w:sz w:val="16"/>
                <w:szCs w:val="16"/>
              </w:rPr>
              <w:t>个隔离的</w:t>
            </w:r>
            <w:r>
              <w:rPr>
                <w:rFonts w:ascii="宋体" w:hAnsi="宋体"/>
                <w:sz w:val="16"/>
                <w:szCs w:val="16"/>
              </w:rPr>
              <w:t>RS485</w:t>
            </w:r>
            <w:r>
              <w:rPr>
                <w:rFonts w:hint="eastAsia" w:ascii="宋体" w:hAnsi="宋体"/>
                <w:sz w:val="16"/>
                <w:szCs w:val="16"/>
              </w:rPr>
              <w:t>串口</w:t>
            </w:r>
            <w:r>
              <w:rPr>
                <w:rFonts w:ascii="宋体" w:hAnsi="宋体"/>
                <w:sz w:val="16"/>
                <w:szCs w:val="16"/>
              </w:rPr>
              <w:t xml:space="preserve"> </w:t>
            </w:r>
            <w:r>
              <w:rPr>
                <w:rFonts w:hint="eastAsia" w:ascii="宋体" w:hAnsi="宋体"/>
                <w:sz w:val="16"/>
                <w:szCs w:val="16"/>
              </w:rPr>
              <w:t>通信管理机</w:t>
            </w:r>
            <w:r>
              <w:rPr>
                <w:rFonts w:ascii="宋体" w:hAnsi="宋体"/>
                <w:sz w:val="16"/>
                <w:szCs w:val="16"/>
              </w:rPr>
              <w:t xml:space="preserve"> 9~48V</w:t>
            </w:r>
            <w:r>
              <w:rPr>
                <w:rFonts w:hint="eastAsia" w:ascii="宋体" w:hAnsi="宋体"/>
                <w:sz w:val="16"/>
                <w:szCs w:val="16"/>
              </w:rPr>
              <w:t>供电</w:t>
            </w:r>
            <w:r>
              <w:rPr>
                <w:rFonts w:ascii="宋体" w:hAnsi="宋体"/>
                <w:sz w:val="16"/>
                <w:szCs w:val="16"/>
              </w:rPr>
              <w:t xml:space="preserve"> </w:t>
            </w:r>
            <w:r>
              <w:rPr>
                <w:rFonts w:hint="eastAsia" w:ascii="宋体" w:hAnsi="宋体"/>
                <w:sz w:val="16"/>
                <w:szCs w:val="16"/>
              </w:rPr>
              <w:t>导轨安装</w:t>
            </w:r>
            <w:r>
              <w:rPr>
                <w:rFonts w:ascii="宋体" w:hAnsi="宋体"/>
                <w:sz w:val="16"/>
                <w:szCs w:val="16"/>
              </w:rPr>
              <w:t xml:space="preserve"> </w:t>
            </w:r>
            <w:r>
              <w:rPr>
                <w:rFonts w:hint="eastAsia" w:ascii="宋体" w:hAnsi="宋体"/>
                <w:sz w:val="16"/>
                <w:szCs w:val="16"/>
              </w:rPr>
              <w:t>工作温度：</w:t>
            </w:r>
            <w:r>
              <w:rPr>
                <w:rFonts w:ascii="宋体" w:hAnsi="宋体"/>
                <w:sz w:val="16"/>
                <w:szCs w:val="16"/>
              </w:rPr>
              <w:t>-40~80</w:t>
            </w:r>
            <w:r>
              <w:rPr>
                <w:rFonts w:hint="eastAsia" w:ascii="宋体" w:hAnsi="宋体"/>
                <w:sz w:val="16"/>
                <w:szCs w:val="16"/>
              </w:rPr>
              <w:t>℃，支持</w:t>
            </w:r>
            <w:r>
              <w:rPr>
                <w:rFonts w:ascii="宋体" w:hAnsi="宋体"/>
                <w:sz w:val="16"/>
                <w:szCs w:val="16"/>
              </w:rPr>
              <w:t>20000</w:t>
            </w:r>
            <w:r>
              <w:rPr>
                <w:rFonts w:hint="eastAsia" w:ascii="宋体" w:hAnsi="宋体"/>
                <w:sz w:val="16"/>
                <w:szCs w:val="16"/>
              </w:rPr>
              <w:t>测点，</w:t>
            </w:r>
            <w:r>
              <w:rPr>
                <w:rFonts w:ascii="宋体" w:hAnsi="宋体"/>
                <w:sz w:val="16"/>
                <w:szCs w:val="16"/>
              </w:rPr>
              <w:t>8</w:t>
            </w:r>
            <w:r>
              <w:rPr>
                <w:rFonts w:hint="eastAsia" w:ascii="宋体" w:hAnsi="宋体"/>
                <w:sz w:val="16"/>
                <w:szCs w:val="16"/>
              </w:rPr>
              <w:t>口通信管理机；</w:t>
            </w:r>
          </w:p>
        </w:tc>
        <w:tc>
          <w:tcPr>
            <w:tcW w:w="2022" w:type="dxa"/>
            <w:vAlign w:val="center"/>
          </w:tcPr>
          <w:p w14:paraId="742AC4C2">
            <w:pPr>
              <w:snapToGrid w:val="0"/>
              <w:jc w:val="both"/>
              <w:rPr>
                <w:rFonts w:ascii="宋体" w:hAnsi="宋体" w:cstheme="minorEastAsia"/>
                <w:bCs/>
                <w:sz w:val="16"/>
                <w:szCs w:val="16"/>
              </w:rPr>
            </w:pPr>
          </w:p>
        </w:tc>
        <w:tc>
          <w:tcPr>
            <w:tcW w:w="0" w:type="auto"/>
            <w:vAlign w:val="center"/>
          </w:tcPr>
          <w:p w14:paraId="27CB40B0">
            <w:pPr>
              <w:jc w:val="both"/>
              <w:textAlignment w:val="center"/>
              <w:rPr>
                <w:rFonts w:ascii="宋体" w:hAnsi="宋体" w:cstheme="minorEastAsia"/>
                <w:bCs/>
                <w:sz w:val="16"/>
                <w:szCs w:val="16"/>
              </w:rPr>
            </w:pPr>
          </w:p>
        </w:tc>
        <w:tc>
          <w:tcPr>
            <w:tcW w:w="0" w:type="auto"/>
            <w:vAlign w:val="center"/>
          </w:tcPr>
          <w:p w14:paraId="3B7D5D4E">
            <w:pPr>
              <w:jc w:val="both"/>
              <w:textAlignment w:val="center"/>
              <w:rPr>
                <w:rFonts w:ascii="宋体" w:hAnsi="宋体" w:cstheme="minorEastAsia"/>
                <w:bCs/>
                <w:sz w:val="16"/>
                <w:szCs w:val="16"/>
              </w:rPr>
            </w:pPr>
          </w:p>
        </w:tc>
        <w:tc>
          <w:tcPr>
            <w:tcW w:w="1016" w:type="dxa"/>
            <w:vAlign w:val="center"/>
          </w:tcPr>
          <w:p w14:paraId="53714A1C">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3C34E6AB">
            <w:pPr>
              <w:jc w:val="both"/>
              <w:textAlignment w:val="center"/>
              <w:rPr>
                <w:rFonts w:ascii="宋体" w:hAnsi="宋体"/>
                <w:sz w:val="16"/>
                <w:szCs w:val="16"/>
              </w:rPr>
            </w:pPr>
            <w:r>
              <w:rPr>
                <w:rFonts w:ascii="宋体" w:hAnsi="宋体"/>
                <w:sz w:val="16"/>
                <w:szCs w:val="16"/>
              </w:rPr>
              <w:t>14</w:t>
            </w:r>
          </w:p>
        </w:tc>
        <w:tc>
          <w:tcPr>
            <w:tcW w:w="0" w:type="auto"/>
            <w:vAlign w:val="center"/>
          </w:tcPr>
          <w:p w14:paraId="5482076F">
            <w:pPr>
              <w:jc w:val="both"/>
              <w:textAlignment w:val="center"/>
              <w:rPr>
                <w:rFonts w:ascii="宋体" w:hAnsi="宋体" w:cstheme="minorEastAsia"/>
                <w:bCs/>
                <w:sz w:val="16"/>
                <w:szCs w:val="16"/>
                <w:highlight w:val="yellow"/>
              </w:rPr>
            </w:pPr>
          </w:p>
        </w:tc>
        <w:tc>
          <w:tcPr>
            <w:tcW w:w="0" w:type="auto"/>
            <w:vAlign w:val="center"/>
          </w:tcPr>
          <w:p w14:paraId="1B641AF2">
            <w:pPr>
              <w:jc w:val="both"/>
              <w:textAlignment w:val="center"/>
              <w:rPr>
                <w:rFonts w:ascii="宋体" w:hAnsi="宋体" w:cstheme="minorEastAsia"/>
                <w:bCs/>
                <w:sz w:val="16"/>
                <w:szCs w:val="16"/>
                <w:highlight w:val="yellow"/>
              </w:rPr>
            </w:pPr>
          </w:p>
        </w:tc>
        <w:tc>
          <w:tcPr>
            <w:tcW w:w="0" w:type="auto"/>
            <w:vAlign w:val="center"/>
          </w:tcPr>
          <w:p w14:paraId="6A6A85C9">
            <w:pPr>
              <w:jc w:val="both"/>
              <w:textAlignment w:val="center"/>
              <w:rPr>
                <w:rFonts w:ascii="宋体" w:hAnsi="宋体" w:cstheme="minorEastAsia"/>
                <w:bCs/>
                <w:sz w:val="16"/>
                <w:szCs w:val="16"/>
                <w:highlight w:val="yellow"/>
              </w:rPr>
            </w:pPr>
          </w:p>
        </w:tc>
        <w:tc>
          <w:tcPr>
            <w:tcW w:w="0" w:type="auto"/>
            <w:shd w:val="clear" w:color="auto" w:fill="auto"/>
            <w:vAlign w:val="center"/>
          </w:tcPr>
          <w:p w14:paraId="139B61FD">
            <w:pPr>
              <w:snapToGrid w:val="0"/>
              <w:jc w:val="both"/>
              <w:rPr>
                <w:rFonts w:ascii="宋体" w:hAnsi="宋体" w:cstheme="minorEastAsia"/>
                <w:bCs/>
                <w:sz w:val="16"/>
                <w:szCs w:val="16"/>
              </w:rPr>
            </w:pPr>
          </w:p>
        </w:tc>
      </w:tr>
      <w:tr w14:paraId="6DE0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BFE2766">
            <w:pPr>
              <w:snapToGrid w:val="0"/>
              <w:jc w:val="both"/>
              <w:rPr>
                <w:rFonts w:ascii="宋体" w:hAnsi="宋体" w:cstheme="minorEastAsia"/>
                <w:bCs/>
                <w:sz w:val="16"/>
                <w:szCs w:val="16"/>
              </w:rPr>
            </w:pPr>
            <w:r>
              <w:rPr>
                <w:rFonts w:ascii="宋体" w:hAnsi="宋体"/>
                <w:color w:val="000000"/>
                <w:sz w:val="16"/>
                <w:szCs w:val="16"/>
              </w:rPr>
              <w:t>1.8.3</w:t>
            </w:r>
          </w:p>
        </w:tc>
        <w:tc>
          <w:tcPr>
            <w:tcW w:w="1484" w:type="dxa"/>
            <w:tcBorders>
              <w:top w:val="single" w:color="auto" w:sz="4" w:space="0"/>
            </w:tcBorders>
            <w:vAlign w:val="center"/>
          </w:tcPr>
          <w:p w14:paraId="603A6E30">
            <w:pPr>
              <w:snapToGrid w:val="0"/>
              <w:jc w:val="both"/>
              <w:rPr>
                <w:rFonts w:ascii="宋体" w:hAnsi="宋体"/>
                <w:sz w:val="16"/>
                <w:szCs w:val="16"/>
              </w:rPr>
            </w:pPr>
            <w:r>
              <w:rPr>
                <w:rFonts w:hint="eastAsia" w:ascii="宋体" w:hAnsi="宋体"/>
                <w:sz w:val="16"/>
                <w:szCs w:val="16"/>
              </w:rPr>
              <w:t>光纤环网交换机</w:t>
            </w:r>
          </w:p>
        </w:tc>
        <w:tc>
          <w:tcPr>
            <w:tcW w:w="4601" w:type="dxa"/>
            <w:vAlign w:val="center"/>
          </w:tcPr>
          <w:p w14:paraId="3CA20446">
            <w:pPr>
              <w:snapToGrid w:val="0"/>
              <w:jc w:val="both"/>
              <w:rPr>
                <w:rFonts w:ascii="宋体" w:hAnsi="宋体"/>
                <w:sz w:val="16"/>
                <w:szCs w:val="16"/>
              </w:rPr>
            </w:pPr>
            <w:r>
              <w:rPr>
                <w:rFonts w:hint="eastAsia" w:ascii="宋体" w:hAnsi="宋体"/>
                <w:sz w:val="16"/>
                <w:szCs w:val="16"/>
              </w:rPr>
              <w:t>光纤交换机，</w:t>
            </w:r>
            <w:r>
              <w:rPr>
                <w:rFonts w:ascii="宋体" w:hAnsi="宋体"/>
                <w:sz w:val="16"/>
                <w:szCs w:val="16"/>
              </w:rPr>
              <w:t>8</w:t>
            </w:r>
            <w:r>
              <w:rPr>
                <w:rFonts w:hint="eastAsia" w:ascii="宋体" w:hAnsi="宋体"/>
                <w:sz w:val="16"/>
                <w:szCs w:val="16"/>
              </w:rPr>
              <w:t>电</w:t>
            </w:r>
            <w:r>
              <w:rPr>
                <w:rFonts w:ascii="宋体" w:hAnsi="宋体"/>
                <w:sz w:val="16"/>
                <w:szCs w:val="16"/>
              </w:rPr>
              <w:t>+2</w:t>
            </w:r>
            <w:r>
              <w:rPr>
                <w:rFonts w:hint="eastAsia" w:ascii="宋体" w:hAnsi="宋体"/>
                <w:sz w:val="16"/>
                <w:szCs w:val="16"/>
              </w:rPr>
              <w:t>光，含</w:t>
            </w:r>
            <w:r>
              <w:rPr>
                <w:rFonts w:ascii="宋体" w:hAnsi="宋体"/>
                <w:sz w:val="16"/>
                <w:szCs w:val="16"/>
              </w:rPr>
              <w:t>SFP</w:t>
            </w:r>
            <w:r>
              <w:rPr>
                <w:rFonts w:hint="eastAsia" w:ascii="宋体" w:hAnsi="宋体"/>
                <w:sz w:val="16"/>
                <w:szCs w:val="16"/>
              </w:rPr>
              <w:t>模块</w:t>
            </w:r>
          </w:p>
        </w:tc>
        <w:tc>
          <w:tcPr>
            <w:tcW w:w="2022" w:type="dxa"/>
            <w:vAlign w:val="center"/>
          </w:tcPr>
          <w:p w14:paraId="2E8ACD4B">
            <w:pPr>
              <w:snapToGrid w:val="0"/>
              <w:jc w:val="both"/>
              <w:rPr>
                <w:rFonts w:ascii="宋体" w:hAnsi="宋体" w:cstheme="minorEastAsia"/>
                <w:bCs/>
                <w:sz w:val="16"/>
                <w:szCs w:val="16"/>
              </w:rPr>
            </w:pPr>
          </w:p>
        </w:tc>
        <w:tc>
          <w:tcPr>
            <w:tcW w:w="0" w:type="auto"/>
            <w:vAlign w:val="center"/>
          </w:tcPr>
          <w:p w14:paraId="1DF28440">
            <w:pPr>
              <w:jc w:val="both"/>
              <w:textAlignment w:val="center"/>
              <w:rPr>
                <w:rFonts w:ascii="宋体" w:hAnsi="宋体" w:cstheme="minorEastAsia"/>
                <w:bCs/>
                <w:sz w:val="16"/>
                <w:szCs w:val="16"/>
              </w:rPr>
            </w:pPr>
          </w:p>
        </w:tc>
        <w:tc>
          <w:tcPr>
            <w:tcW w:w="0" w:type="auto"/>
            <w:vAlign w:val="center"/>
          </w:tcPr>
          <w:p w14:paraId="7BC84218">
            <w:pPr>
              <w:jc w:val="both"/>
              <w:textAlignment w:val="center"/>
              <w:rPr>
                <w:rFonts w:ascii="宋体" w:hAnsi="宋体" w:cstheme="minorEastAsia"/>
                <w:bCs/>
                <w:sz w:val="16"/>
                <w:szCs w:val="16"/>
              </w:rPr>
            </w:pPr>
          </w:p>
        </w:tc>
        <w:tc>
          <w:tcPr>
            <w:tcW w:w="1016" w:type="dxa"/>
            <w:vAlign w:val="center"/>
          </w:tcPr>
          <w:p w14:paraId="4C9C916C">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2D83BC12">
            <w:pPr>
              <w:jc w:val="both"/>
              <w:textAlignment w:val="center"/>
              <w:rPr>
                <w:rFonts w:ascii="宋体" w:hAnsi="宋体"/>
                <w:sz w:val="16"/>
                <w:szCs w:val="16"/>
              </w:rPr>
            </w:pPr>
            <w:r>
              <w:rPr>
                <w:rFonts w:ascii="宋体" w:hAnsi="宋体"/>
                <w:sz w:val="16"/>
                <w:szCs w:val="16"/>
              </w:rPr>
              <w:t>4</w:t>
            </w:r>
          </w:p>
        </w:tc>
        <w:tc>
          <w:tcPr>
            <w:tcW w:w="0" w:type="auto"/>
            <w:vAlign w:val="center"/>
          </w:tcPr>
          <w:p w14:paraId="31D2BE3B">
            <w:pPr>
              <w:jc w:val="both"/>
              <w:textAlignment w:val="center"/>
              <w:rPr>
                <w:rFonts w:ascii="宋体" w:hAnsi="宋体" w:cstheme="minorEastAsia"/>
                <w:bCs/>
                <w:sz w:val="16"/>
                <w:szCs w:val="16"/>
                <w:highlight w:val="yellow"/>
              </w:rPr>
            </w:pPr>
          </w:p>
        </w:tc>
        <w:tc>
          <w:tcPr>
            <w:tcW w:w="0" w:type="auto"/>
            <w:vAlign w:val="center"/>
          </w:tcPr>
          <w:p w14:paraId="7CD8A00B">
            <w:pPr>
              <w:jc w:val="both"/>
              <w:textAlignment w:val="center"/>
              <w:rPr>
                <w:rFonts w:ascii="宋体" w:hAnsi="宋体" w:cstheme="minorEastAsia"/>
                <w:bCs/>
                <w:sz w:val="16"/>
                <w:szCs w:val="16"/>
                <w:highlight w:val="yellow"/>
              </w:rPr>
            </w:pPr>
          </w:p>
        </w:tc>
        <w:tc>
          <w:tcPr>
            <w:tcW w:w="0" w:type="auto"/>
            <w:vAlign w:val="center"/>
          </w:tcPr>
          <w:p w14:paraId="1D80B232">
            <w:pPr>
              <w:jc w:val="both"/>
              <w:textAlignment w:val="center"/>
              <w:rPr>
                <w:rFonts w:ascii="宋体" w:hAnsi="宋体" w:cstheme="minorEastAsia"/>
                <w:bCs/>
                <w:sz w:val="16"/>
                <w:szCs w:val="16"/>
                <w:highlight w:val="yellow"/>
              </w:rPr>
            </w:pPr>
          </w:p>
        </w:tc>
        <w:tc>
          <w:tcPr>
            <w:tcW w:w="0" w:type="auto"/>
            <w:shd w:val="clear" w:color="auto" w:fill="auto"/>
            <w:vAlign w:val="center"/>
          </w:tcPr>
          <w:p w14:paraId="6D40E6BA">
            <w:pPr>
              <w:snapToGrid w:val="0"/>
              <w:jc w:val="both"/>
              <w:rPr>
                <w:rFonts w:ascii="宋体" w:hAnsi="宋体" w:cstheme="minorEastAsia"/>
                <w:bCs/>
                <w:sz w:val="16"/>
                <w:szCs w:val="16"/>
              </w:rPr>
            </w:pPr>
          </w:p>
        </w:tc>
      </w:tr>
      <w:tr w14:paraId="56D4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737AC06C">
            <w:pPr>
              <w:snapToGrid w:val="0"/>
              <w:jc w:val="both"/>
              <w:rPr>
                <w:rFonts w:ascii="宋体" w:hAnsi="宋体" w:cstheme="minorEastAsia"/>
                <w:bCs/>
                <w:sz w:val="16"/>
                <w:szCs w:val="16"/>
              </w:rPr>
            </w:pPr>
            <w:r>
              <w:rPr>
                <w:rFonts w:ascii="宋体" w:hAnsi="宋体"/>
                <w:color w:val="000000"/>
                <w:sz w:val="16"/>
                <w:szCs w:val="16"/>
              </w:rPr>
              <w:t>1.8.4</w:t>
            </w:r>
          </w:p>
        </w:tc>
        <w:tc>
          <w:tcPr>
            <w:tcW w:w="1484" w:type="dxa"/>
            <w:tcBorders>
              <w:top w:val="single" w:color="auto" w:sz="4" w:space="0"/>
            </w:tcBorders>
            <w:vAlign w:val="center"/>
          </w:tcPr>
          <w:p w14:paraId="4734EA31">
            <w:pPr>
              <w:snapToGrid w:val="0"/>
              <w:jc w:val="both"/>
              <w:rPr>
                <w:rFonts w:ascii="宋体" w:hAnsi="宋体"/>
                <w:sz w:val="16"/>
                <w:szCs w:val="16"/>
              </w:rPr>
            </w:pPr>
            <w:r>
              <w:rPr>
                <w:rFonts w:hint="eastAsia" w:ascii="宋体" w:hAnsi="宋体"/>
                <w:sz w:val="16"/>
                <w:szCs w:val="16"/>
              </w:rPr>
              <w:t>工控机</w:t>
            </w:r>
          </w:p>
        </w:tc>
        <w:tc>
          <w:tcPr>
            <w:tcW w:w="4601" w:type="dxa"/>
            <w:vAlign w:val="center"/>
          </w:tcPr>
          <w:p w14:paraId="5409367C">
            <w:pPr>
              <w:snapToGrid w:val="0"/>
              <w:jc w:val="both"/>
              <w:rPr>
                <w:rFonts w:ascii="宋体" w:hAnsi="宋体"/>
                <w:sz w:val="16"/>
                <w:szCs w:val="16"/>
              </w:rPr>
            </w:pPr>
            <w:r>
              <w:rPr>
                <w:rFonts w:ascii="宋体" w:hAnsi="宋体"/>
                <w:sz w:val="16"/>
                <w:szCs w:val="16"/>
              </w:rPr>
              <w:t>ITA-3650/I5-6500</w:t>
            </w:r>
            <w:r>
              <w:rPr>
                <w:rFonts w:hint="eastAsia" w:ascii="宋体" w:hAnsi="宋体"/>
                <w:sz w:val="16"/>
                <w:szCs w:val="16"/>
              </w:rPr>
              <w:t>四核四线程</w:t>
            </w:r>
            <w:r>
              <w:rPr>
                <w:rFonts w:ascii="宋体" w:hAnsi="宋体"/>
                <w:sz w:val="16"/>
                <w:szCs w:val="16"/>
              </w:rPr>
              <w:t>3.2G/DDR 8G</w:t>
            </w:r>
            <w:r>
              <w:rPr>
                <w:rFonts w:hint="eastAsia" w:ascii="宋体" w:hAnsi="宋体"/>
                <w:sz w:val="16"/>
                <w:szCs w:val="16"/>
              </w:rPr>
              <w:t>内存</w:t>
            </w:r>
            <w:r>
              <w:rPr>
                <w:rFonts w:ascii="宋体" w:hAnsi="宋体"/>
                <w:sz w:val="16"/>
                <w:szCs w:val="16"/>
              </w:rPr>
              <w:t>/SATA 1T</w:t>
            </w:r>
            <w:r>
              <w:rPr>
                <w:rFonts w:hint="eastAsia" w:ascii="宋体" w:hAnsi="宋体"/>
                <w:sz w:val="16"/>
                <w:szCs w:val="16"/>
              </w:rPr>
              <w:t>机械硬盘</w:t>
            </w:r>
            <w:r>
              <w:rPr>
                <w:rFonts w:ascii="宋体" w:hAnsi="宋体"/>
                <w:sz w:val="16"/>
                <w:szCs w:val="16"/>
              </w:rPr>
              <w:t>/</w:t>
            </w:r>
            <w:r>
              <w:rPr>
                <w:rFonts w:hint="eastAsia" w:ascii="宋体" w:hAnsi="宋体"/>
                <w:sz w:val="16"/>
                <w:szCs w:val="16"/>
              </w:rPr>
              <w:t>电源适配器</w:t>
            </w:r>
            <w:r>
              <w:rPr>
                <w:rFonts w:ascii="宋体" w:hAnsi="宋体"/>
                <w:sz w:val="16"/>
                <w:szCs w:val="16"/>
              </w:rPr>
              <w:t>(</w:t>
            </w:r>
            <w:r>
              <w:rPr>
                <w:rFonts w:hint="eastAsia" w:ascii="宋体" w:hAnsi="宋体"/>
                <w:sz w:val="16"/>
                <w:szCs w:val="16"/>
              </w:rPr>
              <w:t>接口：</w:t>
            </w:r>
            <w:r>
              <w:rPr>
                <w:rFonts w:ascii="宋体" w:hAnsi="宋体"/>
                <w:sz w:val="16"/>
                <w:szCs w:val="16"/>
              </w:rPr>
              <w:t>2*Intel 10/100/1000Mbps</w:t>
            </w:r>
            <w:r>
              <w:rPr>
                <w:rFonts w:hint="eastAsia" w:ascii="宋体" w:hAnsi="宋体"/>
                <w:sz w:val="16"/>
                <w:szCs w:val="16"/>
              </w:rPr>
              <w:t>网络接口，</w:t>
            </w:r>
            <w:r>
              <w:rPr>
                <w:rFonts w:ascii="宋体" w:hAnsi="宋体"/>
                <w:sz w:val="16"/>
                <w:szCs w:val="16"/>
              </w:rPr>
              <w:t>6*RS232</w:t>
            </w:r>
            <w:r>
              <w:rPr>
                <w:rFonts w:hint="eastAsia" w:ascii="宋体" w:hAnsi="宋体"/>
                <w:sz w:val="16"/>
                <w:szCs w:val="16"/>
              </w:rPr>
              <w:t>串口，</w:t>
            </w:r>
            <w:r>
              <w:rPr>
                <w:rFonts w:ascii="宋体" w:hAnsi="宋体"/>
                <w:sz w:val="16"/>
                <w:szCs w:val="16"/>
              </w:rPr>
              <w:t xml:space="preserve">4*USB2.0 </w:t>
            </w:r>
            <w:r>
              <w:rPr>
                <w:rFonts w:hint="eastAsia" w:ascii="宋体" w:hAnsi="宋体"/>
                <w:sz w:val="16"/>
                <w:szCs w:val="16"/>
              </w:rPr>
              <w:t>接口，</w:t>
            </w:r>
            <w:r>
              <w:rPr>
                <w:rFonts w:ascii="宋体" w:hAnsi="宋体"/>
                <w:sz w:val="16"/>
                <w:szCs w:val="16"/>
              </w:rPr>
              <w:t>2</w:t>
            </w:r>
            <w:r>
              <w:rPr>
                <w:rFonts w:hint="eastAsia" w:ascii="宋体" w:hAnsi="宋体"/>
                <w:sz w:val="16"/>
                <w:szCs w:val="16"/>
              </w:rPr>
              <w:t>×</w:t>
            </w:r>
            <w:r>
              <w:rPr>
                <w:rFonts w:ascii="宋体" w:hAnsi="宋体"/>
                <w:sz w:val="16"/>
                <w:szCs w:val="16"/>
              </w:rPr>
              <w:t xml:space="preserve">USB3.0 </w:t>
            </w:r>
            <w:r>
              <w:rPr>
                <w:rFonts w:hint="eastAsia" w:ascii="宋体" w:hAnsi="宋体"/>
                <w:sz w:val="16"/>
                <w:szCs w:val="16"/>
              </w:rPr>
              <w:t>接口，含操作系统）</w:t>
            </w:r>
          </w:p>
        </w:tc>
        <w:tc>
          <w:tcPr>
            <w:tcW w:w="2022" w:type="dxa"/>
            <w:vAlign w:val="center"/>
          </w:tcPr>
          <w:p w14:paraId="007C2757">
            <w:pPr>
              <w:snapToGrid w:val="0"/>
              <w:jc w:val="both"/>
              <w:rPr>
                <w:rFonts w:ascii="宋体" w:hAnsi="宋体" w:cstheme="minorEastAsia"/>
                <w:bCs/>
                <w:sz w:val="16"/>
                <w:szCs w:val="16"/>
              </w:rPr>
            </w:pPr>
          </w:p>
        </w:tc>
        <w:tc>
          <w:tcPr>
            <w:tcW w:w="0" w:type="auto"/>
            <w:vAlign w:val="center"/>
          </w:tcPr>
          <w:p w14:paraId="35FDE47C">
            <w:pPr>
              <w:jc w:val="both"/>
              <w:textAlignment w:val="center"/>
              <w:rPr>
                <w:rFonts w:ascii="宋体" w:hAnsi="宋体" w:cstheme="minorEastAsia"/>
                <w:bCs/>
                <w:sz w:val="16"/>
                <w:szCs w:val="16"/>
              </w:rPr>
            </w:pPr>
          </w:p>
        </w:tc>
        <w:tc>
          <w:tcPr>
            <w:tcW w:w="0" w:type="auto"/>
            <w:vAlign w:val="center"/>
          </w:tcPr>
          <w:p w14:paraId="68334582">
            <w:pPr>
              <w:jc w:val="both"/>
              <w:textAlignment w:val="center"/>
              <w:rPr>
                <w:rFonts w:ascii="宋体" w:hAnsi="宋体" w:cstheme="minorEastAsia"/>
                <w:bCs/>
                <w:sz w:val="16"/>
                <w:szCs w:val="16"/>
              </w:rPr>
            </w:pPr>
          </w:p>
        </w:tc>
        <w:tc>
          <w:tcPr>
            <w:tcW w:w="1016" w:type="dxa"/>
            <w:vAlign w:val="center"/>
          </w:tcPr>
          <w:p w14:paraId="11FE7714">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6A2AEE7D">
            <w:pPr>
              <w:jc w:val="both"/>
              <w:textAlignment w:val="center"/>
              <w:rPr>
                <w:rFonts w:ascii="宋体" w:hAnsi="宋体"/>
                <w:sz w:val="16"/>
                <w:szCs w:val="16"/>
              </w:rPr>
            </w:pPr>
            <w:r>
              <w:rPr>
                <w:rFonts w:ascii="宋体" w:hAnsi="宋体"/>
                <w:sz w:val="16"/>
                <w:szCs w:val="16"/>
              </w:rPr>
              <w:t>5</w:t>
            </w:r>
          </w:p>
        </w:tc>
        <w:tc>
          <w:tcPr>
            <w:tcW w:w="0" w:type="auto"/>
            <w:vAlign w:val="center"/>
          </w:tcPr>
          <w:p w14:paraId="0C0C2268">
            <w:pPr>
              <w:jc w:val="both"/>
              <w:textAlignment w:val="center"/>
              <w:rPr>
                <w:rFonts w:ascii="宋体" w:hAnsi="宋体" w:cstheme="minorEastAsia"/>
                <w:bCs/>
                <w:sz w:val="16"/>
                <w:szCs w:val="16"/>
                <w:highlight w:val="yellow"/>
              </w:rPr>
            </w:pPr>
          </w:p>
        </w:tc>
        <w:tc>
          <w:tcPr>
            <w:tcW w:w="0" w:type="auto"/>
            <w:vAlign w:val="center"/>
          </w:tcPr>
          <w:p w14:paraId="48909FF6">
            <w:pPr>
              <w:jc w:val="both"/>
              <w:textAlignment w:val="center"/>
              <w:rPr>
                <w:rFonts w:ascii="宋体" w:hAnsi="宋体" w:cstheme="minorEastAsia"/>
                <w:bCs/>
                <w:sz w:val="16"/>
                <w:szCs w:val="16"/>
                <w:highlight w:val="yellow"/>
              </w:rPr>
            </w:pPr>
          </w:p>
        </w:tc>
        <w:tc>
          <w:tcPr>
            <w:tcW w:w="0" w:type="auto"/>
            <w:vAlign w:val="center"/>
          </w:tcPr>
          <w:p w14:paraId="6F557256">
            <w:pPr>
              <w:jc w:val="both"/>
              <w:textAlignment w:val="center"/>
              <w:rPr>
                <w:rFonts w:ascii="宋体" w:hAnsi="宋体" w:cstheme="minorEastAsia"/>
                <w:bCs/>
                <w:sz w:val="16"/>
                <w:szCs w:val="16"/>
                <w:highlight w:val="yellow"/>
              </w:rPr>
            </w:pPr>
          </w:p>
        </w:tc>
        <w:tc>
          <w:tcPr>
            <w:tcW w:w="0" w:type="auto"/>
            <w:shd w:val="clear" w:color="auto" w:fill="auto"/>
            <w:vAlign w:val="center"/>
          </w:tcPr>
          <w:p w14:paraId="3C104281">
            <w:pPr>
              <w:snapToGrid w:val="0"/>
              <w:jc w:val="both"/>
              <w:rPr>
                <w:rFonts w:ascii="宋体" w:hAnsi="宋体" w:cstheme="minorEastAsia"/>
                <w:bCs/>
                <w:sz w:val="16"/>
                <w:szCs w:val="16"/>
              </w:rPr>
            </w:pPr>
          </w:p>
        </w:tc>
      </w:tr>
      <w:tr w14:paraId="36BC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25B70138">
            <w:pPr>
              <w:snapToGrid w:val="0"/>
              <w:jc w:val="both"/>
              <w:rPr>
                <w:rFonts w:ascii="宋体" w:hAnsi="宋体" w:cstheme="minorEastAsia"/>
                <w:bCs/>
                <w:sz w:val="16"/>
                <w:szCs w:val="16"/>
              </w:rPr>
            </w:pPr>
            <w:r>
              <w:rPr>
                <w:rFonts w:ascii="宋体" w:hAnsi="宋体"/>
                <w:color w:val="000000"/>
                <w:sz w:val="16"/>
                <w:szCs w:val="16"/>
              </w:rPr>
              <w:t>1.8.5</w:t>
            </w:r>
          </w:p>
        </w:tc>
        <w:tc>
          <w:tcPr>
            <w:tcW w:w="1484" w:type="dxa"/>
            <w:tcBorders>
              <w:top w:val="single" w:color="auto" w:sz="4" w:space="0"/>
            </w:tcBorders>
            <w:vAlign w:val="center"/>
          </w:tcPr>
          <w:p w14:paraId="78B67B1C">
            <w:pPr>
              <w:snapToGrid w:val="0"/>
              <w:jc w:val="both"/>
              <w:rPr>
                <w:rFonts w:ascii="宋体" w:hAnsi="宋体"/>
                <w:sz w:val="16"/>
                <w:szCs w:val="16"/>
              </w:rPr>
            </w:pPr>
            <w:r>
              <w:rPr>
                <w:rFonts w:hint="eastAsia" w:ascii="宋体" w:hAnsi="宋体"/>
                <w:sz w:val="16"/>
                <w:szCs w:val="16"/>
              </w:rPr>
              <w:t>数采网关</w:t>
            </w:r>
          </w:p>
        </w:tc>
        <w:tc>
          <w:tcPr>
            <w:tcW w:w="4601" w:type="dxa"/>
            <w:vAlign w:val="center"/>
          </w:tcPr>
          <w:p w14:paraId="0B9DE31A">
            <w:pPr>
              <w:snapToGrid w:val="0"/>
              <w:jc w:val="both"/>
              <w:rPr>
                <w:rFonts w:ascii="宋体" w:hAnsi="宋体"/>
                <w:sz w:val="16"/>
                <w:szCs w:val="16"/>
              </w:rPr>
            </w:pPr>
            <w:r>
              <w:rPr>
                <w:rFonts w:hint="eastAsia" w:ascii="宋体" w:hAnsi="宋体"/>
                <w:sz w:val="16"/>
                <w:szCs w:val="16"/>
              </w:rPr>
              <w:t>系统：</w:t>
            </w:r>
            <w:r>
              <w:rPr>
                <w:rFonts w:ascii="宋体" w:hAnsi="宋体"/>
                <w:sz w:val="16"/>
                <w:szCs w:val="16"/>
              </w:rPr>
              <w:t>LINUX</w:t>
            </w:r>
            <w:r>
              <w:rPr>
                <w:rFonts w:ascii="宋体" w:hAnsi="宋体"/>
                <w:sz w:val="16"/>
                <w:szCs w:val="16"/>
              </w:rPr>
              <w:br w:type="textWrapping"/>
            </w:r>
            <w:r>
              <w:rPr>
                <w:rFonts w:hint="eastAsia" w:ascii="宋体" w:hAnsi="宋体"/>
                <w:sz w:val="16"/>
                <w:szCs w:val="16"/>
              </w:rPr>
              <w:t>内存：</w:t>
            </w:r>
            <w:r>
              <w:rPr>
                <w:rFonts w:ascii="宋体" w:hAnsi="宋体"/>
                <w:sz w:val="16"/>
                <w:szCs w:val="16"/>
              </w:rPr>
              <w:t>1G</w:t>
            </w:r>
            <w:r>
              <w:rPr>
                <w:rFonts w:ascii="宋体" w:hAnsi="宋体"/>
                <w:sz w:val="16"/>
                <w:szCs w:val="16"/>
              </w:rPr>
              <w:br w:type="textWrapping"/>
            </w:r>
            <w:r>
              <w:rPr>
                <w:rFonts w:hint="eastAsia" w:ascii="宋体" w:hAnsi="宋体"/>
                <w:sz w:val="16"/>
                <w:szCs w:val="16"/>
              </w:rPr>
              <w:t>处理器：</w:t>
            </w:r>
            <w:r>
              <w:rPr>
                <w:rFonts w:ascii="宋体" w:hAnsi="宋体"/>
                <w:sz w:val="16"/>
                <w:szCs w:val="16"/>
              </w:rPr>
              <w:t>4</w:t>
            </w:r>
            <w:r>
              <w:rPr>
                <w:rFonts w:hint="eastAsia" w:ascii="宋体" w:hAnsi="宋体"/>
                <w:sz w:val="16"/>
                <w:szCs w:val="16"/>
              </w:rPr>
              <w:t>核</w:t>
            </w:r>
            <w:r>
              <w:rPr>
                <w:rFonts w:ascii="宋体" w:hAnsi="宋体"/>
                <w:sz w:val="16"/>
                <w:szCs w:val="16"/>
              </w:rPr>
              <w:t>1.2GHz</w:t>
            </w:r>
            <w:r>
              <w:rPr>
                <w:rFonts w:ascii="宋体" w:hAnsi="宋体"/>
                <w:sz w:val="16"/>
                <w:szCs w:val="16"/>
              </w:rPr>
              <w:br w:type="textWrapping"/>
            </w:r>
            <w:r>
              <w:rPr>
                <w:rFonts w:ascii="宋体" w:hAnsi="宋体"/>
                <w:sz w:val="16"/>
                <w:szCs w:val="16"/>
              </w:rPr>
              <w:t>Flash</w:t>
            </w:r>
            <w:r>
              <w:rPr>
                <w:rFonts w:hint="eastAsia" w:ascii="宋体" w:hAnsi="宋体"/>
                <w:sz w:val="16"/>
                <w:szCs w:val="16"/>
              </w:rPr>
              <w:t>：</w:t>
            </w:r>
            <w:r>
              <w:rPr>
                <w:rFonts w:ascii="宋体" w:hAnsi="宋体"/>
                <w:sz w:val="16"/>
                <w:szCs w:val="16"/>
              </w:rPr>
              <w:t>8G</w:t>
            </w:r>
            <w:r>
              <w:rPr>
                <w:rFonts w:hint="eastAsia" w:ascii="宋体" w:hAnsi="宋体"/>
                <w:sz w:val="16"/>
                <w:szCs w:val="16"/>
              </w:rPr>
              <w:t>，</w:t>
            </w:r>
            <w:r>
              <w:rPr>
                <w:rFonts w:ascii="宋体" w:hAnsi="宋体"/>
                <w:sz w:val="16"/>
                <w:szCs w:val="16"/>
              </w:rPr>
              <w:br w:type="textWrapping"/>
            </w:r>
            <w:r>
              <w:rPr>
                <w:rFonts w:hint="eastAsia" w:ascii="宋体" w:hAnsi="宋体"/>
                <w:sz w:val="16"/>
                <w:szCs w:val="16"/>
              </w:rPr>
              <w:t>安装方式：导轨式</w:t>
            </w:r>
            <w:r>
              <w:rPr>
                <w:rFonts w:ascii="宋体" w:hAnsi="宋体"/>
                <w:sz w:val="16"/>
                <w:szCs w:val="16"/>
              </w:rPr>
              <w:br w:type="textWrapping"/>
            </w:r>
            <w:r>
              <w:rPr>
                <w:rFonts w:hint="eastAsia" w:ascii="宋体" w:hAnsi="宋体"/>
                <w:sz w:val="16"/>
                <w:szCs w:val="16"/>
              </w:rPr>
              <w:t>尺寸：</w:t>
            </w:r>
            <w:r>
              <w:rPr>
                <w:rFonts w:ascii="宋体" w:hAnsi="宋体"/>
                <w:sz w:val="16"/>
                <w:szCs w:val="16"/>
              </w:rPr>
              <w:t>147*95*35mm</w:t>
            </w:r>
            <w:r>
              <w:rPr>
                <w:rFonts w:ascii="宋体" w:hAnsi="宋体"/>
                <w:sz w:val="16"/>
                <w:szCs w:val="16"/>
              </w:rPr>
              <w:br w:type="textWrapping"/>
            </w:r>
            <w:r>
              <w:rPr>
                <w:rFonts w:hint="eastAsia" w:ascii="宋体" w:hAnsi="宋体"/>
                <w:sz w:val="16"/>
                <w:szCs w:val="16"/>
              </w:rPr>
              <w:t>功耗：≤</w:t>
            </w:r>
            <w:r>
              <w:rPr>
                <w:rFonts w:ascii="宋体" w:hAnsi="宋体"/>
                <w:sz w:val="16"/>
                <w:szCs w:val="16"/>
              </w:rPr>
              <w:t>8W</w:t>
            </w:r>
            <w:r>
              <w:rPr>
                <w:rFonts w:ascii="宋体" w:hAnsi="宋体"/>
                <w:sz w:val="16"/>
                <w:szCs w:val="16"/>
              </w:rPr>
              <w:br w:type="textWrapping"/>
            </w:r>
            <w:r>
              <w:rPr>
                <w:rFonts w:hint="eastAsia" w:ascii="宋体" w:hAnsi="宋体"/>
                <w:sz w:val="16"/>
                <w:szCs w:val="16"/>
              </w:rPr>
              <w:t>电源：</w:t>
            </w:r>
            <w:r>
              <w:rPr>
                <w:rFonts w:ascii="宋体" w:hAnsi="宋体"/>
                <w:sz w:val="16"/>
                <w:szCs w:val="16"/>
              </w:rPr>
              <w:t>AC/DC 12-24V</w:t>
            </w:r>
            <w:r>
              <w:rPr>
                <w:rFonts w:ascii="宋体" w:hAnsi="宋体"/>
                <w:sz w:val="16"/>
                <w:szCs w:val="16"/>
              </w:rPr>
              <w:br w:type="textWrapping"/>
            </w:r>
            <w:r>
              <w:rPr>
                <w:rFonts w:hint="eastAsia" w:ascii="宋体" w:hAnsi="宋体"/>
                <w:sz w:val="16"/>
                <w:szCs w:val="16"/>
              </w:rPr>
              <w:t>串口：</w:t>
            </w:r>
            <w:r>
              <w:rPr>
                <w:rFonts w:ascii="宋体" w:hAnsi="宋体"/>
                <w:sz w:val="16"/>
                <w:szCs w:val="16"/>
              </w:rPr>
              <w:t>2</w:t>
            </w:r>
            <w:r>
              <w:rPr>
                <w:rFonts w:hint="eastAsia" w:ascii="宋体" w:hAnsi="宋体"/>
                <w:sz w:val="16"/>
                <w:szCs w:val="16"/>
              </w:rPr>
              <w:t>个</w:t>
            </w:r>
            <w:r>
              <w:rPr>
                <w:rFonts w:ascii="宋体" w:hAnsi="宋体"/>
                <w:sz w:val="16"/>
                <w:szCs w:val="16"/>
              </w:rPr>
              <w:t>RS485</w:t>
            </w:r>
            <w:r>
              <w:rPr>
                <w:rFonts w:hint="eastAsia" w:ascii="宋体" w:hAnsi="宋体"/>
                <w:sz w:val="16"/>
                <w:szCs w:val="16"/>
              </w:rPr>
              <w:t>串口、</w:t>
            </w:r>
            <w:r>
              <w:rPr>
                <w:rFonts w:ascii="宋体" w:hAnsi="宋体"/>
                <w:sz w:val="16"/>
                <w:szCs w:val="16"/>
              </w:rPr>
              <w:t>2</w:t>
            </w:r>
            <w:r>
              <w:rPr>
                <w:rFonts w:hint="eastAsia" w:ascii="宋体" w:hAnsi="宋体"/>
                <w:sz w:val="16"/>
                <w:szCs w:val="16"/>
              </w:rPr>
              <w:t>个</w:t>
            </w:r>
            <w:r>
              <w:rPr>
                <w:rFonts w:ascii="宋体" w:hAnsi="宋体"/>
                <w:sz w:val="16"/>
                <w:szCs w:val="16"/>
              </w:rPr>
              <w:t>RS485/RS232</w:t>
            </w:r>
            <w:r>
              <w:rPr>
                <w:rFonts w:hint="eastAsia" w:ascii="宋体" w:hAnsi="宋体"/>
                <w:sz w:val="16"/>
                <w:szCs w:val="16"/>
              </w:rPr>
              <w:t>串口</w:t>
            </w:r>
            <w:r>
              <w:rPr>
                <w:rFonts w:ascii="宋体" w:hAnsi="宋体"/>
                <w:sz w:val="16"/>
                <w:szCs w:val="16"/>
              </w:rPr>
              <w:br w:type="textWrapping"/>
            </w:r>
            <w:r>
              <w:rPr>
                <w:rFonts w:hint="eastAsia" w:ascii="宋体" w:hAnsi="宋体"/>
                <w:sz w:val="16"/>
                <w:szCs w:val="16"/>
              </w:rPr>
              <w:t>网络：</w:t>
            </w:r>
            <w:r>
              <w:rPr>
                <w:rFonts w:ascii="宋体" w:hAnsi="宋体"/>
                <w:sz w:val="16"/>
                <w:szCs w:val="16"/>
              </w:rPr>
              <w:t>2</w:t>
            </w:r>
            <w:r>
              <w:rPr>
                <w:rFonts w:hint="eastAsia" w:ascii="宋体" w:hAnsi="宋体"/>
                <w:sz w:val="16"/>
                <w:szCs w:val="16"/>
              </w:rPr>
              <w:t>个高性能</w:t>
            </w:r>
            <w:r>
              <w:rPr>
                <w:rFonts w:ascii="宋体" w:hAnsi="宋体"/>
                <w:sz w:val="16"/>
                <w:szCs w:val="16"/>
              </w:rPr>
              <w:t>100M/10M</w:t>
            </w:r>
            <w:r>
              <w:rPr>
                <w:rFonts w:hint="eastAsia" w:ascii="宋体" w:hAnsi="宋体"/>
                <w:sz w:val="16"/>
                <w:szCs w:val="16"/>
              </w:rPr>
              <w:t>以太网接口，内置服务，支持转为</w:t>
            </w:r>
            <w:r>
              <w:rPr>
                <w:rFonts w:ascii="宋体" w:hAnsi="宋体"/>
                <w:sz w:val="16"/>
                <w:szCs w:val="16"/>
              </w:rPr>
              <w:t>BACnet</w:t>
            </w:r>
            <w:r>
              <w:rPr>
                <w:rFonts w:hint="eastAsia" w:ascii="宋体" w:hAnsi="宋体"/>
                <w:sz w:val="16"/>
                <w:szCs w:val="16"/>
              </w:rPr>
              <w:t>、</w:t>
            </w:r>
            <w:r>
              <w:rPr>
                <w:rFonts w:ascii="宋体" w:hAnsi="宋体"/>
                <w:sz w:val="16"/>
                <w:szCs w:val="16"/>
              </w:rPr>
              <w:t>Modbus</w:t>
            </w:r>
            <w:r>
              <w:rPr>
                <w:rFonts w:hint="eastAsia" w:ascii="宋体" w:hAnsi="宋体"/>
                <w:sz w:val="16"/>
                <w:szCs w:val="16"/>
              </w:rPr>
              <w:t>、</w:t>
            </w:r>
            <w:r>
              <w:rPr>
                <w:rFonts w:ascii="宋体" w:hAnsi="宋体"/>
                <w:sz w:val="16"/>
                <w:szCs w:val="16"/>
              </w:rPr>
              <w:t>OPC UA</w:t>
            </w:r>
            <w:r>
              <w:rPr>
                <w:rFonts w:hint="eastAsia" w:ascii="宋体" w:hAnsi="宋体"/>
                <w:sz w:val="16"/>
                <w:szCs w:val="16"/>
              </w:rPr>
              <w:t>、</w:t>
            </w:r>
            <w:r>
              <w:rPr>
                <w:rFonts w:ascii="宋体" w:hAnsi="宋体"/>
                <w:sz w:val="16"/>
                <w:szCs w:val="16"/>
              </w:rPr>
              <w:t>MQTT/</w:t>
            </w:r>
            <w:r>
              <w:rPr>
                <w:rFonts w:hint="eastAsia" w:ascii="宋体" w:hAnsi="宋体"/>
                <w:sz w:val="16"/>
                <w:szCs w:val="16"/>
              </w:rPr>
              <w:t>云服务器、</w:t>
            </w:r>
            <w:r>
              <w:rPr>
                <w:rFonts w:ascii="宋体" w:hAnsi="宋体"/>
                <w:sz w:val="16"/>
                <w:szCs w:val="16"/>
              </w:rPr>
              <w:t>IEC61850</w:t>
            </w:r>
            <w:r>
              <w:rPr>
                <w:rFonts w:hint="eastAsia" w:ascii="宋体" w:hAnsi="宋体"/>
                <w:sz w:val="16"/>
                <w:szCs w:val="16"/>
              </w:rPr>
              <w:t>服务器；</w:t>
            </w:r>
            <w:r>
              <w:rPr>
                <w:rFonts w:ascii="宋体" w:hAnsi="宋体"/>
                <w:sz w:val="16"/>
                <w:szCs w:val="16"/>
              </w:rPr>
              <w:br w:type="textWrapping"/>
            </w:r>
            <w:r>
              <w:rPr>
                <w:rFonts w:hint="eastAsia" w:ascii="宋体" w:hAnsi="宋体"/>
                <w:sz w:val="16"/>
                <w:szCs w:val="16"/>
              </w:rPr>
              <w:t>·支持短信平台、微信、钉钉、邮件报警；</w:t>
            </w:r>
          </w:p>
        </w:tc>
        <w:tc>
          <w:tcPr>
            <w:tcW w:w="2022" w:type="dxa"/>
            <w:vAlign w:val="center"/>
          </w:tcPr>
          <w:p w14:paraId="431E0EB9">
            <w:pPr>
              <w:snapToGrid w:val="0"/>
              <w:jc w:val="both"/>
              <w:rPr>
                <w:rFonts w:ascii="宋体" w:hAnsi="宋体" w:cstheme="minorEastAsia"/>
                <w:bCs/>
                <w:sz w:val="16"/>
                <w:szCs w:val="16"/>
              </w:rPr>
            </w:pPr>
          </w:p>
        </w:tc>
        <w:tc>
          <w:tcPr>
            <w:tcW w:w="0" w:type="auto"/>
            <w:vAlign w:val="center"/>
          </w:tcPr>
          <w:p w14:paraId="7327A479">
            <w:pPr>
              <w:jc w:val="both"/>
              <w:textAlignment w:val="center"/>
              <w:rPr>
                <w:rFonts w:ascii="宋体" w:hAnsi="宋体" w:cstheme="minorEastAsia"/>
                <w:bCs/>
                <w:sz w:val="16"/>
                <w:szCs w:val="16"/>
              </w:rPr>
            </w:pPr>
          </w:p>
        </w:tc>
        <w:tc>
          <w:tcPr>
            <w:tcW w:w="0" w:type="auto"/>
            <w:vAlign w:val="center"/>
          </w:tcPr>
          <w:p w14:paraId="52DDAAEB">
            <w:pPr>
              <w:jc w:val="both"/>
              <w:textAlignment w:val="center"/>
              <w:rPr>
                <w:rFonts w:ascii="宋体" w:hAnsi="宋体" w:cstheme="minorEastAsia"/>
                <w:bCs/>
                <w:sz w:val="16"/>
                <w:szCs w:val="16"/>
              </w:rPr>
            </w:pPr>
          </w:p>
        </w:tc>
        <w:tc>
          <w:tcPr>
            <w:tcW w:w="1016" w:type="dxa"/>
            <w:vAlign w:val="center"/>
          </w:tcPr>
          <w:p w14:paraId="1CF2E80B">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2DBCAC56">
            <w:pPr>
              <w:jc w:val="both"/>
              <w:textAlignment w:val="center"/>
              <w:rPr>
                <w:rFonts w:ascii="宋体" w:hAnsi="宋体"/>
                <w:sz w:val="16"/>
                <w:szCs w:val="16"/>
              </w:rPr>
            </w:pPr>
            <w:r>
              <w:rPr>
                <w:rFonts w:ascii="宋体" w:hAnsi="宋体"/>
                <w:sz w:val="16"/>
                <w:szCs w:val="16"/>
              </w:rPr>
              <w:t>5</w:t>
            </w:r>
          </w:p>
        </w:tc>
        <w:tc>
          <w:tcPr>
            <w:tcW w:w="0" w:type="auto"/>
            <w:vAlign w:val="center"/>
          </w:tcPr>
          <w:p w14:paraId="3A2C3DE1">
            <w:pPr>
              <w:jc w:val="both"/>
              <w:textAlignment w:val="center"/>
              <w:rPr>
                <w:rFonts w:ascii="宋体" w:hAnsi="宋体" w:cstheme="minorEastAsia"/>
                <w:bCs/>
                <w:sz w:val="16"/>
                <w:szCs w:val="16"/>
                <w:highlight w:val="yellow"/>
              </w:rPr>
            </w:pPr>
          </w:p>
        </w:tc>
        <w:tc>
          <w:tcPr>
            <w:tcW w:w="0" w:type="auto"/>
            <w:vAlign w:val="center"/>
          </w:tcPr>
          <w:p w14:paraId="4E4EA406">
            <w:pPr>
              <w:jc w:val="both"/>
              <w:textAlignment w:val="center"/>
              <w:rPr>
                <w:rFonts w:ascii="宋体" w:hAnsi="宋体" w:cstheme="minorEastAsia"/>
                <w:bCs/>
                <w:sz w:val="16"/>
                <w:szCs w:val="16"/>
                <w:highlight w:val="yellow"/>
              </w:rPr>
            </w:pPr>
          </w:p>
        </w:tc>
        <w:tc>
          <w:tcPr>
            <w:tcW w:w="0" w:type="auto"/>
            <w:vAlign w:val="center"/>
          </w:tcPr>
          <w:p w14:paraId="39F7585E">
            <w:pPr>
              <w:jc w:val="both"/>
              <w:textAlignment w:val="center"/>
              <w:rPr>
                <w:rFonts w:ascii="宋体" w:hAnsi="宋体" w:cstheme="minorEastAsia"/>
                <w:bCs/>
                <w:sz w:val="16"/>
                <w:szCs w:val="16"/>
                <w:highlight w:val="yellow"/>
              </w:rPr>
            </w:pPr>
          </w:p>
        </w:tc>
        <w:tc>
          <w:tcPr>
            <w:tcW w:w="0" w:type="auto"/>
            <w:shd w:val="clear" w:color="auto" w:fill="auto"/>
            <w:vAlign w:val="center"/>
          </w:tcPr>
          <w:p w14:paraId="6105CDFC">
            <w:pPr>
              <w:snapToGrid w:val="0"/>
              <w:jc w:val="both"/>
              <w:rPr>
                <w:rFonts w:ascii="宋体" w:hAnsi="宋体" w:cstheme="minorEastAsia"/>
                <w:bCs/>
                <w:sz w:val="16"/>
                <w:szCs w:val="16"/>
              </w:rPr>
            </w:pPr>
          </w:p>
        </w:tc>
      </w:tr>
      <w:tr w14:paraId="061D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04CF8621">
            <w:pPr>
              <w:snapToGrid w:val="0"/>
              <w:jc w:val="both"/>
              <w:rPr>
                <w:rFonts w:ascii="宋体" w:hAnsi="宋体" w:cstheme="minorEastAsia"/>
                <w:b/>
                <w:bCs/>
                <w:sz w:val="16"/>
                <w:szCs w:val="16"/>
              </w:rPr>
            </w:pPr>
            <w:r>
              <w:rPr>
                <w:rFonts w:hint="eastAsia" w:ascii="宋体" w:hAnsi="宋体" w:cstheme="minorEastAsia"/>
                <w:b/>
                <w:bCs/>
                <w:sz w:val="16"/>
                <w:szCs w:val="16"/>
              </w:rPr>
              <w:t>1.9</w:t>
            </w:r>
          </w:p>
        </w:tc>
        <w:tc>
          <w:tcPr>
            <w:tcW w:w="13138" w:type="dxa"/>
            <w:gridSpan w:val="11"/>
            <w:vAlign w:val="center"/>
          </w:tcPr>
          <w:p w14:paraId="285954F7">
            <w:pPr>
              <w:snapToGrid w:val="0"/>
              <w:jc w:val="both"/>
              <w:rPr>
                <w:rFonts w:ascii="宋体" w:hAnsi="宋体" w:cstheme="minorEastAsia"/>
                <w:b/>
                <w:bCs/>
                <w:sz w:val="16"/>
                <w:szCs w:val="16"/>
              </w:rPr>
            </w:pPr>
            <w:r>
              <w:rPr>
                <w:rFonts w:hint="eastAsia" w:ascii="宋体" w:hAnsi="宋体"/>
                <w:b/>
                <w:sz w:val="16"/>
                <w:szCs w:val="16"/>
              </w:rPr>
              <w:t>仪表数采站</w:t>
            </w:r>
          </w:p>
        </w:tc>
      </w:tr>
      <w:tr w14:paraId="4AC1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D0EF375">
            <w:pPr>
              <w:snapToGrid w:val="0"/>
              <w:jc w:val="both"/>
              <w:rPr>
                <w:rFonts w:ascii="宋体" w:hAnsi="宋体" w:cstheme="minorEastAsia"/>
                <w:bCs/>
                <w:sz w:val="16"/>
                <w:szCs w:val="16"/>
              </w:rPr>
            </w:pPr>
            <w:r>
              <w:rPr>
                <w:rFonts w:hint="eastAsia" w:ascii="宋体" w:hAnsi="宋体" w:cstheme="minorEastAsia"/>
                <w:bCs/>
                <w:sz w:val="16"/>
                <w:szCs w:val="16"/>
              </w:rPr>
              <w:t>1.9.1</w:t>
            </w:r>
          </w:p>
        </w:tc>
        <w:tc>
          <w:tcPr>
            <w:tcW w:w="1484" w:type="dxa"/>
            <w:tcBorders>
              <w:top w:val="single" w:color="auto" w:sz="4" w:space="0"/>
            </w:tcBorders>
            <w:vAlign w:val="center"/>
          </w:tcPr>
          <w:p w14:paraId="719EB52E">
            <w:pPr>
              <w:snapToGrid w:val="0"/>
              <w:jc w:val="both"/>
              <w:rPr>
                <w:rFonts w:ascii="宋体" w:hAnsi="宋体"/>
                <w:sz w:val="16"/>
                <w:szCs w:val="16"/>
              </w:rPr>
            </w:pPr>
            <w:r>
              <w:rPr>
                <w:rFonts w:ascii="宋体" w:hAnsi="宋体"/>
                <w:sz w:val="16"/>
                <w:szCs w:val="16"/>
              </w:rPr>
              <w:t>PLC</w:t>
            </w:r>
            <w:r>
              <w:rPr>
                <w:rFonts w:hint="eastAsia" w:ascii="宋体" w:hAnsi="宋体"/>
                <w:sz w:val="16"/>
                <w:szCs w:val="16"/>
              </w:rPr>
              <w:t>系统</w:t>
            </w:r>
          </w:p>
        </w:tc>
        <w:tc>
          <w:tcPr>
            <w:tcW w:w="4601" w:type="dxa"/>
            <w:vAlign w:val="center"/>
          </w:tcPr>
          <w:p w14:paraId="70999248">
            <w:pPr>
              <w:snapToGrid w:val="0"/>
              <w:jc w:val="both"/>
              <w:rPr>
                <w:rFonts w:ascii="宋体" w:hAnsi="宋体"/>
                <w:sz w:val="16"/>
                <w:szCs w:val="16"/>
              </w:rPr>
            </w:pPr>
            <w:r>
              <w:rPr>
                <w:rFonts w:hint="eastAsia" w:ascii="宋体" w:hAnsi="宋体"/>
                <w:sz w:val="16"/>
                <w:szCs w:val="16"/>
              </w:rPr>
              <w:t>每个仪表数采站：</w:t>
            </w:r>
            <w:r>
              <w:rPr>
                <w:rFonts w:ascii="宋体" w:hAnsi="宋体"/>
                <w:sz w:val="16"/>
                <w:szCs w:val="16"/>
              </w:rPr>
              <w:br w:type="textWrapping"/>
            </w:r>
            <w:r>
              <w:rPr>
                <w:rFonts w:ascii="宋体" w:hAnsi="宋体"/>
                <w:sz w:val="16"/>
                <w:szCs w:val="16"/>
              </w:rPr>
              <w:t>1</w:t>
            </w:r>
            <w:r>
              <w:rPr>
                <w:rFonts w:hint="eastAsia" w:ascii="宋体" w:hAnsi="宋体"/>
                <w:sz w:val="16"/>
                <w:szCs w:val="16"/>
              </w:rPr>
              <w:t>、</w:t>
            </w:r>
            <w:r>
              <w:rPr>
                <w:rFonts w:ascii="宋体" w:hAnsi="宋体"/>
                <w:sz w:val="16"/>
                <w:szCs w:val="16"/>
              </w:rPr>
              <w:t>CPU</w:t>
            </w:r>
            <w:r>
              <w:rPr>
                <w:rFonts w:hint="eastAsia" w:ascii="宋体" w:hAnsi="宋体"/>
                <w:sz w:val="16"/>
                <w:szCs w:val="16"/>
              </w:rPr>
              <w:t>需支持信号模块扩展不小于</w:t>
            </w:r>
            <w:r>
              <w:rPr>
                <w:rFonts w:ascii="宋体" w:hAnsi="宋体"/>
                <w:sz w:val="16"/>
                <w:szCs w:val="16"/>
              </w:rPr>
              <w:t>8</w:t>
            </w:r>
            <w:r>
              <w:rPr>
                <w:rFonts w:hint="eastAsia" w:ascii="宋体" w:hAnsi="宋体"/>
                <w:sz w:val="16"/>
                <w:szCs w:val="16"/>
              </w:rPr>
              <w:t>个，输出</w:t>
            </w:r>
            <w:r>
              <w:rPr>
                <w:rFonts w:ascii="宋体" w:hAnsi="宋体"/>
                <w:sz w:val="16"/>
                <w:szCs w:val="16"/>
              </w:rPr>
              <w:t>PN</w:t>
            </w:r>
            <w:r>
              <w:rPr>
                <w:rFonts w:hint="eastAsia" w:ascii="宋体" w:hAnsi="宋体"/>
                <w:sz w:val="16"/>
                <w:szCs w:val="16"/>
              </w:rPr>
              <w:t>协议；</w:t>
            </w:r>
            <w:r>
              <w:rPr>
                <w:rFonts w:ascii="宋体" w:hAnsi="宋体"/>
                <w:sz w:val="16"/>
                <w:szCs w:val="16"/>
              </w:rPr>
              <w:br w:type="textWrapping"/>
            </w:r>
            <w:r>
              <w:rPr>
                <w:rFonts w:ascii="宋体" w:hAnsi="宋体"/>
                <w:sz w:val="16"/>
                <w:szCs w:val="16"/>
              </w:rPr>
              <w:t>2</w:t>
            </w:r>
            <w:r>
              <w:rPr>
                <w:rFonts w:hint="eastAsia" w:ascii="宋体" w:hAnsi="宋体"/>
                <w:sz w:val="16"/>
                <w:szCs w:val="16"/>
              </w:rPr>
              <w:t>、配置对应</w:t>
            </w:r>
            <w:r>
              <w:rPr>
                <w:rFonts w:ascii="宋体" w:hAnsi="宋体"/>
                <w:sz w:val="16"/>
                <w:szCs w:val="16"/>
              </w:rPr>
              <w:t>PLC</w:t>
            </w:r>
            <w:r>
              <w:rPr>
                <w:rFonts w:hint="eastAsia" w:ascii="宋体" w:hAnsi="宋体"/>
                <w:sz w:val="16"/>
                <w:szCs w:val="16"/>
              </w:rPr>
              <w:t>导轨；</w:t>
            </w:r>
            <w:r>
              <w:rPr>
                <w:rFonts w:ascii="宋体" w:hAnsi="宋体"/>
                <w:sz w:val="16"/>
                <w:szCs w:val="16"/>
              </w:rPr>
              <w:br w:type="textWrapping"/>
            </w:r>
            <w:r>
              <w:rPr>
                <w:rFonts w:ascii="宋体" w:hAnsi="宋体"/>
                <w:sz w:val="16"/>
                <w:szCs w:val="16"/>
              </w:rPr>
              <w:t>3</w:t>
            </w:r>
            <w:r>
              <w:rPr>
                <w:rFonts w:hint="eastAsia" w:ascii="宋体" w:hAnsi="宋体"/>
                <w:sz w:val="16"/>
                <w:szCs w:val="16"/>
              </w:rPr>
              <w:t>、配置</w:t>
            </w:r>
            <w:r>
              <w:rPr>
                <w:rFonts w:ascii="宋体" w:hAnsi="宋体"/>
                <w:sz w:val="16"/>
                <w:szCs w:val="16"/>
              </w:rPr>
              <w:t>CPU</w:t>
            </w:r>
            <w:r>
              <w:rPr>
                <w:rFonts w:hint="eastAsia" w:ascii="宋体" w:hAnsi="宋体"/>
                <w:sz w:val="16"/>
                <w:szCs w:val="16"/>
              </w:rPr>
              <w:t>对应</w:t>
            </w:r>
            <w:r>
              <w:rPr>
                <w:rFonts w:ascii="宋体" w:hAnsi="宋体"/>
                <w:sz w:val="16"/>
                <w:szCs w:val="16"/>
              </w:rPr>
              <w:t>DP</w:t>
            </w:r>
            <w:r>
              <w:rPr>
                <w:rFonts w:hint="eastAsia" w:ascii="宋体" w:hAnsi="宋体"/>
                <w:sz w:val="16"/>
                <w:szCs w:val="16"/>
              </w:rPr>
              <w:t>模块；</w:t>
            </w:r>
            <w:r>
              <w:rPr>
                <w:rFonts w:ascii="宋体" w:hAnsi="宋体"/>
                <w:sz w:val="16"/>
                <w:szCs w:val="16"/>
              </w:rPr>
              <w:br w:type="textWrapping"/>
            </w:r>
            <w:r>
              <w:rPr>
                <w:rFonts w:ascii="宋体" w:hAnsi="宋体"/>
                <w:sz w:val="16"/>
                <w:szCs w:val="16"/>
              </w:rPr>
              <w:t>4</w:t>
            </w:r>
            <w:r>
              <w:rPr>
                <w:rFonts w:hint="eastAsia" w:ascii="宋体" w:hAnsi="宋体"/>
                <w:sz w:val="16"/>
                <w:szCs w:val="16"/>
              </w:rPr>
              <w:t>、配置不小于</w:t>
            </w:r>
            <w:r>
              <w:rPr>
                <w:rFonts w:ascii="宋体" w:hAnsi="宋体"/>
                <w:sz w:val="16"/>
                <w:szCs w:val="16"/>
              </w:rPr>
              <w:t>4MB</w:t>
            </w:r>
            <w:r>
              <w:rPr>
                <w:rFonts w:hint="eastAsia" w:ascii="宋体" w:hAnsi="宋体"/>
                <w:sz w:val="16"/>
                <w:szCs w:val="16"/>
              </w:rPr>
              <w:t>存储卡；</w:t>
            </w:r>
            <w:r>
              <w:rPr>
                <w:rFonts w:ascii="宋体" w:hAnsi="宋体"/>
                <w:sz w:val="16"/>
                <w:szCs w:val="16"/>
              </w:rPr>
              <w:br w:type="textWrapping"/>
            </w:r>
            <w:r>
              <w:rPr>
                <w:rFonts w:ascii="宋体" w:hAnsi="宋体"/>
                <w:sz w:val="16"/>
                <w:szCs w:val="16"/>
              </w:rPr>
              <w:t>5</w:t>
            </w:r>
            <w:r>
              <w:rPr>
                <w:rFonts w:hint="eastAsia" w:ascii="宋体" w:hAnsi="宋体"/>
                <w:sz w:val="16"/>
                <w:szCs w:val="16"/>
              </w:rPr>
              <w:t>、配置</w:t>
            </w:r>
            <w:r>
              <w:rPr>
                <w:rFonts w:ascii="宋体" w:hAnsi="宋体"/>
                <w:sz w:val="16"/>
                <w:szCs w:val="16"/>
              </w:rPr>
              <w:t>8AI 13</w:t>
            </w:r>
            <w:r>
              <w:rPr>
                <w:rFonts w:hint="eastAsia" w:ascii="宋体" w:hAnsi="宋体"/>
                <w:sz w:val="16"/>
                <w:szCs w:val="16"/>
              </w:rPr>
              <w:t>位模块</w:t>
            </w:r>
            <w:r>
              <w:rPr>
                <w:rFonts w:ascii="宋体" w:hAnsi="宋体"/>
                <w:sz w:val="16"/>
                <w:szCs w:val="16"/>
              </w:rPr>
              <w:t>2</w:t>
            </w:r>
            <w:r>
              <w:rPr>
                <w:rFonts w:hint="eastAsia" w:ascii="宋体" w:hAnsi="宋体"/>
                <w:sz w:val="16"/>
                <w:szCs w:val="16"/>
              </w:rPr>
              <w:t>块；</w:t>
            </w:r>
          </w:p>
        </w:tc>
        <w:tc>
          <w:tcPr>
            <w:tcW w:w="2022" w:type="dxa"/>
            <w:vAlign w:val="center"/>
          </w:tcPr>
          <w:p w14:paraId="4E8DB5A3">
            <w:pPr>
              <w:snapToGrid w:val="0"/>
              <w:jc w:val="both"/>
              <w:rPr>
                <w:rFonts w:ascii="宋体" w:hAnsi="宋体" w:cstheme="minorEastAsia"/>
                <w:bCs/>
                <w:sz w:val="16"/>
                <w:szCs w:val="16"/>
              </w:rPr>
            </w:pPr>
          </w:p>
        </w:tc>
        <w:tc>
          <w:tcPr>
            <w:tcW w:w="0" w:type="auto"/>
            <w:vAlign w:val="center"/>
          </w:tcPr>
          <w:p w14:paraId="2D7E1432">
            <w:pPr>
              <w:jc w:val="both"/>
              <w:textAlignment w:val="center"/>
              <w:rPr>
                <w:rFonts w:ascii="宋体" w:hAnsi="宋体" w:cstheme="minorEastAsia"/>
                <w:bCs/>
                <w:sz w:val="16"/>
                <w:szCs w:val="16"/>
              </w:rPr>
            </w:pPr>
          </w:p>
        </w:tc>
        <w:tc>
          <w:tcPr>
            <w:tcW w:w="0" w:type="auto"/>
            <w:vAlign w:val="center"/>
          </w:tcPr>
          <w:p w14:paraId="58D97DCE">
            <w:pPr>
              <w:jc w:val="both"/>
              <w:textAlignment w:val="center"/>
              <w:rPr>
                <w:rFonts w:ascii="宋体" w:hAnsi="宋体" w:cstheme="minorEastAsia"/>
                <w:bCs/>
                <w:sz w:val="16"/>
                <w:szCs w:val="16"/>
              </w:rPr>
            </w:pPr>
          </w:p>
        </w:tc>
        <w:tc>
          <w:tcPr>
            <w:tcW w:w="1016" w:type="dxa"/>
            <w:vAlign w:val="center"/>
          </w:tcPr>
          <w:p w14:paraId="2ABC3828">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11C314BA">
            <w:pPr>
              <w:jc w:val="both"/>
              <w:textAlignment w:val="center"/>
              <w:rPr>
                <w:rFonts w:ascii="宋体" w:hAnsi="宋体"/>
                <w:sz w:val="16"/>
                <w:szCs w:val="16"/>
              </w:rPr>
            </w:pPr>
            <w:r>
              <w:rPr>
                <w:rFonts w:ascii="宋体" w:hAnsi="宋体"/>
                <w:sz w:val="16"/>
                <w:szCs w:val="16"/>
              </w:rPr>
              <w:t>16</w:t>
            </w:r>
          </w:p>
        </w:tc>
        <w:tc>
          <w:tcPr>
            <w:tcW w:w="0" w:type="auto"/>
            <w:vAlign w:val="center"/>
          </w:tcPr>
          <w:p w14:paraId="03FECDE9">
            <w:pPr>
              <w:jc w:val="both"/>
              <w:textAlignment w:val="center"/>
              <w:rPr>
                <w:rFonts w:ascii="宋体" w:hAnsi="宋体" w:cstheme="minorEastAsia"/>
                <w:bCs/>
                <w:sz w:val="16"/>
                <w:szCs w:val="16"/>
                <w:highlight w:val="yellow"/>
              </w:rPr>
            </w:pPr>
          </w:p>
        </w:tc>
        <w:tc>
          <w:tcPr>
            <w:tcW w:w="0" w:type="auto"/>
            <w:vAlign w:val="center"/>
          </w:tcPr>
          <w:p w14:paraId="612E08CF">
            <w:pPr>
              <w:jc w:val="both"/>
              <w:textAlignment w:val="center"/>
              <w:rPr>
                <w:rFonts w:ascii="宋体" w:hAnsi="宋体" w:cstheme="minorEastAsia"/>
                <w:bCs/>
                <w:sz w:val="16"/>
                <w:szCs w:val="16"/>
                <w:highlight w:val="yellow"/>
              </w:rPr>
            </w:pPr>
          </w:p>
        </w:tc>
        <w:tc>
          <w:tcPr>
            <w:tcW w:w="0" w:type="auto"/>
            <w:vAlign w:val="center"/>
          </w:tcPr>
          <w:p w14:paraId="3E14CAA3">
            <w:pPr>
              <w:jc w:val="both"/>
              <w:textAlignment w:val="center"/>
              <w:rPr>
                <w:rFonts w:ascii="宋体" w:hAnsi="宋体" w:cstheme="minorEastAsia"/>
                <w:bCs/>
                <w:sz w:val="16"/>
                <w:szCs w:val="16"/>
                <w:highlight w:val="yellow"/>
              </w:rPr>
            </w:pPr>
          </w:p>
        </w:tc>
        <w:tc>
          <w:tcPr>
            <w:tcW w:w="0" w:type="auto"/>
            <w:shd w:val="clear" w:color="auto" w:fill="auto"/>
            <w:vAlign w:val="center"/>
          </w:tcPr>
          <w:p w14:paraId="3EAE9619">
            <w:pPr>
              <w:snapToGrid w:val="0"/>
              <w:jc w:val="both"/>
              <w:rPr>
                <w:rFonts w:ascii="宋体" w:hAnsi="宋体" w:cstheme="minorEastAsia"/>
                <w:bCs/>
                <w:sz w:val="16"/>
                <w:szCs w:val="16"/>
              </w:rPr>
            </w:pPr>
          </w:p>
        </w:tc>
      </w:tr>
      <w:tr w14:paraId="029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6BA1F887">
            <w:pPr>
              <w:snapToGrid w:val="0"/>
              <w:jc w:val="both"/>
              <w:rPr>
                <w:rFonts w:ascii="宋体" w:hAnsi="宋体" w:cstheme="minorEastAsia"/>
                <w:bCs/>
                <w:sz w:val="16"/>
                <w:szCs w:val="16"/>
              </w:rPr>
            </w:pPr>
            <w:r>
              <w:rPr>
                <w:rFonts w:hint="eastAsia" w:ascii="宋体" w:hAnsi="宋体" w:cstheme="minorEastAsia"/>
                <w:bCs/>
                <w:sz w:val="16"/>
                <w:szCs w:val="16"/>
              </w:rPr>
              <w:t>1.9.2</w:t>
            </w:r>
          </w:p>
        </w:tc>
        <w:tc>
          <w:tcPr>
            <w:tcW w:w="1484" w:type="dxa"/>
            <w:tcBorders>
              <w:top w:val="single" w:color="auto" w:sz="4" w:space="0"/>
            </w:tcBorders>
            <w:vAlign w:val="center"/>
          </w:tcPr>
          <w:p w14:paraId="3FC83593">
            <w:pPr>
              <w:snapToGrid w:val="0"/>
              <w:jc w:val="both"/>
              <w:rPr>
                <w:rFonts w:ascii="宋体" w:hAnsi="宋体"/>
                <w:sz w:val="16"/>
                <w:szCs w:val="16"/>
              </w:rPr>
            </w:pPr>
            <w:r>
              <w:rPr>
                <w:rFonts w:hint="eastAsia" w:ascii="宋体" w:hAnsi="宋体"/>
                <w:sz w:val="16"/>
                <w:szCs w:val="16"/>
              </w:rPr>
              <w:t>光纤环网交换机</w:t>
            </w:r>
          </w:p>
        </w:tc>
        <w:tc>
          <w:tcPr>
            <w:tcW w:w="4601" w:type="dxa"/>
            <w:vAlign w:val="center"/>
          </w:tcPr>
          <w:p w14:paraId="7EBC1CD8">
            <w:pPr>
              <w:snapToGrid w:val="0"/>
              <w:jc w:val="both"/>
              <w:rPr>
                <w:rFonts w:ascii="宋体" w:hAnsi="宋体"/>
                <w:sz w:val="16"/>
                <w:szCs w:val="16"/>
              </w:rPr>
            </w:pPr>
            <w:r>
              <w:rPr>
                <w:rFonts w:ascii="宋体" w:hAnsi="宋体"/>
                <w:sz w:val="16"/>
                <w:szCs w:val="16"/>
              </w:rPr>
              <w:t>2</w:t>
            </w:r>
            <w:r>
              <w:rPr>
                <w:rFonts w:hint="eastAsia" w:ascii="宋体" w:hAnsi="宋体"/>
                <w:sz w:val="16"/>
                <w:szCs w:val="16"/>
              </w:rPr>
              <w:t>对光口，</w:t>
            </w:r>
            <w:r>
              <w:rPr>
                <w:rFonts w:ascii="宋体" w:hAnsi="宋体"/>
                <w:sz w:val="16"/>
                <w:szCs w:val="16"/>
              </w:rPr>
              <w:t>2</w:t>
            </w:r>
            <w:r>
              <w:rPr>
                <w:rFonts w:hint="eastAsia" w:ascii="宋体" w:hAnsi="宋体"/>
                <w:sz w:val="16"/>
                <w:szCs w:val="16"/>
              </w:rPr>
              <w:t>电口，含</w:t>
            </w:r>
            <w:r>
              <w:rPr>
                <w:rFonts w:ascii="宋体" w:hAnsi="宋体"/>
                <w:sz w:val="16"/>
                <w:szCs w:val="16"/>
              </w:rPr>
              <w:t>SFP</w:t>
            </w:r>
            <w:r>
              <w:rPr>
                <w:rFonts w:hint="eastAsia" w:ascii="宋体" w:hAnsi="宋体"/>
                <w:sz w:val="16"/>
                <w:szCs w:val="16"/>
              </w:rPr>
              <w:t>模块</w:t>
            </w:r>
          </w:p>
        </w:tc>
        <w:tc>
          <w:tcPr>
            <w:tcW w:w="2022" w:type="dxa"/>
            <w:vAlign w:val="center"/>
          </w:tcPr>
          <w:p w14:paraId="11AB7F83">
            <w:pPr>
              <w:snapToGrid w:val="0"/>
              <w:jc w:val="both"/>
              <w:rPr>
                <w:rFonts w:ascii="宋体" w:hAnsi="宋体" w:cstheme="minorEastAsia"/>
                <w:bCs/>
                <w:sz w:val="16"/>
                <w:szCs w:val="16"/>
              </w:rPr>
            </w:pPr>
          </w:p>
        </w:tc>
        <w:tc>
          <w:tcPr>
            <w:tcW w:w="0" w:type="auto"/>
            <w:vAlign w:val="center"/>
          </w:tcPr>
          <w:p w14:paraId="7B476D93">
            <w:pPr>
              <w:jc w:val="both"/>
              <w:textAlignment w:val="center"/>
              <w:rPr>
                <w:rFonts w:ascii="宋体" w:hAnsi="宋体" w:cstheme="minorEastAsia"/>
                <w:bCs/>
                <w:sz w:val="16"/>
                <w:szCs w:val="16"/>
              </w:rPr>
            </w:pPr>
          </w:p>
        </w:tc>
        <w:tc>
          <w:tcPr>
            <w:tcW w:w="0" w:type="auto"/>
            <w:vAlign w:val="center"/>
          </w:tcPr>
          <w:p w14:paraId="7E4387F3">
            <w:pPr>
              <w:jc w:val="both"/>
              <w:textAlignment w:val="center"/>
              <w:rPr>
                <w:rFonts w:ascii="宋体" w:hAnsi="宋体" w:cstheme="minorEastAsia"/>
                <w:bCs/>
                <w:sz w:val="16"/>
                <w:szCs w:val="16"/>
              </w:rPr>
            </w:pPr>
          </w:p>
        </w:tc>
        <w:tc>
          <w:tcPr>
            <w:tcW w:w="1016" w:type="dxa"/>
            <w:vAlign w:val="center"/>
          </w:tcPr>
          <w:p w14:paraId="7FC376AD">
            <w:pPr>
              <w:jc w:val="both"/>
              <w:textAlignment w:val="center"/>
              <w:rPr>
                <w:rFonts w:ascii="宋体" w:hAnsi="宋体"/>
                <w:sz w:val="16"/>
                <w:szCs w:val="16"/>
              </w:rPr>
            </w:pPr>
            <w:r>
              <w:rPr>
                <w:rFonts w:hint="eastAsia" w:ascii="宋体" w:hAnsi="宋体"/>
                <w:sz w:val="16"/>
                <w:szCs w:val="16"/>
              </w:rPr>
              <w:t>台</w:t>
            </w:r>
          </w:p>
        </w:tc>
        <w:tc>
          <w:tcPr>
            <w:tcW w:w="609" w:type="dxa"/>
            <w:vAlign w:val="center"/>
          </w:tcPr>
          <w:p w14:paraId="08ACBF5D">
            <w:pPr>
              <w:jc w:val="both"/>
              <w:textAlignment w:val="center"/>
              <w:rPr>
                <w:rFonts w:ascii="宋体" w:hAnsi="宋体"/>
                <w:sz w:val="16"/>
                <w:szCs w:val="16"/>
              </w:rPr>
            </w:pPr>
            <w:r>
              <w:rPr>
                <w:rFonts w:ascii="宋体" w:hAnsi="宋体"/>
                <w:sz w:val="16"/>
                <w:szCs w:val="16"/>
              </w:rPr>
              <w:t>16</w:t>
            </w:r>
          </w:p>
        </w:tc>
        <w:tc>
          <w:tcPr>
            <w:tcW w:w="0" w:type="auto"/>
            <w:vAlign w:val="center"/>
          </w:tcPr>
          <w:p w14:paraId="663617A4">
            <w:pPr>
              <w:jc w:val="both"/>
              <w:textAlignment w:val="center"/>
              <w:rPr>
                <w:rFonts w:ascii="宋体" w:hAnsi="宋体" w:cstheme="minorEastAsia"/>
                <w:bCs/>
                <w:sz w:val="16"/>
                <w:szCs w:val="16"/>
                <w:highlight w:val="yellow"/>
              </w:rPr>
            </w:pPr>
          </w:p>
        </w:tc>
        <w:tc>
          <w:tcPr>
            <w:tcW w:w="0" w:type="auto"/>
            <w:vAlign w:val="center"/>
          </w:tcPr>
          <w:p w14:paraId="4435EC02">
            <w:pPr>
              <w:jc w:val="both"/>
              <w:textAlignment w:val="center"/>
              <w:rPr>
                <w:rFonts w:ascii="宋体" w:hAnsi="宋体" w:cstheme="minorEastAsia"/>
                <w:bCs/>
                <w:sz w:val="16"/>
                <w:szCs w:val="16"/>
                <w:highlight w:val="yellow"/>
              </w:rPr>
            </w:pPr>
          </w:p>
        </w:tc>
        <w:tc>
          <w:tcPr>
            <w:tcW w:w="0" w:type="auto"/>
            <w:vAlign w:val="center"/>
          </w:tcPr>
          <w:p w14:paraId="63ABE51C">
            <w:pPr>
              <w:jc w:val="both"/>
              <w:textAlignment w:val="center"/>
              <w:rPr>
                <w:rFonts w:ascii="宋体" w:hAnsi="宋体" w:cstheme="minorEastAsia"/>
                <w:bCs/>
                <w:sz w:val="16"/>
                <w:szCs w:val="16"/>
                <w:highlight w:val="yellow"/>
              </w:rPr>
            </w:pPr>
          </w:p>
        </w:tc>
        <w:tc>
          <w:tcPr>
            <w:tcW w:w="0" w:type="auto"/>
            <w:shd w:val="clear" w:color="auto" w:fill="auto"/>
            <w:vAlign w:val="center"/>
          </w:tcPr>
          <w:p w14:paraId="548161F3">
            <w:pPr>
              <w:snapToGrid w:val="0"/>
              <w:jc w:val="both"/>
              <w:rPr>
                <w:rFonts w:ascii="宋体" w:hAnsi="宋体" w:cstheme="minorEastAsia"/>
                <w:bCs/>
                <w:sz w:val="16"/>
                <w:szCs w:val="16"/>
              </w:rPr>
            </w:pPr>
          </w:p>
        </w:tc>
      </w:tr>
      <w:tr w14:paraId="1245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1B1B4F96">
            <w:pPr>
              <w:snapToGrid w:val="0"/>
              <w:jc w:val="both"/>
              <w:rPr>
                <w:rFonts w:ascii="宋体" w:hAnsi="宋体" w:cstheme="minorEastAsia"/>
                <w:b/>
                <w:bCs/>
                <w:sz w:val="16"/>
                <w:szCs w:val="16"/>
              </w:rPr>
            </w:pPr>
            <w:r>
              <w:rPr>
                <w:rFonts w:hint="eastAsia" w:ascii="宋体" w:hAnsi="宋体" w:cstheme="minorEastAsia"/>
                <w:b/>
                <w:bCs/>
                <w:sz w:val="16"/>
                <w:szCs w:val="16"/>
              </w:rPr>
              <w:t>1.10</w:t>
            </w:r>
          </w:p>
        </w:tc>
        <w:tc>
          <w:tcPr>
            <w:tcW w:w="13138" w:type="dxa"/>
            <w:gridSpan w:val="11"/>
            <w:vAlign w:val="center"/>
          </w:tcPr>
          <w:p w14:paraId="01C8DFFF">
            <w:pPr>
              <w:snapToGrid w:val="0"/>
              <w:jc w:val="both"/>
              <w:rPr>
                <w:rFonts w:ascii="宋体" w:hAnsi="宋体" w:cstheme="minorEastAsia"/>
                <w:b/>
                <w:bCs/>
                <w:sz w:val="16"/>
                <w:szCs w:val="16"/>
              </w:rPr>
            </w:pPr>
            <w:r>
              <w:rPr>
                <w:rFonts w:hint="eastAsia" w:ascii="宋体" w:hAnsi="宋体"/>
                <w:b/>
                <w:sz w:val="16"/>
                <w:szCs w:val="16"/>
              </w:rPr>
              <w:t>室外气象站硬件（用于空调智能控制、能源需求预测）</w:t>
            </w:r>
          </w:p>
        </w:tc>
      </w:tr>
      <w:tr w14:paraId="7DB0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FFF042C">
            <w:pPr>
              <w:snapToGrid w:val="0"/>
              <w:jc w:val="both"/>
              <w:rPr>
                <w:rFonts w:ascii="宋体" w:hAnsi="宋体" w:cstheme="minorEastAsia"/>
                <w:bCs/>
                <w:sz w:val="16"/>
                <w:szCs w:val="16"/>
              </w:rPr>
            </w:pPr>
            <w:r>
              <w:rPr>
                <w:rFonts w:hint="eastAsia" w:ascii="宋体" w:hAnsi="宋体" w:cstheme="minorEastAsia"/>
                <w:bCs/>
                <w:sz w:val="16"/>
                <w:szCs w:val="16"/>
              </w:rPr>
              <w:t>1.10.1</w:t>
            </w:r>
          </w:p>
        </w:tc>
        <w:tc>
          <w:tcPr>
            <w:tcW w:w="1484" w:type="dxa"/>
            <w:tcBorders>
              <w:top w:val="single" w:color="auto" w:sz="4" w:space="0"/>
            </w:tcBorders>
            <w:vAlign w:val="center"/>
          </w:tcPr>
          <w:p w14:paraId="754FF7BA">
            <w:pPr>
              <w:snapToGrid w:val="0"/>
              <w:jc w:val="both"/>
              <w:rPr>
                <w:rFonts w:ascii="宋体" w:hAnsi="宋体"/>
                <w:sz w:val="16"/>
                <w:szCs w:val="16"/>
              </w:rPr>
            </w:pPr>
            <w:r>
              <w:rPr>
                <w:rFonts w:hint="eastAsia" w:ascii="宋体" w:hAnsi="宋体"/>
                <w:sz w:val="16"/>
                <w:szCs w:val="16"/>
              </w:rPr>
              <w:t>室外气象站</w:t>
            </w:r>
          </w:p>
        </w:tc>
        <w:tc>
          <w:tcPr>
            <w:tcW w:w="4601" w:type="dxa"/>
            <w:vAlign w:val="center"/>
          </w:tcPr>
          <w:p w14:paraId="17DFA291">
            <w:pPr>
              <w:snapToGrid w:val="0"/>
              <w:jc w:val="both"/>
              <w:rPr>
                <w:rFonts w:ascii="宋体" w:hAnsi="宋体"/>
                <w:sz w:val="16"/>
                <w:szCs w:val="16"/>
              </w:rPr>
            </w:pPr>
            <w:r>
              <w:rPr>
                <w:rFonts w:hint="eastAsia" w:ascii="宋体" w:hAnsi="宋体"/>
                <w:sz w:val="16"/>
                <w:szCs w:val="16"/>
              </w:rPr>
              <w:t>温度、湿度、气压、雨量、风速、风向、紫外线照度，具备</w:t>
            </w:r>
            <w:r>
              <w:rPr>
                <w:rFonts w:ascii="宋体" w:hAnsi="宋体"/>
                <w:sz w:val="16"/>
                <w:szCs w:val="16"/>
              </w:rPr>
              <w:t>RS485 modbus-RTU</w:t>
            </w:r>
            <w:r>
              <w:rPr>
                <w:rFonts w:hint="eastAsia" w:ascii="宋体" w:hAnsi="宋体"/>
                <w:sz w:val="16"/>
                <w:szCs w:val="16"/>
              </w:rPr>
              <w:t>通讯接口等</w:t>
            </w:r>
          </w:p>
        </w:tc>
        <w:tc>
          <w:tcPr>
            <w:tcW w:w="2022" w:type="dxa"/>
            <w:vAlign w:val="center"/>
          </w:tcPr>
          <w:p w14:paraId="796C6239">
            <w:pPr>
              <w:snapToGrid w:val="0"/>
              <w:jc w:val="both"/>
              <w:rPr>
                <w:rFonts w:ascii="宋体" w:hAnsi="宋体" w:cstheme="minorEastAsia"/>
                <w:bCs/>
                <w:sz w:val="16"/>
                <w:szCs w:val="16"/>
              </w:rPr>
            </w:pPr>
          </w:p>
        </w:tc>
        <w:tc>
          <w:tcPr>
            <w:tcW w:w="0" w:type="auto"/>
            <w:vAlign w:val="center"/>
          </w:tcPr>
          <w:p w14:paraId="4E0124D5">
            <w:pPr>
              <w:jc w:val="both"/>
              <w:textAlignment w:val="center"/>
              <w:rPr>
                <w:rFonts w:ascii="宋体" w:hAnsi="宋体" w:cstheme="minorEastAsia"/>
                <w:bCs/>
                <w:sz w:val="16"/>
                <w:szCs w:val="16"/>
              </w:rPr>
            </w:pPr>
          </w:p>
        </w:tc>
        <w:tc>
          <w:tcPr>
            <w:tcW w:w="0" w:type="auto"/>
            <w:vAlign w:val="center"/>
          </w:tcPr>
          <w:p w14:paraId="1CEEF099">
            <w:pPr>
              <w:jc w:val="both"/>
              <w:textAlignment w:val="center"/>
              <w:rPr>
                <w:rFonts w:ascii="宋体" w:hAnsi="宋体" w:cstheme="minorEastAsia"/>
                <w:bCs/>
                <w:sz w:val="16"/>
                <w:szCs w:val="16"/>
              </w:rPr>
            </w:pPr>
          </w:p>
        </w:tc>
        <w:tc>
          <w:tcPr>
            <w:tcW w:w="1016" w:type="dxa"/>
            <w:vAlign w:val="center"/>
          </w:tcPr>
          <w:p w14:paraId="1590E2AB">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72547FBA">
            <w:pPr>
              <w:jc w:val="both"/>
              <w:textAlignment w:val="center"/>
              <w:rPr>
                <w:rFonts w:ascii="宋体" w:hAnsi="宋体"/>
                <w:sz w:val="16"/>
                <w:szCs w:val="16"/>
              </w:rPr>
            </w:pPr>
            <w:r>
              <w:rPr>
                <w:rFonts w:ascii="宋体" w:hAnsi="宋体"/>
                <w:sz w:val="16"/>
                <w:szCs w:val="16"/>
              </w:rPr>
              <w:t>1</w:t>
            </w:r>
          </w:p>
        </w:tc>
        <w:tc>
          <w:tcPr>
            <w:tcW w:w="0" w:type="auto"/>
            <w:vAlign w:val="center"/>
          </w:tcPr>
          <w:p w14:paraId="2EB4F8F5">
            <w:pPr>
              <w:jc w:val="both"/>
              <w:textAlignment w:val="center"/>
              <w:rPr>
                <w:rFonts w:ascii="宋体" w:hAnsi="宋体" w:cstheme="minorEastAsia"/>
                <w:bCs/>
                <w:sz w:val="16"/>
                <w:szCs w:val="16"/>
                <w:highlight w:val="yellow"/>
              </w:rPr>
            </w:pPr>
          </w:p>
        </w:tc>
        <w:tc>
          <w:tcPr>
            <w:tcW w:w="0" w:type="auto"/>
            <w:vAlign w:val="center"/>
          </w:tcPr>
          <w:p w14:paraId="6FBFA88A">
            <w:pPr>
              <w:jc w:val="both"/>
              <w:textAlignment w:val="center"/>
              <w:rPr>
                <w:rFonts w:ascii="宋体" w:hAnsi="宋体" w:cstheme="minorEastAsia"/>
                <w:bCs/>
                <w:sz w:val="16"/>
                <w:szCs w:val="16"/>
                <w:highlight w:val="yellow"/>
              </w:rPr>
            </w:pPr>
          </w:p>
        </w:tc>
        <w:tc>
          <w:tcPr>
            <w:tcW w:w="0" w:type="auto"/>
            <w:vAlign w:val="center"/>
          </w:tcPr>
          <w:p w14:paraId="26B1B8A9">
            <w:pPr>
              <w:jc w:val="both"/>
              <w:textAlignment w:val="center"/>
              <w:rPr>
                <w:rFonts w:ascii="宋体" w:hAnsi="宋体" w:cstheme="minorEastAsia"/>
                <w:bCs/>
                <w:sz w:val="16"/>
                <w:szCs w:val="16"/>
                <w:highlight w:val="yellow"/>
              </w:rPr>
            </w:pPr>
          </w:p>
        </w:tc>
        <w:tc>
          <w:tcPr>
            <w:tcW w:w="0" w:type="auto"/>
            <w:shd w:val="clear" w:color="auto" w:fill="auto"/>
            <w:vAlign w:val="center"/>
          </w:tcPr>
          <w:p w14:paraId="0B05EF0F">
            <w:pPr>
              <w:snapToGrid w:val="0"/>
              <w:jc w:val="both"/>
              <w:rPr>
                <w:rFonts w:ascii="宋体" w:hAnsi="宋体" w:cstheme="minorEastAsia"/>
                <w:bCs/>
                <w:sz w:val="16"/>
                <w:szCs w:val="16"/>
              </w:rPr>
            </w:pPr>
          </w:p>
        </w:tc>
      </w:tr>
      <w:tr w14:paraId="32F1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1C5855A">
            <w:pPr>
              <w:snapToGrid w:val="0"/>
              <w:jc w:val="both"/>
              <w:rPr>
                <w:rFonts w:ascii="宋体" w:hAnsi="宋体" w:cstheme="minorEastAsia"/>
                <w:bCs/>
                <w:sz w:val="16"/>
                <w:szCs w:val="16"/>
              </w:rPr>
            </w:pPr>
            <w:r>
              <w:rPr>
                <w:rFonts w:hint="eastAsia" w:ascii="宋体" w:hAnsi="宋体" w:cstheme="minorEastAsia"/>
                <w:bCs/>
                <w:sz w:val="16"/>
                <w:szCs w:val="16"/>
              </w:rPr>
              <w:t>1.10.2</w:t>
            </w:r>
          </w:p>
        </w:tc>
        <w:tc>
          <w:tcPr>
            <w:tcW w:w="1484" w:type="dxa"/>
            <w:tcBorders>
              <w:top w:val="single" w:color="auto" w:sz="4" w:space="0"/>
            </w:tcBorders>
            <w:vAlign w:val="center"/>
          </w:tcPr>
          <w:p w14:paraId="119979D5">
            <w:pPr>
              <w:snapToGrid w:val="0"/>
              <w:jc w:val="both"/>
              <w:rPr>
                <w:rFonts w:ascii="宋体" w:hAnsi="宋体"/>
                <w:sz w:val="16"/>
                <w:szCs w:val="16"/>
              </w:rPr>
            </w:pPr>
            <w:r>
              <w:rPr>
                <w:rFonts w:ascii="宋体" w:hAnsi="宋体"/>
                <w:sz w:val="16"/>
                <w:szCs w:val="16"/>
              </w:rPr>
              <w:t>PLC</w:t>
            </w:r>
            <w:r>
              <w:rPr>
                <w:rFonts w:hint="eastAsia" w:ascii="宋体" w:hAnsi="宋体"/>
                <w:sz w:val="16"/>
                <w:szCs w:val="16"/>
              </w:rPr>
              <w:t>系统</w:t>
            </w:r>
          </w:p>
        </w:tc>
        <w:tc>
          <w:tcPr>
            <w:tcW w:w="4601" w:type="dxa"/>
            <w:vAlign w:val="center"/>
          </w:tcPr>
          <w:p w14:paraId="47E39355">
            <w:pPr>
              <w:snapToGrid w:val="0"/>
              <w:jc w:val="both"/>
              <w:rPr>
                <w:rFonts w:ascii="宋体" w:hAnsi="宋体"/>
                <w:sz w:val="16"/>
                <w:szCs w:val="16"/>
              </w:rPr>
            </w:pPr>
            <w:r>
              <w:rPr>
                <w:rFonts w:ascii="宋体" w:hAnsi="宋体"/>
                <w:sz w:val="16"/>
                <w:szCs w:val="16"/>
              </w:rPr>
              <w:t>1</w:t>
            </w:r>
            <w:r>
              <w:rPr>
                <w:rFonts w:hint="eastAsia" w:ascii="宋体" w:hAnsi="宋体"/>
                <w:sz w:val="16"/>
                <w:szCs w:val="16"/>
              </w:rPr>
              <w:t>、</w:t>
            </w:r>
            <w:r>
              <w:rPr>
                <w:rFonts w:ascii="宋体" w:hAnsi="宋体"/>
                <w:sz w:val="16"/>
                <w:szCs w:val="16"/>
              </w:rPr>
              <w:t>CPU</w:t>
            </w:r>
            <w:r>
              <w:rPr>
                <w:rFonts w:hint="eastAsia" w:ascii="宋体" w:hAnsi="宋体"/>
                <w:sz w:val="16"/>
                <w:szCs w:val="16"/>
              </w:rPr>
              <w:t>需支持信号模块扩展不小于</w:t>
            </w:r>
            <w:r>
              <w:rPr>
                <w:rFonts w:ascii="宋体" w:hAnsi="宋体"/>
                <w:sz w:val="16"/>
                <w:szCs w:val="16"/>
              </w:rPr>
              <w:t>8</w:t>
            </w:r>
            <w:r>
              <w:rPr>
                <w:rFonts w:hint="eastAsia" w:ascii="宋体" w:hAnsi="宋体"/>
                <w:sz w:val="16"/>
                <w:szCs w:val="16"/>
              </w:rPr>
              <w:t>个，输出</w:t>
            </w:r>
            <w:r>
              <w:rPr>
                <w:rFonts w:ascii="宋体" w:hAnsi="宋体"/>
                <w:sz w:val="16"/>
                <w:szCs w:val="16"/>
              </w:rPr>
              <w:t>PN</w:t>
            </w:r>
            <w:r>
              <w:rPr>
                <w:rFonts w:hint="eastAsia" w:ascii="宋体" w:hAnsi="宋体"/>
                <w:sz w:val="16"/>
                <w:szCs w:val="16"/>
              </w:rPr>
              <w:t>协议；</w:t>
            </w:r>
            <w:r>
              <w:rPr>
                <w:rFonts w:ascii="宋体" w:hAnsi="宋体"/>
                <w:sz w:val="16"/>
                <w:szCs w:val="16"/>
              </w:rPr>
              <w:br w:type="textWrapping"/>
            </w:r>
            <w:r>
              <w:rPr>
                <w:rFonts w:ascii="宋体" w:hAnsi="宋体"/>
                <w:sz w:val="16"/>
                <w:szCs w:val="16"/>
              </w:rPr>
              <w:t>2</w:t>
            </w:r>
            <w:r>
              <w:rPr>
                <w:rFonts w:hint="eastAsia" w:ascii="宋体" w:hAnsi="宋体"/>
                <w:sz w:val="16"/>
                <w:szCs w:val="16"/>
              </w:rPr>
              <w:t>、配置对应</w:t>
            </w:r>
            <w:r>
              <w:rPr>
                <w:rFonts w:ascii="宋体" w:hAnsi="宋体"/>
                <w:sz w:val="16"/>
                <w:szCs w:val="16"/>
              </w:rPr>
              <w:t>PLC</w:t>
            </w:r>
            <w:r>
              <w:rPr>
                <w:rFonts w:hint="eastAsia" w:ascii="宋体" w:hAnsi="宋体"/>
                <w:sz w:val="16"/>
                <w:szCs w:val="16"/>
              </w:rPr>
              <w:t>导轨；</w:t>
            </w:r>
            <w:r>
              <w:rPr>
                <w:rFonts w:ascii="宋体" w:hAnsi="宋体"/>
                <w:sz w:val="16"/>
                <w:szCs w:val="16"/>
              </w:rPr>
              <w:br w:type="textWrapping"/>
            </w:r>
            <w:r>
              <w:rPr>
                <w:rFonts w:ascii="宋体" w:hAnsi="宋体"/>
                <w:sz w:val="16"/>
                <w:szCs w:val="16"/>
              </w:rPr>
              <w:t>3</w:t>
            </w:r>
            <w:r>
              <w:rPr>
                <w:rFonts w:hint="eastAsia" w:ascii="宋体" w:hAnsi="宋体"/>
                <w:sz w:val="16"/>
                <w:szCs w:val="16"/>
              </w:rPr>
              <w:t>、配置网络模块；</w:t>
            </w:r>
            <w:r>
              <w:rPr>
                <w:rFonts w:ascii="宋体" w:hAnsi="宋体"/>
                <w:sz w:val="16"/>
                <w:szCs w:val="16"/>
              </w:rPr>
              <w:br w:type="textWrapping"/>
            </w:r>
            <w:r>
              <w:rPr>
                <w:rFonts w:ascii="宋体" w:hAnsi="宋体"/>
                <w:sz w:val="16"/>
                <w:szCs w:val="16"/>
              </w:rPr>
              <w:t>4</w:t>
            </w:r>
            <w:r>
              <w:rPr>
                <w:rFonts w:hint="eastAsia" w:ascii="宋体" w:hAnsi="宋体"/>
                <w:sz w:val="16"/>
                <w:szCs w:val="16"/>
              </w:rPr>
              <w:t>、配置不小于</w:t>
            </w:r>
            <w:r>
              <w:rPr>
                <w:rFonts w:ascii="宋体" w:hAnsi="宋体"/>
                <w:sz w:val="16"/>
                <w:szCs w:val="16"/>
              </w:rPr>
              <w:t>4MB</w:t>
            </w:r>
            <w:r>
              <w:rPr>
                <w:rFonts w:hint="eastAsia" w:ascii="宋体" w:hAnsi="宋体"/>
                <w:sz w:val="16"/>
                <w:szCs w:val="16"/>
              </w:rPr>
              <w:t>存储卡；</w:t>
            </w:r>
          </w:p>
        </w:tc>
        <w:tc>
          <w:tcPr>
            <w:tcW w:w="2022" w:type="dxa"/>
            <w:vAlign w:val="center"/>
          </w:tcPr>
          <w:p w14:paraId="00980225">
            <w:pPr>
              <w:snapToGrid w:val="0"/>
              <w:jc w:val="both"/>
              <w:rPr>
                <w:rFonts w:ascii="宋体" w:hAnsi="宋体" w:cstheme="minorEastAsia"/>
                <w:bCs/>
                <w:sz w:val="16"/>
                <w:szCs w:val="16"/>
              </w:rPr>
            </w:pPr>
          </w:p>
        </w:tc>
        <w:tc>
          <w:tcPr>
            <w:tcW w:w="0" w:type="auto"/>
            <w:vAlign w:val="center"/>
          </w:tcPr>
          <w:p w14:paraId="6296E5E2">
            <w:pPr>
              <w:jc w:val="both"/>
              <w:textAlignment w:val="center"/>
              <w:rPr>
                <w:rFonts w:ascii="宋体" w:hAnsi="宋体" w:cstheme="minorEastAsia"/>
                <w:bCs/>
                <w:sz w:val="16"/>
                <w:szCs w:val="16"/>
              </w:rPr>
            </w:pPr>
          </w:p>
        </w:tc>
        <w:tc>
          <w:tcPr>
            <w:tcW w:w="0" w:type="auto"/>
            <w:vAlign w:val="center"/>
          </w:tcPr>
          <w:p w14:paraId="51FE01E4">
            <w:pPr>
              <w:jc w:val="both"/>
              <w:textAlignment w:val="center"/>
              <w:rPr>
                <w:rFonts w:ascii="宋体" w:hAnsi="宋体" w:cstheme="minorEastAsia"/>
                <w:bCs/>
                <w:sz w:val="16"/>
                <w:szCs w:val="16"/>
              </w:rPr>
            </w:pPr>
          </w:p>
        </w:tc>
        <w:tc>
          <w:tcPr>
            <w:tcW w:w="1016" w:type="dxa"/>
            <w:vAlign w:val="center"/>
          </w:tcPr>
          <w:p w14:paraId="189B77A0">
            <w:pPr>
              <w:jc w:val="both"/>
              <w:textAlignment w:val="center"/>
              <w:rPr>
                <w:rFonts w:ascii="宋体" w:hAnsi="宋体"/>
                <w:sz w:val="16"/>
                <w:szCs w:val="16"/>
              </w:rPr>
            </w:pPr>
            <w:r>
              <w:rPr>
                <w:rFonts w:hint="eastAsia" w:ascii="宋体" w:hAnsi="宋体"/>
                <w:sz w:val="16"/>
                <w:szCs w:val="16"/>
              </w:rPr>
              <w:t>套</w:t>
            </w:r>
          </w:p>
        </w:tc>
        <w:tc>
          <w:tcPr>
            <w:tcW w:w="609" w:type="dxa"/>
            <w:vAlign w:val="center"/>
          </w:tcPr>
          <w:p w14:paraId="1F48E8E7">
            <w:pPr>
              <w:jc w:val="both"/>
              <w:textAlignment w:val="center"/>
              <w:rPr>
                <w:rFonts w:ascii="宋体" w:hAnsi="宋体"/>
                <w:sz w:val="16"/>
                <w:szCs w:val="16"/>
              </w:rPr>
            </w:pPr>
            <w:r>
              <w:rPr>
                <w:rFonts w:ascii="宋体" w:hAnsi="宋体"/>
                <w:sz w:val="16"/>
                <w:szCs w:val="16"/>
              </w:rPr>
              <w:t>1</w:t>
            </w:r>
          </w:p>
        </w:tc>
        <w:tc>
          <w:tcPr>
            <w:tcW w:w="0" w:type="auto"/>
            <w:vAlign w:val="center"/>
          </w:tcPr>
          <w:p w14:paraId="4B1BAD19">
            <w:pPr>
              <w:jc w:val="both"/>
              <w:textAlignment w:val="center"/>
              <w:rPr>
                <w:rFonts w:ascii="宋体" w:hAnsi="宋体" w:cstheme="minorEastAsia"/>
                <w:bCs/>
                <w:sz w:val="16"/>
                <w:szCs w:val="16"/>
                <w:highlight w:val="yellow"/>
              </w:rPr>
            </w:pPr>
          </w:p>
        </w:tc>
        <w:tc>
          <w:tcPr>
            <w:tcW w:w="0" w:type="auto"/>
            <w:vAlign w:val="center"/>
          </w:tcPr>
          <w:p w14:paraId="7FCC8759">
            <w:pPr>
              <w:jc w:val="both"/>
              <w:textAlignment w:val="center"/>
              <w:rPr>
                <w:rFonts w:ascii="宋体" w:hAnsi="宋体" w:cstheme="minorEastAsia"/>
                <w:bCs/>
                <w:sz w:val="16"/>
                <w:szCs w:val="16"/>
                <w:highlight w:val="yellow"/>
              </w:rPr>
            </w:pPr>
          </w:p>
        </w:tc>
        <w:tc>
          <w:tcPr>
            <w:tcW w:w="0" w:type="auto"/>
            <w:vAlign w:val="center"/>
          </w:tcPr>
          <w:p w14:paraId="6471576B">
            <w:pPr>
              <w:jc w:val="both"/>
              <w:textAlignment w:val="center"/>
              <w:rPr>
                <w:rFonts w:ascii="宋体" w:hAnsi="宋体" w:cstheme="minorEastAsia"/>
                <w:bCs/>
                <w:sz w:val="16"/>
                <w:szCs w:val="16"/>
                <w:highlight w:val="yellow"/>
              </w:rPr>
            </w:pPr>
          </w:p>
        </w:tc>
        <w:tc>
          <w:tcPr>
            <w:tcW w:w="0" w:type="auto"/>
            <w:shd w:val="clear" w:color="auto" w:fill="auto"/>
            <w:vAlign w:val="center"/>
          </w:tcPr>
          <w:p w14:paraId="6B3387E6">
            <w:pPr>
              <w:snapToGrid w:val="0"/>
              <w:jc w:val="both"/>
              <w:rPr>
                <w:rFonts w:ascii="宋体" w:hAnsi="宋体" w:cstheme="minorEastAsia"/>
                <w:bCs/>
                <w:sz w:val="16"/>
                <w:szCs w:val="16"/>
              </w:rPr>
            </w:pPr>
          </w:p>
        </w:tc>
      </w:tr>
      <w:tr w14:paraId="7EA4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2D392153">
            <w:pPr>
              <w:snapToGrid w:val="0"/>
              <w:jc w:val="both"/>
              <w:rPr>
                <w:rFonts w:ascii="宋体" w:hAnsi="宋体" w:cstheme="minorEastAsia"/>
                <w:b/>
                <w:bCs/>
                <w:sz w:val="16"/>
                <w:szCs w:val="16"/>
              </w:rPr>
            </w:pPr>
            <w:r>
              <w:rPr>
                <w:rFonts w:hint="eastAsia" w:ascii="宋体" w:hAnsi="宋体" w:cstheme="minorEastAsia"/>
                <w:b/>
                <w:bCs/>
                <w:sz w:val="16"/>
                <w:szCs w:val="16"/>
              </w:rPr>
              <w:t>2</w:t>
            </w:r>
          </w:p>
        </w:tc>
        <w:tc>
          <w:tcPr>
            <w:tcW w:w="13138" w:type="dxa"/>
            <w:gridSpan w:val="11"/>
            <w:vAlign w:val="center"/>
          </w:tcPr>
          <w:p w14:paraId="03C02DAB">
            <w:pPr>
              <w:snapToGrid w:val="0"/>
              <w:jc w:val="both"/>
              <w:rPr>
                <w:rFonts w:ascii="宋体" w:hAnsi="宋体" w:cstheme="minorEastAsia"/>
                <w:b/>
                <w:bCs/>
                <w:sz w:val="16"/>
                <w:szCs w:val="16"/>
              </w:rPr>
            </w:pPr>
            <w:r>
              <w:rPr>
                <w:rFonts w:hint="eastAsia" w:ascii="宋体" w:hAnsi="宋体" w:cstheme="minorEastAsia"/>
                <w:b/>
                <w:bCs/>
                <w:sz w:val="16"/>
                <w:szCs w:val="16"/>
              </w:rPr>
              <w:t>能源管理系统</w:t>
            </w:r>
          </w:p>
        </w:tc>
      </w:tr>
      <w:tr w14:paraId="6AB7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7343E00D">
            <w:pPr>
              <w:snapToGrid w:val="0"/>
              <w:jc w:val="both"/>
              <w:rPr>
                <w:rFonts w:ascii="宋体" w:hAnsi="宋体" w:cstheme="minorEastAsia"/>
                <w:bCs/>
                <w:sz w:val="16"/>
                <w:szCs w:val="16"/>
              </w:rPr>
            </w:pPr>
            <w:r>
              <w:rPr>
                <w:rFonts w:hint="eastAsia" w:ascii="宋体" w:hAnsi="宋体" w:cstheme="minorEastAsia"/>
                <w:bCs/>
                <w:sz w:val="16"/>
                <w:szCs w:val="16"/>
              </w:rPr>
              <w:t>2.1</w:t>
            </w:r>
          </w:p>
        </w:tc>
        <w:tc>
          <w:tcPr>
            <w:tcW w:w="1484" w:type="dxa"/>
            <w:tcBorders>
              <w:top w:val="single" w:color="auto" w:sz="4" w:space="0"/>
            </w:tcBorders>
            <w:vAlign w:val="center"/>
          </w:tcPr>
          <w:p w14:paraId="0DF73B7A">
            <w:pPr>
              <w:snapToGrid w:val="0"/>
              <w:jc w:val="both"/>
              <w:rPr>
                <w:rFonts w:ascii="宋体" w:hAnsi="宋体"/>
                <w:sz w:val="16"/>
                <w:szCs w:val="16"/>
              </w:rPr>
            </w:pPr>
            <w:r>
              <w:rPr>
                <w:rFonts w:hint="eastAsia" w:ascii="宋体" w:hAnsi="宋体"/>
                <w:sz w:val="16"/>
                <w:szCs w:val="16"/>
              </w:rPr>
              <w:t>配电数采站软件开发</w:t>
            </w:r>
          </w:p>
        </w:tc>
        <w:tc>
          <w:tcPr>
            <w:tcW w:w="4601" w:type="dxa"/>
            <w:vAlign w:val="center"/>
          </w:tcPr>
          <w:p w14:paraId="60B16866">
            <w:pPr>
              <w:snapToGrid w:val="0"/>
              <w:jc w:val="both"/>
              <w:rPr>
                <w:rFonts w:ascii="宋体" w:hAnsi="宋体"/>
                <w:sz w:val="16"/>
                <w:szCs w:val="16"/>
              </w:rPr>
            </w:pPr>
            <w:r>
              <w:rPr>
                <w:rFonts w:hint="eastAsia" w:ascii="宋体" w:hAnsi="宋体"/>
                <w:sz w:val="16"/>
                <w:szCs w:val="16"/>
              </w:rPr>
              <w:t>数采网关设备数据采集配置、数采网关设备区域性能管、数采网关设备协议转换</w:t>
            </w:r>
          </w:p>
        </w:tc>
        <w:tc>
          <w:tcPr>
            <w:tcW w:w="2022" w:type="dxa"/>
            <w:vAlign w:val="center"/>
          </w:tcPr>
          <w:p w14:paraId="10FEE9EC">
            <w:pPr>
              <w:snapToGrid w:val="0"/>
              <w:jc w:val="both"/>
              <w:rPr>
                <w:rFonts w:ascii="宋体" w:hAnsi="宋体" w:cstheme="minorEastAsia"/>
                <w:bCs/>
                <w:sz w:val="16"/>
                <w:szCs w:val="16"/>
              </w:rPr>
            </w:pPr>
          </w:p>
        </w:tc>
        <w:tc>
          <w:tcPr>
            <w:tcW w:w="0" w:type="auto"/>
            <w:vAlign w:val="center"/>
          </w:tcPr>
          <w:p w14:paraId="1E60C68C">
            <w:pPr>
              <w:jc w:val="both"/>
              <w:textAlignment w:val="center"/>
              <w:rPr>
                <w:rFonts w:ascii="宋体" w:hAnsi="宋体" w:cstheme="minorEastAsia"/>
                <w:bCs/>
                <w:sz w:val="16"/>
                <w:szCs w:val="16"/>
              </w:rPr>
            </w:pPr>
          </w:p>
        </w:tc>
        <w:tc>
          <w:tcPr>
            <w:tcW w:w="0" w:type="auto"/>
            <w:vAlign w:val="center"/>
          </w:tcPr>
          <w:p w14:paraId="01ADAB1A">
            <w:pPr>
              <w:jc w:val="both"/>
              <w:textAlignment w:val="center"/>
              <w:rPr>
                <w:rFonts w:ascii="宋体" w:hAnsi="宋体" w:cstheme="minorEastAsia"/>
                <w:bCs/>
                <w:sz w:val="16"/>
                <w:szCs w:val="16"/>
              </w:rPr>
            </w:pPr>
          </w:p>
        </w:tc>
        <w:tc>
          <w:tcPr>
            <w:tcW w:w="1016" w:type="dxa"/>
            <w:vAlign w:val="center"/>
          </w:tcPr>
          <w:p w14:paraId="7E89A76F">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01E946DD">
            <w:pPr>
              <w:jc w:val="both"/>
              <w:textAlignment w:val="center"/>
              <w:rPr>
                <w:rFonts w:ascii="宋体" w:hAnsi="宋体"/>
                <w:sz w:val="16"/>
                <w:szCs w:val="16"/>
              </w:rPr>
            </w:pPr>
            <w:r>
              <w:rPr>
                <w:rFonts w:ascii="宋体" w:hAnsi="宋体"/>
                <w:sz w:val="16"/>
                <w:szCs w:val="16"/>
              </w:rPr>
              <w:t>1</w:t>
            </w:r>
          </w:p>
        </w:tc>
        <w:tc>
          <w:tcPr>
            <w:tcW w:w="0" w:type="auto"/>
            <w:vAlign w:val="center"/>
          </w:tcPr>
          <w:p w14:paraId="6D50484D">
            <w:pPr>
              <w:jc w:val="both"/>
              <w:textAlignment w:val="center"/>
              <w:rPr>
                <w:rFonts w:ascii="宋体" w:hAnsi="宋体" w:cstheme="minorEastAsia"/>
                <w:bCs/>
                <w:sz w:val="16"/>
                <w:szCs w:val="16"/>
                <w:highlight w:val="yellow"/>
              </w:rPr>
            </w:pPr>
          </w:p>
        </w:tc>
        <w:tc>
          <w:tcPr>
            <w:tcW w:w="0" w:type="auto"/>
            <w:vAlign w:val="center"/>
          </w:tcPr>
          <w:p w14:paraId="3BF29EC5">
            <w:pPr>
              <w:jc w:val="both"/>
              <w:textAlignment w:val="center"/>
              <w:rPr>
                <w:rFonts w:ascii="宋体" w:hAnsi="宋体" w:cstheme="minorEastAsia"/>
                <w:bCs/>
                <w:sz w:val="16"/>
                <w:szCs w:val="16"/>
                <w:highlight w:val="yellow"/>
              </w:rPr>
            </w:pPr>
          </w:p>
        </w:tc>
        <w:tc>
          <w:tcPr>
            <w:tcW w:w="0" w:type="auto"/>
            <w:vAlign w:val="center"/>
          </w:tcPr>
          <w:p w14:paraId="65C1D297">
            <w:pPr>
              <w:jc w:val="both"/>
              <w:textAlignment w:val="center"/>
              <w:rPr>
                <w:rFonts w:ascii="宋体" w:hAnsi="宋体" w:cstheme="minorEastAsia"/>
                <w:bCs/>
                <w:sz w:val="16"/>
                <w:szCs w:val="16"/>
                <w:highlight w:val="yellow"/>
              </w:rPr>
            </w:pPr>
          </w:p>
        </w:tc>
        <w:tc>
          <w:tcPr>
            <w:tcW w:w="0" w:type="auto"/>
            <w:shd w:val="clear" w:color="auto" w:fill="auto"/>
            <w:vAlign w:val="center"/>
          </w:tcPr>
          <w:p w14:paraId="57B8E1B1">
            <w:pPr>
              <w:snapToGrid w:val="0"/>
              <w:jc w:val="both"/>
              <w:rPr>
                <w:rFonts w:ascii="宋体" w:hAnsi="宋体" w:cstheme="minorEastAsia"/>
                <w:bCs/>
                <w:sz w:val="16"/>
                <w:szCs w:val="16"/>
              </w:rPr>
            </w:pPr>
          </w:p>
        </w:tc>
      </w:tr>
      <w:tr w14:paraId="3985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E5E7A52">
            <w:pPr>
              <w:snapToGrid w:val="0"/>
              <w:jc w:val="both"/>
              <w:rPr>
                <w:rFonts w:ascii="宋体" w:hAnsi="宋体" w:cstheme="minorEastAsia"/>
                <w:bCs/>
                <w:sz w:val="16"/>
                <w:szCs w:val="16"/>
              </w:rPr>
            </w:pPr>
            <w:r>
              <w:rPr>
                <w:rFonts w:hint="eastAsia" w:ascii="宋体" w:hAnsi="宋体" w:cstheme="minorEastAsia"/>
                <w:bCs/>
                <w:sz w:val="16"/>
                <w:szCs w:val="16"/>
              </w:rPr>
              <w:t>2.2</w:t>
            </w:r>
          </w:p>
        </w:tc>
        <w:tc>
          <w:tcPr>
            <w:tcW w:w="1484" w:type="dxa"/>
            <w:tcBorders>
              <w:top w:val="single" w:color="auto" w:sz="4" w:space="0"/>
            </w:tcBorders>
            <w:vAlign w:val="center"/>
          </w:tcPr>
          <w:p w14:paraId="5987618C">
            <w:pPr>
              <w:snapToGrid w:val="0"/>
              <w:jc w:val="both"/>
              <w:rPr>
                <w:rFonts w:ascii="宋体" w:hAnsi="宋体"/>
                <w:sz w:val="16"/>
                <w:szCs w:val="16"/>
              </w:rPr>
            </w:pPr>
            <w:r>
              <w:rPr>
                <w:rFonts w:hint="eastAsia" w:ascii="宋体" w:hAnsi="宋体"/>
                <w:sz w:val="16"/>
                <w:szCs w:val="16"/>
              </w:rPr>
              <w:t>仪表数采站开发</w:t>
            </w:r>
          </w:p>
        </w:tc>
        <w:tc>
          <w:tcPr>
            <w:tcW w:w="4601" w:type="dxa"/>
            <w:vAlign w:val="center"/>
          </w:tcPr>
          <w:p w14:paraId="39B615D2">
            <w:pPr>
              <w:snapToGrid w:val="0"/>
              <w:jc w:val="both"/>
              <w:rPr>
                <w:rFonts w:ascii="宋体" w:hAnsi="宋体"/>
                <w:sz w:val="16"/>
                <w:szCs w:val="16"/>
              </w:rPr>
            </w:pPr>
            <w:r>
              <w:rPr>
                <w:rFonts w:ascii="宋体" w:hAnsi="宋体"/>
                <w:sz w:val="16"/>
                <w:szCs w:val="16"/>
              </w:rPr>
              <w:t>PLC</w:t>
            </w:r>
            <w:r>
              <w:rPr>
                <w:rFonts w:hint="eastAsia" w:ascii="宋体" w:hAnsi="宋体"/>
                <w:sz w:val="16"/>
                <w:szCs w:val="16"/>
              </w:rPr>
              <w:t>编程组态开发、数据同步软件开发、数采网络及设备工作状态监控开发、计量仪表通信状态监控</w:t>
            </w:r>
          </w:p>
        </w:tc>
        <w:tc>
          <w:tcPr>
            <w:tcW w:w="2022" w:type="dxa"/>
            <w:vAlign w:val="center"/>
          </w:tcPr>
          <w:p w14:paraId="196FEA97">
            <w:pPr>
              <w:snapToGrid w:val="0"/>
              <w:jc w:val="both"/>
              <w:rPr>
                <w:rFonts w:ascii="宋体" w:hAnsi="宋体" w:cstheme="minorEastAsia"/>
                <w:bCs/>
                <w:sz w:val="16"/>
                <w:szCs w:val="16"/>
              </w:rPr>
            </w:pPr>
          </w:p>
        </w:tc>
        <w:tc>
          <w:tcPr>
            <w:tcW w:w="0" w:type="auto"/>
            <w:vAlign w:val="center"/>
          </w:tcPr>
          <w:p w14:paraId="75875966">
            <w:pPr>
              <w:jc w:val="both"/>
              <w:textAlignment w:val="center"/>
              <w:rPr>
                <w:rFonts w:ascii="宋体" w:hAnsi="宋体" w:cstheme="minorEastAsia"/>
                <w:bCs/>
                <w:sz w:val="16"/>
                <w:szCs w:val="16"/>
              </w:rPr>
            </w:pPr>
          </w:p>
        </w:tc>
        <w:tc>
          <w:tcPr>
            <w:tcW w:w="0" w:type="auto"/>
            <w:vAlign w:val="center"/>
          </w:tcPr>
          <w:p w14:paraId="647DA73F">
            <w:pPr>
              <w:jc w:val="both"/>
              <w:textAlignment w:val="center"/>
              <w:rPr>
                <w:rFonts w:ascii="宋体" w:hAnsi="宋体" w:cstheme="minorEastAsia"/>
                <w:bCs/>
                <w:sz w:val="16"/>
                <w:szCs w:val="16"/>
              </w:rPr>
            </w:pPr>
          </w:p>
        </w:tc>
        <w:tc>
          <w:tcPr>
            <w:tcW w:w="1016" w:type="dxa"/>
            <w:vAlign w:val="center"/>
          </w:tcPr>
          <w:p w14:paraId="43860C34">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088F0B73">
            <w:pPr>
              <w:jc w:val="both"/>
              <w:textAlignment w:val="center"/>
              <w:rPr>
                <w:rFonts w:ascii="宋体" w:hAnsi="宋体"/>
                <w:sz w:val="16"/>
                <w:szCs w:val="16"/>
              </w:rPr>
            </w:pPr>
            <w:r>
              <w:rPr>
                <w:rFonts w:ascii="宋体" w:hAnsi="宋体"/>
                <w:sz w:val="16"/>
                <w:szCs w:val="16"/>
              </w:rPr>
              <w:t>1</w:t>
            </w:r>
          </w:p>
        </w:tc>
        <w:tc>
          <w:tcPr>
            <w:tcW w:w="0" w:type="auto"/>
            <w:vAlign w:val="center"/>
          </w:tcPr>
          <w:p w14:paraId="72B6E51C">
            <w:pPr>
              <w:jc w:val="both"/>
              <w:textAlignment w:val="center"/>
              <w:rPr>
                <w:rFonts w:ascii="宋体" w:hAnsi="宋体" w:cstheme="minorEastAsia"/>
                <w:bCs/>
                <w:sz w:val="16"/>
                <w:szCs w:val="16"/>
                <w:highlight w:val="yellow"/>
              </w:rPr>
            </w:pPr>
          </w:p>
        </w:tc>
        <w:tc>
          <w:tcPr>
            <w:tcW w:w="0" w:type="auto"/>
            <w:vAlign w:val="center"/>
          </w:tcPr>
          <w:p w14:paraId="6D80550F">
            <w:pPr>
              <w:jc w:val="both"/>
              <w:textAlignment w:val="center"/>
              <w:rPr>
                <w:rFonts w:ascii="宋体" w:hAnsi="宋体" w:cstheme="minorEastAsia"/>
                <w:bCs/>
                <w:sz w:val="16"/>
                <w:szCs w:val="16"/>
                <w:highlight w:val="yellow"/>
              </w:rPr>
            </w:pPr>
          </w:p>
        </w:tc>
        <w:tc>
          <w:tcPr>
            <w:tcW w:w="0" w:type="auto"/>
            <w:vAlign w:val="center"/>
          </w:tcPr>
          <w:p w14:paraId="6F4C243F">
            <w:pPr>
              <w:jc w:val="both"/>
              <w:textAlignment w:val="center"/>
              <w:rPr>
                <w:rFonts w:ascii="宋体" w:hAnsi="宋体" w:cstheme="minorEastAsia"/>
                <w:bCs/>
                <w:sz w:val="16"/>
                <w:szCs w:val="16"/>
                <w:highlight w:val="yellow"/>
              </w:rPr>
            </w:pPr>
          </w:p>
        </w:tc>
        <w:tc>
          <w:tcPr>
            <w:tcW w:w="0" w:type="auto"/>
            <w:shd w:val="clear" w:color="auto" w:fill="auto"/>
            <w:vAlign w:val="center"/>
          </w:tcPr>
          <w:p w14:paraId="57177235">
            <w:pPr>
              <w:snapToGrid w:val="0"/>
              <w:jc w:val="both"/>
              <w:rPr>
                <w:rFonts w:ascii="宋体" w:hAnsi="宋体" w:cstheme="minorEastAsia"/>
                <w:bCs/>
                <w:sz w:val="16"/>
                <w:szCs w:val="16"/>
              </w:rPr>
            </w:pPr>
          </w:p>
        </w:tc>
      </w:tr>
      <w:tr w14:paraId="4DCA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856" w:type="dxa"/>
            <w:vAlign w:val="center"/>
          </w:tcPr>
          <w:p w14:paraId="349627FF">
            <w:pPr>
              <w:snapToGrid w:val="0"/>
              <w:jc w:val="both"/>
              <w:rPr>
                <w:rFonts w:ascii="宋体" w:hAnsi="宋体" w:cstheme="minorEastAsia"/>
                <w:b/>
                <w:bCs/>
                <w:sz w:val="16"/>
                <w:szCs w:val="16"/>
              </w:rPr>
            </w:pPr>
            <w:r>
              <w:rPr>
                <w:rFonts w:hint="eastAsia" w:ascii="宋体" w:hAnsi="宋体" w:cstheme="minorEastAsia"/>
                <w:b/>
                <w:bCs/>
                <w:sz w:val="16"/>
                <w:szCs w:val="16"/>
              </w:rPr>
              <w:t>2.3</w:t>
            </w:r>
          </w:p>
        </w:tc>
        <w:tc>
          <w:tcPr>
            <w:tcW w:w="13138" w:type="dxa"/>
            <w:gridSpan w:val="11"/>
            <w:vAlign w:val="center"/>
          </w:tcPr>
          <w:p w14:paraId="7F89352E">
            <w:pPr>
              <w:snapToGrid w:val="0"/>
              <w:jc w:val="both"/>
              <w:rPr>
                <w:rFonts w:ascii="宋体" w:hAnsi="宋体" w:cstheme="minorEastAsia"/>
                <w:b/>
                <w:bCs/>
                <w:sz w:val="16"/>
                <w:szCs w:val="16"/>
              </w:rPr>
            </w:pPr>
            <w:r>
              <w:rPr>
                <w:rFonts w:hint="eastAsia" w:ascii="宋体" w:hAnsi="宋体"/>
                <w:b/>
                <w:sz w:val="16"/>
                <w:szCs w:val="16"/>
              </w:rPr>
              <w:t>系统功能需求</w:t>
            </w:r>
          </w:p>
        </w:tc>
      </w:tr>
      <w:tr w14:paraId="1B4F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669AA5B">
            <w:pPr>
              <w:snapToGrid w:val="0"/>
              <w:jc w:val="both"/>
              <w:rPr>
                <w:rFonts w:ascii="宋体" w:hAnsi="宋体" w:cstheme="minorEastAsia"/>
                <w:bCs/>
                <w:sz w:val="16"/>
                <w:szCs w:val="16"/>
              </w:rPr>
            </w:pPr>
            <w:r>
              <w:rPr>
                <w:rFonts w:hint="eastAsia" w:ascii="宋体" w:hAnsi="宋体" w:cstheme="minorEastAsia"/>
                <w:bCs/>
                <w:sz w:val="16"/>
                <w:szCs w:val="16"/>
              </w:rPr>
              <w:t>2.3.1</w:t>
            </w:r>
          </w:p>
        </w:tc>
        <w:tc>
          <w:tcPr>
            <w:tcW w:w="1484" w:type="dxa"/>
            <w:tcBorders>
              <w:top w:val="single" w:color="auto" w:sz="4" w:space="0"/>
            </w:tcBorders>
            <w:vAlign w:val="center"/>
          </w:tcPr>
          <w:p w14:paraId="5EB943D7">
            <w:pPr>
              <w:snapToGrid w:val="0"/>
              <w:jc w:val="both"/>
              <w:rPr>
                <w:rFonts w:ascii="宋体" w:hAnsi="宋体"/>
                <w:sz w:val="16"/>
                <w:szCs w:val="16"/>
              </w:rPr>
            </w:pPr>
            <w:r>
              <w:rPr>
                <w:rFonts w:hint="eastAsia" w:ascii="宋体" w:hAnsi="宋体"/>
                <w:sz w:val="16"/>
                <w:szCs w:val="16"/>
              </w:rPr>
              <w:t>基础应用</w:t>
            </w:r>
          </w:p>
        </w:tc>
        <w:tc>
          <w:tcPr>
            <w:tcW w:w="4601" w:type="dxa"/>
            <w:vAlign w:val="center"/>
          </w:tcPr>
          <w:p w14:paraId="046C86B2">
            <w:pPr>
              <w:snapToGrid w:val="0"/>
              <w:jc w:val="both"/>
              <w:rPr>
                <w:rFonts w:ascii="宋体" w:hAnsi="宋体"/>
                <w:sz w:val="16"/>
                <w:szCs w:val="16"/>
              </w:rPr>
            </w:pPr>
            <w:r>
              <w:rPr>
                <w:rFonts w:hint="eastAsia" w:ascii="宋体" w:hAnsi="宋体"/>
                <w:sz w:val="16"/>
                <w:szCs w:val="16"/>
              </w:rPr>
              <w:t>系统权限、系统日志、数据集成接口、移动端应用、系统预留接口、网络诊断配置、人工录入、基础信息编辑等；</w:t>
            </w:r>
          </w:p>
        </w:tc>
        <w:tc>
          <w:tcPr>
            <w:tcW w:w="2022" w:type="dxa"/>
            <w:vAlign w:val="center"/>
          </w:tcPr>
          <w:p w14:paraId="52780A3E">
            <w:pPr>
              <w:snapToGrid w:val="0"/>
              <w:jc w:val="both"/>
              <w:rPr>
                <w:rFonts w:ascii="宋体" w:hAnsi="宋体" w:cstheme="minorEastAsia"/>
                <w:bCs/>
                <w:sz w:val="16"/>
                <w:szCs w:val="16"/>
              </w:rPr>
            </w:pPr>
          </w:p>
        </w:tc>
        <w:tc>
          <w:tcPr>
            <w:tcW w:w="0" w:type="auto"/>
            <w:vAlign w:val="center"/>
          </w:tcPr>
          <w:p w14:paraId="622DD379">
            <w:pPr>
              <w:jc w:val="both"/>
              <w:textAlignment w:val="center"/>
              <w:rPr>
                <w:rFonts w:ascii="宋体" w:hAnsi="宋体" w:cstheme="minorEastAsia"/>
                <w:bCs/>
                <w:sz w:val="16"/>
                <w:szCs w:val="16"/>
              </w:rPr>
            </w:pPr>
          </w:p>
        </w:tc>
        <w:tc>
          <w:tcPr>
            <w:tcW w:w="0" w:type="auto"/>
            <w:vAlign w:val="center"/>
          </w:tcPr>
          <w:p w14:paraId="1316B8D4">
            <w:pPr>
              <w:jc w:val="both"/>
              <w:textAlignment w:val="center"/>
              <w:rPr>
                <w:rFonts w:ascii="宋体" w:hAnsi="宋体" w:cstheme="minorEastAsia"/>
                <w:bCs/>
                <w:sz w:val="16"/>
                <w:szCs w:val="16"/>
              </w:rPr>
            </w:pPr>
          </w:p>
        </w:tc>
        <w:tc>
          <w:tcPr>
            <w:tcW w:w="1016" w:type="dxa"/>
            <w:vAlign w:val="center"/>
          </w:tcPr>
          <w:p w14:paraId="69BD57C2">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1FDC96E7">
            <w:pPr>
              <w:jc w:val="both"/>
              <w:textAlignment w:val="center"/>
              <w:rPr>
                <w:rFonts w:ascii="宋体" w:hAnsi="宋体"/>
                <w:sz w:val="16"/>
                <w:szCs w:val="16"/>
              </w:rPr>
            </w:pPr>
            <w:r>
              <w:rPr>
                <w:rFonts w:ascii="宋体" w:hAnsi="宋体"/>
                <w:sz w:val="16"/>
                <w:szCs w:val="16"/>
              </w:rPr>
              <w:t>1</w:t>
            </w:r>
          </w:p>
        </w:tc>
        <w:tc>
          <w:tcPr>
            <w:tcW w:w="0" w:type="auto"/>
            <w:vAlign w:val="center"/>
          </w:tcPr>
          <w:p w14:paraId="6C95E532">
            <w:pPr>
              <w:jc w:val="both"/>
              <w:textAlignment w:val="center"/>
              <w:rPr>
                <w:rFonts w:ascii="宋体" w:hAnsi="宋体" w:cstheme="minorEastAsia"/>
                <w:bCs/>
                <w:sz w:val="16"/>
                <w:szCs w:val="16"/>
                <w:highlight w:val="yellow"/>
              </w:rPr>
            </w:pPr>
          </w:p>
        </w:tc>
        <w:tc>
          <w:tcPr>
            <w:tcW w:w="0" w:type="auto"/>
            <w:vAlign w:val="center"/>
          </w:tcPr>
          <w:p w14:paraId="4D86A1BB">
            <w:pPr>
              <w:jc w:val="both"/>
              <w:textAlignment w:val="center"/>
              <w:rPr>
                <w:rFonts w:ascii="宋体" w:hAnsi="宋体" w:cstheme="minorEastAsia"/>
                <w:bCs/>
                <w:sz w:val="16"/>
                <w:szCs w:val="16"/>
                <w:highlight w:val="yellow"/>
              </w:rPr>
            </w:pPr>
          </w:p>
        </w:tc>
        <w:tc>
          <w:tcPr>
            <w:tcW w:w="0" w:type="auto"/>
            <w:vAlign w:val="center"/>
          </w:tcPr>
          <w:p w14:paraId="40F7526F">
            <w:pPr>
              <w:jc w:val="both"/>
              <w:textAlignment w:val="center"/>
              <w:rPr>
                <w:rFonts w:ascii="宋体" w:hAnsi="宋体" w:cstheme="minorEastAsia"/>
                <w:bCs/>
                <w:sz w:val="16"/>
                <w:szCs w:val="16"/>
                <w:highlight w:val="yellow"/>
              </w:rPr>
            </w:pPr>
          </w:p>
        </w:tc>
        <w:tc>
          <w:tcPr>
            <w:tcW w:w="0" w:type="auto"/>
            <w:shd w:val="clear" w:color="auto" w:fill="auto"/>
            <w:vAlign w:val="center"/>
          </w:tcPr>
          <w:p w14:paraId="6B223B72">
            <w:pPr>
              <w:snapToGrid w:val="0"/>
              <w:jc w:val="both"/>
              <w:rPr>
                <w:rFonts w:ascii="宋体" w:hAnsi="宋体" w:cstheme="minorEastAsia"/>
                <w:bCs/>
                <w:sz w:val="16"/>
                <w:szCs w:val="16"/>
              </w:rPr>
            </w:pPr>
          </w:p>
        </w:tc>
      </w:tr>
      <w:tr w14:paraId="0852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856" w:type="dxa"/>
            <w:vAlign w:val="center"/>
          </w:tcPr>
          <w:p w14:paraId="35637B59">
            <w:pPr>
              <w:snapToGrid w:val="0"/>
              <w:jc w:val="both"/>
              <w:rPr>
                <w:rFonts w:ascii="宋体" w:hAnsi="宋体" w:cstheme="minorEastAsia"/>
                <w:bCs/>
                <w:sz w:val="16"/>
                <w:szCs w:val="16"/>
              </w:rPr>
            </w:pPr>
            <w:r>
              <w:rPr>
                <w:rFonts w:hint="eastAsia" w:ascii="宋体" w:hAnsi="宋体" w:cstheme="minorEastAsia"/>
                <w:bCs/>
                <w:sz w:val="16"/>
                <w:szCs w:val="16"/>
              </w:rPr>
              <w:t>2.3.2</w:t>
            </w:r>
          </w:p>
        </w:tc>
        <w:tc>
          <w:tcPr>
            <w:tcW w:w="1484" w:type="dxa"/>
            <w:tcBorders>
              <w:top w:val="single" w:color="auto" w:sz="4" w:space="0"/>
            </w:tcBorders>
            <w:vAlign w:val="center"/>
          </w:tcPr>
          <w:p w14:paraId="447FD8F4">
            <w:pPr>
              <w:snapToGrid w:val="0"/>
              <w:jc w:val="both"/>
              <w:rPr>
                <w:rFonts w:ascii="宋体" w:hAnsi="宋体"/>
                <w:sz w:val="16"/>
                <w:szCs w:val="16"/>
              </w:rPr>
            </w:pPr>
            <w:r>
              <w:rPr>
                <w:rFonts w:hint="eastAsia" w:ascii="宋体" w:hAnsi="宋体"/>
                <w:sz w:val="16"/>
                <w:szCs w:val="16"/>
              </w:rPr>
              <w:t>数据统计</w:t>
            </w:r>
            <w:r>
              <w:rPr>
                <w:rFonts w:ascii="宋体" w:hAnsi="宋体"/>
                <w:sz w:val="16"/>
                <w:szCs w:val="16"/>
              </w:rPr>
              <w:br w:type="textWrapping"/>
            </w:r>
            <w:r>
              <w:rPr>
                <w:rFonts w:hint="eastAsia" w:ascii="宋体" w:hAnsi="宋体"/>
                <w:sz w:val="16"/>
                <w:szCs w:val="16"/>
              </w:rPr>
              <w:t>分析应用</w:t>
            </w:r>
          </w:p>
        </w:tc>
        <w:tc>
          <w:tcPr>
            <w:tcW w:w="4601" w:type="dxa"/>
            <w:vAlign w:val="center"/>
          </w:tcPr>
          <w:p w14:paraId="77B2D763">
            <w:pPr>
              <w:snapToGrid w:val="0"/>
              <w:jc w:val="both"/>
              <w:rPr>
                <w:rFonts w:ascii="宋体" w:hAnsi="宋体"/>
                <w:sz w:val="16"/>
                <w:szCs w:val="16"/>
              </w:rPr>
            </w:pPr>
            <w:r>
              <w:rPr>
                <w:rFonts w:hint="eastAsia" w:ascii="宋体" w:hAnsi="宋体"/>
                <w:sz w:val="16"/>
                <w:szCs w:val="16"/>
              </w:rPr>
              <w:t>工厂能耗报表、环境能源科业务报表、动力车间业务报表、制丝车间能耗报表、卷包车间能耗报表、滤棒成型车间能耗报表、物流科能耗报表、后勤管理科能耗报表、其他区域能耗报表、定额管控报表、输送管网线路损耗报表、能效对标报表、趋势分析等</w:t>
            </w:r>
          </w:p>
        </w:tc>
        <w:tc>
          <w:tcPr>
            <w:tcW w:w="2022" w:type="dxa"/>
            <w:vAlign w:val="center"/>
          </w:tcPr>
          <w:p w14:paraId="22FDED7F">
            <w:pPr>
              <w:snapToGrid w:val="0"/>
              <w:jc w:val="both"/>
              <w:rPr>
                <w:rFonts w:ascii="宋体" w:hAnsi="宋体" w:cstheme="minorEastAsia"/>
                <w:bCs/>
                <w:sz w:val="16"/>
                <w:szCs w:val="16"/>
              </w:rPr>
            </w:pPr>
          </w:p>
        </w:tc>
        <w:tc>
          <w:tcPr>
            <w:tcW w:w="0" w:type="auto"/>
            <w:vAlign w:val="center"/>
          </w:tcPr>
          <w:p w14:paraId="028CF6C9">
            <w:pPr>
              <w:jc w:val="both"/>
              <w:textAlignment w:val="center"/>
              <w:rPr>
                <w:rFonts w:ascii="宋体" w:hAnsi="宋体" w:cstheme="minorEastAsia"/>
                <w:bCs/>
                <w:sz w:val="16"/>
                <w:szCs w:val="16"/>
              </w:rPr>
            </w:pPr>
          </w:p>
        </w:tc>
        <w:tc>
          <w:tcPr>
            <w:tcW w:w="0" w:type="auto"/>
            <w:vAlign w:val="center"/>
          </w:tcPr>
          <w:p w14:paraId="74E421BB">
            <w:pPr>
              <w:jc w:val="both"/>
              <w:textAlignment w:val="center"/>
              <w:rPr>
                <w:rFonts w:ascii="宋体" w:hAnsi="宋体" w:cstheme="minorEastAsia"/>
                <w:bCs/>
                <w:sz w:val="16"/>
                <w:szCs w:val="16"/>
              </w:rPr>
            </w:pPr>
          </w:p>
        </w:tc>
        <w:tc>
          <w:tcPr>
            <w:tcW w:w="1016" w:type="dxa"/>
            <w:vAlign w:val="center"/>
          </w:tcPr>
          <w:p w14:paraId="6EEF0349">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625DFE21">
            <w:pPr>
              <w:jc w:val="both"/>
              <w:textAlignment w:val="center"/>
              <w:rPr>
                <w:rFonts w:ascii="宋体" w:hAnsi="宋体"/>
                <w:sz w:val="16"/>
                <w:szCs w:val="16"/>
              </w:rPr>
            </w:pPr>
            <w:r>
              <w:rPr>
                <w:rFonts w:ascii="宋体" w:hAnsi="宋体"/>
                <w:sz w:val="16"/>
                <w:szCs w:val="16"/>
              </w:rPr>
              <w:t>1</w:t>
            </w:r>
          </w:p>
        </w:tc>
        <w:tc>
          <w:tcPr>
            <w:tcW w:w="0" w:type="auto"/>
            <w:vAlign w:val="center"/>
          </w:tcPr>
          <w:p w14:paraId="4AEB2682">
            <w:pPr>
              <w:jc w:val="both"/>
              <w:textAlignment w:val="center"/>
              <w:rPr>
                <w:rFonts w:ascii="宋体" w:hAnsi="宋体" w:cstheme="minorEastAsia"/>
                <w:bCs/>
                <w:sz w:val="16"/>
                <w:szCs w:val="16"/>
                <w:highlight w:val="yellow"/>
              </w:rPr>
            </w:pPr>
          </w:p>
        </w:tc>
        <w:tc>
          <w:tcPr>
            <w:tcW w:w="0" w:type="auto"/>
            <w:vAlign w:val="center"/>
          </w:tcPr>
          <w:p w14:paraId="3A311FFF">
            <w:pPr>
              <w:jc w:val="both"/>
              <w:textAlignment w:val="center"/>
              <w:rPr>
                <w:rFonts w:ascii="宋体" w:hAnsi="宋体" w:cstheme="minorEastAsia"/>
                <w:bCs/>
                <w:sz w:val="16"/>
                <w:szCs w:val="16"/>
                <w:highlight w:val="yellow"/>
              </w:rPr>
            </w:pPr>
          </w:p>
        </w:tc>
        <w:tc>
          <w:tcPr>
            <w:tcW w:w="0" w:type="auto"/>
            <w:vAlign w:val="center"/>
          </w:tcPr>
          <w:p w14:paraId="09A53A27">
            <w:pPr>
              <w:jc w:val="both"/>
              <w:textAlignment w:val="center"/>
              <w:rPr>
                <w:rFonts w:ascii="宋体" w:hAnsi="宋体" w:cstheme="minorEastAsia"/>
                <w:bCs/>
                <w:sz w:val="16"/>
                <w:szCs w:val="16"/>
                <w:highlight w:val="yellow"/>
              </w:rPr>
            </w:pPr>
          </w:p>
        </w:tc>
        <w:tc>
          <w:tcPr>
            <w:tcW w:w="0" w:type="auto"/>
            <w:shd w:val="clear" w:color="auto" w:fill="auto"/>
            <w:vAlign w:val="center"/>
          </w:tcPr>
          <w:p w14:paraId="22B4ACB5">
            <w:pPr>
              <w:snapToGrid w:val="0"/>
              <w:jc w:val="both"/>
              <w:rPr>
                <w:rFonts w:ascii="宋体" w:hAnsi="宋体" w:cstheme="minorEastAsia"/>
                <w:bCs/>
                <w:sz w:val="16"/>
                <w:szCs w:val="16"/>
              </w:rPr>
            </w:pPr>
          </w:p>
        </w:tc>
      </w:tr>
      <w:tr w14:paraId="7F42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A6B4872">
            <w:pPr>
              <w:snapToGrid w:val="0"/>
              <w:jc w:val="both"/>
              <w:rPr>
                <w:rFonts w:ascii="宋体" w:hAnsi="宋体" w:cstheme="minorEastAsia"/>
                <w:bCs/>
                <w:sz w:val="16"/>
                <w:szCs w:val="16"/>
              </w:rPr>
            </w:pPr>
            <w:r>
              <w:rPr>
                <w:rFonts w:hint="eastAsia" w:ascii="宋体" w:hAnsi="宋体" w:cstheme="minorEastAsia"/>
                <w:bCs/>
                <w:sz w:val="16"/>
                <w:szCs w:val="16"/>
              </w:rPr>
              <w:t>2.3.3</w:t>
            </w:r>
          </w:p>
        </w:tc>
        <w:tc>
          <w:tcPr>
            <w:tcW w:w="1484" w:type="dxa"/>
            <w:tcBorders>
              <w:top w:val="single" w:color="auto" w:sz="4" w:space="0"/>
            </w:tcBorders>
            <w:vAlign w:val="center"/>
          </w:tcPr>
          <w:p w14:paraId="60C73094">
            <w:pPr>
              <w:snapToGrid w:val="0"/>
              <w:jc w:val="both"/>
              <w:rPr>
                <w:rFonts w:ascii="宋体" w:hAnsi="宋体"/>
                <w:sz w:val="16"/>
                <w:szCs w:val="16"/>
              </w:rPr>
            </w:pPr>
            <w:r>
              <w:rPr>
                <w:rFonts w:hint="eastAsia" w:ascii="宋体" w:hAnsi="宋体"/>
                <w:sz w:val="16"/>
                <w:szCs w:val="16"/>
              </w:rPr>
              <w:t>能流可视化</w:t>
            </w:r>
          </w:p>
        </w:tc>
        <w:tc>
          <w:tcPr>
            <w:tcW w:w="4601" w:type="dxa"/>
            <w:vAlign w:val="center"/>
          </w:tcPr>
          <w:p w14:paraId="549F7E92">
            <w:pPr>
              <w:snapToGrid w:val="0"/>
              <w:jc w:val="both"/>
              <w:rPr>
                <w:rFonts w:ascii="宋体" w:hAnsi="宋体"/>
                <w:sz w:val="16"/>
                <w:szCs w:val="16"/>
              </w:rPr>
            </w:pPr>
            <w:r>
              <w:rPr>
                <w:rFonts w:hint="eastAsia" w:ascii="宋体" w:hAnsi="宋体"/>
                <w:sz w:val="16"/>
                <w:szCs w:val="16"/>
              </w:rPr>
              <w:t>产能设备及区域实时动态可视化、能源输送管网线路实时动态可视化、终端耗能设备</w:t>
            </w:r>
            <w:r>
              <w:rPr>
                <w:rFonts w:ascii="宋体" w:hAnsi="宋体"/>
                <w:sz w:val="16"/>
                <w:szCs w:val="16"/>
              </w:rPr>
              <w:t>\</w:t>
            </w:r>
            <w:r>
              <w:rPr>
                <w:rFonts w:hint="eastAsia" w:ascii="宋体" w:hAnsi="宋体"/>
                <w:sz w:val="16"/>
                <w:szCs w:val="16"/>
              </w:rPr>
              <w:t>区域实时动态可视化、计量仪表数据可视化、管道、计量仪表规格型号信息等</w:t>
            </w:r>
          </w:p>
        </w:tc>
        <w:tc>
          <w:tcPr>
            <w:tcW w:w="2022" w:type="dxa"/>
            <w:vAlign w:val="center"/>
          </w:tcPr>
          <w:p w14:paraId="05C79AF5">
            <w:pPr>
              <w:snapToGrid w:val="0"/>
              <w:jc w:val="both"/>
              <w:rPr>
                <w:rFonts w:ascii="宋体" w:hAnsi="宋体" w:cstheme="minorEastAsia"/>
                <w:bCs/>
                <w:sz w:val="16"/>
                <w:szCs w:val="16"/>
              </w:rPr>
            </w:pPr>
          </w:p>
        </w:tc>
        <w:tc>
          <w:tcPr>
            <w:tcW w:w="0" w:type="auto"/>
            <w:vAlign w:val="center"/>
          </w:tcPr>
          <w:p w14:paraId="55905C67">
            <w:pPr>
              <w:jc w:val="both"/>
              <w:textAlignment w:val="center"/>
              <w:rPr>
                <w:rFonts w:ascii="宋体" w:hAnsi="宋体" w:cstheme="minorEastAsia"/>
                <w:bCs/>
                <w:sz w:val="16"/>
                <w:szCs w:val="16"/>
              </w:rPr>
            </w:pPr>
          </w:p>
        </w:tc>
        <w:tc>
          <w:tcPr>
            <w:tcW w:w="0" w:type="auto"/>
            <w:vAlign w:val="center"/>
          </w:tcPr>
          <w:p w14:paraId="1E35CC7D">
            <w:pPr>
              <w:jc w:val="both"/>
              <w:textAlignment w:val="center"/>
              <w:rPr>
                <w:rFonts w:ascii="宋体" w:hAnsi="宋体" w:cstheme="minorEastAsia"/>
                <w:bCs/>
                <w:sz w:val="16"/>
                <w:szCs w:val="16"/>
              </w:rPr>
            </w:pPr>
          </w:p>
        </w:tc>
        <w:tc>
          <w:tcPr>
            <w:tcW w:w="1016" w:type="dxa"/>
            <w:vAlign w:val="center"/>
          </w:tcPr>
          <w:p w14:paraId="10F28E90">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4453D1CD">
            <w:pPr>
              <w:jc w:val="both"/>
              <w:textAlignment w:val="center"/>
              <w:rPr>
                <w:rFonts w:ascii="宋体" w:hAnsi="宋体"/>
                <w:sz w:val="16"/>
                <w:szCs w:val="16"/>
              </w:rPr>
            </w:pPr>
            <w:r>
              <w:rPr>
                <w:rFonts w:ascii="宋体" w:hAnsi="宋体"/>
                <w:sz w:val="16"/>
                <w:szCs w:val="16"/>
              </w:rPr>
              <w:t>1</w:t>
            </w:r>
          </w:p>
        </w:tc>
        <w:tc>
          <w:tcPr>
            <w:tcW w:w="0" w:type="auto"/>
            <w:vAlign w:val="center"/>
          </w:tcPr>
          <w:p w14:paraId="5EA474BF">
            <w:pPr>
              <w:jc w:val="both"/>
              <w:textAlignment w:val="center"/>
              <w:rPr>
                <w:rFonts w:ascii="宋体" w:hAnsi="宋体" w:cstheme="minorEastAsia"/>
                <w:bCs/>
                <w:sz w:val="16"/>
                <w:szCs w:val="16"/>
                <w:highlight w:val="yellow"/>
              </w:rPr>
            </w:pPr>
          </w:p>
        </w:tc>
        <w:tc>
          <w:tcPr>
            <w:tcW w:w="0" w:type="auto"/>
            <w:vAlign w:val="center"/>
          </w:tcPr>
          <w:p w14:paraId="661FA3F8">
            <w:pPr>
              <w:jc w:val="both"/>
              <w:textAlignment w:val="center"/>
              <w:rPr>
                <w:rFonts w:ascii="宋体" w:hAnsi="宋体" w:cstheme="minorEastAsia"/>
                <w:bCs/>
                <w:sz w:val="16"/>
                <w:szCs w:val="16"/>
                <w:highlight w:val="yellow"/>
              </w:rPr>
            </w:pPr>
          </w:p>
        </w:tc>
        <w:tc>
          <w:tcPr>
            <w:tcW w:w="0" w:type="auto"/>
            <w:vAlign w:val="center"/>
          </w:tcPr>
          <w:p w14:paraId="66E2401A">
            <w:pPr>
              <w:jc w:val="both"/>
              <w:textAlignment w:val="center"/>
              <w:rPr>
                <w:rFonts w:ascii="宋体" w:hAnsi="宋体" w:cstheme="minorEastAsia"/>
                <w:bCs/>
                <w:sz w:val="16"/>
                <w:szCs w:val="16"/>
                <w:highlight w:val="yellow"/>
              </w:rPr>
            </w:pPr>
          </w:p>
        </w:tc>
        <w:tc>
          <w:tcPr>
            <w:tcW w:w="0" w:type="auto"/>
            <w:shd w:val="clear" w:color="auto" w:fill="auto"/>
            <w:vAlign w:val="center"/>
          </w:tcPr>
          <w:p w14:paraId="10C20B93">
            <w:pPr>
              <w:snapToGrid w:val="0"/>
              <w:jc w:val="both"/>
              <w:rPr>
                <w:rFonts w:ascii="宋体" w:hAnsi="宋体" w:cstheme="minorEastAsia"/>
                <w:bCs/>
                <w:sz w:val="16"/>
                <w:szCs w:val="16"/>
              </w:rPr>
            </w:pPr>
          </w:p>
        </w:tc>
      </w:tr>
      <w:tr w14:paraId="7A3B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131B842">
            <w:pPr>
              <w:snapToGrid w:val="0"/>
              <w:jc w:val="both"/>
              <w:rPr>
                <w:rFonts w:ascii="宋体" w:hAnsi="宋体" w:cstheme="minorEastAsia"/>
                <w:bCs/>
                <w:sz w:val="16"/>
                <w:szCs w:val="16"/>
              </w:rPr>
            </w:pPr>
            <w:r>
              <w:rPr>
                <w:rFonts w:hint="eastAsia" w:ascii="宋体" w:hAnsi="宋体" w:cstheme="minorEastAsia"/>
                <w:bCs/>
                <w:sz w:val="16"/>
                <w:szCs w:val="16"/>
              </w:rPr>
              <w:t>2.3.4</w:t>
            </w:r>
          </w:p>
        </w:tc>
        <w:tc>
          <w:tcPr>
            <w:tcW w:w="1484" w:type="dxa"/>
            <w:tcBorders>
              <w:top w:val="single" w:color="auto" w:sz="4" w:space="0"/>
            </w:tcBorders>
            <w:vAlign w:val="center"/>
          </w:tcPr>
          <w:p w14:paraId="2B76A15B">
            <w:pPr>
              <w:snapToGrid w:val="0"/>
              <w:jc w:val="both"/>
              <w:rPr>
                <w:rFonts w:ascii="宋体" w:hAnsi="宋体"/>
                <w:sz w:val="16"/>
                <w:szCs w:val="16"/>
              </w:rPr>
            </w:pPr>
            <w:r>
              <w:rPr>
                <w:rFonts w:hint="eastAsia" w:ascii="宋体" w:hAnsi="宋体"/>
                <w:sz w:val="16"/>
                <w:szCs w:val="16"/>
              </w:rPr>
              <w:t>预警功能</w:t>
            </w:r>
          </w:p>
        </w:tc>
        <w:tc>
          <w:tcPr>
            <w:tcW w:w="4601" w:type="dxa"/>
            <w:vAlign w:val="center"/>
          </w:tcPr>
          <w:p w14:paraId="0118F0B0">
            <w:pPr>
              <w:snapToGrid w:val="0"/>
              <w:jc w:val="both"/>
              <w:rPr>
                <w:rFonts w:ascii="宋体" w:hAnsi="宋体"/>
                <w:sz w:val="16"/>
                <w:szCs w:val="16"/>
              </w:rPr>
            </w:pPr>
            <w:r>
              <w:rPr>
                <w:rFonts w:hint="eastAsia" w:ascii="宋体" w:hAnsi="宋体"/>
                <w:sz w:val="16"/>
                <w:szCs w:val="16"/>
              </w:rPr>
              <w:t>报表数据预警、仪表趋势分析预警、设备转换效率预警、输送线路损耗预警、定额管控预警、能耗指标异常预警、能源传输异常预警、预警链式追踪等；</w:t>
            </w:r>
          </w:p>
        </w:tc>
        <w:tc>
          <w:tcPr>
            <w:tcW w:w="2022" w:type="dxa"/>
            <w:vAlign w:val="center"/>
          </w:tcPr>
          <w:p w14:paraId="34D62E22">
            <w:pPr>
              <w:snapToGrid w:val="0"/>
              <w:jc w:val="both"/>
              <w:rPr>
                <w:rFonts w:ascii="宋体" w:hAnsi="宋体" w:cstheme="minorEastAsia"/>
                <w:bCs/>
                <w:sz w:val="16"/>
                <w:szCs w:val="16"/>
              </w:rPr>
            </w:pPr>
          </w:p>
        </w:tc>
        <w:tc>
          <w:tcPr>
            <w:tcW w:w="0" w:type="auto"/>
            <w:vAlign w:val="center"/>
          </w:tcPr>
          <w:p w14:paraId="17B4AFEA">
            <w:pPr>
              <w:jc w:val="both"/>
              <w:textAlignment w:val="center"/>
              <w:rPr>
                <w:rFonts w:ascii="宋体" w:hAnsi="宋体" w:cstheme="minorEastAsia"/>
                <w:bCs/>
                <w:sz w:val="16"/>
                <w:szCs w:val="16"/>
              </w:rPr>
            </w:pPr>
          </w:p>
        </w:tc>
        <w:tc>
          <w:tcPr>
            <w:tcW w:w="0" w:type="auto"/>
            <w:vAlign w:val="center"/>
          </w:tcPr>
          <w:p w14:paraId="09CD4FA8">
            <w:pPr>
              <w:jc w:val="both"/>
              <w:textAlignment w:val="center"/>
              <w:rPr>
                <w:rFonts w:ascii="宋体" w:hAnsi="宋体" w:cstheme="minorEastAsia"/>
                <w:bCs/>
                <w:sz w:val="16"/>
                <w:szCs w:val="16"/>
              </w:rPr>
            </w:pPr>
          </w:p>
        </w:tc>
        <w:tc>
          <w:tcPr>
            <w:tcW w:w="1016" w:type="dxa"/>
            <w:vAlign w:val="center"/>
          </w:tcPr>
          <w:p w14:paraId="24759F3C">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4F6A8FA9">
            <w:pPr>
              <w:jc w:val="both"/>
              <w:textAlignment w:val="center"/>
              <w:rPr>
                <w:rFonts w:ascii="宋体" w:hAnsi="宋体"/>
                <w:sz w:val="16"/>
                <w:szCs w:val="16"/>
              </w:rPr>
            </w:pPr>
            <w:r>
              <w:rPr>
                <w:rFonts w:ascii="宋体" w:hAnsi="宋体"/>
                <w:sz w:val="16"/>
                <w:szCs w:val="16"/>
              </w:rPr>
              <w:t>1</w:t>
            </w:r>
          </w:p>
        </w:tc>
        <w:tc>
          <w:tcPr>
            <w:tcW w:w="0" w:type="auto"/>
            <w:vAlign w:val="center"/>
          </w:tcPr>
          <w:p w14:paraId="461613D5">
            <w:pPr>
              <w:jc w:val="both"/>
              <w:textAlignment w:val="center"/>
              <w:rPr>
                <w:rFonts w:ascii="宋体" w:hAnsi="宋体" w:cstheme="minorEastAsia"/>
                <w:bCs/>
                <w:sz w:val="16"/>
                <w:szCs w:val="16"/>
                <w:highlight w:val="yellow"/>
              </w:rPr>
            </w:pPr>
          </w:p>
        </w:tc>
        <w:tc>
          <w:tcPr>
            <w:tcW w:w="0" w:type="auto"/>
            <w:vAlign w:val="center"/>
          </w:tcPr>
          <w:p w14:paraId="5803B4D5">
            <w:pPr>
              <w:jc w:val="both"/>
              <w:textAlignment w:val="center"/>
              <w:rPr>
                <w:rFonts w:ascii="宋体" w:hAnsi="宋体" w:cstheme="minorEastAsia"/>
                <w:bCs/>
                <w:sz w:val="16"/>
                <w:szCs w:val="16"/>
                <w:highlight w:val="yellow"/>
              </w:rPr>
            </w:pPr>
          </w:p>
        </w:tc>
        <w:tc>
          <w:tcPr>
            <w:tcW w:w="0" w:type="auto"/>
            <w:vAlign w:val="center"/>
          </w:tcPr>
          <w:p w14:paraId="213D4325">
            <w:pPr>
              <w:jc w:val="both"/>
              <w:textAlignment w:val="center"/>
              <w:rPr>
                <w:rFonts w:ascii="宋体" w:hAnsi="宋体" w:cstheme="minorEastAsia"/>
                <w:bCs/>
                <w:sz w:val="16"/>
                <w:szCs w:val="16"/>
                <w:highlight w:val="yellow"/>
              </w:rPr>
            </w:pPr>
          </w:p>
        </w:tc>
        <w:tc>
          <w:tcPr>
            <w:tcW w:w="0" w:type="auto"/>
            <w:shd w:val="clear" w:color="auto" w:fill="auto"/>
            <w:vAlign w:val="center"/>
          </w:tcPr>
          <w:p w14:paraId="4645AE45">
            <w:pPr>
              <w:snapToGrid w:val="0"/>
              <w:jc w:val="both"/>
              <w:rPr>
                <w:rFonts w:ascii="宋体" w:hAnsi="宋体" w:cstheme="minorEastAsia"/>
                <w:bCs/>
                <w:sz w:val="16"/>
                <w:szCs w:val="16"/>
              </w:rPr>
            </w:pPr>
          </w:p>
        </w:tc>
      </w:tr>
      <w:tr w14:paraId="4F5F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52DF2FDA">
            <w:pPr>
              <w:snapToGrid w:val="0"/>
              <w:jc w:val="both"/>
              <w:rPr>
                <w:rFonts w:ascii="宋体" w:hAnsi="宋体" w:cstheme="minorEastAsia"/>
                <w:bCs/>
                <w:sz w:val="16"/>
                <w:szCs w:val="16"/>
              </w:rPr>
            </w:pPr>
            <w:r>
              <w:rPr>
                <w:rFonts w:hint="eastAsia" w:ascii="宋体" w:hAnsi="宋体" w:cstheme="minorEastAsia"/>
                <w:bCs/>
                <w:sz w:val="16"/>
                <w:szCs w:val="16"/>
              </w:rPr>
              <w:t>2.3.5</w:t>
            </w:r>
          </w:p>
        </w:tc>
        <w:tc>
          <w:tcPr>
            <w:tcW w:w="1484" w:type="dxa"/>
            <w:tcBorders>
              <w:top w:val="single" w:color="auto" w:sz="4" w:space="0"/>
            </w:tcBorders>
            <w:vAlign w:val="center"/>
          </w:tcPr>
          <w:p w14:paraId="573B933D">
            <w:pPr>
              <w:snapToGrid w:val="0"/>
              <w:jc w:val="both"/>
              <w:rPr>
                <w:rFonts w:ascii="宋体" w:hAnsi="宋体"/>
                <w:sz w:val="16"/>
                <w:szCs w:val="16"/>
              </w:rPr>
            </w:pPr>
            <w:r>
              <w:rPr>
                <w:rFonts w:hint="eastAsia" w:ascii="宋体" w:hAnsi="宋体"/>
                <w:sz w:val="16"/>
                <w:szCs w:val="16"/>
              </w:rPr>
              <w:t>能耗数据在线上传</w:t>
            </w:r>
          </w:p>
        </w:tc>
        <w:tc>
          <w:tcPr>
            <w:tcW w:w="4601" w:type="dxa"/>
            <w:vAlign w:val="center"/>
          </w:tcPr>
          <w:p w14:paraId="238C6B38">
            <w:pPr>
              <w:snapToGrid w:val="0"/>
              <w:jc w:val="both"/>
              <w:rPr>
                <w:rFonts w:ascii="宋体" w:hAnsi="宋体"/>
                <w:sz w:val="16"/>
                <w:szCs w:val="16"/>
              </w:rPr>
            </w:pPr>
            <w:r>
              <w:rPr>
                <w:rFonts w:hint="eastAsia" w:ascii="宋体" w:hAnsi="宋体"/>
                <w:sz w:val="16"/>
                <w:szCs w:val="16"/>
              </w:rPr>
              <w:t>能耗数据统计等</w:t>
            </w:r>
          </w:p>
        </w:tc>
        <w:tc>
          <w:tcPr>
            <w:tcW w:w="2022" w:type="dxa"/>
            <w:vAlign w:val="center"/>
          </w:tcPr>
          <w:p w14:paraId="5CFA17F0">
            <w:pPr>
              <w:snapToGrid w:val="0"/>
              <w:jc w:val="both"/>
              <w:rPr>
                <w:rFonts w:ascii="宋体" w:hAnsi="宋体" w:cstheme="minorEastAsia"/>
                <w:bCs/>
                <w:sz w:val="16"/>
                <w:szCs w:val="16"/>
              </w:rPr>
            </w:pPr>
          </w:p>
        </w:tc>
        <w:tc>
          <w:tcPr>
            <w:tcW w:w="0" w:type="auto"/>
            <w:vAlign w:val="center"/>
          </w:tcPr>
          <w:p w14:paraId="01752ECE">
            <w:pPr>
              <w:jc w:val="both"/>
              <w:textAlignment w:val="center"/>
              <w:rPr>
                <w:rFonts w:ascii="宋体" w:hAnsi="宋体" w:cstheme="minorEastAsia"/>
                <w:bCs/>
                <w:sz w:val="16"/>
                <w:szCs w:val="16"/>
              </w:rPr>
            </w:pPr>
          </w:p>
        </w:tc>
        <w:tc>
          <w:tcPr>
            <w:tcW w:w="0" w:type="auto"/>
            <w:vAlign w:val="center"/>
          </w:tcPr>
          <w:p w14:paraId="0791356F">
            <w:pPr>
              <w:jc w:val="both"/>
              <w:textAlignment w:val="center"/>
              <w:rPr>
                <w:rFonts w:ascii="宋体" w:hAnsi="宋体" w:cstheme="minorEastAsia"/>
                <w:bCs/>
                <w:sz w:val="16"/>
                <w:szCs w:val="16"/>
              </w:rPr>
            </w:pPr>
          </w:p>
        </w:tc>
        <w:tc>
          <w:tcPr>
            <w:tcW w:w="1016" w:type="dxa"/>
            <w:vAlign w:val="center"/>
          </w:tcPr>
          <w:p w14:paraId="68BB9753">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7FA932BD">
            <w:pPr>
              <w:jc w:val="both"/>
              <w:textAlignment w:val="center"/>
              <w:rPr>
                <w:rFonts w:ascii="宋体" w:hAnsi="宋体"/>
                <w:sz w:val="16"/>
                <w:szCs w:val="16"/>
              </w:rPr>
            </w:pPr>
            <w:r>
              <w:rPr>
                <w:rFonts w:ascii="宋体" w:hAnsi="宋体"/>
                <w:sz w:val="16"/>
                <w:szCs w:val="16"/>
              </w:rPr>
              <w:t>1</w:t>
            </w:r>
          </w:p>
        </w:tc>
        <w:tc>
          <w:tcPr>
            <w:tcW w:w="0" w:type="auto"/>
            <w:vAlign w:val="center"/>
          </w:tcPr>
          <w:p w14:paraId="190C6E41">
            <w:pPr>
              <w:jc w:val="both"/>
              <w:textAlignment w:val="center"/>
              <w:rPr>
                <w:rFonts w:ascii="宋体" w:hAnsi="宋体" w:cstheme="minorEastAsia"/>
                <w:bCs/>
                <w:sz w:val="16"/>
                <w:szCs w:val="16"/>
                <w:highlight w:val="yellow"/>
              </w:rPr>
            </w:pPr>
          </w:p>
        </w:tc>
        <w:tc>
          <w:tcPr>
            <w:tcW w:w="0" w:type="auto"/>
            <w:vAlign w:val="center"/>
          </w:tcPr>
          <w:p w14:paraId="0CEE752E">
            <w:pPr>
              <w:jc w:val="both"/>
              <w:textAlignment w:val="center"/>
              <w:rPr>
                <w:rFonts w:ascii="宋体" w:hAnsi="宋体" w:cstheme="minorEastAsia"/>
                <w:bCs/>
                <w:sz w:val="16"/>
                <w:szCs w:val="16"/>
                <w:highlight w:val="yellow"/>
              </w:rPr>
            </w:pPr>
          </w:p>
        </w:tc>
        <w:tc>
          <w:tcPr>
            <w:tcW w:w="0" w:type="auto"/>
            <w:vAlign w:val="center"/>
          </w:tcPr>
          <w:p w14:paraId="331216B7">
            <w:pPr>
              <w:jc w:val="both"/>
              <w:textAlignment w:val="center"/>
              <w:rPr>
                <w:rFonts w:ascii="宋体" w:hAnsi="宋体" w:cstheme="minorEastAsia"/>
                <w:bCs/>
                <w:sz w:val="16"/>
                <w:szCs w:val="16"/>
                <w:highlight w:val="yellow"/>
              </w:rPr>
            </w:pPr>
          </w:p>
        </w:tc>
        <w:tc>
          <w:tcPr>
            <w:tcW w:w="0" w:type="auto"/>
            <w:shd w:val="clear" w:color="auto" w:fill="auto"/>
            <w:vAlign w:val="center"/>
          </w:tcPr>
          <w:p w14:paraId="57FE3C60">
            <w:pPr>
              <w:snapToGrid w:val="0"/>
              <w:jc w:val="both"/>
              <w:rPr>
                <w:rFonts w:ascii="宋体" w:hAnsi="宋体" w:cstheme="minorEastAsia"/>
                <w:bCs/>
                <w:sz w:val="16"/>
                <w:szCs w:val="16"/>
              </w:rPr>
            </w:pPr>
          </w:p>
        </w:tc>
      </w:tr>
      <w:tr w14:paraId="7953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0EEEE2DA">
            <w:pPr>
              <w:snapToGrid w:val="0"/>
              <w:jc w:val="both"/>
              <w:rPr>
                <w:rFonts w:ascii="宋体" w:hAnsi="宋体" w:cstheme="minorEastAsia"/>
                <w:bCs/>
                <w:sz w:val="16"/>
                <w:szCs w:val="16"/>
              </w:rPr>
            </w:pPr>
            <w:r>
              <w:rPr>
                <w:rFonts w:hint="eastAsia" w:ascii="宋体" w:hAnsi="宋体" w:cstheme="minorEastAsia"/>
                <w:bCs/>
                <w:sz w:val="16"/>
                <w:szCs w:val="16"/>
              </w:rPr>
              <w:t>2.3.6</w:t>
            </w:r>
          </w:p>
        </w:tc>
        <w:tc>
          <w:tcPr>
            <w:tcW w:w="1484" w:type="dxa"/>
            <w:tcBorders>
              <w:top w:val="single" w:color="auto" w:sz="4" w:space="0"/>
            </w:tcBorders>
            <w:vAlign w:val="center"/>
          </w:tcPr>
          <w:p w14:paraId="7D816BB4">
            <w:pPr>
              <w:snapToGrid w:val="0"/>
              <w:jc w:val="both"/>
              <w:rPr>
                <w:rFonts w:ascii="宋体" w:hAnsi="宋体"/>
                <w:sz w:val="16"/>
                <w:szCs w:val="16"/>
              </w:rPr>
            </w:pPr>
            <w:r>
              <w:rPr>
                <w:rFonts w:hint="eastAsia" w:ascii="宋体" w:hAnsi="宋体"/>
                <w:sz w:val="16"/>
                <w:szCs w:val="16"/>
              </w:rPr>
              <w:t>智能模型</w:t>
            </w:r>
          </w:p>
        </w:tc>
        <w:tc>
          <w:tcPr>
            <w:tcW w:w="4601" w:type="dxa"/>
            <w:vAlign w:val="center"/>
          </w:tcPr>
          <w:p w14:paraId="690DE687">
            <w:pPr>
              <w:snapToGrid w:val="0"/>
              <w:jc w:val="both"/>
              <w:rPr>
                <w:rFonts w:ascii="宋体" w:hAnsi="宋体"/>
                <w:sz w:val="16"/>
                <w:szCs w:val="16"/>
              </w:rPr>
            </w:pPr>
            <w:r>
              <w:rPr>
                <w:rFonts w:hint="eastAsia" w:ascii="宋体" w:hAnsi="宋体"/>
                <w:sz w:val="16"/>
                <w:szCs w:val="16"/>
              </w:rPr>
              <w:t>能源需求预测、能源定额管控、能源生产优化排产、能源实时动态精准调度、空调智能控制等</w:t>
            </w:r>
          </w:p>
        </w:tc>
        <w:tc>
          <w:tcPr>
            <w:tcW w:w="2022" w:type="dxa"/>
            <w:vAlign w:val="center"/>
          </w:tcPr>
          <w:p w14:paraId="5551B8E9">
            <w:pPr>
              <w:snapToGrid w:val="0"/>
              <w:jc w:val="both"/>
              <w:rPr>
                <w:rFonts w:ascii="宋体" w:hAnsi="宋体" w:cstheme="minorEastAsia"/>
                <w:bCs/>
                <w:sz w:val="16"/>
                <w:szCs w:val="16"/>
              </w:rPr>
            </w:pPr>
          </w:p>
        </w:tc>
        <w:tc>
          <w:tcPr>
            <w:tcW w:w="0" w:type="auto"/>
            <w:vAlign w:val="center"/>
          </w:tcPr>
          <w:p w14:paraId="3B2FA3C1">
            <w:pPr>
              <w:jc w:val="both"/>
              <w:textAlignment w:val="center"/>
              <w:rPr>
                <w:rFonts w:ascii="宋体" w:hAnsi="宋体" w:cstheme="minorEastAsia"/>
                <w:bCs/>
                <w:sz w:val="16"/>
                <w:szCs w:val="16"/>
              </w:rPr>
            </w:pPr>
          </w:p>
        </w:tc>
        <w:tc>
          <w:tcPr>
            <w:tcW w:w="0" w:type="auto"/>
            <w:vAlign w:val="center"/>
          </w:tcPr>
          <w:p w14:paraId="2DA9E62D">
            <w:pPr>
              <w:jc w:val="both"/>
              <w:textAlignment w:val="center"/>
              <w:rPr>
                <w:rFonts w:ascii="宋体" w:hAnsi="宋体" w:cstheme="minorEastAsia"/>
                <w:bCs/>
                <w:sz w:val="16"/>
                <w:szCs w:val="16"/>
              </w:rPr>
            </w:pPr>
          </w:p>
        </w:tc>
        <w:tc>
          <w:tcPr>
            <w:tcW w:w="1016" w:type="dxa"/>
            <w:vAlign w:val="center"/>
          </w:tcPr>
          <w:p w14:paraId="69F015A0">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3A7A8DB1">
            <w:pPr>
              <w:jc w:val="both"/>
              <w:textAlignment w:val="center"/>
              <w:rPr>
                <w:rFonts w:ascii="宋体" w:hAnsi="宋体"/>
                <w:sz w:val="16"/>
                <w:szCs w:val="16"/>
              </w:rPr>
            </w:pPr>
            <w:r>
              <w:rPr>
                <w:rFonts w:ascii="宋体" w:hAnsi="宋体"/>
                <w:sz w:val="16"/>
                <w:szCs w:val="16"/>
              </w:rPr>
              <w:t>1</w:t>
            </w:r>
          </w:p>
        </w:tc>
        <w:tc>
          <w:tcPr>
            <w:tcW w:w="0" w:type="auto"/>
            <w:vAlign w:val="center"/>
          </w:tcPr>
          <w:p w14:paraId="0A9A8EBA">
            <w:pPr>
              <w:jc w:val="both"/>
              <w:textAlignment w:val="center"/>
              <w:rPr>
                <w:rFonts w:ascii="宋体" w:hAnsi="宋体" w:cstheme="minorEastAsia"/>
                <w:bCs/>
                <w:sz w:val="16"/>
                <w:szCs w:val="16"/>
                <w:highlight w:val="yellow"/>
              </w:rPr>
            </w:pPr>
          </w:p>
        </w:tc>
        <w:tc>
          <w:tcPr>
            <w:tcW w:w="0" w:type="auto"/>
            <w:vAlign w:val="center"/>
          </w:tcPr>
          <w:p w14:paraId="66623DB9">
            <w:pPr>
              <w:jc w:val="both"/>
              <w:textAlignment w:val="center"/>
              <w:rPr>
                <w:rFonts w:ascii="宋体" w:hAnsi="宋体" w:cstheme="minorEastAsia"/>
                <w:bCs/>
                <w:sz w:val="16"/>
                <w:szCs w:val="16"/>
                <w:highlight w:val="yellow"/>
              </w:rPr>
            </w:pPr>
          </w:p>
        </w:tc>
        <w:tc>
          <w:tcPr>
            <w:tcW w:w="0" w:type="auto"/>
            <w:vAlign w:val="center"/>
          </w:tcPr>
          <w:p w14:paraId="61E6DF56">
            <w:pPr>
              <w:jc w:val="both"/>
              <w:textAlignment w:val="center"/>
              <w:rPr>
                <w:rFonts w:ascii="宋体" w:hAnsi="宋体" w:cstheme="minorEastAsia"/>
                <w:bCs/>
                <w:sz w:val="16"/>
                <w:szCs w:val="16"/>
                <w:highlight w:val="yellow"/>
              </w:rPr>
            </w:pPr>
          </w:p>
        </w:tc>
        <w:tc>
          <w:tcPr>
            <w:tcW w:w="0" w:type="auto"/>
            <w:shd w:val="clear" w:color="auto" w:fill="auto"/>
            <w:vAlign w:val="center"/>
          </w:tcPr>
          <w:p w14:paraId="7112CD1E">
            <w:pPr>
              <w:snapToGrid w:val="0"/>
              <w:jc w:val="both"/>
              <w:rPr>
                <w:rFonts w:ascii="宋体" w:hAnsi="宋体" w:cstheme="minorEastAsia"/>
                <w:bCs/>
                <w:sz w:val="16"/>
                <w:szCs w:val="16"/>
              </w:rPr>
            </w:pPr>
          </w:p>
        </w:tc>
      </w:tr>
      <w:tr w14:paraId="29BC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4B755684">
            <w:pPr>
              <w:snapToGrid w:val="0"/>
              <w:jc w:val="both"/>
              <w:rPr>
                <w:rFonts w:ascii="宋体" w:hAnsi="宋体" w:cstheme="minorEastAsia"/>
                <w:bCs/>
                <w:sz w:val="16"/>
                <w:szCs w:val="16"/>
              </w:rPr>
            </w:pPr>
            <w:r>
              <w:rPr>
                <w:rFonts w:hint="eastAsia" w:ascii="宋体" w:hAnsi="宋体" w:cstheme="minorEastAsia"/>
                <w:bCs/>
                <w:sz w:val="16"/>
                <w:szCs w:val="16"/>
              </w:rPr>
              <w:t>2.3.7</w:t>
            </w:r>
          </w:p>
        </w:tc>
        <w:tc>
          <w:tcPr>
            <w:tcW w:w="1484" w:type="dxa"/>
            <w:tcBorders>
              <w:top w:val="single" w:color="auto" w:sz="4" w:space="0"/>
            </w:tcBorders>
            <w:vAlign w:val="center"/>
          </w:tcPr>
          <w:p w14:paraId="6F84E76F">
            <w:pPr>
              <w:snapToGrid w:val="0"/>
              <w:jc w:val="both"/>
              <w:rPr>
                <w:rFonts w:ascii="宋体" w:hAnsi="宋体"/>
                <w:sz w:val="16"/>
                <w:szCs w:val="16"/>
              </w:rPr>
            </w:pPr>
            <w:r>
              <w:rPr>
                <w:rFonts w:hint="eastAsia" w:ascii="宋体" w:hAnsi="宋体"/>
                <w:sz w:val="16"/>
                <w:szCs w:val="16"/>
              </w:rPr>
              <w:t>碳排放核算</w:t>
            </w:r>
          </w:p>
        </w:tc>
        <w:tc>
          <w:tcPr>
            <w:tcW w:w="4601" w:type="dxa"/>
            <w:vAlign w:val="center"/>
          </w:tcPr>
          <w:p w14:paraId="58AF733A">
            <w:pPr>
              <w:snapToGrid w:val="0"/>
              <w:jc w:val="both"/>
              <w:rPr>
                <w:rFonts w:ascii="宋体" w:hAnsi="宋体"/>
                <w:sz w:val="16"/>
                <w:szCs w:val="16"/>
              </w:rPr>
            </w:pPr>
            <w:r>
              <w:rPr>
                <w:rFonts w:hint="eastAsia" w:ascii="宋体" w:hAnsi="宋体"/>
                <w:sz w:val="16"/>
                <w:szCs w:val="16"/>
              </w:rPr>
              <w:t>碳核算，碳排放量，减碳量等</w:t>
            </w:r>
          </w:p>
        </w:tc>
        <w:tc>
          <w:tcPr>
            <w:tcW w:w="2022" w:type="dxa"/>
            <w:vAlign w:val="center"/>
          </w:tcPr>
          <w:p w14:paraId="5DE4531B">
            <w:pPr>
              <w:snapToGrid w:val="0"/>
              <w:jc w:val="both"/>
              <w:rPr>
                <w:rFonts w:ascii="宋体" w:hAnsi="宋体" w:cstheme="minorEastAsia"/>
                <w:bCs/>
                <w:sz w:val="16"/>
                <w:szCs w:val="16"/>
              </w:rPr>
            </w:pPr>
          </w:p>
        </w:tc>
        <w:tc>
          <w:tcPr>
            <w:tcW w:w="0" w:type="auto"/>
            <w:vAlign w:val="center"/>
          </w:tcPr>
          <w:p w14:paraId="1B552740">
            <w:pPr>
              <w:jc w:val="both"/>
              <w:textAlignment w:val="center"/>
              <w:rPr>
                <w:rFonts w:ascii="宋体" w:hAnsi="宋体" w:cstheme="minorEastAsia"/>
                <w:bCs/>
                <w:sz w:val="16"/>
                <w:szCs w:val="16"/>
              </w:rPr>
            </w:pPr>
          </w:p>
        </w:tc>
        <w:tc>
          <w:tcPr>
            <w:tcW w:w="0" w:type="auto"/>
            <w:vAlign w:val="center"/>
          </w:tcPr>
          <w:p w14:paraId="2CCF8011">
            <w:pPr>
              <w:jc w:val="both"/>
              <w:textAlignment w:val="center"/>
              <w:rPr>
                <w:rFonts w:ascii="宋体" w:hAnsi="宋体" w:cstheme="minorEastAsia"/>
                <w:bCs/>
                <w:sz w:val="16"/>
                <w:szCs w:val="16"/>
              </w:rPr>
            </w:pPr>
          </w:p>
        </w:tc>
        <w:tc>
          <w:tcPr>
            <w:tcW w:w="1016" w:type="dxa"/>
            <w:vAlign w:val="center"/>
          </w:tcPr>
          <w:p w14:paraId="2F70E066">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185D62D4">
            <w:pPr>
              <w:jc w:val="both"/>
              <w:textAlignment w:val="center"/>
              <w:rPr>
                <w:rFonts w:ascii="宋体" w:hAnsi="宋体"/>
                <w:sz w:val="16"/>
                <w:szCs w:val="16"/>
              </w:rPr>
            </w:pPr>
            <w:r>
              <w:rPr>
                <w:rFonts w:ascii="宋体" w:hAnsi="宋体"/>
                <w:sz w:val="16"/>
                <w:szCs w:val="16"/>
              </w:rPr>
              <w:t>1</w:t>
            </w:r>
          </w:p>
        </w:tc>
        <w:tc>
          <w:tcPr>
            <w:tcW w:w="0" w:type="auto"/>
            <w:vAlign w:val="center"/>
          </w:tcPr>
          <w:p w14:paraId="51A51437">
            <w:pPr>
              <w:jc w:val="both"/>
              <w:textAlignment w:val="center"/>
              <w:rPr>
                <w:rFonts w:ascii="宋体" w:hAnsi="宋体" w:cstheme="minorEastAsia"/>
                <w:bCs/>
                <w:sz w:val="16"/>
                <w:szCs w:val="16"/>
                <w:highlight w:val="yellow"/>
              </w:rPr>
            </w:pPr>
          </w:p>
        </w:tc>
        <w:tc>
          <w:tcPr>
            <w:tcW w:w="0" w:type="auto"/>
            <w:vAlign w:val="center"/>
          </w:tcPr>
          <w:p w14:paraId="45055A79">
            <w:pPr>
              <w:jc w:val="both"/>
              <w:textAlignment w:val="center"/>
              <w:rPr>
                <w:rFonts w:ascii="宋体" w:hAnsi="宋体" w:cstheme="minorEastAsia"/>
                <w:bCs/>
                <w:sz w:val="16"/>
                <w:szCs w:val="16"/>
                <w:highlight w:val="yellow"/>
              </w:rPr>
            </w:pPr>
          </w:p>
        </w:tc>
        <w:tc>
          <w:tcPr>
            <w:tcW w:w="0" w:type="auto"/>
            <w:vAlign w:val="center"/>
          </w:tcPr>
          <w:p w14:paraId="796C9B49">
            <w:pPr>
              <w:jc w:val="both"/>
              <w:textAlignment w:val="center"/>
              <w:rPr>
                <w:rFonts w:ascii="宋体" w:hAnsi="宋体" w:cstheme="minorEastAsia"/>
                <w:bCs/>
                <w:sz w:val="16"/>
                <w:szCs w:val="16"/>
                <w:highlight w:val="yellow"/>
              </w:rPr>
            </w:pPr>
          </w:p>
        </w:tc>
        <w:tc>
          <w:tcPr>
            <w:tcW w:w="0" w:type="auto"/>
            <w:shd w:val="clear" w:color="auto" w:fill="auto"/>
            <w:vAlign w:val="center"/>
          </w:tcPr>
          <w:p w14:paraId="568E3CB9">
            <w:pPr>
              <w:snapToGrid w:val="0"/>
              <w:jc w:val="both"/>
              <w:rPr>
                <w:rFonts w:ascii="宋体" w:hAnsi="宋体" w:cstheme="minorEastAsia"/>
                <w:bCs/>
                <w:sz w:val="16"/>
                <w:szCs w:val="16"/>
              </w:rPr>
            </w:pPr>
          </w:p>
        </w:tc>
      </w:tr>
      <w:tr w14:paraId="547F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6" w:type="dxa"/>
            <w:vAlign w:val="center"/>
          </w:tcPr>
          <w:p w14:paraId="3D997E5F">
            <w:pPr>
              <w:snapToGrid w:val="0"/>
              <w:jc w:val="both"/>
              <w:rPr>
                <w:rFonts w:ascii="宋体" w:hAnsi="宋体" w:cstheme="minorEastAsia"/>
                <w:b/>
                <w:bCs/>
                <w:sz w:val="16"/>
                <w:szCs w:val="16"/>
              </w:rPr>
            </w:pPr>
            <w:r>
              <w:rPr>
                <w:rFonts w:hint="eastAsia" w:ascii="宋体" w:hAnsi="宋体" w:cstheme="minorEastAsia"/>
                <w:b/>
                <w:bCs/>
                <w:sz w:val="16"/>
                <w:szCs w:val="16"/>
              </w:rPr>
              <w:t>3</w:t>
            </w:r>
          </w:p>
        </w:tc>
        <w:tc>
          <w:tcPr>
            <w:tcW w:w="1484" w:type="dxa"/>
            <w:tcBorders>
              <w:top w:val="single" w:color="auto" w:sz="4" w:space="0"/>
            </w:tcBorders>
            <w:vAlign w:val="center"/>
          </w:tcPr>
          <w:p w14:paraId="4491E3FE">
            <w:pPr>
              <w:snapToGrid w:val="0"/>
              <w:jc w:val="both"/>
              <w:rPr>
                <w:rFonts w:ascii="宋体" w:hAnsi="宋体"/>
                <w:b/>
                <w:sz w:val="16"/>
                <w:szCs w:val="16"/>
              </w:rPr>
            </w:pPr>
            <w:r>
              <w:rPr>
                <w:rFonts w:hint="eastAsia" w:ascii="宋体" w:hAnsi="宋体"/>
                <w:b/>
                <w:sz w:val="16"/>
                <w:szCs w:val="16"/>
              </w:rPr>
              <w:t>安装调试费</w:t>
            </w:r>
          </w:p>
        </w:tc>
        <w:tc>
          <w:tcPr>
            <w:tcW w:w="4601" w:type="dxa"/>
            <w:vAlign w:val="center"/>
          </w:tcPr>
          <w:p w14:paraId="2BE46D2D">
            <w:pPr>
              <w:snapToGrid w:val="0"/>
              <w:jc w:val="both"/>
              <w:rPr>
                <w:rFonts w:ascii="宋体" w:hAnsi="宋体"/>
                <w:sz w:val="16"/>
                <w:szCs w:val="16"/>
              </w:rPr>
            </w:pPr>
            <w:r>
              <w:rPr>
                <w:rFonts w:ascii="宋体" w:hAnsi="宋体"/>
                <w:sz w:val="16"/>
                <w:szCs w:val="16"/>
              </w:rPr>
              <w:t>\</w:t>
            </w:r>
          </w:p>
        </w:tc>
        <w:tc>
          <w:tcPr>
            <w:tcW w:w="2022" w:type="dxa"/>
            <w:vAlign w:val="center"/>
          </w:tcPr>
          <w:p w14:paraId="753D3262">
            <w:pPr>
              <w:snapToGrid w:val="0"/>
              <w:jc w:val="both"/>
              <w:rPr>
                <w:rFonts w:ascii="宋体" w:hAnsi="宋体" w:cstheme="minorEastAsia"/>
                <w:bCs/>
                <w:sz w:val="16"/>
                <w:szCs w:val="16"/>
              </w:rPr>
            </w:pPr>
          </w:p>
        </w:tc>
        <w:tc>
          <w:tcPr>
            <w:tcW w:w="0" w:type="auto"/>
            <w:vAlign w:val="center"/>
          </w:tcPr>
          <w:p w14:paraId="47C2CE0A">
            <w:pPr>
              <w:jc w:val="both"/>
              <w:textAlignment w:val="center"/>
              <w:rPr>
                <w:rFonts w:ascii="宋体" w:hAnsi="宋体" w:cstheme="minorEastAsia"/>
                <w:bCs/>
                <w:sz w:val="16"/>
                <w:szCs w:val="16"/>
              </w:rPr>
            </w:pPr>
          </w:p>
        </w:tc>
        <w:tc>
          <w:tcPr>
            <w:tcW w:w="0" w:type="auto"/>
            <w:vAlign w:val="center"/>
          </w:tcPr>
          <w:p w14:paraId="176739F7">
            <w:pPr>
              <w:jc w:val="both"/>
              <w:textAlignment w:val="center"/>
              <w:rPr>
                <w:rFonts w:ascii="宋体" w:hAnsi="宋体" w:cstheme="minorEastAsia"/>
                <w:bCs/>
                <w:sz w:val="16"/>
                <w:szCs w:val="16"/>
              </w:rPr>
            </w:pPr>
          </w:p>
        </w:tc>
        <w:tc>
          <w:tcPr>
            <w:tcW w:w="1016" w:type="dxa"/>
            <w:vAlign w:val="center"/>
          </w:tcPr>
          <w:p w14:paraId="6E277485">
            <w:pPr>
              <w:jc w:val="both"/>
              <w:textAlignment w:val="center"/>
              <w:rPr>
                <w:rFonts w:ascii="宋体" w:hAnsi="宋体"/>
                <w:sz w:val="16"/>
                <w:szCs w:val="16"/>
              </w:rPr>
            </w:pPr>
            <w:r>
              <w:rPr>
                <w:rFonts w:hint="eastAsia" w:ascii="宋体" w:hAnsi="宋体"/>
                <w:sz w:val="16"/>
                <w:szCs w:val="16"/>
              </w:rPr>
              <w:t>项</w:t>
            </w:r>
          </w:p>
        </w:tc>
        <w:tc>
          <w:tcPr>
            <w:tcW w:w="609" w:type="dxa"/>
            <w:vAlign w:val="center"/>
          </w:tcPr>
          <w:p w14:paraId="7AAE1091">
            <w:pPr>
              <w:jc w:val="both"/>
              <w:textAlignment w:val="center"/>
              <w:rPr>
                <w:rFonts w:ascii="宋体" w:hAnsi="宋体"/>
                <w:sz w:val="16"/>
                <w:szCs w:val="16"/>
              </w:rPr>
            </w:pPr>
            <w:r>
              <w:rPr>
                <w:rFonts w:ascii="宋体" w:hAnsi="宋体"/>
                <w:sz w:val="16"/>
                <w:szCs w:val="16"/>
              </w:rPr>
              <w:t>1</w:t>
            </w:r>
          </w:p>
        </w:tc>
        <w:tc>
          <w:tcPr>
            <w:tcW w:w="0" w:type="auto"/>
            <w:vAlign w:val="center"/>
          </w:tcPr>
          <w:p w14:paraId="02BE8D6E">
            <w:pPr>
              <w:jc w:val="both"/>
              <w:textAlignment w:val="center"/>
              <w:rPr>
                <w:rFonts w:ascii="宋体" w:hAnsi="宋体" w:cstheme="minorEastAsia"/>
                <w:bCs/>
                <w:sz w:val="16"/>
                <w:szCs w:val="16"/>
                <w:highlight w:val="yellow"/>
              </w:rPr>
            </w:pPr>
          </w:p>
        </w:tc>
        <w:tc>
          <w:tcPr>
            <w:tcW w:w="0" w:type="auto"/>
            <w:vAlign w:val="center"/>
          </w:tcPr>
          <w:p w14:paraId="63446716">
            <w:pPr>
              <w:jc w:val="both"/>
              <w:textAlignment w:val="center"/>
              <w:rPr>
                <w:rFonts w:ascii="宋体" w:hAnsi="宋体" w:cstheme="minorEastAsia"/>
                <w:bCs/>
                <w:sz w:val="16"/>
                <w:szCs w:val="16"/>
                <w:highlight w:val="yellow"/>
              </w:rPr>
            </w:pPr>
          </w:p>
        </w:tc>
        <w:tc>
          <w:tcPr>
            <w:tcW w:w="0" w:type="auto"/>
            <w:vAlign w:val="center"/>
          </w:tcPr>
          <w:p w14:paraId="5233A4B0">
            <w:pPr>
              <w:jc w:val="both"/>
              <w:textAlignment w:val="center"/>
              <w:rPr>
                <w:rFonts w:ascii="宋体" w:hAnsi="宋体" w:cstheme="minorEastAsia"/>
                <w:bCs/>
                <w:sz w:val="16"/>
                <w:szCs w:val="16"/>
                <w:highlight w:val="yellow"/>
              </w:rPr>
            </w:pPr>
          </w:p>
        </w:tc>
        <w:tc>
          <w:tcPr>
            <w:tcW w:w="0" w:type="auto"/>
            <w:shd w:val="clear" w:color="auto" w:fill="auto"/>
            <w:vAlign w:val="center"/>
          </w:tcPr>
          <w:p w14:paraId="2241E1C9">
            <w:pPr>
              <w:snapToGrid w:val="0"/>
              <w:jc w:val="both"/>
              <w:rPr>
                <w:rFonts w:ascii="宋体" w:hAnsi="宋体" w:cstheme="minorEastAsia"/>
                <w:bCs/>
                <w:sz w:val="16"/>
                <w:szCs w:val="16"/>
              </w:rPr>
            </w:pPr>
          </w:p>
        </w:tc>
      </w:tr>
      <w:tr w14:paraId="2EB9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40" w:type="dxa"/>
            <w:gridSpan w:val="2"/>
            <w:vAlign w:val="center"/>
          </w:tcPr>
          <w:p w14:paraId="6EDBC09B">
            <w:pPr>
              <w:jc w:val="both"/>
              <w:textAlignment w:val="center"/>
              <w:rPr>
                <w:rFonts w:ascii="宋体" w:hAnsi="宋体" w:cs="宋体"/>
                <w:sz w:val="16"/>
                <w:szCs w:val="16"/>
              </w:rPr>
            </w:pPr>
          </w:p>
        </w:tc>
        <w:tc>
          <w:tcPr>
            <w:tcW w:w="9102" w:type="dxa"/>
            <w:gridSpan w:val="6"/>
            <w:vAlign w:val="center"/>
          </w:tcPr>
          <w:p w14:paraId="7F78F317">
            <w:pPr>
              <w:jc w:val="both"/>
              <w:textAlignment w:val="center"/>
              <w:rPr>
                <w:rFonts w:ascii="宋体" w:hAnsi="宋体" w:cs="宋体"/>
                <w:sz w:val="16"/>
                <w:szCs w:val="16"/>
              </w:rPr>
            </w:pPr>
            <w:r>
              <w:rPr>
                <w:rFonts w:hint="eastAsia" w:ascii="宋体" w:hAnsi="宋体" w:cstheme="minorEastAsia"/>
                <w:bCs/>
                <w:sz w:val="16"/>
                <w:szCs w:val="16"/>
              </w:rPr>
              <w:t>含税投标总报价（元）</w:t>
            </w:r>
          </w:p>
        </w:tc>
        <w:tc>
          <w:tcPr>
            <w:tcW w:w="0" w:type="auto"/>
            <w:vAlign w:val="center"/>
          </w:tcPr>
          <w:p w14:paraId="5E12B210">
            <w:pPr>
              <w:snapToGrid w:val="0"/>
              <w:jc w:val="both"/>
              <w:rPr>
                <w:rFonts w:ascii="宋体" w:hAnsi="宋体" w:cstheme="minorEastAsia"/>
                <w:bCs/>
                <w:sz w:val="16"/>
                <w:szCs w:val="16"/>
              </w:rPr>
            </w:pPr>
          </w:p>
        </w:tc>
        <w:tc>
          <w:tcPr>
            <w:tcW w:w="0" w:type="auto"/>
            <w:gridSpan w:val="3"/>
            <w:vAlign w:val="center"/>
          </w:tcPr>
          <w:p w14:paraId="0E4601A2">
            <w:pPr>
              <w:snapToGrid w:val="0"/>
              <w:jc w:val="both"/>
              <w:rPr>
                <w:rFonts w:ascii="宋体" w:hAnsi="宋体" w:cstheme="minorEastAsia"/>
                <w:bCs/>
                <w:sz w:val="16"/>
                <w:szCs w:val="16"/>
              </w:rPr>
            </w:pPr>
          </w:p>
        </w:tc>
      </w:tr>
    </w:tbl>
    <w:p w14:paraId="53FD9398">
      <w:pPr>
        <w:pStyle w:val="2"/>
        <w:ind w:left="0" w:leftChars="0" w:firstLine="0" w:firstLineChars="0"/>
      </w:pPr>
    </w:p>
    <w:tbl>
      <w:tblPr>
        <w:tblStyle w:val="62"/>
        <w:tblW w:w="0" w:type="auto"/>
        <w:tblInd w:w="-23"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1"/>
      </w:tblGrid>
      <w:tr w14:paraId="574E83E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751" w:type="dxa"/>
          </w:tcPr>
          <w:p w14:paraId="1723E680">
            <w:pPr>
              <w:pStyle w:val="2"/>
              <w:ind w:left="0" w:leftChars="0" w:firstLine="0" w:firstLineChars="0"/>
            </w:pPr>
          </w:p>
        </w:tc>
      </w:tr>
    </w:tbl>
    <w:p w14:paraId="25527F0D">
      <w:pPr>
        <w:pStyle w:val="2"/>
        <w:ind w:left="0" w:leftChars="0" w:firstLine="0" w:firstLineChars="0"/>
      </w:pPr>
    </w:p>
    <w:p w14:paraId="68E0D1E3">
      <w:pPr>
        <w:pStyle w:val="2"/>
        <w:ind w:left="0" w:leftChars="0" w:firstLine="0" w:firstLineChars="0"/>
      </w:pPr>
    </w:p>
    <w:p w14:paraId="13E0EC33">
      <w:pPr>
        <w:pStyle w:val="2"/>
        <w:ind w:left="0" w:leftChars="0" w:firstLine="0" w:firstLineChars="0"/>
      </w:pPr>
    </w:p>
    <w:p w14:paraId="1BC32E41">
      <w:pPr>
        <w:pStyle w:val="294"/>
        <w:tabs>
          <w:tab w:val="left" w:pos="840"/>
        </w:tabs>
        <w:spacing w:line="276" w:lineRule="auto"/>
        <w:jc w:val="left"/>
        <w:rPr>
          <w:bCs/>
          <w:szCs w:val="21"/>
        </w:rPr>
      </w:pPr>
    </w:p>
    <w:p w14:paraId="29D23660">
      <w:pPr>
        <w:pStyle w:val="294"/>
        <w:tabs>
          <w:tab w:val="left" w:pos="840"/>
        </w:tabs>
        <w:spacing w:line="276" w:lineRule="auto"/>
        <w:jc w:val="left"/>
        <w:rPr>
          <w:bCs/>
          <w:szCs w:val="21"/>
        </w:rPr>
      </w:pPr>
      <w:r>
        <w:rPr>
          <w:bCs/>
          <w:szCs w:val="21"/>
        </w:rPr>
        <w:t>注：</w:t>
      </w:r>
    </w:p>
    <w:p w14:paraId="007CD4A6">
      <w:pPr>
        <w:pStyle w:val="294"/>
        <w:tabs>
          <w:tab w:val="left" w:pos="840"/>
        </w:tabs>
        <w:spacing w:line="276" w:lineRule="auto"/>
        <w:ind w:firstLine="420" w:firstLineChars="200"/>
        <w:jc w:val="left"/>
        <w:rPr>
          <w:bCs/>
          <w:szCs w:val="21"/>
        </w:rPr>
      </w:pPr>
      <w:r>
        <w:rPr>
          <w:bCs/>
          <w:szCs w:val="21"/>
        </w:rPr>
        <w:t>1.投标人须按上述表格内容进行报价</w:t>
      </w:r>
      <w:r>
        <w:rPr>
          <w:rFonts w:hint="eastAsia"/>
          <w:bCs/>
          <w:szCs w:val="21"/>
        </w:rPr>
        <w:t>，投标人的投标报价包含但不限于：招标范围及“第五章技术标准和要求”中要求的满足设备正常运行的仪器、仪表、材料、备品备件、设备、软件的检验试验、包装、运输、装卸（包括旧设备）、保险、安装、调试、培训、技术服务等所有费用，以及系统研发、调试、安装、软硬件采购、人员差旅、技术培训等乙方为履行本合同所提供全部服务的价格。投标人投标报价时应综合考虑完成本项目招标范围内容所有可能发生的费用并包含在投标报价中。</w:t>
      </w:r>
    </w:p>
    <w:p w14:paraId="4FF69AA1">
      <w:pPr>
        <w:pStyle w:val="294"/>
        <w:tabs>
          <w:tab w:val="left" w:pos="840"/>
        </w:tabs>
        <w:spacing w:line="276" w:lineRule="auto"/>
        <w:ind w:firstLine="420" w:firstLineChars="200"/>
        <w:jc w:val="left"/>
        <w:rPr>
          <w:bCs/>
          <w:szCs w:val="21"/>
        </w:rPr>
      </w:pPr>
      <w:r>
        <w:rPr>
          <w:bCs/>
          <w:szCs w:val="21"/>
        </w:rPr>
        <w:t>2.</w:t>
      </w:r>
      <w:r>
        <w:rPr>
          <w:rFonts w:hint="eastAsia"/>
          <w:bCs/>
          <w:szCs w:val="21"/>
        </w:rPr>
        <w:t>本表中的含税投标总报价</w:t>
      </w:r>
      <w:r>
        <w:rPr>
          <w:bCs/>
          <w:szCs w:val="21"/>
        </w:rPr>
        <w:t>（</w:t>
      </w:r>
      <w:r>
        <w:rPr>
          <w:rFonts w:hint="eastAsia"/>
          <w:bCs/>
          <w:szCs w:val="21"/>
        </w:rPr>
        <w:t>元</w:t>
      </w:r>
      <w:r>
        <w:rPr>
          <w:bCs/>
          <w:szCs w:val="21"/>
        </w:rPr>
        <w:t>）</w:t>
      </w:r>
      <w:r>
        <w:rPr>
          <w:rFonts w:hint="eastAsia"/>
          <w:bCs/>
          <w:szCs w:val="21"/>
        </w:rPr>
        <w:t>必须与投标报价（唱标）一览表中的投标总报价（含税）一致。</w:t>
      </w:r>
    </w:p>
    <w:p w14:paraId="4296E06A">
      <w:pPr>
        <w:pStyle w:val="294"/>
        <w:tabs>
          <w:tab w:val="left" w:pos="840"/>
        </w:tabs>
        <w:spacing w:line="276" w:lineRule="auto"/>
        <w:ind w:firstLine="420" w:firstLineChars="200"/>
        <w:jc w:val="left"/>
        <w:rPr>
          <w:bCs/>
          <w:szCs w:val="21"/>
        </w:rPr>
      </w:pPr>
      <w:r>
        <w:rPr>
          <w:bCs/>
          <w:szCs w:val="21"/>
        </w:rPr>
        <w:t>3</w:t>
      </w:r>
      <w:r>
        <w:rPr>
          <w:rFonts w:hint="eastAsia"/>
          <w:bCs/>
          <w:szCs w:val="21"/>
        </w:rPr>
        <w:t>.投标报价保留小数点后两位，小数点后第两位“四舍五入”。</w:t>
      </w:r>
    </w:p>
    <w:p w14:paraId="312C2437">
      <w:pPr>
        <w:pStyle w:val="294"/>
        <w:tabs>
          <w:tab w:val="left" w:pos="840"/>
        </w:tabs>
        <w:spacing w:line="276" w:lineRule="auto"/>
        <w:ind w:firstLine="420" w:firstLineChars="200"/>
        <w:rPr>
          <w:bCs/>
          <w:szCs w:val="21"/>
        </w:rPr>
      </w:pPr>
      <w:r>
        <w:rPr>
          <w:rFonts w:hint="eastAsia"/>
          <w:bCs/>
          <w:szCs w:val="21"/>
        </w:rPr>
        <w:t>4.报价计量单位为元。</w:t>
      </w:r>
    </w:p>
    <w:p w14:paraId="0576266E">
      <w:pPr>
        <w:pStyle w:val="294"/>
        <w:tabs>
          <w:tab w:val="left" w:pos="840"/>
        </w:tabs>
        <w:spacing w:line="276" w:lineRule="auto"/>
        <w:ind w:firstLine="420" w:firstLineChars="200"/>
        <w:rPr>
          <w:bCs/>
          <w:szCs w:val="21"/>
        </w:rPr>
      </w:pPr>
      <w:r>
        <w:rPr>
          <w:bCs/>
          <w:szCs w:val="21"/>
        </w:rPr>
        <w:t>5.</w:t>
      </w:r>
      <w:r>
        <w:rPr>
          <w:rFonts w:hint="eastAsia"/>
          <w:bCs/>
          <w:szCs w:val="21"/>
        </w:rPr>
        <w:t>在合同执行中如遇国家对本项目所涉增值税税率进行调整的，招标人将以合同约定的税率计算不含增值税价，以不含增值税价及调整后的税率计算新的含增值税价格，自国家调整增值税税率政策生效之日起，双方按新的含增值税价格进行结算。</w:t>
      </w:r>
    </w:p>
    <w:p w14:paraId="20ACF246">
      <w:pPr>
        <w:pStyle w:val="294"/>
        <w:tabs>
          <w:tab w:val="left" w:pos="840"/>
        </w:tabs>
        <w:spacing w:line="276" w:lineRule="auto"/>
        <w:ind w:firstLine="420" w:firstLineChars="200"/>
        <w:rPr>
          <w:bCs/>
          <w:szCs w:val="21"/>
        </w:rPr>
      </w:pPr>
      <w:r>
        <w:rPr>
          <w:rFonts w:hint="eastAsia"/>
          <w:bCs/>
          <w:szCs w:val="21"/>
        </w:rPr>
        <w:t>6.</w:t>
      </w:r>
      <w:r>
        <w:rPr>
          <w:rFonts w:hint="eastAsia"/>
        </w:rPr>
        <w:t xml:space="preserve"> </w:t>
      </w:r>
      <w:r>
        <w:rPr>
          <w:rFonts w:hint="eastAsia"/>
          <w:bCs/>
          <w:szCs w:val="21"/>
        </w:rPr>
        <w:t>投标人在分项报价明细表中可对单项扩展子项，也可扩容增加单项，以保证系统正常运行，实现所有招标技术和功能要求。因投标人未报、少报或漏报，在实施过程中为保证系统正常运行而增加的项目，招标人将不予支付，并视为该项费用已包括在其他有价款的单价和合价内，结算将不予调整。报价表中所报项目，实施过程中如有减少部分，在结算时扣除。</w:t>
      </w:r>
    </w:p>
    <w:p w14:paraId="71E9ED27">
      <w:pPr>
        <w:pStyle w:val="48"/>
        <w:spacing w:line="360" w:lineRule="auto"/>
        <w:ind w:left="1220" w:hanging="420"/>
        <w:rPr>
          <w:rFonts w:ascii="宋体" w:hAnsi="宋体"/>
          <w:sz w:val="21"/>
          <w:szCs w:val="21"/>
        </w:rPr>
      </w:pPr>
    </w:p>
    <w:p w14:paraId="363BE4A2">
      <w:pPr>
        <w:pStyle w:val="48"/>
        <w:spacing w:line="360" w:lineRule="auto"/>
        <w:rPr>
          <w:rFonts w:ascii="宋体" w:hAnsi="宋体"/>
          <w:sz w:val="21"/>
          <w:szCs w:val="21"/>
        </w:rPr>
      </w:pPr>
      <w:r>
        <w:rPr>
          <w:rFonts w:hint="eastAsia" w:ascii="宋体" w:hAnsi="宋体"/>
          <w:sz w:val="21"/>
          <w:szCs w:val="21"/>
        </w:rPr>
        <w:t>投标人（盖章）：</w:t>
      </w:r>
      <w:r>
        <w:rPr>
          <w:rFonts w:ascii="宋体" w:hAnsi="宋体"/>
          <w:sz w:val="21"/>
          <w:szCs w:val="21"/>
          <w:u w:val="single"/>
        </w:rPr>
        <w:t xml:space="preserve">                                    </w:t>
      </w:r>
    </w:p>
    <w:p w14:paraId="32BEF13F">
      <w:pPr>
        <w:pStyle w:val="48"/>
        <w:spacing w:line="360" w:lineRule="auto"/>
        <w:rPr>
          <w:rFonts w:ascii="宋体" w:hAnsi="宋体"/>
          <w:sz w:val="21"/>
          <w:szCs w:val="21"/>
        </w:rPr>
      </w:pPr>
      <w:r>
        <w:rPr>
          <w:rFonts w:hint="eastAsia" w:ascii="宋体" w:hAnsi="宋体"/>
          <w:sz w:val="21"/>
          <w:szCs w:val="21"/>
        </w:rPr>
        <w:t>法定代表人或委托代理人（签字或盖章）：</w:t>
      </w:r>
      <w:r>
        <w:rPr>
          <w:rFonts w:ascii="宋体" w:hAnsi="宋体"/>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p>
    <w:p w14:paraId="6239C1EB">
      <w:pPr>
        <w:spacing w:line="360" w:lineRule="auto"/>
        <w:rPr>
          <w:rFonts w:ascii="宋体" w:hAnsi="宋体"/>
          <w:sz w:val="21"/>
          <w:szCs w:val="21"/>
        </w:rPr>
      </w:pPr>
      <w:r>
        <w:rPr>
          <w:rFonts w:hint="eastAsia" w:ascii="宋体" w:hAnsi="宋体"/>
          <w:sz w:val="21"/>
          <w:szCs w:val="21"/>
        </w:rPr>
        <w:t>日期：</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r>
        <w:rPr>
          <w:rFonts w:hint="eastAsia" w:ascii="宋体" w:hAnsi="宋体"/>
          <w:sz w:val="21"/>
          <w:szCs w:val="21"/>
        </w:rPr>
        <w:t>日</w:t>
      </w:r>
    </w:p>
    <w:p w14:paraId="2138F545">
      <w:pPr>
        <w:spacing w:line="360" w:lineRule="auto"/>
        <w:rPr>
          <w:rFonts w:ascii="宋体" w:hAnsi="宋体"/>
          <w:sz w:val="21"/>
          <w:szCs w:val="21"/>
        </w:rPr>
        <w:sectPr>
          <w:pgSz w:w="16838" w:h="11905" w:orient="landscape"/>
          <w:pgMar w:top="1417" w:right="1417" w:bottom="1417" w:left="1417" w:header="850" w:footer="850" w:gutter="0"/>
          <w:cols w:space="720" w:num="1"/>
          <w:titlePg/>
          <w:docGrid w:linePitch="312" w:charSpace="0"/>
        </w:sectPr>
      </w:pPr>
    </w:p>
    <w:p w14:paraId="653EE1BA">
      <w:pPr>
        <w:rPr>
          <w:rFonts w:ascii="宋体" w:hAnsi="宋体"/>
          <w:bCs/>
          <w:sz w:val="30"/>
          <w:szCs w:val="30"/>
        </w:rPr>
      </w:pPr>
    </w:p>
    <w:bookmarkEnd w:id="224"/>
    <w:p w14:paraId="3866973B">
      <w:pPr>
        <w:pStyle w:val="5"/>
        <w:jc w:val="center"/>
        <w:rPr>
          <w:rFonts w:ascii="宋体" w:hAnsi="宋体" w:eastAsia="宋体"/>
        </w:rPr>
      </w:pPr>
      <w:bookmarkStart w:id="254" w:name="_Toc350966335"/>
      <w:bookmarkStart w:id="255" w:name="_Toc103248627"/>
      <w:bookmarkStart w:id="256" w:name="_Toc443399243"/>
      <w:bookmarkStart w:id="257" w:name="_Toc332642532"/>
      <w:bookmarkStart w:id="258" w:name="_Toc17800"/>
      <w:bookmarkStart w:id="259" w:name="_Toc507430348"/>
      <w:r>
        <w:rPr>
          <w:rFonts w:ascii="宋体" w:hAnsi="宋体" w:eastAsia="宋体"/>
        </w:rPr>
        <w:t>五</w:t>
      </w:r>
      <w:r>
        <w:rPr>
          <w:rFonts w:hint="eastAsia" w:ascii="宋体" w:hAnsi="宋体" w:eastAsia="宋体"/>
        </w:rPr>
        <w:t>、</w:t>
      </w:r>
      <w:r>
        <w:rPr>
          <w:rFonts w:ascii="宋体" w:hAnsi="宋体" w:eastAsia="宋体"/>
        </w:rPr>
        <w:t>投标文件技术部分格式</w:t>
      </w:r>
      <w:bookmarkEnd w:id="254"/>
      <w:bookmarkEnd w:id="255"/>
      <w:bookmarkEnd w:id="256"/>
      <w:bookmarkEnd w:id="257"/>
      <w:bookmarkEnd w:id="258"/>
      <w:bookmarkEnd w:id="259"/>
    </w:p>
    <w:p w14:paraId="52C4732C">
      <w:pPr>
        <w:pStyle w:val="5"/>
        <w:spacing w:line="415" w:lineRule="auto"/>
        <w:jc w:val="center"/>
        <w:rPr>
          <w:rFonts w:ascii="宋体" w:hAnsi="宋体" w:eastAsia="宋体"/>
          <w:sz w:val="30"/>
          <w:szCs w:val="30"/>
        </w:rPr>
      </w:pPr>
      <w:bookmarkStart w:id="260" w:name="_Toc21426"/>
      <w:r>
        <w:rPr>
          <w:rFonts w:hint="eastAsia" w:ascii="宋体" w:hAnsi="宋体" w:eastAsia="宋体"/>
          <w:sz w:val="30"/>
          <w:szCs w:val="30"/>
        </w:rPr>
        <w:t>（一）项目技术方案</w:t>
      </w:r>
      <w:bookmarkEnd w:id="260"/>
    </w:p>
    <w:p w14:paraId="5583366D">
      <w:pPr>
        <w:rPr>
          <w:rFonts w:ascii="宋体" w:hAnsi="宋体"/>
        </w:rPr>
      </w:pPr>
      <w:r>
        <w:rPr>
          <w:rFonts w:hint="eastAsia" w:ascii="宋体" w:hAnsi="宋体"/>
          <w:sz w:val="21"/>
          <w:szCs w:val="21"/>
        </w:rPr>
        <w:t>（请各投标人严格按照评标办法评审要点及招标文件技术标准和要求部分的要求，提供技术响应文件，未提供或提供不全的将导致评分较低，包含但不限于：对项目的理解及项目重难点分析、项目实施方案、关键技术和工艺描述、实施计划及各节点内容安排、施工组织设计、</w:t>
      </w:r>
      <w:r>
        <w:rPr>
          <w:rFonts w:hint="eastAsia" w:ascii="宋体" w:hAnsi="宋体" w:cs="Arial"/>
          <w:sz w:val="21"/>
          <w:szCs w:val="21"/>
        </w:rPr>
        <w:t>安全文明施工</w:t>
      </w:r>
      <w:r>
        <w:rPr>
          <w:rFonts w:hint="eastAsia" w:ascii="宋体" w:hAnsi="宋体"/>
          <w:sz w:val="21"/>
          <w:szCs w:val="21"/>
        </w:rPr>
        <w:t>方案等等，自拟格式编写。）</w:t>
      </w:r>
    </w:p>
    <w:p w14:paraId="25CBCC77">
      <w:pPr>
        <w:rPr>
          <w:rFonts w:ascii="宋体" w:hAnsi="宋体"/>
        </w:rPr>
      </w:pPr>
    </w:p>
    <w:p w14:paraId="166FB50B">
      <w:pPr>
        <w:rPr>
          <w:rFonts w:ascii="宋体" w:hAnsi="宋体"/>
        </w:rPr>
      </w:pPr>
    </w:p>
    <w:p w14:paraId="5681293B">
      <w:pPr>
        <w:pStyle w:val="5"/>
        <w:spacing w:line="415" w:lineRule="auto"/>
        <w:jc w:val="center"/>
        <w:rPr>
          <w:rFonts w:ascii="宋体" w:hAnsi="宋体" w:eastAsia="宋体"/>
          <w:sz w:val="30"/>
          <w:szCs w:val="30"/>
        </w:rPr>
      </w:pPr>
      <w:bookmarkStart w:id="261" w:name="_Toc25586"/>
      <w:r>
        <w:rPr>
          <w:rFonts w:hint="eastAsia" w:ascii="宋体" w:hAnsi="宋体" w:eastAsia="宋体"/>
          <w:sz w:val="30"/>
          <w:szCs w:val="30"/>
        </w:rPr>
        <w:t>（二）拟投产品的配置</w:t>
      </w:r>
      <w:bookmarkEnd w:id="261"/>
    </w:p>
    <w:p w14:paraId="3417AC27">
      <w:pPr>
        <w:ind w:firstLine="420" w:firstLineChars="200"/>
        <w:rPr>
          <w:rFonts w:ascii="宋体" w:hAnsi="宋体"/>
          <w:sz w:val="21"/>
          <w:szCs w:val="21"/>
        </w:rPr>
      </w:pPr>
      <w:r>
        <w:rPr>
          <w:rFonts w:hint="eastAsia" w:ascii="宋体" w:hAnsi="宋体"/>
          <w:sz w:val="21"/>
          <w:szCs w:val="21"/>
        </w:rPr>
        <w:t>1.请各投标人严格按照评标办法评审要点及招标文件技术标准和要求提供设备品牌、质量、性能、选型、技术参数等相关证明材料，自拟格式编写。</w:t>
      </w:r>
    </w:p>
    <w:p w14:paraId="0B342758">
      <w:pPr>
        <w:ind w:firstLine="420" w:firstLineChars="200"/>
        <w:rPr>
          <w:rFonts w:ascii="宋体" w:hAnsi="宋体"/>
          <w:sz w:val="21"/>
          <w:szCs w:val="21"/>
        </w:rPr>
      </w:pPr>
      <w:r>
        <w:rPr>
          <w:rFonts w:hint="eastAsia" w:ascii="宋体" w:hAnsi="宋体"/>
          <w:sz w:val="21"/>
          <w:szCs w:val="21"/>
        </w:rPr>
        <w:t>注：</w:t>
      </w:r>
    </w:p>
    <w:p w14:paraId="6AD5FFE8">
      <w:pPr>
        <w:ind w:firstLine="420" w:firstLineChars="200"/>
        <w:rPr>
          <w:rFonts w:ascii="宋体" w:hAnsi="宋体"/>
          <w:sz w:val="21"/>
          <w:szCs w:val="21"/>
        </w:rPr>
      </w:pPr>
      <w:r>
        <w:rPr>
          <w:rFonts w:hint="eastAsia" w:ascii="宋体" w:hAnsi="宋体"/>
          <w:sz w:val="21"/>
          <w:szCs w:val="21"/>
        </w:rPr>
        <w:t>①投标产品参数如在其官网存在范围区间值的，以最小值为准，提供官网截图并加盖原厂商公章的扫描件或复印件证明。</w:t>
      </w:r>
    </w:p>
    <w:p w14:paraId="2EC7562D">
      <w:pPr>
        <w:ind w:firstLine="420" w:firstLineChars="200"/>
        <w:rPr>
          <w:rFonts w:ascii="宋体" w:hAnsi="宋体"/>
          <w:sz w:val="21"/>
          <w:szCs w:val="21"/>
        </w:rPr>
      </w:pPr>
      <w:r>
        <w:rPr>
          <w:rFonts w:hint="eastAsia" w:ascii="宋体" w:hAnsi="宋体"/>
          <w:sz w:val="21"/>
          <w:szCs w:val="21"/>
        </w:rPr>
        <w:t>②提供原厂商针对本项目的授权书和售后服务承诺函，项目质保期内提供原厂质保服务；提供的原厂商授权书、售后服务承诺函须为加盖原厂商公章的原件或复印件并加盖投标人公章。</w:t>
      </w:r>
    </w:p>
    <w:p w14:paraId="3041CF98">
      <w:pPr>
        <w:ind w:firstLine="420" w:firstLineChars="200"/>
        <w:rPr>
          <w:rFonts w:ascii="宋体" w:hAnsi="宋体"/>
          <w:sz w:val="21"/>
          <w:szCs w:val="21"/>
        </w:rPr>
      </w:pPr>
      <w:r>
        <w:rPr>
          <w:rFonts w:hint="eastAsia" w:ascii="宋体" w:hAnsi="宋体"/>
          <w:sz w:val="21"/>
          <w:szCs w:val="21"/>
        </w:rPr>
        <w:t>（以上两项纳入相关质量资料或技术参数资料进行评分考量）</w:t>
      </w:r>
    </w:p>
    <w:p w14:paraId="67C5CC7D">
      <w:pPr>
        <w:rPr>
          <w:rFonts w:ascii="宋体" w:hAnsi="宋体"/>
        </w:rPr>
      </w:pPr>
      <w:r>
        <w:rPr>
          <w:rFonts w:hint="eastAsia" w:ascii="宋体" w:hAnsi="宋体"/>
          <w:sz w:val="21"/>
          <w:szCs w:val="21"/>
        </w:rPr>
        <w:t>③投标人需用投标产品实际参数应标，为避免投标人虚假应标而影响招标人使用效果，招标人有权对第一中标人所投设备按照招标文件要求进行测试，若为虚假应标，招标人有权根据相关法律法规取消其中标资格，并纳入相关不良记录，其须承担相关法律责任。</w:t>
      </w:r>
    </w:p>
    <w:p w14:paraId="2A42C22F">
      <w:pPr>
        <w:spacing w:line="360" w:lineRule="auto"/>
        <w:ind w:firstLine="426" w:firstLineChars="202"/>
        <w:rPr>
          <w:rFonts w:asciiTheme="minorEastAsia" w:hAnsiTheme="minorEastAsia" w:eastAsiaTheme="minorEastAsia"/>
          <w:bCs/>
          <w:sz w:val="30"/>
          <w:szCs w:val="30"/>
        </w:rPr>
      </w:pPr>
      <w:r>
        <w:rPr>
          <w:rFonts w:hint="eastAsia" w:cs="微软雅黑" w:asciiTheme="minorEastAsia" w:hAnsiTheme="minorEastAsia" w:eastAsiaTheme="minorEastAsia"/>
          <w:b/>
          <w:bCs/>
          <w:kern w:val="2"/>
          <w:sz w:val="21"/>
          <w:szCs w:val="21"/>
        </w:rPr>
        <w:t>2.填写技术参数偏离表</w:t>
      </w:r>
    </w:p>
    <w:tbl>
      <w:tblPr>
        <w:tblStyle w:val="62"/>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7"/>
        <w:gridCol w:w="1987"/>
        <w:gridCol w:w="1762"/>
        <w:gridCol w:w="1523"/>
        <w:gridCol w:w="1523"/>
      </w:tblGrid>
      <w:tr w14:paraId="09F22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846" w:type="dxa"/>
            <w:vAlign w:val="center"/>
          </w:tcPr>
          <w:p w14:paraId="5E2058B1">
            <w:pPr>
              <w:widowControl w:val="0"/>
              <w:ind w:left="40" w:hanging="40" w:hangingChars="19"/>
              <w:jc w:val="center"/>
              <w:rPr>
                <w:rFonts w:asciiTheme="minorEastAsia" w:hAnsiTheme="minorEastAsia" w:eastAsiaTheme="minorEastAsia"/>
                <w:b/>
                <w:bCs/>
                <w:kern w:val="2"/>
                <w:sz w:val="21"/>
                <w:szCs w:val="21"/>
              </w:rPr>
            </w:pPr>
            <w:r>
              <w:rPr>
                <w:rFonts w:hint="eastAsia" w:asciiTheme="minorEastAsia" w:hAnsiTheme="minorEastAsia" w:eastAsiaTheme="minorEastAsia"/>
                <w:b/>
                <w:bCs/>
                <w:kern w:val="2"/>
                <w:sz w:val="21"/>
                <w:szCs w:val="21"/>
              </w:rPr>
              <w:t>序号</w:t>
            </w:r>
          </w:p>
        </w:tc>
        <w:tc>
          <w:tcPr>
            <w:tcW w:w="1987" w:type="dxa"/>
            <w:vAlign w:val="center"/>
          </w:tcPr>
          <w:p w14:paraId="19F7736B">
            <w:pPr>
              <w:widowControl w:val="0"/>
              <w:ind w:left="40" w:hanging="40" w:hangingChars="19"/>
              <w:jc w:val="center"/>
              <w:rPr>
                <w:rFonts w:asciiTheme="minorEastAsia" w:hAnsiTheme="minorEastAsia" w:eastAsiaTheme="minorEastAsia"/>
                <w:b/>
                <w:bCs/>
                <w:kern w:val="2"/>
                <w:sz w:val="21"/>
                <w:szCs w:val="21"/>
              </w:rPr>
            </w:pPr>
            <w:r>
              <w:rPr>
                <w:rFonts w:hint="eastAsia" w:asciiTheme="minorEastAsia" w:hAnsiTheme="minorEastAsia" w:eastAsiaTheme="minorEastAsia"/>
                <w:b/>
                <w:bCs/>
                <w:kern w:val="2"/>
                <w:sz w:val="21"/>
                <w:szCs w:val="21"/>
              </w:rPr>
              <w:t>设备/条款名称</w:t>
            </w:r>
          </w:p>
        </w:tc>
        <w:tc>
          <w:tcPr>
            <w:tcW w:w="1987" w:type="dxa"/>
            <w:vAlign w:val="center"/>
          </w:tcPr>
          <w:p w14:paraId="45137FAD">
            <w:pPr>
              <w:widowControl w:val="0"/>
              <w:ind w:left="40" w:hanging="40" w:hangingChars="19"/>
              <w:jc w:val="center"/>
              <w:rPr>
                <w:rFonts w:asciiTheme="minorEastAsia" w:hAnsiTheme="minorEastAsia" w:eastAsiaTheme="minorEastAsia"/>
                <w:b/>
                <w:bCs/>
                <w:kern w:val="2"/>
                <w:sz w:val="21"/>
                <w:szCs w:val="21"/>
              </w:rPr>
            </w:pPr>
            <w:r>
              <w:rPr>
                <w:rFonts w:hint="eastAsia" w:asciiTheme="minorEastAsia" w:hAnsiTheme="minorEastAsia" w:eastAsiaTheme="minorEastAsia"/>
                <w:b/>
                <w:bCs/>
                <w:kern w:val="2"/>
                <w:sz w:val="21"/>
                <w:szCs w:val="21"/>
              </w:rPr>
              <w:t>招标文件的技术要求</w:t>
            </w:r>
          </w:p>
        </w:tc>
        <w:tc>
          <w:tcPr>
            <w:tcW w:w="1762" w:type="dxa"/>
            <w:vAlign w:val="center"/>
          </w:tcPr>
          <w:p w14:paraId="1815E558">
            <w:pPr>
              <w:widowControl w:val="0"/>
              <w:ind w:left="40" w:hanging="40" w:hangingChars="19"/>
              <w:jc w:val="center"/>
              <w:rPr>
                <w:rFonts w:asciiTheme="minorEastAsia" w:hAnsiTheme="minorEastAsia" w:eastAsiaTheme="minorEastAsia"/>
                <w:b/>
                <w:bCs/>
                <w:kern w:val="2"/>
                <w:sz w:val="21"/>
                <w:szCs w:val="21"/>
              </w:rPr>
            </w:pPr>
            <w:r>
              <w:rPr>
                <w:rFonts w:hint="eastAsia" w:asciiTheme="minorEastAsia" w:hAnsiTheme="minorEastAsia" w:eastAsiaTheme="minorEastAsia"/>
                <w:b/>
                <w:bCs/>
                <w:kern w:val="2"/>
                <w:sz w:val="21"/>
                <w:szCs w:val="21"/>
              </w:rPr>
              <w:t>投标文件的技术描述</w:t>
            </w:r>
          </w:p>
        </w:tc>
        <w:tc>
          <w:tcPr>
            <w:tcW w:w="1523" w:type="dxa"/>
            <w:vAlign w:val="center"/>
          </w:tcPr>
          <w:p w14:paraId="1B0C1E1D">
            <w:pPr>
              <w:widowControl w:val="0"/>
              <w:ind w:left="40" w:hanging="40" w:hangingChars="19"/>
              <w:jc w:val="center"/>
              <w:rPr>
                <w:rFonts w:asciiTheme="minorEastAsia" w:hAnsiTheme="minorEastAsia" w:eastAsiaTheme="minorEastAsia"/>
                <w:b/>
                <w:bCs/>
                <w:kern w:val="2"/>
                <w:sz w:val="21"/>
                <w:szCs w:val="21"/>
              </w:rPr>
            </w:pPr>
            <w:r>
              <w:rPr>
                <w:rFonts w:hint="eastAsia" w:asciiTheme="minorEastAsia" w:hAnsiTheme="minorEastAsia" w:eastAsiaTheme="minorEastAsia"/>
                <w:b/>
                <w:bCs/>
                <w:kern w:val="2"/>
                <w:sz w:val="21"/>
                <w:szCs w:val="21"/>
              </w:rPr>
              <w:t>偏离说明</w:t>
            </w:r>
          </w:p>
        </w:tc>
        <w:tc>
          <w:tcPr>
            <w:tcW w:w="1523" w:type="dxa"/>
            <w:vAlign w:val="center"/>
          </w:tcPr>
          <w:p w14:paraId="3AEBFA67">
            <w:pPr>
              <w:widowControl w:val="0"/>
              <w:ind w:left="40" w:hanging="40" w:hangingChars="19"/>
              <w:jc w:val="center"/>
              <w:rPr>
                <w:rFonts w:asciiTheme="minorEastAsia" w:hAnsiTheme="minorEastAsia" w:eastAsiaTheme="minorEastAsia"/>
                <w:b/>
                <w:bCs/>
                <w:kern w:val="2"/>
                <w:sz w:val="21"/>
                <w:szCs w:val="21"/>
              </w:rPr>
            </w:pPr>
            <w:r>
              <w:rPr>
                <w:rFonts w:hint="eastAsia" w:asciiTheme="minorEastAsia" w:hAnsiTheme="minorEastAsia" w:eastAsiaTheme="minorEastAsia"/>
                <w:b/>
                <w:bCs/>
                <w:kern w:val="2"/>
                <w:sz w:val="21"/>
                <w:szCs w:val="21"/>
              </w:rPr>
              <w:t>备注</w:t>
            </w:r>
          </w:p>
        </w:tc>
      </w:tr>
      <w:tr w14:paraId="3950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28CD1BFC">
            <w:pPr>
              <w:widowControl w:val="0"/>
              <w:ind w:left="40" w:hanging="40" w:hangingChars="19"/>
              <w:jc w:val="center"/>
              <w:rPr>
                <w:rFonts w:asciiTheme="minorEastAsia" w:hAnsiTheme="minorEastAsia" w:eastAsiaTheme="minorEastAsia"/>
                <w:b/>
                <w:kern w:val="2"/>
                <w:sz w:val="21"/>
                <w:szCs w:val="21"/>
              </w:rPr>
            </w:pPr>
          </w:p>
        </w:tc>
        <w:tc>
          <w:tcPr>
            <w:tcW w:w="1987" w:type="dxa"/>
            <w:vAlign w:val="center"/>
          </w:tcPr>
          <w:p w14:paraId="5FB7645E">
            <w:pPr>
              <w:widowControl w:val="0"/>
              <w:ind w:left="40" w:hanging="40" w:hangingChars="19"/>
              <w:jc w:val="both"/>
              <w:rPr>
                <w:rFonts w:asciiTheme="minorEastAsia" w:hAnsiTheme="minorEastAsia" w:eastAsiaTheme="minorEastAsia"/>
                <w:b/>
                <w:kern w:val="2"/>
                <w:sz w:val="21"/>
                <w:szCs w:val="21"/>
              </w:rPr>
            </w:pPr>
          </w:p>
        </w:tc>
        <w:tc>
          <w:tcPr>
            <w:tcW w:w="1987" w:type="dxa"/>
            <w:vAlign w:val="center"/>
          </w:tcPr>
          <w:p w14:paraId="1992517A">
            <w:pPr>
              <w:widowControl w:val="0"/>
              <w:ind w:left="40" w:hanging="40" w:hangingChars="19"/>
              <w:jc w:val="both"/>
              <w:rPr>
                <w:rFonts w:asciiTheme="minorEastAsia" w:hAnsiTheme="minorEastAsia" w:eastAsiaTheme="minorEastAsia"/>
                <w:b/>
                <w:kern w:val="2"/>
                <w:sz w:val="21"/>
                <w:szCs w:val="21"/>
              </w:rPr>
            </w:pPr>
          </w:p>
        </w:tc>
        <w:tc>
          <w:tcPr>
            <w:tcW w:w="1762" w:type="dxa"/>
            <w:vAlign w:val="center"/>
          </w:tcPr>
          <w:p w14:paraId="1D4C7B4E">
            <w:pPr>
              <w:widowControl w:val="0"/>
              <w:spacing w:line="360" w:lineRule="auto"/>
              <w:ind w:left="40" w:hanging="40" w:hangingChars="19"/>
              <w:jc w:val="both"/>
              <w:rPr>
                <w:rFonts w:asciiTheme="minorEastAsia" w:hAnsiTheme="minorEastAsia" w:eastAsiaTheme="minorEastAsia"/>
                <w:b/>
                <w:kern w:val="2"/>
                <w:sz w:val="21"/>
                <w:szCs w:val="21"/>
              </w:rPr>
            </w:pPr>
          </w:p>
        </w:tc>
        <w:tc>
          <w:tcPr>
            <w:tcW w:w="1523" w:type="dxa"/>
            <w:vAlign w:val="center"/>
          </w:tcPr>
          <w:p w14:paraId="1A232BD7">
            <w:pPr>
              <w:widowControl w:val="0"/>
              <w:spacing w:line="360" w:lineRule="auto"/>
              <w:ind w:left="40" w:hanging="40" w:hangingChars="19"/>
              <w:jc w:val="both"/>
              <w:rPr>
                <w:rFonts w:asciiTheme="minorEastAsia" w:hAnsiTheme="minorEastAsia" w:eastAsiaTheme="minorEastAsia"/>
                <w:b/>
                <w:kern w:val="2"/>
                <w:sz w:val="21"/>
                <w:szCs w:val="21"/>
              </w:rPr>
            </w:pPr>
          </w:p>
        </w:tc>
        <w:tc>
          <w:tcPr>
            <w:tcW w:w="1523" w:type="dxa"/>
            <w:vAlign w:val="center"/>
          </w:tcPr>
          <w:p w14:paraId="52559C0A">
            <w:pPr>
              <w:widowControl w:val="0"/>
              <w:spacing w:line="360" w:lineRule="auto"/>
              <w:ind w:left="40" w:hanging="40" w:hangingChars="19"/>
              <w:jc w:val="both"/>
              <w:rPr>
                <w:rFonts w:asciiTheme="minorEastAsia" w:hAnsiTheme="minorEastAsia" w:eastAsiaTheme="minorEastAsia"/>
                <w:b/>
                <w:kern w:val="2"/>
                <w:sz w:val="21"/>
                <w:szCs w:val="21"/>
              </w:rPr>
            </w:pPr>
          </w:p>
        </w:tc>
      </w:tr>
      <w:tr w14:paraId="481E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4E8FBD63">
            <w:pPr>
              <w:widowControl w:val="0"/>
              <w:ind w:left="40" w:hanging="40" w:hangingChars="19"/>
              <w:jc w:val="center"/>
              <w:rPr>
                <w:rFonts w:asciiTheme="minorEastAsia" w:hAnsiTheme="minorEastAsia" w:eastAsiaTheme="minorEastAsia"/>
                <w:b/>
                <w:kern w:val="2"/>
                <w:sz w:val="21"/>
                <w:szCs w:val="21"/>
              </w:rPr>
            </w:pPr>
          </w:p>
        </w:tc>
        <w:tc>
          <w:tcPr>
            <w:tcW w:w="1987" w:type="dxa"/>
            <w:vAlign w:val="center"/>
          </w:tcPr>
          <w:p w14:paraId="7B6157C0">
            <w:pPr>
              <w:widowControl w:val="0"/>
              <w:ind w:left="40" w:hanging="39" w:hangingChars="19"/>
              <w:jc w:val="both"/>
              <w:rPr>
                <w:rFonts w:asciiTheme="minorEastAsia" w:hAnsiTheme="minorEastAsia" w:eastAsiaTheme="minorEastAsia"/>
                <w:kern w:val="2"/>
                <w:sz w:val="21"/>
                <w:szCs w:val="21"/>
              </w:rPr>
            </w:pPr>
          </w:p>
        </w:tc>
        <w:tc>
          <w:tcPr>
            <w:tcW w:w="1987" w:type="dxa"/>
            <w:vAlign w:val="center"/>
          </w:tcPr>
          <w:p w14:paraId="60706A51">
            <w:pPr>
              <w:widowControl w:val="0"/>
              <w:ind w:left="40" w:hanging="39" w:hangingChars="19"/>
              <w:jc w:val="both"/>
              <w:rPr>
                <w:rFonts w:asciiTheme="minorEastAsia" w:hAnsiTheme="minorEastAsia" w:eastAsiaTheme="minorEastAsia"/>
                <w:kern w:val="2"/>
                <w:sz w:val="21"/>
                <w:szCs w:val="21"/>
              </w:rPr>
            </w:pPr>
          </w:p>
        </w:tc>
        <w:tc>
          <w:tcPr>
            <w:tcW w:w="1762" w:type="dxa"/>
            <w:vAlign w:val="center"/>
          </w:tcPr>
          <w:p w14:paraId="53AB9225">
            <w:pPr>
              <w:widowControl w:val="0"/>
              <w:spacing w:line="360" w:lineRule="auto"/>
              <w:ind w:left="40" w:hanging="40" w:hangingChars="19"/>
              <w:jc w:val="both"/>
              <w:rPr>
                <w:rFonts w:asciiTheme="minorEastAsia" w:hAnsiTheme="minorEastAsia" w:eastAsiaTheme="minorEastAsia"/>
                <w:b/>
                <w:kern w:val="2"/>
                <w:sz w:val="21"/>
                <w:szCs w:val="21"/>
              </w:rPr>
            </w:pPr>
          </w:p>
        </w:tc>
        <w:tc>
          <w:tcPr>
            <w:tcW w:w="1523" w:type="dxa"/>
            <w:vAlign w:val="center"/>
          </w:tcPr>
          <w:p w14:paraId="781284C8">
            <w:pPr>
              <w:widowControl w:val="0"/>
              <w:spacing w:line="360" w:lineRule="auto"/>
              <w:ind w:left="40" w:hanging="40" w:hangingChars="19"/>
              <w:jc w:val="both"/>
              <w:rPr>
                <w:rFonts w:asciiTheme="minorEastAsia" w:hAnsiTheme="minorEastAsia" w:eastAsiaTheme="minorEastAsia"/>
                <w:b/>
                <w:kern w:val="2"/>
                <w:sz w:val="21"/>
                <w:szCs w:val="21"/>
              </w:rPr>
            </w:pPr>
          </w:p>
        </w:tc>
        <w:tc>
          <w:tcPr>
            <w:tcW w:w="1523" w:type="dxa"/>
            <w:vAlign w:val="center"/>
          </w:tcPr>
          <w:p w14:paraId="797CE9B5">
            <w:pPr>
              <w:widowControl w:val="0"/>
              <w:spacing w:line="360" w:lineRule="auto"/>
              <w:ind w:left="40" w:hanging="40" w:hangingChars="19"/>
              <w:jc w:val="both"/>
              <w:rPr>
                <w:rFonts w:asciiTheme="minorEastAsia" w:hAnsiTheme="minorEastAsia" w:eastAsiaTheme="minorEastAsia"/>
                <w:b/>
                <w:kern w:val="2"/>
                <w:sz w:val="21"/>
                <w:szCs w:val="21"/>
              </w:rPr>
            </w:pPr>
          </w:p>
        </w:tc>
      </w:tr>
      <w:tr w14:paraId="00D8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60627225">
            <w:pPr>
              <w:widowControl w:val="0"/>
              <w:spacing w:line="360" w:lineRule="auto"/>
              <w:ind w:left="40" w:hanging="40" w:hangingChars="19"/>
              <w:jc w:val="center"/>
              <w:rPr>
                <w:rFonts w:asciiTheme="minorEastAsia" w:hAnsiTheme="minorEastAsia" w:eastAsiaTheme="minorEastAsia"/>
                <w:b/>
                <w:kern w:val="2"/>
                <w:sz w:val="21"/>
                <w:szCs w:val="21"/>
              </w:rPr>
            </w:pPr>
          </w:p>
        </w:tc>
        <w:tc>
          <w:tcPr>
            <w:tcW w:w="1987" w:type="dxa"/>
            <w:vAlign w:val="center"/>
          </w:tcPr>
          <w:p w14:paraId="3BC1DD25">
            <w:pPr>
              <w:widowControl w:val="0"/>
              <w:ind w:left="40" w:hanging="40" w:hangingChars="19"/>
              <w:jc w:val="both"/>
              <w:rPr>
                <w:rFonts w:asciiTheme="minorEastAsia" w:hAnsiTheme="minorEastAsia" w:eastAsiaTheme="minorEastAsia"/>
                <w:b/>
                <w:kern w:val="2"/>
                <w:sz w:val="21"/>
                <w:szCs w:val="21"/>
              </w:rPr>
            </w:pPr>
          </w:p>
        </w:tc>
        <w:tc>
          <w:tcPr>
            <w:tcW w:w="1987" w:type="dxa"/>
            <w:vAlign w:val="center"/>
          </w:tcPr>
          <w:p w14:paraId="174D96E8">
            <w:pPr>
              <w:widowControl w:val="0"/>
              <w:ind w:left="40" w:hanging="40" w:hangingChars="19"/>
              <w:jc w:val="both"/>
              <w:rPr>
                <w:rFonts w:asciiTheme="minorEastAsia" w:hAnsiTheme="minorEastAsia" w:eastAsiaTheme="minorEastAsia"/>
                <w:b/>
                <w:kern w:val="2"/>
                <w:sz w:val="21"/>
                <w:szCs w:val="21"/>
              </w:rPr>
            </w:pPr>
          </w:p>
        </w:tc>
        <w:tc>
          <w:tcPr>
            <w:tcW w:w="1762" w:type="dxa"/>
            <w:vAlign w:val="center"/>
          </w:tcPr>
          <w:p w14:paraId="16A2FA2E">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05647D86">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7B3023BD">
            <w:pPr>
              <w:widowControl w:val="0"/>
              <w:spacing w:line="360" w:lineRule="auto"/>
              <w:ind w:left="40" w:hanging="39" w:hangingChars="19"/>
              <w:jc w:val="both"/>
              <w:rPr>
                <w:rFonts w:asciiTheme="minorEastAsia" w:hAnsiTheme="minorEastAsia" w:eastAsiaTheme="minorEastAsia"/>
                <w:kern w:val="2"/>
                <w:sz w:val="21"/>
                <w:szCs w:val="21"/>
              </w:rPr>
            </w:pPr>
          </w:p>
        </w:tc>
      </w:tr>
      <w:tr w14:paraId="71E9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7C91A2EC">
            <w:pPr>
              <w:widowControl w:val="0"/>
              <w:spacing w:line="360" w:lineRule="auto"/>
              <w:ind w:left="40" w:hanging="40" w:hangingChars="19"/>
              <w:jc w:val="center"/>
              <w:rPr>
                <w:rFonts w:asciiTheme="minorEastAsia" w:hAnsiTheme="minorEastAsia" w:eastAsiaTheme="minorEastAsia"/>
                <w:b/>
                <w:kern w:val="2"/>
                <w:sz w:val="21"/>
                <w:szCs w:val="21"/>
              </w:rPr>
            </w:pPr>
          </w:p>
        </w:tc>
        <w:tc>
          <w:tcPr>
            <w:tcW w:w="1987" w:type="dxa"/>
            <w:vAlign w:val="center"/>
          </w:tcPr>
          <w:p w14:paraId="7A243CF4">
            <w:pPr>
              <w:widowControl w:val="0"/>
              <w:ind w:left="40" w:hanging="39" w:hangingChars="19"/>
              <w:jc w:val="both"/>
              <w:rPr>
                <w:rFonts w:asciiTheme="minorEastAsia" w:hAnsiTheme="minorEastAsia" w:eastAsiaTheme="minorEastAsia"/>
                <w:bCs/>
                <w:kern w:val="2"/>
                <w:sz w:val="21"/>
                <w:szCs w:val="21"/>
              </w:rPr>
            </w:pPr>
          </w:p>
        </w:tc>
        <w:tc>
          <w:tcPr>
            <w:tcW w:w="1987" w:type="dxa"/>
            <w:vAlign w:val="center"/>
          </w:tcPr>
          <w:p w14:paraId="5B4366BB">
            <w:pPr>
              <w:widowControl w:val="0"/>
              <w:ind w:left="40" w:hanging="39" w:hangingChars="19"/>
              <w:jc w:val="both"/>
              <w:rPr>
                <w:rFonts w:asciiTheme="minorEastAsia" w:hAnsiTheme="minorEastAsia" w:eastAsiaTheme="minorEastAsia"/>
                <w:bCs/>
                <w:kern w:val="2"/>
                <w:sz w:val="21"/>
                <w:szCs w:val="21"/>
              </w:rPr>
            </w:pPr>
          </w:p>
        </w:tc>
        <w:tc>
          <w:tcPr>
            <w:tcW w:w="1762" w:type="dxa"/>
            <w:vAlign w:val="center"/>
          </w:tcPr>
          <w:p w14:paraId="43C90B25">
            <w:pPr>
              <w:widowControl w:val="0"/>
              <w:jc w:val="both"/>
              <w:rPr>
                <w:rFonts w:asciiTheme="minorEastAsia" w:hAnsiTheme="minorEastAsia" w:eastAsiaTheme="minorEastAsia"/>
                <w:bCs/>
                <w:kern w:val="2"/>
                <w:sz w:val="21"/>
                <w:szCs w:val="21"/>
              </w:rPr>
            </w:pPr>
          </w:p>
        </w:tc>
        <w:tc>
          <w:tcPr>
            <w:tcW w:w="1523" w:type="dxa"/>
            <w:vAlign w:val="center"/>
          </w:tcPr>
          <w:p w14:paraId="12BD63E9">
            <w:pPr>
              <w:widowControl w:val="0"/>
              <w:jc w:val="both"/>
              <w:rPr>
                <w:rFonts w:asciiTheme="minorEastAsia" w:hAnsiTheme="minorEastAsia" w:eastAsiaTheme="minorEastAsia"/>
                <w:bCs/>
                <w:kern w:val="2"/>
                <w:sz w:val="21"/>
                <w:szCs w:val="21"/>
              </w:rPr>
            </w:pPr>
          </w:p>
        </w:tc>
        <w:tc>
          <w:tcPr>
            <w:tcW w:w="1523" w:type="dxa"/>
            <w:vAlign w:val="center"/>
          </w:tcPr>
          <w:p w14:paraId="06AE907B">
            <w:pPr>
              <w:widowControl w:val="0"/>
              <w:jc w:val="both"/>
              <w:rPr>
                <w:rFonts w:asciiTheme="minorEastAsia" w:hAnsiTheme="minorEastAsia" w:eastAsiaTheme="minorEastAsia"/>
                <w:bCs/>
                <w:kern w:val="2"/>
                <w:sz w:val="21"/>
                <w:szCs w:val="21"/>
              </w:rPr>
            </w:pPr>
          </w:p>
        </w:tc>
      </w:tr>
      <w:tr w14:paraId="70EE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2112DFFF">
            <w:pPr>
              <w:widowControl w:val="0"/>
              <w:spacing w:line="360" w:lineRule="auto"/>
              <w:ind w:left="40" w:hanging="40" w:hangingChars="19"/>
              <w:jc w:val="center"/>
              <w:rPr>
                <w:rFonts w:asciiTheme="minorEastAsia" w:hAnsiTheme="minorEastAsia" w:eastAsiaTheme="minorEastAsia"/>
                <w:b/>
                <w:kern w:val="2"/>
                <w:sz w:val="21"/>
                <w:szCs w:val="21"/>
              </w:rPr>
            </w:pPr>
          </w:p>
        </w:tc>
        <w:tc>
          <w:tcPr>
            <w:tcW w:w="1987" w:type="dxa"/>
            <w:vAlign w:val="center"/>
          </w:tcPr>
          <w:p w14:paraId="6C27F0B5">
            <w:pPr>
              <w:widowControl w:val="0"/>
              <w:ind w:left="40" w:hanging="39" w:hangingChars="19"/>
              <w:jc w:val="both"/>
              <w:rPr>
                <w:rFonts w:asciiTheme="minorEastAsia" w:hAnsiTheme="minorEastAsia" w:eastAsiaTheme="minorEastAsia"/>
                <w:kern w:val="2"/>
                <w:sz w:val="21"/>
                <w:szCs w:val="21"/>
              </w:rPr>
            </w:pPr>
          </w:p>
        </w:tc>
        <w:tc>
          <w:tcPr>
            <w:tcW w:w="1987" w:type="dxa"/>
            <w:vAlign w:val="center"/>
          </w:tcPr>
          <w:p w14:paraId="534A3D00">
            <w:pPr>
              <w:widowControl w:val="0"/>
              <w:ind w:left="40" w:hanging="39" w:hangingChars="19"/>
              <w:jc w:val="both"/>
              <w:rPr>
                <w:rFonts w:asciiTheme="minorEastAsia" w:hAnsiTheme="minorEastAsia" w:eastAsiaTheme="minorEastAsia"/>
                <w:kern w:val="2"/>
                <w:sz w:val="21"/>
                <w:szCs w:val="21"/>
              </w:rPr>
            </w:pPr>
          </w:p>
        </w:tc>
        <w:tc>
          <w:tcPr>
            <w:tcW w:w="1762" w:type="dxa"/>
            <w:vAlign w:val="center"/>
          </w:tcPr>
          <w:p w14:paraId="6212FC8B">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0D6F4EA5">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0228C3DF">
            <w:pPr>
              <w:widowControl w:val="0"/>
              <w:spacing w:line="360" w:lineRule="auto"/>
              <w:ind w:left="40" w:hanging="39" w:hangingChars="19"/>
              <w:jc w:val="both"/>
              <w:rPr>
                <w:rFonts w:asciiTheme="minorEastAsia" w:hAnsiTheme="minorEastAsia" w:eastAsiaTheme="minorEastAsia"/>
                <w:kern w:val="2"/>
                <w:sz w:val="21"/>
                <w:szCs w:val="21"/>
              </w:rPr>
            </w:pPr>
          </w:p>
        </w:tc>
      </w:tr>
      <w:tr w14:paraId="78929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1997763C">
            <w:pPr>
              <w:widowControl w:val="0"/>
              <w:spacing w:line="360" w:lineRule="auto"/>
              <w:ind w:left="40" w:hanging="40" w:hangingChars="19"/>
              <w:jc w:val="center"/>
              <w:rPr>
                <w:rFonts w:asciiTheme="minorEastAsia" w:hAnsiTheme="minorEastAsia" w:eastAsiaTheme="minorEastAsia"/>
                <w:b/>
                <w:kern w:val="2"/>
                <w:sz w:val="21"/>
                <w:szCs w:val="21"/>
              </w:rPr>
            </w:pPr>
          </w:p>
        </w:tc>
        <w:tc>
          <w:tcPr>
            <w:tcW w:w="1987" w:type="dxa"/>
            <w:vAlign w:val="center"/>
          </w:tcPr>
          <w:p w14:paraId="629F9CE8">
            <w:pPr>
              <w:widowControl w:val="0"/>
              <w:ind w:left="40" w:hanging="39" w:hangingChars="19"/>
              <w:jc w:val="both"/>
              <w:rPr>
                <w:rFonts w:asciiTheme="minorEastAsia" w:hAnsiTheme="minorEastAsia" w:eastAsiaTheme="minorEastAsia"/>
                <w:kern w:val="2"/>
                <w:sz w:val="21"/>
                <w:szCs w:val="21"/>
              </w:rPr>
            </w:pPr>
          </w:p>
        </w:tc>
        <w:tc>
          <w:tcPr>
            <w:tcW w:w="1987" w:type="dxa"/>
            <w:vAlign w:val="center"/>
          </w:tcPr>
          <w:p w14:paraId="20536A91">
            <w:pPr>
              <w:widowControl w:val="0"/>
              <w:ind w:left="40" w:hanging="39" w:hangingChars="19"/>
              <w:jc w:val="both"/>
              <w:rPr>
                <w:rFonts w:asciiTheme="minorEastAsia" w:hAnsiTheme="minorEastAsia" w:eastAsiaTheme="minorEastAsia"/>
                <w:kern w:val="2"/>
                <w:sz w:val="21"/>
                <w:szCs w:val="21"/>
              </w:rPr>
            </w:pPr>
          </w:p>
        </w:tc>
        <w:tc>
          <w:tcPr>
            <w:tcW w:w="1762" w:type="dxa"/>
            <w:vAlign w:val="center"/>
          </w:tcPr>
          <w:p w14:paraId="3B2C00F0">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222CBCDF">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29568E01">
            <w:pPr>
              <w:widowControl w:val="0"/>
              <w:spacing w:line="360" w:lineRule="auto"/>
              <w:ind w:left="40" w:hanging="39" w:hangingChars="19"/>
              <w:jc w:val="both"/>
              <w:rPr>
                <w:rFonts w:asciiTheme="minorEastAsia" w:hAnsiTheme="minorEastAsia" w:eastAsiaTheme="minorEastAsia"/>
                <w:kern w:val="2"/>
                <w:sz w:val="21"/>
                <w:szCs w:val="21"/>
              </w:rPr>
            </w:pPr>
          </w:p>
        </w:tc>
      </w:tr>
      <w:tr w14:paraId="6419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29EF8232">
            <w:pPr>
              <w:widowControl w:val="0"/>
              <w:spacing w:line="360" w:lineRule="auto"/>
              <w:ind w:left="40" w:hanging="40" w:hangingChars="19"/>
              <w:jc w:val="center"/>
              <w:rPr>
                <w:rFonts w:asciiTheme="minorEastAsia" w:hAnsiTheme="minorEastAsia" w:eastAsiaTheme="minorEastAsia"/>
                <w:b/>
                <w:kern w:val="2"/>
                <w:sz w:val="21"/>
                <w:szCs w:val="21"/>
              </w:rPr>
            </w:pPr>
          </w:p>
        </w:tc>
        <w:tc>
          <w:tcPr>
            <w:tcW w:w="1987" w:type="dxa"/>
            <w:vAlign w:val="center"/>
          </w:tcPr>
          <w:p w14:paraId="6462783A">
            <w:pPr>
              <w:widowControl w:val="0"/>
              <w:ind w:left="40" w:hanging="39" w:hangingChars="19"/>
              <w:jc w:val="both"/>
              <w:rPr>
                <w:rFonts w:asciiTheme="minorEastAsia" w:hAnsiTheme="minorEastAsia" w:eastAsiaTheme="minorEastAsia"/>
                <w:kern w:val="2"/>
                <w:sz w:val="21"/>
                <w:szCs w:val="21"/>
              </w:rPr>
            </w:pPr>
          </w:p>
        </w:tc>
        <w:tc>
          <w:tcPr>
            <w:tcW w:w="1987" w:type="dxa"/>
            <w:vAlign w:val="center"/>
          </w:tcPr>
          <w:p w14:paraId="30AB2E86">
            <w:pPr>
              <w:widowControl w:val="0"/>
              <w:ind w:left="40" w:hanging="39" w:hangingChars="19"/>
              <w:jc w:val="both"/>
              <w:rPr>
                <w:rFonts w:asciiTheme="minorEastAsia" w:hAnsiTheme="minorEastAsia" w:eastAsiaTheme="minorEastAsia"/>
                <w:kern w:val="2"/>
                <w:sz w:val="21"/>
                <w:szCs w:val="21"/>
              </w:rPr>
            </w:pPr>
          </w:p>
        </w:tc>
        <w:tc>
          <w:tcPr>
            <w:tcW w:w="1762" w:type="dxa"/>
            <w:vAlign w:val="center"/>
          </w:tcPr>
          <w:p w14:paraId="3224A246">
            <w:pPr>
              <w:widowControl w:val="0"/>
              <w:ind w:left="40" w:hanging="39" w:hangingChars="19"/>
              <w:jc w:val="both"/>
              <w:rPr>
                <w:rFonts w:asciiTheme="minorEastAsia" w:hAnsiTheme="minorEastAsia" w:eastAsiaTheme="minorEastAsia"/>
                <w:kern w:val="2"/>
                <w:sz w:val="21"/>
                <w:szCs w:val="21"/>
              </w:rPr>
            </w:pPr>
          </w:p>
        </w:tc>
        <w:tc>
          <w:tcPr>
            <w:tcW w:w="1523" w:type="dxa"/>
            <w:vAlign w:val="center"/>
          </w:tcPr>
          <w:p w14:paraId="427217DE">
            <w:pPr>
              <w:widowControl w:val="0"/>
              <w:spacing w:line="360" w:lineRule="auto"/>
              <w:ind w:left="40" w:hanging="39" w:hangingChars="19"/>
              <w:jc w:val="both"/>
              <w:rPr>
                <w:rFonts w:asciiTheme="minorEastAsia" w:hAnsiTheme="minorEastAsia" w:eastAsiaTheme="minorEastAsia"/>
                <w:kern w:val="2"/>
                <w:sz w:val="21"/>
                <w:szCs w:val="21"/>
              </w:rPr>
            </w:pPr>
          </w:p>
        </w:tc>
        <w:tc>
          <w:tcPr>
            <w:tcW w:w="1523" w:type="dxa"/>
            <w:vAlign w:val="center"/>
          </w:tcPr>
          <w:p w14:paraId="2E0A8195">
            <w:pPr>
              <w:widowControl w:val="0"/>
              <w:spacing w:line="360" w:lineRule="auto"/>
              <w:ind w:left="40" w:hanging="39" w:hangingChars="19"/>
              <w:jc w:val="both"/>
              <w:rPr>
                <w:rFonts w:asciiTheme="minorEastAsia" w:hAnsiTheme="minorEastAsia" w:eastAsiaTheme="minorEastAsia"/>
                <w:kern w:val="2"/>
                <w:sz w:val="21"/>
                <w:szCs w:val="21"/>
              </w:rPr>
            </w:pPr>
          </w:p>
        </w:tc>
      </w:tr>
    </w:tbl>
    <w:p w14:paraId="52B6E536">
      <w:pP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备注： </w:t>
      </w:r>
    </w:p>
    <w:p w14:paraId="4D8418F1">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1、“偏离说明”系指“正偏离”、“负偏离”，若完全无偏离，可不填写本表。</w:t>
      </w:r>
    </w:p>
    <w:p w14:paraId="5FBDA499">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2、逐条对应招标文件</w:t>
      </w:r>
      <w:r>
        <w:rPr>
          <w:rFonts w:hint="eastAsia" w:cs="宋体" w:asciiTheme="minorEastAsia" w:hAnsiTheme="minorEastAsia" w:eastAsiaTheme="minorEastAsia"/>
          <w:sz w:val="21"/>
          <w:szCs w:val="21"/>
        </w:rPr>
        <w:t>第五章 “技术标准和要求”</w:t>
      </w:r>
      <w:r>
        <w:rPr>
          <w:rFonts w:hint="eastAsia" w:asciiTheme="minorEastAsia" w:hAnsiTheme="minorEastAsia" w:eastAsiaTheme="minorEastAsia"/>
          <w:sz w:val="21"/>
          <w:szCs w:val="21"/>
        </w:rPr>
        <w:t>内容要求如实、完整、准确的填写偏离表（仅需填写有正偏离或负偏离项，无偏离项可不填写）；“备注”一栏若无特别内容的，可留空。</w:t>
      </w:r>
    </w:p>
    <w:p w14:paraId="096073A0">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3.投标人递交的投标文件与招标文件的要求有不同时，应逐条列在技术偏离表中，否则将认为投标人接受招标文件中的要求。</w:t>
      </w:r>
    </w:p>
    <w:p w14:paraId="54408622">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cs="微软雅黑" w:asciiTheme="minorEastAsia" w:hAnsiTheme="minorEastAsia" w:eastAsiaTheme="minorEastAsia"/>
          <w:kern w:val="2"/>
          <w:sz w:val="21"/>
          <w:szCs w:val="21"/>
        </w:rPr>
        <w:t xml:space="preserve"> 招标文件“第五章 技术标准和要求”中“主要设备技术要求”所要求的条款不允许出现负偏离，不满足其中任何一项的，“</w:t>
      </w:r>
      <w:r>
        <w:rPr>
          <w:rFonts w:hint="eastAsia" w:ascii="宋体" w:hAnsi="宋体"/>
          <w:b/>
          <w:sz w:val="21"/>
          <w:szCs w:val="21"/>
        </w:rPr>
        <w:t>技术</w:t>
      </w:r>
      <w:r>
        <w:rPr>
          <w:rFonts w:ascii="宋体" w:hAnsi="宋体"/>
          <w:b/>
          <w:sz w:val="21"/>
          <w:szCs w:val="21"/>
        </w:rPr>
        <w:t>部分</w:t>
      </w:r>
      <w:r>
        <w:rPr>
          <w:rFonts w:hint="eastAsia" w:ascii="宋体" w:hAnsi="宋体"/>
          <w:b/>
          <w:sz w:val="21"/>
          <w:szCs w:val="21"/>
        </w:rPr>
        <w:t>-</w:t>
      </w:r>
      <w:r>
        <w:rPr>
          <w:rFonts w:hint="eastAsia" w:ascii="宋体" w:hAnsi="宋体"/>
          <w:sz w:val="21"/>
          <w:szCs w:val="21"/>
        </w:rPr>
        <w:t>拟投产品配置</w:t>
      </w:r>
      <w:r>
        <w:rPr>
          <w:rFonts w:hint="eastAsia" w:cs="微软雅黑" w:asciiTheme="minorEastAsia" w:hAnsiTheme="minorEastAsia" w:eastAsiaTheme="minorEastAsia"/>
          <w:kern w:val="2"/>
          <w:sz w:val="21"/>
          <w:szCs w:val="21"/>
        </w:rPr>
        <w:t>”得0分。</w:t>
      </w:r>
    </w:p>
    <w:p w14:paraId="4A66AB5B">
      <w:pPr>
        <w:rPr>
          <w:rFonts w:ascii="宋体" w:hAnsi="宋体"/>
        </w:rPr>
      </w:pPr>
    </w:p>
    <w:p w14:paraId="5FC89634">
      <w:pPr>
        <w:pStyle w:val="5"/>
        <w:spacing w:line="415" w:lineRule="auto"/>
        <w:jc w:val="center"/>
        <w:rPr>
          <w:rFonts w:ascii="宋体" w:hAnsi="宋体" w:eastAsia="宋体"/>
          <w:sz w:val="30"/>
          <w:szCs w:val="30"/>
        </w:rPr>
      </w:pPr>
      <w:bookmarkStart w:id="262" w:name="_Toc14760"/>
      <w:r>
        <w:rPr>
          <w:rFonts w:hint="eastAsia" w:ascii="宋体" w:hAnsi="宋体" w:eastAsia="宋体"/>
          <w:sz w:val="30"/>
          <w:szCs w:val="30"/>
        </w:rPr>
        <w:t>（三）质量和工期的承诺、保证措施、违约责任</w:t>
      </w:r>
      <w:bookmarkEnd w:id="262"/>
    </w:p>
    <w:p w14:paraId="2D37220F">
      <w:pPr>
        <w:ind w:firstLine="420" w:firstLineChars="200"/>
        <w:rPr>
          <w:rFonts w:ascii="宋体" w:hAnsi="宋体"/>
          <w:sz w:val="21"/>
          <w:szCs w:val="21"/>
        </w:rPr>
      </w:pPr>
      <w:r>
        <w:rPr>
          <w:rFonts w:hint="eastAsia" w:ascii="宋体" w:hAnsi="宋体"/>
          <w:sz w:val="21"/>
          <w:szCs w:val="21"/>
        </w:rPr>
        <w:t>包含</w:t>
      </w:r>
      <w:r>
        <w:rPr>
          <w:rFonts w:ascii="宋体" w:hAnsi="宋体"/>
          <w:sz w:val="21"/>
          <w:szCs w:val="21"/>
        </w:rPr>
        <w:t>但不限于</w:t>
      </w:r>
      <w:r>
        <w:rPr>
          <w:rFonts w:hint="eastAsia" w:ascii="宋体" w:hAnsi="宋体"/>
          <w:sz w:val="21"/>
          <w:szCs w:val="21"/>
        </w:rPr>
        <w:t>质量和工期的承诺、保证措施、</w:t>
      </w:r>
      <w:r>
        <w:rPr>
          <w:rFonts w:ascii="宋体" w:hAnsi="宋体"/>
          <w:sz w:val="21"/>
          <w:szCs w:val="21"/>
        </w:rPr>
        <w:t>违约责任</w:t>
      </w:r>
      <w:r>
        <w:rPr>
          <w:rFonts w:hint="eastAsia" w:ascii="宋体" w:hAnsi="宋体"/>
          <w:sz w:val="21"/>
          <w:szCs w:val="21"/>
        </w:rPr>
        <w:t>等内容，自拟格式编写。</w:t>
      </w:r>
    </w:p>
    <w:p w14:paraId="372252C5">
      <w:pPr>
        <w:ind w:firstLine="420" w:firstLineChars="200"/>
        <w:rPr>
          <w:rFonts w:ascii="宋体" w:hAnsi="宋体"/>
          <w:sz w:val="21"/>
          <w:szCs w:val="21"/>
        </w:rPr>
      </w:pPr>
    </w:p>
    <w:p w14:paraId="3ACE27AF">
      <w:pPr>
        <w:rPr>
          <w:rFonts w:ascii="宋体" w:hAnsi="宋体"/>
          <w:bCs/>
          <w:sz w:val="30"/>
          <w:szCs w:val="30"/>
        </w:rPr>
      </w:pPr>
      <w:bookmarkStart w:id="263" w:name="_Toc448796526"/>
      <w:bookmarkStart w:id="264" w:name="_Toc507430350"/>
      <w:r>
        <w:rPr>
          <w:rFonts w:ascii="宋体" w:hAnsi="宋体"/>
          <w:b/>
          <w:sz w:val="30"/>
          <w:szCs w:val="30"/>
        </w:rPr>
        <w:br w:type="page"/>
      </w:r>
    </w:p>
    <w:p w14:paraId="11D52F6E">
      <w:pPr>
        <w:pStyle w:val="5"/>
        <w:spacing w:line="415" w:lineRule="auto"/>
        <w:jc w:val="center"/>
        <w:rPr>
          <w:rFonts w:ascii="宋体" w:hAnsi="宋体" w:eastAsia="宋体"/>
          <w:sz w:val="30"/>
          <w:szCs w:val="30"/>
        </w:rPr>
      </w:pPr>
      <w:bookmarkStart w:id="265" w:name="_Toc16661"/>
      <w:r>
        <w:rPr>
          <w:rFonts w:hint="eastAsia" w:ascii="宋体" w:hAnsi="宋体" w:eastAsia="宋体"/>
          <w:sz w:val="30"/>
          <w:szCs w:val="30"/>
        </w:rPr>
        <w:t>（四）项目人员配置</w:t>
      </w:r>
      <w:bookmarkEnd w:id="265"/>
    </w:p>
    <w:tbl>
      <w:tblPr>
        <w:tblStyle w:val="62"/>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34"/>
        <w:gridCol w:w="709"/>
        <w:gridCol w:w="725"/>
        <w:gridCol w:w="1247"/>
        <w:gridCol w:w="850"/>
        <w:gridCol w:w="709"/>
        <w:gridCol w:w="1276"/>
        <w:gridCol w:w="1474"/>
        <w:gridCol w:w="907"/>
      </w:tblGrid>
      <w:tr w14:paraId="27A2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3A89540C">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1134" w:type="dxa"/>
            <w:vAlign w:val="center"/>
          </w:tcPr>
          <w:p w14:paraId="416A15F8">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姓名</w:t>
            </w:r>
          </w:p>
        </w:tc>
        <w:tc>
          <w:tcPr>
            <w:tcW w:w="709" w:type="dxa"/>
            <w:vAlign w:val="center"/>
          </w:tcPr>
          <w:p w14:paraId="1DD99B1F">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性别</w:t>
            </w:r>
          </w:p>
        </w:tc>
        <w:tc>
          <w:tcPr>
            <w:tcW w:w="725" w:type="dxa"/>
            <w:vAlign w:val="center"/>
          </w:tcPr>
          <w:p w14:paraId="4020A770">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年龄</w:t>
            </w:r>
          </w:p>
        </w:tc>
        <w:tc>
          <w:tcPr>
            <w:tcW w:w="1247" w:type="dxa"/>
            <w:vAlign w:val="center"/>
          </w:tcPr>
          <w:p w14:paraId="3FC44FDA">
            <w:pPr>
              <w:jc w:val="center"/>
              <w:rPr>
                <w:rFonts w:asciiTheme="minorEastAsia" w:hAnsiTheme="minorEastAsia" w:eastAsiaTheme="minorEastAsia"/>
                <w:b/>
                <w:sz w:val="21"/>
                <w:szCs w:val="21"/>
              </w:rPr>
            </w:pPr>
            <w:r>
              <w:rPr>
                <w:rFonts w:asciiTheme="minorEastAsia" w:hAnsiTheme="minorEastAsia" w:eastAsiaTheme="minorEastAsia"/>
                <w:b/>
                <w:sz w:val="21"/>
                <w:szCs w:val="21"/>
              </w:rPr>
              <w:t>从事</w:t>
            </w:r>
            <w:r>
              <w:rPr>
                <w:rFonts w:hint="eastAsia" w:asciiTheme="minorEastAsia" w:hAnsiTheme="minorEastAsia" w:eastAsiaTheme="minorEastAsia"/>
                <w:b/>
                <w:sz w:val="21"/>
                <w:szCs w:val="21"/>
              </w:rPr>
              <w:t>相关工作</w:t>
            </w:r>
            <w:r>
              <w:rPr>
                <w:rFonts w:asciiTheme="minorEastAsia" w:hAnsiTheme="minorEastAsia" w:eastAsiaTheme="minorEastAsia"/>
                <w:b/>
                <w:sz w:val="21"/>
                <w:szCs w:val="21"/>
              </w:rPr>
              <w:t>年限</w:t>
            </w:r>
          </w:p>
        </w:tc>
        <w:tc>
          <w:tcPr>
            <w:tcW w:w="850" w:type="dxa"/>
            <w:vAlign w:val="center"/>
          </w:tcPr>
          <w:p w14:paraId="693821B4">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学历</w:t>
            </w:r>
          </w:p>
        </w:tc>
        <w:tc>
          <w:tcPr>
            <w:tcW w:w="709" w:type="dxa"/>
            <w:vAlign w:val="center"/>
          </w:tcPr>
          <w:p w14:paraId="2971E97B">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专业</w:t>
            </w:r>
          </w:p>
        </w:tc>
        <w:tc>
          <w:tcPr>
            <w:tcW w:w="1276" w:type="dxa"/>
            <w:vAlign w:val="center"/>
          </w:tcPr>
          <w:p w14:paraId="1216ED87">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技术职称或执业资格</w:t>
            </w:r>
          </w:p>
        </w:tc>
        <w:tc>
          <w:tcPr>
            <w:tcW w:w="1474" w:type="dxa"/>
            <w:vAlign w:val="center"/>
          </w:tcPr>
          <w:p w14:paraId="14A2FF5B">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在本项目拟任职务</w:t>
            </w:r>
          </w:p>
        </w:tc>
        <w:tc>
          <w:tcPr>
            <w:tcW w:w="907" w:type="dxa"/>
            <w:vAlign w:val="center"/>
          </w:tcPr>
          <w:p w14:paraId="4C2AF916">
            <w:pPr>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备注</w:t>
            </w:r>
          </w:p>
        </w:tc>
      </w:tr>
      <w:tr w14:paraId="7B03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225D2319">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134" w:type="dxa"/>
            <w:vAlign w:val="center"/>
          </w:tcPr>
          <w:p w14:paraId="6A18420F">
            <w:pPr>
              <w:jc w:val="center"/>
              <w:rPr>
                <w:rFonts w:asciiTheme="minorEastAsia" w:hAnsiTheme="minorEastAsia" w:eastAsiaTheme="minorEastAsia"/>
                <w:sz w:val="21"/>
                <w:szCs w:val="21"/>
              </w:rPr>
            </w:pPr>
          </w:p>
        </w:tc>
        <w:tc>
          <w:tcPr>
            <w:tcW w:w="709" w:type="dxa"/>
            <w:vAlign w:val="center"/>
          </w:tcPr>
          <w:p w14:paraId="3FAB1A55">
            <w:pPr>
              <w:jc w:val="center"/>
              <w:rPr>
                <w:rFonts w:asciiTheme="minorEastAsia" w:hAnsiTheme="minorEastAsia" w:eastAsiaTheme="minorEastAsia"/>
                <w:sz w:val="21"/>
                <w:szCs w:val="21"/>
              </w:rPr>
            </w:pPr>
          </w:p>
        </w:tc>
        <w:tc>
          <w:tcPr>
            <w:tcW w:w="725" w:type="dxa"/>
            <w:vAlign w:val="center"/>
          </w:tcPr>
          <w:p w14:paraId="221E0366">
            <w:pPr>
              <w:jc w:val="center"/>
              <w:rPr>
                <w:rFonts w:asciiTheme="minorEastAsia" w:hAnsiTheme="minorEastAsia" w:eastAsiaTheme="minorEastAsia"/>
                <w:sz w:val="21"/>
                <w:szCs w:val="21"/>
              </w:rPr>
            </w:pPr>
          </w:p>
        </w:tc>
        <w:tc>
          <w:tcPr>
            <w:tcW w:w="1247" w:type="dxa"/>
            <w:vAlign w:val="center"/>
          </w:tcPr>
          <w:p w14:paraId="747535B2">
            <w:pPr>
              <w:jc w:val="center"/>
              <w:rPr>
                <w:rFonts w:asciiTheme="minorEastAsia" w:hAnsiTheme="minorEastAsia" w:eastAsiaTheme="minorEastAsia"/>
                <w:sz w:val="21"/>
                <w:szCs w:val="21"/>
              </w:rPr>
            </w:pPr>
          </w:p>
        </w:tc>
        <w:tc>
          <w:tcPr>
            <w:tcW w:w="850" w:type="dxa"/>
            <w:vAlign w:val="center"/>
          </w:tcPr>
          <w:p w14:paraId="4F99DF1B">
            <w:pPr>
              <w:jc w:val="center"/>
              <w:rPr>
                <w:rFonts w:asciiTheme="minorEastAsia" w:hAnsiTheme="minorEastAsia" w:eastAsiaTheme="minorEastAsia"/>
                <w:sz w:val="21"/>
                <w:szCs w:val="21"/>
              </w:rPr>
            </w:pPr>
          </w:p>
        </w:tc>
        <w:tc>
          <w:tcPr>
            <w:tcW w:w="709" w:type="dxa"/>
            <w:vAlign w:val="center"/>
          </w:tcPr>
          <w:p w14:paraId="5D10E8F2">
            <w:pPr>
              <w:jc w:val="center"/>
              <w:rPr>
                <w:rFonts w:asciiTheme="minorEastAsia" w:hAnsiTheme="minorEastAsia" w:eastAsiaTheme="minorEastAsia"/>
                <w:sz w:val="21"/>
                <w:szCs w:val="21"/>
              </w:rPr>
            </w:pPr>
          </w:p>
        </w:tc>
        <w:tc>
          <w:tcPr>
            <w:tcW w:w="1276" w:type="dxa"/>
            <w:vAlign w:val="center"/>
          </w:tcPr>
          <w:p w14:paraId="6CC57975">
            <w:pPr>
              <w:jc w:val="center"/>
              <w:rPr>
                <w:rFonts w:asciiTheme="minorEastAsia" w:hAnsiTheme="minorEastAsia" w:eastAsiaTheme="minorEastAsia"/>
                <w:sz w:val="21"/>
                <w:szCs w:val="21"/>
              </w:rPr>
            </w:pPr>
          </w:p>
        </w:tc>
        <w:tc>
          <w:tcPr>
            <w:tcW w:w="1474" w:type="dxa"/>
            <w:vAlign w:val="center"/>
          </w:tcPr>
          <w:p w14:paraId="6ED16CC5">
            <w:pPr>
              <w:jc w:val="center"/>
              <w:rPr>
                <w:rFonts w:asciiTheme="minorEastAsia" w:hAnsiTheme="minorEastAsia" w:eastAsiaTheme="minorEastAsia"/>
                <w:sz w:val="21"/>
                <w:szCs w:val="21"/>
              </w:rPr>
            </w:pPr>
          </w:p>
        </w:tc>
        <w:tc>
          <w:tcPr>
            <w:tcW w:w="907" w:type="dxa"/>
          </w:tcPr>
          <w:p w14:paraId="7346B7BA">
            <w:pPr>
              <w:jc w:val="center"/>
              <w:rPr>
                <w:rFonts w:asciiTheme="minorEastAsia" w:hAnsiTheme="minorEastAsia" w:eastAsiaTheme="minorEastAsia"/>
                <w:sz w:val="21"/>
                <w:szCs w:val="21"/>
              </w:rPr>
            </w:pPr>
          </w:p>
        </w:tc>
      </w:tr>
      <w:tr w14:paraId="5851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47939425">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134" w:type="dxa"/>
            <w:vAlign w:val="center"/>
          </w:tcPr>
          <w:p w14:paraId="03A73B1E">
            <w:pPr>
              <w:jc w:val="center"/>
              <w:rPr>
                <w:rFonts w:asciiTheme="minorEastAsia" w:hAnsiTheme="minorEastAsia" w:eastAsiaTheme="minorEastAsia"/>
                <w:sz w:val="21"/>
                <w:szCs w:val="21"/>
              </w:rPr>
            </w:pPr>
          </w:p>
        </w:tc>
        <w:tc>
          <w:tcPr>
            <w:tcW w:w="709" w:type="dxa"/>
            <w:vAlign w:val="center"/>
          </w:tcPr>
          <w:p w14:paraId="4193A20C">
            <w:pPr>
              <w:jc w:val="center"/>
              <w:rPr>
                <w:rFonts w:asciiTheme="minorEastAsia" w:hAnsiTheme="minorEastAsia" w:eastAsiaTheme="minorEastAsia"/>
                <w:sz w:val="21"/>
                <w:szCs w:val="21"/>
              </w:rPr>
            </w:pPr>
          </w:p>
        </w:tc>
        <w:tc>
          <w:tcPr>
            <w:tcW w:w="725" w:type="dxa"/>
            <w:vAlign w:val="center"/>
          </w:tcPr>
          <w:p w14:paraId="57BC9062">
            <w:pPr>
              <w:jc w:val="center"/>
              <w:rPr>
                <w:rFonts w:asciiTheme="minorEastAsia" w:hAnsiTheme="minorEastAsia" w:eastAsiaTheme="minorEastAsia"/>
                <w:sz w:val="21"/>
                <w:szCs w:val="21"/>
              </w:rPr>
            </w:pPr>
          </w:p>
        </w:tc>
        <w:tc>
          <w:tcPr>
            <w:tcW w:w="1247" w:type="dxa"/>
            <w:vAlign w:val="center"/>
          </w:tcPr>
          <w:p w14:paraId="77FBDA43">
            <w:pPr>
              <w:jc w:val="center"/>
              <w:rPr>
                <w:rFonts w:asciiTheme="minorEastAsia" w:hAnsiTheme="minorEastAsia" w:eastAsiaTheme="minorEastAsia"/>
                <w:sz w:val="21"/>
                <w:szCs w:val="21"/>
              </w:rPr>
            </w:pPr>
          </w:p>
        </w:tc>
        <w:tc>
          <w:tcPr>
            <w:tcW w:w="850" w:type="dxa"/>
            <w:vAlign w:val="center"/>
          </w:tcPr>
          <w:p w14:paraId="13F1344E">
            <w:pPr>
              <w:jc w:val="center"/>
              <w:rPr>
                <w:rFonts w:asciiTheme="minorEastAsia" w:hAnsiTheme="minorEastAsia" w:eastAsiaTheme="minorEastAsia"/>
                <w:sz w:val="21"/>
                <w:szCs w:val="21"/>
              </w:rPr>
            </w:pPr>
          </w:p>
        </w:tc>
        <w:tc>
          <w:tcPr>
            <w:tcW w:w="709" w:type="dxa"/>
            <w:vAlign w:val="center"/>
          </w:tcPr>
          <w:p w14:paraId="27704078">
            <w:pPr>
              <w:jc w:val="center"/>
              <w:rPr>
                <w:rFonts w:asciiTheme="minorEastAsia" w:hAnsiTheme="minorEastAsia" w:eastAsiaTheme="minorEastAsia"/>
                <w:sz w:val="21"/>
                <w:szCs w:val="21"/>
              </w:rPr>
            </w:pPr>
          </w:p>
        </w:tc>
        <w:tc>
          <w:tcPr>
            <w:tcW w:w="1276" w:type="dxa"/>
            <w:vAlign w:val="center"/>
          </w:tcPr>
          <w:p w14:paraId="186614E9">
            <w:pPr>
              <w:jc w:val="center"/>
              <w:rPr>
                <w:rFonts w:asciiTheme="minorEastAsia" w:hAnsiTheme="minorEastAsia" w:eastAsiaTheme="minorEastAsia"/>
                <w:sz w:val="21"/>
                <w:szCs w:val="21"/>
              </w:rPr>
            </w:pPr>
          </w:p>
        </w:tc>
        <w:tc>
          <w:tcPr>
            <w:tcW w:w="1474" w:type="dxa"/>
            <w:vAlign w:val="center"/>
          </w:tcPr>
          <w:p w14:paraId="1F3CF5E7">
            <w:pPr>
              <w:jc w:val="center"/>
              <w:rPr>
                <w:rFonts w:asciiTheme="minorEastAsia" w:hAnsiTheme="minorEastAsia" w:eastAsiaTheme="minorEastAsia"/>
                <w:sz w:val="21"/>
                <w:szCs w:val="21"/>
              </w:rPr>
            </w:pPr>
          </w:p>
        </w:tc>
        <w:tc>
          <w:tcPr>
            <w:tcW w:w="907" w:type="dxa"/>
          </w:tcPr>
          <w:p w14:paraId="00B26ECC">
            <w:pPr>
              <w:jc w:val="center"/>
              <w:rPr>
                <w:rFonts w:asciiTheme="minorEastAsia" w:hAnsiTheme="minorEastAsia" w:eastAsiaTheme="minorEastAsia"/>
                <w:sz w:val="21"/>
                <w:szCs w:val="21"/>
              </w:rPr>
            </w:pPr>
          </w:p>
        </w:tc>
      </w:tr>
      <w:tr w14:paraId="6B22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3D4593BD">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134" w:type="dxa"/>
            <w:vAlign w:val="center"/>
          </w:tcPr>
          <w:p w14:paraId="314187E3">
            <w:pPr>
              <w:jc w:val="center"/>
              <w:rPr>
                <w:rFonts w:asciiTheme="minorEastAsia" w:hAnsiTheme="minorEastAsia" w:eastAsiaTheme="minorEastAsia"/>
                <w:sz w:val="21"/>
                <w:szCs w:val="21"/>
              </w:rPr>
            </w:pPr>
          </w:p>
        </w:tc>
        <w:tc>
          <w:tcPr>
            <w:tcW w:w="709" w:type="dxa"/>
            <w:vAlign w:val="center"/>
          </w:tcPr>
          <w:p w14:paraId="3A06DB38">
            <w:pPr>
              <w:jc w:val="center"/>
              <w:rPr>
                <w:rFonts w:asciiTheme="minorEastAsia" w:hAnsiTheme="minorEastAsia" w:eastAsiaTheme="minorEastAsia"/>
                <w:sz w:val="21"/>
                <w:szCs w:val="21"/>
              </w:rPr>
            </w:pPr>
          </w:p>
        </w:tc>
        <w:tc>
          <w:tcPr>
            <w:tcW w:w="725" w:type="dxa"/>
            <w:vAlign w:val="center"/>
          </w:tcPr>
          <w:p w14:paraId="3414BF52">
            <w:pPr>
              <w:jc w:val="center"/>
              <w:rPr>
                <w:rFonts w:asciiTheme="minorEastAsia" w:hAnsiTheme="minorEastAsia" w:eastAsiaTheme="minorEastAsia"/>
                <w:sz w:val="21"/>
                <w:szCs w:val="21"/>
              </w:rPr>
            </w:pPr>
          </w:p>
        </w:tc>
        <w:tc>
          <w:tcPr>
            <w:tcW w:w="1247" w:type="dxa"/>
            <w:vAlign w:val="center"/>
          </w:tcPr>
          <w:p w14:paraId="1AFC8DAD">
            <w:pPr>
              <w:jc w:val="center"/>
              <w:rPr>
                <w:rFonts w:asciiTheme="minorEastAsia" w:hAnsiTheme="minorEastAsia" w:eastAsiaTheme="minorEastAsia"/>
                <w:sz w:val="21"/>
                <w:szCs w:val="21"/>
              </w:rPr>
            </w:pPr>
          </w:p>
        </w:tc>
        <w:tc>
          <w:tcPr>
            <w:tcW w:w="850" w:type="dxa"/>
            <w:vAlign w:val="center"/>
          </w:tcPr>
          <w:p w14:paraId="65D3D400">
            <w:pPr>
              <w:jc w:val="center"/>
              <w:rPr>
                <w:rFonts w:asciiTheme="minorEastAsia" w:hAnsiTheme="minorEastAsia" w:eastAsiaTheme="minorEastAsia"/>
                <w:sz w:val="21"/>
                <w:szCs w:val="21"/>
              </w:rPr>
            </w:pPr>
          </w:p>
        </w:tc>
        <w:tc>
          <w:tcPr>
            <w:tcW w:w="709" w:type="dxa"/>
            <w:vAlign w:val="center"/>
          </w:tcPr>
          <w:p w14:paraId="0A790003">
            <w:pPr>
              <w:jc w:val="center"/>
              <w:rPr>
                <w:rFonts w:asciiTheme="minorEastAsia" w:hAnsiTheme="minorEastAsia" w:eastAsiaTheme="minorEastAsia"/>
                <w:sz w:val="21"/>
                <w:szCs w:val="21"/>
              </w:rPr>
            </w:pPr>
          </w:p>
        </w:tc>
        <w:tc>
          <w:tcPr>
            <w:tcW w:w="1276" w:type="dxa"/>
            <w:vAlign w:val="center"/>
          </w:tcPr>
          <w:p w14:paraId="5F0217CE">
            <w:pPr>
              <w:jc w:val="center"/>
              <w:rPr>
                <w:rFonts w:asciiTheme="minorEastAsia" w:hAnsiTheme="minorEastAsia" w:eastAsiaTheme="minorEastAsia"/>
                <w:sz w:val="21"/>
                <w:szCs w:val="21"/>
              </w:rPr>
            </w:pPr>
          </w:p>
        </w:tc>
        <w:tc>
          <w:tcPr>
            <w:tcW w:w="1474" w:type="dxa"/>
            <w:vAlign w:val="center"/>
          </w:tcPr>
          <w:p w14:paraId="6E5813D3">
            <w:pPr>
              <w:jc w:val="center"/>
              <w:rPr>
                <w:rFonts w:asciiTheme="minorEastAsia" w:hAnsiTheme="minorEastAsia" w:eastAsiaTheme="minorEastAsia"/>
                <w:sz w:val="21"/>
                <w:szCs w:val="21"/>
              </w:rPr>
            </w:pPr>
          </w:p>
        </w:tc>
        <w:tc>
          <w:tcPr>
            <w:tcW w:w="907" w:type="dxa"/>
          </w:tcPr>
          <w:p w14:paraId="43FD6543">
            <w:pPr>
              <w:jc w:val="center"/>
              <w:rPr>
                <w:rFonts w:asciiTheme="minorEastAsia" w:hAnsiTheme="minorEastAsia" w:eastAsiaTheme="minorEastAsia"/>
                <w:sz w:val="21"/>
                <w:szCs w:val="21"/>
              </w:rPr>
            </w:pPr>
          </w:p>
        </w:tc>
      </w:tr>
      <w:tr w14:paraId="2487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27746663">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134" w:type="dxa"/>
            <w:vAlign w:val="center"/>
          </w:tcPr>
          <w:p w14:paraId="3788A8D3">
            <w:pPr>
              <w:jc w:val="center"/>
              <w:rPr>
                <w:rFonts w:asciiTheme="minorEastAsia" w:hAnsiTheme="minorEastAsia" w:eastAsiaTheme="minorEastAsia"/>
                <w:sz w:val="21"/>
                <w:szCs w:val="21"/>
              </w:rPr>
            </w:pPr>
          </w:p>
        </w:tc>
        <w:tc>
          <w:tcPr>
            <w:tcW w:w="709" w:type="dxa"/>
            <w:vAlign w:val="center"/>
          </w:tcPr>
          <w:p w14:paraId="10C17DB9">
            <w:pPr>
              <w:jc w:val="center"/>
              <w:rPr>
                <w:rFonts w:asciiTheme="minorEastAsia" w:hAnsiTheme="minorEastAsia" w:eastAsiaTheme="minorEastAsia"/>
                <w:sz w:val="21"/>
                <w:szCs w:val="21"/>
              </w:rPr>
            </w:pPr>
          </w:p>
        </w:tc>
        <w:tc>
          <w:tcPr>
            <w:tcW w:w="725" w:type="dxa"/>
            <w:vAlign w:val="center"/>
          </w:tcPr>
          <w:p w14:paraId="6A00D83A">
            <w:pPr>
              <w:jc w:val="center"/>
              <w:rPr>
                <w:rFonts w:asciiTheme="minorEastAsia" w:hAnsiTheme="minorEastAsia" w:eastAsiaTheme="minorEastAsia"/>
                <w:sz w:val="21"/>
                <w:szCs w:val="21"/>
              </w:rPr>
            </w:pPr>
          </w:p>
        </w:tc>
        <w:tc>
          <w:tcPr>
            <w:tcW w:w="1247" w:type="dxa"/>
            <w:vAlign w:val="center"/>
          </w:tcPr>
          <w:p w14:paraId="3D7427D9">
            <w:pPr>
              <w:jc w:val="center"/>
              <w:rPr>
                <w:rFonts w:asciiTheme="minorEastAsia" w:hAnsiTheme="minorEastAsia" w:eastAsiaTheme="minorEastAsia"/>
                <w:sz w:val="21"/>
                <w:szCs w:val="21"/>
              </w:rPr>
            </w:pPr>
          </w:p>
        </w:tc>
        <w:tc>
          <w:tcPr>
            <w:tcW w:w="850" w:type="dxa"/>
            <w:vAlign w:val="center"/>
          </w:tcPr>
          <w:p w14:paraId="2C29968F">
            <w:pPr>
              <w:jc w:val="center"/>
              <w:rPr>
                <w:rFonts w:asciiTheme="minorEastAsia" w:hAnsiTheme="minorEastAsia" w:eastAsiaTheme="minorEastAsia"/>
                <w:sz w:val="21"/>
                <w:szCs w:val="21"/>
              </w:rPr>
            </w:pPr>
          </w:p>
        </w:tc>
        <w:tc>
          <w:tcPr>
            <w:tcW w:w="709" w:type="dxa"/>
            <w:vAlign w:val="center"/>
          </w:tcPr>
          <w:p w14:paraId="5281C6E9">
            <w:pPr>
              <w:jc w:val="center"/>
              <w:rPr>
                <w:rFonts w:asciiTheme="minorEastAsia" w:hAnsiTheme="minorEastAsia" w:eastAsiaTheme="minorEastAsia"/>
                <w:sz w:val="21"/>
                <w:szCs w:val="21"/>
              </w:rPr>
            </w:pPr>
          </w:p>
        </w:tc>
        <w:tc>
          <w:tcPr>
            <w:tcW w:w="1276" w:type="dxa"/>
            <w:vAlign w:val="center"/>
          </w:tcPr>
          <w:p w14:paraId="57B8C61D">
            <w:pPr>
              <w:jc w:val="center"/>
              <w:rPr>
                <w:rFonts w:asciiTheme="minorEastAsia" w:hAnsiTheme="minorEastAsia" w:eastAsiaTheme="minorEastAsia"/>
                <w:sz w:val="21"/>
                <w:szCs w:val="21"/>
              </w:rPr>
            </w:pPr>
          </w:p>
        </w:tc>
        <w:tc>
          <w:tcPr>
            <w:tcW w:w="1474" w:type="dxa"/>
            <w:vAlign w:val="center"/>
          </w:tcPr>
          <w:p w14:paraId="66952ED5">
            <w:pPr>
              <w:jc w:val="center"/>
              <w:rPr>
                <w:rFonts w:asciiTheme="minorEastAsia" w:hAnsiTheme="minorEastAsia" w:eastAsiaTheme="minorEastAsia"/>
                <w:sz w:val="21"/>
                <w:szCs w:val="21"/>
              </w:rPr>
            </w:pPr>
          </w:p>
        </w:tc>
        <w:tc>
          <w:tcPr>
            <w:tcW w:w="907" w:type="dxa"/>
          </w:tcPr>
          <w:p w14:paraId="04329B97">
            <w:pPr>
              <w:jc w:val="center"/>
              <w:rPr>
                <w:rFonts w:asciiTheme="minorEastAsia" w:hAnsiTheme="minorEastAsia" w:eastAsiaTheme="minorEastAsia"/>
                <w:sz w:val="21"/>
                <w:szCs w:val="21"/>
              </w:rPr>
            </w:pPr>
          </w:p>
        </w:tc>
      </w:tr>
      <w:tr w14:paraId="2181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040A549D">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134" w:type="dxa"/>
            <w:vAlign w:val="center"/>
          </w:tcPr>
          <w:p w14:paraId="1B5CBB4B">
            <w:pPr>
              <w:jc w:val="center"/>
              <w:rPr>
                <w:rFonts w:asciiTheme="minorEastAsia" w:hAnsiTheme="minorEastAsia" w:eastAsiaTheme="minorEastAsia"/>
                <w:sz w:val="21"/>
                <w:szCs w:val="21"/>
              </w:rPr>
            </w:pPr>
          </w:p>
        </w:tc>
        <w:tc>
          <w:tcPr>
            <w:tcW w:w="709" w:type="dxa"/>
            <w:vAlign w:val="center"/>
          </w:tcPr>
          <w:p w14:paraId="4F89DED2">
            <w:pPr>
              <w:jc w:val="center"/>
              <w:rPr>
                <w:rFonts w:asciiTheme="minorEastAsia" w:hAnsiTheme="minorEastAsia" w:eastAsiaTheme="minorEastAsia"/>
                <w:sz w:val="21"/>
                <w:szCs w:val="21"/>
              </w:rPr>
            </w:pPr>
          </w:p>
        </w:tc>
        <w:tc>
          <w:tcPr>
            <w:tcW w:w="725" w:type="dxa"/>
            <w:vAlign w:val="center"/>
          </w:tcPr>
          <w:p w14:paraId="77360F6E">
            <w:pPr>
              <w:jc w:val="center"/>
              <w:rPr>
                <w:rFonts w:asciiTheme="minorEastAsia" w:hAnsiTheme="minorEastAsia" w:eastAsiaTheme="minorEastAsia"/>
                <w:sz w:val="21"/>
                <w:szCs w:val="21"/>
              </w:rPr>
            </w:pPr>
          </w:p>
        </w:tc>
        <w:tc>
          <w:tcPr>
            <w:tcW w:w="1247" w:type="dxa"/>
            <w:vAlign w:val="center"/>
          </w:tcPr>
          <w:p w14:paraId="6FFAD370">
            <w:pPr>
              <w:jc w:val="center"/>
              <w:rPr>
                <w:rFonts w:asciiTheme="minorEastAsia" w:hAnsiTheme="minorEastAsia" w:eastAsiaTheme="minorEastAsia"/>
                <w:sz w:val="21"/>
                <w:szCs w:val="21"/>
              </w:rPr>
            </w:pPr>
          </w:p>
        </w:tc>
        <w:tc>
          <w:tcPr>
            <w:tcW w:w="850" w:type="dxa"/>
            <w:vAlign w:val="center"/>
          </w:tcPr>
          <w:p w14:paraId="048E5FDC">
            <w:pPr>
              <w:jc w:val="center"/>
              <w:rPr>
                <w:rFonts w:asciiTheme="minorEastAsia" w:hAnsiTheme="minorEastAsia" w:eastAsiaTheme="minorEastAsia"/>
                <w:sz w:val="21"/>
                <w:szCs w:val="21"/>
              </w:rPr>
            </w:pPr>
          </w:p>
        </w:tc>
        <w:tc>
          <w:tcPr>
            <w:tcW w:w="709" w:type="dxa"/>
            <w:vAlign w:val="center"/>
          </w:tcPr>
          <w:p w14:paraId="65002B40">
            <w:pPr>
              <w:jc w:val="center"/>
              <w:rPr>
                <w:rFonts w:asciiTheme="minorEastAsia" w:hAnsiTheme="minorEastAsia" w:eastAsiaTheme="minorEastAsia"/>
                <w:sz w:val="21"/>
                <w:szCs w:val="21"/>
              </w:rPr>
            </w:pPr>
          </w:p>
        </w:tc>
        <w:tc>
          <w:tcPr>
            <w:tcW w:w="1276" w:type="dxa"/>
            <w:vAlign w:val="center"/>
          </w:tcPr>
          <w:p w14:paraId="52881628">
            <w:pPr>
              <w:jc w:val="center"/>
              <w:rPr>
                <w:rFonts w:asciiTheme="minorEastAsia" w:hAnsiTheme="minorEastAsia" w:eastAsiaTheme="minorEastAsia"/>
                <w:sz w:val="21"/>
                <w:szCs w:val="21"/>
              </w:rPr>
            </w:pPr>
          </w:p>
        </w:tc>
        <w:tc>
          <w:tcPr>
            <w:tcW w:w="1474" w:type="dxa"/>
            <w:vAlign w:val="center"/>
          </w:tcPr>
          <w:p w14:paraId="49C6E98D">
            <w:pPr>
              <w:jc w:val="center"/>
              <w:rPr>
                <w:rFonts w:asciiTheme="minorEastAsia" w:hAnsiTheme="minorEastAsia" w:eastAsiaTheme="minorEastAsia"/>
                <w:sz w:val="21"/>
                <w:szCs w:val="21"/>
              </w:rPr>
            </w:pPr>
          </w:p>
        </w:tc>
        <w:tc>
          <w:tcPr>
            <w:tcW w:w="907" w:type="dxa"/>
          </w:tcPr>
          <w:p w14:paraId="6EFAAB13">
            <w:pPr>
              <w:jc w:val="center"/>
              <w:rPr>
                <w:rFonts w:asciiTheme="minorEastAsia" w:hAnsiTheme="minorEastAsia" w:eastAsiaTheme="minorEastAsia"/>
                <w:sz w:val="21"/>
                <w:szCs w:val="21"/>
              </w:rPr>
            </w:pPr>
          </w:p>
        </w:tc>
      </w:tr>
      <w:tr w14:paraId="3E62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0F26D771">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134" w:type="dxa"/>
            <w:vAlign w:val="center"/>
          </w:tcPr>
          <w:p w14:paraId="6023C997">
            <w:pPr>
              <w:jc w:val="center"/>
              <w:rPr>
                <w:rFonts w:asciiTheme="minorEastAsia" w:hAnsiTheme="minorEastAsia" w:eastAsiaTheme="minorEastAsia"/>
                <w:sz w:val="21"/>
                <w:szCs w:val="21"/>
              </w:rPr>
            </w:pPr>
          </w:p>
        </w:tc>
        <w:tc>
          <w:tcPr>
            <w:tcW w:w="709" w:type="dxa"/>
            <w:vAlign w:val="center"/>
          </w:tcPr>
          <w:p w14:paraId="57F980E4">
            <w:pPr>
              <w:jc w:val="center"/>
              <w:rPr>
                <w:rFonts w:asciiTheme="minorEastAsia" w:hAnsiTheme="minorEastAsia" w:eastAsiaTheme="minorEastAsia"/>
                <w:sz w:val="21"/>
                <w:szCs w:val="21"/>
              </w:rPr>
            </w:pPr>
          </w:p>
        </w:tc>
        <w:tc>
          <w:tcPr>
            <w:tcW w:w="725" w:type="dxa"/>
            <w:vAlign w:val="center"/>
          </w:tcPr>
          <w:p w14:paraId="19D29F45">
            <w:pPr>
              <w:jc w:val="center"/>
              <w:rPr>
                <w:rFonts w:asciiTheme="minorEastAsia" w:hAnsiTheme="minorEastAsia" w:eastAsiaTheme="minorEastAsia"/>
                <w:sz w:val="21"/>
                <w:szCs w:val="21"/>
              </w:rPr>
            </w:pPr>
          </w:p>
        </w:tc>
        <w:tc>
          <w:tcPr>
            <w:tcW w:w="1247" w:type="dxa"/>
            <w:vAlign w:val="center"/>
          </w:tcPr>
          <w:p w14:paraId="4034D7E2">
            <w:pPr>
              <w:jc w:val="center"/>
              <w:rPr>
                <w:rFonts w:asciiTheme="minorEastAsia" w:hAnsiTheme="minorEastAsia" w:eastAsiaTheme="minorEastAsia"/>
                <w:sz w:val="21"/>
                <w:szCs w:val="21"/>
              </w:rPr>
            </w:pPr>
          </w:p>
        </w:tc>
        <w:tc>
          <w:tcPr>
            <w:tcW w:w="850" w:type="dxa"/>
            <w:vAlign w:val="center"/>
          </w:tcPr>
          <w:p w14:paraId="464ACD52">
            <w:pPr>
              <w:jc w:val="center"/>
              <w:rPr>
                <w:rFonts w:asciiTheme="minorEastAsia" w:hAnsiTheme="minorEastAsia" w:eastAsiaTheme="minorEastAsia"/>
                <w:sz w:val="21"/>
                <w:szCs w:val="21"/>
              </w:rPr>
            </w:pPr>
          </w:p>
        </w:tc>
        <w:tc>
          <w:tcPr>
            <w:tcW w:w="709" w:type="dxa"/>
            <w:vAlign w:val="center"/>
          </w:tcPr>
          <w:p w14:paraId="3EB3A2EC">
            <w:pPr>
              <w:jc w:val="center"/>
              <w:rPr>
                <w:rFonts w:asciiTheme="minorEastAsia" w:hAnsiTheme="minorEastAsia" w:eastAsiaTheme="minorEastAsia"/>
                <w:sz w:val="21"/>
                <w:szCs w:val="21"/>
              </w:rPr>
            </w:pPr>
          </w:p>
        </w:tc>
        <w:tc>
          <w:tcPr>
            <w:tcW w:w="1276" w:type="dxa"/>
            <w:vAlign w:val="center"/>
          </w:tcPr>
          <w:p w14:paraId="0C7E134D">
            <w:pPr>
              <w:jc w:val="center"/>
              <w:rPr>
                <w:rFonts w:asciiTheme="minorEastAsia" w:hAnsiTheme="minorEastAsia" w:eastAsiaTheme="minorEastAsia"/>
                <w:sz w:val="21"/>
                <w:szCs w:val="21"/>
              </w:rPr>
            </w:pPr>
          </w:p>
        </w:tc>
        <w:tc>
          <w:tcPr>
            <w:tcW w:w="1474" w:type="dxa"/>
            <w:vAlign w:val="center"/>
          </w:tcPr>
          <w:p w14:paraId="5BB72319">
            <w:pPr>
              <w:jc w:val="center"/>
              <w:rPr>
                <w:rFonts w:asciiTheme="minorEastAsia" w:hAnsiTheme="minorEastAsia" w:eastAsiaTheme="minorEastAsia"/>
                <w:sz w:val="21"/>
                <w:szCs w:val="21"/>
              </w:rPr>
            </w:pPr>
          </w:p>
        </w:tc>
        <w:tc>
          <w:tcPr>
            <w:tcW w:w="907" w:type="dxa"/>
          </w:tcPr>
          <w:p w14:paraId="1BCA63C8">
            <w:pPr>
              <w:jc w:val="center"/>
              <w:rPr>
                <w:rFonts w:asciiTheme="minorEastAsia" w:hAnsiTheme="minorEastAsia" w:eastAsiaTheme="minorEastAsia"/>
                <w:sz w:val="21"/>
                <w:szCs w:val="21"/>
              </w:rPr>
            </w:pPr>
          </w:p>
        </w:tc>
      </w:tr>
      <w:tr w14:paraId="22AB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68A62632">
            <w:pPr>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134" w:type="dxa"/>
            <w:vAlign w:val="center"/>
          </w:tcPr>
          <w:p w14:paraId="491430F1">
            <w:pPr>
              <w:jc w:val="center"/>
              <w:rPr>
                <w:rFonts w:asciiTheme="minorEastAsia" w:hAnsiTheme="minorEastAsia" w:eastAsiaTheme="minorEastAsia"/>
                <w:sz w:val="21"/>
                <w:szCs w:val="21"/>
              </w:rPr>
            </w:pPr>
          </w:p>
        </w:tc>
        <w:tc>
          <w:tcPr>
            <w:tcW w:w="709" w:type="dxa"/>
            <w:vAlign w:val="center"/>
          </w:tcPr>
          <w:p w14:paraId="26A67328">
            <w:pPr>
              <w:jc w:val="center"/>
              <w:rPr>
                <w:rFonts w:asciiTheme="minorEastAsia" w:hAnsiTheme="minorEastAsia" w:eastAsiaTheme="minorEastAsia"/>
                <w:sz w:val="21"/>
                <w:szCs w:val="21"/>
              </w:rPr>
            </w:pPr>
          </w:p>
        </w:tc>
        <w:tc>
          <w:tcPr>
            <w:tcW w:w="725" w:type="dxa"/>
            <w:vAlign w:val="center"/>
          </w:tcPr>
          <w:p w14:paraId="5A9C84B2">
            <w:pPr>
              <w:jc w:val="center"/>
              <w:rPr>
                <w:rFonts w:asciiTheme="minorEastAsia" w:hAnsiTheme="minorEastAsia" w:eastAsiaTheme="minorEastAsia"/>
                <w:sz w:val="21"/>
                <w:szCs w:val="21"/>
              </w:rPr>
            </w:pPr>
          </w:p>
        </w:tc>
        <w:tc>
          <w:tcPr>
            <w:tcW w:w="1247" w:type="dxa"/>
            <w:vAlign w:val="center"/>
          </w:tcPr>
          <w:p w14:paraId="419B7F39">
            <w:pPr>
              <w:jc w:val="center"/>
              <w:rPr>
                <w:rFonts w:asciiTheme="minorEastAsia" w:hAnsiTheme="minorEastAsia" w:eastAsiaTheme="minorEastAsia"/>
                <w:sz w:val="21"/>
                <w:szCs w:val="21"/>
              </w:rPr>
            </w:pPr>
          </w:p>
        </w:tc>
        <w:tc>
          <w:tcPr>
            <w:tcW w:w="850" w:type="dxa"/>
            <w:vAlign w:val="center"/>
          </w:tcPr>
          <w:p w14:paraId="056C9064">
            <w:pPr>
              <w:jc w:val="center"/>
              <w:rPr>
                <w:rFonts w:asciiTheme="minorEastAsia" w:hAnsiTheme="minorEastAsia" w:eastAsiaTheme="minorEastAsia"/>
                <w:sz w:val="21"/>
                <w:szCs w:val="21"/>
              </w:rPr>
            </w:pPr>
          </w:p>
        </w:tc>
        <w:tc>
          <w:tcPr>
            <w:tcW w:w="709" w:type="dxa"/>
            <w:vAlign w:val="center"/>
          </w:tcPr>
          <w:p w14:paraId="30EC0846">
            <w:pPr>
              <w:jc w:val="center"/>
              <w:rPr>
                <w:rFonts w:asciiTheme="minorEastAsia" w:hAnsiTheme="minorEastAsia" w:eastAsiaTheme="minorEastAsia"/>
                <w:sz w:val="21"/>
                <w:szCs w:val="21"/>
              </w:rPr>
            </w:pPr>
          </w:p>
        </w:tc>
        <w:tc>
          <w:tcPr>
            <w:tcW w:w="1276" w:type="dxa"/>
            <w:vAlign w:val="center"/>
          </w:tcPr>
          <w:p w14:paraId="6A0624E4">
            <w:pPr>
              <w:jc w:val="center"/>
              <w:rPr>
                <w:rFonts w:asciiTheme="minorEastAsia" w:hAnsiTheme="minorEastAsia" w:eastAsiaTheme="minorEastAsia"/>
                <w:sz w:val="21"/>
                <w:szCs w:val="21"/>
              </w:rPr>
            </w:pPr>
          </w:p>
        </w:tc>
        <w:tc>
          <w:tcPr>
            <w:tcW w:w="1474" w:type="dxa"/>
            <w:vAlign w:val="center"/>
          </w:tcPr>
          <w:p w14:paraId="08C23944">
            <w:pPr>
              <w:jc w:val="center"/>
              <w:rPr>
                <w:rFonts w:asciiTheme="minorEastAsia" w:hAnsiTheme="minorEastAsia" w:eastAsiaTheme="minorEastAsia"/>
                <w:sz w:val="21"/>
                <w:szCs w:val="21"/>
              </w:rPr>
            </w:pPr>
          </w:p>
        </w:tc>
        <w:tc>
          <w:tcPr>
            <w:tcW w:w="907" w:type="dxa"/>
          </w:tcPr>
          <w:p w14:paraId="1E1B918A">
            <w:pPr>
              <w:jc w:val="center"/>
              <w:rPr>
                <w:rFonts w:asciiTheme="minorEastAsia" w:hAnsiTheme="minorEastAsia" w:eastAsiaTheme="minorEastAsia"/>
                <w:sz w:val="21"/>
                <w:szCs w:val="21"/>
              </w:rPr>
            </w:pPr>
          </w:p>
        </w:tc>
      </w:tr>
      <w:tr w14:paraId="5B5A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6" w:type="dxa"/>
            <w:vAlign w:val="center"/>
          </w:tcPr>
          <w:p w14:paraId="18DA9725">
            <w:pPr>
              <w:jc w:val="center"/>
              <w:rPr>
                <w:rFonts w:asciiTheme="minorEastAsia" w:hAnsiTheme="minorEastAsia" w:eastAsiaTheme="minorEastAsia"/>
                <w:sz w:val="21"/>
                <w:szCs w:val="21"/>
              </w:rPr>
            </w:pPr>
            <w:r>
              <w:rPr>
                <w:rFonts w:asciiTheme="minorEastAsia" w:hAnsiTheme="minorEastAsia" w:eastAsiaTheme="minorEastAsia"/>
                <w:sz w:val="21"/>
                <w:szCs w:val="21"/>
              </w:rPr>
              <w:t>…</w:t>
            </w:r>
          </w:p>
        </w:tc>
        <w:tc>
          <w:tcPr>
            <w:tcW w:w="1134" w:type="dxa"/>
            <w:vAlign w:val="center"/>
          </w:tcPr>
          <w:p w14:paraId="14E534D2">
            <w:pPr>
              <w:jc w:val="center"/>
              <w:rPr>
                <w:rFonts w:asciiTheme="minorEastAsia" w:hAnsiTheme="minorEastAsia" w:eastAsiaTheme="minorEastAsia"/>
                <w:sz w:val="21"/>
                <w:szCs w:val="21"/>
              </w:rPr>
            </w:pPr>
          </w:p>
        </w:tc>
        <w:tc>
          <w:tcPr>
            <w:tcW w:w="709" w:type="dxa"/>
            <w:vAlign w:val="center"/>
          </w:tcPr>
          <w:p w14:paraId="38280F9E">
            <w:pPr>
              <w:jc w:val="center"/>
              <w:rPr>
                <w:rFonts w:asciiTheme="minorEastAsia" w:hAnsiTheme="minorEastAsia" w:eastAsiaTheme="minorEastAsia"/>
                <w:sz w:val="21"/>
                <w:szCs w:val="21"/>
              </w:rPr>
            </w:pPr>
          </w:p>
        </w:tc>
        <w:tc>
          <w:tcPr>
            <w:tcW w:w="725" w:type="dxa"/>
            <w:vAlign w:val="center"/>
          </w:tcPr>
          <w:p w14:paraId="73EBE421">
            <w:pPr>
              <w:jc w:val="center"/>
              <w:rPr>
                <w:rFonts w:asciiTheme="minorEastAsia" w:hAnsiTheme="minorEastAsia" w:eastAsiaTheme="minorEastAsia"/>
                <w:sz w:val="21"/>
                <w:szCs w:val="21"/>
              </w:rPr>
            </w:pPr>
          </w:p>
        </w:tc>
        <w:tc>
          <w:tcPr>
            <w:tcW w:w="1247" w:type="dxa"/>
            <w:vAlign w:val="center"/>
          </w:tcPr>
          <w:p w14:paraId="3B9BCDFC">
            <w:pPr>
              <w:jc w:val="center"/>
              <w:rPr>
                <w:rFonts w:asciiTheme="minorEastAsia" w:hAnsiTheme="minorEastAsia" w:eastAsiaTheme="minorEastAsia"/>
                <w:sz w:val="21"/>
                <w:szCs w:val="21"/>
              </w:rPr>
            </w:pPr>
          </w:p>
        </w:tc>
        <w:tc>
          <w:tcPr>
            <w:tcW w:w="850" w:type="dxa"/>
            <w:vAlign w:val="center"/>
          </w:tcPr>
          <w:p w14:paraId="633A0A19">
            <w:pPr>
              <w:jc w:val="center"/>
              <w:rPr>
                <w:rFonts w:asciiTheme="minorEastAsia" w:hAnsiTheme="minorEastAsia" w:eastAsiaTheme="minorEastAsia"/>
                <w:sz w:val="21"/>
                <w:szCs w:val="21"/>
              </w:rPr>
            </w:pPr>
          </w:p>
        </w:tc>
        <w:tc>
          <w:tcPr>
            <w:tcW w:w="709" w:type="dxa"/>
            <w:vAlign w:val="center"/>
          </w:tcPr>
          <w:p w14:paraId="44A23AD9">
            <w:pPr>
              <w:jc w:val="center"/>
              <w:rPr>
                <w:rFonts w:asciiTheme="minorEastAsia" w:hAnsiTheme="minorEastAsia" w:eastAsiaTheme="minorEastAsia"/>
                <w:sz w:val="21"/>
                <w:szCs w:val="21"/>
              </w:rPr>
            </w:pPr>
          </w:p>
        </w:tc>
        <w:tc>
          <w:tcPr>
            <w:tcW w:w="1276" w:type="dxa"/>
            <w:vAlign w:val="center"/>
          </w:tcPr>
          <w:p w14:paraId="1EB8618A">
            <w:pPr>
              <w:jc w:val="center"/>
              <w:rPr>
                <w:rFonts w:asciiTheme="minorEastAsia" w:hAnsiTheme="minorEastAsia" w:eastAsiaTheme="minorEastAsia"/>
                <w:sz w:val="21"/>
                <w:szCs w:val="21"/>
              </w:rPr>
            </w:pPr>
          </w:p>
        </w:tc>
        <w:tc>
          <w:tcPr>
            <w:tcW w:w="1474" w:type="dxa"/>
            <w:vAlign w:val="center"/>
          </w:tcPr>
          <w:p w14:paraId="2282A248">
            <w:pPr>
              <w:jc w:val="center"/>
              <w:rPr>
                <w:rFonts w:asciiTheme="minorEastAsia" w:hAnsiTheme="minorEastAsia" w:eastAsiaTheme="minorEastAsia"/>
                <w:sz w:val="21"/>
                <w:szCs w:val="21"/>
              </w:rPr>
            </w:pPr>
          </w:p>
        </w:tc>
        <w:tc>
          <w:tcPr>
            <w:tcW w:w="907" w:type="dxa"/>
          </w:tcPr>
          <w:p w14:paraId="08987203">
            <w:pPr>
              <w:jc w:val="center"/>
              <w:rPr>
                <w:rFonts w:asciiTheme="minorEastAsia" w:hAnsiTheme="minorEastAsia" w:eastAsiaTheme="minorEastAsia"/>
                <w:sz w:val="21"/>
                <w:szCs w:val="21"/>
              </w:rPr>
            </w:pPr>
          </w:p>
        </w:tc>
      </w:tr>
    </w:tbl>
    <w:p w14:paraId="26045F17">
      <w:pPr>
        <w:rPr>
          <w:rFonts w:ascii="宋体" w:hAnsi="宋体"/>
          <w:bCs/>
          <w:sz w:val="21"/>
        </w:rPr>
      </w:pPr>
      <w:r>
        <w:rPr>
          <w:rFonts w:hint="eastAsia" w:ascii="宋体" w:hAnsi="宋体"/>
          <w:bCs/>
          <w:sz w:val="21"/>
        </w:rPr>
        <w:t>注：附相关人员身份证、职称证（若有）、注册证（若有）、资格证书（若有）、类似工作经验证明材料（若有）等复印件。</w:t>
      </w:r>
    </w:p>
    <w:p w14:paraId="48E1C73F">
      <w:pPr>
        <w:ind w:firstLine="420" w:firstLineChars="200"/>
        <w:jc w:val="both"/>
        <w:rPr>
          <w:rFonts w:ascii="宋体" w:hAnsi="宋体"/>
          <w:bCs/>
          <w:sz w:val="21"/>
        </w:rPr>
      </w:pPr>
      <w:r>
        <w:rPr>
          <w:rFonts w:hint="eastAsia" w:ascii="宋体" w:hAnsi="宋体"/>
          <w:bCs/>
          <w:sz w:val="21"/>
        </w:rPr>
        <w:t>拟派往本项目的项目负责人（项目经理）1名，必须为投标人正式员工（同时提供与投标人签订的劳动合同及2024年1月1日至投标截止日期前任意连续3个月及以上投标人交纳的社会保险证明），项目负责人在施工期间不得担任其他在建建设工程项目的项目管理人员，并附书面承诺；项目实施期间，项目负责人若需变更，需提交书面申请，经招标人同意后方能变更。</w:t>
      </w:r>
    </w:p>
    <w:p w14:paraId="18A5A158">
      <w:pPr>
        <w:spacing w:after="0" w:line="240" w:lineRule="auto"/>
      </w:pPr>
      <w:r>
        <w:br w:type="page"/>
      </w:r>
    </w:p>
    <w:p w14:paraId="252B5E33">
      <w:pPr>
        <w:jc w:val="center"/>
        <w:rPr>
          <w:rFonts w:ascii="宋体" w:hAnsi="宋体" w:cs="宋体"/>
          <w:b/>
          <w:bCs/>
          <w:sz w:val="28"/>
          <w:szCs w:val="28"/>
        </w:rPr>
      </w:pPr>
      <w:r>
        <w:rPr>
          <w:rFonts w:hint="eastAsia" w:ascii="宋体" w:hAnsi="宋体" w:cs="宋体"/>
          <w:b/>
          <w:bCs/>
          <w:sz w:val="28"/>
          <w:szCs w:val="28"/>
        </w:rPr>
        <w:t>承  诺  书</w:t>
      </w:r>
    </w:p>
    <w:p w14:paraId="0BC98AF8">
      <w:pPr>
        <w:spacing w:after="312" w:afterLines="100" w:line="440" w:lineRule="exact"/>
        <w:rPr>
          <w:rFonts w:ascii="宋体" w:hAnsi="宋体" w:cs="宋体"/>
          <w:sz w:val="21"/>
          <w:szCs w:val="21"/>
        </w:rPr>
      </w:pPr>
      <w:r>
        <w:rPr>
          <w:rFonts w:hint="eastAsia" w:ascii="宋体" w:hAnsi="宋体" w:cs="宋体"/>
          <w:sz w:val="21"/>
          <w:u w:val="single"/>
        </w:rPr>
        <w:t>________________________</w:t>
      </w:r>
      <w:r>
        <w:rPr>
          <w:rFonts w:hint="eastAsia" w:ascii="宋体" w:hAnsi="宋体" w:cs="宋体"/>
          <w:sz w:val="21"/>
          <w:szCs w:val="21"/>
        </w:rPr>
        <w:t>（招标人名称）：</w:t>
      </w:r>
    </w:p>
    <w:p w14:paraId="4DE507A9">
      <w:pPr>
        <w:spacing w:line="440" w:lineRule="exact"/>
        <w:ind w:firstLine="420" w:firstLineChars="200"/>
        <w:rPr>
          <w:rFonts w:ascii="宋体" w:hAnsi="宋体" w:cs="宋体"/>
          <w:sz w:val="21"/>
          <w:szCs w:val="21"/>
        </w:rPr>
      </w:pPr>
      <w:r>
        <w:rPr>
          <w:rFonts w:hint="eastAsia" w:ascii="宋体" w:hAnsi="宋体" w:cs="宋体"/>
          <w:sz w:val="21"/>
          <w:szCs w:val="21"/>
        </w:rPr>
        <w:t>我方在此声明，我方拟派往</w:t>
      </w:r>
      <w:r>
        <w:rPr>
          <w:rFonts w:hint="eastAsia" w:ascii="宋体" w:hAnsi="宋体" w:cs="宋体"/>
          <w:sz w:val="21"/>
          <w:u w:val="single"/>
        </w:rPr>
        <w:t>_____________</w:t>
      </w:r>
      <w:r>
        <w:rPr>
          <w:rFonts w:hint="eastAsia" w:ascii="宋体" w:hAnsi="宋体" w:cs="宋体"/>
          <w:sz w:val="21"/>
          <w:szCs w:val="21"/>
        </w:rPr>
        <w:t>（项目名称）的项目负责人</w:t>
      </w:r>
      <w:r>
        <w:rPr>
          <w:rFonts w:hint="eastAsia" w:ascii="宋体" w:hAnsi="宋体" w:cs="宋体"/>
          <w:sz w:val="21"/>
          <w:u w:val="single"/>
        </w:rPr>
        <w:t>________</w:t>
      </w:r>
      <w:r>
        <w:rPr>
          <w:rFonts w:hint="eastAsia" w:ascii="宋体" w:hAnsi="宋体" w:cs="宋体"/>
          <w:sz w:val="21"/>
          <w:szCs w:val="21"/>
        </w:rPr>
        <w:t>（项目负责人姓名）在施工期间不担任其他在建建设工程项目的项目管理人员。</w:t>
      </w:r>
    </w:p>
    <w:p w14:paraId="6663C7BE">
      <w:pPr>
        <w:spacing w:line="440" w:lineRule="exact"/>
        <w:ind w:firstLine="420" w:firstLineChars="200"/>
        <w:rPr>
          <w:rFonts w:ascii="宋体" w:hAnsi="宋体" w:cs="宋体"/>
          <w:sz w:val="21"/>
          <w:szCs w:val="21"/>
        </w:rPr>
      </w:pPr>
      <w:r>
        <w:rPr>
          <w:rFonts w:hint="eastAsia" w:ascii="宋体" w:hAnsi="宋体" w:cs="宋体"/>
          <w:sz w:val="21"/>
          <w:szCs w:val="21"/>
        </w:rPr>
        <w:t>我方保证上述信息的真实和准确，并愿意承担因我方就此弄虚作假所引起的一切法律后果。</w:t>
      </w:r>
    </w:p>
    <w:p w14:paraId="1CF2ACB3">
      <w:pPr>
        <w:spacing w:line="440" w:lineRule="exact"/>
        <w:ind w:firstLine="420" w:firstLineChars="200"/>
        <w:rPr>
          <w:rFonts w:ascii="宋体" w:hAnsi="宋体" w:cs="宋体"/>
          <w:sz w:val="21"/>
          <w:szCs w:val="21"/>
        </w:rPr>
      </w:pPr>
    </w:p>
    <w:p w14:paraId="24D81F5A">
      <w:pPr>
        <w:spacing w:line="440" w:lineRule="exact"/>
        <w:ind w:firstLine="420" w:firstLineChars="200"/>
        <w:rPr>
          <w:rFonts w:ascii="宋体" w:hAnsi="宋体" w:cs="宋体"/>
          <w:sz w:val="21"/>
          <w:szCs w:val="21"/>
        </w:rPr>
      </w:pPr>
      <w:r>
        <w:rPr>
          <w:rFonts w:hint="eastAsia" w:ascii="宋体" w:hAnsi="宋体" w:cs="宋体"/>
          <w:sz w:val="21"/>
          <w:szCs w:val="21"/>
        </w:rPr>
        <w:t>特此承诺。</w:t>
      </w:r>
    </w:p>
    <w:p w14:paraId="12378EBF">
      <w:pPr>
        <w:spacing w:line="440" w:lineRule="exact"/>
        <w:ind w:firstLine="420" w:firstLineChars="200"/>
        <w:rPr>
          <w:rFonts w:ascii="宋体" w:hAnsi="宋体" w:cs="宋体"/>
          <w:sz w:val="21"/>
          <w:szCs w:val="21"/>
        </w:rPr>
      </w:pPr>
    </w:p>
    <w:p w14:paraId="786C0110">
      <w:pPr>
        <w:spacing w:line="440" w:lineRule="exact"/>
        <w:ind w:firstLine="420" w:firstLineChars="200"/>
        <w:rPr>
          <w:rFonts w:ascii="宋体" w:hAnsi="宋体" w:cs="宋体"/>
          <w:sz w:val="21"/>
          <w:szCs w:val="21"/>
        </w:rPr>
      </w:pPr>
    </w:p>
    <w:p w14:paraId="6271AE2F">
      <w:pPr>
        <w:pStyle w:val="48"/>
        <w:spacing w:after="0" w:line="360" w:lineRule="auto"/>
        <w:ind w:firstLine="420" w:firstLineChars="200"/>
        <w:rPr>
          <w:rFonts w:ascii="宋体" w:hAnsi="宋体"/>
          <w:sz w:val="21"/>
          <w:szCs w:val="21"/>
        </w:rPr>
      </w:pPr>
      <w:r>
        <w:rPr>
          <w:rFonts w:hint="eastAsia" w:ascii="宋体" w:hAnsi="宋体"/>
          <w:sz w:val="21"/>
          <w:szCs w:val="21"/>
        </w:rPr>
        <w:t>投标人（盖章）：</w:t>
      </w:r>
      <w:r>
        <w:rPr>
          <w:rFonts w:ascii="宋体" w:hAnsi="宋体"/>
          <w:sz w:val="21"/>
          <w:szCs w:val="21"/>
          <w:u w:val="single"/>
        </w:rPr>
        <w:t xml:space="preserve">                              </w:t>
      </w:r>
    </w:p>
    <w:p w14:paraId="3E342627">
      <w:pPr>
        <w:pStyle w:val="48"/>
        <w:spacing w:after="0" w:line="360" w:lineRule="auto"/>
        <w:ind w:firstLine="420" w:firstLineChars="200"/>
        <w:rPr>
          <w:rFonts w:ascii="宋体" w:hAnsi="宋体"/>
          <w:sz w:val="21"/>
          <w:szCs w:val="21"/>
        </w:rPr>
      </w:pPr>
      <w:r>
        <w:rPr>
          <w:rFonts w:hint="eastAsia" w:ascii="宋体" w:hAnsi="宋体"/>
          <w:sz w:val="21"/>
          <w:szCs w:val="21"/>
        </w:rPr>
        <w:t>法定代表人或委托代理人（签字或盖章）：</w:t>
      </w:r>
      <w:r>
        <w:rPr>
          <w:rFonts w:ascii="宋体" w:hAnsi="宋体"/>
          <w:sz w:val="21"/>
          <w:szCs w:val="21"/>
          <w:u w:val="single"/>
        </w:rPr>
        <w:t xml:space="preserve">              </w:t>
      </w:r>
    </w:p>
    <w:p w14:paraId="71A88147">
      <w:pPr>
        <w:pStyle w:val="48"/>
        <w:spacing w:after="0" w:line="360" w:lineRule="auto"/>
        <w:ind w:firstLine="420" w:firstLineChars="200"/>
        <w:rPr>
          <w:rFonts w:ascii="宋体" w:hAnsi="宋体"/>
          <w:sz w:val="21"/>
          <w:szCs w:val="21"/>
        </w:rPr>
      </w:pPr>
      <w:r>
        <w:rPr>
          <w:rFonts w:hint="eastAsia" w:ascii="宋体" w:hAnsi="宋体"/>
          <w:sz w:val="21"/>
          <w:szCs w:val="21"/>
        </w:rPr>
        <w:t>日期：</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r>
        <w:rPr>
          <w:rFonts w:hint="eastAsia" w:ascii="宋体" w:hAnsi="宋体"/>
          <w:sz w:val="21"/>
          <w:szCs w:val="21"/>
        </w:rPr>
        <w:t>日</w:t>
      </w:r>
    </w:p>
    <w:p w14:paraId="3AD38E95">
      <w:pPr>
        <w:rPr>
          <w:rFonts w:ascii="宋体" w:hAnsi="宋体"/>
          <w:b/>
          <w:sz w:val="21"/>
        </w:rPr>
      </w:pPr>
    </w:p>
    <w:p w14:paraId="45EC13A1">
      <w:pPr>
        <w:pStyle w:val="2"/>
        <w:ind w:left="400" w:firstLine="400"/>
      </w:pPr>
    </w:p>
    <w:p w14:paraId="6111C923">
      <w:pPr>
        <w:spacing w:line="360" w:lineRule="auto"/>
        <w:rPr>
          <w:rFonts w:ascii="宋体" w:hAnsi="宋体"/>
          <w:sz w:val="24"/>
          <w:szCs w:val="24"/>
        </w:rPr>
      </w:pPr>
    </w:p>
    <w:p w14:paraId="025E29D9">
      <w:pPr>
        <w:rPr>
          <w:rFonts w:ascii="宋体" w:hAnsi="宋体"/>
          <w:b/>
          <w:bCs/>
          <w:sz w:val="30"/>
          <w:szCs w:val="30"/>
        </w:rPr>
      </w:pPr>
      <w:r>
        <w:rPr>
          <w:rFonts w:ascii="宋体" w:hAnsi="宋体"/>
          <w:sz w:val="30"/>
          <w:szCs w:val="30"/>
        </w:rPr>
        <w:br w:type="page"/>
      </w:r>
    </w:p>
    <w:p w14:paraId="71780D0C">
      <w:pPr>
        <w:pStyle w:val="5"/>
        <w:spacing w:line="415" w:lineRule="auto"/>
        <w:jc w:val="center"/>
        <w:rPr>
          <w:rFonts w:ascii="宋体" w:hAnsi="宋体"/>
          <w:sz w:val="30"/>
          <w:szCs w:val="30"/>
        </w:rPr>
      </w:pPr>
      <w:bookmarkStart w:id="266" w:name="_Toc32085"/>
      <w:r>
        <w:rPr>
          <w:rFonts w:hint="eastAsia" w:ascii="宋体" w:hAnsi="宋体" w:eastAsia="宋体"/>
          <w:sz w:val="30"/>
          <w:szCs w:val="30"/>
        </w:rPr>
        <w:t>（</w:t>
      </w:r>
      <w:r>
        <w:rPr>
          <w:rFonts w:ascii="宋体" w:hAnsi="宋体" w:eastAsia="宋体"/>
          <w:sz w:val="30"/>
          <w:szCs w:val="30"/>
        </w:rPr>
        <w:t>五</w:t>
      </w:r>
      <w:r>
        <w:rPr>
          <w:rFonts w:hint="eastAsia" w:ascii="宋体" w:hAnsi="宋体" w:eastAsia="宋体"/>
          <w:sz w:val="30"/>
          <w:szCs w:val="30"/>
        </w:rPr>
        <w:t>）售后服务、培训及应急保障</w:t>
      </w:r>
      <w:bookmarkEnd w:id="266"/>
    </w:p>
    <w:p w14:paraId="25996D70">
      <w:pPr>
        <w:ind w:firstLine="3990" w:firstLineChars="1900"/>
        <w:rPr>
          <w:rFonts w:ascii="宋体" w:hAnsi="宋体"/>
          <w:sz w:val="21"/>
          <w:szCs w:val="21"/>
        </w:rPr>
      </w:pPr>
      <w:r>
        <w:rPr>
          <w:rFonts w:hint="eastAsia" w:ascii="宋体" w:hAnsi="宋体"/>
          <w:sz w:val="21"/>
          <w:szCs w:val="21"/>
        </w:rPr>
        <w:t>自拟格式编写。</w:t>
      </w:r>
    </w:p>
    <w:p w14:paraId="0A0837A2">
      <w:pPr>
        <w:rPr>
          <w:rFonts w:ascii="宋体" w:hAnsi="宋体"/>
          <w:sz w:val="24"/>
          <w:szCs w:val="24"/>
        </w:rPr>
      </w:pPr>
      <w:r>
        <w:rPr>
          <w:rFonts w:ascii="宋体" w:hAnsi="宋体"/>
          <w:sz w:val="24"/>
          <w:szCs w:val="24"/>
        </w:rPr>
        <w:br w:type="page"/>
      </w:r>
      <w:bookmarkStart w:id="267" w:name="_Toc103248634"/>
    </w:p>
    <w:p w14:paraId="784B0270">
      <w:pPr>
        <w:rPr>
          <w:rFonts w:ascii="宋体" w:hAnsi="宋体"/>
          <w:b/>
          <w:bCs/>
          <w:sz w:val="30"/>
          <w:szCs w:val="30"/>
        </w:rPr>
      </w:pPr>
    </w:p>
    <w:p w14:paraId="70A9728E">
      <w:pPr>
        <w:rPr>
          <w:rFonts w:ascii="宋体" w:hAnsi="宋体"/>
          <w:b/>
          <w:bCs/>
          <w:sz w:val="30"/>
          <w:szCs w:val="30"/>
        </w:rPr>
      </w:pPr>
    </w:p>
    <w:p w14:paraId="2F9C92C5">
      <w:pPr>
        <w:pStyle w:val="5"/>
        <w:spacing w:line="415" w:lineRule="auto"/>
        <w:jc w:val="center"/>
        <w:rPr>
          <w:rFonts w:ascii="宋体" w:hAnsi="宋体" w:eastAsia="宋体"/>
          <w:sz w:val="30"/>
          <w:szCs w:val="30"/>
        </w:rPr>
      </w:pPr>
      <w:bookmarkStart w:id="268" w:name="_Toc19565"/>
      <w:r>
        <w:rPr>
          <w:rFonts w:hint="eastAsia" w:ascii="宋体" w:hAnsi="宋体" w:eastAsia="宋体"/>
          <w:sz w:val="30"/>
          <w:szCs w:val="30"/>
        </w:rPr>
        <w:t>（六）投标人认为需要提供的其他资料</w:t>
      </w:r>
      <w:bookmarkEnd w:id="263"/>
      <w:bookmarkEnd w:id="264"/>
      <w:bookmarkEnd w:id="267"/>
      <w:bookmarkEnd w:id="268"/>
    </w:p>
    <w:p w14:paraId="24B759AC">
      <w:pPr>
        <w:rPr>
          <w:rFonts w:ascii="宋体" w:hAnsi="宋体" w:cs="宋体"/>
          <w:sz w:val="21"/>
          <w:szCs w:val="21"/>
        </w:rPr>
      </w:pPr>
      <w:r>
        <w:rPr>
          <w:rFonts w:hint="eastAsia" w:ascii="宋体" w:hAnsi="宋体" w:cs="宋体"/>
          <w:sz w:val="21"/>
          <w:szCs w:val="21"/>
        </w:rPr>
        <w:t>格式及内容自拟</w:t>
      </w:r>
    </w:p>
    <w:p w14:paraId="28F7E79D">
      <w:pPr>
        <w:rPr>
          <w:rFonts w:ascii="宋体" w:hAnsi="宋体"/>
        </w:rPr>
      </w:pPr>
    </w:p>
    <w:bookmarkEnd w:id="198"/>
    <w:p w14:paraId="497D3A7E">
      <w:pPr>
        <w:jc w:val="center"/>
        <w:rPr>
          <w:rFonts w:ascii="宋体" w:hAnsi="宋体"/>
          <w:sz w:val="21"/>
          <w:szCs w:val="21"/>
        </w:rPr>
      </w:pPr>
    </w:p>
    <w:p w14:paraId="1689891E">
      <w:pPr>
        <w:pStyle w:val="5"/>
        <w:spacing w:after="0"/>
        <w:jc w:val="both"/>
        <w:rPr>
          <w:rFonts w:ascii="宋体" w:hAnsi="宋体"/>
          <w:sz w:val="21"/>
          <w:szCs w:val="21"/>
        </w:rPr>
      </w:pPr>
    </w:p>
    <w:sectPr>
      <w:headerReference r:id="rId12" w:type="first"/>
      <w:footerReference r:id="rId15" w:type="first"/>
      <w:headerReference r:id="rId11" w:type="default"/>
      <w:footerReference r:id="rId13" w:type="default"/>
      <w:footerReference r:id="rId14" w:type="even"/>
      <w:pgSz w:w="11906" w:h="16838"/>
      <w:pgMar w:top="1418" w:right="1247" w:bottom="1418" w:left="1247" w:header="851" w:footer="318" w:gutter="0"/>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_GB2312">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x000B__x000C_">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Verdana">
    <w:panose1 w:val="020B0604030504040204"/>
    <w:charset w:val="00"/>
    <w:family w:val="swiss"/>
    <w:pitch w:val="default"/>
    <w:sig w:usb0="A0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宋一简体">
    <w:altName w:val="宋体"/>
    <w:panose1 w:val="00000000000000000000"/>
    <w:charset w:val="86"/>
    <w:family w:val="script"/>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ˎ̥">
    <w:altName w:val="微软雅黑"/>
    <w:panose1 w:val="00000000000000000000"/>
    <w:charset w:val="00"/>
    <w:family w:val="roman"/>
    <w:pitch w:val="default"/>
    <w:sig w:usb0="00000000" w:usb1="00000000" w:usb2="00000000" w:usb3="00000000" w:csb0="00040001" w:csb1="00000000"/>
  </w:font>
  <w:font w:name="Book Antiqua">
    <w:panose1 w:val="02040602050305030304"/>
    <w:charset w:val="00"/>
    <w:family w:val="roman"/>
    <w:pitch w:val="default"/>
    <w:sig w:usb0="00000287" w:usb1="00000000" w:usb2="00000000" w:usb3="00000000" w:csb0="2000009F" w:csb1="DFD70000"/>
  </w:font>
  <w:font w:name="长城仿宋">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t">
    <w:altName w:val="微软雅黑"/>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方正小标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0698360"/>
    </w:sdtPr>
    <w:sdtContent>
      <w:p w14:paraId="53DABAA0">
        <w:pPr>
          <w:pStyle w:val="40"/>
          <w:jc w:val="center"/>
        </w:pPr>
        <w:r>
          <w:fldChar w:fldCharType="begin"/>
        </w:r>
        <w:r>
          <w:instrText xml:space="preserve">PAGE   \* MERGEFORMAT</w:instrText>
        </w:r>
        <w:r>
          <w:fldChar w:fldCharType="separate"/>
        </w:r>
        <w:r>
          <w:rPr>
            <w:lang w:val="zh-CN"/>
          </w:rPr>
          <w:t>58</w:t>
        </w:r>
        <w:r>
          <w:fldChar w:fldCharType="end"/>
        </w:r>
      </w:p>
    </w:sdtContent>
  </w:sdt>
  <w:p w14:paraId="0936643F">
    <w:pPr>
      <w:pStyle w:val="40"/>
      <w:ind w:right="210"/>
      <w:rPr>
        <w:rFonts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D90B7">
    <w:pPr>
      <w:pStyle w:val="40"/>
      <w:ind w:right="210"/>
      <w:rPr>
        <w:rFonts w:hAnsi="宋体"/>
      </w:rPr>
    </w:pPr>
    <w:r>
      <w:rPr>
        <w:rFonts w:hAnsi="宋体"/>
      </w:rPr>
      <w:fldChar w:fldCharType="begin"/>
    </w:r>
    <w:r>
      <w:rPr>
        <w:rFonts w:hAnsi="宋体"/>
      </w:rPr>
      <w:instrText xml:space="preserve">PAGE   \* MERGEFORMAT</w:instrText>
    </w:r>
    <w:r>
      <w:rPr>
        <w:rFonts w:hAnsi="宋体"/>
      </w:rPr>
      <w:fldChar w:fldCharType="separate"/>
    </w:r>
    <w:r>
      <w:rPr>
        <w:rFonts w:hAnsi="宋体"/>
        <w:lang w:val="zh-CN"/>
      </w:rPr>
      <w:t>II</w:t>
    </w:r>
    <w:r>
      <w:rPr>
        <w:rFonts w:hAnsi="宋体"/>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094DD">
    <w:pPr>
      <w:pStyle w:val="40"/>
      <w:jc w:val="center"/>
    </w:pPr>
  </w:p>
  <w:p w14:paraId="5B4BBBD3">
    <w:pPr>
      <w:pStyle w:val="40"/>
      <w:ind w:righ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8042793"/>
    </w:sdtPr>
    <w:sdtContent>
      <w:p w14:paraId="2F6B1EC8">
        <w:pPr>
          <w:pStyle w:val="40"/>
          <w:jc w:val="center"/>
        </w:pPr>
        <w:r>
          <w:fldChar w:fldCharType="begin"/>
        </w:r>
        <w:r>
          <w:instrText xml:space="preserve">PAGE   \* MERGEFORMAT</w:instrText>
        </w:r>
        <w:r>
          <w:fldChar w:fldCharType="separate"/>
        </w:r>
        <w:r>
          <w:rPr>
            <w:lang w:val="zh-CN"/>
          </w:rPr>
          <w:t>156</w:t>
        </w:r>
        <w:r>
          <w:fldChar w:fldCharType="end"/>
        </w:r>
      </w:p>
    </w:sdtContent>
  </w:sdt>
  <w:p w14:paraId="3B88BB45">
    <w:pPr>
      <w:pStyle w:val="40"/>
      <w:spacing w:line="360" w:lineRule="auto"/>
      <w:jc w:val="both"/>
      <w:rPr>
        <w:u w:val="singl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79301">
    <w:pPr>
      <w:pStyle w:val="40"/>
      <w:framePr w:wrap="around" w:vAnchor="text" w:hAnchor="margin" w:xAlign="center" w:y="1"/>
      <w:rPr>
        <w:rStyle w:val="68"/>
      </w:rPr>
    </w:pPr>
    <w:r>
      <w:fldChar w:fldCharType="begin"/>
    </w:r>
    <w:r>
      <w:rPr>
        <w:rStyle w:val="68"/>
      </w:rPr>
      <w:instrText xml:space="preserve">PAGE  </w:instrText>
    </w:r>
    <w:r>
      <w:fldChar w:fldCharType="separate"/>
    </w:r>
    <w:r>
      <w:rPr>
        <w:rStyle w:val="68"/>
      </w:rPr>
      <w:t>40</w:t>
    </w:r>
    <w:r>
      <w:fldChar w:fldCharType="end"/>
    </w:r>
  </w:p>
  <w:p w14:paraId="6F5F66C0">
    <w:pPr>
      <w:pStyle w:val="40"/>
      <w:ind w:right="360"/>
    </w:pPr>
  </w:p>
  <w:p w14:paraId="39F5C857"/>
  <w:p w14:paraId="25137D5C"/>
  <w:p w14:paraId="77BCFE6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D2808">
    <w:pPr>
      <w:pStyle w:val="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5D02F">
    <w:pPr>
      <w:pStyle w:val="41"/>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C8E8">
    <w:pPr>
      <w:pStyle w:val="994"/>
      <w:jc w:val="right"/>
      <w:rPr>
        <w:rFonts w:ascii="黑体" w:hAnsi="黑体" w:eastAsia="黑体"/>
      </w:rPr>
    </w:pPr>
    <w:r>
      <w:rPr>
        <w:rFonts w:ascii="黑体" w:hAnsi="黑体" w:eastAsia="黑体"/>
      </w:rPr>
      <w:t>Q/HY.JJYX.007-2018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77353">
    <w:pPr>
      <w:pStyle w:val="995"/>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53A70">
    <w:pPr>
      <w:pStyle w:val="41"/>
      <w:pBdr>
        <w:bottom w:val="single" w:color="auto" w:sz="6" w:space="0"/>
      </w:pBdr>
      <w:jc w:val="right"/>
      <w:rPr>
        <w:rFonts w:ascii="宋体" w:hAnsi="宋体"/>
      </w:rPr>
    </w:pPr>
    <w:r>
      <w:rPr>
        <w:rFonts w:hint="eastAsia" w:ascii="宋体" w:hAnsi="宋体"/>
      </w:rPr>
      <w:t>招标文件</w:t>
    </w:r>
  </w:p>
  <w:p w14:paraId="4ACFA76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1798C">
    <w:pPr>
      <w:pStyle w:val="41"/>
      <w:jc w:val="left"/>
    </w:pPr>
    <w:r>
      <w:rPr>
        <w:rFonts w:hint="eastAsia" w:ascii="黑体" w:hAnsi="宋体" w:eastAsia="黑体"/>
      </w:rPr>
      <w:t xml:space="preserve">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712B48"/>
    <w:multiLevelType w:val="multilevel"/>
    <w:tmpl w:val="03712B48"/>
    <w:lvl w:ilvl="0" w:tentative="0">
      <w:start w:val="1"/>
      <w:numFmt w:val="decimal"/>
      <w:pStyle w:val="539"/>
      <w:lvlText w:val="%1"/>
      <w:lvlJc w:val="left"/>
      <w:pPr>
        <w:ind w:left="360" w:hanging="360"/>
      </w:pPr>
      <w:rPr>
        <w:rFonts w:hint="default" w:ascii="Verdana" w:hAnsi="Calibri" w:eastAsia="Verdana"/>
        <w:b/>
      </w:rPr>
    </w:lvl>
    <w:lvl w:ilvl="1" w:tentative="0">
      <w:start w:val="1"/>
      <w:numFmt w:val="decimal"/>
      <w:lvlText w:val="%1.%2"/>
      <w:lvlJc w:val="left"/>
      <w:pPr>
        <w:ind w:left="360" w:hanging="360"/>
      </w:pPr>
      <w:rPr>
        <w:rFonts w:hint="default" w:ascii="Verdana" w:hAnsi="Calibri" w:eastAsia="Verdana"/>
        <w:b/>
      </w:rPr>
    </w:lvl>
    <w:lvl w:ilvl="2" w:tentative="0">
      <w:start w:val="1"/>
      <w:numFmt w:val="decimal"/>
      <w:pStyle w:val="610"/>
      <w:lvlText w:val="%1.%2.%3"/>
      <w:lvlJc w:val="left"/>
      <w:pPr>
        <w:ind w:left="720" w:hanging="720"/>
      </w:pPr>
      <w:rPr>
        <w:rFonts w:hint="default" w:ascii="Verdana" w:hAnsi="Calibri" w:eastAsia="Verdana"/>
        <w:b/>
      </w:rPr>
    </w:lvl>
    <w:lvl w:ilvl="3" w:tentative="0">
      <w:start w:val="1"/>
      <w:numFmt w:val="decimal"/>
      <w:lvlText w:val="%1.%2.%3.%4"/>
      <w:lvlJc w:val="left"/>
      <w:pPr>
        <w:ind w:left="720" w:hanging="720"/>
      </w:pPr>
      <w:rPr>
        <w:rFonts w:hint="default" w:ascii="Verdana" w:hAnsi="Calibri" w:eastAsia="Verdana"/>
        <w:b/>
      </w:rPr>
    </w:lvl>
    <w:lvl w:ilvl="4" w:tentative="0">
      <w:start w:val="1"/>
      <w:numFmt w:val="decimal"/>
      <w:lvlText w:val="%1.%2.%3.%4.%5"/>
      <w:lvlJc w:val="left"/>
      <w:pPr>
        <w:ind w:left="1080" w:hanging="1080"/>
      </w:pPr>
      <w:rPr>
        <w:rFonts w:hint="default" w:ascii="Verdana" w:hAnsi="Calibri" w:eastAsia="Verdana"/>
        <w:b/>
      </w:rPr>
    </w:lvl>
    <w:lvl w:ilvl="5" w:tentative="0">
      <w:start w:val="1"/>
      <w:numFmt w:val="decimal"/>
      <w:lvlText w:val="%1.%2.%3.%4.%5.%6"/>
      <w:lvlJc w:val="left"/>
      <w:pPr>
        <w:ind w:left="1080" w:hanging="1080"/>
      </w:pPr>
      <w:rPr>
        <w:rFonts w:hint="default" w:ascii="Verdana" w:hAnsi="Calibri" w:eastAsia="Verdana"/>
        <w:b/>
      </w:rPr>
    </w:lvl>
    <w:lvl w:ilvl="6" w:tentative="0">
      <w:start w:val="1"/>
      <w:numFmt w:val="decimal"/>
      <w:lvlText w:val="%1.%2.%3.%4.%5.%6.%7"/>
      <w:lvlJc w:val="left"/>
      <w:pPr>
        <w:ind w:left="1440" w:hanging="1440"/>
      </w:pPr>
      <w:rPr>
        <w:rFonts w:hint="default" w:ascii="Verdana" w:hAnsi="Calibri" w:eastAsia="Verdana"/>
        <w:b/>
      </w:rPr>
    </w:lvl>
    <w:lvl w:ilvl="7" w:tentative="0">
      <w:start w:val="1"/>
      <w:numFmt w:val="decimal"/>
      <w:lvlText w:val="%1.%2.%3.%4.%5.%6.%7.%8"/>
      <w:lvlJc w:val="left"/>
      <w:pPr>
        <w:ind w:left="1440" w:hanging="1440"/>
      </w:pPr>
      <w:rPr>
        <w:rFonts w:hint="default" w:ascii="Verdana" w:hAnsi="Calibri" w:eastAsia="Verdana"/>
        <w:b/>
      </w:rPr>
    </w:lvl>
    <w:lvl w:ilvl="8" w:tentative="0">
      <w:start w:val="1"/>
      <w:numFmt w:val="decimal"/>
      <w:lvlText w:val="%1.%2.%3.%4.%5.%6.%7.%8.%9"/>
      <w:lvlJc w:val="left"/>
      <w:pPr>
        <w:ind w:left="1800" w:hanging="1800"/>
      </w:pPr>
      <w:rPr>
        <w:rFonts w:hint="default" w:ascii="Verdana" w:hAnsi="Calibri" w:eastAsia="Verdana"/>
        <w:b/>
      </w:rPr>
    </w:lvl>
  </w:abstractNum>
  <w:abstractNum w:abstractNumId="1">
    <w:nsid w:val="0C2D4CB6"/>
    <w:multiLevelType w:val="multilevel"/>
    <w:tmpl w:val="0C2D4CB6"/>
    <w:lvl w:ilvl="0" w:tentative="0">
      <w:start w:val="1"/>
      <w:numFmt w:val="decimal"/>
      <w:lvlText w:val="%1"/>
      <w:lvlJc w:val="left"/>
      <w:pPr>
        <w:ind w:left="360" w:hanging="360"/>
      </w:pPr>
      <w:rPr>
        <w:rFonts w:hint="default"/>
      </w:rPr>
    </w:lvl>
    <w:lvl w:ilvl="1" w:tentative="0">
      <w:start w:val="1"/>
      <w:numFmt w:val="decimal"/>
      <w:pStyle w:val="860"/>
      <w:lvlText w:val="%1.%2"/>
      <w:lvlJc w:val="left"/>
      <w:pPr>
        <w:ind w:left="784" w:hanging="360"/>
      </w:pPr>
      <w:rPr>
        <w:rFonts w:hint="default"/>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2">
    <w:nsid w:val="132E757F"/>
    <w:multiLevelType w:val="multilevel"/>
    <w:tmpl w:val="132E757F"/>
    <w:lvl w:ilvl="0" w:tentative="0">
      <w:start w:val="1"/>
      <w:numFmt w:val="decimal"/>
      <w:lvlText w:val="%1"/>
      <w:lvlJc w:val="left"/>
      <w:pPr>
        <w:ind w:left="360" w:hanging="360"/>
      </w:pPr>
      <w:rPr>
        <w:rFonts w:hint="default"/>
      </w:rPr>
    </w:lvl>
    <w:lvl w:ilvl="1" w:tentative="0">
      <w:start w:val="1"/>
      <w:numFmt w:val="decimal"/>
      <w:pStyle w:val="923"/>
      <w:lvlText w:val="2.%2"/>
      <w:lvlJc w:val="left"/>
      <w:pPr>
        <w:ind w:left="784" w:hanging="360"/>
      </w:pPr>
      <w:rPr>
        <w:rFonts w:hint="eastAsia"/>
      </w:rPr>
    </w:lvl>
    <w:lvl w:ilvl="2" w:tentative="0">
      <w:start w:val="1"/>
      <w:numFmt w:val="decimal"/>
      <w:pStyle w:val="861"/>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3">
    <w:nsid w:val="21F03C51"/>
    <w:multiLevelType w:val="multilevel"/>
    <w:tmpl w:val="21F03C51"/>
    <w:lvl w:ilvl="0" w:tentative="0">
      <w:start w:val="1"/>
      <w:numFmt w:val="decimal"/>
      <w:pStyle w:val="943"/>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26570D68"/>
    <w:multiLevelType w:val="multilevel"/>
    <w:tmpl w:val="26570D68"/>
    <w:lvl w:ilvl="0" w:tentative="0">
      <w:start w:val="1"/>
      <w:numFmt w:val="decimal"/>
      <w:pStyle w:val="883"/>
      <w:lvlText w:val="%1"/>
      <w:lvlJc w:val="left"/>
      <w:pPr>
        <w:ind w:left="360" w:hanging="360"/>
      </w:pPr>
      <w:rPr>
        <w:rFonts w:hint="default"/>
      </w:rPr>
    </w:lvl>
    <w:lvl w:ilvl="1" w:tentative="0">
      <w:start w:val="1"/>
      <w:numFmt w:val="decimal"/>
      <w:lvlText w:val="8.%2"/>
      <w:lvlJc w:val="left"/>
      <w:pPr>
        <w:ind w:left="784" w:hanging="360"/>
      </w:pPr>
      <w:rPr>
        <w:rFonts w:hint="eastAsia"/>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5">
    <w:nsid w:val="38A835D5"/>
    <w:multiLevelType w:val="multilevel"/>
    <w:tmpl w:val="38A835D5"/>
    <w:lvl w:ilvl="0" w:tentative="0">
      <w:start w:val="1"/>
      <w:numFmt w:val="decimal"/>
      <w:pStyle w:val="16"/>
      <w:lvlText w:val="%1．"/>
      <w:lvlJc w:val="left"/>
      <w:pPr>
        <w:ind w:left="784" w:hanging="360"/>
      </w:pPr>
      <w:rPr>
        <w:rFonts w:hint="default"/>
      </w:rPr>
    </w:lvl>
    <w:lvl w:ilvl="1" w:tentative="0">
      <w:start w:val="1"/>
      <w:numFmt w:val="lowerLetter"/>
      <w:pStyle w:val="910"/>
      <w:lvlText w:val="%2)"/>
      <w:lvlJc w:val="left"/>
      <w:pPr>
        <w:ind w:left="1264" w:hanging="420"/>
      </w:pPr>
    </w:lvl>
    <w:lvl w:ilvl="2" w:tentative="0">
      <w:start w:val="1"/>
      <w:numFmt w:val="lowerRoman"/>
      <w:pStyle w:val="924"/>
      <w:lvlText w:val="%3."/>
      <w:lvlJc w:val="right"/>
      <w:pPr>
        <w:ind w:left="1684" w:hanging="420"/>
      </w:pPr>
    </w:lvl>
    <w:lvl w:ilvl="3" w:tentative="0">
      <w:start w:val="1"/>
      <w:numFmt w:val="decimal"/>
      <w:pStyle w:val="931"/>
      <w:lvlText w:val="%4."/>
      <w:lvlJc w:val="left"/>
      <w:pPr>
        <w:ind w:left="2104" w:hanging="420"/>
      </w:pPr>
    </w:lvl>
    <w:lvl w:ilvl="4" w:tentative="0">
      <w:start w:val="1"/>
      <w:numFmt w:val="lowerLetter"/>
      <w:lvlText w:val="%5)"/>
      <w:lvlJc w:val="left"/>
      <w:pPr>
        <w:ind w:left="2524" w:hanging="420"/>
      </w:pPr>
    </w:lvl>
    <w:lvl w:ilvl="5" w:tentative="0">
      <w:start w:val="1"/>
      <w:numFmt w:val="lowerRoman"/>
      <w:pStyle w:val="9"/>
      <w:lvlText w:val="%6."/>
      <w:lvlJc w:val="right"/>
      <w:pPr>
        <w:ind w:left="2944" w:hanging="420"/>
      </w:pPr>
    </w:lvl>
    <w:lvl w:ilvl="6" w:tentative="0">
      <w:start w:val="1"/>
      <w:numFmt w:val="decimal"/>
      <w:pStyle w:val="10"/>
      <w:lvlText w:val="%7."/>
      <w:lvlJc w:val="left"/>
      <w:pPr>
        <w:ind w:left="3364" w:hanging="420"/>
      </w:pPr>
    </w:lvl>
    <w:lvl w:ilvl="7" w:tentative="0">
      <w:start w:val="1"/>
      <w:numFmt w:val="lowerLetter"/>
      <w:pStyle w:val="11"/>
      <w:lvlText w:val="%8)"/>
      <w:lvlJc w:val="left"/>
      <w:pPr>
        <w:ind w:left="3784" w:hanging="420"/>
      </w:pPr>
    </w:lvl>
    <w:lvl w:ilvl="8" w:tentative="0">
      <w:start w:val="1"/>
      <w:numFmt w:val="lowerRoman"/>
      <w:pStyle w:val="12"/>
      <w:lvlText w:val="%9."/>
      <w:lvlJc w:val="right"/>
      <w:pPr>
        <w:ind w:left="4204" w:hanging="420"/>
      </w:pPr>
    </w:lvl>
  </w:abstractNum>
  <w:abstractNum w:abstractNumId="6">
    <w:nsid w:val="40D31E37"/>
    <w:multiLevelType w:val="multilevel"/>
    <w:tmpl w:val="40D31E37"/>
    <w:lvl w:ilvl="0" w:tentative="0">
      <w:start w:val="1"/>
      <w:numFmt w:val="decimal"/>
      <w:pStyle w:val="19"/>
      <w:lvlText w:val="%1"/>
      <w:lvlJc w:val="left"/>
      <w:pPr>
        <w:ind w:left="360" w:hanging="360"/>
      </w:pPr>
      <w:rPr>
        <w:rFonts w:hint="default"/>
      </w:rPr>
    </w:lvl>
    <w:lvl w:ilvl="1" w:tentative="0">
      <w:start w:val="1"/>
      <w:numFmt w:val="decimal"/>
      <w:lvlText w:val="5.%2"/>
      <w:lvlJc w:val="left"/>
      <w:pPr>
        <w:ind w:left="784" w:hanging="360"/>
      </w:pPr>
      <w:rPr>
        <w:rFonts w:hint="eastAsia"/>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7">
    <w:nsid w:val="423F2E1F"/>
    <w:multiLevelType w:val="multilevel"/>
    <w:tmpl w:val="423F2E1F"/>
    <w:lvl w:ilvl="0" w:tentative="0">
      <w:start w:val="1"/>
      <w:numFmt w:val="decimal"/>
      <w:pStyle w:val="513"/>
      <w:lvlText w:val="%1"/>
      <w:lvlJc w:val="left"/>
      <w:pPr>
        <w:ind w:left="360" w:hanging="360"/>
      </w:pPr>
      <w:rPr>
        <w:rFonts w:hint="default"/>
      </w:rPr>
    </w:lvl>
    <w:lvl w:ilvl="1" w:tentative="0">
      <w:start w:val="1"/>
      <w:numFmt w:val="decimal"/>
      <w:lvlText w:val="6.%2"/>
      <w:lvlJc w:val="left"/>
      <w:pPr>
        <w:ind w:left="784" w:hanging="360"/>
      </w:pPr>
      <w:rPr>
        <w:rFonts w:hint="eastAsia"/>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8">
    <w:nsid w:val="48C57175"/>
    <w:multiLevelType w:val="multilevel"/>
    <w:tmpl w:val="48C57175"/>
    <w:lvl w:ilvl="0" w:tentative="0">
      <w:start w:val="1"/>
      <w:numFmt w:val="bullet"/>
      <w:pStyle w:val="901"/>
      <w:lvlText w:val=""/>
      <w:lvlJc w:val="left"/>
      <w:pPr>
        <w:ind w:left="846" w:hanging="420"/>
      </w:pPr>
      <w:rPr>
        <w:rFonts w:hint="default" w:ascii="Microsoft YaHei UI" w:hAnsi="Microsoft YaHei UI"/>
      </w:rPr>
    </w:lvl>
    <w:lvl w:ilvl="1" w:tentative="0">
      <w:start w:val="1"/>
      <w:numFmt w:val="bullet"/>
      <w:lvlText w:val=""/>
      <w:lvlJc w:val="left"/>
      <w:pPr>
        <w:ind w:left="1266" w:hanging="420"/>
      </w:pPr>
      <w:rPr>
        <w:rFonts w:hint="default" w:ascii="Microsoft YaHei UI" w:hAnsi="Microsoft YaHei UI"/>
      </w:rPr>
    </w:lvl>
    <w:lvl w:ilvl="2" w:tentative="0">
      <w:start w:val="1"/>
      <w:numFmt w:val="bullet"/>
      <w:lvlText w:val=""/>
      <w:lvlJc w:val="left"/>
      <w:pPr>
        <w:ind w:left="1686" w:hanging="420"/>
      </w:pPr>
      <w:rPr>
        <w:rFonts w:hint="default" w:ascii="Microsoft YaHei UI" w:hAnsi="Microsoft YaHei UI"/>
      </w:rPr>
    </w:lvl>
    <w:lvl w:ilvl="3" w:tentative="0">
      <w:start w:val="1"/>
      <w:numFmt w:val="bullet"/>
      <w:lvlText w:val=""/>
      <w:lvlJc w:val="left"/>
      <w:pPr>
        <w:ind w:left="2106" w:hanging="420"/>
      </w:pPr>
      <w:rPr>
        <w:rFonts w:hint="default" w:ascii="Microsoft YaHei UI" w:hAnsi="Microsoft YaHei UI"/>
      </w:rPr>
    </w:lvl>
    <w:lvl w:ilvl="4" w:tentative="0">
      <w:start w:val="1"/>
      <w:numFmt w:val="bullet"/>
      <w:lvlText w:val=""/>
      <w:lvlJc w:val="left"/>
      <w:pPr>
        <w:ind w:left="2526" w:hanging="420"/>
      </w:pPr>
      <w:rPr>
        <w:rFonts w:hint="default" w:ascii="Microsoft YaHei UI" w:hAnsi="Microsoft YaHei UI"/>
      </w:rPr>
    </w:lvl>
    <w:lvl w:ilvl="5" w:tentative="0">
      <w:start w:val="1"/>
      <w:numFmt w:val="bullet"/>
      <w:lvlText w:val=""/>
      <w:lvlJc w:val="left"/>
      <w:pPr>
        <w:ind w:left="2946" w:hanging="420"/>
      </w:pPr>
      <w:rPr>
        <w:rFonts w:hint="default" w:ascii="Microsoft YaHei UI" w:hAnsi="Microsoft YaHei UI"/>
      </w:rPr>
    </w:lvl>
    <w:lvl w:ilvl="6" w:tentative="0">
      <w:start w:val="1"/>
      <w:numFmt w:val="bullet"/>
      <w:lvlText w:val=""/>
      <w:lvlJc w:val="left"/>
      <w:pPr>
        <w:ind w:left="3366" w:hanging="420"/>
      </w:pPr>
      <w:rPr>
        <w:rFonts w:hint="default" w:ascii="Microsoft YaHei UI" w:hAnsi="Microsoft YaHei UI"/>
      </w:rPr>
    </w:lvl>
    <w:lvl w:ilvl="7" w:tentative="0">
      <w:start w:val="1"/>
      <w:numFmt w:val="bullet"/>
      <w:lvlText w:val=""/>
      <w:lvlJc w:val="left"/>
      <w:pPr>
        <w:ind w:left="3786" w:hanging="420"/>
      </w:pPr>
      <w:rPr>
        <w:rFonts w:hint="default" w:ascii="Microsoft YaHei UI" w:hAnsi="Microsoft YaHei UI"/>
      </w:rPr>
    </w:lvl>
    <w:lvl w:ilvl="8" w:tentative="0">
      <w:start w:val="1"/>
      <w:numFmt w:val="bullet"/>
      <w:lvlText w:val=""/>
      <w:lvlJc w:val="left"/>
      <w:pPr>
        <w:ind w:left="4206" w:hanging="420"/>
      </w:pPr>
      <w:rPr>
        <w:rFonts w:hint="default" w:ascii="Microsoft YaHei UI" w:hAnsi="Microsoft YaHei UI"/>
      </w:rPr>
    </w:lvl>
  </w:abstractNum>
  <w:abstractNum w:abstractNumId="9">
    <w:nsid w:val="4ACD514A"/>
    <w:multiLevelType w:val="multilevel"/>
    <w:tmpl w:val="4ACD514A"/>
    <w:lvl w:ilvl="0" w:tentative="0">
      <w:start w:val="1"/>
      <w:numFmt w:val="decimal"/>
      <w:lvlText w:val="%1"/>
      <w:lvlJc w:val="left"/>
      <w:pPr>
        <w:ind w:left="360" w:hanging="360"/>
      </w:pPr>
      <w:rPr>
        <w:rFonts w:hint="default"/>
      </w:rPr>
    </w:lvl>
    <w:lvl w:ilvl="1" w:tentative="0">
      <w:start w:val="1"/>
      <w:numFmt w:val="decimal"/>
      <w:pStyle w:val="865"/>
      <w:lvlText w:val="4.%2"/>
      <w:lvlJc w:val="left"/>
      <w:pPr>
        <w:ind w:left="784" w:hanging="360"/>
      </w:pPr>
      <w:rPr>
        <w:rFonts w:hint="eastAsia"/>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10">
    <w:nsid w:val="4FA5370D"/>
    <w:multiLevelType w:val="multilevel"/>
    <w:tmpl w:val="4FA5370D"/>
    <w:lvl w:ilvl="0" w:tentative="0">
      <w:start w:val="1"/>
      <w:numFmt w:val="decimal"/>
      <w:lvlText w:val="%1．"/>
      <w:lvlJc w:val="left"/>
      <w:pPr>
        <w:ind w:left="784" w:hanging="360"/>
      </w:pPr>
      <w:rPr>
        <w:rFonts w:hint="default"/>
      </w:rPr>
    </w:lvl>
    <w:lvl w:ilvl="1" w:tentative="0">
      <w:start w:val="1"/>
      <w:numFmt w:val="decimal"/>
      <w:pStyle w:val="890"/>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39839D7"/>
    <w:multiLevelType w:val="multilevel"/>
    <w:tmpl w:val="539839D7"/>
    <w:lvl w:ilvl="0" w:tentative="0">
      <w:start w:val="1"/>
      <w:numFmt w:val="decimal"/>
      <w:lvlText w:val="7.%1"/>
      <w:lvlJc w:val="left"/>
      <w:pPr>
        <w:ind w:left="1204" w:hanging="420"/>
      </w:pPr>
      <w:rPr>
        <w:rFonts w:hint="eastAsia"/>
      </w:rPr>
    </w:lvl>
    <w:lvl w:ilvl="1" w:tentative="0">
      <w:start w:val="1"/>
      <w:numFmt w:val="lowerLetter"/>
      <w:pStyle w:val="933"/>
      <w:lvlText w:val="%2)"/>
      <w:lvlJc w:val="left"/>
      <w:pPr>
        <w:ind w:left="1624" w:hanging="420"/>
      </w:pPr>
    </w:lvl>
    <w:lvl w:ilvl="2" w:tentative="0">
      <w:start w:val="1"/>
      <w:numFmt w:val="lowerRoman"/>
      <w:lvlText w:val="%3."/>
      <w:lvlJc w:val="right"/>
      <w:pPr>
        <w:ind w:left="2044" w:hanging="420"/>
      </w:pPr>
    </w:lvl>
    <w:lvl w:ilvl="3" w:tentative="0">
      <w:start w:val="1"/>
      <w:numFmt w:val="decimal"/>
      <w:lvlText w:val="%4."/>
      <w:lvlJc w:val="left"/>
      <w:pPr>
        <w:ind w:left="2464" w:hanging="420"/>
      </w:pPr>
    </w:lvl>
    <w:lvl w:ilvl="4" w:tentative="0">
      <w:start w:val="1"/>
      <w:numFmt w:val="lowerLetter"/>
      <w:lvlText w:val="%5)"/>
      <w:lvlJc w:val="left"/>
      <w:pPr>
        <w:ind w:left="2884" w:hanging="420"/>
      </w:pPr>
    </w:lvl>
    <w:lvl w:ilvl="5" w:tentative="0">
      <w:start w:val="1"/>
      <w:numFmt w:val="lowerRoman"/>
      <w:lvlText w:val="%6."/>
      <w:lvlJc w:val="right"/>
      <w:pPr>
        <w:ind w:left="3304" w:hanging="420"/>
      </w:pPr>
    </w:lvl>
    <w:lvl w:ilvl="6" w:tentative="0">
      <w:start w:val="1"/>
      <w:numFmt w:val="decimal"/>
      <w:lvlText w:val="%7."/>
      <w:lvlJc w:val="left"/>
      <w:pPr>
        <w:ind w:left="3724" w:hanging="420"/>
      </w:pPr>
    </w:lvl>
    <w:lvl w:ilvl="7" w:tentative="0">
      <w:start w:val="1"/>
      <w:numFmt w:val="lowerLetter"/>
      <w:lvlText w:val="%8)"/>
      <w:lvlJc w:val="left"/>
      <w:pPr>
        <w:ind w:left="4144" w:hanging="420"/>
      </w:pPr>
    </w:lvl>
    <w:lvl w:ilvl="8" w:tentative="0">
      <w:start w:val="1"/>
      <w:numFmt w:val="lowerRoman"/>
      <w:lvlText w:val="%9."/>
      <w:lvlJc w:val="right"/>
      <w:pPr>
        <w:ind w:left="4564" w:hanging="420"/>
      </w:pPr>
    </w:lvl>
  </w:abstractNum>
  <w:abstractNum w:abstractNumId="12">
    <w:nsid w:val="577E42C6"/>
    <w:multiLevelType w:val="multilevel"/>
    <w:tmpl w:val="577E42C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57D3FBC"/>
    <w:multiLevelType w:val="multilevel"/>
    <w:tmpl w:val="657D3FBC"/>
    <w:lvl w:ilvl="0" w:tentative="0">
      <w:start w:val="1"/>
      <w:numFmt w:val="upperLetter"/>
      <w:pStyle w:val="970"/>
      <w:suff w:val="nothing"/>
      <w:lvlText w:val="附　录　%1"/>
      <w:lvlJc w:val="left"/>
      <w:pPr>
        <w:ind w:left="0" w:firstLine="0"/>
      </w:pPr>
      <w:rPr>
        <w:rFonts w:hint="eastAsia" w:ascii="Verdana" w:hAnsi="Arial Unicode MS" w:eastAsia="Verdana"/>
        <w:b w:val="0"/>
        <w:i w:val="0"/>
        <w:spacing w:val="0"/>
        <w:w w:val="100"/>
        <w:sz w:val="21"/>
      </w:rPr>
    </w:lvl>
    <w:lvl w:ilvl="1" w:tentative="0">
      <w:start w:val="1"/>
      <w:numFmt w:val="decimal"/>
      <w:pStyle w:val="975"/>
      <w:suff w:val="nothing"/>
      <w:lvlText w:val="%1.%2　"/>
      <w:lvlJc w:val="left"/>
      <w:pPr>
        <w:ind w:left="0" w:firstLine="0"/>
      </w:pPr>
      <w:rPr>
        <w:rFonts w:hint="eastAsia" w:ascii="Verdana" w:hAnsi="Arial Unicode MS" w:eastAsia="Verdana"/>
        <w:b w:val="0"/>
        <w:i w:val="0"/>
        <w:spacing w:val="0"/>
        <w:w w:val="100"/>
        <w:kern w:val="21"/>
        <w:sz w:val="21"/>
      </w:rPr>
    </w:lvl>
    <w:lvl w:ilvl="2" w:tentative="0">
      <w:start w:val="1"/>
      <w:numFmt w:val="decimal"/>
      <w:pStyle w:val="976"/>
      <w:suff w:val="nothing"/>
      <w:lvlText w:val="%1.%2.%3　"/>
      <w:lvlJc w:val="left"/>
      <w:pPr>
        <w:ind w:left="993" w:firstLine="0"/>
      </w:pPr>
      <w:rPr>
        <w:rFonts w:hint="eastAsia" w:ascii="Verdana" w:hAnsi="Arial Unicode MS" w:eastAsia="Verdana"/>
        <w:b w:val="0"/>
        <w:i w:val="0"/>
        <w:sz w:val="21"/>
      </w:rPr>
    </w:lvl>
    <w:lvl w:ilvl="3" w:tentative="0">
      <w:start w:val="1"/>
      <w:numFmt w:val="decimal"/>
      <w:pStyle w:val="971"/>
      <w:suff w:val="nothing"/>
      <w:lvlText w:val="%1.%2.%3.%4　"/>
      <w:lvlJc w:val="left"/>
      <w:pPr>
        <w:ind w:left="1277" w:firstLine="0"/>
      </w:pPr>
      <w:rPr>
        <w:rFonts w:hint="eastAsia" w:ascii="Verdana" w:hAnsi="Arial Unicode MS" w:eastAsia="Verdana"/>
        <w:b w:val="0"/>
        <w:i w:val="0"/>
        <w:sz w:val="21"/>
      </w:rPr>
    </w:lvl>
    <w:lvl w:ilvl="4" w:tentative="0">
      <w:start w:val="1"/>
      <w:numFmt w:val="decimal"/>
      <w:pStyle w:val="972"/>
      <w:suff w:val="nothing"/>
      <w:lvlText w:val="%1.%2.%3.%4.%5　"/>
      <w:lvlJc w:val="left"/>
      <w:pPr>
        <w:ind w:left="1135" w:firstLine="0"/>
      </w:pPr>
      <w:rPr>
        <w:rFonts w:hint="eastAsia" w:ascii="Verdana" w:hAnsi="Arial Unicode MS" w:eastAsia="Verdana"/>
        <w:b w:val="0"/>
        <w:i w:val="0"/>
        <w:sz w:val="21"/>
      </w:rPr>
    </w:lvl>
    <w:lvl w:ilvl="5" w:tentative="0">
      <w:start w:val="1"/>
      <w:numFmt w:val="decimal"/>
      <w:pStyle w:val="973"/>
      <w:suff w:val="nothing"/>
      <w:lvlText w:val="%1.%2.%3.%4.%5.%6　"/>
      <w:lvlJc w:val="left"/>
      <w:pPr>
        <w:ind w:left="0" w:firstLine="0"/>
      </w:pPr>
      <w:rPr>
        <w:rFonts w:hint="eastAsia" w:ascii="Verdana" w:hAnsi="Arial Unicode MS" w:eastAsia="Verdana"/>
        <w:b w:val="0"/>
        <w:i w:val="0"/>
        <w:sz w:val="21"/>
      </w:rPr>
    </w:lvl>
    <w:lvl w:ilvl="6" w:tentative="0">
      <w:start w:val="1"/>
      <w:numFmt w:val="decimal"/>
      <w:pStyle w:val="974"/>
      <w:suff w:val="nothing"/>
      <w:lvlText w:val="%1.%2.%3.%4.%5.%6.%7　"/>
      <w:lvlJc w:val="left"/>
      <w:pPr>
        <w:ind w:left="0" w:firstLine="0"/>
      </w:pPr>
      <w:rPr>
        <w:rFonts w:hint="eastAsia" w:ascii="Verdana" w:hAnsi="Arial Unicode MS" w:eastAsia="Verdana"/>
        <w:b w:val="0"/>
        <w:i w:val="0"/>
        <w:sz w:val="21"/>
      </w:r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4">
    <w:nsid w:val="7272406F"/>
    <w:multiLevelType w:val="multilevel"/>
    <w:tmpl w:val="7272406F"/>
    <w:lvl w:ilvl="0" w:tentative="0">
      <w:start w:val="1"/>
      <w:numFmt w:val="decimal"/>
      <w:pStyle w:val="891"/>
      <w:lvlText w:val="%1"/>
      <w:lvlJc w:val="left"/>
      <w:pPr>
        <w:ind w:left="360" w:hanging="360"/>
      </w:pPr>
      <w:rPr>
        <w:rFonts w:hint="default"/>
      </w:rPr>
    </w:lvl>
    <w:lvl w:ilvl="1" w:tentative="0">
      <w:start w:val="1"/>
      <w:numFmt w:val="decimal"/>
      <w:lvlText w:val="4.%2"/>
      <w:lvlJc w:val="left"/>
      <w:pPr>
        <w:ind w:left="784" w:hanging="360"/>
      </w:pPr>
      <w:rPr>
        <w:rFonts w:hint="eastAsia"/>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abstractNum w:abstractNumId="15">
    <w:nsid w:val="72E50F8E"/>
    <w:multiLevelType w:val="multilevel"/>
    <w:tmpl w:val="72E50F8E"/>
    <w:lvl w:ilvl="0" w:tentative="0">
      <w:start w:val="1"/>
      <w:numFmt w:val="decimal"/>
      <w:pStyle w:val="938"/>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6">
    <w:nsid w:val="7C150A52"/>
    <w:multiLevelType w:val="multilevel"/>
    <w:tmpl w:val="7C150A52"/>
    <w:lvl w:ilvl="0" w:tentative="0">
      <w:start w:val="1"/>
      <w:numFmt w:val="decimal"/>
      <w:lvlText w:val="8.%1"/>
      <w:lvlJc w:val="left"/>
      <w:pPr>
        <w:ind w:left="1204" w:hanging="420"/>
      </w:pPr>
      <w:rPr>
        <w:rFonts w:hint="eastAsia"/>
      </w:rPr>
    </w:lvl>
    <w:lvl w:ilvl="1" w:tentative="0">
      <w:start w:val="1"/>
      <w:numFmt w:val="lowerLetter"/>
      <w:pStyle w:val="862"/>
      <w:lvlText w:val="%2)"/>
      <w:lvlJc w:val="left"/>
      <w:pPr>
        <w:ind w:left="1624" w:hanging="420"/>
      </w:pPr>
    </w:lvl>
    <w:lvl w:ilvl="2" w:tentative="0">
      <w:start w:val="1"/>
      <w:numFmt w:val="lowerRoman"/>
      <w:lvlText w:val="%3."/>
      <w:lvlJc w:val="right"/>
      <w:pPr>
        <w:ind w:left="2044" w:hanging="420"/>
      </w:pPr>
    </w:lvl>
    <w:lvl w:ilvl="3" w:tentative="0">
      <w:start w:val="1"/>
      <w:numFmt w:val="decimal"/>
      <w:lvlText w:val="%4."/>
      <w:lvlJc w:val="left"/>
      <w:pPr>
        <w:ind w:left="2464" w:hanging="420"/>
      </w:pPr>
    </w:lvl>
    <w:lvl w:ilvl="4" w:tentative="0">
      <w:start w:val="1"/>
      <w:numFmt w:val="lowerLetter"/>
      <w:lvlText w:val="%5)"/>
      <w:lvlJc w:val="left"/>
      <w:pPr>
        <w:ind w:left="2884" w:hanging="420"/>
      </w:pPr>
    </w:lvl>
    <w:lvl w:ilvl="5" w:tentative="0">
      <w:start w:val="1"/>
      <w:numFmt w:val="lowerRoman"/>
      <w:lvlText w:val="%6."/>
      <w:lvlJc w:val="right"/>
      <w:pPr>
        <w:ind w:left="3304" w:hanging="420"/>
      </w:pPr>
    </w:lvl>
    <w:lvl w:ilvl="6" w:tentative="0">
      <w:start w:val="1"/>
      <w:numFmt w:val="decimal"/>
      <w:lvlText w:val="%7."/>
      <w:lvlJc w:val="left"/>
      <w:pPr>
        <w:ind w:left="3724" w:hanging="420"/>
      </w:pPr>
    </w:lvl>
    <w:lvl w:ilvl="7" w:tentative="0">
      <w:start w:val="1"/>
      <w:numFmt w:val="lowerLetter"/>
      <w:lvlText w:val="%8)"/>
      <w:lvlJc w:val="left"/>
      <w:pPr>
        <w:ind w:left="4144" w:hanging="420"/>
      </w:pPr>
    </w:lvl>
    <w:lvl w:ilvl="8" w:tentative="0">
      <w:start w:val="1"/>
      <w:numFmt w:val="lowerRoman"/>
      <w:lvlText w:val="%9."/>
      <w:lvlJc w:val="right"/>
      <w:pPr>
        <w:ind w:left="4564" w:hanging="420"/>
      </w:pPr>
    </w:lvl>
  </w:abstractNum>
  <w:abstractNum w:abstractNumId="17">
    <w:nsid w:val="7FC2193F"/>
    <w:multiLevelType w:val="multilevel"/>
    <w:tmpl w:val="7FC2193F"/>
    <w:lvl w:ilvl="0" w:tentative="0">
      <w:start w:val="1"/>
      <w:numFmt w:val="decimal"/>
      <w:pStyle w:val="877"/>
      <w:lvlText w:val="%1"/>
      <w:lvlJc w:val="left"/>
      <w:pPr>
        <w:ind w:left="360" w:hanging="360"/>
      </w:pPr>
      <w:rPr>
        <w:rFonts w:hint="default"/>
      </w:rPr>
    </w:lvl>
    <w:lvl w:ilvl="1" w:tentative="0">
      <w:start w:val="1"/>
      <w:numFmt w:val="decimal"/>
      <w:lvlText w:val="7.%2"/>
      <w:lvlJc w:val="left"/>
      <w:pPr>
        <w:ind w:left="784" w:hanging="360"/>
      </w:pPr>
      <w:rPr>
        <w:rFonts w:hint="eastAsia"/>
      </w:rPr>
    </w:lvl>
    <w:lvl w:ilvl="2" w:tentative="0">
      <w:start w:val="1"/>
      <w:numFmt w:val="decimal"/>
      <w:lvlText w:val="%1.%2.%3"/>
      <w:lvlJc w:val="left"/>
      <w:pPr>
        <w:ind w:left="1568" w:hanging="720"/>
      </w:pPr>
      <w:rPr>
        <w:rFonts w:hint="default"/>
      </w:rPr>
    </w:lvl>
    <w:lvl w:ilvl="3" w:tentative="0">
      <w:start w:val="1"/>
      <w:numFmt w:val="decimal"/>
      <w:lvlText w:val="%1.%2.%3.%4"/>
      <w:lvlJc w:val="left"/>
      <w:pPr>
        <w:ind w:left="1992" w:hanging="720"/>
      </w:pPr>
      <w:rPr>
        <w:rFonts w:hint="default"/>
      </w:rPr>
    </w:lvl>
    <w:lvl w:ilvl="4" w:tentative="0">
      <w:start w:val="1"/>
      <w:numFmt w:val="decimal"/>
      <w:lvlText w:val="%1.%2.%3.%4.%5"/>
      <w:lvlJc w:val="left"/>
      <w:pPr>
        <w:ind w:left="2776" w:hanging="1080"/>
      </w:pPr>
      <w:rPr>
        <w:rFonts w:hint="default"/>
      </w:rPr>
    </w:lvl>
    <w:lvl w:ilvl="5" w:tentative="0">
      <w:start w:val="1"/>
      <w:numFmt w:val="decimal"/>
      <w:lvlText w:val="%1.%2.%3.%4.%5.%6"/>
      <w:lvlJc w:val="left"/>
      <w:pPr>
        <w:ind w:left="3200" w:hanging="1080"/>
      </w:pPr>
      <w:rPr>
        <w:rFonts w:hint="default"/>
      </w:rPr>
    </w:lvl>
    <w:lvl w:ilvl="6" w:tentative="0">
      <w:start w:val="1"/>
      <w:numFmt w:val="decimal"/>
      <w:lvlText w:val="%1.%2.%3.%4.%5.%6.%7"/>
      <w:lvlJc w:val="left"/>
      <w:pPr>
        <w:ind w:left="3624" w:hanging="1080"/>
      </w:pPr>
      <w:rPr>
        <w:rFonts w:hint="default"/>
      </w:rPr>
    </w:lvl>
    <w:lvl w:ilvl="7" w:tentative="0">
      <w:start w:val="1"/>
      <w:numFmt w:val="decimal"/>
      <w:lvlText w:val="%1.%2.%3.%4.%5.%6.%7.%8"/>
      <w:lvlJc w:val="left"/>
      <w:pPr>
        <w:ind w:left="4408" w:hanging="1440"/>
      </w:pPr>
      <w:rPr>
        <w:rFonts w:hint="default"/>
      </w:rPr>
    </w:lvl>
    <w:lvl w:ilvl="8" w:tentative="0">
      <w:start w:val="1"/>
      <w:numFmt w:val="decimal"/>
      <w:lvlText w:val="%1.%2.%3.%4.%5.%6.%7.%8.%9"/>
      <w:lvlJc w:val="left"/>
      <w:pPr>
        <w:ind w:left="4832" w:hanging="1440"/>
      </w:pPr>
      <w:rPr>
        <w:rFonts w:hint="default"/>
      </w:rPr>
    </w:lvl>
  </w:abstractNum>
  <w:num w:numId="1">
    <w:abstractNumId w:val="5"/>
  </w:num>
  <w:num w:numId="2">
    <w:abstractNumId w:val="6"/>
  </w:num>
  <w:num w:numId="3">
    <w:abstractNumId w:val="7"/>
  </w:num>
  <w:num w:numId="4">
    <w:abstractNumId w:val="0"/>
  </w:num>
  <w:num w:numId="5">
    <w:abstractNumId w:val="1"/>
  </w:num>
  <w:num w:numId="6">
    <w:abstractNumId w:val="2"/>
  </w:num>
  <w:num w:numId="7">
    <w:abstractNumId w:val="16"/>
  </w:num>
  <w:num w:numId="8">
    <w:abstractNumId w:val="9"/>
  </w:num>
  <w:num w:numId="9">
    <w:abstractNumId w:val="17"/>
  </w:num>
  <w:num w:numId="10">
    <w:abstractNumId w:val="4"/>
  </w:num>
  <w:num w:numId="11">
    <w:abstractNumId w:val="10"/>
  </w:num>
  <w:num w:numId="12">
    <w:abstractNumId w:val="14"/>
  </w:num>
  <w:num w:numId="13">
    <w:abstractNumId w:val="8"/>
  </w:num>
  <w:num w:numId="14">
    <w:abstractNumId w:val="11"/>
  </w:num>
  <w:num w:numId="15">
    <w:abstractNumId w:val="15"/>
  </w:num>
  <w:num w:numId="16">
    <w:abstractNumId w:val="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420"/>
  <w:drawingGridHorizontalSpacing w:val="100"/>
  <w:drawingGridVerticalSpacing w:val="14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I0OTg3MjAwODE4MjFmZDQxMzE2YjEwYzk4MmU5YmMifQ=="/>
  </w:docVars>
  <w:rsids>
    <w:rsidRoot w:val="00D40B6F"/>
    <w:rsid w:val="0000021E"/>
    <w:rsid w:val="0000073C"/>
    <w:rsid w:val="00001DED"/>
    <w:rsid w:val="00001F14"/>
    <w:rsid w:val="000020E1"/>
    <w:rsid w:val="00002468"/>
    <w:rsid w:val="00003327"/>
    <w:rsid w:val="000034BA"/>
    <w:rsid w:val="000034FC"/>
    <w:rsid w:val="00003B17"/>
    <w:rsid w:val="00003FBA"/>
    <w:rsid w:val="00004291"/>
    <w:rsid w:val="00004327"/>
    <w:rsid w:val="00005617"/>
    <w:rsid w:val="00005A68"/>
    <w:rsid w:val="00006BC4"/>
    <w:rsid w:val="00006CC2"/>
    <w:rsid w:val="0001052A"/>
    <w:rsid w:val="000109B0"/>
    <w:rsid w:val="00011303"/>
    <w:rsid w:val="000118B2"/>
    <w:rsid w:val="00011B2D"/>
    <w:rsid w:val="00012B60"/>
    <w:rsid w:val="00012F04"/>
    <w:rsid w:val="000130AB"/>
    <w:rsid w:val="00013B2F"/>
    <w:rsid w:val="000151D0"/>
    <w:rsid w:val="00015740"/>
    <w:rsid w:val="0001612A"/>
    <w:rsid w:val="000164AF"/>
    <w:rsid w:val="000169E5"/>
    <w:rsid w:val="00016B6A"/>
    <w:rsid w:val="00016BC2"/>
    <w:rsid w:val="00016F10"/>
    <w:rsid w:val="000171B9"/>
    <w:rsid w:val="00020A3D"/>
    <w:rsid w:val="00020F3B"/>
    <w:rsid w:val="00021D86"/>
    <w:rsid w:val="000224B8"/>
    <w:rsid w:val="00022771"/>
    <w:rsid w:val="00022B18"/>
    <w:rsid w:val="00022D7D"/>
    <w:rsid w:val="00022EE6"/>
    <w:rsid w:val="00023342"/>
    <w:rsid w:val="000236F9"/>
    <w:rsid w:val="00023DC1"/>
    <w:rsid w:val="00023EF1"/>
    <w:rsid w:val="00023FF5"/>
    <w:rsid w:val="000244B5"/>
    <w:rsid w:val="000246DC"/>
    <w:rsid w:val="00024A08"/>
    <w:rsid w:val="00024CF6"/>
    <w:rsid w:val="00025C60"/>
    <w:rsid w:val="00025FFB"/>
    <w:rsid w:val="00026006"/>
    <w:rsid w:val="0002619D"/>
    <w:rsid w:val="000264E9"/>
    <w:rsid w:val="00026E2F"/>
    <w:rsid w:val="000274B2"/>
    <w:rsid w:val="000278D9"/>
    <w:rsid w:val="000300E8"/>
    <w:rsid w:val="00030735"/>
    <w:rsid w:val="00030DCA"/>
    <w:rsid w:val="000330EA"/>
    <w:rsid w:val="00033C0C"/>
    <w:rsid w:val="000341AE"/>
    <w:rsid w:val="0003455E"/>
    <w:rsid w:val="000346F7"/>
    <w:rsid w:val="000351B6"/>
    <w:rsid w:val="00035AD7"/>
    <w:rsid w:val="00036158"/>
    <w:rsid w:val="00036166"/>
    <w:rsid w:val="0003628F"/>
    <w:rsid w:val="00036667"/>
    <w:rsid w:val="00036741"/>
    <w:rsid w:val="000401D7"/>
    <w:rsid w:val="0004132C"/>
    <w:rsid w:val="00041B07"/>
    <w:rsid w:val="00041EB7"/>
    <w:rsid w:val="00042186"/>
    <w:rsid w:val="000421A3"/>
    <w:rsid w:val="0004231E"/>
    <w:rsid w:val="000424CB"/>
    <w:rsid w:val="000426C9"/>
    <w:rsid w:val="00043775"/>
    <w:rsid w:val="0004398C"/>
    <w:rsid w:val="00043AC2"/>
    <w:rsid w:val="00043B08"/>
    <w:rsid w:val="00043DA7"/>
    <w:rsid w:val="000442B2"/>
    <w:rsid w:val="00044C70"/>
    <w:rsid w:val="00045150"/>
    <w:rsid w:val="000458AE"/>
    <w:rsid w:val="00045A43"/>
    <w:rsid w:val="00045B44"/>
    <w:rsid w:val="00045C03"/>
    <w:rsid w:val="00045D48"/>
    <w:rsid w:val="000462EB"/>
    <w:rsid w:val="000465AF"/>
    <w:rsid w:val="000467F3"/>
    <w:rsid w:val="00046CC8"/>
    <w:rsid w:val="00047002"/>
    <w:rsid w:val="000475FA"/>
    <w:rsid w:val="00050120"/>
    <w:rsid w:val="00050209"/>
    <w:rsid w:val="000506FE"/>
    <w:rsid w:val="00050EDC"/>
    <w:rsid w:val="0005111E"/>
    <w:rsid w:val="00051BE0"/>
    <w:rsid w:val="00051D3D"/>
    <w:rsid w:val="00051EEF"/>
    <w:rsid w:val="00052289"/>
    <w:rsid w:val="000531E6"/>
    <w:rsid w:val="00053222"/>
    <w:rsid w:val="000549E5"/>
    <w:rsid w:val="00054BBD"/>
    <w:rsid w:val="000552E3"/>
    <w:rsid w:val="00055DFF"/>
    <w:rsid w:val="0005650D"/>
    <w:rsid w:val="000568D1"/>
    <w:rsid w:val="00056972"/>
    <w:rsid w:val="00056C2E"/>
    <w:rsid w:val="000572EF"/>
    <w:rsid w:val="000574A6"/>
    <w:rsid w:val="00057B54"/>
    <w:rsid w:val="00057C80"/>
    <w:rsid w:val="00057E46"/>
    <w:rsid w:val="00060F18"/>
    <w:rsid w:val="0006113C"/>
    <w:rsid w:val="00061961"/>
    <w:rsid w:val="00061A88"/>
    <w:rsid w:val="00061C46"/>
    <w:rsid w:val="00061C69"/>
    <w:rsid w:val="000621B5"/>
    <w:rsid w:val="0006222C"/>
    <w:rsid w:val="00062ADD"/>
    <w:rsid w:val="000636A7"/>
    <w:rsid w:val="000638EE"/>
    <w:rsid w:val="0006462C"/>
    <w:rsid w:val="0006462E"/>
    <w:rsid w:val="000663A1"/>
    <w:rsid w:val="0006651C"/>
    <w:rsid w:val="000672E6"/>
    <w:rsid w:val="000674C6"/>
    <w:rsid w:val="00067B3C"/>
    <w:rsid w:val="00067D30"/>
    <w:rsid w:val="00067EAA"/>
    <w:rsid w:val="0007014B"/>
    <w:rsid w:val="0007047E"/>
    <w:rsid w:val="0007065B"/>
    <w:rsid w:val="000706E0"/>
    <w:rsid w:val="00070A6D"/>
    <w:rsid w:val="00071503"/>
    <w:rsid w:val="00071A12"/>
    <w:rsid w:val="00071DCF"/>
    <w:rsid w:val="00072BF1"/>
    <w:rsid w:val="00072ED0"/>
    <w:rsid w:val="00073B06"/>
    <w:rsid w:val="0007437B"/>
    <w:rsid w:val="00074382"/>
    <w:rsid w:val="00074A0D"/>
    <w:rsid w:val="00075022"/>
    <w:rsid w:val="00075177"/>
    <w:rsid w:val="000752A7"/>
    <w:rsid w:val="000758EE"/>
    <w:rsid w:val="00076635"/>
    <w:rsid w:val="00076EA0"/>
    <w:rsid w:val="000770A2"/>
    <w:rsid w:val="00077426"/>
    <w:rsid w:val="00077435"/>
    <w:rsid w:val="00077846"/>
    <w:rsid w:val="0008003F"/>
    <w:rsid w:val="00080304"/>
    <w:rsid w:val="000806AE"/>
    <w:rsid w:val="00080D04"/>
    <w:rsid w:val="000812E2"/>
    <w:rsid w:val="0008209C"/>
    <w:rsid w:val="0008336A"/>
    <w:rsid w:val="000833BB"/>
    <w:rsid w:val="000846AE"/>
    <w:rsid w:val="000847CB"/>
    <w:rsid w:val="00084AED"/>
    <w:rsid w:val="0008560C"/>
    <w:rsid w:val="000858EE"/>
    <w:rsid w:val="00086E52"/>
    <w:rsid w:val="00086E55"/>
    <w:rsid w:val="000872C6"/>
    <w:rsid w:val="00090202"/>
    <w:rsid w:val="00090739"/>
    <w:rsid w:val="00090D82"/>
    <w:rsid w:val="00090D8C"/>
    <w:rsid w:val="0009136D"/>
    <w:rsid w:val="00091664"/>
    <w:rsid w:val="00091D50"/>
    <w:rsid w:val="00091F23"/>
    <w:rsid w:val="00092414"/>
    <w:rsid w:val="00092857"/>
    <w:rsid w:val="0009418F"/>
    <w:rsid w:val="00094941"/>
    <w:rsid w:val="00094E4E"/>
    <w:rsid w:val="0009555F"/>
    <w:rsid w:val="0009617E"/>
    <w:rsid w:val="0009624B"/>
    <w:rsid w:val="00096727"/>
    <w:rsid w:val="0009672C"/>
    <w:rsid w:val="00097148"/>
    <w:rsid w:val="00097590"/>
    <w:rsid w:val="00097974"/>
    <w:rsid w:val="00097DF4"/>
    <w:rsid w:val="000A05D7"/>
    <w:rsid w:val="000A155E"/>
    <w:rsid w:val="000A1654"/>
    <w:rsid w:val="000A195C"/>
    <w:rsid w:val="000A195F"/>
    <w:rsid w:val="000A2D6E"/>
    <w:rsid w:val="000A2F54"/>
    <w:rsid w:val="000A4B57"/>
    <w:rsid w:val="000A5CA9"/>
    <w:rsid w:val="000A6536"/>
    <w:rsid w:val="000A69B1"/>
    <w:rsid w:val="000A6C0E"/>
    <w:rsid w:val="000A79E6"/>
    <w:rsid w:val="000B06AC"/>
    <w:rsid w:val="000B0A3D"/>
    <w:rsid w:val="000B1D31"/>
    <w:rsid w:val="000B1D5C"/>
    <w:rsid w:val="000B1E4C"/>
    <w:rsid w:val="000B24E5"/>
    <w:rsid w:val="000B27ED"/>
    <w:rsid w:val="000B29FE"/>
    <w:rsid w:val="000B374D"/>
    <w:rsid w:val="000B37BA"/>
    <w:rsid w:val="000B3AB2"/>
    <w:rsid w:val="000B4551"/>
    <w:rsid w:val="000B4936"/>
    <w:rsid w:val="000B5326"/>
    <w:rsid w:val="000B5517"/>
    <w:rsid w:val="000B5A59"/>
    <w:rsid w:val="000B5D6E"/>
    <w:rsid w:val="000B6D93"/>
    <w:rsid w:val="000B75B0"/>
    <w:rsid w:val="000B7662"/>
    <w:rsid w:val="000B7941"/>
    <w:rsid w:val="000B79CC"/>
    <w:rsid w:val="000B7DCE"/>
    <w:rsid w:val="000C0B4A"/>
    <w:rsid w:val="000C17F1"/>
    <w:rsid w:val="000C1DC6"/>
    <w:rsid w:val="000C1E19"/>
    <w:rsid w:val="000C228C"/>
    <w:rsid w:val="000C259A"/>
    <w:rsid w:val="000C2F3E"/>
    <w:rsid w:val="000C33CE"/>
    <w:rsid w:val="000C36B5"/>
    <w:rsid w:val="000C3F06"/>
    <w:rsid w:val="000C4AF3"/>
    <w:rsid w:val="000C52A9"/>
    <w:rsid w:val="000C545C"/>
    <w:rsid w:val="000C555A"/>
    <w:rsid w:val="000C57A8"/>
    <w:rsid w:val="000C672B"/>
    <w:rsid w:val="000C7037"/>
    <w:rsid w:val="000C7139"/>
    <w:rsid w:val="000C7B00"/>
    <w:rsid w:val="000D0042"/>
    <w:rsid w:val="000D046C"/>
    <w:rsid w:val="000D06CF"/>
    <w:rsid w:val="000D071A"/>
    <w:rsid w:val="000D119F"/>
    <w:rsid w:val="000D1E69"/>
    <w:rsid w:val="000D37BD"/>
    <w:rsid w:val="000D426D"/>
    <w:rsid w:val="000D4C51"/>
    <w:rsid w:val="000D50AF"/>
    <w:rsid w:val="000D5AAF"/>
    <w:rsid w:val="000D6040"/>
    <w:rsid w:val="000D6149"/>
    <w:rsid w:val="000D680F"/>
    <w:rsid w:val="000D6B50"/>
    <w:rsid w:val="000D6D5F"/>
    <w:rsid w:val="000D7649"/>
    <w:rsid w:val="000D78F0"/>
    <w:rsid w:val="000E0255"/>
    <w:rsid w:val="000E054D"/>
    <w:rsid w:val="000E0685"/>
    <w:rsid w:val="000E0AB2"/>
    <w:rsid w:val="000E0E27"/>
    <w:rsid w:val="000E0F09"/>
    <w:rsid w:val="000E1417"/>
    <w:rsid w:val="000E147A"/>
    <w:rsid w:val="000E150D"/>
    <w:rsid w:val="000E255F"/>
    <w:rsid w:val="000E36EB"/>
    <w:rsid w:val="000E38F7"/>
    <w:rsid w:val="000E3D9F"/>
    <w:rsid w:val="000E4416"/>
    <w:rsid w:val="000E515A"/>
    <w:rsid w:val="000E5535"/>
    <w:rsid w:val="000E5D37"/>
    <w:rsid w:val="000E5DBD"/>
    <w:rsid w:val="000E60E1"/>
    <w:rsid w:val="000E6A82"/>
    <w:rsid w:val="000E6B7C"/>
    <w:rsid w:val="000E6F61"/>
    <w:rsid w:val="000E7505"/>
    <w:rsid w:val="000E799F"/>
    <w:rsid w:val="000E7B00"/>
    <w:rsid w:val="000E7B9B"/>
    <w:rsid w:val="000F0032"/>
    <w:rsid w:val="000F1035"/>
    <w:rsid w:val="000F1986"/>
    <w:rsid w:val="000F1CCB"/>
    <w:rsid w:val="000F2018"/>
    <w:rsid w:val="000F22E2"/>
    <w:rsid w:val="000F2734"/>
    <w:rsid w:val="000F2774"/>
    <w:rsid w:val="000F2F0E"/>
    <w:rsid w:val="000F2F35"/>
    <w:rsid w:val="000F39BC"/>
    <w:rsid w:val="000F3B76"/>
    <w:rsid w:val="000F4126"/>
    <w:rsid w:val="000F5008"/>
    <w:rsid w:val="000F5498"/>
    <w:rsid w:val="000F58B3"/>
    <w:rsid w:val="000F5969"/>
    <w:rsid w:val="000F6A54"/>
    <w:rsid w:val="000F6AA2"/>
    <w:rsid w:val="000F72E3"/>
    <w:rsid w:val="000F7553"/>
    <w:rsid w:val="0010032B"/>
    <w:rsid w:val="00100693"/>
    <w:rsid w:val="0010094A"/>
    <w:rsid w:val="00100AEA"/>
    <w:rsid w:val="00100CCF"/>
    <w:rsid w:val="00100E1C"/>
    <w:rsid w:val="0010165A"/>
    <w:rsid w:val="0010185E"/>
    <w:rsid w:val="00101F01"/>
    <w:rsid w:val="00102C09"/>
    <w:rsid w:val="00102C65"/>
    <w:rsid w:val="00103260"/>
    <w:rsid w:val="001039F8"/>
    <w:rsid w:val="001041AD"/>
    <w:rsid w:val="00104394"/>
    <w:rsid w:val="00104D4A"/>
    <w:rsid w:val="00105470"/>
    <w:rsid w:val="001060D0"/>
    <w:rsid w:val="00106B83"/>
    <w:rsid w:val="00106E1D"/>
    <w:rsid w:val="0010734C"/>
    <w:rsid w:val="00107425"/>
    <w:rsid w:val="00107BE9"/>
    <w:rsid w:val="00107D79"/>
    <w:rsid w:val="0011046D"/>
    <w:rsid w:val="00110EAB"/>
    <w:rsid w:val="00111123"/>
    <w:rsid w:val="00111604"/>
    <w:rsid w:val="0011279F"/>
    <w:rsid w:val="00112FD8"/>
    <w:rsid w:val="001148E0"/>
    <w:rsid w:val="0011541A"/>
    <w:rsid w:val="001171FE"/>
    <w:rsid w:val="00117F10"/>
    <w:rsid w:val="001200A7"/>
    <w:rsid w:val="001206A0"/>
    <w:rsid w:val="001214BF"/>
    <w:rsid w:val="00121B7D"/>
    <w:rsid w:val="00121C3C"/>
    <w:rsid w:val="00121EA5"/>
    <w:rsid w:val="001220DF"/>
    <w:rsid w:val="00122734"/>
    <w:rsid w:val="001230A5"/>
    <w:rsid w:val="001252C1"/>
    <w:rsid w:val="00125BD8"/>
    <w:rsid w:val="00125DDF"/>
    <w:rsid w:val="00126226"/>
    <w:rsid w:val="0012622E"/>
    <w:rsid w:val="0012778B"/>
    <w:rsid w:val="001278A5"/>
    <w:rsid w:val="00127D2F"/>
    <w:rsid w:val="00130438"/>
    <w:rsid w:val="001304AB"/>
    <w:rsid w:val="00130551"/>
    <w:rsid w:val="00130AE1"/>
    <w:rsid w:val="00130BB7"/>
    <w:rsid w:val="0013153D"/>
    <w:rsid w:val="00131D6D"/>
    <w:rsid w:val="00131FC0"/>
    <w:rsid w:val="0013225F"/>
    <w:rsid w:val="00133032"/>
    <w:rsid w:val="0013353A"/>
    <w:rsid w:val="00133C83"/>
    <w:rsid w:val="00134023"/>
    <w:rsid w:val="00134E12"/>
    <w:rsid w:val="00134FBF"/>
    <w:rsid w:val="001354B3"/>
    <w:rsid w:val="0013550F"/>
    <w:rsid w:val="00135655"/>
    <w:rsid w:val="0013768B"/>
    <w:rsid w:val="00137BFB"/>
    <w:rsid w:val="00140634"/>
    <w:rsid w:val="00140F54"/>
    <w:rsid w:val="00141E63"/>
    <w:rsid w:val="00142D13"/>
    <w:rsid w:val="0014369C"/>
    <w:rsid w:val="0014382F"/>
    <w:rsid w:val="00143AB7"/>
    <w:rsid w:val="00143CD5"/>
    <w:rsid w:val="0014446D"/>
    <w:rsid w:val="00144FD5"/>
    <w:rsid w:val="00145157"/>
    <w:rsid w:val="001453B0"/>
    <w:rsid w:val="001459D3"/>
    <w:rsid w:val="0014752D"/>
    <w:rsid w:val="00147906"/>
    <w:rsid w:val="00150574"/>
    <w:rsid w:val="00150935"/>
    <w:rsid w:val="00150A14"/>
    <w:rsid w:val="00150E55"/>
    <w:rsid w:val="0015103D"/>
    <w:rsid w:val="00151309"/>
    <w:rsid w:val="00151582"/>
    <w:rsid w:val="00151EFA"/>
    <w:rsid w:val="0015202E"/>
    <w:rsid w:val="00152788"/>
    <w:rsid w:val="001533C2"/>
    <w:rsid w:val="001539E1"/>
    <w:rsid w:val="00154230"/>
    <w:rsid w:val="00154292"/>
    <w:rsid w:val="0015478D"/>
    <w:rsid w:val="00154943"/>
    <w:rsid w:val="00155278"/>
    <w:rsid w:val="0015613A"/>
    <w:rsid w:val="001562BA"/>
    <w:rsid w:val="001563D2"/>
    <w:rsid w:val="001566CF"/>
    <w:rsid w:val="0015682E"/>
    <w:rsid w:val="0015688A"/>
    <w:rsid w:val="00156AA1"/>
    <w:rsid w:val="0015718D"/>
    <w:rsid w:val="00157E1B"/>
    <w:rsid w:val="00160011"/>
    <w:rsid w:val="001600FF"/>
    <w:rsid w:val="0016012B"/>
    <w:rsid w:val="00160207"/>
    <w:rsid w:val="00160BDF"/>
    <w:rsid w:val="00161F55"/>
    <w:rsid w:val="00162526"/>
    <w:rsid w:val="0016265B"/>
    <w:rsid w:val="0016274E"/>
    <w:rsid w:val="00162A66"/>
    <w:rsid w:val="00162BCF"/>
    <w:rsid w:val="001638C8"/>
    <w:rsid w:val="001639E2"/>
    <w:rsid w:val="00163A93"/>
    <w:rsid w:val="001650B3"/>
    <w:rsid w:val="001664D9"/>
    <w:rsid w:val="00166890"/>
    <w:rsid w:val="001668A1"/>
    <w:rsid w:val="00166A6E"/>
    <w:rsid w:val="00167AAE"/>
    <w:rsid w:val="00170562"/>
    <w:rsid w:val="00171616"/>
    <w:rsid w:val="001718C7"/>
    <w:rsid w:val="00172452"/>
    <w:rsid w:val="001742AD"/>
    <w:rsid w:val="001743F3"/>
    <w:rsid w:val="00174CEF"/>
    <w:rsid w:val="0017611B"/>
    <w:rsid w:val="0017725F"/>
    <w:rsid w:val="001808DE"/>
    <w:rsid w:val="001809BE"/>
    <w:rsid w:val="00180A8B"/>
    <w:rsid w:val="00180BA8"/>
    <w:rsid w:val="00181390"/>
    <w:rsid w:val="00181602"/>
    <w:rsid w:val="00182F98"/>
    <w:rsid w:val="00182FE5"/>
    <w:rsid w:val="00183A2B"/>
    <w:rsid w:val="001849BE"/>
    <w:rsid w:val="00184AE7"/>
    <w:rsid w:val="00184EFA"/>
    <w:rsid w:val="00185056"/>
    <w:rsid w:val="00185196"/>
    <w:rsid w:val="0018595D"/>
    <w:rsid w:val="00185AED"/>
    <w:rsid w:val="00186E95"/>
    <w:rsid w:val="001877A3"/>
    <w:rsid w:val="0019146A"/>
    <w:rsid w:val="00191F03"/>
    <w:rsid w:val="00192145"/>
    <w:rsid w:val="0019232C"/>
    <w:rsid w:val="001929B8"/>
    <w:rsid w:val="00192BD4"/>
    <w:rsid w:val="00192EF8"/>
    <w:rsid w:val="001930E8"/>
    <w:rsid w:val="00193383"/>
    <w:rsid w:val="001939C2"/>
    <w:rsid w:val="00193ACD"/>
    <w:rsid w:val="0019422C"/>
    <w:rsid w:val="00194321"/>
    <w:rsid w:val="00194528"/>
    <w:rsid w:val="00195551"/>
    <w:rsid w:val="001956EC"/>
    <w:rsid w:val="0019595D"/>
    <w:rsid w:val="0019602F"/>
    <w:rsid w:val="0019649C"/>
    <w:rsid w:val="001973AF"/>
    <w:rsid w:val="00197B83"/>
    <w:rsid w:val="00197FCB"/>
    <w:rsid w:val="001A0153"/>
    <w:rsid w:val="001A07CE"/>
    <w:rsid w:val="001A0CB7"/>
    <w:rsid w:val="001A1E9C"/>
    <w:rsid w:val="001A202B"/>
    <w:rsid w:val="001A2197"/>
    <w:rsid w:val="001A22BF"/>
    <w:rsid w:val="001A2916"/>
    <w:rsid w:val="001A3309"/>
    <w:rsid w:val="001A3DE7"/>
    <w:rsid w:val="001A41C6"/>
    <w:rsid w:val="001A4929"/>
    <w:rsid w:val="001A544D"/>
    <w:rsid w:val="001A5A34"/>
    <w:rsid w:val="001A7159"/>
    <w:rsid w:val="001A71DA"/>
    <w:rsid w:val="001A75C2"/>
    <w:rsid w:val="001A7C25"/>
    <w:rsid w:val="001B01E0"/>
    <w:rsid w:val="001B1C77"/>
    <w:rsid w:val="001B2D52"/>
    <w:rsid w:val="001B2F14"/>
    <w:rsid w:val="001B393B"/>
    <w:rsid w:val="001B49D7"/>
    <w:rsid w:val="001B52C7"/>
    <w:rsid w:val="001B59F3"/>
    <w:rsid w:val="001B6491"/>
    <w:rsid w:val="001B6A42"/>
    <w:rsid w:val="001B6A86"/>
    <w:rsid w:val="001B7062"/>
    <w:rsid w:val="001B7165"/>
    <w:rsid w:val="001B76BF"/>
    <w:rsid w:val="001B7827"/>
    <w:rsid w:val="001B78CB"/>
    <w:rsid w:val="001C02DB"/>
    <w:rsid w:val="001C0FEB"/>
    <w:rsid w:val="001C1793"/>
    <w:rsid w:val="001C1CE7"/>
    <w:rsid w:val="001C2188"/>
    <w:rsid w:val="001C2ADF"/>
    <w:rsid w:val="001C2C28"/>
    <w:rsid w:val="001C3FD4"/>
    <w:rsid w:val="001C40CE"/>
    <w:rsid w:val="001C4AD0"/>
    <w:rsid w:val="001C4C8A"/>
    <w:rsid w:val="001C4FA5"/>
    <w:rsid w:val="001C572D"/>
    <w:rsid w:val="001C602A"/>
    <w:rsid w:val="001C6278"/>
    <w:rsid w:val="001C63C5"/>
    <w:rsid w:val="001C6519"/>
    <w:rsid w:val="001C6B97"/>
    <w:rsid w:val="001C6D40"/>
    <w:rsid w:val="001C7A4F"/>
    <w:rsid w:val="001C7CB4"/>
    <w:rsid w:val="001D0F67"/>
    <w:rsid w:val="001D1119"/>
    <w:rsid w:val="001D1660"/>
    <w:rsid w:val="001D1BC3"/>
    <w:rsid w:val="001D26C1"/>
    <w:rsid w:val="001D283E"/>
    <w:rsid w:val="001D28B8"/>
    <w:rsid w:val="001D30A8"/>
    <w:rsid w:val="001D31AF"/>
    <w:rsid w:val="001D33A9"/>
    <w:rsid w:val="001D3911"/>
    <w:rsid w:val="001D3A15"/>
    <w:rsid w:val="001D3EF2"/>
    <w:rsid w:val="001D4089"/>
    <w:rsid w:val="001D4678"/>
    <w:rsid w:val="001D53C3"/>
    <w:rsid w:val="001D54A3"/>
    <w:rsid w:val="001D573A"/>
    <w:rsid w:val="001D5918"/>
    <w:rsid w:val="001D5BA8"/>
    <w:rsid w:val="001D5F90"/>
    <w:rsid w:val="001D79D3"/>
    <w:rsid w:val="001E1203"/>
    <w:rsid w:val="001E1C34"/>
    <w:rsid w:val="001E1EB9"/>
    <w:rsid w:val="001E213F"/>
    <w:rsid w:val="001E2194"/>
    <w:rsid w:val="001E2438"/>
    <w:rsid w:val="001E25CB"/>
    <w:rsid w:val="001E31BA"/>
    <w:rsid w:val="001E330D"/>
    <w:rsid w:val="001E3528"/>
    <w:rsid w:val="001E372C"/>
    <w:rsid w:val="001E399A"/>
    <w:rsid w:val="001E3CCE"/>
    <w:rsid w:val="001E413A"/>
    <w:rsid w:val="001E41BE"/>
    <w:rsid w:val="001E4B41"/>
    <w:rsid w:val="001E4C5C"/>
    <w:rsid w:val="001E592E"/>
    <w:rsid w:val="001E5984"/>
    <w:rsid w:val="001E59E4"/>
    <w:rsid w:val="001E5CD9"/>
    <w:rsid w:val="001E5EC6"/>
    <w:rsid w:val="001E6A64"/>
    <w:rsid w:val="001E7B2B"/>
    <w:rsid w:val="001F0462"/>
    <w:rsid w:val="001F087C"/>
    <w:rsid w:val="001F08F2"/>
    <w:rsid w:val="001F1765"/>
    <w:rsid w:val="001F19C9"/>
    <w:rsid w:val="001F31D0"/>
    <w:rsid w:val="001F32BD"/>
    <w:rsid w:val="001F37B4"/>
    <w:rsid w:val="001F37F5"/>
    <w:rsid w:val="001F3839"/>
    <w:rsid w:val="001F41E8"/>
    <w:rsid w:val="001F4A77"/>
    <w:rsid w:val="001F5025"/>
    <w:rsid w:val="001F5A07"/>
    <w:rsid w:val="001F5D2F"/>
    <w:rsid w:val="001F691A"/>
    <w:rsid w:val="001F762A"/>
    <w:rsid w:val="001F7759"/>
    <w:rsid w:val="001F78CF"/>
    <w:rsid w:val="00201092"/>
    <w:rsid w:val="00201240"/>
    <w:rsid w:val="00201408"/>
    <w:rsid w:val="00202CE9"/>
    <w:rsid w:val="0020362A"/>
    <w:rsid w:val="00203777"/>
    <w:rsid w:val="00203E5E"/>
    <w:rsid w:val="002046B2"/>
    <w:rsid w:val="00204AFB"/>
    <w:rsid w:val="00204F1C"/>
    <w:rsid w:val="002052C0"/>
    <w:rsid w:val="00205E0F"/>
    <w:rsid w:val="00206143"/>
    <w:rsid w:val="00206575"/>
    <w:rsid w:val="00206E29"/>
    <w:rsid w:val="0021013F"/>
    <w:rsid w:val="00210550"/>
    <w:rsid w:val="002108E7"/>
    <w:rsid w:val="00210BC4"/>
    <w:rsid w:val="00210C51"/>
    <w:rsid w:val="00210CBD"/>
    <w:rsid w:val="00210D48"/>
    <w:rsid w:val="002113CA"/>
    <w:rsid w:val="00211EB8"/>
    <w:rsid w:val="00213B53"/>
    <w:rsid w:val="00214C1C"/>
    <w:rsid w:val="00214F0F"/>
    <w:rsid w:val="002158F1"/>
    <w:rsid w:val="00215B7D"/>
    <w:rsid w:val="00215DED"/>
    <w:rsid w:val="00216F0F"/>
    <w:rsid w:val="00217266"/>
    <w:rsid w:val="00220AB8"/>
    <w:rsid w:val="00220B82"/>
    <w:rsid w:val="00220BCC"/>
    <w:rsid w:val="00220F3A"/>
    <w:rsid w:val="002210F6"/>
    <w:rsid w:val="00221680"/>
    <w:rsid w:val="00221E32"/>
    <w:rsid w:val="00222174"/>
    <w:rsid w:val="00222BC7"/>
    <w:rsid w:val="00222FBF"/>
    <w:rsid w:val="002240D5"/>
    <w:rsid w:val="00224734"/>
    <w:rsid w:val="00224845"/>
    <w:rsid w:val="002249E5"/>
    <w:rsid w:val="00224F10"/>
    <w:rsid w:val="00225EA6"/>
    <w:rsid w:val="00226121"/>
    <w:rsid w:val="002271E2"/>
    <w:rsid w:val="00227D30"/>
    <w:rsid w:val="002306B7"/>
    <w:rsid w:val="002309C2"/>
    <w:rsid w:val="0023117B"/>
    <w:rsid w:val="00232B14"/>
    <w:rsid w:val="0023368D"/>
    <w:rsid w:val="002339F5"/>
    <w:rsid w:val="0023438E"/>
    <w:rsid w:val="002349B7"/>
    <w:rsid w:val="00234C34"/>
    <w:rsid w:val="00234CE8"/>
    <w:rsid w:val="0023515D"/>
    <w:rsid w:val="002351BB"/>
    <w:rsid w:val="00235320"/>
    <w:rsid w:val="002355EF"/>
    <w:rsid w:val="00235C82"/>
    <w:rsid w:val="00235F11"/>
    <w:rsid w:val="00236569"/>
    <w:rsid w:val="0023667A"/>
    <w:rsid w:val="00236954"/>
    <w:rsid w:val="0023695B"/>
    <w:rsid w:val="00236AC7"/>
    <w:rsid w:val="0023795E"/>
    <w:rsid w:val="00237C3A"/>
    <w:rsid w:val="00240182"/>
    <w:rsid w:val="002402E9"/>
    <w:rsid w:val="002404B4"/>
    <w:rsid w:val="002407DF"/>
    <w:rsid w:val="00240D0E"/>
    <w:rsid w:val="00241872"/>
    <w:rsid w:val="00241A77"/>
    <w:rsid w:val="00241C4E"/>
    <w:rsid w:val="00242E91"/>
    <w:rsid w:val="00243218"/>
    <w:rsid w:val="00243B33"/>
    <w:rsid w:val="00243C0A"/>
    <w:rsid w:val="00244D54"/>
    <w:rsid w:val="00245A3A"/>
    <w:rsid w:val="00245CC0"/>
    <w:rsid w:val="00245E5C"/>
    <w:rsid w:val="0024627D"/>
    <w:rsid w:val="0024768F"/>
    <w:rsid w:val="0024794A"/>
    <w:rsid w:val="00250ECF"/>
    <w:rsid w:val="00250ED7"/>
    <w:rsid w:val="00251547"/>
    <w:rsid w:val="00251619"/>
    <w:rsid w:val="00251EB6"/>
    <w:rsid w:val="002520DF"/>
    <w:rsid w:val="002521D9"/>
    <w:rsid w:val="00252C23"/>
    <w:rsid w:val="00252E28"/>
    <w:rsid w:val="00253498"/>
    <w:rsid w:val="00253D9F"/>
    <w:rsid w:val="00254346"/>
    <w:rsid w:val="002545CF"/>
    <w:rsid w:val="00254DD3"/>
    <w:rsid w:val="00256808"/>
    <w:rsid w:val="00256B05"/>
    <w:rsid w:val="00257664"/>
    <w:rsid w:val="00257ADD"/>
    <w:rsid w:val="002600D6"/>
    <w:rsid w:val="00260289"/>
    <w:rsid w:val="002607A1"/>
    <w:rsid w:val="002608A8"/>
    <w:rsid w:val="00260BDB"/>
    <w:rsid w:val="00260D22"/>
    <w:rsid w:val="00261116"/>
    <w:rsid w:val="00261EAB"/>
    <w:rsid w:val="00262747"/>
    <w:rsid w:val="002627AA"/>
    <w:rsid w:val="00263F93"/>
    <w:rsid w:val="00264052"/>
    <w:rsid w:val="00264194"/>
    <w:rsid w:val="00264BA7"/>
    <w:rsid w:val="002659C2"/>
    <w:rsid w:val="00265C55"/>
    <w:rsid w:val="00266371"/>
    <w:rsid w:val="00267C4C"/>
    <w:rsid w:val="0027033C"/>
    <w:rsid w:val="00270352"/>
    <w:rsid w:val="0027079D"/>
    <w:rsid w:val="00270F42"/>
    <w:rsid w:val="00271E89"/>
    <w:rsid w:val="00272A3F"/>
    <w:rsid w:val="00272E5C"/>
    <w:rsid w:val="00273292"/>
    <w:rsid w:val="0027355B"/>
    <w:rsid w:val="00274AA7"/>
    <w:rsid w:val="0027618C"/>
    <w:rsid w:val="00276280"/>
    <w:rsid w:val="00276BBE"/>
    <w:rsid w:val="002776BE"/>
    <w:rsid w:val="00277CCE"/>
    <w:rsid w:val="00277EDC"/>
    <w:rsid w:val="002800D4"/>
    <w:rsid w:val="00280322"/>
    <w:rsid w:val="00280EA5"/>
    <w:rsid w:val="002813E4"/>
    <w:rsid w:val="00281472"/>
    <w:rsid w:val="002823E7"/>
    <w:rsid w:val="00283384"/>
    <w:rsid w:val="002833BB"/>
    <w:rsid w:val="00283639"/>
    <w:rsid w:val="00283CA9"/>
    <w:rsid w:val="002840D5"/>
    <w:rsid w:val="002843C3"/>
    <w:rsid w:val="0028508F"/>
    <w:rsid w:val="002854B2"/>
    <w:rsid w:val="00286909"/>
    <w:rsid w:val="00286B45"/>
    <w:rsid w:val="002870E5"/>
    <w:rsid w:val="00287307"/>
    <w:rsid w:val="002906AD"/>
    <w:rsid w:val="00290ACB"/>
    <w:rsid w:val="00290D80"/>
    <w:rsid w:val="002910B0"/>
    <w:rsid w:val="00291130"/>
    <w:rsid w:val="00291F57"/>
    <w:rsid w:val="002921D0"/>
    <w:rsid w:val="0029221C"/>
    <w:rsid w:val="00292341"/>
    <w:rsid w:val="00292BB3"/>
    <w:rsid w:val="00293728"/>
    <w:rsid w:val="00293993"/>
    <w:rsid w:val="00293E4E"/>
    <w:rsid w:val="00294317"/>
    <w:rsid w:val="00294BCA"/>
    <w:rsid w:val="00294CFD"/>
    <w:rsid w:val="00294DE8"/>
    <w:rsid w:val="00295268"/>
    <w:rsid w:val="0029581B"/>
    <w:rsid w:val="0029687C"/>
    <w:rsid w:val="002969F3"/>
    <w:rsid w:val="00296C60"/>
    <w:rsid w:val="00296D2F"/>
    <w:rsid w:val="002975E3"/>
    <w:rsid w:val="002A02C0"/>
    <w:rsid w:val="002A0533"/>
    <w:rsid w:val="002A0D2B"/>
    <w:rsid w:val="002A0DD1"/>
    <w:rsid w:val="002A1586"/>
    <w:rsid w:val="002A2777"/>
    <w:rsid w:val="002A35CA"/>
    <w:rsid w:val="002A3AB0"/>
    <w:rsid w:val="002A3EF5"/>
    <w:rsid w:val="002A44C9"/>
    <w:rsid w:val="002A4574"/>
    <w:rsid w:val="002A5B98"/>
    <w:rsid w:val="002A6184"/>
    <w:rsid w:val="002A6286"/>
    <w:rsid w:val="002A66FA"/>
    <w:rsid w:val="002A67BE"/>
    <w:rsid w:val="002A6B38"/>
    <w:rsid w:val="002A6DE6"/>
    <w:rsid w:val="002A7249"/>
    <w:rsid w:val="002A783B"/>
    <w:rsid w:val="002B0C74"/>
    <w:rsid w:val="002B1E2A"/>
    <w:rsid w:val="002B239C"/>
    <w:rsid w:val="002B2E3D"/>
    <w:rsid w:val="002B4246"/>
    <w:rsid w:val="002B4263"/>
    <w:rsid w:val="002B4E83"/>
    <w:rsid w:val="002B62ED"/>
    <w:rsid w:val="002B69FE"/>
    <w:rsid w:val="002B6CED"/>
    <w:rsid w:val="002B6EDB"/>
    <w:rsid w:val="002B7471"/>
    <w:rsid w:val="002C1E0D"/>
    <w:rsid w:val="002C23CE"/>
    <w:rsid w:val="002C2AE6"/>
    <w:rsid w:val="002C2B3E"/>
    <w:rsid w:val="002C392F"/>
    <w:rsid w:val="002C3BD5"/>
    <w:rsid w:val="002C3C69"/>
    <w:rsid w:val="002C4107"/>
    <w:rsid w:val="002C4793"/>
    <w:rsid w:val="002C50DB"/>
    <w:rsid w:val="002C55CB"/>
    <w:rsid w:val="002C56E4"/>
    <w:rsid w:val="002C5945"/>
    <w:rsid w:val="002C5DB5"/>
    <w:rsid w:val="002C6EED"/>
    <w:rsid w:val="002D020A"/>
    <w:rsid w:val="002D1E9A"/>
    <w:rsid w:val="002D1EFA"/>
    <w:rsid w:val="002D22F0"/>
    <w:rsid w:val="002D265B"/>
    <w:rsid w:val="002D29C0"/>
    <w:rsid w:val="002D326E"/>
    <w:rsid w:val="002D391B"/>
    <w:rsid w:val="002D3AC1"/>
    <w:rsid w:val="002D3CA5"/>
    <w:rsid w:val="002D4CB0"/>
    <w:rsid w:val="002D5497"/>
    <w:rsid w:val="002D552A"/>
    <w:rsid w:val="002D575D"/>
    <w:rsid w:val="002D6869"/>
    <w:rsid w:val="002D6E3C"/>
    <w:rsid w:val="002D7508"/>
    <w:rsid w:val="002D7847"/>
    <w:rsid w:val="002D7D5D"/>
    <w:rsid w:val="002D7F4E"/>
    <w:rsid w:val="002E0352"/>
    <w:rsid w:val="002E09C6"/>
    <w:rsid w:val="002E0BA6"/>
    <w:rsid w:val="002E16D9"/>
    <w:rsid w:val="002E1B2D"/>
    <w:rsid w:val="002E22B2"/>
    <w:rsid w:val="002E22FA"/>
    <w:rsid w:val="002E3D90"/>
    <w:rsid w:val="002E3FC7"/>
    <w:rsid w:val="002E4B8C"/>
    <w:rsid w:val="002E63E7"/>
    <w:rsid w:val="002E6718"/>
    <w:rsid w:val="002E6928"/>
    <w:rsid w:val="002E7817"/>
    <w:rsid w:val="002E78F1"/>
    <w:rsid w:val="002E7CE5"/>
    <w:rsid w:val="002F0098"/>
    <w:rsid w:val="002F00E1"/>
    <w:rsid w:val="002F12D7"/>
    <w:rsid w:val="002F13B0"/>
    <w:rsid w:val="002F140C"/>
    <w:rsid w:val="002F1467"/>
    <w:rsid w:val="002F20A4"/>
    <w:rsid w:val="002F2518"/>
    <w:rsid w:val="002F3562"/>
    <w:rsid w:val="002F3B1A"/>
    <w:rsid w:val="002F4073"/>
    <w:rsid w:val="002F42D3"/>
    <w:rsid w:val="002F4822"/>
    <w:rsid w:val="002F4D55"/>
    <w:rsid w:val="002F4EF5"/>
    <w:rsid w:val="002F548E"/>
    <w:rsid w:val="002F57A0"/>
    <w:rsid w:val="002F5902"/>
    <w:rsid w:val="002F5E54"/>
    <w:rsid w:val="002F6425"/>
    <w:rsid w:val="002F6BDE"/>
    <w:rsid w:val="002F757E"/>
    <w:rsid w:val="002F7AB3"/>
    <w:rsid w:val="002F7DA0"/>
    <w:rsid w:val="00300304"/>
    <w:rsid w:val="0030034B"/>
    <w:rsid w:val="003024A3"/>
    <w:rsid w:val="00302E15"/>
    <w:rsid w:val="0030334E"/>
    <w:rsid w:val="00303C4E"/>
    <w:rsid w:val="00304657"/>
    <w:rsid w:val="00304F45"/>
    <w:rsid w:val="0030528D"/>
    <w:rsid w:val="00305341"/>
    <w:rsid w:val="00305408"/>
    <w:rsid w:val="0030547B"/>
    <w:rsid w:val="0030549B"/>
    <w:rsid w:val="00305DF2"/>
    <w:rsid w:val="00305FA8"/>
    <w:rsid w:val="00306F44"/>
    <w:rsid w:val="0030737F"/>
    <w:rsid w:val="00307B2E"/>
    <w:rsid w:val="00310064"/>
    <w:rsid w:val="0031049B"/>
    <w:rsid w:val="00310754"/>
    <w:rsid w:val="0031114D"/>
    <w:rsid w:val="003113A7"/>
    <w:rsid w:val="003125C2"/>
    <w:rsid w:val="00313811"/>
    <w:rsid w:val="003156C9"/>
    <w:rsid w:val="00315FA6"/>
    <w:rsid w:val="003163E3"/>
    <w:rsid w:val="003166E8"/>
    <w:rsid w:val="00316768"/>
    <w:rsid w:val="00316A54"/>
    <w:rsid w:val="00316C58"/>
    <w:rsid w:val="00317134"/>
    <w:rsid w:val="003177C2"/>
    <w:rsid w:val="003178EC"/>
    <w:rsid w:val="00317E0C"/>
    <w:rsid w:val="00320053"/>
    <w:rsid w:val="00320DC4"/>
    <w:rsid w:val="0032101D"/>
    <w:rsid w:val="003216C3"/>
    <w:rsid w:val="00321C78"/>
    <w:rsid w:val="00322718"/>
    <w:rsid w:val="0032298E"/>
    <w:rsid w:val="00322B28"/>
    <w:rsid w:val="00323058"/>
    <w:rsid w:val="00323B5C"/>
    <w:rsid w:val="003240F6"/>
    <w:rsid w:val="003242DB"/>
    <w:rsid w:val="0032453C"/>
    <w:rsid w:val="003247AD"/>
    <w:rsid w:val="00324CD1"/>
    <w:rsid w:val="00325B41"/>
    <w:rsid w:val="00325E77"/>
    <w:rsid w:val="00326332"/>
    <w:rsid w:val="003266CA"/>
    <w:rsid w:val="003268AE"/>
    <w:rsid w:val="00326A9A"/>
    <w:rsid w:val="00326E74"/>
    <w:rsid w:val="003271CF"/>
    <w:rsid w:val="00327282"/>
    <w:rsid w:val="0032772E"/>
    <w:rsid w:val="00331168"/>
    <w:rsid w:val="003319B9"/>
    <w:rsid w:val="00331A48"/>
    <w:rsid w:val="00331D4F"/>
    <w:rsid w:val="00331EC2"/>
    <w:rsid w:val="00332248"/>
    <w:rsid w:val="0033227D"/>
    <w:rsid w:val="00332324"/>
    <w:rsid w:val="0033323B"/>
    <w:rsid w:val="003334FF"/>
    <w:rsid w:val="00333810"/>
    <w:rsid w:val="00333F58"/>
    <w:rsid w:val="00334115"/>
    <w:rsid w:val="003343F0"/>
    <w:rsid w:val="003343F1"/>
    <w:rsid w:val="003347B2"/>
    <w:rsid w:val="0033482C"/>
    <w:rsid w:val="00335A82"/>
    <w:rsid w:val="00335CF6"/>
    <w:rsid w:val="00336470"/>
    <w:rsid w:val="0033683F"/>
    <w:rsid w:val="00336905"/>
    <w:rsid w:val="00337232"/>
    <w:rsid w:val="00337779"/>
    <w:rsid w:val="0034003D"/>
    <w:rsid w:val="003400B1"/>
    <w:rsid w:val="00340DD7"/>
    <w:rsid w:val="00340F7E"/>
    <w:rsid w:val="00341543"/>
    <w:rsid w:val="00341EB4"/>
    <w:rsid w:val="003430B4"/>
    <w:rsid w:val="00343152"/>
    <w:rsid w:val="00344508"/>
    <w:rsid w:val="003448A9"/>
    <w:rsid w:val="00345958"/>
    <w:rsid w:val="003461BD"/>
    <w:rsid w:val="00347252"/>
    <w:rsid w:val="003473A8"/>
    <w:rsid w:val="003473CC"/>
    <w:rsid w:val="0034797A"/>
    <w:rsid w:val="00350590"/>
    <w:rsid w:val="0035081B"/>
    <w:rsid w:val="00350D60"/>
    <w:rsid w:val="00351233"/>
    <w:rsid w:val="00352085"/>
    <w:rsid w:val="003528D7"/>
    <w:rsid w:val="00352E44"/>
    <w:rsid w:val="00353304"/>
    <w:rsid w:val="0035341F"/>
    <w:rsid w:val="00353584"/>
    <w:rsid w:val="0035386E"/>
    <w:rsid w:val="003538F2"/>
    <w:rsid w:val="0035424B"/>
    <w:rsid w:val="00354855"/>
    <w:rsid w:val="003548D1"/>
    <w:rsid w:val="0035585D"/>
    <w:rsid w:val="003560CA"/>
    <w:rsid w:val="003564B6"/>
    <w:rsid w:val="0035705F"/>
    <w:rsid w:val="0035731E"/>
    <w:rsid w:val="00357809"/>
    <w:rsid w:val="00357877"/>
    <w:rsid w:val="00357CA8"/>
    <w:rsid w:val="00357EA7"/>
    <w:rsid w:val="00360A4D"/>
    <w:rsid w:val="00360ACE"/>
    <w:rsid w:val="00360CE2"/>
    <w:rsid w:val="00360D26"/>
    <w:rsid w:val="0036161D"/>
    <w:rsid w:val="00361F1A"/>
    <w:rsid w:val="00362C14"/>
    <w:rsid w:val="00362DCF"/>
    <w:rsid w:val="00363541"/>
    <w:rsid w:val="003635F1"/>
    <w:rsid w:val="003637C3"/>
    <w:rsid w:val="00363B41"/>
    <w:rsid w:val="0036419B"/>
    <w:rsid w:val="003647BC"/>
    <w:rsid w:val="00364CB6"/>
    <w:rsid w:val="00365B59"/>
    <w:rsid w:val="00366422"/>
    <w:rsid w:val="00366A05"/>
    <w:rsid w:val="00366D68"/>
    <w:rsid w:val="00366F22"/>
    <w:rsid w:val="00367182"/>
    <w:rsid w:val="00367AFB"/>
    <w:rsid w:val="00367DB7"/>
    <w:rsid w:val="00370336"/>
    <w:rsid w:val="00370578"/>
    <w:rsid w:val="00370DB9"/>
    <w:rsid w:val="00371B0C"/>
    <w:rsid w:val="00371C78"/>
    <w:rsid w:val="00372D22"/>
    <w:rsid w:val="0037368B"/>
    <w:rsid w:val="003737B4"/>
    <w:rsid w:val="00373BA4"/>
    <w:rsid w:val="0037423E"/>
    <w:rsid w:val="003748A4"/>
    <w:rsid w:val="00376481"/>
    <w:rsid w:val="00376936"/>
    <w:rsid w:val="00376DCA"/>
    <w:rsid w:val="003809F1"/>
    <w:rsid w:val="00381A8A"/>
    <w:rsid w:val="00381C64"/>
    <w:rsid w:val="00382EE5"/>
    <w:rsid w:val="00383051"/>
    <w:rsid w:val="003836CB"/>
    <w:rsid w:val="00384A07"/>
    <w:rsid w:val="00384BE4"/>
    <w:rsid w:val="003850E0"/>
    <w:rsid w:val="00385484"/>
    <w:rsid w:val="00385663"/>
    <w:rsid w:val="00385E2C"/>
    <w:rsid w:val="00386918"/>
    <w:rsid w:val="00386A41"/>
    <w:rsid w:val="00387018"/>
    <w:rsid w:val="00387645"/>
    <w:rsid w:val="003901DE"/>
    <w:rsid w:val="003906CB"/>
    <w:rsid w:val="00391012"/>
    <w:rsid w:val="00391B5B"/>
    <w:rsid w:val="00391F1F"/>
    <w:rsid w:val="00391F57"/>
    <w:rsid w:val="00392123"/>
    <w:rsid w:val="00392814"/>
    <w:rsid w:val="00393464"/>
    <w:rsid w:val="0039360D"/>
    <w:rsid w:val="00395E0A"/>
    <w:rsid w:val="00395F5C"/>
    <w:rsid w:val="0039677A"/>
    <w:rsid w:val="0039677B"/>
    <w:rsid w:val="00396B05"/>
    <w:rsid w:val="00396B23"/>
    <w:rsid w:val="00396F63"/>
    <w:rsid w:val="00397695"/>
    <w:rsid w:val="00397BED"/>
    <w:rsid w:val="003A091E"/>
    <w:rsid w:val="003A0B20"/>
    <w:rsid w:val="003A0CCD"/>
    <w:rsid w:val="003A0E00"/>
    <w:rsid w:val="003A15E0"/>
    <w:rsid w:val="003A1906"/>
    <w:rsid w:val="003A2827"/>
    <w:rsid w:val="003A288D"/>
    <w:rsid w:val="003A2ACA"/>
    <w:rsid w:val="003A2D9F"/>
    <w:rsid w:val="003A2E17"/>
    <w:rsid w:val="003A3950"/>
    <w:rsid w:val="003A50E4"/>
    <w:rsid w:val="003A5237"/>
    <w:rsid w:val="003A5BB6"/>
    <w:rsid w:val="003A5BC5"/>
    <w:rsid w:val="003A6E9E"/>
    <w:rsid w:val="003A70BA"/>
    <w:rsid w:val="003B0D48"/>
    <w:rsid w:val="003B13ED"/>
    <w:rsid w:val="003B1E19"/>
    <w:rsid w:val="003B21B8"/>
    <w:rsid w:val="003B22AE"/>
    <w:rsid w:val="003B26CB"/>
    <w:rsid w:val="003B26DD"/>
    <w:rsid w:val="003B2E88"/>
    <w:rsid w:val="003B3148"/>
    <w:rsid w:val="003B42EF"/>
    <w:rsid w:val="003B4854"/>
    <w:rsid w:val="003B4BCB"/>
    <w:rsid w:val="003B5446"/>
    <w:rsid w:val="003B591D"/>
    <w:rsid w:val="003B6196"/>
    <w:rsid w:val="003B6BC0"/>
    <w:rsid w:val="003B70E6"/>
    <w:rsid w:val="003B7151"/>
    <w:rsid w:val="003B7E39"/>
    <w:rsid w:val="003B7F30"/>
    <w:rsid w:val="003C00EB"/>
    <w:rsid w:val="003C03DB"/>
    <w:rsid w:val="003C2546"/>
    <w:rsid w:val="003C2B93"/>
    <w:rsid w:val="003C30F9"/>
    <w:rsid w:val="003C3524"/>
    <w:rsid w:val="003C3862"/>
    <w:rsid w:val="003C390B"/>
    <w:rsid w:val="003C3D4D"/>
    <w:rsid w:val="003C3F23"/>
    <w:rsid w:val="003C48E3"/>
    <w:rsid w:val="003C49F9"/>
    <w:rsid w:val="003C4E28"/>
    <w:rsid w:val="003C5080"/>
    <w:rsid w:val="003C57BD"/>
    <w:rsid w:val="003C643D"/>
    <w:rsid w:val="003C6B3A"/>
    <w:rsid w:val="003C7201"/>
    <w:rsid w:val="003C75DF"/>
    <w:rsid w:val="003C7695"/>
    <w:rsid w:val="003C7E7B"/>
    <w:rsid w:val="003D0270"/>
    <w:rsid w:val="003D0435"/>
    <w:rsid w:val="003D04DE"/>
    <w:rsid w:val="003D1139"/>
    <w:rsid w:val="003D18FD"/>
    <w:rsid w:val="003D2061"/>
    <w:rsid w:val="003D3548"/>
    <w:rsid w:val="003D3E30"/>
    <w:rsid w:val="003D415C"/>
    <w:rsid w:val="003D4A0E"/>
    <w:rsid w:val="003D5C96"/>
    <w:rsid w:val="003D6343"/>
    <w:rsid w:val="003D6D42"/>
    <w:rsid w:val="003D75B6"/>
    <w:rsid w:val="003D7FE8"/>
    <w:rsid w:val="003E0BC2"/>
    <w:rsid w:val="003E1956"/>
    <w:rsid w:val="003E1A42"/>
    <w:rsid w:val="003E1C8B"/>
    <w:rsid w:val="003E23E1"/>
    <w:rsid w:val="003E2AE1"/>
    <w:rsid w:val="003E36EF"/>
    <w:rsid w:val="003E3E36"/>
    <w:rsid w:val="003E4126"/>
    <w:rsid w:val="003E46C5"/>
    <w:rsid w:val="003E4C83"/>
    <w:rsid w:val="003E6071"/>
    <w:rsid w:val="003E69C2"/>
    <w:rsid w:val="003E786F"/>
    <w:rsid w:val="003F00A7"/>
    <w:rsid w:val="003F07D3"/>
    <w:rsid w:val="003F0CFF"/>
    <w:rsid w:val="003F21DD"/>
    <w:rsid w:val="003F2525"/>
    <w:rsid w:val="003F4917"/>
    <w:rsid w:val="003F5156"/>
    <w:rsid w:val="003F5548"/>
    <w:rsid w:val="003F59A4"/>
    <w:rsid w:val="003F5EC3"/>
    <w:rsid w:val="003F6393"/>
    <w:rsid w:val="003F7689"/>
    <w:rsid w:val="00400D0F"/>
    <w:rsid w:val="00401C84"/>
    <w:rsid w:val="00401D71"/>
    <w:rsid w:val="00401F0F"/>
    <w:rsid w:val="00402314"/>
    <w:rsid w:val="00402404"/>
    <w:rsid w:val="00402545"/>
    <w:rsid w:val="004029B1"/>
    <w:rsid w:val="00402F8F"/>
    <w:rsid w:val="00403488"/>
    <w:rsid w:val="00403985"/>
    <w:rsid w:val="0040468B"/>
    <w:rsid w:val="0040506D"/>
    <w:rsid w:val="00405A2C"/>
    <w:rsid w:val="00406396"/>
    <w:rsid w:val="0040732C"/>
    <w:rsid w:val="004073F0"/>
    <w:rsid w:val="00410562"/>
    <w:rsid w:val="0041064C"/>
    <w:rsid w:val="004110BD"/>
    <w:rsid w:val="00411358"/>
    <w:rsid w:val="00411784"/>
    <w:rsid w:val="00411E56"/>
    <w:rsid w:val="004123A4"/>
    <w:rsid w:val="00412C6E"/>
    <w:rsid w:val="00413099"/>
    <w:rsid w:val="004136C1"/>
    <w:rsid w:val="0041386A"/>
    <w:rsid w:val="004156B0"/>
    <w:rsid w:val="00415CD5"/>
    <w:rsid w:val="00416482"/>
    <w:rsid w:val="004165E4"/>
    <w:rsid w:val="0041700F"/>
    <w:rsid w:val="00417D8E"/>
    <w:rsid w:val="00420024"/>
    <w:rsid w:val="00420760"/>
    <w:rsid w:val="00420C3C"/>
    <w:rsid w:val="004217B1"/>
    <w:rsid w:val="004217FF"/>
    <w:rsid w:val="00422174"/>
    <w:rsid w:val="004222B6"/>
    <w:rsid w:val="0042253A"/>
    <w:rsid w:val="004230EC"/>
    <w:rsid w:val="00423664"/>
    <w:rsid w:val="0042490B"/>
    <w:rsid w:val="0042500E"/>
    <w:rsid w:val="00425D3A"/>
    <w:rsid w:val="004276B0"/>
    <w:rsid w:val="00430057"/>
    <w:rsid w:val="00430145"/>
    <w:rsid w:val="00430C90"/>
    <w:rsid w:val="0043227F"/>
    <w:rsid w:val="004323D2"/>
    <w:rsid w:val="0043356F"/>
    <w:rsid w:val="004339CC"/>
    <w:rsid w:val="00434E7E"/>
    <w:rsid w:val="0043500E"/>
    <w:rsid w:val="00436282"/>
    <w:rsid w:val="004364D2"/>
    <w:rsid w:val="00436527"/>
    <w:rsid w:val="004377D6"/>
    <w:rsid w:val="0044051D"/>
    <w:rsid w:val="0044083E"/>
    <w:rsid w:val="00440F0A"/>
    <w:rsid w:val="00441A56"/>
    <w:rsid w:val="00442362"/>
    <w:rsid w:val="004424A8"/>
    <w:rsid w:val="00442E78"/>
    <w:rsid w:val="00443229"/>
    <w:rsid w:val="004441EC"/>
    <w:rsid w:val="004442E9"/>
    <w:rsid w:val="0044476D"/>
    <w:rsid w:val="00444AA7"/>
    <w:rsid w:val="004451FC"/>
    <w:rsid w:val="0044619A"/>
    <w:rsid w:val="004463E3"/>
    <w:rsid w:val="004464ED"/>
    <w:rsid w:val="00446649"/>
    <w:rsid w:val="00446EAA"/>
    <w:rsid w:val="00450545"/>
    <w:rsid w:val="00451347"/>
    <w:rsid w:val="004530AD"/>
    <w:rsid w:val="00453302"/>
    <w:rsid w:val="00453623"/>
    <w:rsid w:val="0045382F"/>
    <w:rsid w:val="00453D46"/>
    <w:rsid w:val="004542DB"/>
    <w:rsid w:val="00454734"/>
    <w:rsid w:val="00454792"/>
    <w:rsid w:val="0045499C"/>
    <w:rsid w:val="00455A8D"/>
    <w:rsid w:val="0045641C"/>
    <w:rsid w:val="00456C59"/>
    <w:rsid w:val="00457497"/>
    <w:rsid w:val="00457693"/>
    <w:rsid w:val="004578DF"/>
    <w:rsid w:val="00457AEF"/>
    <w:rsid w:val="004601E7"/>
    <w:rsid w:val="0046033C"/>
    <w:rsid w:val="004608C9"/>
    <w:rsid w:val="00460F1C"/>
    <w:rsid w:val="00460FD8"/>
    <w:rsid w:val="0046136B"/>
    <w:rsid w:val="0046159B"/>
    <w:rsid w:val="004617A9"/>
    <w:rsid w:val="00461B71"/>
    <w:rsid w:val="0046211A"/>
    <w:rsid w:val="00462E43"/>
    <w:rsid w:val="00463E8D"/>
    <w:rsid w:val="00463F40"/>
    <w:rsid w:val="004642A9"/>
    <w:rsid w:val="00464FDA"/>
    <w:rsid w:val="00464FE3"/>
    <w:rsid w:val="004656FD"/>
    <w:rsid w:val="00465772"/>
    <w:rsid w:val="00466440"/>
    <w:rsid w:val="004667BB"/>
    <w:rsid w:val="00466FA1"/>
    <w:rsid w:val="004704FE"/>
    <w:rsid w:val="0047053B"/>
    <w:rsid w:val="00471140"/>
    <w:rsid w:val="0047172B"/>
    <w:rsid w:val="00472CDF"/>
    <w:rsid w:val="004734BD"/>
    <w:rsid w:val="0047368B"/>
    <w:rsid w:val="004738C4"/>
    <w:rsid w:val="00473AB8"/>
    <w:rsid w:val="004743D0"/>
    <w:rsid w:val="00474A77"/>
    <w:rsid w:val="00475282"/>
    <w:rsid w:val="004753A9"/>
    <w:rsid w:val="0047581D"/>
    <w:rsid w:val="00475A27"/>
    <w:rsid w:val="004764F8"/>
    <w:rsid w:val="00476D65"/>
    <w:rsid w:val="00477118"/>
    <w:rsid w:val="004778C6"/>
    <w:rsid w:val="00477C94"/>
    <w:rsid w:val="00477D98"/>
    <w:rsid w:val="00481594"/>
    <w:rsid w:val="00482051"/>
    <w:rsid w:val="0048299B"/>
    <w:rsid w:val="00482F70"/>
    <w:rsid w:val="00483504"/>
    <w:rsid w:val="004838A1"/>
    <w:rsid w:val="00483F29"/>
    <w:rsid w:val="004847F2"/>
    <w:rsid w:val="004852A9"/>
    <w:rsid w:val="0048556E"/>
    <w:rsid w:val="004858EB"/>
    <w:rsid w:val="00486503"/>
    <w:rsid w:val="00486608"/>
    <w:rsid w:val="004866F8"/>
    <w:rsid w:val="00486876"/>
    <w:rsid w:val="00490E4C"/>
    <w:rsid w:val="004916A1"/>
    <w:rsid w:val="004919CF"/>
    <w:rsid w:val="00491FD6"/>
    <w:rsid w:val="00492160"/>
    <w:rsid w:val="004928BE"/>
    <w:rsid w:val="00492C07"/>
    <w:rsid w:val="00493A36"/>
    <w:rsid w:val="004945BB"/>
    <w:rsid w:val="00494B08"/>
    <w:rsid w:val="0049565D"/>
    <w:rsid w:val="004958E7"/>
    <w:rsid w:val="004958E9"/>
    <w:rsid w:val="00496142"/>
    <w:rsid w:val="00496880"/>
    <w:rsid w:val="00496A81"/>
    <w:rsid w:val="00496BA3"/>
    <w:rsid w:val="00497250"/>
    <w:rsid w:val="00497634"/>
    <w:rsid w:val="004A08E3"/>
    <w:rsid w:val="004A0D2F"/>
    <w:rsid w:val="004A15B2"/>
    <w:rsid w:val="004A20E2"/>
    <w:rsid w:val="004A2338"/>
    <w:rsid w:val="004A3512"/>
    <w:rsid w:val="004A36A4"/>
    <w:rsid w:val="004A3E4C"/>
    <w:rsid w:val="004A42E3"/>
    <w:rsid w:val="004A45EB"/>
    <w:rsid w:val="004A45EF"/>
    <w:rsid w:val="004A4BF3"/>
    <w:rsid w:val="004A4BFB"/>
    <w:rsid w:val="004A4EF1"/>
    <w:rsid w:val="004A4FBE"/>
    <w:rsid w:val="004A5115"/>
    <w:rsid w:val="004A5599"/>
    <w:rsid w:val="004A5BAB"/>
    <w:rsid w:val="004A60D5"/>
    <w:rsid w:val="004A7023"/>
    <w:rsid w:val="004A744C"/>
    <w:rsid w:val="004A785E"/>
    <w:rsid w:val="004A79ED"/>
    <w:rsid w:val="004A7C07"/>
    <w:rsid w:val="004A7CF1"/>
    <w:rsid w:val="004B0EC0"/>
    <w:rsid w:val="004B1F72"/>
    <w:rsid w:val="004B21B8"/>
    <w:rsid w:val="004B34B3"/>
    <w:rsid w:val="004B393C"/>
    <w:rsid w:val="004B42EF"/>
    <w:rsid w:val="004B44DC"/>
    <w:rsid w:val="004B4910"/>
    <w:rsid w:val="004B4C5A"/>
    <w:rsid w:val="004B4E63"/>
    <w:rsid w:val="004B51ED"/>
    <w:rsid w:val="004B5873"/>
    <w:rsid w:val="004B6352"/>
    <w:rsid w:val="004B73D7"/>
    <w:rsid w:val="004B78CC"/>
    <w:rsid w:val="004B7B1C"/>
    <w:rsid w:val="004C03C6"/>
    <w:rsid w:val="004C050B"/>
    <w:rsid w:val="004C0E20"/>
    <w:rsid w:val="004C0FA2"/>
    <w:rsid w:val="004C12BC"/>
    <w:rsid w:val="004C1559"/>
    <w:rsid w:val="004C1DEC"/>
    <w:rsid w:val="004C2D27"/>
    <w:rsid w:val="004C30E3"/>
    <w:rsid w:val="004C338C"/>
    <w:rsid w:val="004C3404"/>
    <w:rsid w:val="004C36D8"/>
    <w:rsid w:val="004C3C9B"/>
    <w:rsid w:val="004C40C4"/>
    <w:rsid w:val="004C433E"/>
    <w:rsid w:val="004C56AA"/>
    <w:rsid w:val="004C5C4B"/>
    <w:rsid w:val="004C6712"/>
    <w:rsid w:val="004C6766"/>
    <w:rsid w:val="004C6DA0"/>
    <w:rsid w:val="004C6F05"/>
    <w:rsid w:val="004C6FF7"/>
    <w:rsid w:val="004C7F9B"/>
    <w:rsid w:val="004D03BD"/>
    <w:rsid w:val="004D0AB4"/>
    <w:rsid w:val="004D0C77"/>
    <w:rsid w:val="004D109C"/>
    <w:rsid w:val="004D1395"/>
    <w:rsid w:val="004D154D"/>
    <w:rsid w:val="004D24FF"/>
    <w:rsid w:val="004D2A30"/>
    <w:rsid w:val="004D2B59"/>
    <w:rsid w:val="004D305E"/>
    <w:rsid w:val="004D34E3"/>
    <w:rsid w:val="004D3753"/>
    <w:rsid w:val="004D3C6C"/>
    <w:rsid w:val="004D4326"/>
    <w:rsid w:val="004D442B"/>
    <w:rsid w:val="004D4D89"/>
    <w:rsid w:val="004D4E49"/>
    <w:rsid w:val="004D5D5A"/>
    <w:rsid w:val="004D72D3"/>
    <w:rsid w:val="004D7581"/>
    <w:rsid w:val="004E1462"/>
    <w:rsid w:val="004E14ED"/>
    <w:rsid w:val="004E198C"/>
    <w:rsid w:val="004E1D15"/>
    <w:rsid w:val="004E1FDA"/>
    <w:rsid w:val="004E286F"/>
    <w:rsid w:val="004E298C"/>
    <w:rsid w:val="004E2A53"/>
    <w:rsid w:val="004E2FB6"/>
    <w:rsid w:val="004E3D8F"/>
    <w:rsid w:val="004E4042"/>
    <w:rsid w:val="004E4752"/>
    <w:rsid w:val="004E4E6E"/>
    <w:rsid w:val="004E4EE1"/>
    <w:rsid w:val="004E53A8"/>
    <w:rsid w:val="004E5786"/>
    <w:rsid w:val="004E5955"/>
    <w:rsid w:val="004E6359"/>
    <w:rsid w:val="004E6425"/>
    <w:rsid w:val="004E6E0C"/>
    <w:rsid w:val="004E7539"/>
    <w:rsid w:val="004E761A"/>
    <w:rsid w:val="004E772A"/>
    <w:rsid w:val="004F03B6"/>
    <w:rsid w:val="004F0A30"/>
    <w:rsid w:val="004F1626"/>
    <w:rsid w:val="004F17BD"/>
    <w:rsid w:val="004F1835"/>
    <w:rsid w:val="004F239E"/>
    <w:rsid w:val="004F26A9"/>
    <w:rsid w:val="004F3860"/>
    <w:rsid w:val="004F40AB"/>
    <w:rsid w:val="004F4A14"/>
    <w:rsid w:val="004F6B56"/>
    <w:rsid w:val="004F73FB"/>
    <w:rsid w:val="004F791E"/>
    <w:rsid w:val="00500942"/>
    <w:rsid w:val="0050285A"/>
    <w:rsid w:val="00503794"/>
    <w:rsid w:val="00503B9B"/>
    <w:rsid w:val="00503F81"/>
    <w:rsid w:val="0050602E"/>
    <w:rsid w:val="00506217"/>
    <w:rsid w:val="005075FA"/>
    <w:rsid w:val="0051017B"/>
    <w:rsid w:val="00511009"/>
    <w:rsid w:val="0051177C"/>
    <w:rsid w:val="00512D0E"/>
    <w:rsid w:val="00513077"/>
    <w:rsid w:val="005137A5"/>
    <w:rsid w:val="00514297"/>
    <w:rsid w:val="0051473A"/>
    <w:rsid w:val="0051482E"/>
    <w:rsid w:val="005149C7"/>
    <w:rsid w:val="00514A62"/>
    <w:rsid w:val="00514A8D"/>
    <w:rsid w:val="00514FDD"/>
    <w:rsid w:val="0051519D"/>
    <w:rsid w:val="005152EA"/>
    <w:rsid w:val="005157E3"/>
    <w:rsid w:val="0051653B"/>
    <w:rsid w:val="00517644"/>
    <w:rsid w:val="00520FBE"/>
    <w:rsid w:val="00521667"/>
    <w:rsid w:val="00521702"/>
    <w:rsid w:val="005217CF"/>
    <w:rsid w:val="00521A53"/>
    <w:rsid w:val="00521E9D"/>
    <w:rsid w:val="005221F8"/>
    <w:rsid w:val="0052272C"/>
    <w:rsid w:val="005231F8"/>
    <w:rsid w:val="00523383"/>
    <w:rsid w:val="005235F3"/>
    <w:rsid w:val="00523C0F"/>
    <w:rsid w:val="00524094"/>
    <w:rsid w:val="005240BA"/>
    <w:rsid w:val="005246CE"/>
    <w:rsid w:val="00524977"/>
    <w:rsid w:val="005250AB"/>
    <w:rsid w:val="00525DD0"/>
    <w:rsid w:val="00526B67"/>
    <w:rsid w:val="005307EA"/>
    <w:rsid w:val="005317B5"/>
    <w:rsid w:val="00531CD0"/>
    <w:rsid w:val="00532207"/>
    <w:rsid w:val="00532929"/>
    <w:rsid w:val="00532C56"/>
    <w:rsid w:val="00533262"/>
    <w:rsid w:val="0053445C"/>
    <w:rsid w:val="0053568E"/>
    <w:rsid w:val="00535D14"/>
    <w:rsid w:val="005379C1"/>
    <w:rsid w:val="00537F4B"/>
    <w:rsid w:val="00540CE6"/>
    <w:rsid w:val="0054175C"/>
    <w:rsid w:val="0054196D"/>
    <w:rsid w:val="00541E65"/>
    <w:rsid w:val="00542095"/>
    <w:rsid w:val="00542773"/>
    <w:rsid w:val="00542EBB"/>
    <w:rsid w:val="00543715"/>
    <w:rsid w:val="00543B52"/>
    <w:rsid w:val="00544865"/>
    <w:rsid w:val="0054528D"/>
    <w:rsid w:val="00546569"/>
    <w:rsid w:val="00546C78"/>
    <w:rsid w:val="0054704F"/>
    <w:rsid w:val="005472B3"/>
    <w:rsid w:val="005473EE"/>
    <w:rsid w:val="00547886"/>
    <w:rsid w:val="005479F6"/>
    <w:rsid w:val="00547E4B"/>
    <w:rsid w:val="00547E8A"/>
    <w:rsid w:val="0055026B"/>
    <w:rsid w:val="0055034D"/>
    <w:rsid w:val="00551375"/>
    <w:rsid w:val="00551398"/>
    <w:rsid w:val="0055234B"/>
    <w:rsid w:val="00552462"/>
    <w:rsid w:val="005529E4"/>
    <w:rsid w:val="00552FAE"/>
    <w:rsid w:val="00553210"/>
    <w:rsid w:val="0055396B"/>
    <w:rsid w:val="00553EC8"/>
    <w:rsid w:val="005540CA"/>
    <w:rsid w:val="00554AE8"/>
    <w:rsid w:val="00555223"/>
    <w:rsid w:val="005554F2"/>
    <w:rsid w:val="00555505"/>
    <w:rsid w:val="00555C60"/>
    <w:rsid w:val="00556D64"/>
    <w:rsid w:val="00557554"/>
    <w:rsid w:val="00557A9E"/>
    <w:rsid w:val="00560126"/>
    <w:rsid w:val="005601D9"/>
    <w:rsid w:val="005613A6"/>
    <w:rsid w:val="005617C3"/>
    <w:rsid w:val="00561C3D"/>
    <w:rsid w:val="005621CE"/>
    <w:rsid w:val="00562AAF"/>
    <w:rsid w:val="00562B07"/>
    <w:rsid w:val="0056376D"/>
    <w:rsid w:val="00563E8D"/>
    <w:rsid w:val="00564E92"/>
    <w:rsid w:val="005651AD"/>
    <w:rsid w:val="00565A39"/>
    <w:rsid w:val="00570F84"/>
    <w:rsid w:val="00571025"/>
    <w:rsid w:val="0057197B"/>
    <w:rsid w:val="005726BF"/>
    <w:rsid w:val="00572FFE"/>
    <w:rsid w:val="005733A3"/>
    <w:rsid w:val="0057358D"/>
    <w:rsid w:val="00573B7B"/>
    <w:rsid w:val="00574063"/>
    <w:rsid w:val="00574655"/>
    <w:rsid w:val="00574906"/>
    <w:rsid w:val="005749C0"/>
    <w:rsid w:val="00574A7E"/>
    <w:rsid w:val="00574EC3"/>
    <w:rsid w:val="00575140"/>
    <w:rsid w:val="0057541C"/>
    <w:rsid w:val="00576EA8"/>
    <w:rsid w:val="005775DA"/>
    <w:rsid w:val="005778D9"/>
    <w:rsid w:val="005808CF"/>
    <w:rsid w:val="00581091"/>
    <w:rsid w:val="00581E52"/>
    <w:rsid w:val="005823AD"/>
    <w:rsid w:val="005837DC"/>
    <w:rsid w:val="0058457D"/>
    <w:rsid w:val="005859B5"/>
    <w:rsid w:val="00585A21"/>
    <w:rsid w:val="00586509"/>
    <w:rsid w:val="00586EED"/>
    <w:rsid w:val="005872DF"/>
    <w:rsid w:val="00587435"/>
    <w:rsid w:val="0058776F"/>
    <w:rsid w:val="00587A71"/>
    <w:rsid w:val="00587D4A"/>
    <w:rsid w:val="00590547"/>
    <w:rsid w:val="00591410"/>
    <w:rsid w:val="005914B6"/>
    <w:rsid w:val="005915C4"/>
    <w:rsid w:val="00591603"/>
    <w:rsid w:val="00591D91"/>
    <w:rsid w:val="00592398"/>
    <w:rsid w:val="00593911"/>
    <w:rsid w:val="005941E7"/>
    <w:rsid w:val="005946AD"/>
    <w:rsid w:val="00594952"/>
    <w:rsid w:val="00594BA2"/>
    <w:rsid w:val="0059504C"/>
    <w:rsid w:val="0059604C"/>
    <w:rsid w:val="00596791"/>
    <w:rsid w:val="00596C24"/>
    <w:rsid w:val="00597079"/>
    <w:rsid w:val="005972A1"/>
    <w:rsid w:val="00597F76"/>
    <w:rsid w:val="005A1138"/>
    <w:rsid w:val="005A1D2A"/>
    <w:rsid w:val="005A2561"/>
    <w:rsid w:val="005A29C9"/>
    <w:rsid w:val="005A32FA"/>
    <w:rsid w:val="005A3C66"/>
    <w:rsid w:val="005A4BF5"/>
    <w:rsid w:val="005A4E30"/>
    <w:rsid w:val="005A4E72"/>
    <w:rsid w:val="005A5167"/>
    <w:rsid w:val="005A5376"/>
    <w:rsid w:val="005A54E9"/>
    <w:rsid w:val="005A5662"/>
    <w:rsid w:val="005A6448"/>
    <w:rsid w:val="005A67B7"/>
    <w:rsid w:val="005A6E51"/>
    <w:rsid w:val="005A760E"/>
    <w:rsid w:val="005A7793"/>
    <w:rsid w:val="005A79C6"/>
    <w:rsid w:val="005A7A38"/>
    <w:rsid w:val="005B0448"/>
    <w:rsid w:val="005B0DB1"/>
    <w:rsid w:val="005B2450"/>
    <w:rsid w:val="005B24D9"/>
    <w:rsid w:val="005B2FBA"/>
    <w:rsid w:val="005B341A"/>
    <w:rsid w:val="005B37F6"/>
    <w:rsid w:val="005B4108"/>
    <w:rsid w:val="005B43BE"/>
    <w:rsid w:val="005B4C2C"/>
    <w:rsid w:val="005B50E2"/>
    <w:rsid w:val="005B5EE2"/>
    <w:rsid w:val="005B66A8"/>
    <w:rsid w:val="005B69A6"/>
    <w:rsid w:val="005B734D"/>
    <w:rsid w:val="005C0069"/>
    <w:rsid w:val="005C01B3"/>
    <w:rsid w:val="005C088B"/>
    <w:rsid w:val="005C08BC"/>
    <w:rsid w:val="005C0D18"/>
    <w:rsid w:val="005C0EC4"/>
    <w:rsid w:val="005C1628"/>
    <w:rsid w:val="005C18D2"/>
    <w:rsid w:val="005C223F"/>
    <w:rsid w:val="005C247F"/>
    <w:rsid w:val="005C2C79"/>
    <w:rsid w:val="005C2F97"/>
    <w:rsid w:val="005C3174"/>
    <w:rsid w:val="005C3202"/>
    <w:rsid w:val="005C4114"/>
    <w:rsid w:val="005C60D0"/>
    <w:rsid w:val="005C67B8"/>
    <w:rsid w:val="005C6895"/>
    <w:rsid w:val="005C758B"/>
    <w:rsid w:val="005C77C9"/>
    <w:rsid w:val="005C794B"/>
    <w:rsid w:val="005C7D27"/>
    <w:rsid w:val="005D0509"/>
    <w:rsid w:val="005D095A"/>
    <w:rsid w:val="005D0A99"/>
    <w:rsid w:val="005D1438"/>
    <w:rsid w:val="005D273C"/>
    <w:rsid w:val="005D2868"/>
    <w:rsid w:val="005D2DDF"/>
    <w:rsid w:val="005D3874"/>
    <w:rsid w:val="005D3909"/>
    <w:rsid w:val="005D3CBF"/>
    <w:rsid w:val="005D44EB"/>
    <w:rsid w:val="005D4CA1"/>
    <w:rsid w:val="005D4E43"/>
    <w:rsid w:val="005D540F"/>
    <w:rsid w:val="005D5FAF"/>
    <w:rsid w:val="005D6332"/>
    <w:rsid w:val="005D66F9"/>
    <w:rsid w:val="005D6EC3"/>
    <w:rsid w:val="005D784B"/>
    <w:rsid w:val="005D7F18"/>
    <w:rsid w:val="005E090D"/>
    <w:rsid w:val="005E0C65"/>
    <w:rsid w:val="005E0DB4"/>
    <w:rsid w:val="005E198B"/>
    <w:rsid w:val="005E1CE8"/>
    <w:rsid w:val="005E1DE2"/>
    <w:rsid w:val="005E285D"/>
    <w:rsid w:val="005E32C4"/>
    <w:rsid w:val="005E3570"/>
    <w:rsid w:val="005E394B"/>
    <w:rsid w:val="005E39A3"/>
    <w:rsid w:val="005E3DBD"/>
    <w:rsid w:val="005E4036"/>
    <w:rsid w:val="005E4287"/>
    <w:rsid w:val="005E501C"/>
    <w:rsid w:val="005E5F78"/>
    <w:rsid w:val="005E6512"/>
    <w:rsid w:val="005E7681"/>
    <w:rsid w:val="005E787D"/>
    <w:rsid w:val="005E7BA7"/>
    <w:rsid w:val="005E7CA7"/>
    <w:rsid w:val="005F1073"/>
    <w:rsid w:val="005F1359"/>
    <w:rsid w:val="005F1823"/>
    <w:rsid w:val="005F1B00"/>
    <w:rsid w:val="005F2717"/>
    <w:rsid w:val="005F29BB"/>
    <w:rsid w:val="005F2D54"/>
    <w:rsid w:val="005F33C6"/>
    <w:rsid w:val="005F3B97"/>
    <w:rsid w:val="005F4941"/>
    <w:rsid w:val="005F5EA3"/>
    <w:rsid w:val="005F65BE"/>
    <w:rsid w:val="005F7390"/>
    <w:rsid w:val="005F7827"/>
    <w:rsid w:val="005F7890"/>
    <w:rsid w:val="005F7B75"/>
    <w:rsid w:val="00600AF1"/>
    <w:rsid w:val="006012BC"/>
    <w:rsid w:val="00601441"/>
    <w:rsid w:val="0060153E"/>
    <w:rsid w:val="006015B5"/>
    <w:rsid w:val="00601C34"/>
    <w:rsid w:val="006020F2"/>
    <w:rsid w:val="00603148"/>
    <w:rsid w:val="0060332B"/>
    <w:rsid w:val="006036B8"/>
    <w:rsid w:val="0060427A"/>
    <w:rsid w:val="0060478C"/>
    <w:rsid w:val="00604967"/>
    <w:rsid w:val="00604C4E"/>
    <w:rsid w:val="006058CE"/>
    <w:rsid w:val="00605E6A"/>
    <w:rsid w:val="00605FE7"/>
    <w:rsid w:val="006060BA"/>
    <w:rsid w:val="006062BA"/>
    <w:rsid w:val="00606C04"/>
    <w:rsid w:val="00606DC3"/>
    <w:rsid w:val="00606E00"/>
    <w:rsid w:val="00610B1D"/>
    <w:rsid w:val="00610C04"/>
    <w:rsid w:val="0061112A"/>
    <w:rsid w:val="0061275E"/>
    <w:rsid w:val="006132B0"/>
    <w:rsid w:val="00613E5C"/>
    <w:rsid w:val="00614224"/>
    <w:rsid w:val="006142D1"/>
    <w:rsid w:val="006150F9"/>
    <w:rsid w:val="0061550A"/>
    <w:rsid w:val="00615D8E"/>
    <w:rsid w:val="006166C5"/>
    <w:rsid w:val="00616978"/>
    <w:rsid w:val="00616F48"/>
    <w:rsid w:val="006203D8"/>
    <w:rsid w:val="00621A5A"/>
    <w:rsid w:val="00621B58"/>
    <w:rsid w:val="00622AD8"/>
    <w:rsid w:val="00623C55"/>
    <w:rsid w:val="00624026"/>
    <w:rsid w:val="006245E2"/>
    <w:rsid w:val="00624ED1"/>
    <w:rsid w:val="00625484"/>
    <w:rsid w:val="006258B2"/>
    <w:rsid w:val="00625B5F"/>
    <w:rsid w:val="006261F9"/>
    <w:rsid w:val="0062683F"/>
    <w:rsid w:val="0062737F"/>
    <w:rsid w:val="006276FF"/>
    <w:rsid w:val="00630D56"/>
    <w:rsid w:val="00630E58"/>
    <w:rsid w:val="00630E78"/>
    <w:rsid w:val="00630ED8"/>
    <w:rsid w:val="00631CC1"/>
    <w:rsid w:val="00631E9B"/>
    <w:rsid w:val="00631F9C"/>
    <w:rsid w:val="0063226F"/>
    <w:rsid w:val="0063254F"/>
    <w:rsid w:val="00632DE3"/>
    <w:rsid w:val="006334BE"/>
    <w:rsid w:val="0063355E"/>
    <w:rsid w:val="006336FF"/>
    <w:rsid w:val="006337B0"/>
    <w:rsid w:val="00633922"/>
    <w:rsid w:val="00633E93"/>
    <w:rsid w:val="00634BE7"/>
    <w:rsid w:val="00634F3C"/>
    <w:rsid w:val="00635423"/>
    <w:rsid w:val="00635FA9"/>
    <w:rsid w:val="006367B1"/>
    <w:rsid w:val="00637866"/>
    <w:rsid w:val="00640400"/>
    <w:rsid w:val="00640966"/>
    <w:rsid w:val="00641319"/>
    <w:rsid w:val="00641B37"/>
    <w:rsid w:val="00641D19"/>
    <w:rsid w:val="00641D3E"/>
    <w:rsid w:val="00641E2A"/>
    <w:rsid w:val="00642112"/>
    <w:rsid w:val="00642243"/>
    <w:rsid w:val="006424AB"/>
    <w:rsid w:val="00642CFE"/>
    <w:rsid w:val="00643457"/>
    <w:rsid w:val="00643C26"/>
    <w:rsid w:val="006456C7"/>
    <w:rsid w:val="006466ED"/>
    <w:rsid w:val="00646B93"/>
    <w:rsid w:val="00647906"/>
    <w:rsid w:val="006501A1"/>
    <w:rsid w:val="00650412"/>
    <w:rsid w:val="0065121B"/>
    <w:rsid w:val="00651776"/>
    <w:rsid w:val="00651C67"/>
    <w:rsid w:val="00652406"/>
    <w:rsid w:val="006530D8"/>
    <w:rsid w:val="006533EA"/>
    <w:rsid w:val="00653935"/>
    <w:rsid w:val="00653BCB"/>
    <w:rsid w:val="00653D52"/>
    <w:rsid w:val="00653FB5"/>
    <w:rsid w:val="00654645"/>
    <w:rsid w:val="0065538D"/>
    <w:rsid w:val="00656482"/>
    <w:rsid w:val="00656D1C"/>
    <w:rsid w:val="00656E35"/>
    <w:rsid w:val="00657B2D"/>
    <w:rsid w:val="0066004A"/>
    <w:rsid w:val="00660A9B"/>
    <w:rsid w:val="00660C4B"/>
    <w:rsid w:val="00660CCF"/>
    <w:rsid w:val="00660FB0"/>
    <w:rsid w:val="00662550"/>
    <w:rsid w:val="00662965"/>
    <w:rsid w:val="00662A0A"/>
    <w:rsid w:val="00662A45"/>
    <w:rsid w:val="00662C93"/>
    <w:rsid w:val="00662DDF"/>
    <w:rsid w:val="00663507"/>
    <w:rsid w:val="00663AAB"/>
    <w:rsid w:val="00663B92"/>
    <w:rsid w:val="006646E5"/>
    <w:rsid w:val="00664811"/>
    <w:rsid w:val="00664A39"/>
    <w:rsid w:val="00664A99"/>
    <w:rsid w:val="00664DF2"/>
    <w:rsid w:val="006656BA"/>
    <w:rsid w:val="00665A53"/>
    <w:rsid w:val="00665C2B"/>
    <w:rsid w:val="00665C5B"/>
    <w:rsid w:val="00665D53"/>
    <w:rsid w:val="00665FE2"/>
    <w:rsid w:val="0066606B"/>
    <w:rsid w:val="006667BF"/>
    <w:rsid w:val="00666E15"/>
    <w:rsid w:val="00666F71"/>
    <w:rsid w:val="00667014"/>
    <w:rsid w:val="00670863"/>
    <w:rsid w:val="00671DFD"/>
    <w:rsid w:val="006728D8"/>
    <w:rsid w:val="00672E5D"/>
    <w:rsid w:val="00672FA0"/>
    <w:rsid w:val="006731D2"/>
    <w:rsid w:val="006731EA"/>
    <w:rsid w:val="006734AB"/>
    <w:rsid w:val="00673506"/>
    <w:rsid w:val="006737B2"/>
    <w:rsid w:val="006737FF"/>
    <w:rsid w:val="00674697"/>
    <w:rsid w:val="006746BF"/>
    <w:rsid w:val="00674B16"/>
    <w:rsid w:val="00674BC5"/>
    <w:rsid w:val="00674BFA"/>
    <w:rsid w:val="00674E0A"/>
    <w:rsid w:val="00675355"/>
    <w:rsid w:val="00675A58"/>
    <w:rsid w:val="00676511"/>
    <w:rsid w:val="00676B44"/>
    <w:rsid w:val="00677B61"/>
    <w:rsid w:val="0068069E"/>
    <w:rsid w:val="00680F48"/>
    <w:rsid w:val="006815BA"/>
    <w:rsid w:val="00681944"/>
    <w:rsid w:val="00682D4C"/>
    <w:rsid w:val="006837D9"/>
    <w:rsid w:val="00684960"/>
    <w:rsid w:val="00684C33"/>
    <w:rsid w:val="0068559B"/>
    <w:rsid w:val="006857BA"/>
    <w:rsid w:val="0068605F"/>
    <w:rsid w:val="006860CA"/>
    <w:rsid w:val="00686B85"/>
    <w:rsid w:val="00686C2E"/>
    <w:rsid w:val="00687197"/>
    <w:rsid w:val="006872F7"/>
    <w:rsid w:val="0068746B"/>
    <w:rsid w:val="0068762E"/>
    <w:rsid w:val="00687EA8"/>
    <w:rsid w:val="00687FE4"/>
    <w:rsid w:val="006902D5"/>
    <w:rsid w:val="006902F9"/>
    <w:rsid w:val="006903BB"/>
    <w:rsid w:val="00690F08"/>
    <w:rsid w:val="006915C7"/>
    <w:rsid w:val="0069170B"/>
    <w:rsid w:val="006919DE"/>
    <w:rsid w:val="00691AFE"/>
    <w:rsid w:val="006923FD"/>
    <w:rsid w:val="00692837"/>
    <w:rsid w:val="00692F52"/>
    <w:rsid w:val="006930DB"/>
    <w:rsid w:val="00693824"/>
    <w:rsid w:val="006943D4"/>
    <w:rsid w:val="00694521"/>
    <w:rsid w:val="00694C46"/>
    <w:rsid w:val="006950FF"/>
    <w:rsid w:val="006959A1"/>
    <w:rsid w:val="00695C47"/>
    <w:rsid w:val="00696594"/>
    <w:rsid w:val="00696999"/>
    <w:rsid w:val="00697BBA"/>
    <w:rsid w:val="006A0414"/>
    <w:rsid w:val="006A0498"/>
    <w:rsid w:val="006A0E79"/>
    <w:rsid w:val="006A0EAB"/>
    <w:rsid w:val="006A0FF9"/>
    <w:rsid w:val="006A10BB"/>
    <w:rsid w:val="006A127D"/>
    <w:rsid w:val="006A17AC"/>
    <w:rsid w:val="006A19F4"/>
    <w:rsid w:val="006A1A25"/>
    <w:rsid w:val="006A1FE6"/>
    <w:rsid w:val="006A2109"/>
    <w:rsid w:val="006A2793"/>
    <w:rsid w:val="006A2EDF"/>
    <w:rsid w:val="006A3C67"/>
    <w:rsid w:val="006A4758"/>
    <w:rsid w:val="006A48D4"/>
    <w:rsid w:val="006A4DA5"/>
    <w:rsid w:val="006A4FFF"/>
    <w:rsid w:val="006A5CAE"/>
    <w:rsid w:val="006A5CB6"/>
    <w:rsid w:val="006A5D91"/>
    <w:rsid w:val="006A5F86"/>
    <w:rsid w:val="006A6225"/>
    <w:rsid w:val="006A63C6"/>
    <w:rsid w:val="006A6912"/>
    <w:rsid w:val="006A6C31"/>
    <w:rsid w:val="006A7064"/>
    <w:rsid w:val="006A7629"/>
    <w:rsid w:val="006A7C08"/>
    <w:rsid w:val="006A7DAD"/>
    <w:rsid w:val="006A7E09"/>
    <w:rsid w:val="006B010E"/>
    <w:rsid w:val="006B0538"/>
    <w:rsid w:val="006B1474"/>
    <w:rsid w:val="006B1908"/>
    <w:rsid w:val="006B1A2D"/>
    <w:rsid w:val="006B203D"/>
    <w:rsid w:val="006B2216"/>
    <w:rsid w:val="006B293F"/>
    <w:rsid w:val="006B2E65"/>
    <w:rsid w:val="006B2FDF"/>
    <w:rsid w:val="006B3046"/>
    <w:rsid w:val="006B3303"/>
    <w:rsid w:val="006B3EF3"/>
    <w:rsid w:val="006B4165"/>
    <w:rsid w:val="006B60D9"/>
    <w:rsid w:val="006B6329"/>
    <w:rsid w:val="006B67F9"/>
    <w:rsid w:val="006B6848"/>
    <w:rsid w:val="006B7158"/>
    <w:rsid w:val="006B7489"/>
    <w:rsid w:val="006B75BA"/>
    <w:rsid w:val="006C03BB"/>
    <w:rsid w:val="006C106B"/>
    <w:rsid w:val="006C1648"/>
    <w:rsid w:val="006C18BD"/>
    <w:rsid w:val="006C1B74"/>
    <w:rsid w:val="006C2288"/>
    <w:rsid w:val="006C287C"/>
    <w:rsid w:val="006C2BCF"/>
    <w:rsid w:val="006C35BF"/>
    <w:rsid w:val="006C492F"/>
    <w:rsid w:val="006C51C5"/>
    <w:rsid w:val="006C5795"/>
    <w:rsid w:val="006C6005"/>
    <w:rsid w:val="006C6946"/>
    <w:rsid w:val="006C7528"/>
    <w:rsid w:val="006C7EC0"/>
    <w:rsid w:val="006D08F4"/>
    <w:rsid w:val="006D10A1"/>
    <w:rsid w:val="006D10F0"/>
    <w:rsid w:val="006D1648"/>
    <w:rsid w:val="006D1829"/>
    <w:rsid w:val="006D18F0"/>
    <w:rsid w:val="006D1E16"/>
    <w:rsid w:val="006D25F8"/>
    <w:rsid w:val="006D2A37"/>
    <w:rsid w:val="006D3766"/>
    <w:rsid w:val="006D4ECA"/>
    <w:rsid w:val="006D63C5"/>
    <w:rsid w:val="006D6C99"/>
    <w:rsid w:val="006D6CEF"/>
    <w:rsid w:val="006D6D65"/>
    <w:rsid w:val="006D79D4"/>
    <w:rsid w:val="006E02E1"/>
    <w:rsid w:val="006E0FB2"/>
    <w:rsid w:val="006E199E"/>
    <w:rsid w:val="006E2456"/>
    <w:rsid w:val="006E2700"/>
    <w:rsid w:val="006E40CF"/>
    <w:rsid w:val="006E4EBD"/>
    <w:rsid w:val="006E4FBA"/>
    <w:rsid w:val="006E5D8F"/>
    <w:rsid w:val="006E6081"/>
    <w:rsid w:val="006E663A"/>
    <w:rsid w:val="006E6AB6"/>
    <w:rsid w:val="006E6B4E"/>
    <w:rsid w:val="006E74C5"/>
    <w:rsid w:val="006E7E11"/>
    <w:rsid w:val="006F0062"/>
    <w:rsid w:val="006F18F9"/>
    <w:rsid w:val="006F1BF7"/>
    <w:rsid w:val="006F1C9C"/>
    <w:rsid w:val="006F1FF9"/>
    <w:rsid w:val="006F20F6"/>
    <w:rsid w:val="006F2237"/>
    <w:rsid w:val="006F24C5"/>
    <w:rsid w:val="006F26AA"/>
    <w:rsid w:val="006F2718"/>
    <w:rsid w:val="006F2B34"/>
    <w:rsid w:val="006F2F2A"/>
    <w:rsid w:val="006F37BF"/>
    <w:rsid w:val="006F3E79"/>
    <w:rsid w:val="006F48B2"/>
    <w:rsid w:val="006F4A57"/>
    <w:rsid w:val="006F4AAE"/>
    <w:rsid w:val="006F4F25"/>
    <w:rsid w:val="006F52C8"/>
    <w:rsid w:val="006F59B2"/>
    <w:rsid w:val="006F5C6D"/>
    <w:rsid w:val="006F5FAE"/>
    <w:rsid w:val="006F68CE"/>
    <w:rsid w:val="006F7547"/>
    <w:rsid w:val="006F7D06"/>
    <w:rsid w:val="006F7FAF"/>
    <w:rsid w:val="007004F7"/>
    <w:rsid w:val="00700666"/>
    <w:rsid w:val="00700D48"/>
    <w:rsid w:val="007014C6"/>
    <w:rsid w:val="007016B9"/>
    <w:rsid w:val="00702241"/>
    <w:rsid w:val="00703337"/>
    <w:rsid w:val="00703DA9"/>
    <w:rsid w:val="00704913"/>
    <w:rsid w:val="0070543C"/>
    <w:rsid w:val="007056C9"/>
    <w:rsid w:val="0070658D"/>
    <w:rsid w:val="00706B2C"/>
    <w:rsid w:val="00707361"/>
    <w:rsid w:val="00707CA5"/>
    <w:rsid w:val="0071031D"/>
    <w:rsid w:val="00710653"/>
    <w:rsid w:val="007107EB"/>
    <w:rsid w:val="00710BBC"/>
    <w:rsid w:val="00711619"/>
    <w:rsid w:val="00711A72"/>
    <w:rsid w:val="0071267E"/>
    <w:rsid w:val="0071286D"/>
    <w:rsid w:val="00712961"/>
    <w:rsid w:val="00712D20"/>
    <w:rsid w:val="00713109"/>
    <w:rsid w:val="007131DF"/>
    <w:rsid w:val="00713370"/>
    <w:rsid w:val="00713C3A"/>
    <w:rsid w:val="00714947"/>
    <w:rsid w:val="0071544B"/>
    <w:rsid w:val="00715A22"/>
    <w:rsid w:val="00716542"/>
    <w:rsid w:val="00716C17"/>
    <w:rsid w:val="00717124"/>
    <w:rsid w:val="0071729F"/>
    <w:rsid w:val="00717AFB"/>
    <w:rsid w:val="00717B02"/>
    <w:rsid w:val="00717E0E"/>
    <w:rsid w:val="00720544"/>
    <w:rsid w:val="007207D9"/>
    <w:rsid w:val="007217C4"/>
    <w:rsid w:val="00721AE0"/>
    <w:rsid w:val="00721C1E"/>
    <w:rsid w:val="00722CDC"/>
    <w:rsid w:val="007244B8"/>
    <w:rsid w:val="00724752"/>
    <w:rsid w:val="00724768"/>
    <w:rsid w:val="0072539C"/>
    <w:rsid w:val="007254A1"/>
    <w:rsid w:val="00725812"/>
    <w:rsid w:val="00725933"/>
    <w:rsid w:val="007264BC"/>
    <w:rsid w:val="00726E34"/>
    <w:rsid w:val="00730729"/>
    <w:rsid w:val="00730A6B"/>
    <w:rsid w:val="00730D34"/>
    <w:rsid w:val="00731370"/>
    <w:rsid w:val="0073200F"/>
    <w:rsid w:val="007321BC"/>
    <w:rsid w:val="00732DDE"/>
    <w:rsid w:val="007333E1"/>
    <w:rsid w:val="00733797"/>
    <w:rsid w:val="0073456C"/>
    <w:rsid w:val="007351BF"/>
    <w:rsid w:val="007355E5"/>
    <w:rsid w:val="007357E1"/>
    <w:rsid w:val="00735C2B"/>
    <w:rsid w:val="00736414"/>
    <w:rsid w:val="007371AD"/>
    <w:rsid w:val="00740490"/>
    <w:rsid w:val="00740591"/>
    <w:rsid w:val="00740FA9"/>
    <w:rsid w:val="00741201"/>
    <w:rsid w:val="00741E07"/>
    <w:rsid w:val="007426FB"/>
    <w:rsid w:val="00742A29"/>
    <w:rsid w:val="00742AE7"/>
    <w:rsid w:val="00742B3F"/>
    <w:rsid w:val="00742B94"/>
    <w:rsid w:val="00743B0D"/>
    <w:rsid w:val="00743C38"/>
    <w:rsid w:val="00743EFE"/>
    <w:rsid w:val="0074403C"/>
    <w:rsid w:val="007446A6"/>
    <w:rsid w:val="00744872"/>
    <w:rsid w:val="00745A37"/>
    <w:rsid w:val="00745E9B"/>
    <w:rsid w:val="00746730"/>
    <w:rsid w:val="00746C65"/>
    <w:rsid w:val="00746DE4"/>
    <w:rsid w:val="00746F69"/>
    <w:rsid w:val="00747DD6"/>
    <w:rsid w:val="007508D0"/>
    <w:rsid w:val="00750AEB"/>
    <w:rsid w:val="00751610"/>
    <w:rsid w:val="007518AF"/>
    <w:rsid w:val="007519FD"/>
    <w:rsid w:val="00751AEC"/>
    <w:rsid w:val="00751B30"/>
    <w:rsid w:val="00751F0F"/>
    <w:rsid w:val="0075223C"/>
    <w:rsid w:val="00752632"/>
    <w:rsid w:val="00752D5A"/>
    <w:rsid w:val="007533DD"/>
    <w:rsid w:val="0075453B"/>
    <w:rsid w:val="00754E42"/>
    <w:rsid w:val="00754E8A"/>
    <w:rsid w:val="00755DFD"/>
    <w:rsid w:val="00755E2D"/>
    <w:rsid w:val="007560A5"/>
    <w:rsid w:val="00757387"/>
    <w:rsid w:val="00757BAD"/>
    <w:rsid w:val="0076000D"/>
    <w:rsid w:val="00760806"/>
    <w:rsid w:val="00760CE1"/>
    <w:rsid w:val="007611C0"/>
    <w:rsid w:val="00761811"/>
    <w:rsid w:val="00761C3A"/>
    <w:rsid w:val="007621BB"/>
    <w:rsid w:val="00762D28"/>
    <w:rsid w:val="007637FE"/>
    <w:rsid w:val="00764E5B"/>
    <w:rsid w:val="00765746"/>
    <w:rsid w:val="00766CBB"/>
    <w:rsid w:val="007672C3"/>
    <w:rsid w:val="00770727"/>
    <w:rsid w:val="00770CB0"/>
    <w:rsid w:val="00771B0D"/>
    <w:rsid w:val="00771E54"/>
    <w:rsid w:val="00771E8D"/>
    <w:rsid w:val="00772105"/>
    <w:rsid w:val="007727D4"/>
    <w:rsid w:val="00772BE2"/>
    <w:rsid w:val="00772D38"/>
    <w:rsid w:val="00773E8B"/>
    <w:rsid w:val="00775572"/>
    <w:rsid w:val="00775677"/>
    <w:rsid w:val="00775DF8"/>
    <w:rsid w:val="00775E0E"/>
    <w:rsid w:val="00775EAA"/>
    <w:rsid w:val="007764D7"/>
    <w:rsid w:val="007776DC"/>
    <w:rsid w:val="00777916"/>
    <w:rsid w:val="007800D7"/>
    <w:rsid w:val="00780B73"/>
    <w:rsid w:val="007813E5"/>
    <w:rsid w:val="00781529"/>
    <w:rsid w:val="0078159E"/>
    <w:rsid w:val="00782D40"/>
    <w:rsid w:val="00783893"/>
    <w:rsid w:val="00784780"/>
    <w:rsid w:val="00784973"/>
    <w:rsid w:val="00785151"/>
    <w:rsid w:val="00785170"/>
    <w:rsid w:val="007863BA"/>
    <w:rsid w:val="00786653"/>
    <w:rsid w:val="00786946"/>
    <w:rsid w:val="00786C5E"/>
    <w:rsid w:val="00787432"/>
    <w:rsid w:val="007874B6"/>
    <w:rsid w:val="00787B8F"/>
    <w:rsid w:val="00787DBB"/>
    <w:rsid w:val="0079029F"/>
    <w:rsid w:val="00790AB2"/>
    <w:rsid w:val="0079179D"/>
    <w:rsid w:val="00791A30"/>
    <w:rsid w:val="0079204E"/>
    <w:rsid w:val="00792D63"/>
    <w:rsid w:val="00793321"/>
    <w:rsid w:val="00793B72"/>
    <w:rsid w:val="00794063"/>
    <w:rsid w:val="00794E03"/>
    <w:rsid w:val="00795601"/>
    <w:rsid w:val="00795F7D"/>
    <w:rsid w:val="007967F1"/>
    <w:rsid w:val="00797C35"/>
    <w:rsid w:val="00797D04"/>
    <w:rsid w:val="00797E3F"/>
    <w:rsid w:val="007A01CB"/>
    <w:rsid w:val="007A08CF"/>
    <w:rsid w:val="007A0E4C"/>
    <w:rsid w:val="007A0EE5"/>
    <w:rsid w:val="007A1060"/>
    <w:rsid w:val="007A1091"/>
    <w:rsid w:val="007A11A6"/>
    <w:rsid w:val="007A187B"/>
    <w:rsid w:val="007A1A51"/>
    <w:rsid w:val="007A1F95"/>
    <w:rsid w:val="007A2112"/>
    <w:rsid w:val="007A2D27"/>
    <w:rsid w:val="007A32D8"/>
    <w:rsid w:val="007A47AD"/>
    <w:rsid w:val="007A58F1"/>
    <w:rsid w:val="007A5F19"/>
    <w:rsid w:val="007A610D"/>
    <w:rsid w:val="007A6269"/>
    <w:rsid w:val="007A6855"/>
    <w:rsid w:val="007A6AA8"/>
    <w:rsid w:val="007A6CC8"/>
    <w:rsid w:val="007A6D28"/>
    <w:rsid w:val="007A78C9"/>
    <w:rsid w:val="007A7A82"/>
    <w:rsid w:val="007B0CB2"/>
    <w:rsid w:val="007B1735"/>
    <w:rsid w:val="007B1B12"/>
    <w:rsid w:val="007B24B4"/>
    <w:rsid w:val="007B2A0B"/>
    <w:rsid w:val="007B2BAC"/>
    <w:rsid w:val="007B324E"/>
    <w:rsid w:val="007B3E5C"/>
    <w:rsid w:val="007B4920"/>
    <w:rsid w:val="007B567D"/>
    <w:rsid w:val="007B6D29"/>
    <w:rsid w:val="007B7BEF"/>
    <w:rsid w:val="007B7E68"/>
    <w:rsid w:val="007C1953"/>
    <w:rsid w:val="007C1968"/>
    <w:rsid w:val="007C1EAD"/>
    <w:rsid w:val="007C22CD"/>
    <w:rsid w:val="007C26B8"/>
    <w:rsid w:val="007C2916"/>
    <w:rsid w:val="007C309D"/>
    <w:rsid w:val="007C3796"/>
    <w:rsid w:val="007C4759"/>
    <w:rsid w:val="007C4C75"/>
    <w:rsid w:val="007C55A0"/>
    <w:rsid w:val="007C575B"/>
    <w:rsid w:val="007C6D29"/>
    <w:rsid w:val="007D02C3"/>
    <w:rsid w:val="007D05BF"/>
    <w:rsid w:val="007D05F3"/>
    <w:rsid w:val="007D0731"/>
    <w:rsid w:val="007D0770"/>
    <w:rsid w:val="007D0850"/>
    <w:rsid w:val="007D0B56"/>
    <w:rsid w:val="007D177D"/>
    <w:rsid w:val="007D1CCE"/>
    <w:rsid w:val="007D2017"/>
    <w:rsid w:val="007D203F"/>
    <w:rsid w:val="007D300D"/>
    <w:rsid w:val="007D3DE5"/>
    <w:rsid w:val="007D3EA3"/>
    <w:rsid w:val="007D42D1"/>
    <w:rsid w:val="007D49F9"/>
    <w:rsid w:val="007D552F"/>
    <w:rsid w:val="007D5730"/>
    <w:rsid w:val="007D5E21"/>
    <w:rsid w:val="007D626E"/>
    <w:rsid w:val="007D6B54"/>
    <w:rsid w:val="007D6E21"/>
    <w:rsid w:val="007D6EA0"/>
    <w:rsid w:val="007D733F"/>
    <w:rsid w:val="007D7383"/>
    <w:rsid w:val="007D7C79"/>
    <w:rsid w:val="007D7CFC"/>
    <w:rsid w:val="007E046B"/>
    <w:rsid w:val="007E07C2"/>
    <w:rsid w:val="007E1863"/>
    <w:rsid w:val="007E1B1C"/>
    <w:rsid w:val="007E1C53"/>
    <w:rsid w:val="007E23A7"/>
    <w:rsid w:val="007E2402"/>
    <w:rsid w:val="007E297D"/>
    <w:rsid w:val="007E30D9"/>
    <w:rsid w:val="007E322D"/>
    <w:rsid w:val="007E3C38"/>
    <w:rsid w:val="007E4515"/>
    <w:rsid w:val="007E4C86"/>
    <w:rsid w:val="007E50DF"/>
    <w:rsid w:val="007E53C1"/>
    <w:rsid w:val="007E595C"/>
    <w:rsid w:val="007E5FC3"/>
    <w:rsid w:val="007E7A29"/>
    <w:rsid w:val="007F03AA"/>
    <w:rsid w:val="007F0D7D"/>
    <w:rsid w:val="007F1015"/>
    <w:rsid w:val="007F142C"/>
    <w:rsid w:val="007F17D7"/>
    <w:rsid w:val="007F2792"/>
    <w:rsid w:val="007F30C8"/>
    <w:rsid w:val="007F3A24"/>
    <w:rsid w:val="007F3A7F"/>
    <w:rsid w:val="007F3B7D"/>
    <w:rsid w:val="007F3E2F"/>
    <w:rsid w:val="007F424D"/>
    <w:rsid w:val="007F4598"/>
    <w:rsid w:val="007F50BF"/>
    <w:rsid w:val="007F5362"/>
    <w:rsid w:val="007F59EE"/>
    <w:rsid w:val="007F64E8"/>
    <w:rsid w:val="007F6D7D"/>
    <w:rsid w:val="007F726B"/>
    <w:rsid w:val="007F755E"/>
    <w:rsid w:val="008007FD"/>
    <w:rsid w:val="00802A4F"/>
    <w:rsid w:val="00802B5C"/>
    <w:rsid w:val="00802EE8"/>
    <w:rsid w:val="00803579"/>
    <w:rsid w:val="00803AA5"/>
    <w:rsid w:val="00804175"/>
    <w:rsid w:val="00804A80"/>
    <w:rsid w:val="00804C9F"/>
    <w:rsid w:val="00804F18"/>
    <w:rsid w:val="00805499"/>
    <w:rsid w:val="0080647D"/>
    <w:rsid w:val="00806658"/>
    <w:rsid w:val="008066D2"/>
    <w:rsid w:val="00806AB4"/>
    <w:rsid w:val="00806D3F"/>
    <w:rsid w:val="00807075"/>
    <w:rsid w:val="00807093"/>
    <w:rsid w:val="00807681"/>
    <w:rsid w:val="00807814"/>
    <w:rsid w:val="008100E9"/>
    <w:rsid w:val="00810593"/>
    <w:rsid w:val="00810DAD"/>
    <w:rsid w:val="00811CF1"/>
    <w:rsid w:val="00811DE9"/>
    <w:rsid w:val="008123A8"/>
    <w:rsid w:val="00812902"/>
    <w:rsid w:val="008131B5"/>
    <w:rsid w:val="00813D5B"/>
    <w:rsid w:val="008152A9"/>
    <w:rsid w:val="00815C96"/>
    <w:rsid w:val="008164C2"/>
    <w:rsid w:val="00816572"/>
    <w:rsid w:val="00816F9E"/>
    <w:rsid w:val="00817870"/>
    <w:rsid w:val="008204E6"/>
    <w:rsid w:val="00820546"/>
    <w:rsid w:val="008207B2"/>
    <w:rsid w:val="00821A83"/>
    <w:rsid w:val="00821B66"/>
    <w:rsid w:val="00821C89"/>
    <w:rsid w:val="00822665"/>
    <w:rsid w:val="008230B2"/>
    <w:rsid w:val="008237F0"/>
    <w:rsid w:val="00823AA5"/>
    <w:rsid w:val="00824103"/>
    <w:rsid w:val="008242BF"/>
    <w:rsid w:val="008247E2"/>
    <w:rsid w:val="00824D04"/>
    <w:rsid w:val="00824EEE"/>
    <w:rsid w:val="008259A1"/>
    <w:rsid w:val="00826993"/>
    <w:rsid w:val="00826AA6"/>
    <w:rsid w:val="00826DF9"/>
    <w:rsid w:val="008276B5"/>
    <w:rsid w:val="00827C94"/>
    <w:rsid w:val="00827E05"/>
    <w:rsid w:val="00830CCA"/>
    <w:rsid w:val="00831986"/>
    <w:rsid w:val="00832704"/>
    <w:rsid w:val="008329E4"/>
    <w:rsid w:val="00833175"/>
    <w:rsid w:val="00833BE7"/>
    <w:rsid w:val="00834148"/>
    <w:rsid w:val="00834D8D"/>
    <w:rsid w:val="00834F5C"/>
    <w:rsid w:val="008350D4"/>
    <w:rsid w:val="00835142"/>
    <w:rsid w:val="008359B5"/>
    <w:rsid w:val="00835DF7"/>
    <w:rsid w:val="008362EB"/>
    <w:rsid w:val="008377F2"/>
    <w:rsid w:val="00840443"/>
    <w:rsid w:val="00840795"/>
    <w:rsid w:val="00840B45"/>
    <w:rsid w:val="00840DBA"/>
    <w:rsid w:val="00841026"/>
    <w:rsid w:val="0084114E"/>
    <w:rsid w:val="00841724"/>
    <w:rsid w:val="00841AE4"/>
    <w:rsid w:val="008423F6"/>
    <w:rsid w:val="00843714"/>
    <w:rsid w:val="00843D3D"/>
    <w:rsid w:val="00844D71"/>
    <w:rsid w:val="00845018"/>
    <w:rsid w:val="00845759"/>
    <w:rsid w:val="00845894"/>
    <w:rsid w:val="00845ABB"/>
    <w:rsid w:val="00845D92"/>
    <w:rsid w:val="00846CC5"/>
    <w:rsid w:val="00846ED1"/>
    <w:rsid w:val="00846FE7"/>
    <w:rsid w:val="00850599"/>
    <w:rsid w:val="00850836"/>
    <w:rsid w:val="0085100B"/>
    <w:rsid w:val="00852431"/>
    <w:rsid w:val="00852CAC"/>
    <w:rsid w:val="00853238"/>
    <w:rsid w:val="0085335F"/>
    <w:rsid w:val="00853793"/>
    <w:rsid w:val="008537A3"/>
    <w:rsid w:val="00853D15"/>
    <w:rsid w:val="00853D27"/>
    <w:rsid w:val="00853F73"/>
    <w:rsid w:val="008544C3"/>
    <w:rsid w:val="00854E5F"/>
    <w:rsid w:val="008551DD"/>
    <w:rsid w:val="008558EB"/>
    <w:rsid w:val="0085636F"/>
    <w:rsid w:val="00856C52"/>
    <w:rsid w:val="00856E4B"/>
    <w:rsid w:val="00857105"/>
    <w:rsid w:val="008601C1"/>
    <w:rsid w:val="0086049A"/>
    <w:rsid w:val="0086111E"/>
    <w:rsid w:val="00861157"/>
    <w:rsid w:val="00861915"/>
    <w:rsid w:val="00861F92"/>
    <w:rsid w:val="00862FF6"/>
    <w:rsid w:val="0086321B"/>
    <w:rsid w:val="00863E96"/>
    <w:rsid w:val="008650A9"/>
    <w:rsid w:val="00866064"/>
    <w:rsid w:val="00866206"/>
    <w:rsid w:val="00866B66"/>
    <w:rsid w:val="00867365"/>
    <w:rsid w:val="0086751F"/>
    <w:rsid w:val="008675E4"/>
    <w:rsid w:val="00867BCB"/>
    <w:rsid w:val="00867D18"/>
    <w:rsid w:val="00867D2D"/>
    <w:rsid w:val="00867F84"/>
    <w:rsid w:val="00871202"/>
    <w:rsid w:val="00871221"/>
    <w:rsid w:val="00871B0B"/>
    <w:rsid w:val="0087282E"/>
    <w:rsid w:val="00872889"/>
    <w:rsid w:val="00872D70"/>
    <w:rsid w:val="00873369"/>
    <w:rsid w:val="00873999"/>
    <w:rsid w:val="00873CD0"/>
    <w:rsid w:val="00874366"/>
    <w:rsid w:val="00874815"/>
    <w:rsid w:val="00874A00"/>
    <w:rsid w:val="00875345"/>
    <w:rsid w:val="008753BD"/>
    <w:rsid w:val="00875529"/>
    <w:rsid w:val="0087591D"/>
    <w:rsid w:val="00875BCC"/>
    <w:rsid w:val="008760E7"/>
    <w:rsid w:val="00876825"/>
    <w:rsid w:val="00876CBC"/>
    <w:rsid w:val="00876D46"/>
    <w:rsid w:val="00876FEE"/>
    <w:rsid w:val="00877430"/>
    <w:rsid w:val="008801C9"/>
    <w:rsid w:val="008812E0"/>
    <w:rsid w:val="008819F6"/>
    <w:rsid w:val="00881F3F"/>
    <w:rsid w:val="008822DE"/>
    <w:rsid w:val="008824FC"/>
    <w:rsid w:val="008825BD"/>
    <w:rsid w:val="0088298C"/>
    <w:rsid w:val="00882EF6"/>
    <w:rsid w:val="008832EB"/>
    <w:rsid w:val="00883464"/>
    <w:rsid w:val="00883B43"/>
    <w:rsid w:val="00883BCF"/>
    <w:rsid w:val="00883C19"/>
    <w:rsid w:val="00885632"/>
    <w:rsid w:val="00885ED6"/>
    <w:rsid w:val="00885F32"/>
    <w:rsid w:val="00885F7F"/>
    <w:rsid w:val="00887377"/>
    <w:rsid w:val="00887857"/>
    <w:rsid w:val="00887880"/>
    <w:rsid w:val="00887E85"/>
    <w:rsid w:val="00887EC4"/>
    <w:rsid w:val="00890183"/>
    <w:rsid w:val="00890B54"/>
    <w:rsid w:val="008911BC"/>
    <w:rsid w:val="008914AF"/>
    <w:rsid w:val="00892800"/>
    <w:rsid w:val="008928B1"/>
    <w:rsid w:val="00892900"/>
    <w:rsid w:val="00892984"/>
    <w:rsid w:val="00892ADB"/>
    <w:rsid w:val="008934E3"/>
    <w:rsid w:val="00893DEB"/>
    <w:rsid w:val="00893F6C"/>
    <w:rsid w:val="0089442F"/>
    <w:rsid w:val="008944B5"/>
    <w:rsid w:val="008954E8"/>
    <w:rsid w:val="0089557E"/>
    <w:rsid w:val="00896159"/>
    <w:rsid w:val="008961B0"/>
    <w:rsid w:val="00896743"/>
    <w:rsid w:val="00896B0A"/>
    <w:rsid w:val="008979A1"/>
    <w:rsid w:val="008979EF"/>
    <w:rsid w:val="008A0807"/>
    <w:rsid w:val="008A1792"/>
    <w:rsid w:val="008A24A0"/>
    <w:rsid w:val="008A2B1B"/>
    <w:rsid w:val="008A2BEA"/>
    <w:rsid w:val="008A2C6F"/>
    <w:rsid w:val="008A2EBB"/>
    <w:rsid w:val="008A326A"/>
    <w:rsid w:val="008A38BF"/>
    <w:rsid w:val="008A4DD2"/>
    <w:rsid w:val="008A4EC8"/>
    <w:rsid w:val="008A5714"/>
    <w:rsid w:val="008A57EC"/>
    <w:rsid w:val="008A5C8F"/>
    <w:rsid w:val="008A77BB"/>
    <w:rsid w:val="008A7846"/>
    <w:rsid w:val="008B0845"/>
    <w:rsid w:val="008B0978"/>
    <w:rsid w:val="008B152B"/>
    <w:rsid w:val="008B1F7D"/>
    <w:rsid w:val="008B2480"/>
    <w:rsid w:val="008B24C7"/>
    <w:rsid w:val="008B2740"/>
    <w:rsid w:val="008B2879"/>
    <w:rsid w:val="008B28E0"/>
    <w:rsid w:val="008B2D02"/>
    <w:rsid w:val="008B35E4"/>
    <w:rsid w:val="008B398B"/>
    <w:rsid w:val="008B3A8C"/>
    <w:rsid w:val="008B3CB5"/>
    <w:rsid w:val="008B436C"/>
    <w:rsid w:val="008B4574"/>
    <w:rsid w:val="008B4A72"/>
    <w:rsid w:val="008B4BDA"/>
    <w:rsid w:val="008B53AE"/>
    <w:rsid w:val="008B53F0"/>
    <w:rsid w:val="008B5781"/>
    <w:rsid w:val="008B5D33"/>
    <w:rsid w:val="008B5DA5"/>
    <w:rsid w:val="008B63A2"/>
    <w:rsid w:val="008B64F9"/>
    <w:rsid w:val="008B78E8"/>
    <w:rsid w:val="008B79B3"/>
    <w:rsid w:val="008B7FA8"/>
    <w:rsid w:val="008C0203"/>
    <w:rsid w:val="008C08F6"/>
    <w:rsid w:val="008C13AF"/>
    <w:rsid w:val="008C1948"/>
    <w:rsid w:val="008C19B0"/>
    <w:rsid w:val="008C1B45"/>
    <w:rsid w:val="008C1E95"/>
    <w:rsid w:val="008C1FFB"/>
    <w:rsid w:val="008C2198"/>
    <w:rsid w:val="008C37BF"/>
    <w:rsid w:val="008C37D8"/>
    <w:rsid w:val="008C3B51"/>
    <w:rsid w:val="008C493E"/>
    <w:rsid w:val="008C5270"/>
    <w:rsid w:val="008C56E5"/>
    <w:rsid w:val="008C5B16"/>
    <w:rsid w:val="008C7227"/>
    <w:rsid w:val="008C73BF"/>
    <w:rsid w:val="008C7553"/>
    <w:rsid w:val="008C7995"/>
    <w:rsid w:val="008C7E3C"/>
    <w:rsid w:val="008D0655"/>
    <w:rsid w:val="008D1061"/>
    <w:rsid w:val="008D1234"/>
    <w:rsid w:val="008D1673"/>
    <w:rsid w:val="008D1BC6"/>
    <w:rsid w:val="008D23E6"/>
    <w:rsid w:val="008D2542"/>
    <w:rsid w:val="008D289C"/>
    <w:rsid w:val="008D3634"/>
    <w:rsid w:val="008D4C0E"/>
    <w:rsid w:val="008D5273"/>
    <w:rsid w:val="008D5F6B"/>
    <w:rsid w:val="008D6013"/>
    <w:rsid w:val="008D6036"/>
    <w:rsid w:val="008D64A6"/>
    <w:rsid w:val="008D7027"/>
    <w:rsid w:val="008D73B0"/>
    <w:rsid w:val="008D79B0"/>
    <w:rsid w:val="008E045C"/>
    <w:rsid w:val="008E05B7"/>
    <w:rsid w:val="008E09A5"/>
    <w:rsid w:val="008E0AA5"/>
    <w:rsid w:val="008E1260"/>
    <w:rsid w:val="008E1326"/>
    <w:rsid w:val="008E180E"/>
    <w:rsid w:val="008E229F"/>
    <w:rsid w:val="008E22FB"/>
    <w:rsid w:val="008E2539"/>
    <w:rsid w:val="008E28AB"/>
    <w:rsid w:val="008E345B"/>
    <w:rsid w:val="008E45B6"/>
    <w:rsid w:val="008E46B6"/>
    <w:rsid w:val="008E4741"/>
    <w:rsid w:val="008E49EC"/>
    <w:rsid w:val="008E4BFD"/>
    <w:rsid w:val="008E4F67"/>
    <w:rsid w:val="008E57F1"/>
    <w:rsid w:val="008E59A8"/>
    <w:rsid w:val="008E5BD8"/>
    <w:rsid w:val="008E6F08"/>
    <w:rsid w:val="008E77C6"/>
    <w:rsid w:val="008E7E55"/>
    <w:rsid w:val="008F01DF"/>
    <w:rsid w:val="008F0486"/>
    <w:rsid w:val="008F07B3"/>
    <w:rsid w:val="008F0E85"/>
    <w:rsid w:val="008F153C"/>
    <w:rsid w:val="008F192F"/>
    <w:rsid w:val="008F2443"/>
    <w:rsid w:val="008F26AC"/>
    <w:rsid w:val="008F3119"/>
    <w:rsid w:val="008F39EC"/>
    <w:rsid w:val="008F3C34"/>
    <w:rsid w:val="008F3CEA"/>
    <w:rsid w:val="008F425C"/>
    <w:rsid w:val="008F4404"/>
    <w:rsid w:val="008F4766"/>
    <w:rsid w:val="008F47F8"/>
    <w:rsid w:val="008F581F"/>
    <w:rsid w:val="008F6BFF"/>
    <w:rsid w:val="008F6C21"/>
    <w:rsid w:val="008F7A29"/>
    <w:rsid w:val="008F7BF1"/>
    <w:rsid w:val="008F7FD0"/>
    <w:rsid w:val="0090093A"/>
    <w:rsid w:val="00901153"/>
    <w:rsid w:val="009014F3"/>
    <w:rsid w:val="00901DB2"/>
    <w:rsid w:val="009028A6"/>
    <w:rsid w:val="009030CC"/>
    <w:rsid w:val="009036D8"/>
    <w:rsid w:val="0090417B"/>
    <w:rsid w:val="0090425B"/>
    <w:rsid w:val="009044E9"/>
    <w:rsid w:val="0090690D"/>
    <w:rsid w:val="00906FA5"/>
    <w:rsid w:val="0090729B"/>
    <w:rsid w:val="00907A59"/>
    <w:rsid w:val="00910D42"/>
    <w:rsid w:val="00911452"/>
    <w:rsid w:val="0091150F"/>
    <w:rsid w:val="0091157F"/>
    <w:rsid w:val="00911B8D"/>
    <w:rsid w:val="009120B6"/>
    <w:rsid w:val="009123CD"/>
    <w:rsid w:val="009127EA"/>
    <w:rsid w:val="00914AF6"/>
    <w:rsid w:val="00914D53"/>
    <w:rsid w:val="00915414"/>
    <w:rsid w:val="00915ECF"/>
    <w:rsid w:val="009161C0"/>
    <w:rsid w:val="00916F53"/>
    <w:rsid w:val="00916FBB"/>
    <w:rsid w:val="009177E5"/>
    <w:rsid w:val="009178D9"/>
    <w:rsid w:val="00917B1D"/>
    <w:rsid w:val="00917C8E"/>
    <w:rsid w:val="009210A0"/>
    <w:rsid w:val="009217D8"/>
    <w:rsid w:val="00921D34"/>
    <w:rsid w:val="00922670"/>
    <w:rsid w:val="00922765"/>
    <w:rsid w:val="00922B38"/>
    <w:rsid w:val="00923E5D"/>
    <w:rsid w:val="0092400A"/>
    <w:rsid w:val="00924110"/>
    <w:rsid w:val="00924664"/>
    <w:rsid w:val="009246D7"/>
    <w:rsid w:val="009247D2"/>
    <w:rsid w:val="00924EF4"/>
    <w:rsid w:val="00924F11"/>
    <w:rsid w:val="0092503A"/>
    <w:rsid w:val="009261A7"/>
    <w:rsid w:val="00926C4E"/>
    <w:rsid w:val="00926E17"/>
    <w:rsid w:val="00926F3F"/>
    <w:rsid w:val="009271B1"/>
    <w:rsid w:val="009271F5"/>
    <w:rsid w:val="00930E2B"/>
    <w:rsid w:val="00930F76"/>
    <w:rsid w:val="00931625"/>
    <w:rsid w:val="00931C9B"/>
    <w:rsid w:val="0093203C"/>
    <w:rsid w:val="00932201"/>
    <w:rsid w:val="009328E4"/>
    <w:rsid w:val="00932CF0"/>
    <w:rsid w:val="00932F40"/>
    <w:rsid w:val="00933427"/>
    <w:rsid w:val="00935334"/>
    <w:rsid w:val="00935FD4"/>
    <w:rsid w:val="009365A2"/>
    <w:rsid w:val="00936CDA"/>
    <w:rsid w:val="00937450"/>
    <w:rsid w:val="009374B4"/>
    <w:rsid w:val="00937969"/>
    <w:rsid w:val="00940262"/>
    <w:rsid w:val="00940AF6"/>
    <w:rsid w:val="00940F42"/>
    <w:rsid w:val="00940FEA"/>
    <w:rsid w:val="00941589"/>
    <w:rsid w:val="009416A8"/>
    <w:rsid w:val="0094198C"/>
    <w:rsid w:val="00942909"/>
    <w:rsid w:val="00942E43"/>
    <w:rsid w:val="00943756"/>
    <w:rsid w:val="00943D58"/>
    <w:rsid w:val="00943F21"/>
    <w:rsid w:val="009441C7"/>
    <w:rsid w:val="009441E2"/>
    <w:rsid w:val="00944D1A"/>
    <w:rsid w:val="00944DD8"/>
    <w:rsid w:val="009466F3"/>
    <w:rsid w:val="00946A46"/>
    <w:rsid w:val="00946A9C"/>
    <w:rsid w:val="00946BD9"/>
    <w:rsid w:val="00946E89"/>
    <w:rsid w:val="00947605"/>
    <w:rsid w:val="00950423"/>
    <w:rsid w:val="0095092A"/>
    <w:rsid w:val="009509F3"/>
    <w:rsid w:val="00950DF1"/>
    <w:rsid w:val="00950EB8"/>
    <w:rsid w:val="00951BD5"/>
    <w:rsid w:val="009524A6"/>
    <w:rsid w:val="009528E5"/>
    <w:rsid w:val="00952B85"/>
    <w:rsid w:val="00952D0D"/>
    <w:rsid w:val="00953734"/>
    <w:rsid w:val="00953ED8"/>
    <w:rsid w:val="009543AB"/>
    <w:rsid w:val="00954C01"/>
    <w:rsid w:val="00955186"/>
    <w:rsid w:val="009559DB"/>
    <w:rsid w:val="00955B92"/>
    <w:rsid w:val="00955DF6"/>
    <w:rsid w:val="00955EB4"/>
    <w:rsid w:val="009569B1"/>
    <w:rsid w:val="00956AAF"/>
    <w:rsid w:val="00956C7B"/>
    <w:rsid w:val="00957C21"/>
    <w:rsid w:val="00957D55"/>
    <w:rsid w:val="00960066"/>
    <w:rsid w:val="0096105B"/>
    <w:rsid w:val="00961EF1"/>
    <w:rsid w:val="0096219F"/>
    <w:rsid w:val="0096389F"/>
    <w:rsid w:val="00963C45"/>
    <w:rsid w:val="009642B0"/>
    <w:rsid w:val="009646FD"/>
    <w:rsid w:val="009650E1"/>
    <w:rsid w:val="00966493"/>
    <w:rsid w:val="0096662B"/>
    <w:rsid w:val="00966D2A"/>
    <w:rsid w:val="00967CC7"/>
    <w:rsid w:val="00967ED1"/>
    <w:rsid w:val="00970338"/>
    <w:rsid w:val="009705F7"/>
    <w:rsid w:val="0097080A"/>
    <w:rsid w:val="009708D3"/>
    <w:rsid w:val="009711DA"/>
    <w:rsid w:val="00971BB1"/>
    <w:rsid w:val="00972A5E"/>
    <w:rsid w:val="009731DA"/>
    <w:rsid w:val="00973889"/>
    <w:rsid w:val="00973EB0"/>
    <w:rsid w:val="00973FD3"/>
    <w:rsid w:val="009745D5"/>
    <w:rsid w:val="009749C2"/>
    <w:rsid w:val="00974DE7"/>
    <w:rsid w:val="0097511A"/>
    <w:rsid w:val="009754E7"/>
    <w:rsid w:val="00975D21"/>
    <w:rsid w:val="0097626D"/>
    <w:rsid w:val="00976ADB"/>
    <w:rsid w:val="00976B18"/>
    <w:rsid w:val="009802E4"/>
    <w:rsid w:val="00981029"/>
    <w:rsid w:val="009810FB"/>
    <w:rsid w:val="009812C0"/>
    <w:rsid w:val="00982885"/>
    <w:rsid w:val="00983043"/>
    <w:rsid w:val="0098342D"/>
    <w:rsid w:val="009839E0"/>
    <w:rsid w:val="00983E8C"/>
    <w:rsid w:val="0098420E"/>
    <w:rsid w:val="0098444B"/>
    <w:rsid w:val="009849B6"/>
    <w:rsid w:val="00985CE6"/>
    <w:rsid w:val="0098693C"/>
    <w:rsid w:val="00986CAD"/>
    <w:rsid w:val="009879A8"/>
    <w:rsid w:val="00987D0D"/>
    <w:rsid w:val="0099020F"/>
    <w:rsid w:val="00990C6A"/>
    <w:rsid w:val="009910D9"/>
    <w:rsid w:val="00991220"/>
    <w:rsid w:val="00991A4C"/>
    <w:rsid w:val="00991BF3"/>
    <w:rsid w:val="00991D50"/>
    <w:rsid w:val="0099231D"/>
    <w:rsid w:val="009926BF"/>
    <w:rsid w:val="00992B2E"/>
    <w:rsid w:val="00993397"/>
    <w:rsid w:val="009933CA"/>
    <w:rsid w:val="00994143"/>
    <w:rsid w:val="009944C5"/>
    <w:rsid w:val="00994845"/>
    <w:rsid w:val="009949F3"/>
    <w:rsid w:val="00994D8B"/>
    <w:rsid w:val="009950DB"/>
    <w:rsid w:val="009950DF"/>
    <w:rsid w:val="00995976"/>
    <w:rsid w:val="009960E0"/>
    <w:rsid w:val="00996AC0"/>
    <w:rsid w:val="00997163"/>
    <w:rsid w:val="00997701"/>
    <w:rsid w:val="009978F7"/>
    <w:rsid w:val="009A0119"/>
    <w:rsid w:val="009A0179"/>
    <w:rsid w:val="009A0881"/>
    <w:rsid w:val="009A139B"/>
    <w:rsid w:val="009A305D"/>
    <w:rsid w:val="009A31D1"/>
    <w:rsid w:val="009A3A45"/>
    <w:rsid w:val="009A403F"/>
    <w:rsid w:val="009A4659"/>
    <w:rsid w:val="009A4A56"/>
    <w:rsid w:val="009A5189"/>
    <w:rsid w:val="009A635F"/>
    <w:rsid w:val="009A64C0"/>
    <w:rsid w:val="009A6D65"/>
    <w:rsid w:val="009A754A"/>
    <w:rsid w:val="009B01EA"/>
    <w:rsid w:val="009B0389"/>
    <w:rsid w:val="009B0D04"/>
    <w:rsid w:val="009B0FCF"/>
    <w:rsid w:val="009B1205"/>
    <w:rsid w:val="009B1540"/>
    <w:rsid w:val="009B1989"/>
    <w:rsid w:val="009B283F"/>
    <w:rsid w:val="009B2B08"/>
    <w:rsid w:val="009B3702"/>
    <w:rsid w:val="009B3A3C"/>
    <w:rsid w:val="009B3CD3"/>
    <w:rsid w:val="009B3D2F"/>
    <w:rsid w:val="009B4CC0"/>
    <w:rsid w:val="009B4E69"/>
    <w:rsid w:val="009B54A1"/>
    <w:rsid w:val="009B5527"/>
    <w:rsid w:val="009B5564"/>
    <w:rsid w:val="009B5A9E"/>
    <w:rsid w:val="009B5F40"/>
    <w:rsid w:val="009B6C22"/>
    <w:rsid w:val="009B6E64"/>
    <w:rsid w:val="009B724C"/>
    <w:rsid w:val="009B7422"/>
    <w:rsid w:val="009B75F6"/>
    <w:rsid w:val="009B7976"/>
    <w:rsid w:val="009B7BE5"/>
    <w:rsid w:val="009C029E"/>
    <w:rsid w:val="009C031C"/>
    <w:rsid w:val="009C08EE"/>
    <w:rsid w:val="009C0A4D"/>
    <w:rsid w:val="009C0A72"/>
    <w:rsid w:val="009C1009"/>
    <w:rsid w:val="009C1614"/>
    <w:rsid w:val="009C1E66"/>
    <w:rsid w:val="009C1F50"/>
    <w:rsid w:val="009C2169"/>
    <w:rsid w:val="009C2C07"/>
    <w:rsid w:val="009C2F9D"/>
    <w:rsid w:val="009C323E"/>
    <w:rsid w:val="009C325B"/>
    <w:rsid w:val="009C3271"/>
    <w:rsid w:val="009C3C9A"/>
    <w:rsid w:val="009C3DC5"/>
    <w:rsid w:val="009C3F2E"/>
    <w:rsid w:val="009C56DA"/>
    <w:rsid w:val="009C5C79"/>
    <w:rsid w:val="009C5E6A"/>
    <w:rsid w:val="009C7DF8"/>
    <w:rsid w:val="009C7EA3"/>
    <w:rsid w:val="009D0088"/>
    <w:rsid w:val="009D0213"/>
    <w:rsid w:val="009D03E5"/>
    <w:rsid w:val="009D0457"/>
    <w:rsid w:val="009D07E0"/>
    <w:rsid w:val="009D0EB4"/>
    <w:rsid w:val="009D1180"/>
    <w:rsid w:val="009D2A8D"/>
    <w:rsid w:val="009D30AC"/>
    <w:rsid w:val="009D5248"/>
    <w:rsid w:val="009D66C3"/>
    <w:rsid w:val="009D671A"/>
    <w:rsid w:val="009D6A8C"/>
    <w:rsid w:val="009D6D8A"/>
    <w:rsid w:val="009D6DAC"/>
    <w:rsid w:val="009D6ED4"/>
    <w:rsid w:val="009D710A"/>
    <w:rsid w:val="009D7110"/>
    <w:rsid w:val="009D7B0F"/>
    <w:rsid w:val="009E0344"/>
    <w:rsid w:val="009E06B0"/>
    <w:rsid w:val="009E0721"/>
    <w:rsid w:val="009E15AD"/>
    <w:rsid w:val="009E19A6"/>
    <w:rsid w:val="009E2EE1"/>
    <w:rsid w:val="009E2F0A"/>
    <w:rsid w:val="009E3279"/>
    <w:rsid w:val="009E330A"/>
    <w:rsid w:val="009E36E4"/>
    <w:rsid w:val="009E5249"/>
    <w:rsid w:val="009E52D4"/>
    <w:rsid w:val="009E5531"/>
    <w:rsid w:val="009E560C"/>
    <w:rsid w:val="009E57F9"/>
    <w:rsid w:val="009E59B0"/>
    <w:rsid w:val="009E5C66"/>
    <w:rsid w:val="009E5F5F"/>
    <w:rsid w:val="009E609F"/>
    <w:rsid w:val="009E6490"/>
    <w:rsid w:val="009E6F07"/>
    <w:rsid w:val="009F06C3"/>
    <w:rsid w:val="009F131C"/>
    <w:rsid w:val="009F1E07"/>
    <w:rsid w:val="009F267A"/>
    <w:rsid w:val="009F28D1"/>
    <w:rsid w:val="009F2DEE"/>
    <w:rsid w:val="009F2F23"/>
    <w:rsid w:val="009F3009"/>
    <w:rsid w:val="009F30D3"/>
    <w:rsid w:val="009F3D21"/>
    <w:rsid w:val="009F41FB"/>
    <w:rsid w:val="009F4696"/>
    <w:rsid w:val="009F4CB5"/>
    <w:rsid w:val="009F4FA4"/>
    <w:rsid w:val="009F5318"/>
    <w:rsid w:val="009F5C19"/>
    <w:rsid w:val="009F5FBD"/>
    <w:rsid w:val="009F6050"/>
    <w:rsid w:val="009F6222"/>
    <w:rsid w:val="009F7073"/>
    <w:rsid w:val="009F7977"/>
    <w:rsid w:val="009F7F42"/>
    <w:rsid w:val="00A00668"/>
    <w:rsid w:val="00A00C15"/>
    <w:rsid w:val="00A00CCA"/>
    <w:rsid w:val="00A00DD8"/>
    <w:rsid w:val="00A01158"/>
    <w:rsid w:val="00A0141A"/>
    <w:rsid w:val="00A01AB7"/>
    <w:rsid w:val="00A020BA"/>
    <w:rsid w:val="00A0239D"/>
    <w:rsid w:val="00A0281A"/>
    <w:rsid w:val="00A03227"/>
    <w:rsid w:val="00A03297"/>
    <w:rsid w:val="00A03F1B"/>
    <w:rsid w:val="00A03F83"/>
    <w:rsid w:val="00A0487F"/>
    <w:rsid w:val="00A04920"/>
    <w:rsid w:val="00A05B2C"/>
    <w:rsid w:val="00A06E64"/>
    <w:rsid w:val="00A07287"/>
    <w:rsid w:val="00A07A3D"/>
    <w:rsid w:val="00A07FD2"/>
    <w:rsid w:val="00A102DC"/>
    <w:rsid w:val="00A10A55"/>
    <w:rsid w:val="00A10EBD"/>
    <w:rsid w:val="00A11271"/>
    <w:rsid w:val="00A115AA"/>
    <w:rsid w:val="00A136EA"/>
    <w:rsid w:val="00A13E1C"/>
    <w:rsid w:val="00A146BB"/>
    <w:rsid w:val="00A149B7"/>
    <w:rsid w:val="00A153EF"/>
    <w:rsid w:val="00A157A8"/>
    <w:rsid w:val="00A15A9A"/>
    <w:rsid w:val="00A172F1"/>
    <w:rsid w:val="00A17648"/>
    <w:rsid w:val="00A17745"/>
    <w:rsid w:val="00A17BDE"/>
    <w:rsid w:val="00A22E23"/>
    <w:rsid w:val="00A22F88"/>
    <w:rsid w:val="00A23168"/>
    <w:rsid w:val="00A2329C"/>
    <w:rsid w:val="00A23F5F"/>
    <w:rsid w:val="00A24180"/>
    <w:rsid w:val="00A24250"/>
    <w:rsid w:val="00A25228"/>
    <w:rsid w:val="00A255C3"/>
    <w:rsid w:val="00A25ACE"/>
    <w:rsid w:val="00A25C7F"/>
    <w:rsid w:val="00A269D2"/>
    <w:rsid w:val="00A26F47"/>
    <w:rsid w:val="00A270AD"/>
    <w:rsid w:val="00A271CA"/>
    <w:rsid w:val="00A27948"/>
    <w:rsid w:val="00A27E51"/>
    <w:rsid w:val="00A27F85"/>
    <w:rsid w:val="00A30110"/>
    <w:rsid w:val="00A30256"/>
    <w:rsid w:val="00A31517"/>
    <w:rsid w:val="00A321BE"/>
    <w:rsid w:val="00A32365"/>
    <w:rsid w:val="00A32A70"/>
    <w:rsid w:val="00A33272"/>
    <w:rsid w:val="00A33818"/>
    <w:rsid w:val="00A33FAC"/>
    <w:rsid w:val="00A34766"/>
    <w:rsid w:val="00A34B8D"/>
    <w:rsid w:val="00A34F78"/>
    <w:rsid w:val="00A35786"/>
    <w:rsid w:val="00A35863"/>
    <w:rsid w:val="00A404B9"/>
    <w:rsid w:val="00A409FB"/>
    <w:rsid w:val="00A40E01"/>
    <w:rsid w:val="00A411DE"/>
    <w:rsid w:val="00A4161D"/>
    <w:rsid w:val="00A41632"/>
    <w:rsid w:val="00A4193F"/>
    <w:rsid w:val="00A41E46"/>
    <w:rsid w:val="00A424B1"/>
    <w:rsid w:val="00A433AE"/>
    <w:rsid w:val="00A43681"/>
    <w:rsid w:val="00A439A4"/>
    <w:rsid w:val="00A43C25"/>
    <w:rsid w:val="00A441B2"/>
    <w:rsid w:val="00A44542"/>
    <w:rsid w:val="00A4558F"/>
    <w:rsid w:val="00A458D1"/>
    <w:rsid w:val="00A46A3C"/>
    <w:rsid w:val="00A470D0"/>
    <w:rsid w:val="00A47133"/>
    <w:rsid w:val="00A472D8"/>
    <w:rsid w:val="00A475FF"/>
    <w:rsid w:val="00A47B08"/>
    <w:rsid w:val="00A504B3"/>
    <w:rsid w:val="00A5055A"/>
    <w:rsid w:val="00A50725"/>
    <w:rsid w:val="00A50875"/>
    <w:rsid w:val="00A50C72"/>
    <w:rsid w:val="00A522EB"/>
    <w:rsid w:val="00A52368"/>
    <w:rsid w:val="00A52917"/>
    <w:rsid w:val="00A52996"/>
    <w:rsid w:val="00A529E4"/>
    <w:rsid w:val="00A5468F"/>
    <w:rsid w:val="00A54CC1"/>
    <w:rsid w:val="00A55253"/>
    <w:rsid w:val="00A5535F"/>
    <w:rsid w:val="00A55A58"/>
    <w:rsid w:val="00A55B86"/>
    <w:rsid w:val="00A55E57"/>
    <w:rsid w:val="00A55FE8"/>
    <w:rsid w:val="00A560C8"/>
    <w:rsid w:val="00A562C9"/>
    <w:rsid w:val="00A56E17"/>
    <w:rsid w:val="00A57CF2"/>
    <w:rsid w:val="00A60004"/>
    <w:rsid w:val="00A60028"/>
    <w:rsid w:val="00A6008E"/>
    <w:rsid w:val="00A60123"/>
    <w:rsid w:val="00A60D15"/>
    <w:rsid w:val="00A60F67"/>
    <w:rsid w:val="00A61E84"/>
    <w:rsid w:val="00A61F55"/>
    <w:rsid w:val="00A61F88"/>
    <w:rsid w:val="00A63273"/>
    <w:rsid w:val="00A637FE"/>
    <w:rsid w:val="00A63B34"/>
    <w:rsid w:val="00A64085"/>
    <w:rsid w:val="00A6465E"/>
    <w:rsid w:val="00A64BD7"/>
    <w:rsid w:val="00A65F13"/>
    <w:rsid w:val="00A65F65"/>
    <w:rsid w:val="00A661F8"/>
    <w:rsid w:val="00A6651A"/>
    <w:rsid w:val="00A66824"/>
    <w:rsid w:val="00A668AC"/>
    <w:rsid w:val="00A66F37"/>
    <w:rsid w:val="00A67498"/>
    <w:rsid w:val="00A67AE5"/>
    <w:rsid w:val="00A67B96"/>
    <w:rsid w:val="00A67F55"/>
    <w:rsid w:val="00A70088"/>
    <w:rsid w:val="00A70EEB"/>
    <w:rsid w:val="00A71857"/>
    <w:rsid w:val="00A71EA6"/>
    <w:rsid w:val="00A73173"/>
    <w:rsid w:val="00A745EB"/>
    <w:rsid w:val="00A74B4F"/>
    <w:rsid w:val="00A74E6E"/>
    <w:rsid w:val="00A750C9"/>
    <w:rsid w:val="00A75166"/>
    <w:rsid w:val="00A7595E"/>
    <w:rsid w:val="00A75A96"/>
    <w:rsid w:val="00A7703B"/>
    <w:rsid w:val="00A774CB"/>
    <w:rsid w:val="00A774D8"/>
    <w:rsid w:val="00A77C8C"/>
    <w:rsid w:val="00A77FAC"/>
    <w:rsid w:val="00A812D4"/>
    <w:rsid w:val="00A81333"/>
    <w:rsid w:val="00A81B20"/>
    <w:rsid w:val="00A81B94"/>
    <w:rsid w:val="00A83520"/>
    <w:rsid w:val="00A83D4A"/>
    <w:rsid w:val="00A85944"/>
    <w:rsid w:val="00A86009"/>
    <w:rsid w:val="00A86299"/>
    <w:rsid w:val="00A864AA"/>
    <w:rsid w:val="00A8775F"/>
    <w:rsid w:val="00A8781F"/>
    <w:rsid w:val="00A87AE4"/>
    <w:rsid w:val="00A87B3D"/>
    <w:rsid w:val="00A87DAC"/>
    <w:rsid w:val="00A902D9"/>
    <w:rsid w:val="00A90394"/>
    <w:rsid w:val="00A90A86"/>
    <w:rsid w:val="00A90AB7"/>
    <w:rsid w:val="00A91481"/>
    <w:rsid w:val="00A914E9"/>
    <w:rsid w:val="00A9188F"/>
    <w:rsid w:val="00A9198A"/>
    <w:rsid w:val="00A91F4D"/>
    <w:rsid w:val="00A9262C"/>
    <w:rsid w:val="00A926C5"/>
    <w:rsid w:val="00A92F32"/>
    <w:rsid w:val="00A930FB"/>
    <w:rsid w:val="00A933A8"/>
    <w:rsid w:val="00A9348E"/>
    <w:rsid w:val="00A935AF"/>
    <w:rsid w:val="00A937B4"/>
    <w:rsid w:val="00A940ED"/>
    <w:rsid w:val="00A94947"/>
    <w:rsid w:val="00A94C9B"/>
    <w:rsid w:val="00A955BB"/>
    <w:rsid w:val="00A9560C"/>
    <w:rsid w:val="00A95A5A"/>
    <w:rsid w:val="00A95AA7"/>
    <w:rsid w:val="00A95F90"/>
    <w:rsid w:val="00A96717"/>
    <w:rsid w:val="00A9706A"/>
    <w:rsid w:val="00A978F1"/>
    <w:rsid w:val="00A97FBF"/>
    <w:rsid w:val="00AA055F"/>
    <w:rsid w:val="00AA0762"/>
    <w:rsid w:val="00AA0FB6"/>
    <w:rsid w:val="00AA13C5"/>
    <w:rsid w:val="00AA19A7"/>
    <w:rsid w:val="00AA1D13"/>
    <w:rsid w:val="00AA38E4"/>
    <w:rsid w:val="00AA3B69"/>
    <w:rsid w:val="00AA3BEA"/>
    <w:rsid w:val="00AA3E2F"/>
    <w:rsid w:val="00AA3F74"/>
    <w:rsid w:val="00AA4086"/>
    <w:rsid w:val="00AA424B"/>
    <w:rsid w:val="00AA4A5A"/>
    <w:rsid w:val="00AA4FB7"/>
    <w:rsid w:val="00AA51D3"/>
    <w:rsid w:val="00AA5C18"/>
    <w:rsid w:val="00AA60F8"/>
    <w:rsid w:val="00AA6BBD"/>
    <w:rsid w:val="00AA6CA3"/>
    <w:rsid w:val="00AA701D"/>
    <w:rsid w:val="00AA7C36"/>
    <w:rsid w:val="00AA7C4F"/>
    <w:rsid w:val="00AB026A"/>
    <w:rsid w:val="00AB04D0"/>
    <w:rsid w:val="00AB05DE"/>
    <w:rsid w:val="00AB06B0"/>
    <w:rsid w:val="00AB06D2"/>
    <w:rsid w:val="00AB06EF"/>
    <w:rsid w:val="00AB0FB0"/>
    <w:rsid w:val="00AB1737"/>
    <w:rsid w:val="00AB1BA4"/>
    <w:rsid w:val="00AB26F5"/>
    <w:rsid w:val="00AB2A1C"/>
    <w:rsid w:val="00AB2DE4"/>
    <w:rsid w:val="00AB300B"/>
    <w:rsid w:val="00AB35E7"/>
    <w:rsid w:val="00AB38FD"/>
    <w:rsid w:val="00AB3A1F"/>
    <w:rsid w:val="00AB3DBD"/>
    <w:rsid w:val="00AB43D5"/>
    <w:rsid w:val="00AB50E0"/>
    <w:rsid w:val="00AB5B71"/>
    <w:rsid w:val="00AB5B84"/>
    <w:rsid w:val="00AB6F6A"/>
    <w:rsid w:val="00AB6F71"/>
    <w:rsid w:val="00AB74BD"/>
    <w:rsid w:val="00AB76EB"/>
    <w:rsid w:val="00AB7793"/>
    <w:rsid w:val="00AB787D"/>
    <w:rsid w:val="00AB7924"/>
    <w:rsid w:val="00AB7E29"/>
    <w:rsid w:val="00AC1032"/>
    <w:rsid w:val="00AC22EE"/>
    <w:rsid w:val="00AC25F1"/>
    <w:rsid w:val="00AC28F2"/>
    <w:rsid w:val="00AC2986"/>
    <w:rsid w:val="00AC3206"/>
    <w:rsid w:val="00AC3364"/>
    <w:rsid w:val="00AC3EFC"/>
    <w:rsid w:val="00AC4E2E"/>
    <w:rsid w:val="00AC552F"/>
    <w:rsid w:val="00AC590C"/>
    <w:rsid w:val="00AC5C41"/>
    <w:rsid w:val="00AC5F23"/>
    <w:rsid w:val="00AC6FA3"/>
    <w:rsid w:val="00AC7006"/>
    <w:rsid w:val="00AD0281"/>
    <w:rsid w:val="00AD0497"/>
    <w:rsid w:val="00AD054C"/>
    <w:rsid w:val="00AD1070"/>
    <w:rsid w:val="00AD17FD"/>
    <w:rsid w:val="00AD24A8"/>
    <w:rsid w:val="00AD35FA"/>
    <w:rsid w:val="00AD3D40"/>
    <w:rsid w:val="00AD469F"/>
    <w:rsid w:val="00AD49E6"/>
    <w:rsid w:val="00AD4BF9"/>
    <w:rsid w:val="00AD4E23"/>
    <w:rsid w:val="00AD5310"/>
    <w:rsid w:val="00AD5608"/>
    <w:rsid w:val="00AD6354"/>
    <w:rsid w:val="00AD7700"/>
    <w:rsid w:val="00AD7F01"/>
    <w:rsid w:val="00AE0AF0"/>
    <w:rsid w:val="00AE0F0E"/>
    <w:rsid w:val="00AE0FD9"/>
    <w:rsid w:val="00AE11FE"/>
    <w:rsid w:val="00AE152B"/>
    <w:rsid w:val="00AE1C03"/>
    <w:rsid w:val="00AE2C1E"/>
    <w:rsid w:val="00AE2F66"/>
    <w:rsid w:val="00AE374C"/>
    <w:rsid w:val="00AE41A0"/>
    <w:rsid w:val="00AE49FA"/>
    <w:rsid w:val="00AE540F"/>
    <w:rsid w:val="00AE5459"/>
    <w:rsid w:val="00AE63DF"/>
    <w:rsid w:val="00AE6470"/>
    <w:rsid w:val="00AE6581"/>
    <w:rsid w:val="00AE6702"/>
    <w:rsid w:val="00AE6B7B"/>
    <w:rsid w:val="00AE6C6E"/>
    <w:rsid w:val="00AE6E2B"/>
    <w:rsid w:val="00AE7048"/>
    <w:rsid w:val="00AE73CC"/>
    <w:rsid w:val="00AE798D"/>
    <w:rsid w:val="00AE7C5A"/>
    <w:rsid w:val="00AF0256"/>
    <w:rsid w:val="00AF0385"/>
    <w:rsid w:val="00AF06F0"/>
    <w:rsid w:val="00AF20C4"/>
    <w:rsid w:val="00AF2C29"/>
    <w:rsid w:val="00AF2FCC"/>
    <w:rsid w:val="00AF328E"/>
    <w:rsid w:val="00AF347A"/>
    <w:rsid w:val="00AF3BC7"/>
    <w:rsid w:val="00AF3DCC"/>
    <w:rsid w:val="00AF4DDA"/>
    <w:rsid w:val="00AF54B7"/>
    <w:rsid w:val="00AF5769"/>
    <w:rsid w:val="00AF6233"/>
    <w:rsid w:val="00AF6414"/>
    <w:rsid w:val="00AF6A34"/>
    <w:rsid w:val="00AF6AFC"/>
    <w:rsid w:val="00AF6B9C"/>
    <w:rsid w:val="00AF6D87"/>
    <w:rsid w:val="00AF6D90"/>
    <w:rsid w:val="00AF6F92"/>
    <w:rsid w:val="00AF71A2"/>
    <w:rsid w:val="00AF76EC"/>
    <w:rsid w:val="00AF7C3B"/>
    <w:rsid w:val="00B00432"/>
    <w:rsid w:val="00B00C95"/>
    <w:rsid w:val="00B00E80"/>
    <w:rsid w:val="00B0124E"/>
    <w:rsid w:val="00B016A3"/>
    <w:rsid w:val="00B01F3E"/>
    <w:rsid w:val="00B024A7"/>
    <w:rsid w:val="00B0383E"/>
    <w:rsid w:val="00B03A27"/>
    <w:rsid w:val="00B03C1B"/>
    <w:rsid w:val="00B04254"/>
    <w:rsid w:val="00B04A82"/>
    <w:rsid w:val="00B04AC9"/>
    <w:rsid w:val="00B05275"/>
    <w:rsid w:val="00B05541"/>
    <w:rsid w:val="00B057FF"/>
    <w:rsid w:val="00B065C6"/>
    <w:rsid w:val="00B0697A"/>
    <w:rsid w:val="00B06BCF"/>
    <w:rsid w:val="00B06BEE"/>
    <w:rsid w:val="00B06F6F"/>
    <w:rsid w:val="00B07593"/>
    <w:rsid w:val="00B07B6E"/>
    <w:rsid w:val="00B100B0"/>
    <w:rsid w:val="00B101D1"/>
    <w:rsid w:val="00B1021F"/>
    <w:rsid w:val="00B10261"/>
    <w:rsid w:val="00B104DB"/>
    <w:rsid w:val="00B105D9"/>
    <w:rsid w:val="00B10AD1"/>
    <w:rsid w:val="00B10D36"/>
    <w:rsid w:val="00B10D76"/>
    <w:rsid w:val="00B111D4"/>
    <w:rsid w:val="00B11FDA"/>
    <w:rsid w:val="00B128CA"/>
    <w:rsid w:val="00B13FBF"/>
    <w:rsid w:val="00B1452A"/>
    <w:rsid w:val="00B1496A"/>
    <w:rsid w:val="00B14CF3"/>
    <w:rsid w:val="00B155F2"/>
    <w:rsid w:val="00B15765"/>
    <w:rsid w:val="00B15BF3"/>
    <w:rsid w:val="00B15F08"/>
    <w:rsid w:val="00B16F1A"/>
    <w:rsid w:val="00B16F67"/>
    <w:rsid w:val="00B17642"/>
    <w:rsid w:val="00B20240"/>
    <w:rsid w:val="00B20621"/>
    <w:rsid w:val="00B20927"/>
    <w:rsid w:val="00B224C1"/>
    <w:rsid w:val="00B224D3"/>
    <w:rsid w:val="00B22703"/>
    <w:rsid w:val="00B22ECC"/>
    <w:rsid w:val="00B23194"/>
    <w:rsid w:val="00B2332F"/>
    <w:rsid w:val="00B23355"/>
    <w:rsid w:val="00B23384"/>
    <w:rsid w:val="00B237ED"/>
    <w:rsid w:val="00B252AE"/>
    <w:rsid w:val="00B25B6C"/>
    <w:rsid w:val="00B25EB7"/>
    <w:rsid w:val="00B26092"/>
    <w:rsid w:val="00B26563"/>
    <w:rsid w:val="00B27F4C"/>
    <w:rsid w:val="00B3023C"/>
    <w:rsid w:val="00B303EF"/>
    <w:rsid w:val="00B3042E"/>
    <w:rsid w:val="00B304C3"/>
    <w:rsid w:val="00B31616"/>
    <w:rsid w:val="00B31733"/>
    <w:rsid w:val="00B3204A"/>
    <w:rsid w:val="00B32A14"/>
    <w:rsid w:val="00B32DFC"/>
    <w:rsid w:val="00B33074"/>
    <w:rsid w:val="00B33550"/>
    <w:rsid w:val="00B338F0"/>
    <w:rsid w:val="00B33EA4"/>
    <w:rsid w:val="00B34374"/>
    <w:rsid w:val="00B357DA"/>
    <w:rsid w:val="00B35F64"/>
    <w:rsid w:val="00B3664F"/>
    <w:rsid w:val="00B370CA"/>
    <w:rsid w:val="00B371C0"/>
    <w:rsid w:val="00B377E1"/>
    <w:rsid w:val="00B37983"/>
    <w:rsid w:val="00B4063B"/>
    <w:rsid w:val="00B408D5"/>
    <w:rsid w:val="00B40D54"/>
    <w:rsid w:val="00B41271"/>
    <w:rsid w:val="00B41620"/>
    <w:rsid w:val="00B41F94"/>
    <w:rsid w:val="00B41FD9"/>
    <w:rsid w:val="00B42E75"/>
    <w:rsid w:val="00B42EE1"/>
    <w:rsid w:val="00B43A2B"/>
    <w:rsid w:val="00B4476E"/>
    <w:rsid w:val="00B450CF"/>
    <w:rsid w:val="00B457E9"/>
    <w:rsid w:val="00B45E77"/>
    <w:rsid w:val="00B45EC2"/>
    <w:rsid w:val="00B46270"/>
    <w:rsid w:val="00B46847"/>
    <w:rsid w:val="00B46DF0"/>
    <w:rsid w:val="00B46E7B"/>
    <w:rsid w:val="00B46EA4"/>
    <w:rsid w:val="00B47604"/>
    <w:rsid w:val="00B47C97"/>
    <w:rsid w:val="00B502A7"/>
    <w:rsid w:val="00B50D26"/>
    <w:rsid w:val="00B50D2E"/>
    <w:rsid w:val="00B50E83"/>
    <w:rsid w:val="00B5176F"/>
    <w:rsid w:val="00B51840"/>
    <w:rsid w:val="00B51B09"/>
    <w:rsid w:val="00B532F3"/>
    <w:rsid w:val="00B53645"/>
    <w:rsid w:val="00B53B2D"/>
    <w:rsid w:val="00B53B80"/>
    <w:rsid w:val="00B53C8C"/>
    <w:rsid w:val="00B53FE1"/>
    <w:rsid w:val="00B54CCF"/>
    <w:rsid w:val="00B56120"/>
    <w:rsid w:val="00B56633"/>
    <w:rsid w:val="00B575F8"/>
    <w:rsid w:val="00B57CB9"/>
    <w:rsid w:val="00B57D43"/>
    <w:rsid w:val="00B601CC"/>
    <w:rsid w:val="00B60797"/>
    <w:rsid w:val="00B6083A"/>
    <w:rsid w:val="00B61943"/>
    <w:rsid w:val="00B61A6B"/>
    <w:rsid w:val="00B61B4E"/>
    <w:rsid w:val="00B62A5D"/>
    <w:rsid w:val="00B63204"/>
    <w:rsid w:val="00B634DE"/>
    <w:rsid w:val="00B6396E"/>
    <w:rsid w:val="00B63B62"/>
    <w:rsid w:val="00B63B79"/>
    <w:rsid w:val="00B63B83"/>
    <w:rsid w:val="00B63D9A"/>
    <w:rsid w:val="00B6414C"/>
    <w:rsid w:val="00B64AD5"/>
    <w:rsid w:val="00B656B0"/>
    <w:rsid w:val="00B656DD"/>
    <w:rsid w:val="00B6574A"/>
    <w:rsid w:val="00B6584D"/>
    <w:rsid w:val="00B6609B"/>
    <w:rsid w:val="00B660EA"/>
    <w:rsid w:val="00B66107"/>
    <w:rsid w:val="00B66406"/>
    <w:rsid w:val="00B6691B"/>
    <w:rsid w:val="00B66C11"/>
    <w:rsid w:val="00B66FD8"/>
    <w:rsid w:val="00B67586"/>
    <w:rsid w:val="00B67A21"/>
    <w:rsid w:val="00B67A3D"/>
    <w:rsid w:val="00B67B2F"/>
    <w:rsid w:val="00B67C6C"/>
    <w:rsid w:val="00B67EEE"/>
    <w:rsid w:val="00B70414"/>
    <w:rsid w:val="00B70E0D"/>
    <w:rsid w:val="00B710B0"/>
    <w:rsid w:val="00B712CA"/>
    <w:rsid w:val="00B716C3"/>
    <w:rsid w:val="00B71720"/>
    <w:rsid w:val="00B73723"/>
    <w:rsid w:val="00B73B8C"/>
    <w:rsid w:val="00B73C9A"/>
    <w:rsid w:val="00B73D98"/>
    <w:rsid w:val="00B73E96"/>
    <w:rsid w:val="00B741E0"/>
    <w:rsid w:val="00B74504"/>
    <w:rsid w:val="00B7512C"/>
    <w:rsid w:val="00B75560"/>
    <w:rsid w:val="00B7644D"/>
    <w:rsid w:val="00B77200"/>
    <w:rsid w:val="00B81AD5"/>
    <w:rsid w:val="00B81D1E"/>
    <w:rsid w:val="00B82774"/>
    <w:rsid w:val="00B83324"/>
    <w:rsid w:val="00B83425"/>
    <w:rsid w:val="00B838E9"/>
    <w:rsid w:val="00B83DE9"/>
    <w:rsid w:val="00B848EA"/>
    <w:rsid w:val="00B85201"/>
    <w:rsid w:val="00B859FE"/>
    <w:rsid w:val="00B85A8B"/>
    <w:rsid w:val="00B85B8F"/>
    <w:rsid w:val="00B85F44"/>
    <w:rsid w:val="00B86086"/>
    <w:rsid w:val="00B86194"/>
    <w:rsid w:val="00B86952"/>
    <w:rsid w:val="00B86BEF"/>
    <w:rsid w:val="00B86C1C"/>
    <w:rsid w:val="00B9047F"/>
    <w:rsid w:val="00B907C1"/>
    <w:rsid w:val="00B908E4"/>
    <w:rsid w:val="00B911C9"/>
    <w:rsid w:val="00B9120B"/>
    <w:rsid w:val="00B913DE"/>
    <w:rsid w:val="00B91963"/>
    <w:rsid w:val="00B91D4B"/>
    <w:rsid w:val="00B91E0F"/>
    <w:rsid w:val="00B927FB"/>
    <w:rsid w:val="00B9295E"/>
    <w:rsid w:val="00B92FE9"/>
    <w:rsid w:val="00B93239"/>
    <w:rsid w:val="00B93AC3"/>
    <w:rsid w:val="00B9400B"/>
    <w:rsid w:val="00B94BC3"/>
    <w:rsid w:val="00B959D7"/>
    <w:rsid w:val="00B9646E"/>
    <w:rsid w:val="00B969B5"/>
    <w:rsid w:val="00B96F66"/>
    <w:rsid w:val="00BA01D4"/>
    <w:rsid w:val="00BA0506"/>
    <w:rsid w:val="00BA05F1"/>
    <w:rsid w:val="00BA0C49"/>
    <w:rsid w:val="00BA0CE6"/>
    <w:rsid w:val="00BA0D26"/>
    <w:rsid w:val="00BA0D83"/>
    <w:rsid w:val="00BA15E7"/>
    <w:rsid w:val="00BA1661"/>
    <w:rsid w:val="00BA1A71"/>
    <w:rsid w:val="00BA2D61"/>
    <w:rsid w:val="00BA33D8"/>
    <w:rsid w:val="00BA3B7E"/>
    <w:rsid w:val="00BA3C16"/>
    <w:rsid w:val="00BA4A98"/>
    <w:rsid w:val="00BA4C89"/>
    <w:rsid w:val="00BA50AE"/>
    <w:rsid w:val="00BA5D41"/>
    <w:rsid w:val="00BA621B"/>
    <w:rsid w:val="00BA62E5"/>
    <w:rsid w:val="00BA66B2"/>
    <w:rsid w:val="00BA67F7"/>
    <w:rsid w:val="00BA738D"/>
    <w:rsid w:val="00BB11B3"/>
    <w:rsid w:val="00BB11D1"/>
    <w:rsid w:val="00BB17A2"/>
    <w:rsid w:val="00BB1BAE"/>
    <w:rsid w:val="00BB1EE5"/>
    <w:rsid w:val="00BB1FB4"/>
    <w:rsid w:val="00BB3324"/>
    <w:rsid w:val="00BB37BA"/>
    <w:rsid w:val="00BB4904"/>
    <w:rsid w:val="00BB4B6E"/>
    <w:rsid w:val="00BB4ED7"/>
    <w:rsid w:val="00BB4EF2"/>
    <w:rsid w:val="00BB51AB"/>
    <w:rsid w:val="00BB5310"/>
    <w:rsid w:val="00BB576E"/>
    <w:rsid w:val="00BB6635"/>
    <w:rsid w:val="00BB6A89"/>
    <w:rsid w:val="00BB6F8A"/>
    <w:rsid w:val="00BC0CC4"/>
    <w:rsid w:val="00BC1CB0"/>
    <w:rsid w:val="00BC2811"/>
    <w:rsid w:val="00BC2925"/>
    <w:rsid w:val="00BC2CA9"/>
    <w:rsid w:val="00BC2F86"/>
    <w:rsid w:val="00BC3C0C"/>
    <w:rsid w:val="00BC3C32"/>
    <w:rsid w:val="00BC4BE6"/>
    <w:rsid w:val="00BC5031"/>
    <w:rsid w:val="00BC5551"/>
    <w:rsid w:val="00BC569B"/>
    <w:rsid w:val="00BC69AE"/>
    <w:rsid w:val="00BC69F7"/>
    <w:rsid w:val="00BC6AFA"/>
    <w:rsid w:val="00BC7079"/>
    <w:rsid w:val="00BC7C78"/>
    <w:rsid w:val="00BD03AD"/>
    <w:rsid w:val="00BD1A7C"/>
    <w:rsid w:val="00BD1DE7"/>
    <w:rsid w:val="00BD1FED"/>
    <w:rsid w:val="00BD2034"/>
    <w:rsid w:val="00BD20F5"/>
    <w:rsid w:val="00BD21AE"/>
    <w:rsid w:val="00BD2692"/>
    <w:rsid w:val="00BD28B9"/>
    <w:rsid w:val="00BD3365"/>
    <w:rsid w:val="00BD3724"/>
    <w:rsid w:val="00BD4003"/>
    <w:rsid w:val="00BD4255"/>
    <w:rsid w:val="00BD4705"/>
    <w:rsid w:val="00BD4EE2"/>
    <w:rsid w:val="00BD4FCD"/>
    <w:rsid w:val="00BD5159"/>
    <w:rsid w:val="00BD6C9A"/>
    <w:rsid w:val="00BD7305"/>
    <w:rsid w:val="00BD7A72"/>
    <w:rsid w:val="00BD7FA8"/>
    <w:rsid w:val="00BE0317"/>
    <w:rsid w:val="00BE166A"/>
    <w:rsid w:val="00BE1A93"/>
    <w:rsid w:val="00BE1DCB"/>
    <w:rsid w:val="00BE1E81"/>
    <w:rsid w:val="00BE2028"/>
    <w:rsid w:val="00BE2461"/>
    <w:rsid w:val="00BE2CD8"/>
    <w:rsid w:val="00BE3DF8"/>
    <w:rsid w:val="00BE4BC8"/>
    <w:rsid w:val="00BE4D81"/>
    <w:rsid w:val="00BE52DB"/>
    <w:rsid w:val="00BE5F19"/>
    <w:rsid w:val="00BE5F33"/>
    <w:rsid w:val="00BE6F24"/>
    <w:rsid w:val="00BE77E8"/>
    <w:rsid w:val="00BE7DE8"/>
    <w:rsid w:val="00BF12E9"/>
    <w:rsid w:val="00BF17EE"/>
    <w:rsid w:val="00BF1CF0"/>
    <w:rsid w:val="00BF1FF2"/>
    <w:rsid w:val="00BF3DDA"/>
    <w:rsid w:val="00BF3EA0"/>
    <w:rsid w:val="00BF407E"/>
    <w:rsid w:val="00BF4F70"/>
    <w:rsid w:val="00BF5FE6"/>
    <w:rsid w:val="00BF6207"/>
    <w:rsid w:val="00BF65F2"/>
    <w:rsid w:val="00BF6635"/>
    <w:rsid w:val="00BF6792"/>
    <w:rsid w:val="00BF6C63"/>
    <w:rsid w:val="00BF7B69"/>
    <w:rsid w:val="00C001B6"/>
    <w:rsid w:val="00C009A3"/>
    <w:rsid w:val="00C00C47"/>
    <w:rsid w:val="00C00FB8"/>
    <w:rsid w:val="00C0207A"/>
    <w:rsid w:val="00C0254F"/>
    <w:rsid w:val="00C02EC7"/>
    <w:rsid w:val="00C031EF"/>
    <w:rsid w:val="00C0379F"/>
    <w:rsid w:val="00C03CE9"/>
    <w:rsid w:val="00C04D15"/>
    <w:rsid w:val="00C04F67"/>
    <w:rsid w:val="00C0586E"/>
    <w:rsid w:val="00C05F64"/>
    <w:rsid w:val="00C06517"/>
    <w:rsid w:val="00C06573"/>
    <w:rsid w:val="00C07A2A"/>
    <w:rsid w:val="00C108D9"/>
    <w:rsid w:val="00C10E33"/>
    <w:rsid w:val="00C11836"/>
    <w:rsid w:val="00C124BD"/>
    <w:rsid w:val="00C12897"/>
    <w:rsid w:val="00C13151"/>
    <w:rsid w:val="00C13E76"/>
    <w:rsid w:val="00C14119"/>
    <w:rsid w:val="00C14223"/>
    <w:rsid w:val="00C145F8"/>
    <w:rsid w:val="00C14B70"/>
    <w:rsid w:val="00C15404"/>
    <w:rsid w:val="00C15D88"/>
    <w:rsid w:val="00C16939"/>
    <w:rsid w:val="00C16BA4"/>
    <w:rsid w:val="00C173AD"/>
    <w:rsid w:val="00C2008E"/>
    <w:rsid w:val="00C20373"/>
    <w:rsid w:val="00C2038F"/>
    <w:rsid w:val="00C208B6"/>
    <w:rsid w:val="00C20A14"/>
    <w:rsid w:val="00C20FD8"/>
    <w:rsid w:val="00C21B51"/>
    <w:rsid w:val="00C22AF2"/>
    <w:rsid w:val="00C22B48"/>
    <w:rsid w:val="00C22D2F"/>
    <w:rsid w:val="00C23A26"/>
    <w:rsid w:val="00C23A83"/>
    <w:rsid w:val="00C23FD9"/>
    <w:rsid w:val="00C24238"/>
    <w:rsid w:val="00C24BD4"/>
    <w:rsid w:val="00C25B43"/>
    <w:rsid w:val="00C26325"/>
    <w:rsid w:val="00C26787"/>
    <w:rsid w:val="00C305E7"/>
    <w:rsid w:val="00C3090B"/>
    <w:rsid w:val="00C30BD4"/>
    <w:rsid w:val="00C31403"/>
    <w:rsid w:val="00C31D56"/>
    <w:rsid w:val="00C32991"/>
    <w:rsid w:val="00C32FE8"/>
    <w:rsid w:val="00C33009"/>
    <w:rsid w:val="00C330E8"/>
    <w:rsid w:val="00C3319F"/>
    <w:rsid w:val="00C33C20"/>
    <w:rsid w:val="00C341E4"/>
    <w:rsid w:val="00C34398"/>
    <w:rsid w:val="00C34A2F"/>
    <w:rsid w:val="00C35889"/>
    <w:rsid w:val="00C35CFD"/>
    <w:rsid w:val="00C3643D"/>
    <w:rsid w:val="00C36741"/>
    <w:rsid w:val="00C3689C"/>
    <w:rsid w:val="00C37813"/>
    <w:rsid w:val="00C37832"/>
    <w:rsid w:val="00C37C75"/>
    <w:rsid w:val="00C4240D"/>
    <w:rsid w:val="00C42CBB"/>
    <w:rsid w:val="00C43402"/>
    <w:rsid w:val="00C434DE"/>
    <w:rsid w:val="00C43775"/>
    <w:rsid w:val="00C43950"/>
    <w:rsid w:val="00C43963"/>
    <w:rsid w:val="00C43B42"/>
    <w:rsid w:val="00C4470B"/>
    <w:rsid w:val="00C44AE3"/>
    <w:rsid w:val="00C44BCF"/>
    <w:rsid w:val="00C450FE"/>
    <w:rsid w:val="00C4514F"/>
    <w:rsid w:val="00C454A4"/>
    <w:rsid w:val="00C45526"/>
    <w:rsid w:val="00C46039"/>
    <w:rsid w:val="00C465A8"/>
    <w:rsid w:val="00C46FC5"/>
    <w:rsid w:val="00C4701C"/>
    <w:rsid w:val="00C5028C"/>
    <w:rsid w:val="00C50C79"/>
    <w:rsid w:val="00C50DB5"/>
    <w:rsid w:val="00C51376"/>
    <w:rsid w:val="00C53497"/>
    <w:rsid w:val="00C5369D"/>
    <w:rsid w:val="00C53FAB"/>
    <w:rsid w:val="00C54C57"/>
    <w:rsid w:val="00C54F08"/>
    <w:rsid w:val="00C556C1"/>
    <w:rsid w:val="00C56FF7"/>
    <w:rsid w:val="00C57A7F"/>
    <w:rsid w:val="00C57B97"/>
    <w:rsid w:val="00C57DBA"/>
    <w:rsid w:val="00C57FBA"/>
    <w:rsid w:val="00C6040B"/>
    <w:rsid w:val="00C611F5"/>
    <w:rsid w:val="00C617EF"/>
    <w:rsid w:val="00C61B19"/>
    <w:rsid w:val="00C62367"/>
    <w:rsid w:val="00C6259A"/>
    <w:rsid w:val="00C63832"/>
    <w:rsid w:val="00C641FB"/>
    <w:rsid w:val="00C6420F"/>
    <w:rsid w:val="00C65B6A"/>
    <w:rsid w:val="00C65BA7"/>
    <w:rsid w:val="00C65D08"/>
    <w:rsid w:val="00C65E89"/>
    <w:rsid w:val="00C65FEB"/>
    <w:rsid w:val="00C66044"/>
    <w:rsid w:val="00C6691D"/>
    <w:rsid w:val="00C66F6D"/>
    <w:rsid w:val="00C677C4"/>
    <w:rsid w:val="00C70B1E"/>
    <w:rsid w:val="00C70BFF"/>
    <w:rsid w:val="00C70E18"/>
    <w:rsid w:val="00C71137"/>
    <w:rsid w:val="00C71577"/>
    <w:rsid w:val="00C71620"/>
    <w:rsid w:val="00C721B2"/>
    <w:rsid w:val="00C734FC"/>
    <w:rsid w:val="00C7479F"/>
    <w:rsid w:val="00C74F50"/>
    <w:rsid w:val="00C765A9"/>
    <w:rsid w:val="00C802C2"/>
    <w:rsid w:val="00C80F97"/>
    <w:rsid w:val="00C81042"/>
    <w:rsid w:val="00C81337"/>
    <w:rsid w:val="00C814C9"/>
    <w:rsid w:val="00C823A9"/>
    <w:rsid w:val="00C82790"/>
    <w:rsid w:val="00C82DF9"/>
    <w:rsid w:val="00C83125"/>
    <w:rsid w:val="00C83489"/>
    <w:rsid w:val="00C83E4D"/>
    <w:rsid w:val="00C83EE3"/>
    <w:rsid w:val="00C84505"/>
    <w:rsid w:val="00C858F9"/>
    <w:rsid w:val="00C8624B"/>
    <w:rsid w:val="00C86728"/>
    <w:rsid w:val="00C867C3"/>
    <w:rsid w:val="00C8702F"/>
    <w:rsid w:val="00C872DE"/>
    <w:rsid w:val="00C90172"/>
    <w:rsid w:val="00C912DD"/>
    <w:rsid w:val="00C91381"/>
    <w:rsid w:val="00C913B7"/>
    <w:rsid w:val="00C919C2"/>
    <w:rsid w:val="00C92475"/>
    <w:rsid w:val="00C9255E"/>
    <w:rsid w:val="00C9274D"/>
    <w:rsid w:val="00C92950"/>
    <w:rsid w:val="00C92E2A"/>
    <w:rsid w:val="00C92F79"/>
    <w:rsid w:val="00C92FBA"/>
    <w:rsid w:val="00C93184"/>
    <w:rsid w:val="00C93C36"/>
    <w:rsid w:val="00C9497C"/>
    <w:rsid w:val="00C94E2A"/>
    <w:rsid w:val="00C95A81"/>
    <w:rsid w:val="00C95AF6"/>
    <w:rsid w:val="00C96298"/>
    <w:rsid w:val="00C9666B"/>
    <w:rsid w:val="00C975B3"/>
    <w:rsid w:val="00CA069B"/>
    <w:rsid w:val="00CA156A"/>
    <w:rsid w:val="00CA1992"/>
    <w:rsid w:val="00CA1BED"/>
    <w:rsid w:val="00CA20A3"/>
    <w:rsid w:val="00CA2243"/>
    <w:rsid w:val="00CA27B7"/>
    <w:rsid w:val="00CA2A3A"/>
    <w:rsid w:val="00CA2ACF"/>
    <w:rsid w:val="00CA2DD3"/>
    <w:rsid w:val="00CA35B9"/>
    <w:rsid w:val="00CA35BF"/>
    <w:rsid w:val="00CA37E1"/>
    <w:rsid w:val="00CA3A2F"/>
    <w:rsid w:val="00CA433A"/>
    <w:rsid w:val="00CA492F"/>
    <w:rsid w:val="00CA49A8"/>
    <w:rsid w:val="00CA4A51"/>
    <w:rsid w:val="00CA5473"/>
    <w:rsid w:val="00CA5630"/>
    <w:rsid w:val="00CA5AE9"/>
    <w:rsid w:val="00CA608D"/>
    <w:rsid w:val="00CA6377"/>
    <w:rsid w:val="00CA7EDD"/>
    <w:rsid w:val="00CB05CF"/>
    <w:rsid w:val="00CB1247"/>
    <w:rsid w:val="00CB138D"/>
    <w:rsid w:val="00CB1D99"/>
    <w:rsid w:val="00CB2863"/>
    <w:rsid w:val="00CB2C74"/>
    <w:rsid w:val="00CB2E83"/>
    <w:rsid w:val="00CB34FD"/>
    <w:rsid w:val="00CB3BAB"/>
    <w:rsid w:val="00CB4336"/>
    <w:rsid w:val="00CB473C"/>
    <w:rsid w:val="00CB524F"/>
    <w:rsid w:val="00CB52B6"/>
    <w:rsid w:val="00CB5A0C"/>
    <w:rsid w:val="00CB62AC"/>
    <w:rsid w:val="00CB632B"/>
    <w:rsid w:val="00CB6550"/>
    <w:rsid w:val="00CB6826"/>
    <w:rsid w:val="00CB686E"/>
    <w:rsid w:val="00CB790E"/>
    <w:rsid w:val="00CB7C53"/>
    <w:rsid w:val="00CB7F4C"/>
    <w:rsid w:val="00CC04AE"/>
    <w:rsid w:val="00CC07D0"/>
    <w:rsid w:val="00CC097E"/>
    <w:rsid w:val="00CC0A66"/>
    <w:rsid w:val="00CC0D8F"/>
    <w:rsid w:val="00CC0FFC"/>
    <w:rsid w:val="00CC167D"/>
    <w:rsid w:val="00CC1C81"/>
    <w:rsid w:val="00CC21F3"/>
    <w:rsid w:val="00CC259F"/>
    <w:rsid w:val="00CC2ED1"/>
    <w:rsid w:val="00CC3118"/>
    <w:rsid w:val="00CC35A6"/>
    <w:rsid w:val="00CC3B8F"/>
    <w:rsid w:val="00CC3E91"/>
    <w:rsid w:val="00CC4855"/>
    <w:rsid w:val="00CC4F70"/>
    <w:rsid w:val="00CC5032"/>
    <w:rsid w:val="00CC540E"/>
    <w:rsid w:val="00CC5EFD"/>
    <w:rsid w:val="00CC72A3"/>
    <w:rsid w:val="00CC72E8"/>
    <w:rsid w:val="00CD00FF"/>
    <w:rsid w:val="00CD052B"/>
    <w:rsid w:val="00CD21DB"/>
    <w:rsid w:val="00CD31DE"/>
    <w:rsid w:val="00CD39D6"/>
    <w:rsid w:val="00CD3F24"/>
    <w:rsid w:val="00CD478A"/>
    <w:rsid w:val="00CD482A"/>
    <w:rsid w:val="00CD497D"/>
    <w:rsid w:val="00CD4986"/>
    <w:rsid w:val="00CD4EE7"/>
    <w:rsid w:val="00CD51B4"/>
    <w:rsid w:val="00CD5C79"/>
    <w:rsid w:val="00CD5D50"/>
    <w:rsid w:val="00CD7161"/>
    <w:rsid w:val="00CD771F"/>
    <w:rsid w:val="00CD7837"/>
    <w:rsid w:val="00CE0698"/>
    <w:rsid w:val="00CE0F7C"/>
    <w:rsid w:val="00CE1A92"/>
    <w:rsid w:val="00CE1FFE"/>
    <w:rsid w:val="00CE22B9"/>
    <w:rsid w:val="00CE2493"/>
    <w:rsid w:val="00CE27E7"/>
    <w:rsid w:val="00CE2CC5"/>
    <w:rsid w:val="00CE2CEE"/>
    <w:rsid w:val="00CE3502"/>
    <w:rsid w:val="00CE373A"/>
    <w:rsid w:val="00CE3D65"/>
    <w:rsid w:val="00CE486C"/>
    <w:rsid w:val="00CE4FCD"/>
    <w:rsid w:val="00CE6097"/>
    <w:rsid w:val="00CE6B80"/>
    <w:rsid w:val="00CE72A8"/>
    <w:rsid w:val="00CE7450"/>
    <w:rsid w:val="00CE7BBE"/>
    <w:rsid w:val="00CE7DC4"/>
    <w:rsid w:val="00CF0A5E"/>
    <w:rsid w:val="00CF1707"/>
    <w:rsid w:val="00CF1B0C"/>
    <w:rsid w:val="00CF1C78"/>
    <w:rsid w:val="00CF1CA9"/>
    <w:rsid w:val="00CF1EED"/>
    <w:rsid w:val="00CF20F3"/>
    <w:rsid w:val="00CF23D5"/>
    <w:rsid w:val="00CF26A4"/>
    <w:rsid w:val="00CF3888"/>
    <w:rsid w:val="00CF3CC0"/>
    <w:rsid w:val="00CF3F40"/>
    <w:rsid w:val="00CF4080"/>
    <w:rsid w:val="00CF4871"/>
    <w:rsid w:val="00CF4898"/>
    <w:rsid w:val="00CF49E0"/>
    <w:rsid w:val="00CF50A5"/>
    <w:rsid w:val="00CF5394"/>
    <w:rsid w:val="00CF54DF"/>
    <w:rsid w:val="00CF6052"/>
    <w:rsid w:val="00CF6E52"/>
    <w:rsid w:val="00CF71CA"/>
    <w:rsid w:val="00D002D6"/>
    <w:rsid w:val="00D005D5"/>
    <w:rsid w:val="00D00636"/>
    <w:rsid w:val="00D00E6D"/>
    <w:rsid w:val="00D017F1"/>
    <w:rsid w:val="00D0193B"/>
    <w:rsid w:val="00D01B38"/>
    <w:rsid w:val="00D01B50"/>
    <w:rsid w:val="00D01CEC"/>
    <w:rsid w:val="00D02928"/>
    <w:rsid w:val="00D02FE8"/>
    <w:rsid w:val="00D03CB8"/>
    <w:rsid w:val="00D03D2D"/>
    <w:rsid w:val="00D04776"/>
    <w:rsid w:val="00D04D59"/>
    <w:rsid w:val="00D055A3"/>
    <w:rsid w:val="00D06847"/>
    <w:rsid w:val="00D06872"/>
    <w:rsid w:val="00D06A80"/>
    <w:rsid w:val="00D07217"/>
    <w:rsid w:val="00D072E7"/>
    <w:rsid w:val="00D073DE"/>
    <w:rsid w:val="00D077D8"/>
    <w:rsid w:val="00D07A7A"/>
    <w:rsid w:val="00D07BCC"/>
    <w:rsid w:val="00D07CCF"/>
    <w:rsid w:val="00D105D8"/>
    <w:rsid w:val="00D107A7"/>
    <w:rsid w:val="00D12D5E"/>
    <w:rsid w:val="00D12EEF"/>
    <w:rsid w:val="00D14236"/>
    <w:rsid w:val="00D1550B"/>
    <w:rsid w:val="00D16048"/>
    <w:rsid w:val="00D16933"/>
    <w:rsid w:val="00D170A9"/>
    <w:rsid w:val="00D171EE"/>
    <w:rsid w:val="00D174F8"/>
    <w:rsid w:val="00D17AD7"/>
    <w:rsid w:val="00D17D10"/>
    <w:rsid w:val="00D17DA0"/>
    <w:rsid w:val="00D20B64"/>
    <w:rsid w:val="00D20C30"/>
    <w:rsid w:val="00D20DE4"/>
    <w:rsid w:val="00D20F4B"/>
    <w:rsid w:val="00D22492"/>
    <w:rsid w:val="00D224C3"/>
    <w:rsid w:val="00D22BD9"/>
    <w:rsid w:val="00D2323F"/>
    <w:rsid w:val="00D2475E"/>
    <w:rsid w:val="00D24A8F"/>
    <w:rsid w:val="00D2572D"/>
    <w:rsid w:val="00D25A6B"/>
    <w:rsid w:val="00D25CFE"/>
    <w:rsid w:val="00D25D96"/>
    <w:rsid w:val="00D262D5"/>
    <w:rsid w:val="00D2651E"/>
    <w:rsid w:val="00D26817"/>
    <w:rsid w:val="00D26B84"/>
    <w:rsid w:val="00D26F56"/>
    <w:rsid w:val="00D2714C"/>
    <w:rsid w:val="00D27279"/>
    <w:rsid w:val="00D27A5C"/>
    <w:rsid w:val="00D27AE3"/>
    <w:rsid w:val="00D30373"/>
    <w:rsid w:val="00D30E64"/>
    <w:rsid w:val="00D30F6D"/>
    <w:rsid w:val="00D31172"/>
    <w:rsid w:val="00D311A5"/>
    <w:rsid w:val="00D32669"/>
    <w:rsid w:val="00D328D7"/>
    <w:rsid w:val="00D32FBC"/>
    <w:rsid w:val="00D33637"/>
    <w:rsid w:val="00D336B0"/>
    <w:rsid w:val="00D33A94"/>
    <w:rsid w:val="00D33AE2"/>
    <w:rsid w:val="00D33FBA"/>
    <w:rsid w:val="00D35465"/>
    <w:rsid w:val="00D356BE"/>
    <w:rsid w:val="00D35BFB"/>
    <w:rsid w:val="00D36B58"/>
    <w:rsid w:val="00D36ED2"/>
    <w:rsid w:val="00D36F94"/>
    <w:rsid w:val="00D40239"/>
    <w:rsid w:val="00D40340"/>
    <w:rsid w:val="00D40B6F"/>
    <w:rsid w:val="00D40CE7"/>
    <w:rsid w:val="00D41411"/>
    <w:rsid w:val="00D41545"/>
    <w:rsid w:val="00D41655"/>
    <w:rsid w:val="00D41D78"/>
    <w:rsid w:val="00D42761"/>
    <w:rsid w:val="00D42766"/>
    <w:rsid w:val="00D429A1"/>
    <w:rsid w:val="00D42F5C"/>
    <w:rsid w:val="00D4382B"/>
    <w:rsid w:val="00D43DFA"/>
    <w:rsid w:val="00D4413B"/>
    <w:rsid w:val="00D44F06"/>
    <w:rsid w:val="00D453BD"/>
    <w:rsid w:val="00D47231"/>
    <w:rsid w:val="00D473FA"/>
    <w:rsid w:val="00D512B2"/>
    <w:rsid w:val="00D514FD"/>
    <w:rsid w:val="00D51CB0"/>
    <w:rsid w:val="00D51CBC"/>
    <w:rsid w:val="00D51D16"/>
    <w:rsid w:val="00D51F3E"/>
    <w:rsid w:val="00D52059"/>
    <w:rsid w:val="00D5375F"/>
    <w:rsid w:val="00D53DA2"/>
    <w:rsid w:val="00D53EEB"/>
    <w:rsid w:val="00D5438D"/>
    <w:rsid w:val="00D54BC0"/>
    <w:rsid w:val="00D54DCC"/>
    <w:rsid w:val="00D55344"/>
    <w:rsid w:val="00D55B6E"/>
    <w:rsid w:val="00D55D48"/>
    <w:rsid w:val="00D55DDA"/>
    <w:rsid w:val="00D5693D"/>
    <w:rsid w:val="00D57074"/>
    <w:rsid w:val="00D573B2"/>
    <w:rsid w:val="00D57907"/>
    <w:rsid w:val="00D6115E"/>
    <w:rsid w:val="00D612BF"/>
    <w:rsid w:val="00D612FF"/>
    <w:rsid w:val="00D64052"/>
    <w:rsid w:val="00D64747"/>
    <w:rsid w:val="00D64B26"/>
    <w:rsid w:val="00D65F86"/>
    <w:rsid w:val="00D663D8"/>
    <w:rsid w:val="00D66A68"/>
    <w:rsid w:val="00D70084"/>
    <w:rsid w:val="00D700CE"/>
    <w:rsid w:val="00D70511"/>
    <w:rsid w:val="00D707F5"/>
    <w:rsid w:val="00D70AA0"/>
    <w:rsid w:val="00D70E24"/>
    <w:rsid w:val="00D716B2"/>
    <w:rsid w:val="00D724DB"/>
    <w:rsid w:val="00D725F5"/>
    <w:rsid w:val="00D72CF6"/>
    <w:rsid w:val="00D74113"/>
    <w:rsid w:val="00D7472A"/>
    <w:rsid w:val="00D75175"/>
    <w:rsid w:val="00D7527F"/>
    <w:rsid w:val="00D75856"/>
    <w:rsid w:val="00D76281"/>
    <w:rsid w:val="00D7665D"/>
    <w:rsid w:val="00D76962"/>
    <w:rsid w:val="00D76A54"/>
    <w:rsid w:val="00D800F9"/>
    <w:rsid w:val="00D804F5"/>
    <w:rsid w:val="00D806F2"/>
    <w:rsid w:val="00D8079D"/>
    <w:rsid w:val="00D80F78"/>
    <w:rsid w:val="00D81CFF"/>
    <w:rsid w:val="00D81D64"/>
    <w:rsid w:val="00D82F44"/>
    <w:rsid w:val="00D82FB7"/>
    <w:rsid w:val="00D831C3"/>
    <w:rsid w:val="00D8388D"/>
    <w:rsid w:val="00D8522A"/>
    <w:rsid w:val="00D85328"/>
    <w:rsid w:val="00D858DD"/>
    <w:rsid w:val="00D85E5D"/>
    <w:rsid w:val="00D85FC2"/>
    <w:rsid w:val="00D86F6A"/>
    <w:rsid w:val="00D902B6"/>
    <w:rsid w:val="00D90348"/>
    <w:rsid w:val="00D904F8"/>
    <w:rsid w:val="00D905D6"/>
    <w:rsid w:val="00D91936"/>
    <w:rsid w:val="00D919E4"/>
    <w:rsid w:val="00D921C3"/>
    <w:rsid w:val="00D92672"/>
    <w:rsid w:val="00D93813"/>
    <w:rsid w:val="00D93BD1"/>
    <w:rsid w:val="00D94B0C"/>
    <w:rsid w:val="00D94B1C"/>
    <w:rsid w:val="00D94DC5"/>
    <w:rsid w:val="00D951E9"/>
    <w:rsid w:val="00D95FFB"/>
    <w:rsid w:val="00D96368"/>
    <w:rsid w:val="00D96AA1"/>
    <w:rsid w:val="00DA00AB"/>
    <w:rsid w:val="00DA02A7"/>
    <w:rsid w:val="00DA29A1"/>
    <w:rsid w:val="00DA2EA0"/>
    <w:rsid w:val="00DA353A"/>
    <w:rsid w:val="00DA41C5"/>
    <w:rsid w:val="00DA4A16"/>
    <w:rsid w:val="00DA4C50"/>
    <w:rsid w:val="00DA4D38"/>
    <w:rsid w:val="00DA554A"/>
    <w:rsid w:val="00DA5778"/>
    <w:rsid w:val="00DA5A2D"/>
    <w:rsid w:val="00DA5A4A"/>
    <w:rsid w:val="00DA5ACE"/>
    <w:rsid w:val="00DA5BD2"/>
    <w:rsid w:val="00DA5F83"/>
    <w:rsid w:val="00DA65E3"/>
    <w:rsid w:val="00DA6688"/>
    <w:rsid w:val="00DA66CE"/>
    <w:rsid w:val="00DA69AA"/>
    <w:rsid w:val="00DA6A29"/>
    <w:rsid w:val="00DA6D77"/>
    <w:rsid w:val="00DA733E"/>
    <w:rsid w:val="00DB0805"/>
    <w:rsid w:val="00DB15C7"/>
    <w:rsid w:val="00DB1614"/>
    <w:rsid w:val="00DB1B11"/>
    <w:rsid w:val="00DB1CCF"/>
    <w:rsid w:val="00DB2098"/>
    <w:rsid w:val="00DB2CA3"/>
    <w:rsid w:val="00DB3270"/>
    <w:rsid w:val="00DB3EBF"/>
    <w:rsid w:val="00DB4644"/>
    <w:rsid w:val="00DB4AA1"/>
    <w:rsid w:val="00DB5CB1"/>
    <w:rsid w:val="00DB6A73"/>
    <w:rsid w:val="00DB7BB8"/>
    <w:rsid w:val="00DC0506"/>
    <w:rsid w:val="00DC0857"/>
    <w:rsid w:val="00DC0B33"/>
    <w:rsid w:val="00DC0C4E"/>
    <w:rsid w:val="00DC0D78"/>
    <w:rsid w:val="00DC0DD4"/>
    <w:rsid w:val="00DC0ED0"/>
    <w:rsid w:val="00DC127E"/>
    <w:rsid w:val="00DC1B35"/>
    <w:rsid w:val="00DC1C74"/>
    <w:rsid w:val="00DC1EC1"/>
    <w:rsid w:val="00DC391E"/>
    <w:rsid w:val="00DC3AAA"/>
    <w:rsid w:val="00DC4FD1"/>
    <w:rsid w:val="00DC53B0"/>
    <w:rsid w:val="00DC5840"/>
    <w:rsid w:val="00DC682C"/>
    <w:rsid w:val="00DC690C"/>
    <w:rsid w:val="00DC6A00"/>
    <w:rsid w:val="00DC734D"/>
    <w:rsid w:val="00DC7ED8"/>
    <w:rsid w:val="00DD0444"/>
    <w:rsid w:val="00DD0865"/>
    <w:rsid w:val="00DD11B1"/>
    <w:rsid w:val="00DD1723"/>
    <w:rsid w:val="00DD18D6"/>
    <w:rsid w:val="00DD1F1C"/>
    <w:rsid w:val="00DD2378"/>
    <w:rsid w:val="00DD2408"/>
    <w:rsid w:val="00DD28BD"/>
    <w:rsid w:val="00DD33B1"/>
    <w:rsid w:val="00DD3E48"/>
    <w:rsid w:val="00DD40DC"/>
    <w:rsid w:val="00DD445C"/>
    <w:rsid w:val="00DD4635"/>
    <w:rsid w:val="00DD4953"/>
    <w:rsid w:val="00DD4DCA"/>
    <w:rsid w:val="00DD4F17"/>
    <w:rsid w:val="00DD5030"/>
    <w:rsid w:val="00DD56C9"/>
    <w:rsid w:val="00DD571E"/>
    <w:rsid w:val="00DD5E15"/>
    <w:rsid w:val="00DD5EEF"/>
    <w:rsid w:val="00DD6F45"/>
    <w:rsid w:val="00DD6F9A"/>
    <w:rsid w:val="00DD7788"/>
    <w:rsid w:val="00DE0809"/>
    <w:rsid w:val="00DE162C"/>
    <w:rsid w:val="00DE2305"/>
    <w:rsid w:val="00DE2449"/>
    <w:rsid w:val="00DE2AA7"/>
    <w:rsid w:val="00DE3074"/>
    <w:rsid w:val="00DE38AB"/>
    <w:rsid w:val="00DE3ABA"/>
    <w:rsid w:val="00DE40F2"/>
    <w:rsid w:val="00DE41FB"/>
    <w:rsid w:val="00DE4543"/>
    <w:rsid w:val="00DE47A4"/>
    <w:rsid w:val="00DE497A"/>
    <w:rsid w:val="00DE4FA8"/>
    <w:rsid w:val="00DE5A5E"/>
    <w:rsid w:val="00DE5AEC"/>
    <w:rsid w:val="00DE6310"/>
    <w:rsid w:val="00DE66FF"/>
    <w:rsid w:val="00DE6D19"/>
    <w:rsid w:val="00DE7187"/>
    <w:rsid w:val="00DE7879"/>
    <w:rsid w:val="00DE7880"/>
    <w:rsid w:val="00DF070E"/>
    <w:rsid w:val="00DF079E"/>
    <w:rsid w:val="00DF1899"/>
    <w:rsid w:val="00DF2555"/>
    <w:rsid w:val="00DF2AA5"/>
    <w:rsid w:val="00DF2AC6"/>
    <w:rsid w:val="00DF2F0F"/>
    <w:rsid w:val="00DF2FE6"/>
    <w:rsid w:val="00DF381A"/>
    <w:rsid w:val="00DF3D6E"/>
    <w:rsid w:val="00DF40AA"/>
    <w:rsid w:val="00DF45DF"/>
    <w:rsid w:val="00DF5269"/>
    <w:rsid w:val="00DF55AA"/>
    <w:rsid w:val="00DF5E0F"/>
    <w:rsid w:val="00DF60CF"/>
    <w:rsid w:val="00DF648B"/>
    <w:rsid w:val="00DF64FA"/>
    <w:rsid w:val="00DF6758"/>
    <w:rsid w:val="00DF6CE5"/>
    <w:rsid w:val="00DF6F54"/>
    <w:rsid w:val="00E00673"/>
    <w:rsid w:val="00E00A94"/>
    <w:rsid w:val="00E01A7A"/>
    <w:rsid w:val="00E01E7F"/>
    <w:rsid w:val="00E02CDF"/>
    <w:rsid w:val="00E02D94"/>
    <w:rsid w:val="00E03174"/>
    <w:rsid w:val="00E0355F"/>
    <w:rsid w:val="00E038FB"/>
    <w:rsid w:val="00E039E9"/>
    <w:rsid w:val="00E04240"/>
    <w:rsid w:val="00E045BA"/>
    <w:rsid w:val="00E0470A"/>
    <w:rsid w:val="00E04B32"/>
    <w:rsid w:val="00E0590F"/>
    <w:rsid w:val="00E0593F"/>
    <w:rsid w:val="00E06487"/>
    <w:rsid w:val="00E077F5"/>
    <w:rsid w:val="00E079A1"/>
    <w:rsid w:val="00E07A37"/>
    <w:rsid w:val="00E07BBE"/>
    <w:rsid w:val="00E07CA8"/>
    <w:rsid w:val="00E11070"/>
    <w:rsid w:val="00E11216"/>
    <w:rsid w:val="00E116FC"/>
    <w:rsid w:val="00E1373A"/>
    <w:rsid w:val="00E137FA"/>
    <w:rsid w:val="00E1393E"/>
    <w:rsid w:val="00E13B39"/>
    <w:rsid w:val="00E13B8E"/>
    <w:rsid w:val="00E13E28"/>
    <w:rsid w:val="00E13F19"/>
    <w:rsid w:val="00E13F4B"/>
    <w:rsid w:val="00E1419E"/>
    <w:rsid w:val="00E141CD"/>
    <w:rsid w:val="00E14373"/>
    <w:rsid w:val="00E151C5"/>
    <w:rsid w:val="00E153EE"/>
    <w:rsid w:val="00E15850"/>
    <w:rsid w:val="00E15C0A"/>
    <w:rsid w:val="00E16789"/>
    <w:rsid w:val="00E20BAC"/>
    <w:rsid w:val="00E2374D"/>
    <w:rsid w:val="00E23C66"/>
    <w:rsid w:val="00E23F02"/>
    <w:rsid w:val="00E242F1"/>
    <w:rsid w:val="00E2495F"/>
    <w:rsid w:val="00E2502E"/>
    <w:rsid w:val="00E257FA"/>
    <w:rsid w:val="00E25BC3"/>
    <w:rsid w:val="00E26391"/>
    <w:rsid w:val="00E2641E"/>
    <w:rsid w:val="00E26DBA"/>
    <w:rsid w:val="00E26E93"/>
    <w:rsid w:val="00E2775F"/>
    <w:rsid w:val="00E27FA1"/>
    <w:rsid w:val="00E313BB"/>
    <w:rsid w:val="00E319C2"/>
    <w:rsid w:val="00E32177"/>
    <w:rsid w:val="00E329B3"/>
    <w:rsid w:val="00E32F2A"/>
    <w:rsid w:val="00E3318E"/>
    <w:rsid w:val="00E33476"/>
    <w:rsid w:val="00E3348D"/>
    <w:rsid w:val="00E33497"/>
    <w:rsid w:val="00E347B4"/>
    <w:rsid w:val="00E349D5"/>
    <w:rsid w:val="00E34A1A"/>
    <w:rsid w:val="00E3504B"/>
    <w:rsid w:val="00E355E1"/>
    <w:rsid w:val="00E35865"/>
    <w:rsid w:val="00E35876"/>
    <w:rsid w:val="00E36E5B"/>
    <w:rsid w:val="00E37655"/>
    <w:rsid w:val="00E37725"/>
    <w:rsid w:val="00E37B7D"/>
    <w:rsid w:val="00E405AE"/>
    <w:rsid w:val="00E40DD8"/>
    <w:rsid w:val="00E4114C"/>
    <w:rsid w:val="00E411E5"/>
    <w:rsid w:val="00E418EF"/>
    <w:rsid w:val="00E42122"/>
    <w:rsid w:val="00E4214A"/>
    <w:rsid w:val="00E423C0"/>
    <w:rsid w:val="00E43CD9"/>
    <w:rsid w:val="00E446FB"/>
    <w:rsid w:val="00E45AF3"/>
    <w:rsid w:val="00E463F6"/>
    <w:rsid w:val="00E47582"/>
    <w:rsid w:val="00E47648"/>
    <w:rsid w:val="00E509FA"/>
    <w:rsid w:val="00E50B13"/>
    <w:rsid w:val="00E51FA1"/>
    <w:rsid w:val="00E52340"/>
    <w:rsid w:val="00E524C8"/>
    <w:rsid w:val="00E528F9"/>
    <w:rsid w:val="00E52D6E"/>
    <w:rsid w:val="00E52ECB"/>
    <w:rsid w:val="00E530A7"/>
    <w:rsid w:val="00E53799"/>
    <w:rsid w:val="00E538CB"/>
    <w:rsid w:val="00E53B3D"/>
    <w:rsid w:val="00E5400F"/>
    <w:rsid w:val="00E54A99"/>
    <w:rsid w:val="00E54B27"/>
    <w:rsid w:val="00E5558A"/>
    <w:rsid w:val="00E57FD9"/>
    <w:rsid w:val="00E602CC"/>
    <w:rsid w:val="00E606B3"/>
    <w:rsid w:val="00E6155E"/>
    <w:rsid w:val="00E61728"/>
    <w:rsid w:val="00E61A0D"/>
    <w:rsid w:val="00E61A26"/>
    <w:rsid w:val="00E61EF8"/>
    <w:rsid w:val="00E627BA"/>
    <w:rsid w:val="00E630CC"/>
    <w:rsid w:val="00E63570"/>
    <w:rsid w:val="00E63635"/>
    <w:rsid w:val="00E6371B"/>
    <w:rsid w:val="00E6375E"/>
    <w:rsid w:val="00E65960"/>
    <w:rsid w:val="00E65DF7"/>
    <w:rsid w:val="00E67028"/>
    <w:rsid w:val="00E67D31"/>
    <w:rsid w:val="00E7032C"/>
    <w:rsid w:val="00E70DF4"/>
    <w:rsid w:val="00E70EE1"/>
    <w:rsid w:val="00E71E11"/>
    <w:rsid w:val="00E72237"/>
    <w:rsid w:val="00E72756"/>
    <w:rsid w:val="00E735DE"/>
    <w:rsid w:val="00E74761"/>
    <w:rsid w:val="00E748F3"/>
    <w:rsid w:val="00E75B27"/>
    <w:rsid w:val="00E76BF7"/>
    <w:rsid w:val="00E76CA2"/>
    <w:rsid w:val="00E77673"/>
    <w:rsid w:val="00E77EAD"/>
    <w:rsid w:val="00E8120C"/>
    <w:rsid w:val="00E81A13"/>
    <w:rsid w:val="00E81B96"/>
    <w:rsid w:val="00E82D69"/>
    <w:rsid w:val="00E8359F"/>
    <w:rsid w:val="00E83C6E"/>
    <w:rsid w:val="00E83F4C"/>
    <w:rsid w:val="00E83F6F"/>
    <w:rsid w:val="00E84121"/>
    <w:rsid w:val="00E84832"/>
    <w:rsid w:val="00E84D12"/>
    <w:rsid w:val="00E84EB1"/>
    <w:rsid w:val="00E850E5"/>
    <w:rsid w:val="00E85195"/>
    <w:rsid w:val="00E8615C"/>
    <w:rsid w:val="00E902B4"/>
    <w:rsid w:val="00E90925"/>
    <w:rsid w:val="00E9148D"/>
    <w:rsid w:val="00E91814"/>
    <w:rsid w:val="00E921E2"/>
    <w:rsid w:val="00E929DA"/>
    <w:rsid w:val="00E92C29"/>
    <w:rsid w:val="00E92E64"/>
    <w:rsid w:val="00E93AC7"/>
    <w:rsid w:val="00E93B47"/>
    <w:rsid w:val="00E93B6D"/>
    <w:rsid w:val="00E9411C"/>
    <w:rsid w:val="00E94204"/>
    <w:rsid w:val="00E94A77"/>
    <w:rsid w:val="00E94E9D"/>
    <w:rsid w:val="00E95532"/>
    <w:rsid w:val="00E95EB9"/>
    <w:rsid w:val="00E96C69"/>
    <w:rsid w:val="00E96F60"/>
    <w:rsid w:val="00EA07BC"/>
    <w:rsid w:val="00EA08C9"/>
    <w:rsid w:val="00EA1256"/>
    <w:rsid w:val="00EA1E2A"/>
    <w:rsid w:val="00EA24B2"/>
    <w:rsid w:val="00EA2A78"/>
    <w:rsid w:val="00EA3073"/>
    <w:rsid w:val="00EA3199"/>
    <w:rsid w:val="00EA325B"/>
    <w:rsid w:val="00EA40D5"/>
    <w:rsid w:val="00EA4CDE"/>
    <w:rsid w:val="00EA4DF2"/>
    <w:rsid w:val="00EA4E25"/>
    <w:rsid w:val="00EA5459"/>
    <w:rsid w:val="00EA5B5A"/>
    <w:rsid w:val="00EA6A1B"/>
    <w:rsid w:val="00EA6AF8"/>
    <w:rsid w:val="00EA6CD8"/>
    <w:rsid w:val="00EA787D"/>
    <w:rsid w:val="00EA7B49"/>
    <w:rsid w:val="00EA7B5C"/>
    <w:rsid w:val="00EB075B"/>
    <w:rsid w:val="00EB0A38"/>
    <w:rsid w:val="00EB0B11"/>
    <w:rsid w:val="00EB0D02"/>
    <w:rsid w:val="00EB1186"/>
    <w:rsid w:val="00EB128C"/>
    <w:rsid w:val="00EB142E"/>
    <w:rsid w:val="00EB151F"/>
    <w:rsid w:val="00EB15BE"/>
    <w:rsid w:val="00EB2103"/>
    <w:rsid w:val="00EB21E0"/>
    <w:rsid w:val="00EB264E"/>
    <w:rsid w:val="00EB2EB0"/>
    <w:rsid w:val="00EB31AE"/>
    <w:rsid w:val="00EB32CB"/>
    <w:rsid w:val="00EB3886"/>
    <w:rsid w:val="00EB3C45"/>
    <w:rsid w:val="00EB3DA1"/>
    <w:rsid w:val="00EB3F5E"/>
    <w:rsid w:val="00EB478D"/>
    <w:rsid w:val="00EB48FC"/>
    <w:rsid w:val="00EB4F1D"/>
    <w:rsid w:val="00EB53A6"/>
    <w:rsid w:val="00EB54E0"/>
    <w:rsid w:val="00EB5C5C"/>
    <w:rsid w:val="00EB6940"/>
    <w:rsid w:val="00EB6AB7"/>
    <w:rsid w:val="00EB6C25"/>
    <w:rsid w:val="00EB6E7F"/>
    <w:rsid w:val="00EB76F2"/>
    <w:rsid w:val="00EB7F7E"/>
    <w:rsid w:val="00EC0075"/>
    <w:rsid w:val="00EC13EE"/>
    <w:rsid w:val="00EC1CC5"/>
    <w:rsid w:val="00EC205F"/>
    <w:rsid w:val="00EC24FF"/>
    <w:rsid w:val="00EC254B"/>
    <w:rsid w:val="00EC2724"/>
    <w:rsid w:val="00EC2C73"/>
    <w:rsid w:val="00EC3EBF"/>
    <w:rsid w:val="00EC4530"/>
    <w:rsid w:val="00EC5175"/>
    <w:rsid w:val="00EC5A1D"/>
    <w:rsid w:val="00EC5AB1"/>
    <w:rsid w:val="00EC5BF8"/>
    <w:rsid w:val="00EC6731"/>
    <w:rsid w:val="00EC6837"/>
    <w:rsid w:val="00EC712F"/>
    <w:rsid w:val="00EC794F"/>
    <w:rsid w:val="00ED03B5"/>
    <w:rsid w:val="00ED0829"/>
    <w:rsid w:val="00ED0F5A"/>
    <w:rsid w:val="00ED25A1"/>
    <w:rsid w:val="00ED336C"/>
    <w:rsid w:val="00ED3867"/>
    <w:rsid w:val="00ED3AB5"/>
    <w:rsid w:val="00ED3E85"/>
    <w:rsid w:val="00ED4113"/>
    <w:rsid w:val="00ED414A"/>
    <w:rsid w:val="00ED44EB"/>
    <w:rsid w:val="00ED4755"/>
    <w:rsid w:val="00ED512B"/>
    <w:rsid w:val="00ED62BE"/>
    <w:rsid w:val="00ED62C6"/>
    <w:rsid w:val="00ED63F6"/>
    <w:rsid w:val="00EE04E5"/>
    <w:rsid w:val="00EE102C"/>
    <w:rsid w:val="00EE15B7"/>
    <w:rsid w:val="00EE1646"/>
    <w:rsid w:val="00EE2553"/>
    <w:rsid w:val="00EE31A7"/>
    <w:rsid w:val="00EE36FB"/>
    <w:rsid w:val="00EE3DA0"/>
    <w:rsid w:val="00EE510B"/>
    <w:rsid w:val="00EE556D"/>
    <w:rsid w:val="00EE5936"/>
    <w:rsid w:val="00EE640F"/>
    <w:rsid w:val="00EE68BB"/>
    <w:rsid w:val="00EE6A5A"/>
    <w:rsid w:val="00EE7F84"/>
    <w:rsid w:val="00EE7FF7"/>
    <w:rsid w:val="00EF009E"/>
    <w:rsid w:val="00EF082C"/>
    <w:rsid w:val="00EF1070"/>
    <w:rsid w:val="00EF116B"/>
    <w:rsid w:val="00EF1EDF"/>
    <w:rsid w:val="00EF20E7"/>
    <w:rsid w:val="00EF226B"/>
    <w:rsid w:val="00EF25AB"/>
    <w:rsid w:val="00EF307A"/>
    <w:rsid w:val="00EF3100"/>
    <w:rsid w:val="00EF38B8"/>
    <w:rsid w:val="00EF3B8B"/>
    <w:rsid w:val="00EF3D43"/>
    <w:rsid w:val="00EF42C1"/>
    <w:rsid w:val="00EF4A85"/>
    <w:rsid w:val="00EF570E"/>
    <w:rsid w:val="00EF5AE4"/>
    <w:rsid w:val="00EF5DD1"/>
    <w:rsid w:val="00EF5E2E"/>
    <w:rsid w:val="00EF5FF6"/>
    <w:rsid w:val="00EF65EA"/>
    <w:rsid w:val="00EF73F2"/>
    <w:rsid w:val="00EF750E"/>
    <w:rsid w:val="00EF758F"/>
    <w:rsid w:val="00EF7FA9"/>
    <w:rsid w:val="00F0017A"/>
    <w:rsid w:val="00F005AF"/>
    <w:rsid w:val="00F007A2"/>
    <w:rsid w:val="00F00D5D"/>
    <w:rsid w:val="00F01586"/>
    <w:rsid w:val="00F01A45"/>
    <w:rsid w:val="00F02064"/>
    <w:rsid w:val="00F02F69"/>
    <w:rsid w:val="00F03047"/>
    <w:rsid w:val="00F03EC6"/>
    <w:rsid w:val="00F03F5A"/>
    <w:rsid w:val="00F04016"/>
    <w:rsid w:val="00F0480D"/>
    <w:rsid w:val="00F0484D"/>
    <w:rsid w:val="00F04F80"/>
    <w:rsid w:val="00F053B5"/>
    <w:rsid w:val="00F076A1"/>
    <w:rsid w:val="00F07757"/>
    <w:rsid w:val="00F0786E"/>
    <w:rsid w:val="00F10264"/>
    <w:rsid w:val="00F10B53"/>
    <w:rsid w:val="00F111D2"/>
    <w:rsid w:val="00F11B83"/>
    <w:rsid w:val="00F11CF0"/>
    <w:rsid w:val="00F12DFE"/>
    <w:rsid w:val="00F1390B"/>
    <w:rsid w:val="00F13AAA"/>
    <w:rsid w:val="00F13B2A"/>
    <w:rsid w:val="00F13C50"/>
    <w:rsid w:val="00F1494F"/>
    <w:rsid w:val="00F151BA"/>
    <w:rsid w:val="00F15931"/>
    <w:rsid w:val="00F164CF"/>
    <w:rsid w:val="00F16FF7"/>
    <w:rsid w:val="00F20A7E"/>
    <w:rsid w:val="00F20FAD"/>
    <w:rsid w:val="00F2153A"/>
    <w:rsid w:val="00F21A23"/>
    <w:rsid w:val="00F21AD0"/>
    <w:rsid w:val="00F21B6E"/>
    <w:rsid w:val="00F22193"/>
    <w:rsid w:val="00F22578"/>
    <w:rsid w:val="00F23436"/>
    <w:rsid w:val="00F2345A"/>
    <w:rsid w:val="00F23969"/>
    <w:rsid w:val="00F239B4"/>
    <w:rsid w:val="00F23C61"/>
    <w:rsid w:val="00F23DF1"/>
    <w:rsid w:val="00F248C1"/>
    <w:rsid w:val="00F24BF0"/>
    <w:rsid w:val="00F24F40"/>
    <w:rsid w:val="00F24F94"/>
    <w:rsid w:val="00F2509A"/>
    <w:rsid w:val="00F25920"/>
    <w:rsid w:val="00F26103"/>
    <w:rsid w:val="00F26E68"/>
    <w:rsid w:val="00F2728F"/>
    <w:rsid w:val="00F27597"/>
    <w:rsid w:val="00F27874"/>
    <w:rsid w:val="00F27CF8"/>
    <w:rsid w:val="00F30424"/>
    <w:rsid w:val="00F306D4"/>
    <w:rsid w:val="00F30A70"/>
    <w:rsid w:val="00F31D56"/>
    <w:rsid w:val="00F3207E"/>
    <w:rsid w:val="00F340D8"/>
    <w:rsid w:val="00F3410B"/>
    <w:rsid w:val="00F354E7"/>
    <w:rsid w:val="00F357DF"/>
    <w:rsid w:val="00F36505"/>
    <w:rsid w:val="00F3740E"/>
    <w:rsid w:val="00F37DC9"/>
    <w:rsid w:val="00F37F03"/>
    <w:rsid w:val="00F40D5E"/>
    <w:rsid w:val="00F41820"/>
    <w:rsid w:val="00F41926"/>
    <w:rsid w:val="00F41E78"/>
    <w:rsid w:val="00F424C1"/>
    <w:rsid w:val="00F42D91"/>
    <w:rsid w:val="00F43446"/>
    <w:rsid w:val="00F43A20"/>
    <w:rsid w:val="00F4466E"/>
    <w:rsid w:val="00F44A14"/>
    <w:rsid w:val="00F45F73"/>
    <w:rsid w:val="00F46475"/>
    <w:rsid w:val="00F4647C"/>
    <w:rsid w:val="00F4665D"/>
    <w:rsid w:val="00F46B29"/>
    <w:rsid w:val="00F47CAB"/>
    <w:rsid w:val="00F50270"/>
    <w:rsid w:val="00F502C4"/>
    <w:rsid w:val="00F50B10"/>
    <w:rsid w:val="00F51208"/>
    <w:rsid w:val="00F51A15"/>
    <w:rsid w:val="00F51B7C"/>
    <w:rsid w:val="00F52067"/>
    <w:rsid w:val="00F523F6"/>
    <w:rsid w:val="00F53548"/>
    <w:rsid w:val="00F53628"/>
    <w:rsid w:val="00F53649"/>
    <w:rsid w:val="00F54A17"/>
    <w:rsid w:val="00F554D0"/>
    <w:rsid w:val="00F56189"/>
    <w:rsid w:val="00F5620C"/>
    <w:rsid w:val="00F56A51"/>
    <w:rsid w:val="00F56B7F"/>
    <w:rsid w:val="00F56C3A"/>
    <w:rsid w:val="00F5707E"/>
    <w:rsid w:val="00F579B4"/>
    <w:rsid w:val="00F605C3"/>
    <w:rsid w:val="00F60BB0"/>
    <w:rsid w:val="00F60E93"/>
    <w:rsid w:val="00F61184"/>
    <w:rsid w:val="00F61309"/>
    <w:rsid w:val="00F61342"/>
    <w:rsid w:val="00F61662"/>
    <w:rsid w:val="00F61BC9"/>
    <w:rsid w:val="00F6278B"/>
    <w:rsid w:val="00F62E6D"/>
    <w:rsid w:val="00F63EC9"/>
    <w:rsid w:val="00F646CA"/>
    <w:rsid w:val="00F64E8E"/>
    <w:rsid w:val="00F6545A"/>
    <w:rsid w:val="00F67568"/>
    <w:rsid w:val="00F6767E"/>
    <w:rsid w:val="00F70113"/>
    <w:rsid w:val="00F70D59"/>
    <w:rsid w:val="00F71653"/>
    <w:rsid w:val="00F719AF"/>
    <w:rsid w:val="00F71A7B"/>
    <w:rsid w:val="00F71F07"/>
    <w:rsid w:val="00F721E4"/>
    <w:rsid w:val="00F722A3"/>
    <w:rsid w:val="00F724DE"/>
    <w:rsid w:val="00F72953"/>
    <w:rsid w:val="00F72EB2"/>
    <w:rsid w:val="00F73055"/>
    <w:rsid w:val="00F73E10"/>
    <w:rsid w:val="00F741A9"/>
    <w:rsid w:val="00F74397"/>
    <w:rsid w:val="00F746DA"/>
    <w:rsid w:val="00F74CD5"/>
    <w:rsid w:val="00F75AE4"/>
    <w:rsid w:val="00F75CE6"/>
    <w:rsid w:val="00F75E89"/>
    <w:rsid w:val="00F7672C"/>
    <w:rsid w:val="00F76A8E"/>
    <w:rsid w:val="00F76AC6"/>
    <w:rsid w:val="00F76C43"/>
    <w:rsid w:val="00F7702F"/>
    <w:rsid w:val="00F770B4"/>
    <w:rsid w:val="00F7761A"/>
    <w:rsid w:val="00F7763A"/>
    <w:rsid w:val="00F7771A"/>
    <w:rsid w:val="00F77958"/>
    <w:rsid w:val="00F779AD"/>
    <w:rsid w:val="00F77CB8"/>
    <w:rsid w:val="00F8126D"/>
    <w:rsid w:val="00F82560"/>
    <w:rsid w:val="00F82649"/>
    <w:rsid w:val="00F82A7F"/>
    <w:rsid w:val="00F82BBF"/>
    <w:rsid w:val="00F82BC6"/>
    <w:rsid w:val="00F832EB"/>
    <w:rsid w:val="00F838E2"/>
    <w:rsid w:val="00F83B41"/>
    <w:rsid w:val="00F83BE7"/>
    <w:rsid w:val="00F84F7B"/>
    <w:rsid w:val="00F85B42"/>
    <w:rsid w:val="00F85EB4"/>
    <w:rsid w:val="00F86E62"/>
    <w:rsid w:val="00F87C33"/>
    <w:rsid w:val="00F9049E"/>
    <w:rsid w:val="00F91088"/>
    <w:rsid w:val="00F9117B"/>
    <w:rsid w:val="00F916E1"/>
    <w:rsid w:val="00F91BB6"/>
    <w:rsid w:val="00F92130"/>
    <w:rsid w:val="00F923F5"/>
    <w:rsid w:val="00F92480"/>
    <w:rsid w:val="00F92E92"/>
    <w:rsid w:val="00F93926"/>
    <w:rsid w:val="00F939BA"/>
    <w:rsid w:val="00F93B57"/>
    <w:rsid w:val="00F93BF5"/>
    <w:rsid w:val="00F93F8E"/>
    <w:rsid w:val="00F9455A"/>
    <w:rsid w:val="00F9459D"/>
    <w:rsid w:val="00F94788"/>
    <w:rsid w:val="00F950B2"/>
    <w:rsid w:val="00F953A0"/>
    <w:rsid w:val="00F95A90"/>
    <w:rsid w:val="00F95C98"/>
    <w:rsid w:val="00F963EB"/>
    <w:rsid w:val="00F96425"/>
    <w:rsid w:val="00F96477"/>
    <w:rsid w:val="00F967C0"/>
    <w:rsid w:val="00F9766B"/>
    <w:rsid w:val="00F97A36"/>
    <w:rsid w:val="00FA143B"/>
    <w:rsid w:val="00FA24E4"/>
    <w:rsid w:val="00FA28FD"/>
    <w:rsid w:val="00FA3215"/>
    <w:rsid w:val="00FA488F"/>
    <w:rsid w:val="00FA52C5"/>
    <w:rsid w:val="00FA53F1"/>
    <w:rsid w:val="00FA5683"/>
    <w:rsid w:val="00FA68F2"/>
    <w:rsid w:val="00FA691B"/>
    <w:rsid w:val="00FA6BDA"/>
    <w:rsid w:val="00FA711E"/>
    <w:rsid w:val="00FA76CA"/>
    <w:rsid w:val="00FA77C8"/>
    <w:rsid w:val="00FB0426"/>
    <w:rsid w:val="00FB080C"/>
    <w:rsid w:val="00FB1013"/>
    <w:rsid w:val="00FB1CD1"/>
    <w:rsid w:val="00FB29D7"/>
    <w:rsid w:val="00FB3181"/>
    <w:rsid w:val="00FB32E5"/>
    <w:rsid w:val="00FB4334"/>
    <w:rsid w:val="00FB496F"/>
    <w:rsid w:val="00FB4AF1"/>
    <w:rsid w:val="00FB554A"/>
    <w:rsid w:val="00FB5706"/>
    <w:rsid w:val="00FB5CF8"/>
    <w:rsid w:val="00FB6273"/>
    <w:rsid w:val="00FB6673"/>
    <w:rsid w:val="00FB6DAD"/>
    <w:rsid w:val="00FB6FCB"/>
    <w:rsid w:val="00FB7B5D"/>
    <w:rsid w:val="00FB7EBA"/>
    <w:rsid w:val="00FC005B"/>
    <w:rsid w:val="00FC0798"/>
    <w:rsid w:val="00FC1525"/>
    <w:rsid w:val="00FC22CB"/>
    <w:rsid w:val="00FC24B2"/>
    <w:rsid w:val="00FC2D07"/>
    <w:rsid w:val="00FC2DBB"/>
    <w:rsid w:val="00FC44B4"/>
    <w:rsid w:val="00FC487B"/>
    <w:rsid w:val="00FC5596"/>
    <w:rsid w:val="00FC5E55"/>
    <w:rsid w:val="00FC6921"/>
    <w:rsid w:val="00FC6EF9"/>
    <w:rsid w:val="00FC7972"/>
    <w:rsid w:val="00FC7D1F"/>
    <w:rsid w:val="00FC7F5E"/>
    <w:rsid w:val="00FD0476"/>
    <w:rsid w:val="00FD0A26"/>
    <w:rsid w:val="00FD0B30"/>
    <w:rsid w:val="00FD18AD"/>
    <w:rsid w:val="00FD1A14"/>
    <w:rsid w:val="00FD1C3E"/>
    <w:rsid w:val="00FD21CF"/>
    <w:rsid w:val="00FD2324"/>
    <w:rsid w:val="00FD3C44"/>
    <w:rsid w:val="00FD3D1F"/>
    <w:rsid w:val="00FD49BC"/>
    <w:rsid w:val="00FD5A28"/>
    <w:rsid w:val="00FD6416"/>
    <w:rsid w:val="00FD64EB"/>
    <w:rsid w:val="00FD671B"/>
    <w:rsid w:val="00FD6C8D"/>
    <w:rsid w:val="00FD70D2"/>
    <w:rsid w:val="00FE01B3"/>
    <w:rsid w:val="00FE085D"/>
    <w:rsid w:val="00FE0AFB"/>
    <w:rsid w:val="00FE0C95"/>
    <w:rsid w:val="00FE0DB9"/>
    <w:rsid w:val="00FE0FD8"/>
    <w:rsid w:val="00FE1BAD"/>
    <w:rsid w:val="00FE23D7"/>
    <w:rsid w:val="00FE29D3"/>
    <w:rsid w:val="00FE2A32"/>
    <w:rsid w:val="00FE2E2F"/>
    <w:rsid w:val="00FE2FD5"/>
    <w:rsid w:val="00FE3449"/>
    <w:rsid w:val="00FE41B7"/>
    <w:rsid w:val="00FE4F29"/>
    <w:rsid w:val="00FE5741"/>
    <w:rsid w:val="00FE5F6E"/>
    <w:rsid w:val="00FE6334"/>
    <w:rsid w:val="00FE6B43"/>
    <w:rsid w:val="00FE7B34"/>
    <w:rsid w:val="00FF0266"/>
    <w:rsid w:val="00FF03E7"/>
    <w:rsid w:val="00FF1A5D"/>
    <w:rsid w:val="00FF20E1"/>
    <w:rsid w:val="00FF2936"/>
    <w:rsid w:val="00FF30AD"/>
    <w:rsid w:val="00FF3484"/>
    <w:rsid w:val="00FF3EE1"/>
    <w:rsid w:val="00FF47B4"/>
    <w:rsid w:val="00FF4939"/>
    <w:rsid w:val="00FF5311"/>
    <w:rsid w:val="00FF532C"/>
    <w:rsid w:val="00FF56CD"/>
    <w:rsid w:val="00FF5FF1"/>
    <w:rsid w:val="00FF65E6"/>
    <w:rsid w:val="016A1592"/>
    <w:rsid w:val="04005DB6"/>
    <w:rsid w:val="041401FE"/>
    <w:rsid w:val="064246BB"/>
    <w:rsid w:val="06D45BA1"/>
    <w:rsid w:val="06F57EC7"/>
    <w:rsid w:val="070D2F04"/>
    <w:rsid w:val="086857CC"/>
    <w:rsid w:val="0AFF1936"/>
    <w:rsid w:val="0D3E1015"/>
    <w:rsid w:val="0DCD166B"/>
    <w:rsid w:val="0DD330E4"/>
    <w:rsid w:val="11CE1D4C"/>
    <w:rsid w:val="136738EF"/>
    <w:rsid w:val="13F60C36"/>
    <w:rsid w:val="157F3B72"/>
    <w:rsid w:val="1663631E"/>
    <w:rsid w:val="16F9796D"/>
    <w:rsid w:val="18D8276C"/>
    <w:rsid w:val="1A906C2A"/>
    <w:rsid w:val="2055762D"/>
    <w:rsid w:val="21385797"/>
    <w:rsid w:val="286F3400"/>
    <w:rsid w:val="28B07942"/>
    <w:rsid w:val="2A2748F1"/>
    <w:rsid w:val="2C421022"/>
    <w:rsid w:val="33AC3E4E"/>
    <w:rsid w:val="349B1E30"/>
    <w:rsid w:val="34D66BDC"/>
    <w:rsid w:val="34F465FA"/>
    <w:rsid w:val="35C66623"/>
    <w:rsid w:val="36E516A8"/>
    <w:rsid w:val="389F7543"/>
    <w:rsid w:val="395E4F21"/>
    <w:rsid w:val="3BA748F4"/>
    <w:rsid w:val="3FB05BCB"/>
    <w:rsid w:val="40821976"/>
    <w:rsid w:val="40925330"/>
    <w:rsid w:val="40F427BB"/>
    <w:rsid w:val="422158BF"/>
    <w:rsid w:val="43273F3A"/>
    <w:rsid w:val="437737FB"/>
    <w:rsid w:val="44CA26CB"/>
    <w:rsid w:val="46ED6B38"/>
    <w:rsid w:val="47F54C7A"/>
    <w:rsid w:val="4B874A7A"/>
    <w:rsid w:val="4C16368C"/>
    <w:rsid w:val="4C92226E"/>
    <w:rsid w:val="4E7C5BCF"/>
    <w:rsid w:val="4F063492"/>
    <w:rsid w:val="503E036B"/>
    <w:rsid w:val="51F17AE9"/>
    <w:rsid w:val="524F7A61"/>
    <w:rsid w:val="53B40832"/>
    <w:rsid w:val="570031A2"/>
    <w:rsid w:val="58853C1A"/>
    <w:rsid w:val="59D874A7"/>
    <w:rsid w:val="5A432C58"/>
    <w:rsid w:val="5A632DFA"/>
    <w:rsid w:val="5BB60ADF"/>
    <w:rsid w:val="5CEF2446"/>
    <w:rsid w:val="60F352D0"/>
    <w:rsid w:val="697D3244"/>
    <w:rsid w:val="6A331806"/>
    <w:rsid w:val="6A3D6E5B"/>
    <w:rsid w:val="6B4C32FA"/>
    <w:rsid w:val="6C6A6088"/>
    <w:rsid w:val="6DC335FC"/>
    <w:rsid w:val="717B3822"/>
    <w:rsid w:val="722528E1"/>
    <w:rsid w:val="7305593D"/>
    <w:rsid w:val="73966C01"/>
    <w:rsid w:val="73F65498"/>
    <w:rsid w:val="742F17D1"/>
    <w:rsid w:val="74647C06"/>
    <w:rsid w:val="754663BC"/>
    <w:rsid w:val="76586657"/>
    <w:rsid w:val="783D6398"/>
    <w:rsid w:val="7D291075"/>
    <w:rsid w:val="7EA6247F"/>
    <w:rsid w:val="7EEA1D74"/>
    <w:rsid w:val="F7E74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qFormat="1" w:unhideWhenUsed="0" w:uiPriority="0" w:semiHidden="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78" w:lineRule="auto"/>
    </w:pPr>
    <w:rPr>
      <w:rFonts w:ascii="Times New Roman" w:hAnsi="Times New Roman" w:eastAsia="宋体" w:cs="Times New Roman"/>
      <w:lang w:val="en-US" w:eastAsia="zh-CN" w:bidi="ar-SA"/>
    </w:rPr>
  </w:style>
  <w:style w:type="paragraph" w:styleId="4">
    <w:name w:val="heading 1"/>
    <w:basedOn w:val="1"/>
    <w:next w:val="1"/>
    <w:link w:val="7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77"/>
    <w:qFormat/>
    <w:uiPriority w:val="0"/>
    <w:pPr>
      <w:keepNext/>
      <w:keepLines/>
      <w:spacing w:before="260" w:after="260" w:line="416" w:lineRule="auto"/>
      <w:outlineLvl w:val="2"/>
    </w:pPr>
    <w:rPr>
      <w:b/>
      <w:bCs/>
      <w:sz w:val="32"/>
      <w:szCs w:val="32"/>
    </w:rPr>
  </w:style>
  <w:style w:type="paragraph" w:styleId="7">
    <w:name w:val="heading 4"/>
    <w:basedOn w:val="1"/>
    <w:next w:val="1"/>
    <w:link w:val="8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83"/>
    <w:qFormat/>
    <w:uiPriority w:val="0"/>
    <w:pPr>
      <w:keepNext/>
      <w:keepLines/>
      <w:widowControl w:val="0"/>
      <w:adjustRightInd w:val="0"/>
      <w:spacing w:before="120" w:after="120" w:line="480" w:lineRule="atLeast"/>
      <w:ind w:left="375" w:hanging="375" w:hangingChars="125"/>
      <w:jc w:val="both"/>
      <w:textAlignment w:val="baseline"/>
      <w:outlineLvl w:val="4"/>
    </w:pPr>
    <w:rPr>
      <w:rFonts w:eastAsia="楷体_GB2312"/>
      <w:b/>
      <w:sz w:val="30"/>
    </w:rPr>
  </w:style>
  <w:style w:type="paragraph" w:styleId="9">
    <w:name w:val="heading 6"/>
    <w:basedOn w:val="1"/>
    <w:next w:val="1"/>
    <w:link w:val="84"/>
    <w:qFormat/>
    <w:uiPriority w:val="0"/>
    <w:pPr>
      <w:keepNext/>
      <w:keepLines/>
      <w:numPr>
        <w:ilvl w:val="5"/>
        <w:numId w:val="1"/>
      </w:numPr>
      <w:tabs>
        <w:tab w:val="left" w:pos="1440"/>
      </w:tabs>
      <w:spacing w:before="240" w:after="64" w:line="317" w:lineRule="auto"/>
      <w:outlineLvl w:val="5"/>
    </w:pPr>
    <w:rPr>
      <w:rFonts w:ascii="Arial" w:hAnsi="Arial" w:eastAsia="黑体"/>
      <w:b/>
      <w:bCs/>
      <w:sz w:val="24"/>
      <w:szCs w:val="24"/>
    </w:rPr>
  </w:style>
  <w:style w:type="paragraph" w:styleId="10">
    <w:name w:val="heading 7"/>
    <w:basedOn w:val="1"/>
    <w:next w:val="1"/>
    <w:link w:val="85"/>
    <w:qFormat/>
    <w:uiPriority w:val="0"/>
    <w:pPr>
      <w:keepNext/>
      <w:keepLines/>
      <w:numPr>
        <w:ilvl w:val="6"/>
        <w:numId w:val="1"/>
      </w:numPr>
      <w:tabs>
        <w:tab w:val="left" w:pos="2520"/>
      </w:tabs>
      <w:spacing w:before="240" w:after="64" w:line="317" w:lineRule="auto"/>
      <w:outlineLvl w:val="6"/>
    </w:pPr>
    <w:rPr>
      <w:b/>
      <w:bCs/>
      <w:sz w:val="24"/>
      <w:szCs w:val="24"/>
    </w:rPr>
  </w:style>
  <w:style w:type="paragraph" w:styleId="11">
    <w:name w:val="heading 8"/>
    <w:basedOn w:val="1"/>
    <w:next w:val="1"/>
    <w:link w:val="86"/>
    <w:qFormat/>
    <w:uiPriority w:val="0"/>
    <w:pPr>
      <w:keepNext/>
      <w:keepLines/>
      <w:numPr>
        <w:ilvl w:val="7"/>
        <w:numId w:val="1"/>
      </w:numPr>
      <w:tabs>
        <w:tab w:val="left" w:pos="1440"/>
      </w:tabs>
      <w:spacing w:before="240" w:after="64" w:line="317" w:lineRule="auto"/>
      <w:outlineLvl w:val="7"/>
    </w:pPr>
    <w:rPr>
      <w:rFonts w:ascii="Arial" w:hAnsi="Arial" w:eastAsia="黑体"/>
      <w:sz w:val="24"/>
      <w:szCs w:val="24"/>
    </w:rPr>
  </w:style>
  <w:style w:type="paragraph" w:styleId="12">
    <w:name w:val="heading 9"/>
    <w:basedOn w:val="1"/>
    <w:next w:val="1"/>
    <w:link w:val="87"/>
    <w:qFormat/>
    <w:uiPriority w:val="0"/>
    <w:pPr>
      <w:keepNext/>
      <w:keepLines/>
      <w:numPr>
        <w:ilvl w:val="8"/>
        <w:numId w:val="1"/>
      </w:numPr>
      <w:tabs>
        <w:tab w:val="left" w:pos="1584"/>
      </w:tabs>
      <w:spacing w:before="240" w:after="64" w:line="317" w:lineRule="auto"/>
      <w:outlineLvl w:val="8"/>
    </w:pPr>
    <w:rPr>
      <w:rFonts w:ascii="Arial" w:hAnsi="Arial" w:eastAsia="黑体"/>
      <w:sz w:val="21"/>
      <w:szCs w:val="21"/>
    </w:rPr>
  </w:style>
  <w:style w:type="character" w:default="1" w:styleId="66">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80"/>
    <w:qFormat/>
    <w:uiPriority w:val="99"/>
    <w:pPr>
      <w:ind w:firstLine="420" w:firstLineChars="200"/>
    </w:pPr>
  </w:style>
  <w:style w:type="paragraph" w:styleId="3">
    <w:name w:val="Body Text Indent"/>
    <w:basedOn w:val="1"/>
    <w:link w:val="79"/>
    <w:qFormat/>
    <w:uiPriority w:val="99"/>
    <w:pPr>
      <w:spacing w:after="120"/>
      <w:ind w:left="420" w:leftChars="200"/>
    </w:pPr>
  </w:style>
  <w:style w:type="paragraph" w:styleId="13">
    <w:name w:val="List 3"/>
    <w:basedOn w:val="1"/>
    <w:qFormat/>
    <w:uiPriority w:val="0"/>
    <w:pPr>
      <w:widowControl w:val="0"/>
      <w:ind w:left="100" w:leftChars="400" w:hanging="200" w:hangingChars="200"/>
      <w:jc w:val="both"/>
    </w:pPr>
    <w:rPr>
      <w:kern w:val="2"/>
      <w:sz w:val="21"/>
      <w:szCs w:val="24"/>
    </w:rPr>
  </w:style>
  <w:style w:type="paragraph" w:styleId="14">
    <w:name w:val="toc 7"/>
    <w:basedOn w:val="1"/>
    <w:next w:val="1"/>
    <w:qFormat/>
    <w:uiPriority w:val="39"/>
    <w:pPr>
      <w:ind w:left="1200"/>
    </w:pPr>
    <w:rPr>
      <w:sz w:val="18"/>
      <w:szCs w:val="18"/>
    </w:rPr>
  </w:style>
  <w:style w:type="paragraph" w:styleId="15">
    <w:name w:val="Note Heading"/>
    <w:basedOn w:val="1"/>
    <w:next w:val="1"/>
    <w:link w:val="88"/>
    <w:qFormat/>
    <w:uiPriority w:val="0"/>
    <w:pPr>
      <w:spacing w:after="200" w:line="276" w:lineRule="auto"/>
      <w:jc w:val="center"/>
    </w:pPr>
    <w:rPr>
      <w:rFonts w:ascii="Times" w:hAnsi="Times" w:eastAsia="Calibri"/>
      <w:kern w:val="2"/>
      <w:sz w:val="24"/>
      <w:szCs w:val="24"/>
      <w:lang w:eastAsia="en-US"/>
    </w:rPr>
  </w:style>
  <w:style w:type="paragraph" w:styleId="16">
    <w:name w:val="List Bullet 4"/>
    <w:basedOn w:val="1"/>
    <w:qFormat/>
    <w:uiPriority w:val="0"/>
    <w:pPr>
      <w:widowControl w:val="0"/>
      <w:numPr>
        <w:ilvl w:val="0"/>
        <w:numId w:val="1"/>
      </w:numPr>
      <w:ind w:firstLine="0"/>
      <w:jc w:val="both"/>
    </w:pPr>
    <w:rPr>
      <w:rFonts w:ascii="Arial Unicode MS" w:hAnsi="Arial Unicode MS" w:eastAsia="Calibri"/>
      <w:kern w:val="2"/>
      <w:sz w:val="21"/>
      <w:szCs w:val="24"/>
    </w:rPr>
  </w:style>
  <w:style w:type="paragraph" w:styleId="17">
    <w:name w:val="Normal Indent"/>
    <w:basedOn w:val="1"/>
    <w:link w:val="89"/>
    <w:qFormat/>
    <w:uiPriority w:val="0"/>
    <w:pPr>
      <w:ind w:firstLine="420"/>
    </w:pPr>
  </w:style>
  <w:style w:type="paragraph" w:styleId="18">
    <w:name w:val="caption"/>
    <w:basedOn w:val="1"/>
    <w:next w:val="1"/>
    <w:qFormat/>
    <w:uiPriority w:val="0"/>
    <w:pPr>
      <w:widowControl w:val="0"/>
      <w:jc w:val="both"/>
    </w:pPr>
    <w:rPr>
      <w:rFonts w:ascii="Cambria" w:hAnsi="Cambria" w:eastAsia="黑体"/>
      <w:kern w:val="2"/>
    </w:rPr>
  </w:style>
  <w:style w:type="paragraph" w:styleId="19">
    <w:name w:val="List Bullet"/>
    <w:basedOn w:val="1"/>
    <w:qFormat/>
    <w:uiPriority w:val="0"/>
    <w:pPr>
      <w:widowControl w:val="0"/>
      <w:numPr>
        <w:ilvl w:val="0"/>
        <w:numId w:val="2"/>
      </w:numPr>
      <w:tabs>
        <w:tab w:val="left" w:pos="360"/>
      </w:tabs>
      <w:jc w:val="both"/>
    </w:pPr>
    <w:rPr>
      <w:kern w:val="2"/>
      <w:sz w:val="21"/>
      <w:szCs w:val="24"/>
    </w:rPr>
  </w:style>
  <w:style w:type="paragraph" w:styleId="20">
    <w:name w:val="Document Map"/>
    <w:basedOn w:val="1"/>
    <w:link w:val="90"/>
    <w:qFormat/>
    <w:uiPriority w:val="0"/>
    <w:rPr>
      <w:rFonts w:ascii="宋体"/>
      <w:sz w:val="18"/>
      <w:szCs w:val="18"/>
    </w:rPr>
  </w:style>
  <w:style w:type="paragraph" w:styleId="21">
    <w:name w:val="toa heading"/>
    <w:basedOn w:val="1"/>
    <w:next w:val="1"/>
    <w:qFormat/>
    <w:uiPriority w:val="0"/>
    <w:pPr>
      <w:widowControl w:val="0"/>
      <w:spacing w:before="120"/>
      <w:jc w:val="both"/>
    </w:pPr>
    <w:rPr>
      <w:rFonts w:ascii="Arial" w:hAnsi="Arial"/>
      <w:kern w:val="2"/>
      <w:sz w:val="24"/>
    </w:rPr>
  </w:style>
  <w:style w:type="paragraph" w:styleId="22">
    <w:name w:val="annotation text"/>
    <w:basedOn w:val="1"/>
    <w:link w:val="91"/>
    <w:qFormat/>
    <w:uiPriority w:val="0"/>
    <w:pPr>
      <w:widowControl w:val="0"/>
      <w:adjustRightInd w:val="0"/>
      <w:spacing w:line="360" w:lineRule="atLeast"/>
      <w:textAlignment w:val="baseline"/>
    </w:pPr>
    <w:rPr>
      <w:sz w:val="24"/>
    </w:rPr>
  </w:style>
  <w:style w:type="paragraph" w:styleId="23">
    <w:name w:val="Body Text 3"/>
    <w:basedOn w:val="1"/>
    <w:link w:val="92"/>
    <w:qFormat/>
    <w:uiPriority w:val="0"/>
    <w:pPr>
      <w:widowControl w:val="0"/>
      <w:jc w:val="both"/>
    </w:pPr>
    <w:rPr>
      <w:rFonts w:ascii="宋体" w:hAnsi="宋体"/>
      <w:color w:val="000000"/>
      <w:kern w:val="2"/>
      <w:sz w:val="21"/>
    </w:rPr>
  </w:style>
  <w:style w:type="paragraph" w:styleId="24">
    <w:name w:val="List Bullet 3"/>
    <w:basedOn w:val="1"/>
    <w:qFormat/>
    <w:uiPriority w:val="0"/>
    <w:pPr>
      <w:widowControl w:val="0"/>
      <w:tabs>
        <w:tab w:val="left" w:pos="840"/>
        <w:tab w:val="left" w:pos="1200"/>
      </w:tabs>
      <w:spacing w:line="360" w:lineRule="auto"/>
      <w:ind w:left="360"/>
      <w:jc w:val="both"/>
    </w:pPr>
    <w:rPr>
      <w:rFonts w:ascii="Calibri" w:hAnsi="Calibri" w:eastAsia="Calibri"/>
      <w:kern w:val="2"/>
      <w:sz w:val="24"/>
    </w:rPr>
  </w:style>
  <w:style w:type="paragraph" w:styleId="25">
    <w:name w:val="Body Text"/>
    <w:basedOn w:val="1"/>
    <w:link w:val="93"/>
    <w:qFormat/>
    <w:uiPriority w:val="0"/>
    <w:pPr>
      <w:spacing w:after="120"/>
    </w:pPr>
  </w:style>
  <w:style w:type="paragraph" w:styleId="26">
    <w:name w:val="List 2"/>
    <w:basedOn w:val="1"/>
    <w:qFormat/>
    <w:uiPriority w:val="0"/>
    <w:pPr>
      <w:widowControl w:val="0"/>
      <w:ind w:left="100" w:leftChars="200" w:hanging="200" w:hangingChars="200"/>
      <w:jc w:val="both"/>
    </w:pPr>
    <w:rPr>
      <w:kern w:val="2"/>
      <w:sz w:val="21"/>
      <w:szCs w:val="24"/>
    </w:rPr>
  </w:style>
  <w:style w:type="paragraph" w:styleId="27">
    <w:name w:val="List Continue"/>
    <w:basedOn w:val="1"/>
    <w:qFormat/>
    <w:uiPriority w:val="0"/>
    <w:pPr>
      <w:widowControl w:val="0"/>
      <w:spacing w:after="120"/>
      <w:ind w:left="420" w:leftChars="200"/>
      <w:jc w:val="both"/>
    </w:pPr>
    <w:rPr>
      <w:rFonts w:ascii="Arial Unicode MS" w:hAnsi="Arial Unicode MS" w:eastAsia="Calibri"/>
      <w:kern w:val="2"/>
      <w:sz w:val="28"/>
    </w:rPr>
  </w:style>
  <w:style w:type="paragraph" w:styleId="28">
    <w:name w:val="Block Text"/>
    <w:basedOn w:val="1"/>
    <w:qFormat/>
    <w:uiPriority w:val="0"/>
    <w:pPr>
      <w:spacing w:after="120"/>
      <w:ind w:left="1440" w:leftChars="700" w:right="1440" w:rightChars="700"/>
    </w:pPr>
  </w:style>
  <w:style w:type="paragraph" w:styleId="29">
    <w:name w:val="List Bullet 2"/>
    <w:basedOn w:val="1"/>
    <w:qFormat/>
    <w:uiPriority w:val="0"/>
    <w:pPr>
      <w:widowControl w:val="0"/>
      <w:tabs>
        <w:tab w:val="left" w:pos="780"/>
      </w:tabs>
      <w:ind w:left="780" w:leftChars="200" w:hanging="360" w:hangingChars="200"/>
      <w:jc w:val="both"/>
    </w:pPr>
    <w:rPr>
      <w:rFonts w:ascii="Arial Unicode MS" w:hAnsi="Arial Unicode MS" w:eastAsia="Calibri"/>
      <w:kern w:val="2"/>
      <w:sz w:val="21"/>
      <w:szCs w:val="24"/>
    </w:rPr>
  </w:style>
  <w:style w:type="paragraph" w:styleId="30">
    <w:name w:val="index 4"/>
    <w:basedOn w:val="1"/>
    <w:next w:val="1"/>
    <w:qFormat/>
    <w:uiPriority w:val="0"/>
    <w:pPr>
      <w:widowControl w:val="0"/>
      <w:ind w:left="600" w:leftChars="600"/>
      <w:jc w:val="both"/>
    </w:pPr>
    <w:rPr>
      <w:kern w:val="2"/>
      <w:sz w:val="21"/>
      <w:szCs w:val="24"/>
    </w:rPr>
  </w:style>
  <w:style w:type="paragraph" w:styleId="31">
    <w:name w:val="toc 5"/>
    <w:basedOn w:val="1"/>
    <w:next w:val="1"/>
    <w:qFormat/>
    <w:uiPriority w:val="39"/>
    <w:pPr>
      <w:ind w:left="800"/>
    </w:pPr>
    <w:rPr>
      <w:sz w:val="18"/>
      <w:szCs w:val="18"/>
    </w:rPr>
  </w:style>
  <w:style w:type="paragraph" w:styleId="32">
    <w:name w:val="toc 3"/>
    <w:basedOn w:val="1"/>
    <w:next w:val="1"/>
    <w:qFormat/>
    <w:uiPriority w:val="39"/>
    <w:pPr>
      <w:ind w:left="840" w:leftChars="400"/>
    </w:pPr>
  </w:style>
  <w:style w:type="paragraph" w:styleId="33">
    <w:name w:val="Plain Text"/>
    <w:basedOn w:val="1"/>
    <w:link w:val="94"/>
    <w:qFormat/>
    <w:uiPriority w:val="99"/>
    <w:pPr>
      <w:widowControl w:val="0"/>
      <w:jc w:val="both"/>
    </w:pPr>
    <w:rPr>
      <w:rFonts w:ascii="宋体" w:hAnsi="Courier New"/>
      <w:kern w:val="2"/>
      <w:sz w:val="21"/>
      <w:szCs w:val="21"/>
    </w:rPr>
  </w:style>
  <w:style w:type="paragraph" w:styleId="34">
    <w:name w:val="List Number 4"/>
    <w:basedOn w:val="1"/>
    <w:qFormat/>
    <w:uiPriority w:val="0"/>
    <w:pPr>
      <w:widowControl w:val="0"/>
      <w:tabs>
        <w:tab w:val="left" w:pos="1620"/>
      </w:tabs>
      <w:spacing w:line="360" w:lineRule="auto"/>
      <w:ind w:left="360"/>
      <w:jc w:val="both"/>
    </w:pPr>
    <w:rPr>
      <w:rFonts w:ascii="Calibri" w:hAnsi="Calibri" w:eastAsia="Calibri"/>
      <w:kern w:val="2"/>
      <w:sz w:val="24"/>
    </w:rPr>
  </w:style>
  <w:style w:type="paragraph" w:styleId="35">
    <w:name w:val="toc 8"/>
    <w:basedOn w:val="1"/>
    <w:next w:val="1"/>
    <w:qFormat/>
    <w:uiPriority w:val="39"/>
    <w:pPr>
      <w:ind w:left="1400"/>
    </w:pPr>
    <w:rPr>
      <w:sz w:val="18"/>
      <w:szCs w:val="18"/>
    </w:rPr>
  </w:style>
  <w:style w:type="paragraph" w:styleId="36">
    <w:name w:val="Date"/>
    <w:basedOn w:val="1"/>
    <w:next w:val="1"/>
    <w:link w:val="95"/>
    <w:qFormat/>
    <w:uiPriority w:val="0"/>
    <w:pPr>
      <w:ind w:left="100" w:leftChars="2500"/>
    </w:pPr>
  </w:style>
  <w:style w:type="paragraph" w:styleId="37">
    <w:name w:val="Body Text Indent 2"/>
    <w:basedOn w:val="1"/>
    <w:link w:val="96"/>
    <w:qFormat/>
    <w:uiPriority w:val="0"/>
    <w:pPr>
      <w:spacing w:after="120" w:line="480" w:lineRule="auto"/>
      <w:ind w:left="420" w:leftChars="200"/>
    </w:pPr>
  </w:style>
  <w:style w:type="paragraph" w:styleId="38">
    <w:name w:val="endnote text"/>
    <w:basedOn w:val="1"/>
    <w:link w:val="97"/>
    <w:qFormat/>
    <w:uiPriority w:val="0"/>
    <w:pPr>
      <w:widowControl w:val="0"/>
      <w:snapToGrid w:val="0"/>
    </w:pPr>
    <w:rPr>
      <w:rFonts w:ascii="Arial Unicode MS" w:hAnsi="Arial Unicode MS" w:eastAsia="Calibri"/>
      <w:kern w:val="2"/>
      <w:sz w:val="21"/>
    </w:rPr>
  </w:style>
  <w:style w:type="paragraph" w:styleId="39">
    <w:name w:val="Balloon Text"/>
    <w:basedOn w:val="1"/>
    <w:link w:val="98"/>
    <w:qFormat/>
    <w:uiPriority w:val="99"/>
    <w:rPr>
      <w:sz w:val="18"/>
      <w:szCs w:val="18"/>
    </w:rPr>
  </w:style>
  <w:style w:type="paragraph" w:styleId="40">
    <w:name w:val="footer"/>
    <w:basedOn w:val="1"/>
    <w:link w:val="99"/>
    <w:qFormat/>
    <w:uiPriority w:val="99"/>
    <w:pPr>
      <w:tabs>
        <w:tab w:val="center" w:pos="4153"/>
        <w:tab w:val="right" w:pos="8306"/>
      </w:tabs>
      <w:snapToGrid w:val="0"/>
    </w:pPr>
    <w:rPr>
      <w:sz w:val="18"/>
      <w:szCs w:val="18"/>
    </w:rPr>
  </w:style>
  <w:style w:type="paragraph" w:styleId="41">
    <w:name w:val="header"/>
    <w:basedOn w:val="1"/>
    <w:link w:val="100"/>
    <w:qFormat/>
    <w:uiPriority w:val="99"/>
    <w:pPr>
      <w:pBdr>
        <w:bottom w:val="single" w:color="auto" w:sz="6" w:space="1"/>
      </w:pBdr>
      <w:tabs>
        <w:tab w:val="center" w:pos="4153"/>
        <w:tab w:val="right" w:pos="8306"/>
      </w:tabs>
      <w:snapToGrid w:val="0"/>
      <w:jc w:val="center"/>
    </w:pPr>
    <w:rPr>
      <w:sz w:val="18"/>
      <w:szCs w:val="18"/>
    </w:rPr>
  </w:style>
  <w:style w:type="paragraph" w:styleId="42">
    <w:name w:val="toc 1"/>
    <w:basedOn w:val="1"/>
    <w:next w:val="1"/>
    <w:qFormat/>
    <w:uiPriority w:val="39"/>
  </w:style>
  <w:style w:type="paragraph" w:styleId="43">
    <w:name w:val="toc 4"/>
    <w:basedOn w:val="1"/>
    <w:next w:val="1"/>
    <w:qFormat/>
    <w:uiPriority w:val="39"/>
    <w:pPr>
      <w:ind w:left="600"/>
    </w:pPr>
    <w:rPr>
      <w:sz w:val="18"/>
      <w:szCs w:val="18"/>
    </w:rPr>
  </w:style>
  <w:style w:type="paragraph" w:styleId="44">
    <w:name w:val="index heading"/>
    <w:basedOn w:val="1"/>
    <w:next w:val="45"/>
    <w:qFormat/>
    <w:uiPriority w:val="0"/>
    <w:pPr>
      <w:widowControl w:val="0"/>
      <w:jc w:val="both"/>
    </w:pPr>
    <w:rPr>
      <w:kern w:val="2"/>
      <w:sz w:val="21"/>
      <w:szCs w:val="24"/>
    </w:rPr>
  </w:style>
  <w:style w:type="paragraph" w:styleId="45">
    <w:name w:val="index 1"/>
    <w:basedOn w:val="1"/>
    <w:next w:val="1"/>
    <w:qFormat/>
    <w:uiPriority w:val="0"/>
    <w:pPr>
      <w:widowControl w:val="0"/>
      <w:ind w:firstLine="480" w:firstLineChars="200"/>
      <w:jc w:val="center"/>
    </w:pPr>
    <w:rPr>
      <w:kern w:val="2"/>
      <w:sz w:val="24"/>
      <w:szCs w:val="24"/>
    </w:rPr>
  </w:style>
  <w:style w:type="paragraph" w:styleId="46">
    <w:name w:val="Subtitle"/>
    <w:basedOn w:val="1"/>
    <w:next w:val="1"/>
    <w:link w:val="101"/>
    <w:qFormat/>
    <w:uiPriority w:val="0"/>
    <w:pPr>
      <w:widowControl w:val="0"/>
      <w:spacing w:before="240" w:after="60" w:line="312" w:lineRule="auto"/>
      <w:jc w:val="center"/>
      <w:outlineLvl w:val="1"/>
    </w:pPr>
    <w:rPr>
      <w:rFonts w:ascii="Cambria" w:hAnsi="Cambria"/>
      <w:b/>
      <w:kern w:val="28"/>
      <w:sz w:val="32"/>
    </w:rPr>
  </w:style>
  <w:style w:type="paragraph" w:styleId="47">
    <w:name w:val="List"/>
    <w:basedOn w:val="1"/>
    <w:qFormat/>
    <w:uiPriority w:val="0"/>
    <w:pPr>
      <w:widowControl w:val="0"/>
      <w:ind w:left="420" w:hanging="420"/>
      <w:jc w:val="both"/>
    </w:pPr>
    <w:rPr>
      <w:rFonts w:ascii="Arial Unicode MS" w:hAnsi="Arial Unicode MS" w:eastAsia="Calibri"/>
      <w:kern w:val="2"/>
      <w:sz w:val="21"/>
    </w:rPr>
  </w:style>
  <w:style w:type="paragraph" w:styleId="48">
    <w:name w:val="footnote text"/>
    <w:basedOn w:val="1"/>
    <w:link w:val="102"/>
    <w:qFormat/>
    <w:uiPriority w:val="0"/>
    <w:pPr>
      <w:widowControl w:val="0"/>
      <w:adjustRightInd w:val="0"/>
      <w:spacing w:line="312" w:lineRule="atLeast"/>
      <w:textAlignment w:val="baseline"/>
    </w:pPr>
    <w:rPr>
      <w:sz w:val="18"/>
    </w:rPr>
  </w:style>
  <w:style w:type="paragraph" w:styleId="49">
    <w:name w:val="toc 6"/>
    <w:basedOn w:val="1"/>
    <w:next w:val="1"/>
    <w:qFormat/>
    <w:uiPriority w:val="39"/>
    <w:pPr>
      <w:ind w:left="1000"/>
    </w:pPr>
    <w:rPr>
      <w:sz w:val="18"/>
      <w:szCs w:val="18"/>
    </w:rPr>
  </w:style>
  <w:style w:type="paragraph" w:styleId="50">
    <w:name w:val="List 5"/>
    <w:basedOn w:val="1"/>
    <w:qFormat/>
    <w:uiPriority w:val="0"/>
    <w:pPr>
      <w:widowControl w:val="0"/>
      <w:ind w:left="2100" w:hanging="420"/>
      <w:jc w:val="both"/>
    </w:pPr>
    <w:rPr>
      <w:kern w:val="2"/>
      <w:sz w:val="21"/>
    </w:rPr>
  </w:style>
  <w:style w:type="paragraph" w:styleId="51">
    <w:name w:val="Body Text Indent 3"/>
    <w:basedOn w:val="1"/>
    <w:link w:val="103"/>
    <w:qFormat/>
    <w:uiPriority w:val="0"/>
    <w:pPr>
      <w:spacing w:after="120"/>
      <w:ind w:left="420" w:leftChars="200"/>
    </w:pPr>
    <w:rPr>
      <w:sz w:val="16"/>
      <w:szCs w:val="16"/>
    </w:rPr>
  </w:style>
  <w:style w:type="paragraph" w:styleId="52">
    <w:name w:val="table of figures"/>
    <w:basedOn w:val="1"/>
    <w:next w:val="1"/>
    <w:qFormat/>
    <w:uiPriority w:val="0"/>
    <w:pPr>
      <w:widowControl w:val="0"/>
      <w:ind w:left="200" w:leftChars="200" w:hanging="200" w:hangingChars="200"/>
      <w:jc w:val="both"/>
    </w:pPr>
    <w:rPr>
      <w:kern w:val="2"/>
      <w:sz w:val="21"/>
      <w:szCs w:val="24"/>
    </w:rPr>
  </w:style>
  <w:style w:type="paragraph" w:styleId="53">
    <w:name w:val="toc 2"/>
    <w:basedOn w:val="1"/>
    <w:next w:val="1"/>
    <w:qFormat/>
    <w:uiPriority w:val="39"/>
    <w:pPr>
      <w:ind w:left="420" w:leftChars="200"/>
    </w:pPr>
  </w:style>
  <w:style w:type="paragraph" w:styleId="54">
    <w:name w:val="toc 9"/>
    <w:basedOn w:val="1"/>
    <w:next w:val="1"/>
    <w:qFormat/>
    <w:uiPriority w:val="39"/>
    <w:pPr>
      <w:widowControl w:val="0"/>
      <w:tabs>
        <w:tab w:val="right" w:pos="8306"/>
      </w:tabs>
      <w:spacing w:before="156" w:beforeLines="50" w:line="300" w:lineRule="atLeast"/>
      <w:jc w:val="center"/>
    </w:pPr>
    <w:rPr>
      <w:rFonts w:ascii="宋体" w:hAnsi="宋体"/>
      <w:kern w:val="2"/>
      <w:sz w:val="21"/>
      <w:szCs w:val="24"/>
    </w:rPr>
  </w:style>
  <w:style w:type="paragraph" w:styleId="55">
    <w:name w:val="Body Text 2"/>
    <w:basedOn w:val="1"/>
    <w:link w:val="104"/>
    <w:qFormat/>
    <w:uiPriority w:val="0"/>
    <w:pPr>
      <w:spacing w:after="120" w:line="480" w:lineRule="auto"/>
    </w:pPr>
  </w:style>
  <w:style w:type="paragraph" w:styleId="56">
    <w:name w:val="List 4"/>
    <w:basedOn w:val="1"/>
    <w:qFormat/>
    <w:uiPriority w:val="0"/>
    <w:pPr>
      <w:widowControl w:val="0"/>
      <w:ind w:left="100" w:leftChars="600" w:hanging="200" w:hangingChars="200"/>
      <w:jc w:val="both"/>
    </w:pPr>
    <w:rPr>
      <w:kern w:val="2"/>
      <w:sz w:val="21"/>
    </w:rPr>
  </w:style>
  <w:style w:type="paragraph" w:styleId="57">
    <w:name w:val="HTML Preformatted"/>
    <w:basedOn w:val="1"/>
    <w:link w:val="10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szCs w:val="24"/>
    </w:rPr>
  </w:style>
  <w:style w:type="paragraph" w:styleId="58">
    <w:name w:val="Normal (Web)"/>
    <w:basedOn w:val="1"/>
    <w:link w:val="106"/>
    <w:qFormat/>
    <w:uiPriority w:val="99"/>
    <w:pPr>
      <w:spacing w:before="100" w:beforeAutospacing="1" w:after="100" w:afterAutospacing="1"/>
    </w:pPr>
    <w:rPr>
      <w:rFonts w:ascii="宋体" w:hAnsi="宋体"/>
      <w:sz w:val="24"/>
      <w:szCs w:val="24"/>
    </w:rPr>
  </w:style>
  <w:style w:type="paragraph" w:styleId="59">
    <w:name w:val="Title"/>
    <w:basedOn w:val="1"/>
    <w:next w:val="1"/>
    <w:link w:val="107"/>
    <w:qFormat/>
    <w:uiPriority w:val="0"/>
    <w:pPr>
      <w:spacing w:before="240" w:after="60"/>
      <w:jc w:val="center"/>
      <w:outlineLvl w:val="0"/>
    </w:pPr>
    <w:rPr>
      <w:rFonts w:ascii="Cambria" w:hAnsi="Cambria"/>
      <w:b/>
      <w:bCs/>
      <w:sz w:val="32"/>
      <w:szCs w:val="32"/>
    </w:rPr>
  </w:style>
  <w:style w:type="paragraph" w:styleId="60">
    <w:name w:val="annotation subject"/>
    <w:basedOn w:val="22"/>
    <w:next w:val="22"/>
    <w:link w:val="108"/>
    <w:qFormat/>
    <w:uiPriority w:val="0"/>
    <w:pPr>
      <w:widowControl/>
      <w:adjustRightInd/>
      <w:spacing w:line="240" w:lineRule="auto"/>
      <w:textAlignment w:val="auto"/>
    </w:pPr>
    <w:rPr>
      <w:b/>
      <w:bCs/>
      <w:sz w:val="20"/>
    </w:rPr>
  </w:style>
  <w:style w:type="paragraph" w:styleId="61">
    <w:name w:val="Body Text First Indent"/>
    <w:basedOn w:val="25"/>
    <w:link w:val="109"/>
    <w:qFormat/>
    <w:uiPriority w:val="0"/>
    <w:pPr>
      <w:widowControl w:val="0"/>
      <w:ind w:firstLine="420" w:firstLineChars="100"/>
      <w:jc w:val="both"/>
    </w:pPr>
    <w:rPr>
      <w:rFonts w:ascii="Arial Unicode MS" w:hAnsi="Arial Unicode MS" w:eastAsia="Calibri"/>
      <w:kern w:val="2"/>
      <w:sz w:val="21"/>
      <w:szCs w:val="24"/>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pPr>
      <w:widowControl w:val="0"/>
      <w:jc w:val="both"/>
    </w:pPr>
    <w:rPr>
      <w:rFonts w:ascii="Arial Unicode MS" w:hAnsi="Arial Unicode M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Grid 4"/>
    <w:basedOn w:val="62"/>
    <w:qFormat/>
    <w:uiPriority w:val="0"/>
    <w:pPr>
      <w:widowControl w:val="0"/>
      <w:jc w:val="both"/>
    </w:pPr>
    <w:rPr>
      <w:rFonts w:ascii="Calibri" w:hAnsi="Calibri" w:eastAsia="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67">
    <w:name w:val="Strong"/>
    <w:qFormat/>
    <w:uiPriority w:val="0"/>
    <w:rPr>
      <w:b/>
      <w:bCs/>
    </w:rPr>
  </w:style>
  <w:style w:type="character" w:styleId="68">
    <w:name w:val="page number"/>
    <w:qFormat/>
    <w:uiPriority w:val="0"/>
  </w:style>
  <w:style w:type="character" w:styleId="69">
    <w:name w:val="FollowedHyperlink"/>
    <w:qFormat/>
    <w:uiPriority w:val="99"/>
    <w:rPr>
      <w:color w:val="800080"/>
      <w:u w:val="single"/>
    </w:rPr>
  </w:style>
  <w:style w:type="character" w:styleId="70">
    <w:name w:val="Emphasis"/>
    <w:qFormat/>
    <w:uiPriority w:val="20"/>
    <w:rPr>
      <w:i/>
    </w:rPr>
  </w:style>
  <w:style w:type="character" w:styleId="71">
    <w:name w:val="HTML Typewriter"/>
    <w:qFormat/>
    <w:uiPriority w:val="0"/>
    <w:rPr>
      <w:rFonts w:ascii="宋体" w:hAnsi="宋体" w:eastAsia="宋体" w:cs="宋体"/>
      <w:sz w:val="24"/>
      <w:szCs w:val="24"/>
    </w:rPr>
  </w:style>
  <w:style w:type="character" w:styleId="72">
    <w:name w:val="Hyperlink"/>
    <w:qFormat/>
    <w:uiPriority w:val="99"/>
    <w:rPr>
      <w:color w:val="0000FF"/>
      <w:u w:val="single"/>
    </w:rPr>
  </w:style>
  <w:style w:type="character" w:styleId="73">
    <w:name w:val="annotation reference"/>
    <w:qFormat/>
    <w:uiPriority w:val="99"/>
    <w:rPr>
      <w:sz w:val="21"/>
      <w:szCs w:val="21"/>
    </w:rPr>
  </w:style>
  <w:style w:type="character" w:styleId="74">
    <w:name w:val="footnote reference"/>
    <w:qFormat/>
    <w:uiPriority w:val="0"/>
    <w:rPr>
      <w:vertAlign w:val="superscript"/>
    </w:rPr>
  </w:style>
  <w:style w:type="character" w:customStyle="1" w:styleId="75">
    <w:name w:val="标题 2 字符"/>
    <w:qFormat/>
    <w:uiPriority w:val="0"/>
    <w:rPr>
      <w:rFonts w:ascii="Arial" w:hAnsi="Arial" w:eastAsia="黑体" w:cs="Times New Roman"/>
      <w:b/>
      <w:bCs/>
      <w:sz w:val="32"/>
      <w:szCs w:val="32"/>
    </w:rPr>
  </w:style>
  <w:style w:type="character" w:customStyle="1" w:styleId="76">
    <w:name w:val="标题 1 Char"/>
    <w:link w:val="4"/>
    <w:qFormat/>
    <w:uiPriority w:val="0"/>
    <w:rPr>
      <w:b/>
      <w:bCs/>
      <w:kern w:val="44"/>
      <w:sz w:val="44"/>
      <w:szCs w:val="44"/>
    </w:rPr>
  </w:style>
  <w:style w:type="character" w:customStyle="1" w:styleId="77">
    <w:name w:val="标题 3 Char"/>
    <w:link w:val="6"/>
    <w:qFormat/>
    <w:uiPriority w:val="0"/>
    <w:rPr>
      <w:b/>
      <w:bCs/>
      <w:sz w:val="32"/>
      <w:szCs w:val="32"/>
    </w:rPr>
  </w:style>
  <w:style w:type="paragraph" w:customStyle="1" w:styleId="78">
    <w:name w:val="样式1"/>
    <w:basedOn w:val="7"/>
    <w:qFormat/>
    <w:uiPriority w:val="0"/>
    <w:rPr>
      <w:rFonts w:ascii="黑体"/>
      <w:sz w:val="24"/>
      <w:szCs w:val="30"/>
    </w:rPr>
  </w:style>
  <w:style w:type="character" w:customStyle="1" w:styleId="79">
    <w:name w:val="正文文本缩进 Char2"/>
    <w:link w:val="3"/>
    <w:qFormat/>
    <w:uiPriority w:val="99"/>
  </w:style>
  <w:style w:type="character" w:customStyle="1" w:styleId="80">
    <w:name w:val="正文首行缩进 2 Char"/>
    <w:link w:val="2"/>
    <w:qFormat/>
    <w:uiPriority w:val="99"/>
  </w:style>
  <w:style w:type="character" w:customStyle="1" w:styleId="81">
    <w:name w:val="标题 2 Char2"/>
    <w:link w:val="5"/>
    <w:qFormat/>
    <w:uiPriority w:val="0"/>
    <w:rPr>
      <w:rFonts w:ascii="Arial" w:hAnsi="Arial" w:eastAsia="黑体"/>
      <w:b/>
      <w:bCs/>
      <w:sz w:val="32"/>
      <w:szCs w:val="32"/>
    </w:rPr>
  </w:style>
  <w:style w:type="character" w:customStyle="1" w:styleId="82">
    <w:name w:val="标题 4 Char"/>
    <w:link w:val="7"/>
    <w:qFormat/>
    <w:uiPriority w:val="0"/>
    <w:rPr>
      <w:rFonts w:ascii="Arial" w:hAnsi="Arial" w:eastAsia="黑体"/>
      <w:b/>
      <w:bCs/>
      <w:sz w:val="28"/>
      <w:szCs w:val="28"/>
    </w:rPr>
  </w:style>
  <w:style w:type="character" w:customStyle="1" w:styleId="83">
    <w:name w:val="标题 5 Char"/>
    <w:link w:val="8"/>
    <w:qFormat/>
    <w:uiPriority w:val="0"/>
    <w:rPr>
      <w:rFonts w:eastAsia="楷体_GB2312"/>
      <w:b/>
      <w:sz w:val="30"/>
    </w:rPr>
  </w:style>
  <w:style w:type="character" w:customStyle="1" w:styleId="84">
    <w:name w:val="标题 6 Char1"/>
    <w:link w:val="9"/>
    <w:qFormat/>
    <w:uiPriority w:val="0"/>
    <w:rPr>
      <w:rFonts w:ascii="Arial" w:hAnsi="Arial" w:eastAsia="黑体"/>
      <w:b/>
      <w:bCs/>
      <w:sz w:val="24"/>
      <w:szCs w:val="24"/>
    </w:rPr>
  </w:style>
  <w:style w:type="character" w:customStyle="1" w:styleId="85">
    <w:name w:val="标题 7 Char"/>
    <w:link w:val="10"/>
    <w:qFormat/>
    <w:uiPriority w:val="0"/>
    <w:rPr>
      <w:b/>
      <w:bCs/>
      <w:sz w:val="24"/>
      <w:szCs w:val="24"/>
    </w:rPr>
  </w:style>
  <w:style w:type="character" w:customStyle="1" w:styleId="86">
    <w:name w:val="标题 8 Char1"/>
    <w:link w:val="11"/>
    <w:qFormat/>
    <w:uiPriority w:val="0"/>
    <w:rPr>
      <w:rFonts w:ascii="Arial" w:hAnsi="Arial" w:eastAsia="黑体"/>
      <w:sz w:val="24"/>
      <w:szCs w:val="24"/>
    </w:rPr>
  </w:style>
  <w:style w:type="character" w:customStyle="1" w:styleId="87">
    <w:name w:val="标题 9 Char1"/>
    <w:link w:val="12"/>
    <w:qFormat/>
    <w:uiPriority w:val="0"/>
    <w:rPr>
      <w:rFonts w:ascii="Arial" w:hAnsi="Arial" w:eastAsia="黑体"/>
      <w:sz w:val="21"/>
      <w:szCs w:val="21"/>
    </w:rPr>
  </w:style>
  <w:style w:type="character" w:customStyle="1" w:styleId="88">
    <w:name w:val="注释标题 Char1"/>
    <w:basedOn w:val="66"/>
    <w:link w:val="15"/>
    <w:qFormat/>
    <w:uiPriority w:val="0"/>
    <w:rPr>
      <w:rFonts w:ascii="Times" w:hAnsi="Times" w:eastAsia="Calibri"/>
      <w:kern w:val="2"/>
      <w:sz w:val="24"/>
      <w:szCs w:val="24"/>
      <w:lang w:eastAsia="en-US"/>
    </w:rPr>
  </w:style>
  <w:style w:type="character" w:customStyle="1" w:styleId="89">
    <w:name w:val="正文缩进 Char"/>
    <w:link w:val="17"/>
    <w:qFormat/>
    <w:locked/>
    <w:uiPriority w:val="0"/>
  </w:style>
  <w:style w:type="character" w:customStyle="1" w:styleId="90">
    <w:name w:val="文档结构图 Char"/>
    <w:link w:val="20"/>
    <w:qFormat/>
    <w:uiPriority w:val="0"/>
    <w:rPr>
      <w:rFonts w:ascii="宋体"/>
      <w:sz w:val="18"/>
      <w:szCs w:val="18"/>
    </w:rPr>
  </w:style>
  <w:style w:type="character" w:customStyle="1" w:styleId="91">
    <w:name w:val="批注文字 Char2"/>
    <w:link w:val="22"/>
    <w:qFormat/>
    <w:uiPriority w:val="0"/>
    <w:rPr>
      <w:sz w:val="24"/>
    </w:rPr>
  </w:style>
  <w:style w:type="character" w:customStyle="1" w:styleId="92">
    <w:name w:val="正文文本 3 Char"/>
    <w:link w:val="23"/>
    <w:qFormat/>
    <w:uiPriority w:val="0"/>
    <w:rPr>
      <w:rFonts w:ascii="宋体" w:hAnsi="宋体"/>
      <w:color w:val="000000"/>
      <w:kern w:val="2"/>
      <w:sz w:val="21"/>
    </w:rPr>
  </w:style>
  <w:style w:type="character" w:customStyle="1" w:styleId="93">
    <w:name w:val="正文文本 Char2"/>
    <w:link w:val="25"/>
    <w:qFormat/>
    <w:uiPriority w:val="99"/>
    <w:rPr>
      <w:rFonts w:eastAsia="宋体"/>
      <w:lang w:val="en-US" w:eastAsia="zh-CN" w:bidi="ar-SA"/>
    </w:rPr>
  </w:style>
  <w:style w:type="character" w:customStyle="1" w:styleId="94">
    <w:name w:val="纯文本 Char2"/>
    <w:link w:val="33"/>
    <w:qFormat/>
    <w:locked/>
    <w:uiPriority w:val="99"/>
    <w:rPr>
      <w:rFonts w:ascii="宋体" w:hAnsi="Courier New" w:cs="Courier New"/>
      <w:kern w:val="2"/>
      <w:sz w:val="21"/>
      <w:szCs w:val="21"/>
    </w:rPr>
  </w:style>
  <w:style w:type="character" w:customStyle="1" w:styleId="95">
    <w:name w:val="日期 Char"/>
    <w:link w:val="36"/>
    <w:qFormat/>
    <w:uiPriority w:val="0"/>
  </w:style>
  <w:style w:type="character" w:customStyle="1" w:styleId="96">
    <w:name w:val="正文文本缩进 2 Char"/>
    <w:link w:val="37"/>
    <w:qFormat/>
    <w:uiPriority w:val="0"/>
  </w:style>
  <w:style w:type="character" w:customStyle="1" w:styleId="97">
    <w:name w:val="尾注文本 Char"/>
    <w:basedOn w:val="66"/>
    <w:link w:val="38"/>
    <w:qFormat/>
    <w:uiPriority w:val="0"/>
    <w:rPr>
      <w:rFonts w:ascii="Arial Unicode MS" w:hAnsi="Arial Unicode MS" w:eastAsia="Calibri"/>
      <w:kern w:val="2"/>
      <w:sz w:val="21"/>
    </w:rPr>
  </w:style>
  <w:style w:type="character" w:customStyle="1" w:styleId="98">
    <w:name w:val="批注框文本 Char"/>
    <w:link w:val="39"/>
    <w:qFormat/>
    <w:locked/>
    <w:uiPriority w:val="0"/>
    <w:rPr>
      <w:sz w:val="18"/>
      <w:szCs w:val="18"/>
    </w:rPr>
  </w:style>
  <w:style w:type="character" w:customStyle="1" w:styleId="99">
    <w:name w:val="页脚 Char2"/>
    <w:link w:val="40"/>
    <w:qFormat/>
    <w:uiPriority w:val="0"/>
    <w:rPr>
      <w:rFonts w:eastAsia="宋体"/>
      <w:sz w:val="18"/>
      <w:szCs w:val="18"/>
      <w:lang w:val="en-US" w:eastAsia="zh-CN" w:bidi="ar-SA"/>
    </w:rPr>
  </w:style>
  <w:style w:type="character" w:customStyle="1" w:styleId="100">
    <w:name w:val="页眉 Char2"/>
    <w:link w:val="41"/>
    <w:qFormat/>
    <w:uiPriority w:val="99"/>
    <w:rPr>
      <w:sz w:val="18"/>
      <w:szCs w:val="18"/>
    </w:rPr>
  </w:style>
  <w:style w:type="character" w:customStyle="1" w:styleId="101">
    <w:name w:val="副标题 Char"/>
    <w:link w:val="46"/>
    <w:qFormat/>
    <w:uiPriority w:val="0"/>
    <w:rPr>
      <w:rFonts w:ascii="Cambria" w:hAnsi="Cambria"/>
      <w:b/>
      <w:kern w:val="28"/>
      <w:sz w:val="32"/>
    </w:rPr>
  </w:style>
  <w:style w:type="character" w:customStyle="1" w:styleId="102">
    <w:name w:val="脚注文本 Char"/>
    <w:link w:val="48"/>
    <w:qFormat/>
    <w:uiPriority w:val="0"/>
    <w:rPr>
      <w:sz w:val="18"/>
    </w:rPr>
  </w:style>
  <w:style w:type="character" w:customStyle="1" w:styleId="103">
    <w:name w:val="正文文本缩进 3 Char2"/>
    <w:link w:val="51"/>
    <w:qFormat/>
    <w:uiPriority w:val="0"/>
    <w:rPr>
      <w:sz w:val="16"/>
      <w:szCs w:val="16"/>
    </w:rPr>
  </w:style>
  <w:style w:type="character" w:customStyle="1" w:styleId="104">
    <w:name w:val="正文文本 2 Char"/>
    <w:link w:val="55"/>
    <w:qFormat/>
    <w:uiPriority w:val="0"/>
  </w:style>
  <w:style w:type="character" w:customStyle="1" w:styleId="105">
    <w:name w:val="HTML 预设格式 Char"/>
    <w:link w:val="57"/>
    <w:qFormat/>
    <w:locked/>
    <w:uiPriority w:val="0"/>
    <w:rPr>
      <w:rFonts w:ascii="宋体" w:hAnsi="宋体" w:cs="宋体"/>
      <w:sz w:val="24"/>
      <w:szCs w:val="24"/>
    </w:rPr>
  </w:style>
  <w:style w:type="character" w:customStyle="1" w:styleId="106">
    <w:name w:val="普通(网站) Char"/>
    <w:link w:val="58"/>
    <w:qFormat/>
    <w:uiPriority w:val="99"/>
    <w:rPr>
      <w:rFonts w:ascii="宋体" w:hAnsi="宋体" w:cs="宋体"/>
      <w:sz w:val="24"/>
      <w:szCs w:val="24"/>
    </w:rPr>
  </w:style>
  <w:style w:type="character" w:customStyle="1" w:styleId="107">
    <w:name w:val="标题 Char"/>
    <w:link w:val="59"/>
    <w:qFormat/>
    <w:uiPriority w:val="0"/>
    <w:rPr>
      <w:rFonts w:ascii="Cambria" w:hAnsi="Cambria"/>
      <w:b/>
      <w:bCs/>
      <w:sz w:val="32"/>
      <w:szCs w:val="32"/>
    </w:rPr>
  </w:style>
  <w:style w:type="character" w:customStyle="1" w:styleId="108">
    <w:name w:val="批注主题 Char"/>
    <w:link w:val="60"/>
    <w:qFormat/>
    <w:locked/>
    <w:uiPriority w:val="0"/>
    <w:rPr>
      <w:b/>
      <w:bCs/>
    </w:rPr>
  </w:style>
  <w:style w:type="character" w:customStyle="1" w:styleId="109">
    <w:name w:val="正文首行缩进 Char1"/>
    <w:basedOn w:val="93"/>
    <w:link w:val="61"/>
    <w:qFormat/>
    <w:uiPriority w:val="0"/>
    <w:rPr>
      <w:rFonts w:ascii="Arial Unicode MS" w:hAnsi="Arial Unicode MS" w:eastAsia="Calibri"/>
      <w:kern w:val="2"/>
      <w:sz w:val="21"/>
      <w:szCs w:val="24"/>
      <w:lang w:val="en-US" w:eastAsia="zh-CN" w:bidi="ar-SA"/>
    </w:rPr>
  </w:style>
  <w:style w:type="character" w:customStyle="1" w:styleId="110">
    <w:name w:val="fn org"/>
    <w:qFormat/>
    <w:uiPriority w:val="0"/>
  </w:style>
  <w:style w:type="character" w:customStyle="1" w:styleId="111">
    <w:name w:val="Quote Char"/>
    <w:qFormat/>
    <w:locked/>
    <w:uiPriority w:val="0"/>
    <w:rPr>
      <w:i/>
      <w:color w:val="000000"/>
    </w:rPr>
  </w:style>
  <w:style w:type="character" w:customStyle="1" w:styleId="112">
    <w:name w:val="正文文本缩进 Char"/>
    <w:qFormat/>
    <w:uiPriority w:val="0"/>
    <w:rPr>
      <w:rFonts w:eastAsia="宋体"/>
      <w:lang w:val="en-US" w:eastAsia="zh-CN" w:bidi="ar-SA"/>
    </w:rPr>
  </w:style>
  <w:style w:type="character" w:customStyle="1" w:styleId="113">
    <w:name w:val="标题 9 字符"/>
    <w:qFormat/>
    <w:uiPriority w:val="0"/>
    <w:rPr>
      <w:rFonts w:ascii="Arial" w:hAnsi="Arial" w:eastAsia="黑体" w:cs="Times New Roman"/>
      <w:kern w:val="0"/>
      <w:szCs w:val="21"/>
    </w:rPr>
  </w:style>
  <w:style w:type="character" w:customStyle="1" w:styleId="114">
    <w:name w:val="Char Char21"/>
    <w:qFormat/>
    <w:locked/>
    <w:uiPriority w:val="0"/>
    <w:rPr>
      <w:rFonts w:ascii="Arial" w:hAnsi="Arial" w:eastAsia="黑体"/>
      <w:b/>
      <w:bCs/>
      <w:sz w:val="24"/>
      <w:szCs w:val="24"/>
    </w:rPr>
  </w:style>
  <w:style w:type="character" w:customStyle="1" w:styleId="115">
    <w:name w:val="表格文字 Char1"/>
    <w:qFormat/>
    <w:uiPriority w:val="0"/>
    <w:rPr>
      <w:rFonts w:ascii="宋体" w:hAnsi="宋体" w:eastAsia="宋体"/>
      <w:lang w:val="en-US" w:eastAsia="zh-CN" w:bidi="ar-SA"/>
    </w:rPr>
  </w:style>
  <w:style w:type="character" w:customStyle="1" w:styleId="116">
    <w:name w:val="h Char"/>
    <w:qFormat/>
    <w:uiPriority w:val="0"/>
    <w:rPr>
      <w:rFonts w:eastAsia="宋体"/>
      <w:kern w:val="2"/>
      <w:sz w:val="18"/>
      <w:szCs w:val="18"/>
      <w:lang w:val="en-US" w:eastAsia="zh-CN" w:bidi="ar-SA"/>
    </w:rPr>
  </w:style>
  <w:style w:type="character" w:customStyle="1" w:styleId="117">
    <w:name w:val="Quote Char1"/>
    <w:qFormat/>
    <w:uiPriority w:val="0"/>
    <w:rPr>
      <w:rFonts w:ascii="Times New Roman" w:hAnsi="Times New Roman"/>
      <w:i/>
      <w:iCs/>
      <w:color w:val="000000"/>
    </w:rPr>
  </w:style>
  <w:style w:type="character" w:customStyle="1" w:styleId="118">
    <w:name w:val="不明显强调1"/>
    <w:qFormat/>
    <w:uiPriority w:val="0"/>
    <w:rPr>
      <w:i/>
      <w:color w:val="808080"/>
    </w:rPr>
  </w:style>
  <w:style w:type="character" w:customStyle="1" w:styleId="119">
    <w:name w:val="副标题 Char1"/>
    <w:qFormat/>
    <w:uiPriority w:val="0"/>
    <w:rPr>
      <w:rFonts w:ascii="Cambria" w:hAnsi="Cambria" w:cs="Times New Roman"/>
      <w:b/>
      <w:bCs/>
      <w:kern w:val="28"/>
      <w:sz w:val="32"/>
      <w:szCs w:val="32"/>
    </w:rPr>
  </w:style>
  <w:style w:type="character" w:customStyle="1" w:styleId="120">
    <w:name w:val="t_tag"/>
    <w:qFormat/>
    <w:uiPriority w:val="0"/>
  </w:style>
  <w:style w:type="character" w:customStyle="1" w:styleId="121">
    <w:name w:val="Char Char19"/>
    <w:qFormat/>
    <w:locked/>
    <w:uiPriority w:val="0"/>
    <w:rPr>
      <w:rFonts w:ascii="Arial" w:hAnsi="Arial" w:eastAsia="黑体"/>
      <w:sz w:val="24"/>
      <w:szCs w:val="24"/>
    </w:rPr>
  </w:style>
  <w:style w:type="character" w:customStyle="1" w:styleId="122">
    <w:name w:val="tpc_content1"/>
    <w:qFormat/>
    <w:uiPriority w:val="0"/>
    <w:rPr>
      <w:sz w:val="20"/>
      <w:szCs w:val="20"/>
    </w:rPr>
  </w:style>
  <w:style w:type="character" w:customStyle="1" w:styleId="123">
    <w:name w:val="Char Char20"/>
    <w:qFormat/>
    <w:locked/>
    <w:uiPriority w:val="0"/>
    <w:rPr>
      <w:rFonts w:ascii="Times New Roman" w:hAnsi="Times New Roman"/>
      <w:b/>
      <w:bCs/>
      <w:sz w:val="24"/>
      <w:szCs w:val="24"/>
    </w:rPr>
  </w:style>
  <w:style w:type="character" w:customStyle="1" w:styleId="124">
    <w:name w:val="标题 3 字符"/>
    <w:qFormat/>
    <w:uiPriority w:val="0"/>
    <w:rPr>
      <w:rFonts w:ascii="Times New Roman" w:hAnsi="Times New Roman" w:eastAsia="宋体" w:cs="Times New Roman"/>
      <w:b/>
      <w:bCs/>
      <w:sz w:val="32"/>
      <w:szCs w:val="32"/>
    </w:rPr>
  </w:style>
  <w:style w:type="character" w:customStyle="1" w:styleId="125">
    <w:name w:val="textcontents"/>
    <w:qFormat/>
    <w:uiPriority w:val="0"/>
  </w:style>
  <w:style w:type="character" w:customStyle="1" w:styleId="126">
    <w:name w:val="Char Char26"/>
    <w:qFormat/>
    <w:locked/>
    <w:uiPriority w:val="0"/>
    <w:rPr>
      <w:rFonts w:ascii="Times New Roman" w:hAnsi="Times New Roman" w:eastAsia="宋体" w:cs="Times New Roman"/>
      <w:b/>
      <w:bCs/>
      <w:kern w:val="44"/>
      <w:sz w:val="44"/>
      <w:szCs w:val="44"/>
    </w:rPr>
  </w:style>
  <w:style w:type="character" w:customStyle="1" w:styleId="127">
    <w:name w:val="批注文字 Char1"/>
    <w:qFormat/>
    <w:uiPriority w:val="0"/>
    <w:rPr>
      <w:sz w:val="24"/>
    </w:rPr>
  </w:style>
  <w:style w:type="character" w:customStyle="1" w:styleId="128">
    <w:name w:val="标题5 Char Char"/>
    <w:link w:val="129"/>
    <w:qFormat/>
    <w:locked/>
    <w:uiPriority w:val="0"/>
    <w:rPr>
      <w:rFonts w:ascii="Arial" w:hAnsi="Arial"/>
      <w:b/>
      <w:sz w:val="32"/>
    </w:rPr>
  </w:style>
  <w:style w:type="paragraph" w:customStyle="1" w:styleId="129">
    <w:name w:val="标题5"/>
    <w:basedOn w:val="6"/>
    <w:link w:val="128"/>
    <w:qFormat/>
    <w:uiPriority w:val="0"/>
    <w:pPr>
      <w:widowControl w:val="0"/>
      <w:spacing w:line="413" w:lineRule="auto"/>
      <w:jc w:val="both"/>
    </w:pPr>
    <w:rPr>
      <w:rFonts w:ascii="Arial" w:hAnsi="Arial"/>
      <w:bCs w:val="0"/>
      <w:szCs w:val="20"/>
    </w:rPr>
  </w:style>
  <w:style w:type="character" w:customStyle="1" w:styleId="130">
    <w:name w:val="标题 5 字符"/>
    <w:qFormat/>
    <w:uiPriority w:val="0"/>
    <w:rPr>
      <w:rFonts w:ascii="Times New Roman" w:hAnsi="Times New Roman" w:eastAsia="宋体" w:cs="Times New Roman"/>
      <w:b/>
      <w:bCs/>
      <w:sz w:val="28"/>
      <w:szCs w:val="28"/>
    </w:rPr>
  </w:style>
  <w:style w:type="character" w:customStyle="1" w:styleId="131">
    <w:name w:val="Document Map Char"/>
    <w:qFormat/>
    <w:locked/>
    <w:uiPriority w:val="0"/>
    <w:rPr>
      <w:rFonts w:ascii="宋体"/>
      <w:sz w:val="18"/>
    </w:rPr>
  </w:style>
  <w:style w:type="character" w:customStyle="1" w:styleId="132">
    <w:name w:val="Blockquote Char"/>
    <w:qFormat/>
    <w:uiPriority w:val="0"/>
    <w:rPr>
      <w:rFonts w:eastAsia="宋体"/>
      <w:sz w:val="24"/>
      <w:lang w:val="en-US" w:eastAsia="zh-CN" w:bidi="ar-SA"/>
    </w:rPr>
  </w:style>
  <w:style w:type="character" w:customStyle="1" w:styleId="133">
    <w:name w:val="批注主题 字符"/>
    <w:qFormat/>
    <w:uiPriority w:val="0"/>
    <w:rPr>
      <w:rFonts w:ascii="Times New Roman" w:hAnsi="Times New Roman" w:eastAsia="宋体" w:cs="Times New Roman"/>
      <w:b/>
      <w:bCs/>
      <w:szCs w:val="24"/>
    </w:rPr>
  </w:style>
  <w:style w:type="character" w:customStyle="1" w:styleId="134">
    <w:name w:val="不明显参考1"/>
    <w:qFormat/>
    <w:uiPriority w:val="0"/>
    <w:rPr>
      <w:smallCaps/>
      <w:color w:val="C0504D"/>
      <w:u w:val="single"/>
    </w:rPr>
  </w:style>
  <w:style w:type="character" w:customStyle="1" w:styleId="135">
    <w:name w:val="Char Char11"/>
    <w:qFormat/>
    <w:uiPriority w:val="0"/>
    <w:rPr>
      <w:b/>
      <w:sz w:val="24"/>
    </w:rPr>
  </w:style>
  <w:style w:type="character" w:customStyle="1" w:styleId="136">
    <w:name w:val="f142"/>
    <w:qFormat/>
    <w:uiPriority w:val="0"/>
    <w:rPr>
      <w:rFonts w:cs="Times New Roman"/>
      <w:sz w:val="21"/>
      <w:szCs w:val="21"/>
    </w:rPr>
  </w:style>
  <w:style w:type="character" w:customStyle="1" w:styleId="137">
    <w:name w:val="表正文 Char"/>
    <w:qFormat/>
    <w:uiPriority w:val="0"/>
    <w:rPr>
      <w:rFonts w:eastAsia="宋体"/>
      <w:kern w:val="2"/>
      <w:sz w:val="21"/>
      <w:szCs w:val="24"/>
      <w:lang w:val="en-US" w:eastAsia="zh-CN" w:bidi="ar-SA"/>
    </w:rPr>
  </w:style>
  <w:style w:type="character" w:customStyle="1" w:styleId="138">
    <w:name w:val="正 文 Char"/>
    <w:link w:val="139"/>
    <w:qFormat/>
    <w:uiPriority w:val="0"/>
    <w:rPr>
      <w:kern w:val="2"/>
      <w:sz w:val="21"/>
      <w:szCs w:val="24"/>
    </w:rPr>
  </w:style>
  <w:style w:type="paragraph" w:customStyle="1" w:styleId="139">
    <w:name w:val="正 文"/>
    <w:basedOn w:val="1"/>
    <w:link w:val="138"/>
    <w:qFormat/>
    <w:uiPriority w:val="0"/>
    <w:pPr>
      <w:widowControl w:val="0"/>
      <w:ind w:firstLine="200" w:firstLineChars="200"/>
    </w:pPr>
    <w:rPr>
      <w:kern w:val="2"/>
      <w:sz w:val="21"/>
      <w:szCs w:val="24"/>
    </w:rPr>
  </w:style>
  <w:style w:type="character" w:customStyle="1" w:styleId="140">
    <w:name w:val="Char Char15"/>
    <w:qFormat/>
    <w:uiPriority w:val="0"/>
    <w:rPr>
      <w:rFonts w:eastAsia="宋体"/>
      <w:b/>
      <w:kern w:val="2"/>
      <w:sz w:val="32"/>
      <w:lang w:val="en-US" w:eastAsia="zh-CN"/>
    </w:rPr>
  </w:style>
  <w:style w:type="character" w:customStyle="1" w:styleId="141">
    <w:name w:val="方案正文 Char"/>
    <w:link w:val="142"/>
    <w:qFormat/>
    <w:locked/>
    <w:uiPriority w:val="0"/>
    <w:rPr>
      <w:rFonts w:ascii="宋体" w:hAnsi="Arial"/>
      <w:kern w:val="2"/>
      <w:sz w:val="21"/>
      <w:szCs w:val="21"/>
    </w:rPr>
  </w:style>
  <w:style w:type="paragraph" w:customStyle="1" w:styleId="142">
    <w:name w:val="方案正文"/>
    <w:basedOn w:val="1"/>
    <w:link w:val="141"/>
    <w:qFormat/>
    <w:uiPriority w:val="0"/>
    <w:pPr>
      <w:widowControl w:val="0"/>
      <w:spacing w:beforeLines="50" w:afterLines="50" w:line="360" w:lineRule="auto"/>
      <w:ind w:firstLine="420" w:firstLineChars="200"/>
      <w:jc w:val="both"/>
    </w:pPr>
    <w:rPr>
      <w:rFonts w:ascii="宋体" w:hAnsi="Arial"/>
      <w:kern w:val="2"/>
      <w:sz w:val="21"/>
      <w:szCs w:val="21"/>
    </w:rPr>
  </w:style>
  <w:style w:type="character" w:customStyle="1" w:styleId="143">
    <w:name w:val="不明显强调11"/>
    <w:qFormat/>
    <w:uiPriority w:val="0"/>
    <w:rPr>
      <w:i/>
      <w:iCs/>
      <w:color w:val="808080"/>
    </w:rPr>
  </w:style>
  <w:style w:type="character" w:customStyle="1" w:styleId="144">
    <w:name w:val="Char Char7"/>
    <w:qFormat/>
    <w:uiPriority w:val="0"/>
    <w:rPr>
      <w:rFonts w:ascii="Arial" w:hAnsi="Arial" w:eastAsia="黑体"/>
      <w:b/>
      <w:bCs/>
      <w:kern w:val="2"/>
      <w:sz w:val="32"/>
      <w:szCs w:val="32"/>
      <w:lang w:val="en-US" w:eastAsia="zh-CN" w:bidi="ar-SA"/>
    </w:rPr>
  </w:style>
  <w:style w:type="character" w:customStyle="1" w:styleId="145">
    <w:name w:val="style11"/>
    <w:qFormat/>
    <w:uiPriority w:val="0"/>
    <w:rPr>
      <w:b/>
      <w:bCs/>
    </w:rPr>
  </w:style>
  <w:style w:type="character" w:customStyle="1" w:styleId="146">
    <w:name w:val="普通文字 Char Char"/>
    <w:qFormat/>
    <w:uiPriority w:val="0"/>
    <w:rPr>
      <w:rFonts w:ascii="宋体" w:hAnsi="Courier New" w:eastAsia="宋体" w:cs="Times New Roman"/>
      <w:szCs w:val="20"/>
    </w:rPr>
  </w:style>
  <w:style w:type="character" w:customStyle="1" w:styleId="147">
    <w:name w:val="font21"/>
    <w:qFormat/>
    <w:uiPriority w:val="0"/>
    <w:rPr>
      <w:rFonts w:hint="eastAsia" w:ascii="宋体" w:hAnsi="宋体" w:eastAsia="宋体"/>
      <w:color w:val="000000"/>
      <w:sz w:val="22"/>
      <w:szCs w:val="22"/>
    </w:rPr>
  </w:style>
  <w:style w:type="character" w:customStyle="1" w:styleId="148">
    <w:name w:val="书籍标题1"/>
    <w:qFormat/>
    <w:uiPriority w:val="0"/>
    <w:rPr>
      <w:b/>
      <w:bCs/>
      <w:smallCaps/>
      <w:spacing w:val="5"/>
    </w:rPr>
  </w:style>
  <w:style w:type="character" w:customStyle="1" w:styleId="149">
    <w:name w:val="s1"/>
    <w:qFormat/>
    <w:uiPriority w:val="0"/>
    <w:rPr>
      <w:rFonts w:cs="Times New Roman"/>
      <w:sz w:val="15"/>
      <w:szCs w:val="15"/>
    </w:rPr>
  </w:style>
  <w:style w:type="character" w:customStyle="1" w:styleId="150">
    <w:name w:val="批注框文本 Char1"/>
    <w:qFormat/>
    <w:uiPriority w:val="0"/>
    <w:rPr>
      <w:kern w:val="2"/>
      <w:sz w:val="18"/>
    </w:rPr>
  </w:style>
  <w:style w:type="character" w:customStyle="1" w:styleId="151">
    <w:name w:val="l1 Char1"/>
    <w:qFormat/>
    <w:uiPriority w:val="0"/>
    <w:rPr>
      <w:rFonts w:eastAsia="宋体"/>
      <w:b/>
      <w:bCs/>
      <w:kern w:val="44"/>
      <w:sz w:val="44"/>
      <w:szCs w:val="44"/>
      <w:lang w:val="en-US" w:eastAsia="zh-CN" w:bidi="ar-SA"/>
    </w:rPr>
  </w:style>
  <w:style w:type="character" w:customStyle="1" w:styleId="152">
    <w:name w:val="书籍标题2"/>
    <w:qFormat/>
    <w:uiPriority w:val="0"/>
    <w:rPr>
      <w:b/>
      <w:smallCaps/>
      <w:spacing w:val="5"/>
    </w:rPr>
  </w:style>
  <w:style w:type="character" w:customStyle="1" w:styleId="153">
    <w:name w:val="批注文字 Char Char"/>
    <w:qFormat/>
    <w:uiPriority w:val="0"/>
    <w:rPr>
      <w:rFonts w:ascii="宋体" w:hAnsi="Times New Roman" w:eastAsia="宋体"/>
      <w:sz w:val="20"/>
    </w:rPr>
  </w:style>
  <w:style w:type="character" w:customStyle="1" w:styleId="154">
    <w:name w:val="副标题 字符"/>
    <w:qFormat/>
    <w:uiPriority w:val="0"/>
    <w:rPr>
      <w:rFonts w:ascii="Cambria" w:hAnsi="Cambria" w:cs="Times New Roman"/>
      <w:b/>
      <w:bCs/>
      <w:kern w:val="28"/>
      <w:sz w:val="32"/>
      <w:szCs w:val="32"/>
    </w:rPr>
  </w:style>
  <w:style w:type="character" w:customStyle="1" w:styleId="155">
    <w:name w:val="Char Char14"/>
    <w:qFormat/>
    <w:uiPriority w:val="0"/>
    <w:rPr>
      <w:rFonts w:ascii="Arial" w:hAnsi="Arial" w:eastAsia="黑体"/>
      <w:b/>
      <w:sz w:val="28"/>
    </w:rPr>
  </w:style>
  <w:style w:type="character" w:customStyle="1" w:styleId="156">
    <w:name w:val="15"/>
    <w:qFormat/>
    <w:uiPriority w:val="0"/>
    <w:rPr>
      <w:rFonts w:hint="default" w:ascii="Times New Roman" w:hAnsi="Times New Roman"/>
      <w:b/>
      <w:sz w:val="20"/>
    </w:rPr>
  </w:style>
  <w:style w:type="character" w:customStyle="1" w:styleId="157">
    <w:name w:val="Char Char16"/>
    <w:qFormat/>
    <w:uiPriority w:val="0"/>
    <w:rPr>
      <w:rFonts w:eastAsia="宋体"/>
      <w:b/>
      <w:kern w:val="44"/>
      <w:sz w:val="44"/>
      <w:lang w:val="en-US" w:eastAsia="zh-CN"/>
    </w:rPr>
  </w:style>
  <w:style w:type="character" w:customStyle="1" w:styleId="158">
    <w:name w:val="Blockquote Char Char"/>
    <w:link w:val="159"/>
    <w:qFormat/>
    <w:uiPriority w:val="0"/>
    <w:rPr>
      <w:sz w:val="24"/>
    </w:rPr>
  </w:style>
  <w:style w:type="paragraph" w:customStyle="1" w:styleId="159">
    <w:name w:val="Blockquote"/>
    <w:basedOn w:val="1"/>
    <w:link w:val="158"/>
    <w:qFormat/>
    <w:uiPriority w:val="0"/>
    <w:pPr>
      <w:widowControl w:val="0"/>
      <w:autoSpaceDE w:val="0"/>
      <w:autoSpaceDN w:val="0"/>
      <w:adjustRightInd w:val="0"/>
      <w:spacing w:before="100" w:after="100"/>
      <w:ind w:left="360" w:right="360"/>
    </w:pPr>
    <w:rPr>
      <w:sz w:val="24"/>
    </w:rPr>
  </w:style>
  <w:style w:type="character" w:customStyle="1" w:styleId="160">
    <w:name w:val="sect1.2.3 Char"/>
    <w:qFormat/>
    <w:uiPriority w:val="0"/>
    <w:rPr>
      <w:rFonts w:eastAsia="宋体"/>
      <w:b/>
      <w:bCs/>
      <w:kern w:val="2"/>
      <w:sz w:val="32"/>
      <w:szCs w:val="32"/>
      <w:lang w:val="en-US" w:eastAsia="zh-CN" w:bidi="ar-SA"/>
    </w:rPr>
  </w:style>
  <w:style w:type="character" w:customStyle="1" w:styleId="161">
    <w:name w:val="Char Char12"/>
    <w:qFormat/>
    <w:uiPriority w:val="0"/>
    <w:rPr>
      <w:rFonts w:ascii="Arial" w:hAnsi="Arial" w:eastAsia="黑体"/>
      <w:b/>
      <w:sz w:val="24"/>
    </w:rPr>
  </w:style>
  <w:style w:type="character" w:customStyle="1" w:styleId="162">
    <w:name w:val="Preformatted Char Char"/>
    <w:qFormat/>
    <w:uiPriority w:val="0"/>
    <w:rPr>
      <w:rFonts w:ascii="Courier New" w:hAnsi="Courier New" w:eastAsia="宋体"/>
      <w:lang w:val="en-US" w:eastAsia="zh-CN"/>
    </w:rPr>
  </w:style>
  <w:style w:type="character" w:customStyle="1" w:styleId="163">
    <w:name w:val="页码1"/>
    <w:qFormat/>
    <w:uiPriority w:val="0"/>
    <w:rPr>
      <w:rFonts w:cs="Times New Roman"/>
    </w:rPr>
  </w:style>
  <w:style w:type="character" w:customStyle="1" w:styleId="164">
    <w:name w:val="明显参考1"/>
    <w:qFormat/>
    <w:uiPriority w:val="0"/>
    <w:rPr>
      <w:b/>
      <w:smallCaps/>
      <w:color w:val="C0504D"/>
      <w:spacing w:val="5"/>
      <w:u w:val="single"/>
    </w:rPr>
  </w:style>
  <w:style w:type="character" w:customStyle="1" w:styleId="165">
    <w:name w:val="ggbt1"/>
    <w:qFormat/>
    <w:uiPriority w:val="0"/>
    <w:rPr>
      <w:rFonts w:cs="Times New Roman"/>
      <w:b/>
      <w:bCs/>
      <w:sz w:val="21"/>
      <w:szCs w:val="21"/>
    </w:rPr>
  </w:style>
  <w:style w:type="character" w:customStyle="1" w:styleId="166">
    <w:name w:val="style181"/>
    <w:qFormat/>
    <w:uiPriority w:val="0"/>
    <w:rPr>
      <w:rFonts w:cs="Times New Roman"/>
      <w:color w:val="333333"/>
    </w:rPr>
  </w:style>
  <w:style w:type="character" w:customStyle="1" w:styleId="167">
    <w:name w:val="Underrubrik1 Char2"/>
    <w:qFormat/>
    <w:uiPriority w:val="0"/>
    <w:rPr>
      <w:rFonts w:ascii="Arial" w:hAnsi="Arial" w:eastAsia="黑体" w:cs="Times New Roman"/>
      <w:b/>
      <w:sz w:val="20"/>
      <w:szCs w:val="20"/>
    </w:rPr>
  </w:style>
  <w:style w:type="character" w:customStyle="1" w:styleId="168">
    <w:name w:val="明显强调1"/>
    <w:qFormat/>
    <w:uiPriority w:val="0"/>
    <w:rPr>
      <w:b/>
      <w:i/>
      <w:color w:val="4F81BD"/>
    </w:rPr>
  </w:style>
  <w:style w:type="character" w:customStyle="1" w:styleId="169">
    <w:name w:val="Char Char141"/>
    <w:qFormat/>
    <w:uiPriority w:val="0"/>
    <w:rPr>
      <w:rFonts w:ascii="Arial" w:hAnsi="Arial" w:eastAsia="黑体"/>
      <w:b/>
      <w:sz w:val="28"/>
    </w:rPr>
  </w:style>
  <w:style w:type="character" w:customStyle="1" w:styleId="170">
    <w:name w:val="javascript"/>
    <w:qFormat/>
    <w:uiPriority w:val="0"/>
  </w:style>
  <w:style w:type="character" w:customStyle="1" w:styleId="171">
    <w:name w:val="标题4 Char Char"/>
    <w:link w:val="172"/>
    <w:qFormat/>
    <w:locked/>
    <w:uiPriority w:val="0"/>
    <w:rPr>
      <w:rFonts w:ascii="黑体" w:eastAsia="黑体"/>
      <w:sz w:val="24"/>
      <w:szCs w:val="30"/>
    </w:rPr>
  </w:style>
  <w:style w:type="paragraph" w:customStyle="1" w:styleId="172">
    <w:name w:val="标题4"/>
    <w:basedOn w:val="1"/>
    <w:next w:val="7"/>
    <w:link w:val="171"/>
    <w:qFormat/>
    <w:uiPriority w:val="0"/>
    <w:rPr>
      <w:rFonts w:ascii="黑体" w:eastAsia="黑体"/>
      <w:sz w:val="24"/>
      <w:szCs w:val="30"/>
    </w:rPr>
  </w:style>
  <w:style w:type="character" w:customStyle="1" w:styleId="173">
    <w:name w:val="Char Char121"/>
    <w:qFormat/>
    <w:uiPriority w:val="0"/>
    <w:rPr>
      <w:rFonts w:ascii="Arial" w:hAnsi="Arial" w:eastAsia="黑体"/>
      <w:b/>
      <w:sz w:val="24"/>
    </w:rPr>
  </w:style>
  <w:style w:type="character" w:customStyle="1" w:styleId="174">
    <w:name w:val="apple-style-span"/>
    <w:qFormat/>
    <w:uiPriority w:val="0"/>
  </w:style>
  <w:style w:type="character" w:customStyle="1" w:styleId="175">
    <w:name w:val="Intense Quote Char"/>
    <w:qFormat/>
    <w:locked/>
    <w:uiPriority w:val="0"/>
    <w:rPr>
      <w:b/>
      <w:i/>
      <w:color w:val="4F81BD"/>
    </w:rPr>
  </w:style>
  <w:style w:type="character" w:customStyle="1" w:styleId="176">
    <w:name w:val="style61"/>
    <w:qFormat/>
    <w:uiPriority w:val="0"/>
    <w:rPr>
      <w:rFonts w:cs="Times New Roman"/>
      <w:sz w:val="21"/>
      <w:szCs w:val="21"/>
    </w:rPr>
  </w:style>
  <w:style w:type="character" w:customStyle="1" w:styleId="177">
    <w:name w:val="Title Header2 Char Char"/>
    <w:qFormat/>
    <w:uiPriority w:val="0"/>
    <w:rPr>
      <w:rFonts w:ascii="Arial" w:hAnsi="Arial" w:eastAsia="黑体"/>
      <w:b/>
      <w:bCs/>
      <w:sz w:val="32"/>
      <w:szCs w:val="32"/>
      <w:lang w:val="en-US" w:eastAsia="zh-CN" w:bidi="ar-SA"/>
    </w:rPr>
  </w:style>
  <w:style w:type="character" w:customStyle="1" w:styleId="178">
    <w:name w:val="标题 字符"/>
    <w:qFormat/>
    <w:uiPriority w:val="0"/>
    <w:rPr>
      <w:rFonts w:ascii="Cambria" w:hAnsi="Cambria" w:eastAsia="宋体" w:cs="Times New Roman"/>
      <w:b/>
      <w:bCs/>
      <w:sz w:val="32"/>
      <w:szCs w:val="32"/>
    </w:rPr>
  </w:style>
  <w:style w:type="character" w:customStyle="1" w:styleId="179">
    <w:name w:val="signcontent1"/>
    <w:qFormat/>
    <w:uiPriority w:val="0"/>
    <w:rPr>
      <w:rFonts w:ascii="?_GB2312" w:hAnsi="?_GB2312"/>
      <w:color w:val="000000"/>
      <w:sz w:val="23"/>
    </w:rPr>
  </w:style>
  <w:style w:type="character" w:customStyle="1" w:styleId="180">
    <w:name w:val="Char Char161"/>
    <w:qFormat/>
    <w:uiPriority w:val="0"/>
    <w:rPr>
      <w:rFonts w:eastAsia="宋体"/>
      <w:b/>
      <w:bCs/>
      <w:kern w:val="44"/>
      <w:sz w:val="44"/>
      <w:szCs w:val="44"/>
      <w:lang w:val="en-US" w:eastAsia="zh-CN" w:bidi="ar-SA"/>
    </w:rPr>
  </w:style>
  <w:style w:type="character" w:customStyle="1" w:styleId="181">
    <w:name w:val="页码11"/>
    <w:qFormat/>
    <w:uiPriority w:val="99"/>
    <w:rPr>
      <w:rFonts w:cs="Times New Roman"/>
    </w:rPr>
  </w:style>
  <w:style w:type="character" w:customStyle="1" w:styleId="182">
    <w:name w:val="文档结构图 Char1"/>
    <w:qFormat/>
    <w:uiPriority w:val="0"/>
    <w:rPr>
      <w:rFonts w:ascii="宋体"/>
      <w:kern w:val="2"/>
      <w:sz w:val="18"/>
      <w:szCs w:val="18"/>
    </w:rPr>
  </w:style>
  <w:style w:type="character" w:customStyle="1" w:styleId="183">
    <w:name w:val="Char Char151"/>
    <w:qFormat/>
    <w:uiPriority w:val="0"/>
    <w:rPr>
      <w:rFonts w:eastAsia="宋体"/>
      <w:b/>
      <w:bCs/>
      <w:kern w:val="2"/>
      <w:sz w:val="32"/>
      <w:szCs w:val="32"/>
      <w:lang w:val="en-US" w:eastAsia="zh-CN" w:bidi="ar-SA"/>
    </w:rPr>
  </w:style>
  <w:style w:type="character" w:customStyle="1" w:styleId="184">
    <w:name w:val="Char Char111"/>
    <w:qFormat/>
    <w:uiPriority w:val="0"/>
    <w:rPr>
      <w:b/>
      <w:sz w:val="24"/>
    </w:rPr>
  </w:style>
  <w:style w:type="character" w:customStyle="1" w:styleId="185">
    <w:name w:val="fo Char"/>
    <w:qFormat/>
    <w:uiPriority w:val="0"/>
    <w:rPr>
      <w:rFonts w:eastAsia="宋体"/>
      <w:kern w:val="2"/>
      <w:sz w:val="18"/>
      <w:szCs w:val="18"/>
      <w:lang w:val="en-US" w:eastAsia="zh-CN" w:bidi="ar-SA"/>
    </w:rPr>
  </w:style>
  <w:style w:type="character" w:customStyle="1" w:styleId="186">
    <w:name w:val="H4 Char"/>
    <w:qFormat/>
    <w:uiPriority w:val="0"/>
    <w:rPr>
      <w:rFonts w:ascii="Arial" w:hAnsi="Arial" w:eastAsia="黑体"/>
      <w:b/>
      <w:bCs/>
      <w:kern w:val="2"/>
      <w:sz w:val="28"/>
      <w:szCs w:val="28"/>
      <w:lang w:val="en-US" w:eastAsia="zh-CN" w:bidi="ar-SA"/>
    </w:rPr>
  </w:style>
  <w:style w:type="character" w:customStyle="1" w:styleId="187">
    <w:name w:val="Char Char24"/>
    <w:qFormat/>
    <w:locked/>
    <w:uiPriority w:val="0"/>
    <w:rPr>
      <w:rFonts w:ascii="Times New Roman" w:hAnsi="Times New Roman" w:eastAsia="宋体" w:cs="Times New Roman"/>
      <w:b/>
      <w:bCs/>
      <w:kern w:val="0"/>
      <w:sz w:val="32"/>
      <w:szCs w:val="32"/>
    </w:rPr>
  </w:style>
  <w:style w:type="character" w:customStyle="1" w:styleId="188">
    <w:name w:val="zbggmain style9"/>
    <w:qFormat/>
    <w:uiPriority w:val="0"/>
  </w:style>
  <w:style w:type="character" w:customStyle="1" w:styleId="189">
    <w:name w:val="Char Char4"/>
    <w:qFormat/>
    <w:uiPriority w:val="0"/>
    <w:rPr>
      <w:rFonts w:ascii="Arial" w:hAnsi="Arial" w:eastAsia="黑体"/>
      <w:b/>
      <w:bCs/>
      <w:kern w:val="2"/>
      <w:sz w:val="32"/>
      <w:szCs w:val="32"/>
      <w:lang w:val="en-US" w:eastAsia="zh-CN" w:bidi="ar-SA"/>
    </w:rPr>
  </w:style>
  <w:style w:type="character" w:customStyle="1" w:styleId="190">
    <w:name w:val="Char Char22"/>
    <w:qFormat/>
    <w:locked/>
    <w:uiPriority w:val="0"/>
    <w:rPr>
      <w:rFonts w:ascii="Times New Roman" w:hAnsi="Times New Roman" w:eastAsia="宋体" w:cs="Times New Roman"/>
      <w:b/>
      <w:kern w:val="0"/>
      <w:sz w:val="20"/>
      <w:szCs w:val="20"/>
    </w:rPr>
  </w:style>
  <w:style w:type="character" w:customStyle="1" w:styleId="191">
    <w:name w:val="Quote Char2"/>
    <w:link w:val="192"/>
    <w:qFormat/>
    <w:locked/>
    <w:uiPriority w:val="0"/>
    <w:rPr>
      <w:rFonts w:ascii="Calibri" w:hAnsi="Calibri"/>
      <w:i/>
      <w:color w:val="000000"/>
    </w:rPr>
  </w:style>
  <w:style w:type="paragraph" w:customStyle="1" w:styleId="192">
    <w:name w:val="Quote1"/>
    <w:basedOn w:val="1"/>
    <w:next w:val="1"/>
    <w:link w:val="191"/>
    <w:qFormat/>
    <w:uiPriority w:val="0"/>
    <w:pPr>
      <w:widowControl w:val="0"/>
      <w:jc w:val="both"/>
    </w:pPr>
    <w:rPr>
      <w:rFonts w:ascii="Calibri" w:hAnsi="Calibri"/>
      <w:i/>
      <w:color w:val="000000"/>
    </w:rPr>
  </w:style>
  <w:style w:type="character" w:customStyle="1" w:styleId="193">
    <w:name w:val="Para head"/>
    <w:qFormat/>
    <w:uiPriority w:val="0"/>
    <w:rPr>
      <w:rFonts w:ascii="Arial" w:hAnsi="Arial" w:eastAsia="Times New Roman"/>
      <w:sz w:val="20"/>
    </w:rPr>
  </w:style>
  <w:style w:type="character" w:customStyle="1" w:styleId="194">
    <w:name w:val="Char Char8"/>
    <w:qFormat/>
    <w:uiPriority w:val="0"/>
    <w:rPr>
      <w:rFonts w:ascii="Arial" w:hAnsi="Arial" w:eastAsia="黑体"/>
      <w:b/>
      <w:bCs/>
      <w:kern w:val="2"/>
      <w:sz w:val="32"/>
      <w:szCs w:val="32"/>
      <w:lang w:val="en-US" w:eastAsia="zh-CN" w:bidi="ar-SA"/>
    </w:rPr>
  </w:style>
  <w:style w:type="character" w:customStyle="1" w:styleId="195">
    <w:name w:val="标题 2XW Char3"/>
    <w:qFormat/>
    <w:uiPriority w:val="0"/>
    <w:rPr>
      <w:rFonts w:ascii="Arial" w:hAnsi="Arial" w:eastAsia="黑体"/>
      <w:b/>
      <w:bCs/>
      <w:kern w:val="2"/>
      <w:sz w:val="32"/>
      <w:szCs w:val="32"/>
      <w:lang w:val="en-US" w:eastAsia="zh-CN" w:bidi="ar-SA"/>
    </w:rPr>
  </w:style>
  <w:style w:type="character" w:customStyle="1" w:styleId="196">
    <w:name w:val="标题 6 字符"/>
    <w:qFormat/>
    <w:uiPriority w:val="0"/>
    <w:rPr>
      <w:rFonts w:ascii="Arial" w:hAnsi="Arial" w:eastAsia="黑体" w:cs="Times New Roman"/>
      <w:b/>
      <w:bCs/>
      <w:kern w:val="0"/>
      <w:sz w:val="24"/>
      <w:szCs w:val="24"/>
    </w:rPr>
  </w:style>
  <w:style w:type="character" w:customStyle="1" w:styleId="197">
    <w:name w:val="公文文号"/>
    <w:qFormat/>
    <w:uiPriority w:val="0"/>
    <w:rPr>
      <w:rFonts w:eastAsia="仿宋_GB2312"/>
      <w:sz w:val="32"/>
    </w:rPr>
  </w:style>
  <w:style w:type="character" w:customStyle="1" w:styleId="198">
    <w:name w:val="批注主题 Char1"/>
    <w:qFormat/>
    <w:uiPriority w:val="0"/>
    <w:rPr>
      <w:b/>
      <w:kern w:val="2"/>
      <w:sz w:val="22"/>
    </w:rPr>
  </w:style>
  <w:style w:type="character" w:customStyle="1" w:styleId="199">
    <w:name w:val="font161"/>
    <w:qFormat/>
    <w:uiPriority w:val="0"/>
    <w:rPr>
      <w:b/>
      <w:bCs/>
      <w:sz w:val="32"/>
      <w:szCs w:val="32"/>
    </w:rPr>
  </w:style>
  <w:style w:type="character" w:customStyle="1" w:styleId="200">
    <w:name w:val="l1 Char"/>
    <w:qFormat/>
    <w:uiPriority w:val="0"/>
    <w:rPr>
      <w:rFonts w:eastAsia="宋体"/>
      <w:b/>
      <w:bCs/>
      <w:kern w:val="44"/>
      <w:sz w:val="44"/>
      <w:szCs w:val="44"/>
      <w:lang w:val="en-US" w:eastAsia="zh-CN" w:bidi="ar-SA"/>
    </w:rPr>
  </w:style>
  <w:style w:type="character" w:customStyle="1" w:styleId="201">
    <w:name w:val="css11"/>
    <w:qFormat/>
    <w:uiPriority w:val="0"/>
    <w:rPr>
      <w:rFonts w:cs="Times New Roman"/>
      <w:color w:val="000000"/>
      <w:spacing w:val="360"/>
      <w:sz w:val="18"/>
      <w:szCs w:val="18"/>
    </w:rPr>
  </w:style>
  <w:style w:type="character" w:customStyle="1" w:styleId="202">
    <w:name w:val="Body Text Indent 2 Char"/>
    <w:qFormat/>
    <w:locked/>
    <w:uiPriority w:val="0"/>
    <w:rPr>
      <w:rFonts w:ascii="Times New Roman" w:hAnsi="Times New Roman" w:eastAsia="宋体" w:cs="Times New Roman"/>
      <w:kern w:val="0"/>
      <w:sz w:val="20"/>
      <w:szCs w:val="20"/>
    </w:rPr>
  </w:style>
  <w:style w:type="character" w:customStyle="1" w:styleId="203">
    <w:name w:val="文档结构图 字符"/>
    <w:qFormat/>
    <w:uiPriority w:val="0"/>
    <w:rPr>
      <w:rFonts w:ascii="宋体" w:hAnsi="Times New Roman" w:eastAsia="宋体" w:cs="Times New Roman"/>
      <w:sz w:val="18"/>
      <w:szCs w:val="18"/>
    </w:rPr>
  </w:style>
  <w:style w:type="character" w:customStyle="1" w:styleId="204">
    <w:name w:val="Intense Quote Char1"/>
    <w:qFormat/>
    <w:uiPriority w:val="0"/>
    <w:rPr>
      <w:rFonts w:ascii="Times New Roman" w:hAnsi="Times New Roman"/>
      <w:b/>
      <w:bCs/>
      <w:i/>
      <w:iCs/>
      <w:color w:val="4F81BD"/>
    </w:rPr>
  </w:style>
  <w:style w:type="character" w:customStyle="1" w:styleId="205">
    <w:name w:val="引用 Char"/>
    <w:link w:val="206"/>
    <w:qFormat/>
    <w:uiPriority w:val="0"/>
    <w:rPr>
      <w:i/>
      <w:iCs/>
      <w:color w:val="000000"/>
    </w:rPr>
  </w:style>
  <w:style w:type="paragraph" w:customStyle="1" w:styleId="206">
    <w:name w:val="引用1"/>
    <w:basedOn w:val="1"/>
    <w:next w:val="1"/>
    <w:link w:val="205"/>
    <w:qFormat/>
    <w:uiPriority w:val="0"/>
    <w:pPr>
      <w:widowControl w:val="0"/>
      <w:jc w:val="both"/>
    </w:pPr>
    <w:rPr>
      <w:i/>
      <w:iCs/>
      <w:color w:val="000000"/>
    </w:rPr>
  </w:style>
  <w:style w:type="character" w:customStyle="1" w:styleId="207">
    <w:name w:val="正文文本缩进 Char1"/>
    <w:qFormat/>
    <w:uiPriority w:val="0"/>
    <w:rPr>
      <w:rFonts w:eastAsia="宋体"/>
      <w:lang w:val="en-US" w:eastAsia="zh-CN" w:bidi="ar-SA"/>
    </w:rPr>
  </w:style>
  <w:style w:type="character" w:customStyle="1" w:styleId="208">
    <w:name w:val="Intense Quote Char2"/>
    <w:link w:val="209"/>
    <w:qFormat/>
    <w:locked/>
    <w:uiPriority w:val="0"/>
    <w:rPr>
      <w:rFonts w:ascii="Calibri" w:hAnsi="Calibri"/>
      <w:b/>
      <w:i/>
      <w:color w:val="4F81BD"/>
    </w:rPr>
  </w:style>
  <w:style w:type="paragraph" w:customStyle="1" w:styleId="209">
    <w:name w:val="Intense Quote1"/>
    <w:basedOn w:val="1"/>
    <w:next w:val="1"/>
    <w:link w:val="208"/>
    <w:qFormat/>
    <w:uiPriority w:val="0"/>
    <w:pPr>
      <w:widowControl w:val="0"/>
      <w:pBdr>
        <w:bottom w:val="single" w:color="4F81BD" w:sz="4" w:space="4"/>
      </w:pBdr>
      <w:spacing w:before="200" w:after="280"/>
      <w:ind w:left="936" w:right="936"/>
      <w:jc w:val="both"/>
    </w:pPr>
    <w:rPr>
      <w:rFonts w:ascii="Calibri" w:hAnsi="Calibri"/>
      <w:b/>
      <w:i/>
      <w:color w:val="4F81BD"/>
    </w:rPr>
  </w:style>
  <w:style w:type="character" w:customStyle="1" w:styleId="210">
    <w:name w:val="Char Char13"/>
    <w:qFormat/>
    <w:locked/>
    <w:uiPriority w:val="0"/>
    <w:rPr>
      <w:rFonts w:eastAsia="宋体"/>
    </w:rPr>
  </w:style>
  <w:style w:type="character" w:customStyle="1" w:styleId="211">
    <w:name w:val="Char Char25"/>
    <w:qFormat/>
    <w:locked/>
    <w:uiPriority w:val="0"/>
    <w:rPr>
      <w:rFonts w:ascii="Arial" w:hAnsi="Arial" w:eastAsia="黑体" w:cs="Times New Roman"/>
      <w:b/>
      <w:bCs/>
      <w:kern w:val="0"/>
      <w:sz w:val="32"/>
      <w:szCs w:val="32"/>
    </w:rPr>
  </w:style>
  <w:style w:type="character" w:customStyle="1" w:styleId="212">
    <w:name w:val="z101"/>
    <w:qFormat/>
    <w:uiPriority w:val="0"/>
    <w:rPr>
      <w:rFonts w:cs="Times New Roman"/>
      <w:spacing w:val="384"/>
      <w:sz w:val="24"/>
      <w:szCs w:val="24"/>
    </w:rPr>
  </w:style>
  <w:style w:type="character" w:customStyle="1" w:styleId="213">
    <w:name w:val="Char Char81"/>
    <w:qFormat/>
    <w:locked/>
    <w:uiPriority w:val="0"/>
    <w:rPr>
      <w:rFonts w:ascii="Times New Roman" w:hAnsi="Times New Roman" w:eastAsia="宋体" w:cs="Times New Roman"/>
      <w:kern w:val="0"/>
      <w:sz w:val="20"/>
      <w:szCs w:val="20"/>
    </w:rPr>
  </w:style>
  <w:style w:type="character" w:customStyle="1" w:styleId="214">
    <w:name w:val="gray s"/>
    <w:qFormat/>
    <w:uiPriority w:val="0"/>
    <w:rPr>
      <w:rFonts w:cs="Times New Roman"/>
    </w:rPr>
  </w:style>
  <w:style w:type="character" w:customStyle="1" w:styleId="215">
    <w:name w:val="日期 Char1"/>
    <w:qFormat/>
    <w:uiPriority w:val="0"/>
    <w:rPr>
      <w:kern w:val="2"/>
      <w:sz w:val="22"/>
    </w:rPr>
  </w:style>
  <w:style w:type="character" w:customStyle="1" w:styleId="216">
    <w:name w:val="bi1"/>
    <w:qFormat/>
    <w:uiPriority w:val="0"/>
    <w:rPr>
      <w:rFonts w:cs="Times New Roman"/>
      <w:spacing w:val="400"/>
      <w:sz w:val="21"/>
      <w:szCs w:val="21"/>
    </w:rPr>
  </w:style>
  <w:style w:type="character" w:customStyle="1" w:styleId="217">
    <w:name w:val="Char Char18"/>
    <w:qFormat/>
    <w:locked/>
    <w:uiPriority w:val="0"/>
    <w:rPr>
      <w:rFonts w:ascii="Arial" w:hAnsi="Arial" w:eastAsia="黑体"/>
      <w:sz w:val="21"/>
      <w:szCs w:val="21"/>
    </w:rPr>
  </w:style>
  <w:style w:type="character" w:customStyle="1" w:styleId="218">
    <w:name w:val="标题 2XW Char2"/>
    <w:qFormat/>
    <w:uiPriority w:val="0"/>
    <w:rPr>
      <w:rFonts w:ascii="Arial" w:hAnsi="Arial" w:eastAsia="黑体"/>
      <w:b/>
      <w:bCs/>
      <w:sz w:val="32"/>
      <w:szCs w:val="32"/>
      <w:lang w:val="en-US" w:eastAsia="zh-CN" w:bidi="ar-SA"/>
    </w:rPr>
  </w:style>
  <w:style w:type="character" w:customStyle="1" w:styleId="219">
    <w:name w:val="Subtitle Char"/>
    <w:qFormat/>
    <w:locked/>
    <w:uiPriority w:val="0"/>
    <w:rPr>
      <w:rFonts w:ascii="Cambria" w:hAnsi="Cambria"/>
      <w:b/>
      <w:kern w:val="28"/>
      <w:sz w:val="32"/>
    </w:rPr>
  </w:style>
  <w:style w:type="character" w:customStyle="1" w:styleId="220">
    <w:name w:val="Body Text Char"/>
    <w:qFormat/>
    <w:locked/>
    <w:uiPriority w:val="0"/>
    <w:rPr>
      <w:rFonts w:eastAsia="宋体"/>
    </w:rPr>
  </w:style>
  <w:style w:type="character" w:customStyle="1" w:styleId="221">
    <w:name w:val="unnamed11"/>
    <w:qFormat/>
    <w:uiPriority w:val="0"/>
    <w:rPr>
      <w:rFonts w:hint="eastAsia" w:ascii="宋体" w:hAnsi="宋体" w:eastAsia="宋体"/>
      <w:sz w:val="21"/>
    </w:rPr>
  </w:style>
  <w:style w:type="character" w:customStyle="1" w:styleId="222">
    <w:name w:val="Body Text Indent Char"/>
    <w:qFormat/>
    <w:locked/>
    <w:uiPriority w:val="0"/>
    <w:rPr>
      <w:rFonts w:eastAsia="宋体"/>
    </w:rPr>
  </w:style>
  <w:style w:type="character" w:customStyle="1" w:styleId="223">
    <w:name w:val="普通文字 Char Char2"/>
    <w:qFormat/>
    <w:locked/>
    <w:uiPriority w:val="0"/>
    <w:rPr>
      <w:rFonts w:ascii="宋体" w:hAnsi="Courier New" w:eastAsia="宋体" w:cs="Courier New"/>
      <w:kern w:val="0"/>
      <w:sz w:val="21"/>
      <w:szCs w:val="21"/>
    </w:rPr>
  </w:style>
  <w:style w:type="character" w:customStyle="1" w:styleId="224">
    <w:name w:val="Footer Char"/>
    <w:qFormat/>
    <w:locked/>
    <w:uiPriority w:val="0"/>
    <w:rPr>
      <w:rFonts w:eastAsia="宋体"/>
      <w:sz w:val="18"/>
    </w:rPr>
  </w:style>
  <w:style w:type="character" w:customStyle="1" w:styleId="225">
    <w:name w:val="Plain Text Char"/>
    <w:qFormat/>
    <w:locked/>
    <w:uiPriority w:val="0"/>
    <w:rPr>
      <w:rFonts w:ascii="宋体" w:hAnsi="Courier New" w:eastAsia="宋体"/>
      <w:sz w:val="21"/>
    </w:rPr>
  </w:style>
  <w:style w:type="character" w:customStyle="1" w:styleId="226">
    <w:name w:val="Char Char2"/>
    <w:qFormat/>
    <w:uiPriority w:val="0"/>
    <w:rPr>
      <w:rFonts w:eastAsia="宋体"/>
      <w:kern w:val="2"/>
      <w:sz w:val="21"/>
      <w:szCs w:val="24"/>
      <w:lang w:val="en-US" w:eastAsia="zh-CN" w:bidi="ar-SA"/>
    </w:rPr>
  </w:style>
  <w:style w:type="character" w:customStyle="1" w:styleId="227">
    <w:name w:val="sect1.2.3 Char1"/>
    <w:qFormat/>
    <w:uiPriority w:val="0"/>
    <w:rPr>
      <w:rFonts w:eastAsia="宋体"/>
      <w:b/>
      <w:bCs/>
      <w:kern w:val="2"/>
      <w:sz w:val="32"/>
      <w:szCs w:val="32"/>
      <w:lang w:val="en-US" w:eastAsia="zh-CN" w:bidi="ar-SA"/>
    </w:rPr>
  </w:style>
  <w:style w:type="character" w:customStyle="1" w:styleId="228">
    <w:name w:val="Char Char23"/>
    <w:qFormat/>
    <w:locked/>
    <w:uiPriority w:val="0"/>
    <w:rPr>
      <w:rFonts w:ascii="Arial" w:hAnsi="Arial" w:eastAsia="黑体" w:cs="Times New Roman"/>
      <w:b/>
      <w:bCs/>
      <w:kern w:val="0"/>
      <w:sz w:val="28"/>
      <w:szCs w:val="28"/>
    </w:rPr>
  </w:style>
  <w:style w:type="character" w:customStyle="1" w:styleId="229">
    <w:name w:val="HTML 预设格式 Char1"/>
    <w:qFormat/>
    <w:uiPriority w:val="99"/>
    <w:rPr>
      <w:rFonts w:ascii="Courier New" w:hAnsi="Courier New" w:cs="Courier New"/>
    </w:rPr>
  </w:style>
  <w:style w:type="character" w:customStyle="1" w:styleId="230">
    <w:name w:val="页眉 字符"/>
    <w:qFormat/>
    <w:uiPriority w:val="99"/>
    <w:rPr>
      <w:sz w:val="18"/>
      <w:szCs w:val="18"/>
    </w:rPr>
  </w:style>
  <w:style w:type="character" w:customStyle="1" w:styleId="231">
    <w:name w:val="页脚 字符"/>
    <w:qFormat/>
    <w:uiPriority w:val="99"/>
    <w:rPr>
      <w:sz w:val="18"/>
      <w:szCs w:val="18"/>
    </w:rPr>
  </w:style>
  <w:style w:type="character" w:customStyle="1" w:styleId="232">
    <w:name w:val="标题 1 字符"/>
    <w:qFormat/>
    <w:uiPriority w:val="0"/>
    <w:rPr>
      <w:rFonts w:ascii="Times New Roman" w:hAnsi="Times New Roman" w:eastAsia="宋体" w:cs="Times New Roman"/>
      <w:b/>
      <w:bCs/>
      <w:kern w:val="44"/>
      <w:sz w:val="44"/>
      <w:szCs w:val="44"/>
    </w:rPr>
  </w:style>
  <w:style w:type="character" w:customStyle="1" w:styleId="233">
    <w:name w:val="标题 4 字符"/>
    <w:qFormat/>
    <w:uiPriority w:val="0"/>
    <w:rPr>
      <w:rFonts w:ascii="Arial" w:hAnsi="Arial" w:eastAsia="黑体" w:cs="Times New Roman"/>
      <w:b/>
      <w:bCs/>
      <w:sz w:val="28"/>
      <w:szCs w:val="28"/>
    </w:rPr>
  </w:style>
  <w:style w:type="character" w:customStyle="1" w:styleId="234">
    <w:name w:val="标题 7 字符"/>
    <w:qFormat/>
    <w:uiPriority w:val="0"/>
    <w:rPr>
      <w:rFonts w:ascii="Times New Roman" w:hAnsi="Times New Roman" w:eastAsia="宋体" w:cs="Times New Roman"/>
      <w:b/>
      <w:bCs/>
      <w:kern w:val="0"/>
      <w:sz w:val="24"/>
      <w:szCs w:val="24"/>
    </w:rPr>
  </w:style>
  <w:style w:type="character" w:customStyle="1" w:styleId="235">
    <w:name w:val="标题 8 字符"/>
    <w:qFormat/>
    <w:uiPriority w:val="0"/>
    <w:rPr>
      <w:rFonts w:ascii="Arial" w:hAnsi="Arial" w:eastAsia="黑体" w:cs="Times New Roman"/>
      <w:kern w:val="0"/>
      <w:sz w:val="24"/>
      <w:szCs w:val="24"/>
    </w:rPr>
  </w:style>
  <w:style w:type="character" w:customStyle="1" w:styleId="236">
    <w:name w:val="批注文字 字符"/>
    <w:qFormat/>
    <w:uiPriority w:val="0"/>
    <w:rPr>
      <w:rFonts w:ascii="Times New Roman" w:hAnsi="Times New Roman" w:eastAsia="宋体" w:cs="Times New Roman"/>
      <w:szCs w:val="24"/>
    </w:rPr>
  </w:style>
  <w:style w:type="character" w:customStyle="1" w:styleId="237">
    <w:name w:val="日期 字符"/>
    <w:qFormat/>
    <w:uiPriority w:val="0"/>
    <w:rPr>
      <w:rFonts w:ascii="Times New Roman" w:hAnsi="Times New Roman" w:eastAsia="宋体" w:cs="Times New Roman"/>
      <w:szCs w:val="24"/>
    </w:rPr>
  </w:style>
  <w:style w:type="character" w:customStyle="1" w:styleId="238">
    <w:name w:val="批注框文本 字符"/>
    <w:qFormat/>
    <w:uiPriority w:val="99"/>
    <w:rPr>
      <w:rFonts w:ascii="Times New Roman" w:hAnsi="Times New Roman" w:eastAsia="宋体" w:cs="Times New Roman"/>
      <w:sz w:val="18"/>
      <w:szCs w:val="18"/>
    </w:rPr>
  </w:style>
  <w:style w:type="character" w:customStyle="1" w:styleId="239">
    <w:name w:val="正文文本 字符"/>
    <w:qFormat/>
    <w:uiPriority w:val="0"/>
    <w:rPr>
      <w:rFonts w:ascii="Times New Roman" w:hAnsi="Times New Roman"/>
      <w:kern w:val="0"/>
      <w:sz w:val="20"/>
      <w:szCs w:val="20"/>
    </w:rPr>
  </w:style>
  <w:style w:type="character" w:customStyle="1" w:styleId="240">
    <w:name w:val="明显引用 Char"/>
    <w:link w:val="241"/>
    <w:qFormat/>
    <w:uiPriority w:val="0"/>
    <w:rPr>
      <w:b/>
      <w:bCs/>
      <w:i/>
      <w:iCs/>
      <w:color w:val="4F81BD"/>
    </w:rPr>
  </w:style>
  <w:style w:type="paragraph" w:customStyle="1" w:styleId="241">
    <w:name w:val="明显引用1"/>
    <w:basedOn w:val="1"/>
    <w:next w:val="1"/>
    <w:link w:val="240"/>
    <w:qFormat/>
    <w:uiPriority w:val="0"/>
    <w:pPr>
      <w:widowControl w:val="0"/>
      <w:pBdr>
        <w:bottom w:val="single" w:color="4F81BD" w:sz="4" w:space="4"/>
      </w:pBdr>
      <w:spacing w:before="200" w:after="280"/>
      <w:ind w:left="936" w:right="936"/>
      <w:jc w:val="both"/>
    </w:pPr>
    <w:rPr>
      <w:b/>
      <w:bCs/>
      <w:i/>
      <w:iCs/>
      <w:color w:val="4F81BD"/>
    </w:rPr>
  </w:style>
  <w:style w:type="character" w:customStyle="1" w:styleId="242">
    <w:name w:val="明显参考11"/>
    <w:qFormat/>
    <w:uiPriority w:val="0"/>
    <w:rPr>
      <w:b/>
      <w:bCs/>
      <w:smallCaps/>
      <w:color w:val="C0504D"/>
      <w:spacing w:val="5"/>
      <w:u w:val="single"/>
    </w:rPr>
  </w:style>
  <w:style w:type="character" w:customStyle="1" w:styleId="243">
    <w:name w:val="明显强调11"/>
    <w:qFormat/>
    <w:uiPriority w:val="0"/>
    <w:rPr>
      <w:b/>
      <w:bCs/>
      <w:i/>
      <w:iCs/>
      <w:color w:val="4F81BD"/>
    </w:rPr>
  </w:style>
  <w:style w:type="character" w:customStyle="1" w:styleId="244">
    <w:name w:val="不明显参考11"/>
    <w:qFormat/>
    <w:uiPriority w:val="0"/>
    <w:rPr>
      <w:smallCaps/>
      <w:color w:val="C0504D"/>
      <w:u w:val="single"/>
    </w:rPr>
  </w:style>
  <w:style w:type="character" w:customStyle="1" w:styleId="245">
    <w:name w:val="明显引用 Char1"/>
    <w:qFormat/>
    <w:uiPriority w:val="30"/>
    <w:rPr>
      <w:rFonts w:ascii="Times New Roman" w:hAnsi="Times New Roman" w:eastAsia="宋体" w:cs="Times New Roman"/>
      <w:i/>
      <w:iCs/>
      <w:color w:val="5B9BD5"/>
      <w:szCs w:val="24"/>
    </w:rPr>
  </w:style>
  <w:style w:type="character" w:customStyle="1" w:styleId="246">
    <w:name w:val="引用 Char1"/>
    <w:qFormat/>
    <w:uiPriority w:val="29"/>
    <w:rPr>
      <w:rFonts w:ascii="Times New Roman" w:hAnsi="Times New Roman" w:eastAsia="宋体" w:cs="Times New Roman"/>
      <w:i/>
      <w:iCs/>
      <w:color w:val="000000"/>
      <w:szCs w:val="24"/>
    </w:rPr>
  </w:style>
  <w:style w:type="character" w:customStyle="1" w:styleId="247">
    <w:name w:val="脚注文本 字符"/>
    <w:qFormat/>
    <w:uiPriority w:val="0"/>
    <w:rPr>
      <w:rFonts w:ascii="Calibri" w:hAnsi="Calibri" w:eastAsia="宋体" w:cs="Times New Roman"/>
      <w:sz w:val="18"/>
      <w:szCs w:val="18"/>
    </w:rPr>
  </w:style>
  <w:style w:type="character" w:customStyle="1" w:styleId="248">
    <w:name w:val="正文文本缩进 3 Char"/>
    <w:qFormat/>
    <w:locked/>
    <w:uiPriority w:val="0"/>
    <w:rPr>
      <w:sz w:val="16"/>
      <w:szCs w:val="16"/>
    </w:rPr>
  </w:style>
  <w:style w:type="character" w:customStyle="1" w:styleId="249">
    <w:name w:val="引用 Char2"/>
    <w:link w:val="250"/>
    <w:qFormat/>
    <w:uiPriority w:val="0"/>
    <w:rPr>
      <w:rFonts w:ascii="Calibri" w:hAnsi="Calibri"/>
      <w:i/>
      <w:sz w:val="24"/>
      <w:szCs w:val="24"/>
      <w:lang w:eastAsia="en-US" w:bidi="en-US"/>
    </w:rPr>
  </w:style>
  <w:style w:type="paragraph" w:styleId="250">
    <w:name w:val="Quote"/>
    <w:basedOn w:val="1"/>
    <w:next w:val="1"/>
    <w:link w:val="249"/>
    <w:qFormat/>
    <w:uiPriority w:val="0"/>
    <w:rPr>
      <w:rFonts w:ascii="Calibri" w:hAnsi="Calibri"/>
      <w:i/>
      <w:sz w:val="24"/>
      <w:szCs w:val="24"/>
      <w:lang w:eastAsia="en-US" w:bidi="en-US"/>
    </w:rPr>
  </w:style>
  <w:style w:type="character" w:customStyle="1" w:styleId="251">
    <w:name w:val="Default Char"/>
    <w:link w:val="252"/>
    <w:qFormat/>
    <w:locked/>
    <w:uiPriority w:val="0"/>
    <w:rPr>
      <w:rFonts w:ascii="宋体"/>
      <w:color w:val="000000"/>
      <w:sz w:val="24"/>
      <w:szCs w:val="24"/>
      <w:lang w:val="en-US" w:eastAsia="zh-CN" w:bidi="ar-SA"/>
    </w:rPr>
  </w:style>
  <w:style w:type="paragraph" w:customStyle="1" w:styleId="252">
    <w:name w:val="Default"/>
    <w:link w:val="251"/>
    <w:qFormat/>
    <w:uiPriority w:val="0"/>
    <w:pPr>
      <w:widowControl w:val="0"/>
      <w:autoSpaceDE w:val="0"/>
      <w:autoSpaceDN w:val="0"/>
      <w:adjustRightInd w:val="0"/>
      <w:spacing w:after="160" w:line="278" w:lineRule="auto"/>
    </w:pPr>
    <w:rPr>
      <w:rFonts w:ascii="宋体" w:hAnsi="Times New Roman" w:eastAsia="宋体" w:cs="Times New Roman"/>
      <w:color w:val="000000"/>
      <w:sz w:val="24"/>
      <w:szCs w:val="24"/>
      <w:lang w:val="en-US" w:eastAsia="zh-CN" w:bidi="ar-SA"/>
    </w:rPr>
  </w:style>
  <w:style w:type="character" w:customStyle="1" w:styleId="253">
    <w:name w:val="Char Char181"/>
    <w:qFormat/>
    <w:uiPriority w:val="0"/>
    <w:rPr>
      <w:b/>
      <w:bCs/>
    </w:rPr>
  </w:style>
  <w:style w:type="character" w:customStyle="1" w:styleId="254">
    <w:name w:val="_Style 238"/>
    <w:qFormat/>
    <w:uiPriority w:val="0"/>
    <w:rPr>
      <w:sz w:val="24"/>
      <w:szCs w:val="24"/>
      <w:u w:val="single"/>
    </w:rPr>
  </w:style>
  <w:style w:type="character" w:customStyle="1" w:styleId="255">
    <w:name w:val="Char Char221"/>
    <w:qFormat/>
    <w:uiPriority w:val="0"/>
    <w:rPr>
      <w:rFonts w:hint="eastAsia" w:ascii="仿宋" w:hAnsi="仿宋" w:eastAsia="仿宋"/>
      <w:b/>
      <w:bCs/>
      <w:iCs/>
      <w:sz w:val="44"/>
      <w:szCs w:val="48"/>
      <w:lang w:bidi="en-US"/>
    </w:rPr>
  </w:style>
  <w:style w:type="character" w:customStyle="1" w:styleId="256">
    <w:name w:val="_Style 240"/>
    <w:qFormat/>
    <w:uiPriority w:val="0"/>
    <w:rPr>
      <w:i/>
      <w:color w:val="5A5A5A"/>
    </w:rPr>
  </w:style>
  <w:style w:type="character" w:customStyle="1" w:styleId="257">
    <w:name w:val="Char Char5"/>
    <w:qFormat/>
    <w:locked/>
    <w:uiPriority w:val="0"/>
    <w:rPr>
      <w:rFonts w:ascii="Cambria" w:hAnsi="Cambria" w:eastAsia="宋体"/>
      <w:b/>
      <w:bCs/>
      <w:kern w:val="2"/>
      <w:sz w:val="28"/>
      <w:szCs w:val="28"/>
      <w:lang w:val="en-US" w:eastAsia="zh-CN" w:bidi="ar-SA"/>
    </w:rPr>
  </w:style>
  <w:style w:type="character" w:customStyle="1" w:styleId="258">
    <w:name w:val="_Style 242"/>
    <w:qFormat/>
    <w:uiPriority w:val="0"/>
    <w:rPr>
      <w:b/>
      <w:i/>
      <w:sz w:val="24"/>
      <w:szCs w:val="24"/>
      <w:u w:val="single"/>
    </w:rPr>
  </w:style>
  <w:style w:type="character" w:customStyle="1" w:styleId="259">
    <w:name w:val="纯文本 Char1"/>
    <w:qFormat/>
    <w:uiPriority w:val="0"/>
    <w:rPr>
      <w:rFonts w:ascii="宋体" w:hAnsi="Courier New" w:eastAsia="宋体" w:cs="Times New Roman"/>
      <w:kern w:val="0"/>
      <w:sz w:val="20"/>
      <w:szCs w:val="21"/>
    </w:rPr>
  </w:style>
  <w:style w:type="character" w:customStyle="1" w:styleId="260">
    <w:name w:val="_Style 244"/>
    <w:qFormat/>
    <w:uiPriority w:val="0"/>
    <w:rPr>
      <w:b/>
      <w:sz w:val="24"/>
      <w:u w:val="single"/>
    </w:rPr>
  </w:style>
  <w:style w:type="character" w:customStyle="1" w:styleId="261">
    <w:name w:val="Char Char27"/>
    <w:qFormat/>
    <w:uiPriority w:val="0"/>
    <w:rPr>
      <w:rFonts w:eastAsia="宋体"/>
      <w:kern w:val="2"/>
      <w:sz w:val="21"/>
      <w:szCs w:val="24"/>
      <w:lang w:val="en-US" w:eastAsia="zh-CN" w:bidi="ar-SA"/>
    </w:rPr>
  </w:style>
  <w:style w:type="character" w:customStyle="1" w:styleId="262">
    <w:name w:val="Char Char6"/>
    <w:qFormat/>
    <w:locked/>
    <w:uiPriority w:val="0"/>
    <w:rPr>
      <w:rFonts w:ascii="Calibri" w:hAnsi="Calibri" w:eastAsia="宋体"/>
      <w:b/>
      <w:bCs/>
      <w:kern w:val="2"/>
      <w:sz w:val="32"/>
      <w:szCs w:val="32"/>
      <w:lang w:val="en-US" w:eastAsia="zh-CN" w:bidi="ar-SA"/>
    </w:rPr>
  </w:style>
  <w:style w:type="character" w:customStyle="1" w:styleId="263">
    <w:name w:val="标题 Char1"/>
    <w:qFormat/>
    <w:uiPriority w:val="0"/>
    <w:rPr>
      <w:rFonts w:ascii="Cambria" w:hAnsi="Cambria" w:eastAsia="宋体" w:cs="Times New Roman"/>
      <w:b/>
      <w:bCs/>
      <w:kern w:val="0"/>
      <w:sz w:val="32"/>
      <w:szCs w:val="32"/>
    </w:rPr>
  </w:style>
  <w:style w:type="character" w:customStyle="1" w:styleId="264">
    <w:name w:val="样式3-1 Char"/>
    <w:link w:val="265"/>
    <w:qFormat/>
    <w:uiPriority w:val="0"/>
    <w:rPr>
      <w:rFonts w:ascii="宋体" w:hAnsi="宋体"/>
      <w:b/>
      <w:bCs/>
      <w:kern w:val="2"/>
      <w:sz w:val="32"/>
      <w:szCs w:val="24"/>
    </w:rPr>
  </w:style>
  <w:style w:type="paragraph" w:customStyle="1" w:styleId="265">
    <w:name w:val="样式3-1"/>
    <w:basedOn w:val="1"/>
    <w:link w:val="264"/>
    <w:qFormat/>
    <w:uiPriority w:val="0"/>
    <w:pPr>
      <w:widowControl w:val="0"/>
      <w:adjustRightInd w:val="0"/>
      <w:snapToGrid w:val="0"/>
      <w:spacing w:before="156" w:beforeLines="50" w:line="360" w:lineRule="auto"/>
      <w:jc w:val="center"/>
      <w:outlineLvl w:val="2"/>
    </w:pPr>
    <w:rPr>
      <w:rFonts w:ascii="宋体" w:hAnsi="宋体"/>
      <w:b/>
      <w:bCs/>
      <w:kern w:val="2"/>
      <w:sz w:val="32"/>
      <w:szCs w:val="24"/>
    </w:rPr>
  </w:style>
  <w:style w:type="character" w:customStyle="1" w:styleId="266">
    <w:name w:val="Char Char41"/>
    <w:qFormat/>
    <w:uiPriority w:val="0"/>
    <w:rPr>
      <w:rFonts w:ascii="Arial" w:hAnsi="Arial" w:eastAsia="黑体"/>
      <w:b/>
      <w:bCs/>
      <w:kern w:val="2"/>
      <w:sz w:val="32"/>
      <w:szCs w:val="32"/>
      <w:lang w:val="en-US" w:eastAsia="zh-CN" w:bidi="ar-SA"/>
    </w:rPr>
  </w:style>
  <w:style w:type="character" w:customStyle="1" w:styleId="267">
    <w:name w:val="正文文本 Char1"/>
    <w:qFormat/>
    <w:uiPriority w:val="0"/>
    <w:rPr>
      <w:kern w:val="2"/>
      <w:sz w:val="21"/>
      <w:szCs w:val="22"/>
    </w:rPr>
  </w:style>
  <w:style w:type="character" w:customStyle="1" w:styleId="268">
    <w:name w:val="Char Char3"/>
    <w:qFormat/>
    <w:uiPriority w:val="0"/>
    <w:rPr>
      <w:rFonts w:hint="eastAsia" w:ascii="宋体" w:hAnsi="宋体" w:eastAsia="宋体"/>
      <w:lang w:val="en-US" w:eastAsia="zh-CN" w:bidi="ar-SA"/>
    </w:rPr>
  </w:style>
  <w:style w:type="character" w:customStyle="1" w:styleId="269">
    <w:name w:val="_Style 253"/>
    <w:qFormat/>
    <w:uiPriority w:val="0"/>
    <w:rPr>
      <w:rFonts w:hint="default" w:ascii="Cambria" w:hAnsi="Cambria" w:eastAsia="宋体"/>
      <w:b/>
      <w:i/>
      <w:sz w:val="24"/>
      <w:szCs w:val="24"/>
    </w:rPr>
  </w:style>
  <w:style w:type="character" w:customStyle="1" w:styleId="270">
    <w:name w:val="Char Char71"/>
    <w:qFormat/>
    <w:uiPriority w:val="0"/>
    <w:rPr>
      <w:rFonts w:ascii="Arial" w:hAnsi="Arial" w:eastAsia="黑体"/>
      <w:b/>
      <w:bCs/>
      <w:kern w:val="2"/>
      <w:sz w:val="32"/>
      <w:szCs w:val="32"/>
      <w:lang w:val="en-US" w:eastAsia="zh-CN" w:bidi="ar-SA"/>
    </w:rPr>
  </w:style>
  <w:style w:type="character" w:customStyle="1" w:styleId="271">
    <w:name w:val="Char Char201"/>
    <w:qFormat/>
    <w:uiPriority w:val="0"/>
    <w:rPr>
      <w:b/>
      <w:bCs/>
      <w:sz w:val="28"/>
      <w:szCs w:val="28"/>
    </w:rPr>
  </w:style>
  <w:style w:type="character" w:customStyle="1" w:styleId="272">
    <w:name w:val="Char Char231"/>
    <w:qFormat/>
    <w:uiPriority w:val="0"/>
    <w:rPr>
      <w:rFonts w:hint="default" w:ascii="Cambria" w:hAnsi="Cambria" w:eastAsia="仿宋"/>
      <w:b/>
      <w:bCs/>
      <w:kern w:val="32"/>
      <w:sz w:val="48"/>
      <w:szCs w:val="32"/>
      <w:lang w:eastAsia="en-US" w:bidi="en-US"/>
    </w:rPr>
  </w:style>
  <w:style w:type="character" w:customStyle="1" w:styleId="273">
    <w:name w:val="Char Char211"/>
    <w:qFormat/>
    <w:uiPriority w:val="0"/>
    <w:rPr>
      <w:rFonts w:hint="default" w:ascii="Cambria" w:hAnsi="Cambria" w:eastAsia="仿宋"/>
      <w:b/>
      <w:bCs/>
      <w:sz w:val="36"/>
      <w:szCs w:val="26"/>
      <w:lang w:eastAsia="en-US" w:bidi="en-US"/>
    </w:rPr>
  </w:style>
  <w:style w:type="character" w:customStyle="1" w:styleId="274">
    <w:name w:val="HTML Markup"/>
    <w:qFormat/>
    <w:uiPriority w:val="0"/>
    <w:rPr>
      <w:vanish/>
      <w:color w:val="FF0000"/>
    </w:rPr>
  </w:style>
  <w:style w:type="character" w:customStyle="1" w:styleId="275">
    <w:name w:val="Char Char17"/>
    <w:qFormat/>
    <w:uiPriority w:val="0"/>
    <w:rPr>
      <w:sz w:val="24"/>
      <w:szCs w:val="24"/>
    </w:rPr>
  </w:style>
  <w:style w:type="character" w:customStyle="1" w:styleId="276">
    <w:name w:val="rxcss1"/>
    <w:qFormat/>
    <w:uiPriority w:val="0"/>
    <w:rPr>
      <w:rFonts w:hint="default" w:ascii="_x000B__x000C_" w:hAnsi="_x000B__x000C_"/>
      <w:spacing w:val="284"/>
      <w:sz w:val="26"/>
      <w:szCs w:val="26"/>
      <w:u w:val="none"/>
    </w:rPr>
  </w:style>
  <w:style w:type="character" w:customStyle="1" w:styleId="277">
    <w:name w:val="trans"/>
    <w:qFormat/>
    <w:uiPriority w:val="0"/>
  </w:style>
  <w:style w:type="character" w:customStyle="1" w:styleId="278">
    <w:name w:val="明显引用 Char2"/>
    <w:link w:val="279"/>
    <w:qFormat/>
    <w:uiPriority w:val="0"/>
    <w:rPr>
      <w:rFonts w:ascii="Calibri" w:hAnsi="Calibri"/>
      <w:b/>
      <w:i/>
      <w:sz w:val="24"/>
      <w:szCs w:val="22"/>
      <w:lang w:eastAsia="en-US" w:bidi="en-US"/>
    </w:rPr>
  </w:style>
  <w:style w:type="paragraph" w:styleId="279">
    <w:name w:val="Intense Quote"/>
    <w:basedOn w:val="1"/>
    <w:next w:val="1"/>
    <w:link w:val="278"/>
    <w:qFormat/>
    <w:uiPriority w:val="0"/>
    <w:pPr>
      <w:ind w:left="720" w:right="720"/>
    </w:pPr>
    <w:rPr>
      <w:rFonts w:ascii="Calibri" w:hAnsi="Calibri"/>
      <w:b/>
      <w:i/>
      <w:sz w:val="24"/>
      <w:szCs w:val="22"/>
      <w:lang w:eastAsia="en-US" w:bidi="en-US"/>
    </w:rPr>
  </w:style>
  <w:style w:type="character" w:customStyle="1" w:styleId="280">
    <w:name w:val="明显引用 Char3"/>
    <w:qFormat/>
    <w:uiPriority w:val="30"/>
    <w:rPr>
      <w:b/>
      <w:bCs/>
      <w:i/>
      <w:iCs/>
      <w:color w:val="4F81BD"/>
    </w:rPr>
  </w:style>
  <w:style w:type="character" w:customStyle="1" w:styleId="281">
    <w:name w:val="引用 Char3"/>
    <w:qFormat/>
    <w:uiPriority w:val="29"/>
    <w:rPr>
      <w:i/>
      <w:iCs/>
      <w:color w:val="000000"/>
    </w:rPr>
  </w:style>
  <w:style w:type="paragraph" w:customStyle="1" w:styleId="282">
    <w:name w:val="CM145"/>
    <w:basedOn w:val="252"/>
    <w:next w:val="252"/>
    <w:qFormat/>
    <w:uiPriority w:val="0"/>
    <w:rPr>
      <w:rFonts w:hAnsi="Calibri"/>
      <w:color w:val="auto"/>
    </w:rPr>
  </w:style>
  <w:style w:type="paragraph" w:customStyle="1" w:styleId="283">
    <w:name w:val="段"/>
    <w:qFormat/>
    <w:uiPriority w:val="0"/>
    <w:pPr>
      <w:spacing w:after="160" w:line="278" w:lineRule="auto"/>
      <w:ind w:firstLine="200" w:firstLineChars="200"/>
      <w:jc w:val="both"/>
    </w:pPr>
    <w:rPr>
      <w:rFonts w:ascii="宋体" w:hAnsi="Calibri" w:eastAsia="宋体" w:cs="Times New Roman"/>
      <w:sz w:val="21"/>
      <w:lang w:val="en-US" w:eastAsia="zh-CN" w:bidi="ar-SA"/>
    </w:rPr>
  </w:style>
  <w:style w:type="paragraph" w:customStyle="1" w:styleId="284">
    <w:name w:val="CM71"/>
    <w:basedOn w:val="252"/>
    <w:next w:val="252"/>
    <w:qFormat/>
    <w:uiPriority w:val="0"/>
    <w:pPr>
      <w:spacing w:line="553" w:lineRule="atLeast"/>
    </w:pPr>
    <w:rPr>
      <w:rFonts w:hAnsi="Calibri"/>
      <w:color w:val="auto"/>
    </w:rPr>
  </w:style>
  <w:style w:type="paragraph" w:customStyle="1" w:styleId="285">
    <w:name w:val="Char Char Char1"/>
    <w:basedOn w:val="1"/>
    <w:qFormat/>
    <w:uiPriority w:val="0"/>
    <w:pPr>
      <w:widowControl w:val="0"/>
      <w:spacing w:line="240" w:lineRule="atLeast"/>
      <w:ind w:left="420" w:firstLine="420"/>
      <w:jc w:val="both"/>
    </w:pPr>
    <w:rPr>
      <w:sz w:val="21"/>
      <w:szCs w:val="21"/>
    </w:rPr>
  </w:style>
  <w:style w:type="paragraph" w:customStyle="1" w:styleId="286">
    <w:name w:val="CM117"/>
    <w:basedOn w:val="252"/>
    <w:next w:val="252"/>
    <w:qFormat/>
    <w:uiPriority w:val="0"/>
    <w:pPr>
      <w:spacing w:line="546" w:lineRule="atLeast"/>
    </w:pPr>
    <w:rPr>
      <w:rFonts w:hAnsi="Calibri"/>
      <w:color w:val="auto"/>
    </w:rPr>
  </w:style>
  <w:style w:type="paragraph" w:customStyle="1" w:styleId="287">
    <w:name w:val="Char Char Char Char Char Char Char"/>
    <w:basedOn w:val="20"/>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288">
    <w:name w:val="xl50"/>
    <w:basedOn w:val="1"/>
    <w:qFormat/>
    <w:uiPriority w:val="0"/>
    <w:pPr>
      <w:pBdr>
        <w:bottom w:val="single" w:color="auto" w:sz="4" w:space="0"/>
      </w:pBdr>
      <w:spacing w:before="100" w:beforeAutospacing="1" w:after="100" w:afterAutospacing="1"/>
    </w:pPr>
    <w:rPr>
      <w:rFonts w:ascii="Arial Unicode MS" w:hAnsi="Arial Unicode MS" w:eastAsia="Arial Unicode MS" w:cs="Arial Unicode MS"/>
      <w:b/>
      <w:bCs/>
      <w:sz w:val="22"/>
      <w:szCs w:val="22"/>
    </w:rPr>
  </w:style>
  <w:style w:type="paragraph" w:customStyle="1" w:styleId="289">
    <w:name w:val="样式 标题 1 + 黑体 三号 非加粗 居中 段前: 6 磅 段后: 6 磅 行距: 固定值 20 磅"/>
    <w:basedOn w:val="4"/>
    <w:qFormat/>
    <w:uiPriority w:val="0"/>
    <w:pPr>
      <w:widowControl w:val="0"/>
      <w:spacing w:before="120" w:after="120" w:line="400" w:lineRule="exact"/>
      <w:jc w:val="center"/>
    </w:pPr>
    <w:rPr>
      <w:rFonts w:ascii="黑体" w:hAnsi="黑体" w:eastAsia="黑体" w:cs="宋体"/>
      <w:b w:val="0"/>
      <w:bCs w:val="0"/>
      <w:sz w:val="32"/>
      <w:szCs w:val="20"/>
    </w:rPr>
  </w:style>
  <w:style w:type="paragraph" w:customStyle="1" w:styleId="290">
    <w:name w:val="CM1"/>
    <w:basedOn w:val="252"/>
    <w:next w:val="252"/>
    <w:qFormat/>
    <w:uiPriority w:val="0"/>
    <w:rPr>
      <w:rFonts w:hAnsi="Calibri"/>
      <w:color w:val="auto"/>
    </w:rPr>
  </w:style>
  <w:style w:type="paragraph" w:customStyle="1" w:styleId="291">
    <w:name w:val="xl36"/>
    <w:basedOn w:val="1"/>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292">
    <w:name w:val="Listing1"/>
    <w:basedOn w:val="1"/>
    <w:qFormat/>
    <w:uiPriority w:val="0"/>
    <w:pPr>
      <w:widowControl w:val="0"/>
      <w:tabs>
        <w:tab w:val="left" w:pos="420"/>
      </w:tabs>
      <w:ind w:left="420" w:hanging="420"/>
      <w:jc w:val="both"/>
    </w:pPr>
    <w:rPr>
      <w:kern w:val="2"/>
      <w:sz w:val="24"/>
      <w:szCs w:val="24"/>
    </w:rPr>
  </w:style>
  <w:style w:type="paragraph" w:customStyle="1" w:styleId="293">
    <w:name w:val="Char Char Char Char Char Char Char1"/>
    <w:basedOn w:val="20"/>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294">
    <w:name w:val="正文 New New New New New"/>
    <w:qFormat/>
    <w:uiPriority w:val="0"/>
    <w:pPr>
      <w:widowControl w:val="0"/>
      <w:spacing w:after="160" w:line="278" w:lineRule="auto"/>
      <w:jc w:val="both"/>
    </w:pPr>
    <w:rPr>
      <w:rFonts w:ascii="宋体" w:hAnsi="宋体" w:eastAsia="宋体" w:cs="Times New Roman"/>
      <w:kern w:val="2"/>
      <w:sz w:val="21"/>
      <w:szCs w:val="24"/>
      <w:lang w:val="en-US" w:eastAsia="zh-CN" w:bidi="ar-SA"/>
    </w:rPr>
  </w:style>
  <w:style w:type="paragraph" w:customStyle="1" w:styleId="295">
    <w:name w:val="Char Char Char Char Char Char Char Char Char Char Char Char Char Char Char"/>
    <w:basedOn w:val="1"/>
    <w:qFormat/>
    <w:uiPriority w:val="0"/>
    <w:pPr>
      <w:widowControl w:val="0"/>
      <w:spacing w:line="240" w:lineRule="atLeast"/>
      <w:ind w:left="420" w:firstLine="420"/>
      <w:jc w:val="both"/>
    </w:pPr>
    <w:rPr>
      <w:sz w:val="21"/>
      <w:szCs w:val="21"/>
    </w:rPr>
  </w:style>
  <w:style w:type="paragraph" w:customStyle="1" w:styleId="296">
    <w:name w:val="tableheading"/>
    <w:basedOn w:val="1"/>
    <w:qFormat/>
    <w:uiPriority w:val="0"/>
    <w:pPr>
      <w:spacing w:before="100" w:beforeAutospacing="1" w:after="100" w:afterAutospacing="1"/>
    </w:pPr>
    <w:rPr>
      <w:rFonts w:ascii="宋体" w:hAnsi="宋体" w:cs="宋体"/>
      <w:sz w:val="24"/>
      <w:szCs w:val="24"/>
    </w:rPr>
  </w:style>
  <w:style w:type="paragraph" w:customStyle="1" w:styleId="297">
    <w:name w:val="样式2"/>
    <w:basedOn w:val="7"/>
    <w:next w:val="7"/>
    <w:qFormat/>
    <w:uiPriority w:val="0"/>
    <w:rPr>
      <w:rFonts w:ascii="黑体"/>
      <w:sz w:val="24"/>
      <w:szCs w:val="30"/>
    </w:rPr>
  </w:style>
  <w:style w:type="paragraph" w:customStyle="1" w:styleId="298">
    <w:name w:val="CM216"/>
    <w:basedOn w:val="252"/>
    <w:next w:val="252"/>
    <w:qFormat/>
    <w:uiPriority w:val="0"/>
    <w:rPr>
      <w:rFonts w:hAnsi="Calibri"/>
      <w:color w:val="auto"/>
    </w:rPr>
  </w:style>
  <w:style w:type="paragraph" w:customStyle="1" w:styleId="299">
    <w:name w:val="Cap_标题_2"/>
    <w:next w:val="1"/>
    <w:qFormat/>
    <w:uiPriority w:val="0"/>
    <w:pPr>
      <w:keepNext/>
      <w:tabs>
        <w:tab w:val="left" w:pos="360"/>
        <w:tab w:val="left" w:pos="567"/>
      </w:tabs>
      <w:spacing w:before="180" w:after="120" w:line="278" w:lineRule="auto"/>
      <w:ind w:left="360" w:hanging="360"/>
      <w:outlineLvl w:val="1"/>
    </w:pPr>
    <w:rPr>
      <w:rFonts w:ascii="Arial" w:hAnsi="Arial" w:eastAsia="宋体" w:cs="Times New Roman"/>
      <w:b/>
      <w:sz w:val="24"/>
      <w:szCs w:val="24"/>
      <w:lang w:val="en-US" w:eastAsia="en-CA" w:bidi="ar-SA"/>
    </w:rPr>
  </w:style>
  <w:style w:type="paragraph" w:customStyle="1" w:styleId="300">
    <w:name w:val="P4"/>
    <w:qFormat/>
    <w:uiPriority w:val="0"/>
    <w:pPr>
      <w:widowControl w:val="0"/>
      <w:adjustRightInd w:val="0"/>
      <w:spacing w:after="240" w:line="240" w:lineRule="atLeast"/>
      <w:ind w:left="2880"/>
      <w:jc w:val="both"/>
      <w:textAlignment w:val="baseline"/>
    </w:pPr>
    <w:rPr>
      <w:rFonts w:ascii="Times New Roman" w:hAnsi="Times New Roman" w:eastAsia="全真中明體" w:cs="Times New Roman"/>
      <w:spacing w:val="20"/>
      <w:sz w:val="24"/>
      <w:lang w:val="en-GB" w:eastAsia="zh-TW" w:bidi="ar-SA"/>
    </w:rPr>
  </w:style>
  <w:style w:type="paragraph" w:customStyle="1" w:styleId="301">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rPr>
  </w:style>
  <w:style w:type="paragraph" w:customStyle="1" w:styleId="302">
    <w:name w:val="Char Char Char Char1 Char Char Char Char Char1 Char Char Char1 Char1"/>
    <w:basedOn w:val="1"/>
    <w:qFormat/>
    <w:uiPriority w:val="0"/>
    <w:pPr>
      <w:widowControl w:val="0"/>
      <w:spacing w:line="240" w:lineRule="atLeast"/>
      <w:ind w:left="420" w:firstLine="420"/>
      <w:jc w:val="both"/>
    </w:pPr>
    <w:rPr>
      <w:kern w:val="2"/>
      <w:sz w:val="21"/>
      <w:szCs w:val="24"/>
    </w:rPr>
  </w:style>
  <w:style w:type="paragraph" w:customStyle="1" w:styleId="303">
    <w:name w:val="Char1 Char Char Char Char Char Char"/>
    <w:basedOn w:val="20"/>
    <w:qFormat/>
    <w:uiPriority w:val="0"/>
    <w:pPr>
      <w:widowControl w:val="0"/>
      <w:shd w:val="clear" w:color="auto" w:fill="000080"/>
      <w:spacing w:line="360" w:lineRule="auto"/>
      <w:jc w:val="both"/>
    </w:pPr>
    <w:rPr>
      <w:rFonts w:ascii="Tahoma" w:hAnsi="Tahoma"/>
      <w:kern w:val="2"/>
      <w:sz w:val="24"/>
      <w:szCs w:val="24"/>
    </w:rPr>
  </w:style>
  <w:style w:type="paragraph" w:customStyle="1" w:styleId="304">
    <w:name w:val="CM73"/>
    <w:basedOn w:val="252"/>
    <w:next w:val="252"/>
    <w:qFormat/>
    <w:uiPriority w:val="0"/>
    <w:pPr>
      <w:spacing w:line="478" w:lineRule="atLeast"/>
    </w:pPr>
    <w:rPr>
      <w:rFonts w:hAnsi="Calibri"/>
      <w:color w:val="auto"/>
    </w:rPr>
  </w:style>
  <w:style w:type="paragraph" w:customStyle="1" w:styleId="305">
    <w:name w:val="Char2 Char Char Char Char Char Char"/>
    <w:basedOn w:val="20"/>
    <w:qFormat/>
    <w:uiPriority w:val="0"/>
    <w:pPr>
      <w:widowControl w:val="0"/>
      <w:shd w:val="clear" w:color="auto" w:fill="000080"/>
      <w:jc w:val="both"/>
    </w:pPr>
    <w:rPr>
      <w:rFonts w:ascii="Tahoma" w:hAnsi="Tahoma"/>
      <w:sz w:val="24"/>
      <w:szCs w:val="24"/>
    </w:rPr>
  </w:style>
  <w:style w:type="paragraph" w:customStyle="1" w:styleId="306">
    <w:name w:val="Char3"/>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307">
    <w:name w:val="xl29"/>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styleId="308">
    <w:name w:val="No Spacing"/>
    <w:basedOn w:val="1"/>
    <w:link w:val="309"/>
    <w:qFormat/>
    <w:uiPriority w:val="0"/>
    <w:rPr>
      <w:rFonts w:ascii="Calibri" w:hAnsi="Calibri"/>
      <w:sz w:val="24"/>
      <w:szCs w:val="32"/>
      <w:lang w:eastAsia="en-US" w:bidi="en-US"/>
    </w:rPr>
  </w:style>
  <w:style w:type="character" w:customStyle="1" w:styleId="309">
    <w:name w:val="无间隔 Char"/>
    <w:link w:val="308"/>
    <w:qFormat/>
    <w:uiPriority w:val="0"/>
    <w:rPr>
      <w:rFonts w:ascii="Calibri" w:hAnsi="Calibri"/>
      <w:sz w:val="24"/>
      <w:szCs w:val="32"/>
      <w:lang w:eastAsia="en-US" w:bidi="en-US"/>
    </w:rPr>
  </w:style>
  <w:style w:type="paragraph" w:customStyle="1" w:styleId="310">
    <w:name w:val="样式 标题 3 + (中文) 黑体 小四 非加粗 段前: 7.8 磅 段后: 0 磅 行距: 固定值 20 磅"/>
    <w:basedOn w:val="6"/>
    <w:qFormat/>
    <w:uiPriority w:val="0"/>
    <w:pPr>
      <w:widowControl w:val="0"/>
      <w:spacing w:before="0" w:after="0" w:line="400" w:lineRule="exact"/>
      <w:jc w:val="both"/>
    </w:pPr>
    <w:rPr>
      <w:rFonts w:eastAsia="黑体" w:cs="宋体"/>
      <w:b w:val="0"/>
      <w:bCs w:val="0"/>
      <w:kern w:val="2"/>
      <w:sz w:val="24"/>
      <w:szCs w:val="20"/>
    </w:rPr>
  </w:style>
  <w:style w:type="paragraph" w:customStyle="1" w:styleId="311">
    <w:name w:val="Char Char Char Char1 Char Char Char Char Char1 Char"/>
    <w:basedOn w:val="1"/>
    <w:qFormat/>
    <w:uiPriority w:val="0"/>
    <w:pPr>
      <w:widowControl w:val="0"/>
      <w:spacing w:line="240" w:lineRule="atLeast"/>
      <w:ind w:left="420" w:firstLine="420"/>
      <w:jc w:val="both"/>
    </w:pPr>
    <w:rPr>
      <w:sz w:val="21"/>
      <w:szCs w:val="21"/>
    </w:rPr>
  </w:style>
  <w:style w:type="paragraph" w:customStyle="1" w:styleId="312">
    <w:name w:val="样式 标题 2 + Times New Roman 四号 非加粗 段前: 5 磅 段后: 0 磅 行距: 固定值 20..."/>
    <w:basedOn w:val="5"/>
    <w:qFormat/>
    <w:uiPriority w:val="0"/>
    <w:pPr>
      <w:widowControl w:val="0"/>
      <w:spacing w:before="100" w:after="0" w:line="400" w:lineRule="exact"/>
      <w:jc w:val="both"/>
    </w:pPr>
    <w:rPr>
      <w:rFonts w:ascii="Times New Roman" w:hAnsi="Times New Roman" w:cs="宋体"/>
      <w:b w:val="0"/>
      <w:bCs w:val="0"/>
      <w:kern w:val="2"/>
      <w:sz w:val="28"/>
      <w:szCs w:val="20"/>
    </w:rPr>
  </w:style>
  <w:style w:type="paragraph" w:customStyle="1" w:styleId="313">
    <w:name w:val="CM123"/>
    <w:basedOn w:val="252"/>
    <w:next w:val="252"/>
    <w:qFormat/>
    <w:uiPriority w:val="0"/>
    <w:pPr>
      <w:spacing w:line="273" w:lineRule="atLeast"/>
    </w:pPr>
    <w:rPr>
      <w:rFonts w:hAnsi="Calibri"/>
      <w:color w:val="auto"/>
    </w:rPr>
  </w:style>
  <w:style w:type="paragraph" w:customStyle="1" w:styleId="314">
    <w:name w:val="a6"/>
    <w:basedOn w:val="1"/>
    <w:qFormat/>
    <w:uiPriority w:val="0"/>
    <w:pPr>
      <w:spacing w:before="100" w:beforeAutospacing="1" w:after="100" w:afterAutospacing="1"/>
    </w:pPr>
    <w:rPr>
      <w:rFonts w:ascii="宋体" w:hAnsi="宋体" w:cs="宋体"/>
      <w:sz w:val="24"/>
      <w:szCs w:val="24"/>
    </w:rPr>
  </w:style>
  <w:style w:type="paragraph" w:customStyle="1" w:styleId="315">
    <w:name w:val="Char6 Char Char Char"/>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316">
    <w:name w:val="opening2"/>
    <w:basedOn w:val="1"/>
    <w:qFormat/>
    <w:uiPriority w:val="0"/>
    <w:pPr>
      <w:spacing w:before="100" w:beforeAutospacing="1" w:after="100" w:afterAutospacing="1"/>
    </w:pPr>
    <w:rPr>
      <w:rFonts w:ascii="宋体" w:hAnsi="宋体" w:cs="宋体"/>
      <w:color w:val="000000"/>
      <w:sz w:val="23"/>
      <w:szCs w:val="23"/>
    </w:rPr>
  </w:style>
  <w:style w:type="paragraph" w:customStyle="1" w:styleId="317">
    <w:name w:val="CM92"/>
    <w:basedOn w:val="252"/>
    <w:next w:val="252"/>
    <w:qFormat/>
    <w:uiPriority w:val="0"/>
    <w:pPr>
      <w:spacing w:line="398" w:lineRule="atLeast"/>
    </w:pPr>
    <w:rPr>
      <w:rFonts w:hAnsi="Calibri"/>
      <w:color w:val="auto"/>
    </w:rPr>
  </w:style>
  <w:style w:type="paragraph" w:customStyle="1" w:styleId="318">
    <w:name w:val="正文缩进1"/>
    <w:basedOn w:val="1"/>
    <w:qFormat/>
    <w:uiPriority w:val="0"/>
    <w:pPr>
      <w:widowControl w:val="0"/>
      <w:ind w:firstLine="420" w:firstLineChars="200"/>
      <w:jc w:val="both"/>
    </w:pPr>
    <w:rPr>
      <w:rFonts w:ascii="Calibri" w:hAnsi="Calibri"/>
      <w:kern w:val="2"/>
      <w:sz w:val="21"/>
      <w:szCs w:val="22"/>
    </w:rPr>
  </w:style>
  <w:style w:type="paragraph" w:customStyle="1" w:styleId="319">
    <w:name w:val="字元"/>
    <w:basedOn w:val="1"/>
    <w:qFormat/>
    <w:uiPriority w:val="0"/>
    <w:pPr>
      <w:widowControl w:val="0"/>
      <w:jc w:val="both"/>
    </w:pPr>
    <w:rPr>
      <w:rFonts w:ascii="Tahoma" w:hAnsi="Tahoma"/>
      <w:kern w:val="2"/>
      <w:sz w:val="24"/>
    </w:rPr>
  </w:style>
  <w:style w:type="paragraph" w:customStyle="1" w:styleId="320">
    <w:name w:val="7"/>
    <w:basedOn w:val="1"/>
    <w:qFormat/>
    <w:uiPriority w:val="0"/>
    <w:pPr>
      <w:tabs>
        <w:tab w:val="left" w:pos="425"/>
      </w:tabs>
      <w:spacing w:before="100" w:beforeLines="100" w:line="240" w:lineRule="exact"/>
      <w:ind w:left="425" w:hanging="425"/>
    </w:pPr>
    <w:rPr>
      <w:rFonts w:ascii="Verdana" w:hAnsi="Verdana" w:eastAsia="黑体"/>
      <w:lang w:eastAsia="en-US"/>
    </w:rPr>
  </w:style>
  <w:style w:type="paragraph" w:customStyle="1" w:styleId="321">
    <w:name w:val="Char11"/>
    <w:basedOn w:val="1"/>
    <w:qFormat/>
    <w:uiPriority w:val="0"/>
    <w:pPr>
      <w:tabs>
        <w:tab w:val="left" w:pos="425"/>
      </w:tabs>
      <w:spacing w:beforeLines="100" w:line="240" w:lineRule="exact"/>
      <w:ind w:left="425" w:hanging="425"/>
    </w:pPr>
    <w:rPr>
      <w:rFonts w:ascii="Verdana" w:hAnsi="Verdana" w:eastAsia="黑体"/>
      <w:lang w:eastAsia="en-US"/>
    </w:rPr>
  </w:style>
  <w:style w:type="paragraph" w:customStyle="1" w:styleId="322">
    <w:name w:val="Char Char Char Char Char Char Char Char Char Char1"/>
    <w:basedOn w:val="1"/>
    <w:qFormat/>
    <w:uiPriority w:val="0"/>
    <w:pPr>
      <w:widowControl w:val="0"/>
      <w:tabs>
        <w:tab w:val="left" w:pos="425"/>
      </w:tabs>
      <w:ind w:left="425" w:hanging="425"/>
      <w:jc w:val="both"/>
    </w:pPr>
    <w:rPr>
      <w:rFonts w:ascii="Arial" w:hAnsi="Arial" w:eastAsia="黑体" w:cs="宋体"/>
      <w:b/>
      <w:bCs/>
      <w:kern w:val="2"/>
      <w:sz w:val="32"/>
      <w:szCs w:val="32"/>
    </w:rPr>
  </w:style>
  <w:style w:type="paragraph" w:customStyle="1" w:styleId="323">
    <w:name w:val="CM31"/>
    <w:basedOn w:val="252"/>
    <w:next w:val="252"/>
    <w:qFormat/>
    <w:uiPriority w:val="0"/>
    <w:pPr>
      <w:spacing w:line="400" w:lineRule="atLeast"/>
    </w:pPr>
    <w:rPr>
      <w:rFonts w:hAnsi="Calibri"/>
      <w:color w:val="auto"/>
    </w:rPr>
  </w:style>
  <w:style w:type="paragraph" w:customStyle="1" w:styleId="324">
    <w:name w:val="CM214"/>
    <w:basedOn w:val="252"/>
    <w:next w:val="252"/>
    <w:qFormat/>
    <w:uiPriority w:val="0"/>
    <w:rPr>
      <w:rFonts w:hAnsi="Calibri"/>
      <w:color w:val="auto"/>
    </w:rPr>
  </w:style>
  <w:style w:type="paragraph" w:customStyle="1" w:styleId="325">
    <w:name w:val="样式 正文缩进正文（首行缩进两字）特点ALT+Z表正文正文非缩进四号段1Normal Indent Char2...1"/>
    <w:basedOn w:val="5"/>
    <w:qFormat/>
    <w:uiPriority w:val="0"/>
    <w:pPr>
      <w:widowControl w:val="0"/>
      <w:adjustRightInd w:val="0"/>
      <w:spacing w:before="1320" w:after="240" w:line="300" w:lineRule="auto"/>
      <w:jc w:val="center"/>
      <w:textAlignment w:val="baseline"/>
    </w:pPr>
    <w:rPr>
      <w:rFonts w:cs="宋体"/>
    </w:rPr>
  </w:style>
  <w:style w:type="paragraph" w:customStyle="1" w:styleId="326">
    <w:name w:val="Char Char Char Char Char Char Char Char Char Char Char Char Char Char Char Char Char Char Char Char Char Char Char Char Char Char Char Char"/>
    <w:basedOn w:val="1"/>
    <w:qFormat/>
    <w:uiPriority w:val="0"/>
    <w:pPr>
      <w:spacing w:line="240" w:lineRule="exact"/>
    </w:pPr>
    <w:rPr>
      <w:rFonts w:ascii="Verdana" w:hAnsi="Verdana" w:eastAsia="仿宋_GB2312"/>
      <w:sz w:val="24"/>
      <w:lang w:eastAsia="en-US"/>
    </w:rPr>
  </w:style>
  <w:style w:type="paragraph" w:customStyle="1" w:styleId="327">
    <w:name w:val="CM84"/>
    <w:basedOn w:val="252"/>
    <w:next w:val="252"/>
    <w:qFormat/>
    <w:uiPriority w:val="0"/>
    <w:pPr>
      <w:spacing w:line="396" w:lineRule="atLeast"/>
    </w:pPr>
    <w:rPr>
      <w:rFonts w:hAnsi="Calibri"/>
      <w:color w:val="auto"/>
    </w:rPr>
  </w:style>
  <w:style w:type="paragraph" w:customStyle="1" w:styleId="328">
    <w:name w:val="Char Char Char Char1 Char Char Char Char Char1 Char Char Char1 Char"/>
    <w:basedOn w:val="1"/>
    <w:qFormat/>
    <w:uiPriority w:val="0"/>
    <w:pPr>
      <w:widowControl w:val="0"/>
      <w:spacing w:line="240" w:lineRule="atLeast"/>
      <w:ind w:left="420" w:firstLine="420"/>
      <w:jc w:val="both"/>
    </w:pPr>
    <w:rPr>
      <w:kern w:val="2"/>
      <w:sz w:val="21"/>
      <w:szCs w:val="24"/>
    </w:rPr>
  </w:style>
  <w:style w:type="paragraph" w:customStyle="1" w:styleId="329">
    <w:name w:val="Char"/>
    <w:basedOn w:val="1"/>
    <w:qFormat/>
    <w:uiPriority w:val="0"/>
    <w:pPr>
      <w:tabs>
        <w:tab w:val="left" w:pos="425"/>
      </w:tabs>
      <w:spacing w:before="312" w:beforeLines="100" w:line="240" w:lineRule="exact"/>
      <w:ind w:left="425" w:hanging="425"/>
    </w:pPr>
    <w:rPr>
      <w:rFonts w:ascii="Verdana" w:hAnsi="Verdana" w:eastAsia="黑体"/>
      <w:lang w:eastAsia="en-US"/>
    </w:rPr>
  </w:style>
  <w:style w:type="paragraph" w:customStyle="1" w:styleId="330">
    <w:name w:val="Char12"/>
    <w:basedOn w:val="1"/>
    <w:qFormat/>
    <w:uiPriority w:val="0"/>
    <w:pPr>
      <w:widowControl w:val="0"/>
      <w:jc w:val="both"/>
    </w:pPr>
    <w:rPr>
      <w:rFonts w:ascii="仿宋_GB2312" w:eastAsia="仿宋_GB2312"/>
      <w:b/>
      <w:kern w:val="2"/>
      <w:sz w:val="32"/>
      <w:szCs w:val="32"/>
    </w:rPr>
  </w:style>
  <w:style w:type="paragraph" w:customStyle="1" w:styleId="331">
    <w:name w:val="CM112"/>
    <w:basedOn w:val="252"/>
    <w:next w:val="252"/>
    <w:qFormat/>
    <w:uiPriority w:val="0"/>
    <w:pPr>
      <w:spacing w:line="338" w:lineRule="atLeast"/>
    </w:pPr>
    <w:rPr>
      <w:rFonts w:hAnsi="Calibri"/>
      <w:color w:val="auto"/>
    </w:rPr>
  </w:style>
  <w:style w:type="paragraph" w:customStyle="1" w:styleId="332">
    <w:name w:val="p15"/>
    <w:basedOn w:val="1"/>
    <w:qFormat/>
    <w:uiPriority w:val="0"/>
    <w:pPr>
      <w:snapToGrid w:val="0"/>
      <w:spacing w:before="100" w:after="100"/>
      <w:ind w:left="360" w:right="360"/>
    </w:pPr>
    <w:rPr>
      <w:sz w:val="24"/>
      <w:szCs w:val="24"/>
    </w:rPr>
  </w:style>
  <w:style w:type="paragraph" w:customStyle="1" w:styleId="333">
    <w:name w:val="Normal_1"/>
    <w:qFormat/>
    <w:uiPriority w:val="0"/>
    <w:pPr>
      <w:spacing w:after="160" w:line="278" w:lineRule="auto"/>
    </w:pPr>
    <w:rPr>
      <w:rFonts w:ascii="Times New Roman" w:hAnsi="Times New Roman" w:eastAsia="Times New Roman" w:cs="Times New Roman"/>
      <w:sz w:val="24"/>
      <w:szCs w:val="24"/>
      <w:lang w:val="en-US" w:eastAsia="zh-CN" w:bidi="ar-SA"/>
    </w:rPr>
  </w:style>
  <w:style w:type="paragraph" w:customStyle="1" w:styleId="334">
    <w:name w:val="CM183"/>
    <w:basedOn w:val="252"/>
    <w:next w:val="252"/>
    <w:qFormat/>
    <w:uiPriority w:val="0"/>
    <w:rPr>
      <w:rFonts w:hAnsi="Calibri"/>
      <w:color w:val="auto"/>
    </w:rPr>
  </w:style>
  <w:style w:type="paragraph" w:customStyle="1" w:styleId="335">
    <w:name w:val="CM130"/>
    <w:basedOn w:val="252"/>
    <w:next w:val="252"/>
    <w:qFormat/>
    <w:uiPriority w:val="0"/>
    <w:pPr>
      <w:spacing w:line="273" w:lineRule="atLeast"/>
    </w:pPr>
    <w:rPr>
      <w:rFonts w:hAnsi="Calibri"/>
      <w:color w:val="auto"/>
    </w:rPr>
  </w:style>
  <w:style w:type="paragraph" w:customStyle="1" w:styleId="336">
    <w:name w:val="1"/>
    <w:basedOn w:val="1"/>
    <w:next w:val="28"/>
    <w:qFormat/>
    <w:uiPriority w:val="0"/>
    <w:pPr>
      <w:widowControl w:val="0"/>
      <w:adjustRightInd w:val="0"/>
      <w:ind w:left="420" w:right="33"/>
      <w:textAlignment w:val="baseline"/>
    </w:pPr>
    <w:rPr>
      <w:sz w:val="24"/>
    </w:rPr>
  </w:style>
  <w:style w:type="paragraph" w:customStyle="1" w:styleId="337">
    <w:name w:val="样式 样式 样式 宋体 小四 黑色 两端对齐 + 首行缩进:  2 字符 + 五号 首行缩进:  2 字符"/>
    <w:basedOn w:val="1"/>
    <w:qFormat/>
    <w:uiPriority w:val="0"/>
    <w:pPr>
      <w:spacing w:line="340" w:lineRule="exact"/>
      <w:ind w:firstLine="200" w:firstLineChars="200"/>
      <w:jc w:val="both"/>
    </w:pPr>
    <w:rPr>
      <w:rFonts w:ascii="宋体" w:hAnsi="宋体"/>
      <w:color w:val="000000"/>
      <w:sz w:val="21"/>
    </w:rPr>
  </w:style>
  <w:style w:type="paragraph" w:customStyle="1" w:styleId="338">
    <w:name w:val="H1"/>
    <w:qFormat/>
    <w:uiPriority w:val="0"/>
    <w:pPr>
      <w:widowControl w:val="0"/>
      <w:adjustRightInd w:val="0"/>
      <w:spacing w:after="240" w:line="240" w:lineRule="atLeast"/>
      <w:textAlignment w:val="baseline"/>
    </w:pPr>
    <w:rPr>
      <w:rFonts w:ascii="Times New Roman" w:hAnsi="Times New Roman" w:eastAsia="全真中明體" w:cs="Times New Roman"/>
      <w:b/>
      <w:caps/>
      <w:spacing w:val="30"/>
      <w:sz w:val="24"/>
      <w:lang w:val="en-GB" w:eastAsia="zh-TW" w:bidi="ar-SA"/>
    </w:rPr>
  </w:style>
  <w:style w:type="paragraph" w:styleId="339">
    <w:name w:val="List Paragraph"/>
    <w:basedOn w:val="1"/>
    <w:link w:val="340"/>
    <w:qFormat/>
    <w:uiPriority w:val="34"/>
    <w:pPr>
      <w:widowControl w:val="0"/>
      <w:ind w:firstLine="420" w:firstLineChars="200"/>
      <w:jc w:val="both"/>
    </w:pPr>
    <w:rPr>
      <w:rFonts w:ascii="Calibri" w:hAnsi="Calibri"/>
      <w:kern w:val="2"/>
      <w:sz w:val="21"/>
      <w:szCs w:val="22"/>
    </w:rPr>
  </w:style>
  <w:style w:type="character" w:customStyle="1" w:styleId="340">
    <w:name w:val="列出段落 Char2"/>
    <w:link w:val="339"/>
    <w:qFormat/>
    <w:uiPriority w:val="34"/>
    <w:rPr>
      <w:rFonts w:ascii="Calibri" w:hAnsi="Calibri"/>
      <w:kern w:val="2"/>
      <w:sz w:val="21"/>
      <w:szCs w:val="22"/>
    </w:rPr>
  </w:style>
  <w:style w:type="paragraph" w:customStyle="1" w:styleId="341">
    <w:name w:val="目录文字"/>
    <w:basedOn w:val="1"/>
    <w:qFormat/>
    <w:uiPriority w:val="0"/>
    <w:pPr>
      <w:spacing w:line="480" w:lineRule="auto"/>
    </w:pPr>
    <w:rPr>
      <w:rFonts w:ascii="宋体" w:hAnsi="宋体"/>
      <w:sz w:val="24"/>
    </w:rPr>
  </w:style>
  <w:style w:type="paragraph" w:customStyle="1" w:styleId="342">
    <w:name w:val="xl51"/>
    <w:basedOn w:val="1"/>
    <w:qFormat/>
    <w:uiPriority w:val="0"/>
    <w:pPr>
      <w:pBdr>
        <w:bottom w:val="single" w:color="auto" w:sz="4" w:space="0"/>
      </w:pBdr>
      <w:spacing w:before="100" w:beforeAutospacing="1" w:after="100" w:afterAutospacing="1"/>
      <w:jc w:val="center"/>
      <w:textAlignment w:val="center"/>
    </w:pPr>
    <w:rPr>
      <w:rFonts w:ascii="宋体" w:hAnsi="宋体"/>
      <w:b/>
      <w:bCs/>
      <w:sz w:val="32"/>
      <w:szCs w:val="32"/>
    </w:rPr>
  </w:style>
  <w:style w:type="paragraph" w:customStyle="1" w:styleId="343">
    <w:name w:val="Cap_标题_3"/>
    <w:next w:val="1"/>
    <w:qFormat/>
    <w:uiPriority w:val="0"/>
    <w:pPr>
      <w:keepNext/>
      <w:tabs>
        <w:tab w:val="left" w:pos="360"/>
        <w:tab w:val="left" w:pos="709"/>
      </w:tabs>
      <w:spacing w:before="180" w:after="120" w:line="278" w:lineRule="auto"/>
      <w:ind w:left="360" w:hanging="360"/>
      <w:outlineLvl w:val="2"/>
    </w:pPr>
    <w:rPr>
      <w:rFonts w:ascii="Arial" w:hAnsi="Arial" w:eastAsia="宋体" w:cs="Arial"/>
      <w:bCs/>
      <w:sz w:val="24"/>
      <w:szCs w:val="24"/>
      <w:lang w:val="en-US" w:eastAsia="en-CA" w:bidi="ar-SA"/>
    </w:rPr>
  </w:style>
  <w:style w:type="paragraph" w:customStyle="1" w:styleId="344">
    <w:name w:val="默认段落字体 Para Char"/>
    <w:basedOn w:val="1"/>
    <w:qFormat/>
    <w:uiPriority w:val="0"/>
    <w:pPr>
      <w:widowControl w:val="0"/>
      <w:snapToGrid w:val="0"/>
      <w:spacing w:line="360" w:lineRule="auto"/>
      <w:ind w:firstLine="200" w:firstLineChars="200"/>
      <w:jc w:val="both"/>
    </w:pPr>
    <w:rPr>
      <w:rFonts w:eastAsia="仿宋_GB2312"/>
      <w:kern w:val="2"/>
      <w:sz w:val="24"/>
      <w:szCs w:val="24"/>
    </w:rPr>
  </w:style>
  <w:style w:type="paragraph" w:customStyle="1" w:styleId="345">
    <w:name w:val="rr"/>
    <w:basedOn w:val="1"/>
    <w:qFormat/>
    <w:uiPriority w:val="0"/>
    <w:pPr>
      <w:spacing w:before="100" w:beforeAutospacing="1" w:after="100" w:afterAutospacing="1"/>
    </w:pPr>
    <w:rPr>
      <w:rFonts w:hint="eastAsia" w:ascii="宋体" w:hAnsi="宋体"/>
      <w:sz w:val="21"/>
      <w:szCs w:val="21"/>
    </w:rPr>
  </w:style>
  <w:style w:type="paragraph" w:customStyle="1" w:styleId="346">
    <w:name w:val="CM53"/>
    <w:basedOn w:val="252"/>
    <w:next w:val="252"/>
    <w:qFormat/>
    <w:uiPriority w:val="0"/>
    <w:pPr>
      <w:spacing w:line="400" w:lineRule="atLeast"/>
    </w:pPr>
    <w:rPr>
      <w:rFonts w:hAnsi="Calibri"/>
      <w:color w:val="auto"/>
    </w:rPr>
  </w:style>
  <w:style w:type="paragraph" w:customStyle="1" w:styleId="347">
    <w:name w:val="CM208"/>
    <w:basedOn w:val="252"/>
    <w:next w:val="252"/>
    <w:qFormat/>
    <w:uiPriority w:val="0"/>
    <w:rPr>
      <w:rFonts w:hAnsi="Calibri"/>
      <w:color w:val="auto"/>
    </w:rPr>
  </w:style>
  <w:style w:type="paragraph" w:customStyle="1" w:styleId="348">
    <w:name w:val="xl32"/>
    <w:basedOn w:val="1"/>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349">
    <w:name w:val="_Style 332"/>
    <w:qFormat/>
    <w:uiPriority w:val="0"/>
    <w:pPr>
      <w:spacing w:after="160" w:line="278" w:lineRule="auto"/>
    </w:pPr>
    <w:rPr>
      <w:rFonts w:ascii="Times New Roman" w:hAnsi="Times New Roman" w:eastAsia="宋体" w:cs="Times New Roman"/>
      <w:lang w:val="en-US" w:eastAsia="zh-CN" w:bidi="ar-SA"/>
    </w:rPr>
  </w:style>
  <w:style w:type="paragraph" w:customStyle="1" w:styleId="350">
    <w:name w:val="CM144"/>
    <w:basedOn w:val="252"/>
    <w:next w:val="252"/>
    <w:qFormat/>
    <w:uiPriority w:val="0"/>
    <w:rPr>
      <w:rFonts w:hAnsi="Calibri"/>
      <w:color w:val="auto"/>
    </w:rPr>
  </w:style>
  <w:style w:type="paragraph" w:customStyle="1" w:styleId="351">
    <w:name w:val="文本"/>
    <w:basedOn w:val="25"/>
    <w:qFormat/>
    <w:uiPriority w:val="0"/>
    <w:pPr>
      <w:widowControl w:val="0"/>
      <w:snapToGrid w:val="0"/>
      <w:spacing w:after="0" w:line="360" w:lineRule="auto"/>
      <w:ind w:firstLine="424" w:firstLineChars="202"/>
      <w:jc w:val="both"/>
    </w:pPr>
    <w:rPr>
      <w:rFonts w:ascii="宋体" w:hAnsi="宋体"/>
      <w:kern w:val="2"/>
      <w:sz w:val="24"/>
      <w:szCs w:val="24"/>
    </w:rPr>
  </w:style>
  <w:style w:type="paragraph" w:customStyle="1" w:styleId="352">
    <w:name w:val="CM109"/>
    <w:basedOn w:val="252"/>
    <w:next w:val="252"/>
    <w:qFormat/>
    <w:uiPriority w:val="0"/>
    <w:rPr>
      <w:rFonts w:hAnsi="Calibri"/>
      <w:color w:val="auto"/>
    </w:rPr>
  </w:style>
  <w:style w:type="paragraph" w:customStyle="1" w:styleId="353">
    <w:name w:val="题1"/>
    <w:basedOn w:val="1"/>
    <w:qFormat/>
    <w:uiPriority w:val="0"/>
    <w:pPr>
      <w:widowControl w:val="0"/>
      <w:adjustRightInd w:val="0"/>
      <w:spacing w:after="60"/>
      <w:ind w:firstLine="510"/>
      <w:jc w:val="both"/>
      <w:textAlignment w:val="baseline"/>
    </w:pPr>
    <w:rPr>
      <w:rFonts w:ascii="楷体_GB2312" w:eastAsia="楷体_GB2312"/>
      <w:b/>
      <w:spacing w:val="15"/>
      <w:sz w:val="21"/>
    </w:rPr>
  </w:style>
  <w:style w:type="paragraph" w:customStyle="1" w:styleId="354">
    <w:name w:val="样式3"/>
    <w:basedOn w:val="6"/>
    <w:qFormat/>
    <w:uiPriority w:val="0"/>
    <w:rPr>
      <w:rFonts w:eastAsia="黑体"/>
      <w:sz w:val="28"/>
    </w:rPr>
  </w:style>
  <w:style w:type="paragraph" w:customStyle="1" w:styleId="355">
    <w:name w:val="P1"/>
    <w:qFormat/>
    <w:uiPriority w:val="0"/>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20"/>
      <w:sz w:val="24"/>
      <w:lang w:val="en-GB" w:eastAsia="zh-TW" w:bidi="ar-SA"/>
    </w:rPr>
  </w:style>
  <w:style w:type="paragraph" w:customStyle="1" w:styleId="356">
    <w:name w:val="Report Text"/>
    <w:qFormat/>
    <w:uiPriority w:val="0"/>
    <w:pPr>
      <w:suppressAutoHyphens/>
      <w:spacing w:after="180" w:line="260" w:lineRule="atLeast"/>
      <w:ind w:left="1253"/>
      <w:jc w:val="both"/>
    </w:pPr>
    <w:rPr>
      <w:rFonts w:ascii="Arial" w:hAnsi="Arial" w:eastAsia="宋体" w:cs="Times New Roman"/>
      <w:sz w:val="22"/>
      <w:lang w:val="en-GB" w:eastAsia="ar-SA" w:bidi="ar-SA"/>
    </w:rPr>
  </w:style>
  <w:style w:type="paragraph" w:customStyle="1" w:styleId="357">
    <w:name w:val="正文文本 21"/>
    <w:basedOn w:val="1"/>
    <w:qFormat/>
    <w:uiPriority w:val="0"/>
    <w:pPr>
      <w:widowControl w:val="0"/>
      <w:adjustRightInd w:val="0"/>
      <w:ind w:firstLine="570"/>
      <w:jc w:val="both"/>
      <w:textAlignment w:val="baseline"/>
    </w:pPr>
    <w:rPr>
      <w:kern w:val="2"/>
      <w:sz w:val="28"/>
    </w:rPr>
  </w:style>
  <w:style w:type="paragraph" w:customStyle="1" w:styleId="358">
    <w:name w:val="CM93"/>
    <w:basedOn w:val="252"/>
    <w:next w:val="252"/>
    <w:qFormat/>
    <w:uiPriority w:val="0"/>
    <w:pPr>
      <w:spacing w:line="678" w:lineRule="atLeast"/>
    </w:pPr>
    <w:rPr>
      <w:rFonts w:hAnsi="Calibri"/>
      <w:color w:val="auto"/>
    </w:rPr>
  </w:style>
  <w:style w:type="paragraph" w:customStyle="1" w:styleId="359">
    <w:name w:val="Char Char Char Char1 Char Char Char"/>
    <w:basedOn w:val="1"/>
    <w:qFormat/>
    <w:uiPriority w:val="0"/>
    <w:pPr>
      <w:widowControl w:val="0"/>
      <w:spacing w:line="240" w:lineRule="atLeast"/>
      <w:ind w:left="420" w:firstLine="420"/>
      <w:jc w:val="both"/>
    </w:pPr>
    <w:rPr>
      <w:sz w:val="21"/>
      <w:szCs w:val="21"/>
    </w:rPr>
  </w:style>
  <w:style w:type="paragraph" w:customStyle="1" w:styleId="360">
    <w:name w:val="Cap_正文"/>
    <w:qFormat/>
    <w:uiPriority w:val="0"/>
    <w:pPr>
      <w:spacing w:after="160" w:line="278" w:lineRule="auto"/>
      <w:ind w:firstLine="200" w:firstLineChars="200"/>
    </w:pPr>
    <w:rPr>
      <w:rFonts w:ascii="Times New Roman" w:hAnsi="Times New Roman" w:eastAsia="宋体" w:cs="Times New Roman"/>
      <w:sz w:val="22"/>
      <w:szCs w:val="24"/>
      <w:lang w:val="en-US" w:eastAsia="en-CA" w:bidi="ar-SA"/>
    </w:rPr>
  </w:style>
  <w:style w:type="paragraph" w:customStyle="1" w:styleId="361">
    <w:name w:val="正文00"/>
    <w:basedOn w:val="1"/>
    <w:qFormat/>
    <w:uiPriority w:val="0"/>
    <w:pPr>
      <w:widowControl w:val="0"/>
      <w:topLinePunct/>
      <w:spacing w:line="360" w:lineRule="auto"/>
      <w:ind w:firstLine="200" w:firstLineChars="200"/>
      <w:jc w:val="both"/>
    </w:pPr>
    <w:rPr>
      <w:kern w:val="2"/>
      <w:sz w:val="24"/>
      <w:szCs w:val="21"/>
    </w:rPr>
  </w:style>
  <w:style w:type="paragraph" w:customStyle="1" w:styleId="362">
    <w:name w:val="CM87"/>
    <w:basedOn w:val="252"/>
    <w:next w:val="252"/>
    <w:qFormat/>
    <w:uiPriority w:val="0"/>
    <w:pPr>
      <w:spacing w:line="391" w:lineRule="atLeast"/>
    </w:pPr>
    <w:rPr>
      <w:rFonts w:hAnsi="Calibri"/>
      <w:color w:val="auto"/>
    </w:rPr>
  </w:style>
  <w:style w:type="paragraph" w:customStyle="1" w:styleId="363">
    <w:name w:val="font5"/>
    <w:basedOn w:val="1"/>
    <w:qFormat/>
    <w:uiPriority w:val="0"/>
    <w:pPr>
      <w:spacing w:before="100" w:beforeAutospacing="1" w:after="100" w:afterAutospacing="1"/>
    </w:pPr>
    <w:rPr>
      <w:rFonts w:hint="eastAsia" w:ascii="宋体" w:hAnsi="宋体" w:cs="Arial Unicode MS"/>
      <w:sz w:val="18"/>
      <w:szCs w:val="18"/>
    </w:rPr>
  </w:style>
  <w:style w:type="paragraph" w:customStyle="1" w:styleId="364">
    <w:name w:val="CM99"/>
    <w:basedOn w:val="252"/>
    <w:next w:val="252"/>
    <w:qFormat/>
    <w:uiPriority w:val="0"/>
    <w:pPr>
      <w:spacing w:line="408" w:lineRule="atLeast"/>
    </w:pPr>
    <w:rPr>
      <w:rFonts w:hAnsi="Calibri"/>
      <w:color w:val="auto"/>
    </w:rPr>
  </w:style>
  <w:style w:type="paragraph" w:customStyle="1" w:styleId="365">
    <w:name w:val="标书正文格式"/>
    <w:link w:val="366"/>
    <w:qFormat/>
    <w:uiPriority w:val="0"/>
    <w:pPr>
      <w:spacing w:after="160" w:line="278" w:lineRule="auto"/>
      <w:ind w:firstLine="200" w:firstLineChars="200"/>
    </w:pPr>
    <w:rPr>
      <w:rFonts w:ascii="Times New Roman" w:hAnsi="Times New Roman" w:eastAsia="宋体" w:cs="Times New Roman"/>
      <w:kern w:val="2"/>
      <w:sz w:val="28"/>
      <w:szCs w:val="28"/>
      <w:lang w:val="en-US" w:eastAsia="zh-CN" w:bidi="ar-SA"/>
    </w:rPr>
  </w:style>
  <w:style w:type="character" w:customStyle="1" w:styleId="366">
    <w:name w:val="标书正文格式 Char"/>
    <w:link w:val="365"/>
    <w:qFormat/>
    <w:uiPriority w:val="0"/>
    <w:rPr>
      <w:kern w:val="2"/>
      <w:sz w:val="28"/>
      <w:szCs w:val="28"/>
    </w:rPr>
  </w:style>
  <w:style w:type="paragraph" w:customStyle="1" w:styleId="367">
    <w:name w:val="CM46"/>
    <w:basedOn w:val="252"/>
    <w:next w:val="252"/>
    <w:qFormat/>
    <w:uiPriority w:val="0"/>
    <w:pPr>
      <w:spacing w:line="313" w:lineRule="atLeast"/>
    </w:pPr>
    <w:rPr>
      <w:rFonts w:hAnsi="Calibri"/>
      <w:color w:val="auto"/>
    </w:rPr>
  </w:style>
  <w:style w:type="paragraph" w:customStyle="1" w:styleId="368">
    <w:name w:val="xl47"/>
    <w:basedOn w:val="1"/>
    <w:qFormat/>
    <w:uiPriority w:val="0"/>
    <w:pPr>
      <w:pBdr>
        <w:bottom w:val="single" w:color="auto" w:sz="4" w:space="0"/>
      </w:pBdr>
      <w:spacing w:before="100" w:beforeAutospacing="1" w:after="100" w:afterAutospacing="1"/>
    </w:pPr>
    <w:rPr>
      <w:rFonts w:eastAsia="Arial Unicode MS"/>
      <w:b/>
      <w:bCs/>
      <w:sz w:val="22"/>
      <w:szCs w:val="22"/>
    </w:rPr>
  </w:style>
  <w:style w:type="paragraph" w:customStyle="1" w:styleId="369">
    <w:name w:val="CM121"/>
    <w:basedOn w:val="252"/>
    <w:next w:val="252"/>
    <w:qFormat/>
    <w:uiPriority w:val="0"/>
    <w:rPr>
      <w:rFonts w:hAnsi="Calibri"/>
      <w:color w:val="auto"/>
    </w:rPr>
  </w:style>
  <w:style w:type="paragraph" w:customStyle="1" w:styleId="370">
    <w:name w:val="样式 标题 1 + 宋体 居中 段前: 48 磅 段后: 12 磅 行距: 1.5 倍行距"/>
    <w:basedOn w:val="4"/>
    <w:qFormat/>
    <w:uiPriority w:val="0"/>
    <w:pPr>
      <w:widowControl w:val="0"/>
      <w:adjustRightInd w:val="0"/>
      <w:spacing w:before="100" w:beforeAutospacing="1" w:after="0" w:line="360" w:lineRule="auto"/>
      <w:jc w:val="center"/>
      <w:textAlignment w:val="baseline"/>
    </w:pPr>
    <w:rPr>
      <w:rFonts w:ascii="宋体" w:hAnsi="宋体" w:cs="宋体"/>
      <w:snapToGrid w:val="0"/>
      <w:kern w:val="2"/>
    </w:rPr>
  </w:style>
  <w:style w:type="paragraph" w:customStyle="1" w:styleId="371">
    <w:name w:val="CM124"/>
    <w:basedOn w:val="252"/>
    <w:next w:val="252"/>
    <w:qFormat/>
    <w:uiPriority w:val="0"/>
    <w:pPr>
      <w:spacing w:line="273" w:lineRule="atLeast"/>
    </w:pPr>
    <w:rPr>
      <w:rFonts w:hAnsi="Calibri"/>
      <w:color w:val="auto"/>
    </w:rPr>
  </w:style>
  <w:style w:type="paragraph" w:customStyle="1" w:styleId="372">
    <w:name w:val="CM106"/>
    <w:basedOn w:val="252"/>
    <w:next w:val="252"/>
    <w:qFormat/>
    <w:uiPriority w:val="0"/>
    <w:pPr>
      <w:spacing w:line="391" w:lineRule="atLeast"/>
    </w:pPr>
    <w:rPr>
      <w:rFonts w:hAnsi="Calibri"/>
      <w:color w:val="auto"/>
    </w:rPr>
  </w:style>
  <w:style w:type="paragraph" w:customStyle="1" w:styleId="373">
    <w:name w:val="题1.1"/>
    <w:basedOn w:val="1"/>
    <w:qFormat/>
    <w:uiPriority w:val="0"/>
    <w:pPr>
      <w:widowControl w:val="0"/>
      <w:adjustRightInd w:val="0"/>
      <w:spacing w:after="60"/>
      <w:ind w:left="454" w:firstLine="454"/>
      <w:jc w:val="both"/>
      <w:textAlignment w:val="baseline"/>
    </w:pPr>
    <w:rPr>
      <w:rFonts w:ascii="楷体_GB2312" w:eastAsia="楷体_GB2312"/>
      <w:spacing w:val="15"/>
      <w:sz w:val="21"/>
    </w:rPr>
  </w:style>
  <w:style w:type="paragraph" w:customStyle="1" w:styleId="374">
    <w:name w:val="CM184"/>
    <w:basedOn w:val="252"/>
    <w:next w:val="252"/>
    <w:qFormat/>
    <w:uiPriority w:val="0"/>
    <w:rPr>
      <w:rFonts w:hAnsi="Calibri"/>
      <w:color w:val="auto"/>
    </w:rPr>
  </w:style>
  <w:style w:type="paragraph" w:customStyle="1" w:styleId="375">
    <w:name w:val="CM47"/>
    <w:basedOn w:val="252"/>
    <w:next w:val="252"/>
    <w:qFormat/>
    <w:uiPriority w:val="0"/>
    <w:pPr>
      <w:spacing w:line="400" w:lineRule="atLeast"/>
    </w:pPr>
    <w:rPr>
      <w:rFonts w:hAnsi="Calibri"/>
      <w:color w:val="auto"/>
    </w:rPr>
  </w:style>
  <w:style w:type="paragraph" w:customStyle="1" w:styleId="376">
    <w:name w:val="CM205"/>
    <w:basedOn w:val="252"/>
    <w:next w:val="252"/>
    <w:qFormat/>
    <w:uiPriority w:val="0"/>
    <w:rPr>
      <w:rFonts w:hAnsi="Calibri"/>
      <w:color w:val="auto"/>
    </w:rPr>
  </w:style>
  <w:style w:type="paragraph" w:customStyle="1" w:styleId="377">
    <w:name w:val="CM68"/>
    <w:basedOn w:val="252"/>
    <w:next w:val="252"/>
    <w:qFormat/>
    <w:uiPriority w:val="0"/>
    <w:pPr>
      <w:spacing w:line="466" w:lineRule="atLeast"/>
    </w:pPr>
    <w:rPr>
      <w:rFonts w:hAnsi="Calibri"/>
      <w:color w:val="auto"/>
    </w:rPr>
  </w:style>
  <w:style w:type="paragraph" w:customStyle="1" w:styleId="378">
    <w:name w:val="批注框文本 Char Char"/>
    <w:basedOn w:val="1"/>
    <w:qFormat/>
    <w:uiPriority w:val="0"/>
    <w:rPr>
      <w:sz w:val="18"/>
    </w:rPr>
  </w:style>
  <w:style w:type="paragraph" w:customStyle="1" w:styleId="379">
    <w:name w:val="CM135"/>
    <w:basedOn w:val="252"/>
    <w:next w:val="252"/>
    <w:qFormat/>
    <w:uiPriority w:val="0"/>
    <w:pPr>
      <w:spacing w:line="273" w:lineRule="atLeast"/>
    </w:pPr>
    <w:rPr>
      <w:rFonts w:hAnsi="Calibri"/>
      <w:color w:val="auto"/>
    </w:rPr>
  </w:style>
  <w:style w:type="paragraph" w:customStyle="1" w:styleId="380">
    <w:name w:val="样式 样式 标题 2Underrubrik1prop2Heading 2 HiddenHeading 2 CCBS2nd l....."/>
    <w:basedOn w:val="381"/>
    <w:qFormat/>
    <w:uiPriority w:val="0"/>
    <w:pPr>
      <w:spacing w:beforeLines="0" w:afterLines="0"/>
      <w:ind w:right="240"/>
    </w:pPr>
  </w:style>
  <w:style w:type="paragraph" w:customStyle="1" w:styleId="381">
    <w:name w:val="样式 标题 2Underrubrik1prop2Heading 2 HiddenHeading 2 CCBS2nd l..."/>
    <w:basedOn w:val="5"/>
    <w:qFormat/>
    <w:uiPriority w:val="0"/>
    <w:pPr>
      <w:widowControl w:val="0"/>
      <w:spacing w:beforeLines="50" w:afterLines="100" w:line="415" w:lineRule="auto"/>
      <w:ind w:left="100" w:leftChars="100" w:right="100" w:rightChars="100"/>
      <w:jc w:val="both"/>
    </w:pPr>
    <w:rPr>
      <w:rFonts w:ascii="宋体" w:hAnsi="宋体" w:eastAsia="宋体" w:cs="宋体"/>
      <w:kern w:val="2"/>
      <w:sz w:val="24"/>
      <w:szCs w:val="20"/>
    </w:rPr>
  </w:style>
  <w:style w:type="paragraph" w:customStyle="1" w:styleId="382">
    <w:name w:val="Char Char Char Char Char Char Char Char Char Char Char Char Char Char Char Char Char Char Char Char Char Char Char Char Char Char Char Char1"/>
    <w:basedOn w:val="1"/>
    <w:qFormat/>
    <w:uiPriority w:val="0"/>
    <w:pPr>
      <w:spacing w:line="240" w:lineRule="exact"/>
    </w:pPr>
    <w:rPr>
      <w:rFonts w:ascii="Verdana" w:hAnsi="Verdana" w:eastAsia="仿宋_GB2312"/>
      <w:sz w:val="24"/>
      <w:lang w:eastAsia="en-US"/>
    </w:rPr>
  </w:style>
  <w:style w:type="paragraph" w:customStyle="1" w:styleId="383">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384">
    <w:name w:val="pa-34"/>
    <w:basedOn w:val="1"/>
    <w:qFormat/>
    <w:uiPriority w:val="0"/>
    <w:pPr>
      <w:spacing w:line="360" w:lineRule="atLeast"/>
      <w:ind w:firstLine="420"/>
    </w:pPr>
    <w:rPr>
      <w:rFonts w:ascii="宋体" w:hAnsi="宋体" w:cs="宋体"/>
      <w:sz w:val="24"/>
      <w:szCs w:val="24"/>
    </w:rPr>
  </w:style>
  <w:style w:type="paragraph" w:customStyle="1" w:styleId="385">
    <w:name w:val="CM191"/>
    <w:basedOn w:val="252"/>
    <w:next w:val="252"/>
    <w:qFormat/>
    <w:uiPriority w:val="0"/>
    <w:rPr>
      <w:rFonts w:hAnsi="Calibri"/>
      <w:color w:val="auto"/>
    </w:rPr>
  </w:style>
  <w:style w:type="paragraph" w:customStyle="1" w:styleId="386">
    <w:name w:val="CM212"/>
    <w:basedOn w:val="252"/>
    <w:next w:val="252"/>
    <w:qFormat/>
    <w:uiPriority w:val="0"/>
    <w:rPr>
      <w:rFonts w:hAnsi="Calibri"/>
      <w:color w:val="auto"/>
    </w:rPr>
  </w:style>
  <w:style w:type="paragraph" w:customStyle="1" w:styleId="387">
    <w:name w:val="样式 标题 1刘兵12标题 1    第一章H1自标题 1技术标题1Section Head标题 1 1标书1..."/>
    <w:basedOn w:val="4"/>
    <w:qFormat/>
    <w:uiPriority w:val="0"/>
    <w:pPr>
      <w:keepNext w:val="0"/>
      <w:keepLines w:val="0"/>
      <w:widowControl w:val="0"/>
      <w:tabs>
        <w:tab w:val="left" w:pos="360"/>
      </w:tabs>
      <w:spacing w:before="120" w:after="240" w:line="360" w:lineRule="auto"/>
      <w:jc w:val="center"/>
    </w:pPr>
    <w:rPr>
      <w:rFonts w:ascii="黑体" w:hAnsi="Arial" w:eastAsia="黑体" w:cs="宋体"/>
      <w:sz w:val="24"/>
      <w:szCs w:val="20"/>
    </w:rPr>
  </w:style>
  <w:style w:type="paragraph" w:customStyle="1" w:styleId="388">
    <w:name w:val="CM49"/>
    <w:basedOn w:val="252"/>
    <w:next w:val="252"/>
    <w:qFormat/>
    <w:uiPriority w:val="0"/>
    <w:pPr>
      <w:spacing w:line="398" w:lineRule="atLeast"/>
    </w:pPr>
    <w:rPr>
      <w:rFonts w:hAnsi="Calibri"/>
      <w:color w:val="auto"/>
    </w:rPr>
  </w:style>
  <w:style w:type="paragraph" w:customStyle="1" w:styleId="389">
    <w:name w:val="CM105"/>
    <w:basedOn w:val="252"/>
    <w:next w:val="252"/>
    <w:qFormat/>
    <w:uiPriority w:val="0"/>
    <w:rPr>
      <w:rFonts w:hAnsi="Calibri"/>
      <w:color w:val="auto"/>
    </w:rPr>
  </w:style>
  <w:style w:type="paragraph" w:customStyle="1" w:styleId="390">
    <w:name w:val="CM203"/>
    <w:basedOn w:val="252"/>
    <w:next w:val="252"/>
    <w:qFormat/>
    <w:uiPriority w:val="0"/>
    <w:rPr>
      <w:rFonts w:hAnsi="Calibri"/>
      <w:color w:val="auto"/>
    </w:rPr>
  </w:style>
  <w:style w:type="paragraph" w:customStyle="1" w:styleId="391">
    <w:name w:val="正文1"/>
    <w:qFormat/>
    <w:uiPriority w:val="0"/>
    <w:pPr>
      <w:widowControl w:val="0"/>
      <w:adjustRightInd w:val="0"/>
      <w:spacing w:after="200" w:line="312" w:lineRule="atLeast"/>
      <w:jc w:val="both"/>
    </w:pPr>
    <w:rPr>
      <w:rFonts w:ascii="宋体" w:hAnsi="Calibri" w:eastAsia="宋体" w:cs="Times New Roman"/>
      <w:sz w:val="34"/>
      <w:szCs w:val="22"/>
      <w:lang w:val="en-US" w:eastAsia="zh-CN" w:bidi="ar-SA"/>
    </w:rPr>
  </w:style>
  <w:style w:type="paragraph" w:customStyle="1" w:styleId="392">
    <w:name w:val="xl31"/>
    <w:basedOn w:val="1"/>
    <w:qFormat/>
    <w:uiPriority w:val="0"/>
    <w:pPr>
      <w:pBdr>
        <w:top w:val="single" w:color="auto" w:sz="4" w:space="0"/>
        <w:lef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393">
    <w:name w:val="CM97"/>
    <w:basedOn w:val="252"/>
    <w:next w:val="252"/>
    <w:qFormat/>
    <w:uiPriority w:val="0"/>
    <w:pPr>
      <w:spacing w:line="346" w:lineRule="atLeast"/>
    </w:pPr>
    <w:rPr>
      <w:rFonts w:hAnsi="Calibri"/>
      <w:color w:val="auto"/>
    </w:rPr>
  </w:style>
  <w:style w:type="paragraph" w:customStyle="1" w:styleId="394">
    <w:name w:val="CM33"/>
    <w:basedOn w:val="252"/>
    <w:next w:val="252"/>
    <w:qFormat/>
    <w:uiPriority w:val="0"/>
    <w:pPr>
      <w:spacing w:line="400" w:lineRule="atLeast"/>
    </w:pPr>
    <w:rPr>
      <w:rFonts w:hAnsi="Calibri"/>
      <w:color w:val="auto"/>
    </w:rPr>
  </w:style>
  <w:style w:type="paragraph" w:customStyle="1" w:styleId="395">
    <w:name w:val="CM177"/>
    <w:basedOn w:val="252"/>
    <w:next w:val="252"/>
    <w:qFormat/>
    <w:uiPriority w:val="0"/>
    <w:rPr>
      <w:rFonts w:hAnsi="Calibri"/>
      <w:color w:val="auto"/>
    </w:rPr>
  </w:style>
  <w:style w:type="paragraph" w:customStyle="1" w:styleId="396">
    <w:name w:val="Char Char Char Char1 Char Char Char Char Char1 Char Char Char1 Char2"/>
    <w:basedOn w:val="1"/>
    <w:qFormat/>
    <w:uiPriority w:val="0"/>
    <w:pPr>
      <w:widowControl w:val="0"/>
      <w:spacing w:line="240" w:lineRule="atLeast"/>
      <w:ind w:left="420" w:firstLine="420"/>
      <w:jc w:val="both"/>
    </w:pPr>
    <w:rPr>
      <w:kern w:val="2"/>
      <w:sz w:val="21"/>
      <w:szCs w:val="24"/>
    </w:rPr>
  </w:style>
  <w:style w:type="paragraph" w:customStyle="1" w:styleId="397">
    <w:name w:val="样式 正文缩进正文（首行缩进两字）特点ALT+Z表正文正文非缩进四号段1Normal Indent Char2...2"/>
    <w:basedOn w:val="6"/>
    <w:qFormat/>
    <w:uiPriority w:val="0"/>
    <w:pPr>
      <w:widowControl w:val="0"/>
      <w:tabs>
        <w:tab w:val="left" w:pos="1740"/>
      </w:tabs>
      <w:adjustRightInd w:val="0"/>
      <w:spacing w:before="360" w:after="120" w:line="360" w:lineRule="auto"/>
      <w:ind w:left="1740" w:hanging="420"/>
      <w:jc w:val="center"/>
      <w:textAlignment w:val="baseline"/>
    </w:pPr>
    <w:rPr>
      <w:rFonts w:ascii="宋体" w:hAnsi="宋体"/>
      <w:bCs w:val="0"/>
      <w:sz w:val="28"/>
      <w:szCs w:val="28"/>
    </w:rPr>
  </w:style>
  <w:style w:type="paragraph" w:customStyle="1" w:styleId="398">
    <w:name w:val="CM108"/>
    <w:basedOn w:val="252"/>
    <w:next w:val="252"/>
    <w:qFormat/>
    <w:uiPriority w:val="0"/>
    <w:pPr>
      <w:spacing w:line="340" w:lineRule="atLeast"/>
    </w:pPr>
    <w:rPr>
      <w:rFonts w:hAnsi="Calibri"/>
      <w:color w:val="auto"/>
    </w:rPr>
  </w:style>
  <w:style w:type="paragraph" w:customStyle="1" w:styleId="399">
    <w:name w:val="CM78"/>
    <w:basedOn w:val="252"/>
    <w:next w:val="252"/>
    <w:qFormat/>
    <w:uiPriority w:val="0"/>
    <w:rPr>
      <w:rFonts w:hAnsi="Calibri"/>
      <w:color w:val="auto"/>
    </w:rPr>
  </w:style>
  <w:style w:type="paragraph" w:customStyle="1" w:styleId="400">
    <w:name w:val="CM146"/>
    <w:basedOn w:val="252"/>
    <w:next w:val="252"/>
    <w:qFormat/>
    <w:uiPriority w:val="0"/>
    <w:rPr>
      <w:rFonts w:hAnsi="Calibri"/>
      <w:color w:val="auto"/>
    </w:rPr>
  </w:style>
  <w:style w:type="paragraph" w:customStyle="1" w:styleId="401">
    <w:name w:val="CM170"/>
    <w:basedOn w:val="252"/>
    <w:next w:val="252"/>
    <w:qFormat/>
    <w:uiPriority w:val="0"/>
    <w:rPr>
      <w:rFonts w:hAnsi="Calibri"/>
      <w:color w:val="auto"/>
    </w:rPr>
  </w:style>
  <w:style w:type="paragraph" w:customStyle="1" w:styleId="402">
    <w:name w:val="CM6"/>
    <w:basedOn w:val="252"/>
    <w:next w:val="252"/>
    <w:qFormat/>
    <w:uiPriority w:val="0"/>
    <w:pPr>
      <w:spacing w:line="500" w:lineRule="atLeast"/>
    </w:pPr>
    <w:rPr>
      <w:rFonts w:hAnsi="Calibri"/>
      <w:color w:val="auto"/>
    </w:rPr>
  </w:style>
  <w:style w:type="paragraph" w:customStyle="1" w:styleId="403">
    <w:name w:val="表格文字"/>
    <w:basedOn w:val="1"/>
    <w:qFormat/>
    <w:uiPriority w:val="0"/>
    <w:pPr>
      <w:widowControl w:val="0"/>
      <w:adjustRightInd w:val="0"/>
      <w:spacing w:line="420" w:lineRule="atLeast"/>
      <w:textAlignment w:val="baseline"/>
    </w:pPr>
    <w:rPr>
      <w:sz w:val="21"/>
    </w:rPr>
  </w:style>
  <w:style w:type="paragraph" w:customStyle="1" w:styleId="404">
    <w:name w:val="P3"/>
    <w:qFormat/>
    <w:uiPriority w:val="0"/>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lang w:val="en-GB" w:eastAsia="zh-TW" w:bidi="ar-SA"/>
    </w:rPr>
  </w:style>
  <w:style w:type="paragraph" w:customStyle="1" w:styleId="405">
    <w:name w:val="CM204"/>
    <w:basedOn w:val="252"/>
    <w:next w:val="252"/>
    <w:qFormat/>
    <w:uiPriority w:val="0"/>
    <w:rPr>
      <w:rFonts w:hAnsi="Calibri"/>
      <w:color w:val="auto"/>
    </w:rPr>
  </w:style>
  <w:style w:type="paragraph" w:customStyle="1" w:styleId="406">
    <w:name w:val="CM197"/>
    <w:basedOn w:val="252"/>
    <w:next w:val="252"/>
    <w:qFormat/>
    <w:uiPriority w:val="0"/>
    <w:rPr>
      <w:rFonts w:hAnsi="Calibri"/>
      <w:color w:val="auto"/>
    </w:rPr>
  </w:style>
  <w:style w:type="paragraph" w:customStyle="1" w:styleId="407">
    <w:name w:val="CM111"/>
    <w:basedOn w:val="252"/>
    <w:next w:val="252"/>
    <w:qFormat/>
    <w:uiPriority w:val="0"/>
    <w:pPr>
      <w:spacing w:line="340" w:lineRule="atLeast"/>
    </w:pPr>
    <w:rPr>
      <w:rFonts w:hAnsi="Calibri"/>
      <w:color w:val="auto"/>
    </w:rPr>
  </w:style>
  <w:style w:type="paragraph" w:customStyle="1" w:styleId="408">
    <w:name w:val="CM65"/>
    <w:basedOn w:val="252"/>
    <w:next w:val="252"/>
    <w:qFormat/>
    <w:uiPriority w:val="0"/>
    <w:pPr>
      <w:spacing w:line="400" w:lineRule="atLeast"/>
    </w:pPr>
    <w:rPr>
      <w:rFonts w:hAnsi="Calibri"/>
      <w:color w:val="auto"/>
    </w:rPr>
  </w:style>
  <w:style w:type="paragraph" w:customStyle="1" w:styleId="409">
    <w:name w:val="6'"/>
    <w:basedOn w:val="1"/>
    <w:qFormat/>
    <w:uiPriority w:val="0"/>
    <w:pPr>
      <w:widowControl w:val="0"/>
      <w:autoSpaceDE w:val="0"/>
      <w:autoSpaceDN w:val="0"/>
      <w:adjustRightInd w:val="0"/>
      <w:snapToGrid w:val="0"/>
      <w:spacing w:line="320" w:lineRule="exact"/>
      <w:jc w:val="center"/>
      <w:textAlignment w:val="baseline"/>
    </w:pPr>
    <w:rPr>
      <w:spacing w:val="20"/>
      <w:kern w:val="28"/>
      <w:sz w:val="21"/>
    </w:rPr>
  </w:style>
  <w:style w:type="paragraph" w:customStyle="1" w:styleId="410">
    <w:name w:val="空半行"/>
    <w:basedOn w:val="1"/>
    <w:qFormat/>
    <w:uiPriority w:val="0"/>
    <w:pPr>
      <w:widowControl w:val="0"/>
      <w:adjustRightInd w:val="0"/>
      <w:spacing w:line="120" w:lineRule="exact"/>
      <w:jc w:val="both"/>
      <w:textAlignment w:val="baseline"/>
    </w:pPr>
    <w:rPr>
      <w:rFonts w:eastAsia="仿宋_GB2312"/>
      <w:color w:val="FFFFFF"/>
      <w:sz w:val="30"/>
    </w:rPr>
  </w:style>
  <w:style w:type="paragraph" w:customStyle="1" w:styleId="411">
    <w:name w:val="Char Char Char Char"/>
    <w:basedOn w:val="1"/>
    <w:qFormat/>
    <w:uiPriority w:val="0"/>
    <w:pPr>
      <w:widowControl w:val="0"/>
      <w:spacing w:line="240" w:lineRule="atLeast"/>
      <w:ind w:left="420" w:firstLine="420"/>
      <w:jc w:val="both"/>
    </w:pPr>
    <w:rPr>
      <w:sz w:val="21"/>
      <w:szCs w:val="21"/>
    </w:rPr>
  </w:style>
  <w:style w:type="paragraph" w:customStyle="1" w:styleId="412">
    <w:name w:val="CM50"/>
    <w:basedOn w:val="252"/>
    <w:next w:val="252"/>
    <w:qFormat/>
    <w:uiPriority w:val="0"/>
    <w:pPr>
      <w:spacing w:line="398" w:lineRule="atLeast"/>
    </w:pPr>
    <w:rPr>
      <w:rFonts w:hAnsi="Calibri"/>
      <w:color w:val="auto"/>
    </w:rPr>
  </w:style>
  <w:style w:type="paragraph" w:customStyle="1" w:styleId="413">
    <w:name w:val="CM192"/>
    <w:basedOn w:val="252"/>
    <w:next w:val="252"/>
    <w:qFormat/>
    <w:uiPriority w:val="0"/>
    <w:rPr>
      <w:rFonts w:hAnsi="Calibri"/>
      <w:color w:val="auto"/>
    </w:rPr>
  </w:style>
  <w:style w:type="paragraph" w:customStyle="1" w:styleId="414">
    <w:name w:val="CM210"/>
    <w:basedOn w:val="252"/>
    <w:next w:val="252"/>
    <w:qFormat/>
    <w:uiPriority w:val="0"/>
    <w:rPr>
      <w:rFonts w:hAnsi="Calibri"/>
      <w:color w:val="auto"/>
    </w:rPr>
  </w:style>
  <w:style w:type="paragraph" w:customStyle="1" w:styleId="415">
    <w:name w:val="CM196"/>
    <w:basedOn w:val="252"/>
    <w:next w:val="252"/>
    <w:qFormat/>
    <w:uiPriority w:val="0"/>
    <w:rPr>
      <w:rFonts w:hAnsi="Calibri"/>
      <w:color w:val="auto"/>
    </w:rPr>
  </w:style>
  <w:style w:type="paragraph" w:customStyle="1" w:styleId="416">
    <w:name w:val="xl39"/>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sz w:val="18"/>
      <w:szCs w:val="18"/>
    </w:rPr>
  </w:style>
  <w:style w:type="paragraph" w:customStyle="1" w:styleId="417">
    <w:name w:val="text"/>
    <w:basedOn w:val="1"/>
    <w:qFormat/>
    <w:uiPriority w:val="0"/>
    <w:pPr>
      <w:spacing w:before="100" w:beforeAutospacing="1" w:after="100" w:afterAutospacing="1"/>
    </w:pPr>
    <w:rPr>
      <w:rFonts w:ascii="??" w:hAnsi="??" w:cs="宋体"/>
      <w:color w:val="000000"/>
      <w:sz w:val="18"/>
      <w:szCs w:val="18"/>
    </w:rPr>
  </w:style>
  <w:style w:type="paragraph" w:customStyle="1" w:styleId="418">
    <w:name w:val="CM129"/>
    <w:basedOn w:val="252"/>
    <w:next w:val="252"/>
    <w:qFormat/>
    <w:uiPriority w:val="0"/>
    <w:rPr>
      <w:rFonts w:hAnsi="Calibri"/>
      <w:color w:val="auto"/>
    </w:rPr>
  </w:style>
  <w:style w:type="paragraph" w:customStyle="1" w:styleId="419">
    <w:name w:val="Char Char Char Char Char Char"/>
    <w:basedOn w:val="1"/>
    <w:qFormat/>
    <w:uiPriority w:val="0"/>
    <w:pPr>
      <w:widowControl w:val="0"/>
      <w:adjustRightInd w:val="0"/>
      <w:spacing w:line="360" w:lineRule="auto"/>
      <w:jc w:val="both"/>
    </w:pPr>
    <w:rPr>
      <w:sz w:val="24"/>
    </w:rPr>
  </w:style>
  <w:style w:type="paragraph" w:customStyle="1" w:styleId="420">
    <w:name w:val="CM64"/>
    <w:basedOn w:val="252"/>
    <w:next w:val="252"/>
    <w:qFormat/>
    <w:uiPriority w:val="0"/>
    <w:pPr>
      <w:spacing w:line="400" w:lineRule="atLeast"/>
    </w:pPr>
    <w:rPr>
      <w:rFonts w:hAnsi="Calibri"/>
      <w:color w:val="auto"/>
    </w:rPr>
  </w:style>
  <w:style w:type="paragraph" w:customStyle="1" w:styleId="421">
    <w:name w:val="纯文本1"/>
    <w:basedOn w:val="1"/>
    <w:qFormat/>
    <w:uiPriority w:val="0"/>
    <w:pPr>
      <w:widowControl w:val="0"/>
      <w:jc w:val="both"/>
    </w:pPr>
    <w:rPr>
      <w:rFonts w:ascii="宋体" w:hAnsi="Courier New" w:cs="Courier New"/>
      <w:kern w:val="2"/>
      <w:sz w:val="21"/>
      <w:szCs w:val="21"/>
    </w:rPr>
  </w:style>
  <w:style w:type="paragraph" w:customStyle="1" w:styleId="422">
    <w:name w:val="CM21"/>
    <w:basedOn w:val="252"/>
    <w:next w:val="252"/>
    <w:qFormat/>
    <w:uiPriority w:val="0"/>
    <w:rPr>
      <w:rFonts w:hAnsi="Calibri"/>
      <w:color w:val="auto"/>
    </w:rPr>
  </w:style>
  <w:style w:type="paragraph" w:customStyle="1" w:styleId="423">
    <w:name w:val="CM7"/>
    <w:basedOn w:val="252"/>
    <w:next w:val="252"/>
    <w:qFormat/>
    <w:uiPriority w:val="0"/>
    <w:rPr>
      <w:rFonts w:hAnsi="Calibri"/>
      <w:color w:val="auto"/>
    </w:rPr>
  </w:style>
  <w:style w:type="paragraph" w:customStyle="1" w:styleId="424">
    <w:name w:val="规范文本"/>
    <w:basedOn w:val="33"/>
    <w:qFormat/>
    <w:uiPriority w:val="0"/>
    <w:pPr>
      <w:adjustRightInd w:val="0"/>
      <w:snapToGrid w:val="0"/>
      <w:spacing w:line="360" w:lineRule="exact"/>
      <w:ind w:firstLine="420"/>
    </w:pPr>
    <w:rPr>
      <w:snapToGrid w:val="0"/>
      <w:kern w:val="0"/>
      <w:szCs w:val="20"/>
    </w:rPr>
  </w:style>
  <w:style w:type="paragraph" w:customStyle="1" w:styleId="425">
    <w:name w:val="普通(网站)1"/>
    <w:basedOn w:val="1"/>
    <w:qFormat/>
    <w:uiPriority w:val="0"/>
    <w:pPr>
      <w:spacing w:before="100" w:beforeAutospacing="1" w:after="100" w:afterAutospacing="1"/>
    </w:pPr>
    <w:rPr>
      <w:rFonts w:ascii="宋体" w:hAnsi="宋体" w:cs="宋体"/>
      <w:sz w:val="24"/>
      <w:szCs w:val="24"/>
    </w:rPr>
  </w:style>
  <w:style w:type="paragraph" w:customStyle="1" w:styleId="426">
    <w:name w:val="tabletext"/>
    <w:basedOn w:val="1"/>
    <w:qFormat/>
    <w:uiPriority w:val="0"/>
    <w:pPr>
      <w:spacing w:before="100" w:beforeAutospacing="1" w:after="100" w:afterAutospacing="1"/>
    </w:pPr>
    <w:rPr>
      <w:rFonts w:ascii="宋体" w:hAnsi="宋体" w:cs="宋体"/>
      <w:sz w:val="24"/>
      <w:szCs w:val="24"/>
    </w:rPr>
  </w:style>
  <w:style w:type="paragraph" w:customStyle="1" w:styleId="427">
    <w:name w:val="CM115"/>
    <w:basedOn w:val="252"/>
    <w:next w:val="252"/>
    <w:qFormat/>
    <w:uiPriority w:val="0"/>
    <w:pPr>
      <w:spacing w:line="340" w:lineRule="atLeast"/>
    </w:pPr>
    <w:rPr>
      <w:rFonts w:hAnsi="Calibri"/>
      <w:color w:val="auto"/>
    </w:rPr>
  </w:style>
  <w:style w:type="paragraph" w:customStyle="1" w:styleId="428">
    <w:name w:val="CM181"/>
    <w:basedOn w:val="252"/>
    <w:next w:val="252"/>
    <w:qFormat/>
    <w:uiPriority w:val="0"/>
    <w:rPr>
      <w:rFonts w:hAnsi="Calibri"/>
      <w:color w:val="auto"/>
    </w:rPr>
  </w:style>
  <w:style w:type="paragraph" w:customStyle="1" w:styleId="429">
    <w:name w:val="CM22"/>
    <w:basedOn w:val="252"/>
    <w:next w:val="252"/>
    <w:qFormat/>
    <w:uiPriority w:val="0"/>
    <w:rPr>
      <w:rFonts w:hAnsi="Calibri"/>
      <w:color w:val="auto"/>
    </w:rPr>
  </w:style>
  <w:style w:type="paragraph" w:customStyle="1" w:styleId="430">
    <w:name w:val="CM209"/>
    <w:basedOn w:val="252"/>
    <w:next w:val="252"/>
    <w:qFormat/>
    <w:uiPriority w:val="0"/>
    <w:rPr>
      <w:rFonts w:hAnsi="Calibri"/>
      <w:color w:val="auto"/>
    </w:rPr>
  </w:style>
  <w:style w:type="paragraph" w:customStyle="1" w:styleId="431">
    <w:name w:val="样式 正文缩进正文（首行缩进两字）特点ALT+Z表正文正文非缩进四号段1Normal Indent Char2...4"/>
    <w:basedOn w:val="3"/>
    <w:qFormat/>
    <w:uiPriority w:val="0"/>
    <w:pPr>
      <w:tabs>
        <w:tab w:val="left" w:pos="0"/>
        <w:tab w:val="center" w:pos="360"/>
        <w:tab w:val="left" w:pos="993"/>
        <w:tab w:val="left" w:pos="1134"/>
      </w:tabs>
      <w:spacing w:after="0" w:line="300" w:lineRule="auto"/>
      <w:ind w:left="0" w:leftChars="0"/>
      <w:jc w:val="both"/>
    </w:pPr>
    <w:rPr>
      <w:rFonts w:ascii="宋体" w:hAnsi="宋体"/>
      <w:sz w:val="24"/>
    </w:rPr>
  </w:style>
  <w:style w:type="paragraph" w:customStyle="1" w:styleId="432">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433">
    <w:name w:val="CM48"/>
    <w:basedOn w:val="252"/>
    <w:next w:val="252"/>
    <w:qFormat/>
    <w:uiPriority w:val="0"/>
    <w:pPr>
      <w:spacing w:line="400" w:lineRule="atLeast"/>
    </w:pPr>
    <w:rPr>
      <w:rFonts w:hAnsi="Calibri"/>
      <w:color w:val="auto"/>
    </w:rPr>
  </w:style>
  <w:style w:type="paragraph" w:customStyle="1" w:styleId="434">
    <w:name w:val="reader-word-layer"/>
    <w:basedOn w:val="1"/>
    <w:qFormat/>
    <w:uiPriority w:val="0"/>
    <w:pPr>
      <w:spacing w:before="100" w:beforeAutospacing="1" w:after="100" w:afterAutospacing="1"/>
    </w:pPr>
    <w:rPr>
      <w:rFonts w:ascii="宋体" w:hAnsi="宋体" w:cs="宋体"/>
      <w:sz w:val="24"/>
      <w:szCs w:val="24"/>
    </w:rPr>
  </w:style>
  <w:style w:type="paragraph" w:customStyle="1" w:styleId="435">
    <w:name w:val="修订1"/>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436">
    <w:name w:val="CM150"/>
    <w:basedOn w:val="252"/>
    <w:next w:val="252"/>
    <w:qFormat/>
    <w:uiPriority w:val="0"/>
    <w:rPr>
      <w:rFonts w:hAnsi="Calibri"/>
      <w:color w:val="auto"/>
    </w:rPr>
  </w:style>
  <w:style w:type="paragraph" w:customStyle="1" w:styleId="437">
    <w:name w:val="Char Char Char"/>
    <w:basedOn w:val="1"/>
    <w:qFormat/>
    <w:uiPriority w:val="0"/>
    <w:pPr>
      <w:widowControl w:val="0"/>
      <w:spacing w:line="240" w:lineRule="atLeast"/>
      <w:ind w:left="420" w:firstLine="420"/>
      <w:jc w:val="both"/>
    </w:pPr>
    <w:rPr>
      <w:sz w:val="21"/>
      <w:szCs w:val="21"/>
    </w:rPr>
  </w:style>
  <w:style w:type="paragraph" w:customStyle="1" w:styleId="438">
    <w:name w:val="CM40"/>
    <w:basedOn w:val="252"/>
    <w:next w:val="252"/>
    <w:qFormat/>
    <w:uiPriority w:val="0"/>
    <w:pPr>
      <w:spacing w:line="440" w:lineRule="atLeast"/>
    </w:pPr>
    <w:rPr>
      <w:rFonts w:hAnsi="Calibri"/>
      <w:color w:val="auto"/>
    </w:rPr>
  </w:style>
  <w:style w:type="paragraph" w:customStyle="1" w:styleId="439">
    <w:name w:val="CM198"/>
    <w:basedOn w:val="252"/>
    <w:next w:val="252"/>
    <w:qFormat/>
    <w:uiPriority w:val="0"/>
    <w:rPr>
      <w:rFonts w:hAnsi="Calibri"/>
      <w:color w:val="auto"/>
    </w:rPr>
  </w:style>
  <w:style w:type="paragraph" w:customStyle="1" w:styleId="440">
    <w:name w:val="font6"/>
    <w:basedOn w:val="1"/>
    <w:link w:val="441"/>
    <w:qFormat/>
    <w:uiPriority w:val="0"/>
    <w:pPr>
      <w:spacing w:before="100" w:beforeAutospacing="1" w:after="100" w:afterAutospacing="1"/>
    </w:pPr>
    <w:rPr>
      <w:rFonts w:eastAsia="Arial Unicode MS"/>
      <w:sz w:val="18"/>
      <w:szCs w:val="18"/>
    </w:rPr>
  </w:style>
  <w:style w:type="character" w:customStyle="1" w:styleId="441">
    <w:name w:val="font6 Char"/>
    <w:link w:val="440"/>
    <w:qFormat/>
    <w:uiPriority w:val="0"/>
    <w:rPr>
      <w:rFonts w:eastAsia="Arial Unicode MS"/>
      <w:sz w:val="18"/>
      <w:szCs w:val="18"/>
    </w:rPr>
  </w:style>
  <w:style w:type="paragraph" w:customStyle="1" w:styleId="442">
    <w:name w:val="CM114"/>
    <w:basedOn w:val="252"/>
    <w:next w:val="252"/>
    <w:qFormat/>
    <w:uiPriority w:val="0"/>
    <w:pPr>
      <w:spacing w:line="340" w:lineRule="atLeast"/>
    </w:pPr>
    <w:rPr>
      <w:rFonts w:hAnsi="Calibri"/>
      <w:color w:val="auto"/>
    </w:rPr>
  </w:style>
  <w:style w:type="paragraph" w:customStyle="1" w:styleId="443">
    <w:name w:val="CM36"/>
    <w:basedOn w:val="252"/>
    <w:next w:val="252"/>
    <w:qFormat/>
    <w:uiPriority w:val="0"/>
    <w:pPr>
      <w:spacing w:line="398" w:lineRule="atLeast"/>
    </w:pPr>
    <w:rPr>
      <w:rFonts w:hAnsi="Calibri"/>
      <w:color w:val="auto"/>
    </w:rPr>
  </w:style>
  <w:style w:type="paragraph" w:customStyle="1" w:styleId="444">
    <w:name w:val="表格"/>
    <w:basedOn w:val="1"/>
    <w:qFormat/>
    <w:uiPriority w:val="0"/>
    <w:pPr>
      <w:widowControl w:val="0"/>
      <w:jc w:val="center"/>
      <w:textAlignment w:val="center"/>
    </w:pPr>
    <w:rPr>
      <w:rFonts w:ascii="华文细黑" w:hAnsi="华文细黑"/>
      <w:sz w:val="21"/>
    </w:rPr>
  </w:style>
  <w:style w:type="paragraph" w:customStyle="1" w:styleId="445">
    <w:name w:val="CM41"/>
    <w:basedOn w:val="252"/>
    <w:next w:val="252"/>
    <w:qFormat/>
    <w:uiPriority w:val="0"/>
    <w:rPr>
      <w:rFonts w:hAnsi="Calibri"/>
      <w:color w:val="auto"/>
    </w:rPr>
  </w:style>
  <w:style w:type="paragraph" w:customStyle="1" w:styleId="446">
    <w:name w:val="样式 标题 1 + 宋体 四号 非加粗"/>
    <w:basedOn w:val="1"/>
    <w:qFormat/>
    <w:uiPriority w:val="0"/>
    <w:pPr>
      <w:widowControl w:val="0"/>
      <w:tabs>
        <w:tab w:val="left" w:pos="480"/>
      </w:tabs>
      <w:adjustRightInd w:val="0"/>
      <w:spacing w:line="360" w:lineRule="atLeast"/>
      <w:ind w:left="877" w:hanging="397"/>
      <w:jc w:val="both"/>
      <w:textAlignment w:val="baseline"/>
    </w:pPr>
  </w:style>
  <w:style w:type="paragraph" w:customStyle="1" w:styleId="447">
    <w:name w:val="font8"/>
    <w:basedOn w:val="1"/>
    <w:qFormat/>
    <w:uiPriority w:val="0"/>
    <w:pPr>
      <w:spacing w:before="100" w:beforeAutospacing="1" w:after="100" w:afterAutospacing="1"/>
    </w:pPr>
    <w:rPr>
      <w:rFonts w:eastAsia="Arial Unicode MS"/>
    </w:rPr>
  </w:style>
  <w:style w:type="paragraph" w:customStyle="1" w:styleId="448">
    <w:name w:val="Char1"/>
    <w:basedOn w:val="1"/>
    <w:qFormat/>
    <w:uiPriority w:val="0"/>
    <w:pPr>
      <w:spacing w:line="400" w:lineRule="exact"/>
      <w:jc w:val="center"/>
    </w:pPr>
    <w:rPr>
      <w:rFonts w:ascii="Verdana" w:hAnsi="Verdana"/>
      <w:sz w:val="21"/>
      <w:lang w:eastAsia="en-US"/>
    </w:rPr>
  </w:style>
  <w:style w:type="paragraph" w:customStyle="1" w:styleId="449">
    <w:name w:val="CM28"/>
    <w:basedOn w:val="252"/>
    <w:next w:val="252"/>
    <w:qFormat/>
    <w:uiPriority w:val="0"/>
    <w:pPr>
      <w:spacing w:line="313" w:lineRule="atLeast"/>
    </w:pPr>
    <w:rPr>
      <w:rFonts w:hAnsi="Calibri"/>
      <w:color w:val="auto"/>
    </w:rPr>
  </w:style>
  <w:style w:type="paragraph" w:customStyle="1" w:styleId="450">
    <w:name w:val="CM56"/>
    <w:basedOn w:val="252"/>
    <w:next w:val="252"/>
    <w:qFormat/>
    <w:uiPriority w:val="0"/>
    <w:pPr>
      <w:spacing w:line="491" w:lineRule="atLeast"/>
    </w:pPr>
    <w:rPr>
      <w:rFonts w:hAnsi="Calibri"/>
      <w:color w:val="auto"/>
    </w:rPr>
  </w:style>
  <w:style w:type="paragraph" w:customStyle="1" w:styleId="451">
    <w:name w:val="CM103"/>
    <w:basedOn w:val="252"/>
    <w:next w:val="252"/>
    <w:qFormat/>
    <w:uiPriority w:val="0"/>
    <w:rPr>
      <w:rFonts w:hAnsi="Calibri"/>
      <w:color w:val="auto"/>
    </w:rPr>
  </w:style>
  <w:style w:type="paragraph" w:customStyle="1" w:styleId="452">
    <w:name w:val="TOC 标题1"/>
    <w:basedOn w:val="4"/>
    <w:next w:val="1"/>
    <w:qFormat/>
    <w:uiPriority w:val="39"/>
    <w:pPr>
      <w:widowControl w:val="0"/>
      <w:spacing w:line="576" w:lineRule="auto"/>
      <w:jc w:val="both"/>
      <w:outlineLvl w:val="9"/>
    </w:pPr>
    <w:rPr>
      <w:rFonts w:ascii="Calibri" w:hAnsi="Calibri"/>
    </w:rPr>
  </w:style>
  <w:style w:type="paragraph" w:customStyle="1" w:styleId="45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eastAsia="Arial Unicode MS"/>
      <w:sz w:val="18"/>
      <w:szCs w:val="18"/>
    </w:rPr>
  </w:style>
  <w:style w:type="paragraph" w:customStyle="1" w:styleId="454">
    <w:name w:val="xl42"/>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455">
    <w:name w:val="p17"/>
    <w:basedOn w:val="1"/>
    <w:qFormat/>
    <w:uiPriority w:val="0"/>
    <w:pPr>
      <w:spacing w:before="100" w:after="100"/>
    </w:pPr>
    <w:rPr>
      <w:rFonts w:ascii="宋体" w:hAnsi="宋体"/>
      <w:sz w:val="24"/>
    </w:rPr>
  </w:style>
  <w:style w:type="paragraph" w:customStyle="1" w:styleId="456">
    <w:name w:val="CM171"/>
    <w:basedOn w:val="252"/>
    <w:next w:val="252"/>
    <w:qFormat/>
    <w:uiPriority w:val="0"/>
    <w:pPr>
      <w:spacing w:line="440" w:lineRule="atLeast"/>
    </w:pPr>
    <w:rPr>
      <w:rFonts w:hAnsi="Calibri"/>
      <w:color w:val="auto"/>
    </w:rPr>
  </w:style>
  <w:style w:type="paragraph" w:customStyle="1" w:styleId="457">
    <w:name w:val="菲页2"/>
    <w:basedOn w:val="6"/>
    <w:qFormat/>
    <w:uiPriority w:val="0"/>
    <w:pPr>
      <w:tabs>
        <w:tab w:val="left" w:pos="720"/>
      </w:tabs>
      <w:spacing w:before="120" w:after="120" w:line="360" w:lineRule="auto"/>
      <w:ind w:left="720" w:hanging="720"/>
      <w:jc w:val="center"/>
    </w:pPr>
    <w:rPr>
      <w:rFonts w:ascii="黑体" w:hAnsi="宋体" w:eastAsia="黑体"/>
      <w:b w:val="0"/>
      <w:bCs w:val="0"/>
      <w:sz w:val="44"/>
      <w:szCs w:val="20"/>
    </w:rPr>
  </w:style>
  <w:style w:type="paragraph" w:customStyle="1" w:styleId="458">
    <w:name w:val="默认段落字体 Para Char Char Char Char Char Char Char"/>
    <w:basedOn w:val="20"/>
    <w:qFormat/>
    <w:uiPriority w:val="0"/>
    <w:pPr>
      <w:widowControl w:val="0"/>
      <w:shd w:val="clear" w:color="auto" w:fill="000080"/>
      <w:adjustRightInd w:val="0"/>
      <w:spacing w:line="436" w:lineRule="exact"/>
      <w:ind w:left="357"/>
      <w:outlineLvl w:val="3"/>
    </w:pPr>
    <w:rPr>
      <w:rFonts w:ascii="Tahoma" w:hAnsi="Tahoma"/>
      <w:b/>
      <w:kern w:val="2"/>
      <w:sz w:val="24"/>
      <w:szCs w:val="24"/>
    </w:rPr>
  </w:style>
  <w:style w:type="paragraph" w:customStyle="1" w:styleId="459">
    <w:name w:val="列出段落2"/>
    <w:basedOn w:val="1"/>
    <w:qFormat/>
    <w:uiPriority w:val="0"/>
    <w:pPr>
      <w:widowControl w:val="0"/>
      <w:ind w:firstLine="420" w:firstLineChars="200"/>
      <w:jc w:val="both"/>
    </w:pPr>
    <w:rPr>
      <w:rFonts w:ascii="Calibri" w:hAnsi="Calibri"/>
      <w:kern w:val="2"/>
      <w:sz w:val="21"/>
      <w:szCs w:val="22"/>
    </w:rPr>
  </w:style>
  <w:style w:type="paragraph" w:customStyle="1" w:styleId="460">
    <w:name w:val="普通 (Web)"/>
    <w:basedOn w:val="1"/>
    <w:qFormat/>
    <w:uiPriority w:val="0"/>
    <w:pPr>
      <w:spacing w:before="100" w:beforeAutospacing="1" w:after="100" w:afterAutospacing="1"/>
    </w:pPr>
    <w:rPr>
      <w:rFonts w:ascii="宋体" w:hAnsi="宋体"/>
      <w:sz w:val="24"/>
      <w:szCs w:val="24"/>
    </w:rPr>
  </w:style>
  <w:style w:type="paragraph" w:customStyle="1" w:styleId="461">
    <w:name w:val="_Style 27"/>
    <w:basedOn w:val="1"/>
    <w:next w:val="28"/>
    <w:qFormat/>
    <w:uiPriority w:val="0"/>
    <w:pPr>
      <w:widowControl w:val="0"/>
      <w:adjustRightInd w:val="0"/>
      <w:ind w:left="420" w:right="33"/>
      <w:textAlignment w:val="baseline"/>
    </w:pPr>
    <w:rPr>
      <w:sz w:val="24"/>
    </w:rPr>
  </w:style>
  <w:style w:type="paragraph" w:customStyle="1" w:styleId="462">
    <w:name w:val="xl30"/>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463">
    <w:name w:val="CM72"/>
    <w:basedOn w:val="252"/>
    <w:next w:val="252"/>
    <w:qFormat/>
    <w:uiPriority w:val="0"/>
    <w:pPr>
      <w:spacing w:line="518" w:lineRule="atLeast"/>
    </w:pPr>
    <w:rPr>
      <w:rFonts w:hAnsi="Calibri"/>
      <w:color w:val="auto"/>
    </w:rPr>
  </w:style>
  <w:style w:type="paragraph" w:customStyle="1" w:styleId="464">
    <w:name w:val="CM110"/>
    <w:basedOn w:val="252"/>
    <w:next w:val="252"/>
    <w:qFormat/>
    <w:uiPriority w:val="0"/>
    <w:pPr>
      <w:spacing w:line="340" w:lineRule="atLeast"/>
    </w:pPr>
    <w:rPr>
      <w:rFonts w:hAnsi="Calibri"/>
      <w:color w:val="auto"/>
    </w:rPr>
  </w:style>
  <w:style w:type="paragraph" w:customStyle="1" w:styleId="465">
    <w:name w:val="目录"/>
    <w:basedOn w:val="1"/>
    <w:qFormat/>
    <w:uiPriority w:val="0"/>
    <w:pPr>
      <w:jc w:val="center"/>
    </w:pPr>
    <w:rPr>
      <w:rFonts w:ascii="宋体"/>
      <w:b/>
      <w:sz w:val="36"/>
    </w:rPr>
  </w:style>
  <w:style w:type="paragraph" w:customStyle="1" w:styleId="466">
    <w:name w:val="xl40"/>
    <w:basedOn w:val="1"/>
    <w:qFormat/>
    <w:uiPriority w:val="0"/>
    <w:pPr>
      <w:pBdr>
        <w:top w:val="single" w:color="auto" w:sz="4" w:space="0"/>
      </w:pBdr>
      <w:spacing w:before="100" w:beforeAutospacing="1" w:after="100" w:afterAutospacing="1"/>
    </w:pPr>
    <w:rPr>
      <w:rFonts w:ascii="Arial Unicode MS" w:hAnsi="Arial Unicode MS" w:eastAsia="Arial Unicode MS" w:cs="Arial Unicode MS"/>
      <w:b/>
      <w:bCs/>
    </w:rPr>
  </w:style>
  <w:style w:type="paragraph" w:customStyle="1" w:styleId="467">
    <w:name w:val="无间隔1"/>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paragraph" w:customStyle="1" w:styleId="468">
    <w:name w:val="CM63"/>
    <w:basedOn w:val="252"/>
    <w:next w:val="252"/>
    <w:qFormat/>
    <w:uiPriority w:val="0"/>
    <w:pPr>
      <w:spacing w:line="400" w:lineRule="atLeast"/>
    </w:pPr>
    <w:rPr>
      <w:rFonts w:hAnsi="Calibri"/>
      <w:color w:val="auto"/>
    </w:rPr>
  </w:style>
  <w:style w:type="paragraph" w:customStyle="1" w:styleId="469">
    <w:name w:val="CM42"/>
    <w:basedOn w:val="252"/>
    <w:next w:val="252"/>
    <w:qFormat/>
    <w:uiPriority w:val="0"/>
    <w:pPr>
      <w:spacing w:line="440" w:lineRule="atLeast"/>
    </w:pPr>
    <w:rPr>
      <w:rFonts w:hAnsi="Calibri"/>
      <w:color w:val="auto"/>
    </w:rPr>
  </w:style>
  <w:style w:type="paragraph" w:customStyle="1" w:styleId="470">
    <w:name w:val="Char6 Char Char Char1"/>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471">
    <w:name w:val="CM134"/>
    <w:basedOn w:val="252"/>
    <w:next w:val="252"/>
    <w:qFormat/>
    <w:uiPriority w:val="0"/>
    <w:pPr>
      <w:spacing w:line="273" w:lineRule="atLeast"/>
    </w:pPr>
    <w:rPr>
      <w:rFonts w:hAnsi="Calibri"/>
      <w:color w:val="auto"/>
    </w:rPr>
  </w:style>
  <w:style w:type="paragraph" w:customStyle="1" w:styleId="472">
    <w:name w:val="a5"/>
    <w:basedOn w:val="1"/>
    <w:qFormat/>
    <w:uiPriority w:val="0"/>
    <w:pPr>
      <w:spacing w:before="100" w:beforeAutospacing="1" w:after="100" w:afterAutospacing="1"/>
    </w:pPr>
    <w:rPr>
      <w:rFonts w:ascii="宋体" w:hAnsi="宋体" w:cs="宋体"/>
      <w:sz w:val="24"/>
      <w:szCs w:val="24"/>
    </w:rPr>
  </w:style>
  <w:style w:type="paragraph" w:customStyle="1" w:styleId="473">
    <w:name w:val="Char311"/>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474">
    <w:name w:val="CM39"/>
    <w:basedOn w:val="252"/>
    <w:next w:val="252"/>
    <w:qFormat/>
    <w:uiPriority w:val="0"/>
    <w:pPr>
      <w:spacing w:line="406" w:lineRule="atLeast"/>
    </w:pPr>
    <w:rPr>
      <w:rFonts w:hAnsi="Calibri"/>
      <w:color w:val="auto"/>
    </w:rPr>
  </w:style>
  <w:style w:type="paragraph" w:customStyle="1" w:styleId="475">
    <w:name w:val="CM9"/>
    <w:basedOn w:val="252"/>
    <w:next w:val="252"/>
    <w:qFormat/>
    <w:uiPriority w:val="0"/>
    <w:pPr>
      <w:spacing w:line="313" w:lineRule="atLeast"/>
    </w:pPr>
    <w:rPr>
      <w:rFonts w:hAnsi="Calibri"/>
      <w:color w:val="auto"/>
    </w:rPr>
  </w:style>
  <w:style w:type="paragraph" w:customStyle="1" w:styleId="476">
    <w:name w:val="CM178"/>
    <w:basedOn w:val="252"/>
    <w:next w:val="252"/>
    <w:qFormat/>
    <w:uiPriority w:val="0"/>
    <w:rPr>
      <w:rFonts w:hAnsi="Calibri"/>
      <w:color w:val="auto"/>
    </w:rPr>
  </w:style>
  <w:style w:type="paragraph" w:customStyle="1" w:styleId="477">
    <w:name w:val="CM128"/>
    <w:basedOn w:val="252"/>
    <w:next w:val="252"/>
    <w:qFormat/>
    <w:uiPriority w:val="0"/>
    <w:rPr>
      <w:rFonts w:hAnsi="Calibri"/>
      <w:color w:val="auto"/>
    </w:rPr>
  </w:style>
  <w:style w:type="paragraph" w:customStyle="1" w:styleId="478">
    <w:name w:val="CM133"/>
    <w:basedOn w:val="252"/>
    <w:next w:val="252"/>
    <w:qFormat/>
    <w:uiPriority w:val="0"/>
    <w:pPr>
      <w:spacing w:line="273" w:lineRule="atLeast"/>
    </w:pPr>
    <w:rPr>
      <w:rFonts w:hAnsi="Calibri"/>
      <w:color w:val="auto"/>
    </w:rPr>
  </w:style>
  <w:style w:type="paragraph" w:customStyle="1" w:styleId="479">
    <w:name w:val="CM69"/>
    <w:basedOn w:val="252"/>
    <w:next w:val="252"/>
    <w:qFormat/>
    <w:uiPriority w:val="0"/>
    <w:pPr>
      <w:spacing w:line="400" w:lineRule="atLeast"/>
    </w:pPr>
    <w:rPr>
      <w:rFonts w:hAnsi="Calibri"/>
      <w:color w:val="auto"/>
    </w:rPr>
  </w:style>
  <w:style w:type="paragraph" w:customStyle="1" w:styleId="480">
    <w:name w:val="TOC 标题2"/>
    <w:basedOn w:val="4"/>
    <w:next w:val="1"/>
    <w:qFormat/>
    <w:uiPriority w:val="0"/>
    <w:pPr>
      <w:spacing w:before="480" w:after="0" w:line="276" w:lineRule="auto"/>
      <w:outlineLvl w:val="9"/>
    </w:pPr>
    <w:rPr>
      <w:rFonts w:ascii="Cambria" w:hAnsi="Cambria"/>
      <w:color w:val="365F91"/>
      <w:kern w:val="0"/>
      <w:sz w:val="28"/>
      <w:szCs w:val="28"/>
    </w:rPr>
  </w:style>
  <w:style w:type="paragraph" w:customStyle="1" w:styleId="481">
    <w:name w:val="CM190"/>
    <w:basedOn w:val="252"/>
    <w:next w:val="252"/>
    <w:qFormat/>
    <w:uiPriority w:val="0"/>
    <w:rPr>
      <w:rFonts w:hAnsi="Calibri"/>
      <w:color w:val="auto"/>
    </w:rPr>
  </w:style>
  <w:style w:type="paragraph" w:customStyle="1" w:styleId="482">
    <w:name w:val="表"/>
    <w:basedOn w:val="1"/>
    <w:qFormat/>
    <w:uiPriority w:val="0"/>
    <w:pPr>
      <w:widowControl w:val="0"/>
      <w:tabs>
        <w:tab w:val="left" w:pos="0"/>
      </w:tabs>
      <w:spacing w:line="360" w:lineRule="auto"/>
      <w:ind w:left="5"/>
      <w:jc w:val="center"/>
    </w:pPr>
    <w:rPr>
      <w:rFonts w:ascii="宋体" w:hAnsi="宋体"/>
      <w:color w:val="000000"/>
      <w:sz w:val="21"/>
      <w:szCs w:val="28"/>
    </w:rPr>
  </w:style>
  <w:style w:type="paragraph" w:customStyle="1" w:styleId="483">
    <w:name w:val="H2"/>
    <w:qFormat/>
    <w:uiPriority w:val="0"/>
    <w:pPr>
      <w:widowControl w:val="0"/>
      <w:adjustRightInd w:val="0"/>
      <w:spacing w:after="240" w:line="0" w:lineRule="atLeast"/>
      <w:textAlignment w:val="baseline"/>
    </w:pPr>
    <w:rPr>
      <w:rFonts w:ascii="Times New Roman" w:hAnsi="Times New Roman" w:eastAsia="全真中明體" w:cs="Times New Roman"/>
      <w:b/>
      <w:spacing w:val="30"/>
      <w:sz w:val="24"/>
      <w:lang w:val="en-GB" w:eastAsia="zh-TW" w:bidi="ar-SA"/>
    </w:rPr>
  </w:style>
  <w:style w:type="paragraph" w:customStyle="1" w:styleId="484">
    <w:name w:val="P5"/>
    <w:qFormat/>
    <w:uiPriority w:val="0"/>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lang w:val="en-GB" w:eastAsia="zh-TW" w:bidi="ar-SA"/>
    </w:rPr>
  </w:style>
  <w:style w:type="paragraph" w:customStyle="1" w:styleId="485">
    <w:name w:val="样式 正文缩进正文（首行缩进两字）特点ALT+Z表正文正文非缩进四号段1Normal Indent Char2...3"/>
    <w:basedOn w:val="7"/>
    <w:next w:val="8"/>
    <w:qFormat/>
    <w:uiPriority w:val="0"/>
    <w:pPr>
      <w:widowControl w:val="0"/>
      <w:tabs>
        <w:tab w:val="left" w:pos="2160"/>
      </w:tabs>
      <w:adjustRightInd w:val="0"/>
      <w:spacing w:line="360" w:lineRule="auto"/>
      <w:ind w:left="2160" w:hanging="420"/>
      <w:textAlignment w:val="baseline"/>
    </w:pPr>
    <w:rPr>
      <w:rFonts w:ascii="宋体" w:hAnsi="宋体" w:eastAsia="宋体" w:cs="宋体"/>
      <w:bCs w:val="0"/>
      <w:sz w:val="24"/>
      <w:szCs w:val="24"/>
    </w:rPr>
  </w:style>
  <w:style w:type="paragraph" w:customStyle="1" w:styleId="486">
    <w:name w:val="样式 标题 1 + 居中"/>
    <w:basedOn w:val="4"/>
    <w:qFormat/>
    <w:uiPriority w:val="0"/>
    <w:pPr>
      <w:widowControl w:val="0"/>
      <w:spacing w:before="0" w:after="0"/>
      <w:jc w:val="center"/>
    </w:pPr>
    <w:rPr>
      <w:rFonts w:cs="宋体"/>
      <w:sz w:val="30"/>
      <w:szCs w:val="20"/>
    </w:rPr>
  </w:style>
  <w:style w:type="paragraph" w:customStyle="1" w:styleId="487">
    <w:name w:val="xl33"/>
    <w:basedOn w:val="1"/>
    <w:qFormat/>
    <w:uiPriority w:val="0"/>
    <w:pPr>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488">
    <w:name w:val="List Paragraph1"/>
    <w:basedOn w:val="1"/>
    <w:qFormat/>
    <w:uiPriority w:val="0"/>
    <w:pPr>
      <w:adjustRightInd w:val="0"/>
      <w:snapToGrid w:val="0"/>
      <w:spacing w:after="200"/>
      <w:ind w:firstLine="420" w:firstLineChars="200"/>
    </w:pPr>
    <w:rPr>
      <w:rFonts w:ascii="Tahoma" w:hAnsi="Tahoma" w:eastAsia="微软雅黑"/>
      <w:sz w:val="22"/>
      <w:szCs w:val="22"/>
    </w:rPr>
  </w:style>
  <w:style w:type="paragraph" w:customStyle="1" w:styleId="489">
    <w:name w:val="CM75"/>
    <w:basedOn w:val="252"/>
    <w:next w:val="252"/>
    <w:qFormat/>
    <w:uiPriority w:val="0"/>
    <w:pPr>
      <w:spacing w:line="478" w:lineRule="atLeast"/>
    </w:pPr>
    <w:rPr>
      <w:rFonts w:hAnsi="Calibri"/>
      <w:color w:val="auto"/>
    </w:rPr>
  </w:style>
  <w:style w:type="paragraph" w:customStyle="1" w:styleId="490">
    <w:name w:val="CM61"/>
    <w:basedOn w:val="252"/>
    <w:next w:val="252"/>
    <w:qFormat/>
    <w:uiPriority w:val="0"/>
    <w:pPr>
      <w:spacing w:line="400" w:lineRule="atLeast"/>
    </w:pPr>
    <w:rPr>
      <w:rFonts w:hAnsi="Calibri"/>
      <w:color w:val="auto"/>
    </w:rPr>
  </w:style>
  <w:style w:type="paragraph" w:customStyle="1" w:styleId="491">
    <w:name w:val="Char312"/>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492">
    <w:name w:val="样式 样式 表格 + 全部大写 + 非全部大写"/>
    <w:basedOn w:val="1"/>
    <w:qFormat/>
    <w:uiPriority w:val="0"/>
    <w:pPr>
      <w:topLinePunct/>
      <w:adjustRightInd w:val="0"/>
      <w:spacing w:before="120" w:after="120" w:line="360" w:lineRule="auto"/>
      <w:ind w:firstLine="200" w:firstLineChars="200"/>
      <w:textAlignment w:val="baseline"/>
    </w:pPr>
    <w:rPr>
      <w:rFonts w:ascii="MingLiU" w:eastAsia="MingLiU"/>
      <w:sz w:val="24"/>
      <w:lang w:val="en-GB" w:eastAsia="zh-TW"/>
    </w:rPr>
  </w:style>
  <w:style w:type="paragraph" w:customStyle="1" w:styleId="493">
    <w:name w:val="Char6 Char Char Char2"/>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494">
    <w:name w:val="菲页(卷)"/>
    <w:basedOn w:val="4"/>
    <w:next w:val="495"/>
    <w:qFormat/>
    <w:uiPriority w:val="0"/>
    <w:pPr>
      <w:keepLines w:val="0"/>
      <w:tabs>
        <w:tab w:val="left" w:pos="425"/>
      </w:tabs>
      <w:spacing w:before="0" w:after="0" w:line="240" w:lineRule="auto"/>
      <w:ind w:left="432" w:hanging="432"/>
      <w:jc w:val="center"/>
      <w:outlineLvl w:val="1"/>
    </w:pPr>
    <w:rPr>
      <w:rFonts w:ascii="黑体" w:eastAsia="黑体"/>
      <w:b w:val="0"/>
      <w:bCs w:val="0"/>
      <w:kern w:val="0"/>
      <w:sz w:val="52"/>
      <w:szCs w:val="20"/>
    </w:rPr>
  </w:style>
  <w:style w:type="paragraph" w:customStyle="1" w:styleId="495">
    <w:name w:val="正文11"/>
    <w:qFormat/>
    <w:uiPriority w:val="0"/>
    <w:pPr>
      <w:widowControl w:val="0"/>
      <w:adjustRightInd w:val="0"/>
      <w:spacing w:after="160" w:line="312" w:lineRule="atLeast"/>
      <w:jc w:val="both"/>
      <w:textAlignment w:val="baseline"/>
    </w:pPr>
    <w:rPr>
      <w:rFonts w:ascii="宋体" w:hAnsi="Times New Roman" w:eastAsia="宋体" w:cs="Times New Roman"/>
      <w:sz w:val="34"/>
      <w:lang w:val="en-US" w:eastAsia="zh-CN" w:bidi="ar-SA"/>
    </w:rPr>
  </w:style>
  <w:style w:type="paragraph" w:customStyle="1" w:styleId="496">
    <w:name w:val="CM55"/>
    <w:basedOn w:val="252"/>
    <w:next w:val="252"/>
    <w:qFormat/>
    <w:uiPriority w:val="0"/>
    <w:rPr>
      <w:rFonts w:hAnsi="Calibri"/>
      <w:color w:val="auto"/>
    </w:rPr>
  </w:style>
  <w:style w:type="paragraph" w:customStyle="1" w:styleId="497">
    <w:name w:val="Char Char Char Char1 Char Char Char1"/>
    <w:basedOn w:val="1"/>
    <w:qFormat/>
    <w:uiPriority w:val="0"/>
    <w:pPr>
      <w:widowControl w:val="0"/>
      <w:spacing w:line="240" w:lineRule="atLeast"/>
      <w:ind w:left="420" w:firstLine="420"/>
      <w:jc w:val="both"/>
    </w:pPr>
    <w:rPr>
      <w:sz w:val="21"/>
      <w:szCs w:val="21"/>
    </w:rPr>
  </w:style>
  <w:style w:type="paragraph" w:customStyle="1" w:styleId="498">
    <w:name w:val="Char13"/>
    <w:basedOn w:val="1"/>
    <w:qFormat/>
    <w:uiPriority w:val="0"/>
    <w:pPr>
      <w:spacing w:line="240" w:lineRule="exact"/>
      <w:ind w:left="-62" w:right="36" w:rightChars="15"/>
    </w:pPr>
    <w:rPr>
      <w:rFonts w:ascii="Arial" w:hAnsi="Arial" w:eastAsia="Times New Roman"/>
      <w:lang w:eastAsia="en-US"/>
    </w:rPr>
  </w:style>
  <w:style w:type="paragraph" w:customStyle="1" w:styleId="499">
    <w:name w:val="_Style 480"/>
    <w:basedOn w:val="4"/>
    <w:next w:val="1"/>
    <w:qFormat/>
    <w:uiPriority w:val="0"/>
    <w:pPr>
      <w:spacing w:before="480" w:after="0" w:line="276" w:lineRule="auto"/>
      <w:outlineLvl w:val="9"/>
    </w:pPr>
    <w:rPr>
      <w:rFonts w:ascii="Cambria" w:hAnsi="Cambria"/>
      <w:color w:val="365F91"/>
      <w:kern w:val="0"/>
      <w:sz w:val="28"/>
      <w:szCs w:val="28"/>
    </w:rPr>
  </w:style>
  <w:style w:type="paragraph" w:customStyle="1" w:styleId="500">
    <w:name w:val="CM161"/>
    <w:basedOn w:val="252"/>
    <w:next w:val="252"/>
    <w:qFormat/>
    <w:uiPriority w:val="0"/>
    <w:pPr>
      <w:spacing w:line="340" w:lineRule="atLeast"/>
    </w:pPr>
    <w:rPr>
      <w:rFonts w:hAnsi="Calibri"/>
      <w:color w:val="auto"/>
    </w:rPr>
  </w:style>
  <w:style w:type="paragraph" w:customStyle="1" w:styleId="501">
    <w:name w:val="菲页1"/>
    <w:basedOn w:val="5"/>
    <w:qFormat/>
    <w:uiPriority w:val="0"/>
    <w:pPr>
      <w:spacing w:line="413" w:lineRule="auto"/>
      <w:jc w:val="center"/>
    </w:pPr>
    <w:rPr>
      <w:rFonts w:ascii="黑体" w:hAnsi="宋体"/>
      <w:b w:val="0"/>
      <w:bCs w:val="0"/>
      <w:sz w:val="52"/>
      <w:szCs w:val="20"/>
    </w:rPr>
  </w:style>
  <w:style w:type="paragraph" w:customStyle="1" w:styleId="502">
    <w:name w:val="Char Char Char Char Char Char Char Char Char Char Char Char"/>
    <w:basedOn w:val="1"/>
    <w:qFormat/>
    <w:uiPriority w:val="0"/>
    <w:pPr>
      <w:widowControl w:val="0"/>
      <w:spacing w:line="240" w:lineRule="atLeast"/>
      <w:ind w:left="420" w:firstLine="420"/>
      <w:jc w:val="both"/>
    </w:pPr>
    <w:rPr>
      <w:sz w:val="21"/>
      <w:szCs w:val="21"/>
    </w:rPr>
  </w:style>
  <w:style w:type="paragraph" w:customStyle="1" w:styleId="503">
    <w:name w:val="CM10"/>
    <w:basedOn w:val="252"/>
    <w:next w:val="252"/>
    <w:qFormat/>
    <w:uiPriority w:val="0"/>
    <w:pPr>
      <w:spacing w:line="308" w:lineRule="atLeast"/>
    </w:pPr>
    <w:rPr>
      <w:rFonts w:hAnsi="Calibri"/>
      <w:color w:val="auto"/>
    </w:rPr>
  </w:style>
  <w:style w:type="paragraph" w:customStyle="1" w:styleId="504">
    <w:name w:val="CM137"/>
    <w:basedOn w:val="252"/>
    <w:next w:val="252"/>
    <w:qFormat/>
    <w:uiPriority w:val="0"/>
    <w:pPr>
      <w:spacing w:line="273" w:lineRule="atLeast"/>
    </w:pPr>
    <w:rPr>
      <w:rFonts w:hAnsi="Calibri"/>
      <w:color w:val="auto"/>
    </w:rPr>
  </w:style>
  <w:style w:type="paragraph" w:customStyle="1" w:styleId="505">
    <w:name w:val="CM206"/>
    <w:basedOn w:val="252"/>
    <w:next w:val="252"/>
    <w:qFormat/>
    <w:uiPriority w:val="0"/>
    <w:rPr>
      <w:rFonts w:hAnsi="Calibri"/>
      <w:color w:val="auto"/>
    </w:rPr>
  </w:style>
  <w:style w:type="paragraph" w:customStyle="1" w:styleId="506">
    <w:name w:val="CM148"/>
    <w:basedOn w:val="252"/>
    <w:next w:val="252"/>
    <w:qFormat/>
    <w:uiPriority w:val="0"/>
    <w:rPr>
      <w:rFonts w:hAnsi="Calibri"/>
      <w:color w:val="auto"/>
    </w:rPr>
  </w:style>
  <w:style w:type="paragraph" w:customStyle="1" w:styleId="507">
    <w:name w:val="xl41"/>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508">
    <w:name w:val="Char Char Char Char11"/>
    <w:basedOn w:val="1"/>
    <w:qFormat/>
    <w:uiPriority w:val="0"/>
    <w:pPr>
      <w:widowControl w:val="0"/>
      <w:spacing w:line="240" w:lineRule="atLeast"/>
      <w:ind w:left="420" w:firstLine="420"/>
      <w:jc w:val="both"/>
    </w:pPr>
    <w:rPr>
      <w:sz w:val="21"/>
      <w:szCs w:val="21"/>
    </w:rPr>
  </w:style>
  <w:style w:type="paragraph" w:customStyle="1" w:styleId="509">
    <w:name w:val="CM94"/>
    <w:basedOn w:val="252"/>
    <w:next w:val="252"/>
    <w:qFormat/>
    <w:uiPriority w:val="0"/>
    <w:rPr>
      <w:rFonts w:hAnsi="Calibri"/>
      <w:color w:val="auto"/>
    </w:rPr>
  </w:style>
  <w:style w:type="paragraph" w:customStyle="1" w:styleId="510">
    <w:name w:val="CM67"/>
    <w:basedOn w:val="252"/>
    <w:next w:val="252"/>
    <w:qFormat/>
    <w:uiPriority w:val="0"/>
    <w:pPr>
      <w:spacing w:line="556" w:lineRule="atLeast"/>
    </w:pPr>
    <w:rPr>
      <w:rFonts w:hAnsi="Calibri"/>
      <w:color w:val="auto"/>
    </w:rPr>
  </w:style>
  <w:style w:type="paragraph" w:customStyle="1" w:styleId="511">
    <w:name w:val="CM77"/>
    <w:basedOn w:val="252"/>
    <w:next w:val="252"/>
    <w:qFormat/>
    <w:uiPriority w:val="0"/>
    <w:rPr>
      <w:rFonts w:hAnsi="Calibri"/>
      <w:color w:val="auto"/>
    </w:rPr>
  </w:style>
  <w:style w:type="paragraph" w:customStyle="1" w:styleId="512">
    <w:name w:val="xl37"/>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top"/>
    </w:pPr>
    <w:rPr>
      <w:rFonts w:ascii="Arial Unicode MS" w:hAnsi="Arial Unicode MS" w:eastAsia="Arial Unicode MS" w:cs="Arial Unicode MS"/>
      <w:sz w:val="18"/>
      <w:szCs w:val="18"/>
    </w:rPr>
  </w:style>
  <w:style w:type="paragraph" w:customStyle="1" w:styleId="513">
    <w:name w:val="Cap_标题_1"/>
    <w:next w:val="1"/>
    <w:qFormat/>
    <w:uiPriority w:val="0"/>
    <w:pPr>
      <w:keepNext/>
      <w:pageBreakBefore/>
      <w:numPr>
        <w:ilvl w:val="0"/>
        <w:numId w:val="3"/>
      </w:numPr>
      <w:tabs>
        <w:tab w:val="left" w:pos="425"/>
      </w:tabs>
      <w:spacing w:before="180" w:after="120" w:line="278" w:lineRule="auto"/>
      <w:outlineLvl w:val="0"/>
    </w:pPr>
    <w:rPr>
      <w:rFonts w:ascii="Arial" w:hAnsi="Arial" w:eastAsia="宋体" w:cs="Arial"/>
      <w:b/>
      <w:bCs/>
      <w:smallCaps/>
      <w:kern w:val="32"/>
      <w:sz w:val="28"/>
      <w:szCs w:val="28"/>
      <w:lang w:val="en-US" w:eastAsia="en-CA" w:bidi="ar-SA"/>
    </w:rPr>
  </w:style>
  <w:style w:type="paragraph" w:customStyle="1" w:styleId="514">
    <w:name w:val="Char2 Char Char Char Char Char Char1"/>
    <w:basedOn w:val="20"/>
    <w:qFormat/>
    <w:uiPriority w:val="0"/>
    <w:pPr>
      <w:widowControl w:val="0"/>
      <w:shd w:val="clear" w:color="auto" w:fill="000080"/>
      <w:jc w:val="both"/>
    </w:pPr>
    <w:rPr>
      <w:rFonts w:ascii="Tahoma" w:hAnsi="Tahoma"/>
      <w:kern w:val="2"/>
      <w:sz w:val="24"/>
      <w:szCs w:val="24"/>
    </w:rPr>
  </w:style>
  <w:style w:type="paragraph" w:customStyle="1" w:styleId="515">
    <w:name w:val="Char31"/>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516">
    <w:name w:val="字元1"/>
    <w:basedOn w:val="1"/>
    <w:qFormat/>
    <w:uiPriority w:val="0"/>
    <w:pPr>
      <w:widowControl w:val="0"/>
      <w:jc w:val="both"/>
    </w:pPr>
    <w:rPr>
      <w:rFonts w:ascii="Tahoma" w:hAnsi="Tahoma"/>
      <w:kern w:val="2"/>
      <w:sz w:val="24"/>
    </w:rPr>
  </w:style>
  <w:style w:type="paragraph" w:customStyle="1" w:styleId="517">
    <w:name w:val="Char Char Char Char Char Char Char2"/>
    <w:basedOn w:val="1"/>
    <w:qFormat/>
    <w:uiPriority w:val="0"/>
    <w:pPr>
      <w:widowControl w:val="0"/>
      <w:spacing w:line="240" w:lineRule="atLeast"/>
      <w:ind w:left="420" w:firstLine="420"/>
      <w:jc w:val="both"/>
    </w:pPr>
    <w:rPr>
      <w:sz w:val="21"/>
      <w:szCs w:val="21"/>
    </w:rPr>
  </w:style>
  <w:style w:type="paragraph" w:customStyle="1" w:styleId="518">
    <w:name w:val="Char Char Char Char1 Char Char Char Char Char1 Char1"/>
    <w:basedOn w:val="1"/>
    <w:qFormat/>
    <w:uiPriority w:val="0"/>
    <w:pPr>
      <w:widowControl w:val="0"/>
      <w:spacing w:line="240" w:lineRule="atLeast"/>
      <w:ind w:left="420" w:firstLine="420"/>
      <w:jc w:val="both"/>
    </w:pPr>
    <w:rPr>
      <w:sz w:val="21"/>
      <w:szCs w:val="21"/>
    </w:rPr>
  </w:style>
  <w:style w:type="paragraph" w:customStyle="1" w:styleId="519">
    <w:name w:val="Char Char Char2"/>
    <w:basedOn w:val="1"/>
    <w:qFormat/>
    <w:uiPriority w:val="0"/>
    <w:pPr>
      <w:widowControl w:val="0"/>
      <w:spacing w:line="240" w:lineRule="atLeast"/>
      <w:ind w:left="420" w:firstLine="420"/>
      <w:jc w:val="both"/>
    </w:pPr>
    <w:rPr>
      <w:sz w:val="21"/>
      <w:szCs w:val="21"/>
    </w:rPr>
  </w:style>
  <w:style w:type="paragraph" w:customStyle="1" w:styleId="520">
    <w:name w:val="CM95"/>
    <w:basedOn w:val="252"/>
    <w:next w:val="252"/>
    <w:qFormat/>
    <w:uiPriority w:val="0"/>
    <w:pPr>
      <w:spacing w:line="273" w:lineRule="atLeast"/>
    </w:pPr>
    <w:rPr>
      <w:rFonts w:hAnsi="Calibri"/>
      <w:color w:val="auto"/>
    </w:rPr>
  </w:style>
  <w:style w:type="paragraph" w:customStyle="1" w:styleId="521">
    <w:name w:val="CM4"/>
    <w:basedOn w:val="252"/>
    <w:next w:val="252"/>
    <w:qFormat/>
    <w:uiPriority w:val="0"/>
    <w:pPr>
      <w:spacing w:line="500" w:lineRule="atLeast"/>
    </w:pPr>
    <w:rPr>
      <w:rFonts w:hAnsi="Calibri"/>
      <w:color w:val="auto"/>
    </w:rPr>
  </w:style>
  <w:style w:type="paragraph" w:customStyle="1" w:styleId="522">
    <w:name w:val="样式 标题 1 + (西文) MingLiU (中文) 宋体 小四"/>
    <w:basedOn w:val="4"/>
    <w:qFormat/>
    <w:uiPriority w:val="0"/>
    <w:pPr>
      <w:widowControl w:val="0"/>
    </w:pPr>
    <w:rPr>
      <w:rFonts w:ascii="MingLiU" w:hAnsi="MingLiU"/>
      <w:color w:val="000000"/>
      <w:sz w:val="24"/>
      <w:szCs w:val="20"/>
      <w:shd w:val="pct10" w:color="auto" w:fill="FFFFFF"/>
    </w:rPr>
  </w:style>
  <w:style w:type="paragraph" w:customStyle="1" w:styleId="523">
    <w:name w:val="xl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rPr>
  </w:style>
  <w:style w:type="paragraph" w:customStyle="1" w:styleId="524">
    <w:name w:val="CM79"/>
    <w:basedOn w:val="252"/>
    <w:next w:val="252"/>
    <w:qFormat/>
    <w:uiPriority w:val="0"/>
    <w:pPr>
      <w:spacing w:line="796" w:lineRule="atLeast"/>
    </w:pPr>
    <w:rPr>
      <w:rFonts w:hAnsi="Calibri"/>
      <w:color w:val="auto"/>
    </w:rPr>
  </w:style>
  <w:style w:type="paragraph" w:customStyle="1" w:styleId="525">
    <w:name w:val="Table Text"/>
    <w:qFormat/>
    <w:uiPriority w:val="0"/>
    <w:pPr>
      <w:snapToGrid w:val="0"/>
      <w:spacing w:before="80" w:after="80" w:line="278" w:lineRule="auto"/>
    </w:pPr>
    <w:rPr>
      <w:rFonts w:ascii="Arial" w:hAnsi="Arial" w:eastAsia="宋体" w:cs="Arial"/>
      <w:sz w:val="18"/>
      <w:szCs w:val="18"/>
      <w:lang w:val="en-US" w:eastAsia="zh-CN" w:bidi="ar-SA"/>
    </w:rPr>
  </w:style>
  <w:style w:type="paragraph" w:customStyle="1" w:styleId="526">
    <w:name w:val="P6"/>
    <w:qFormat/>
    <w:uiPriority w:val="0"/>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20"/>
      <w:sz w:val="24"/>
      <w:lang w:val="en-GB" w:eastAsia="zh-TW" w:bidi="ar-SA"/>
    </w:rPr>
  </w:style>
  <w:style w:type="paragraph" w:customStyle="1" w:styleId="527">
    <w:name w:val="CM138"/>
    <w:basedOn w:val="252"/>
    <w:next w:val="252"/>
    <w:qFormat/>
    <w:uiPriority w:val="0"/>
    <w:pPr>
      <w:spacing w:line="273" w:lineRule="atLeast"/>
    </w:pPr>
    <w:rPr>
      <w:rFonts w:hAnsi="Calibri"/>
      <w:color w:val="auto"/>
    </w:rPr>
  </w:style>
  <w:style w:type="paragraph" w:customStyle="1" w:styleId="528">
    <w:name w:val="（叙述性）内文"/>
    <w:basedOn w:val="1"/>
    <w:qFormat/>
    <w:uiPriority w:val="0"/>
    <w:pPr>
      <w:widowControl w:val="0"/>
      <w:autoSpaceDE w:val="0"/>
      <w:autoSpaceDN w:val="0"/>
      <w:adjustRightInd w:val="0"/>
      <w:spacing w:after="45" w:line="360" w:lineRule="atLeast"/>
      <w:ind w:firstLine="397"/>
      <w:jc w:val="both"/>
      <w:textAlignment w:val="center"/>
    </w:pPr>
    <w:rPr>
      <w:rFonts w:ascii="方正宋一简体" w:eastAsia="方正宋一简体"/>
      <w:color w:val="000000"/>
      <w:sz w:val="19"/>
      <w:szCs w:val="19"/>
      <w:lang w:val="zh-CN"/>
    </w:rPr>
  </w:style>
  <w:style w:type="paragraph" w:customStyle="1" w:styleId="529">
    <w:name w:val="xl48"/>
    <w:basedOn w:val="1"/>
    <w:qFormat/>
    <w:uiPriority w:val="0"/>
    <w:pPr>
      <w:pBdr>
        <w:bottom w:val="single" w:color="auto" w:sz="4" w:space="0"/>
      </w:pBdr>
      <w:spacing w:before="100" w:beforeAutospacing="1" w:after="100" w:afterAutospacing="1"/>
    </w:pPr>
    <w:rPr>
      <w:rFonts w:ascii="Arial Unicode MS" w:hAnsi="Arial Unicode MS" w:eastAsia="Arial Unicode MS" w:cs="Arial Unicode MS"/>
      <w:b/>
      <w:bCs/>
      <w:sz w:val="22"/>
      <w:szCs w:val="22"/>
    </w:rPr>
  </w:style>
  <w:style w:type="paragraph" w:customStyle="1" w:styleId="530">
    <w:name w:val="CM217"/>
    <w:basedOn w:val="252"/>
    <w:next w:val="252"/>
    <w:qFormat/>
    <w:uiPriority w:val="0"/>
    <w:rPr>
      <w:rFonts w:hAnsi="Calibri"/>
      <w:color w:val="auto"/>
    </w:rPr>
  </w:style>
  <w:style w:type="paragraph" w:customStyle="1" w:styleId="531">
    <w:name w:val="CM83"/>
    <w:basedOn w:val="252"/>
    <w:next w:val="252"/>
    <w:qFormat/>
    <w:uiPriority w:val="0"/>
    <w:pPr>
      <w:spacing w:line="391" w:lineRule="atLeast"/>
    </w:pPr>
    <w:rPr>
      <w:rFonts w:hAnsi="Calibri"/>
      <w:color w:val="auto"/>
    </w:rPr>
  </w:style>
  <w:style w:type="paragraph" w:customStyle="1" w:styleId="532">
    <w:name w:val="CM189"/>
    <w:basedOn w:val="252"/>
    <w:next w:val="252"/>
    <w:qFormat/>
    <w:uiPriority w:val="0"/>
    <w:rPr>
      <w:rFonts w:hAnsi="Calibri"/>
      <w:color w:val="auto"/>
    </w:rPr>
  </w:style>
  <w:style w:type="paragraph" w:customStyle="1" w:styleId="533">
    <w:name w:val="CM179"/>
    <w:basedOn w:val="252"/>
    <w:next w:val="252"/>
    <w:qFormat/>
    <w:uiPriority w:val="0"/>
    <w:rPr>
      <w:rFonts w:hAnsi="Calibri"/>
      <w:color w:val="auto"/>
    </w:rPr>
  </w:style>
  <w:style w:type="paragraph" w:customStyle="1" w:styleId="534">
    <w:name w:val="CM2"/>
    <w:basedOn w:val="252"/>
    <w:next w:val="252"/>
    <w:qFormat/>
    <w:uiPriority w:val="0"/>
    <w:rPr>
      <w:rFonts w:hAnsi="Calibri"/>
      <w:color w:val="auto"/>
    </w:rPr>
  </w:style>
  <w:style w:type="paragraph" w:customStyle="1" w:styleId="535">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536">
    <w:name w:val="Char Char Char Char1"/>
    <w:basedOn w:val="1"/>
    <w:qFormat/>
    <w:uiPriority w:val="0"/>
    <w:pPr>
      <w:widowControl w:val="0"/>
      <w:spacing w:line="240" w:lineRule="atLeast"/>
      <w:ind w:left="420" w:firstLine="420"/>
      <w:jc w:val="both"/>
    </w:pPr>
    <w:rPr>
      <w:sz w:val="21"/>
      <w:szCs w:val="21"/>
    </w:rPr>
  </w:style>
  <w:style w:type="paragraph" w:customStyle="1" w:styleId="537">
    <w:name w:val="CM136"/>
    <w:basedOn w:val="252"/>
    <w:next w:val="252"/>
    <w:qFormat/>
    <w:uiPriority w:val="0"/>
    <w:pPr>
      <w:spacing w:line="273" w:lineRule="atLeast"/>
    </w:pPr>
    <w:rPr>
      <w:rFonts w:hAnsi="Calibri"/>
      <w:color w:val="auto"/>
    </w:rPr>
  </w:style>
  <w:style w:type="paragraph" w:customStyle="1" w:styleId="538">
    <w:name w:val="Char6"/>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539">
    <w:name w:val="样式 标题 3刘兵3章标题1sect1.2.3sect1.2.31sect1.2.32sect1.2.311sec..."/>
    <w:basedOn w:val="6"/>
    <w:qFormat/>
    <w:uiPriority w:val="0"/>
    <w:pPr>
      <w:keepNext w:val="0"/>
      <w:keepLines w:val="0"/>
      <w:widowControl w:val="0"/>
      <w:numPr>
        <w:ilvl w:val="0"/>
        <w:numId w:val="4"/>
      </w:numPr>
      <w:tabs>
        <w:tab w:val="left" w:pos="360"/>
      </w:tabs>
      <w:spacing w:before="120" w:after="120" w:line="360" w:lineRule="auto"/>
      <w:ind w:left="0" w:firstLine="0"/>
    </w:pPr>
    <w:rPr>
      <w:rFonts w:ascii="宋体" w:hAnsi="Arial" w:cs="宋体"/>
      <w:kern w:val="2"/>
      <w:sz w:val="21"/>
      <w:szCs w:val="20"/>
    </w:rPr>
  </w:style>
  <w:style w:type="paragraph" w:customStyle="1" w:styleId="540">
    <w:name w:val="CM219"/>
    <w:basedOn w:val="252"/>
    <w:next w:val="252"/>
    <w:qFormat/>
    <w:uiPriority w:val="0"/>
    <w:rPr>
      <w:rFonts w:hAnsi="Calibri"/>
      <w:color w:val="auto"/>
    </w:rPr>
  </w:style>
  <w:style w:type="paragraph" w:customStyle="1" w:styleId="541">
    <w:name w:val="xl34"/>
    <w:basedOn w:val="1"/>
    <w:qFormat/>
    <w:uiPriority w:val="0"/>
    <w:pPr>
      <w:pBdr>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542">
    <w:name w:val="CM122"/>
    <w:basedOn w:val="252"/>
    <w:next w:val="252"/>
    <w:qFormat/>
    <w:uiPriority w:val="0"/>
    <w:rPr>
      <w:rFonts w:hAnsi="Calibri"/>
      <w:color w:val="auto"/>
    </w:rPr>
  </w:style>
  <w:style w:type="paragraph" w:customStyle="1" w:styleId="543">
    <w:name w:val="CM188"/>
    <w:basedOn w:val="252"/>
    <w:next w:val="252"/>
    <w:qFormat/>
    <w:uiPriority w:val="0"/>
    <w:rPr>
      <w:rFonts w:hAnsi="Calibri"/>
      <w:color w:val="auto"/>
    </w:rPr>
  </w:style>
  <w:style w:type="paragraph" w:customStyle="1" w:styleId="544">
    <w:name w:val="正文 New"/>
    <w:qFormat/>
    <w:uiPriority w:val="0"/>
    <w:pPr>
      <w:widowControl w:val="0"/>
      <w:spacing w:after="160" w:line="278" w:lineRule="auto"/>
      <w:jc w:val="both"/>
    </w:pPr>
    <w:rPr>
      <w:rFonts w:ascii="宋体" w:hAnsi="宋体" w:eastAsia="宋体" w:cs="Times New Roman"/>
      <w:kern w:val="2"/>
      <w:sz w:val="21"/>
      <w:szCs w:val="21"/>
      <w:lang w:val="en-US" w:eastAsia="zh-CN" w:bidi="ar-SA"/>
    </w:rPr>
  </w:style>
  <w:style w:type="paragraph" w:customStyle="1" w:styleId="545">
    <w:name w:val="CM132"/>
    <w:basedOn w:val="252"/>
    <w:next w:val="252"/>
    <w:qFormat/>
    <w:uiPriority w:val="0"/>
    <w:pPr>
      <w:spacing w:line="273" w:lineRule="atLeast"/>
    </w:pPr>
    <w:rPr>
      <w:rFonts w:hAnsi="Calibri"/>
      <w:color w:val="auto"/>
    </w:rPr>
  </w:style>
  <w:style w:type="paragraph" w:customStyle="1" w:styleId="546">
    <w:name w:val="CM91"/>
    <w:basedOn w:val="252"/>
    <w:next w:val="252"/>
    <w:qFormat/>
    <w:uiPriority w:val="0"/>
    <w:pPr>
      <w:spacing w:line="478" w:lineRule="atLeast"/>
    </w:pPr>
    <w:rPr>
      <w:rFonts w:hAnsi="Calibri"/>
      <w:color w:val="auto"/>
    </w:rPr>
  </w:style>
  <w:style w:type="paragraph" w:customStyle="1" w:styleId="547">
    <w:name w:val="CM60"/>
    <w:basedOn w:val="252"/>
    <w:next w:val="252"/>
    <w:qFormat/>
    <w:uiPriority w:val="0"/>
    <w:pPr>
      <w:spacing w:line="400" w:lineRule="atLeast"/>
    </w:pPr>
    <w:rPr>
      <w:rFonts w:hAnsi="Calibri"/>
      <w:color w:val="auto"/>
    </w:rPr>
  </w:style>
  <w:style w:type="paragraph" w:customStyle="1" w:styleId="548">
    <w:name w:val="CM182"/>
    <w:basedOn w:val="252"/>
    <w:next w:val="252"/>
    <w:qFormat/>
    <w:uiPriority w:val="0"/>
    <w:rPr>
      <w:rFonts w:hAnsi="Calibri"/>
      <w:color w:val="auto"/>
    </w:rPr>
  </w:style>
  <w:style w:type="paragraph" w:customStyle="1" w:styleId="549">
    <w:name w:val="样式 标题 2"/>
    <w:basedOn w:val="1"/>
    <w:next w:val="6"/>
    <w:qFormat/>
    <w:uiPriority w:val="0"/>
    <w:pPr>
      <w:widowControl w:val="0"/>
      <w:snapToGrid w:val="0"/>
      <w:spacing w:line="360" w:lineRule="auto"/>
      <w:ind w:firstLine="200" w:firstLineChars="200"/>
      <w:jc w:val="both"/>
    </w:pPr>
    <w:rPr>
      <w:rFonts w:eastAsia="仿宋_GB2312"/>
      <w:kern w:val="2"/>
      <w:sz w:val="32"/>
      <w:szCs w:val="32"/>
    </w:rPr>
  </w:style>
  <w:style w:type="paragraph" w:customStyle="1" w:styleId="550">
    <w:name w:val="CM143"/>
    <w:basedOn w:val="252"/>
    <w:next w:val="252"/>
    <w:qFormat/>
    <w:uiPriority w:val="0"/>
    <w:rPr>
      <w:rFonts w:hAnsi="Calibri"/>
      <w:color w:val="auto"/>
    </w:rPr>
  </w:style>
  <w:style w:type="paragraph" w:customStyle="1" w:styleId="551">
    <w:name w:val="xl45"/>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552">
    <w:name w:val="P2"/>
    <w:qFormat/>
    <w:uiPriority w:val="0"/>
    <w:pPr>
      <w:widowControl w:val="0"/>
      <w:adjustRightInd w:val="0"/>
      <w:spacing w:after="240" w:line="240" w:lineRule="atLeast"/>
      <w:ind w:left="1728"/>
      <w:jc w:val="both"/>
      <w:textAlignment w:val="baseline"/>
    </w:pPr>
    <w:rPr>
      <w:rFonts w:ascii="Times New Roman" w:hAnsi="Times New Roman" w:eastAsia="全真中明體" w:cs="Times New Roman"/>
      <w:spacing w:val="20"/>
      <w:sz w:val="24"/>
      <w:lang w:val="en-GB" w:eastAsia="zh-TW" w:bidi="ar-SA"/>
    </w:rPr>
  </w:style>
  <w:style w:type="paragraph" w:customStyle="1" w:styleId="553">
    <w:name w:val="CM116"/>
    <w:basedOn w:val="252"/>
    <w:next w:val="252"/>
    <w:qFormat/>
    <w:uiPriority w:val="0"/>
    <w:rPr>
      <w:rFonts w:hAnsi="Calibri"/>
      <w:color w:val="auto"/>
    </w:rPr>
  </w:style>
  <w:style w:type="paragraph" w:customStyle="1" w:styleId="554">
    <w:name w:val="font7"/>
    <w:basedOn w:val="1"/>
    <w:qFormat/>
    <w:uiPriority w:val="0"/>
    <w:pPr>
      <w:spacing w:before="100" w:beforeAutospacing="1" w:after="100" w:afterAutospacing="1"/>
    </w:pPr>
    <w:rPr>
      <w:rFonts w:hint="eastAsia" w:ascii="宋体" w:hAnsi="宋体" w:cs="Arial Unicode MS"/>
      <w:b/>
      <w:bCs/>
      <w:sz w:val="22"/>
      <w:szCs w:val="22"/>
    </w:rPr>
  </w:style>
  <w:style w:type="paragraph" w:customStyle="1" w:styleId="555">
    <w:name w:val="修订2"/>
    <w:qFormat/>
    <w:uiPriority w:val="0"/>
    <w:pPr>
      <w:spacing w:after="160" w:line="278" w:lineRule="auto"/>
    </w:pPr>
    <w:rPr>
      <w:rFonts w:ascii="Times New Roman" w:hAnsi="Times New Roman" w:eastAsia="宋体" w:cs="Times New Roman"/>
      <w:kern w:val="2"/>
      <w:sz w:val="21"/>
      <w:szCs w:val="24"/>
      <w:lang w:val="en-US" w:eastAsia="zh-CN" w:bidi="ar-SA"/>
    </w:rPr>
  </w:style>
  <w:style w:type="paragraph" w:customStyle="1" w:styleId="556">
    <w:name w:val="xl43"/>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557">
    <w:name w:val="xl28"/>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558">
    <w:name w:val="CM169"/>
    <w:basedOn w:val="252"/>
    <w:next w:val="252"/>
    <w:qFormat/>
    <w:uiPriority w:val="0"/>
    <w:pPr>
      <w:spacing w:line="340" w:lineRule="atLeast"/>
    </w:pPr>
    <w:rPr>
      <w:rFonts w:hAnsi="Calibri"/>
      <w:color w:val="auto"/>
    </w:rPr>
  </w:style>
  <w:style w:type="paragraph" w:customStyle="1" w:styleId="559">
    <w:name w:val="Char Char1 Char Char"/>
    <w:basedOn w:val="1"/>
    <w:qFormat/>
    <w:uiPriority w:val="0"/>
    <w:pPr>
      <w:tabs>
        <w:tab w:val="left" w:pos="425"/>
      </w:tabs>
      <w:spacing w:before="100" w:beforeLines="100" w:line="240" w:lineRule="exact"/>
      <w:ind w:left="425" w:hanging="425"/>
    </w:pPr>
    <w:rPr>
      <w:rFonts w:ascii="Verdana" w:hAnsi="Verdana" w:eastAsia="黑体"/>
      <w:lang w:eastAsia="en-US"/>
    </w:rPr>
  </w:style>
  <w:style w:type="paragraph" w:customStyle="1" w:styleId="560">
    <w:name w:val="List Paragraph2"/>
    <w:basedOn w:val="1"/>
    <w:qFormat/>
    <w:uiPriority w:val="0"/>
    <w:pPr>
      <w:widowControl w:val="0"/>
      <w:ind w:firstLine="420" w:firstLineChars="200"/>
      <w:jc w:val="both"/>
    </w:pPr>
    <w:rPr>
      <w:rFonts w:ascii="Calibri" w:hAnsi="Calibri" w:cs="Calibri"/>
      <w:kern w:val="2"/>
      <w:sz w:val="21"/>
      <w:szCs w:val="21"/>
    </w:rPr>
  </w:style>
  <w:style w:type="paragraph" w:customStyle="1" w:styleId="561">
    <w:name w:val="Char Char Char Char Char Char1"/>
    <w:basedOn w:val="1"/>
    <w:qFormat/>
    <w:uiPriority w:val="0"/>
    <w:pPr>
      <w:widowControl w:val="0"/>
      <w:adjustRightInd w:val="0"/>
      <w:spacing w:line="360" w:lineRule="auto"/>
      <w:jc w:val="both"/>
    </w:pPr>
    <w:rPr>
      <w:sz w:val="24"/>
    </w:rPr>
  </w:style>
  <w:style w:type="paragraph" w:customStyle="1" w:styleId="562">
    <w:name w:val="P10"/>
    <w:basedOn w:val="484"/>
    <w:qFormat/>
    <w:uiPriority w:val="0"/>
    <w:pPr>
      <w:ind w:left="3240"/>
    </w:pPr>
    <w:rPr>
      <w:spacing w:val="20"/>
    </w:rPr>
  </w:style>
  <w:style w:type="paragraph" w:customStyle="1" w:styleId="563">
    <w:name w:val="缺省文本"/>
    <w:basedOn w:val="1"/>
    <w:qFormat/>
    <w:uiPriority w:val="0"/>
    <w:pPr>
      <w:widowControl w:val="0"/>
      <w:autoSpaceDE w:val="0"/>
      <w:autoSpaceDN w:val="0"/>
      <w:adjustRightInd w:val="0"/>
    </w:pPr>
    <w:rPr>
      <w:sz w:val="24"/>
    </w:rPr>
  </w:style>
  <w:style w:type="paragraph" w:customStyle="1" w:styleId="564">
    <w:name w:val="CM5"/>
    <w:basedOn w:val="252"/>
    <w:next w:val="252"/>
    <w:qFormat/>
    <w:uiPriority w:val="0"/>
    <w:pPr>
      <w:spacing w:line="496" w:lineRule="atLeast"/>
    </w:pPr>
    <w:rPr>
      <w:rFonts w:hAnsi="Calibri"/>
      <w:color w:val="auto"/>
    </w:rPr>
  </w:style>
  <w:style w:type="paragraph" w:customStyle="1" w:styleId="565">
    <w:name w:val="样式 宋体 小四 首行缩进:  0.93 厘米 段前: 11.15 磅 段后: 11.15 磅1"/>
    <w:basedOn w:val="1"/>
    <w:qFormat/>
    <w:uiPriority w:val="0"/>
    <w:pPr>
      <w:widowControl w:val="0"/>
      <w:adjustRightInd w:val="0"/>
      <w:snapToGrid w:val="0"/>
      <w:ind w:left="200" w:leftChars="200"/>
      <w:jc w:val="both"/>
    </w:pPr>
    <w:rPr>
      <w:rFonts w:ascii="宋体" w:cs="宋体"/>
      <w:kern w:val="2"/>
      <w:sz w:val="24"/>
    </w:rPr>
  </w:style>
  <w:style w:type="paragraph" w:customStyle="1" w:styleId="566">
    <w:name w:val="CM70"/>
    <w:basedOn w:val="252"/>
    <w:next w:val="252"/>
    <w:qFormat/>
    <w:uiPriority w:val="0"/>
    <w:pPr>
      <w:spacing w:line="556" w:lineRule="atLeast"/>
    </w:pPr>
    <w:rPr>
      <w:rFonts w:hAnsi="Calibri"/>
      <w:color w:val="auto"/>
    </w:rPr>
  </w:style>
  <w:style w:type="paragraph" w:customStyle="1" w:styleId="567">
    <w:name w:val="Char6 Char Char Char11"/>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568">
    <w:name w:val="CM194"/>
    <w:basedOn w:val="252"/>
    <w:next w:val="252"/>
    <w:qFormat/>
    <w:uiPriority w:val="0"/>
    <w:rPr>
      <w:rFonts w:hAnsi="Calibri"/>
      <w:color w:val="auto"/>
    </w:rPr>
  </w:style>
  <w:style w:type="paragraph" w:customStyle="1" w:styleId="569">
    <w:name w:val="CM52"/>
    <w:basedOn w:val="252"/>
    <w:next w:val="252"/>
    <w:qFormat/>
    <w:uiPriority w:val="0"/>
    <w:pPr>
      <w:spacing w:line="398" w:lineRule="atLeast"/>
    </w:pPr>
    <w:rPr>
      <w:rFonts w:hAnsi="Calibri"/>
      <w:color w:val="auto"/>
    </w:rPr>
  </w:style>
  <w:style w:type="paragraph" w:customStyle="1" w:styleId="570">
    <w:name w:val="P7"/>
    <w:qFormat/>
    <w:uiPriority w:val="0"/>
    <w:pPr>
      <w:widowControl w:val="0"/>
      <w:tabs>
        <w:tab w:val="left" w:pos="576"/>
      </w:tabs>
      <w:adjustRightInd w:val="0"/>
      <w:spacing w:after="240" w:line="240" w:lineRule="atLeast"/>
      <w:ind w:left="1728" w:hanging="1728"/>
      <w:jc w:val="both"/>
      <w:textAlignment w:val="baseline"/>
    </w:pPr>
    <w:rPr>
      <w:rFonts w:ascii="Times New Roman" w:hAnsi="Times New Roman" w:eastAsia="全真中明體" w:cs="Times New Roman"/>
      <w:spacing w:val="30"/>
      <w:sz w:val="24"/>
      <w:lang w:val="en-GB" w:eastAsia="zh-TW" w:bidi="ar-SA"/>
    </w:rPr>
  </w:style>
  <w:style w:type="paragraph" w:customStyle="1" w:styleId="571">
    <w:name w:val="css1"/>
    <w:basedOn w:val="1"/>
    <w:qFormat/>
    <w:uiPriority w:val="0"/>
    <w:pPr>
      <w:spacing w:before="100" w:beforeAutospacing="1" w:after="100" w:afterAutospacing="1" w:line="360" w:lineRule="auto"/>
    </w:pPr>
    <w:rPr>
      <w:rFonts w:ascii="宋体" w:hAnsi="宋体"/>
      <w:color w:val="000000"/>
      <w:sz w:val="18"/>
      <w:szCs w:val="18"/>
    </w:rPr>
  </w:style>
  <w:style w:type="paragraph" w:customStyle="1" w:styleId="572">
    <w:name w:val="CM44"/>
    <w:basedOn w:val="252"/>
    <w:next w:val="252"/>
    <w:qFormat/>
    <w:uiPriority w:val="0"/>
    <w:rPr>
      <w:rFonts w:hAnsi="Calibri"/>
      <w:color w:val="auto"/>
    </w:rPr>
  </w:style>
  <w:style w:type="paragraph" w:customStyle="1" w:styleId="573">
    <w:name w:val="CM186"/>
    <w:basedOn w:val="252"/>
    <w:next w:val="252"/>
    <w:qFormat/>
    <w:uiPriority w:val="0"/>
    <w:rPr>
      <w:rFonts w:hAnsi="Calibri"/>
      <w:color w:val="auto"/>
    </w:rPr>
  </w:style>
  <w:style w:type="paragraph" w:customStyle="1" w:styleId="574">
    <w:name w:val="Char1 Char Char Char Char Char Char1"/>
    <w:basedOn w:val="20"/>
    <w:qFormat/>
    <w:uiPriority w:val="0"/>
    <w:pPr>
      <w:widowControl w:val="0"/>
      <w:shd w:val="clear" w:color="auto" w:fill="000080"/>
      <w:spacing w:line="360" w:lineRule="auto"/>
      <w:jc w:val="both"/>
    </w:pPr>
    <w:rPr>
      <w:rFonts w:ascii="Tahoma" w:hAnsi="Tahoma"/>
      <w:kern w:val="2"/>
      <w:sz w:val="24"/>
      <w:szCs w:val="24"/>
    </w:rPr>
  </w:style>
  <w:style w:type="paragraph" w:customStyle="1" w:styleId="575">
    <w:name w:val="xl49"/>
    <w:basedOn w:val="1"/>
    <w:qFormat/>
    <w:uiPriority w:val="0"/>
    <w:pPr>
      <w:spacing w:before="100" w:beforeAutospacing="1" w:after="100" w:afterAutospacing="1"/>
      <w:textAlignment w:val="center"/>
    </w:pPr>
    <w:rPr>
      <w:rFonts w:hint="eastAsia" w:ascii="黑体" w:hAnsi="Arial Unicode MS" w:eastAsia="黑体" w:cs="Arial Unicode MS"/>
      <w:b/>
      <w:bCs/>
      <w:sz w:val="24"/>
      <w:szCs w:val="24"/>
    </w:rPr>
  </w:style>
  <w:style w:type="paragraph" w:customStyle="1" w:styleId="576">
    <w:name w:val="CM125"/>
    <w:basedOn w:val="252"/>
    <w:next w:val="252"/>
    <w:qFormat/>
    <w:uiPriority w:val="0"/>
    <w:pPr>
      <w:spacing w:line="273" w:lineRule="atLeast"/>
    </w:pPr>
    <w:rPr>
      <w:rFonts w:hAnsi="Calibri"/>
      <w:color w:val="auto"/>
    </w:rPr>
  </w:style>
  <w:style w:type="paragraph" w:customStyle="1" w:styleId="577">
    <w:name w:val="CM62"/>
    <w:basedOn w:val="252"/>
    <w:next w:val="252"/>
    <w:qFormat/>
    <w:uiPriority w:val="0"/>
    <w:pPr>
      <w:spacing w:line="400" w:lineRule="atLeast"/>
    </w:pPr>
    <w:rPr>
      <w:rFonts w:hAnsi="Calibri"/>
      <w:color w:val="auto"/>
    </w:rPr>
  </w:style>
  <w:style w:type="paragraph" w:customStyle="1" w:styleId="578">
    <w:name w:val="CM195"/>
    <w:basedOn w:val="252"/>
    <w:next w:val="252"/>
    <w:qFormat/>
    <w:uiPriority w:val="0"/>
    <w:rPr>
      <w:rFonts w:hAnsi="Calibri"/>
      <w:color w:val="auto"/>
    </w:rPr>
  </w:style>
  <w:style w:type="paragraph" w:customStyle="1" w:styleId="579">
    <w:name w:val="书籍标题21"/>
    <w:basedOn w:val="1"/>
    <w:qFormat/>
    <w:uiPriority w:val="0"/>
    <w:pPr>
      <w:widowControl w:val="0"/>
      <w:autoSpaceDE w:val="0"/>
      <w:autoSpaceDN w:val="0"/>
      <w:adjustRightInd w:val="0"/>
      <w:ind w:left="200" w:leftChars="200"/>
    </w:pPr>
    <w:rPr>
      <w:rFonts w:ascii="楷体_GB2312" w:eastAsia="楷体_GB2312"/>
      <w:sz w:val="21"/>
      <w:lang w:val="zh-CN"/>
    </w:rPr>
  </w:style>
  <w:style w:type="paragraph" w:customStyle="1" w:styleId="580">
    <w:name w:val="xl38"/>
    <w:basedOn w:val="1"/>
    <w:qFormat/>
    <w:uiPriority w:val="0"/>
    <w:pPr>
      <w:pBdr>
        <w:top w:val="single" w:color="auto" w:sz="4" w:space="0"/>
        <w:bottom w:val="single" w:color="auto" w:sz="4" w:space="0"/>
      </w:pBdr>
      <w:spacing w:before="100" w:beforeAutospacing="1" w:after="100" w:afterAutospacing="1"/>
      <w:jc w:val="center"/>
      <w:textAlignment w:val="top"/>
    </w:pPr>
    <w:rPr>
      <w:rFonts w:ascii="Arial Unicode MS" w:hAnsi="Arial Unicode MS" w:eastAsia="Arial Unicode MS" w:cs="Arial Unicode MS"/>
      <w:sz w:val="18"/>
      <w:szCs w:val="18"/>
    </w:rPr>
  </w:style>
  <w:style w:type="paragraph" w:customStyle="1" w:styleId="581">
    <w:name w:val="CM213"/>
    <w:basedOn w:val="252"/>
    <w:next w:val="252"/>
    <w:qFormat/>
    <w:uiPriority w:val="0"/>
    <w:rPr>
      <w:rFonts w:hAnsi="Calibri"/>
      <w:color w:val="auto"/>
    </w:rPr>
  </w:style>
  <w:style w:type="paragraph" w:customStyle="1" w:styleId="582">
    <w:name w:val="CM202"/>
    <w:basedOn w:val="252"/>
    <w:next w:val="252"/>
    <w:qFormat/>
    <w:uiPriority w:val="0"/>
    <w:rPr>
      <w:rFonts w:hAnsi="Calibri"/>
      <w:color w:val="auto"/>
    </w:rPr>
  </w:style>
  <w:style w:type="paragraph" w:customStyle="1" w:styleId="583">
    <w:name w:val="CM54"/>
    <w:basedOn w:val="252"/>
    <w:next w:val="252"/>
    <w:qFormat/>
    <w:uiPriority w:val="0"/>
    <w:pPr>
      <w:spacing w:line="400" w:lineRule="atLeast"/>
    </w:pPr>
    <w:rPr>
      <w:rFonts w:hAnsi="Calibri"/>
      <w:color w:val="auto"/>
    </w:rPr>
  </w:style>
  <w:style w:type="paragraph" w:customStyle="1" w:styleId="584">
    <w:name w:val="Char Char Char Char12"/>
    <w:basedOn w:val="1"/>
    <w:qFormat/>
    <w:uiPriority w:val="0"/>
    <w:pPr>
      <w:widowControl w:val="0"/>
      <w:spacing w:line="240" w:lineRule="atLeast"/>
      <w:ind w:left="420" w:firstLine="420"/>
      <w:jc w:val="both"/>
    </w:pPr>
    <w:rPr>
      <w:sz w:val="21"/>
      <w:szCs w:val="21"/>
    </w:rPr>
  </w:style>
  <w:style w:type="paragraph" w:customStyle="1" w:styleId="585">
    <w:name w:val="CM176"/>
    <w:basedOn w:val="252"/>
    <w:next w:val="252"/>
    <w:qFormat/>
    <w:uiPriority w:val="0"/>
    <w:rPr>
      <w:rFonts w:hAnsi="Calibri"/>
      <w:color w:val="auto"/>
    </w:rPr>
  </w:style>
  <w:style w:type="paragraph" w:customStyle="1" w:styleId="586">
    <w:name w:val="CM185"/>
    <w:basedOn w:val="252"/>
    <w:next w:val="252"/>
    <w:qFormat/>
    <w:uiPriority w:val="0"/>
    <w:rPr>
      <w:rFonts w:hAnsi="Calibri"/>
      <w:color w:val="auto"/>
    </w:rPr>
  </w:style>
  <w:style w:type="paragraph" w:customStyle="1" w:styleId="587">
    <w:name w:val="CM101"/>
    <w:basedOn w:val="252"/>
    <w:next w:val="252"/>
    <w:qFormat/>
    <w:uiPriority w:val="0"/>
    <w:pPr>
      <w:spacing w:line="340" w:lineRule="atLeast"/>
    </w:pPr>
    <w:rPr>
      <w:rFonts w:hAnsi="Calibri"/>
      <w:color w:val="auto"/>
    </w:rPr>
  </w:style>
  <w:style w:type="paragraph" w:customStyle="1" w:styleId="588">
    <w:name w:val="CM160"/>
    <w:basedOn w:val="252"/>
    <w:next w:val="252"/>
    <w:qFormat/>
    <w:uiPriority w:val="0"/>
    <w:rPr>
      <w:rFonts w:hAnsi="Calibri"/>
      <w:color w:val="auto"/>
    </w:rPr>
  </w:style>
  <w:style w:type="paragraph" w:customStyle="1" w:styleId="589">
    <w:name w:val="CM3"/>
    <w:basedOn w:val="252"/>
    <w:next w:val="252"/>
    <w:qFormat/>
    <w:uiPriority w:val="0"/>
    <w:pPr>
      <w:spacing w:line="500" w:lineRule="atLeast"/>
    </w:pPr>
    <w:rPr>
      <w:rFonts w:hAnsi="Calibri"/>
      <w:color w:val="auto"/>
    </w:rPr>
  </w:style>
  <w:style w:type="paragraph" w:customStyle="1" w:styleId="590">
    <w:name w:val="No Spacing1"/>
    <w:qFormat/>
    <w:uiPriority w:val="0"/>
    <w:pPr>
      <w:widowControl w:val="0"/>
      <w:spacing w:after="160" w:line="278" w:lineRule="auto"/>
      <w:jc w:val="both"/>
    </w:pPr>
    <w:rPr>
      <w:rFonts w:ascii="Calibri" w:hAnsi="Calibri" w:eastAsia="宋体" w:cs="Times New Roman"/>
      <w:kern w:val="2"/>
      <w:sz w:val="21"/>
      <w:szCs w:val="22"/>
      <w:lang w:val="en-US" w:eastAsia="zh-CN" w:bidi="ar-SA"/>
    </w:rPr>
  </w:style>
  <w:style w:type="paragraph" w:customStyle="1" w:styleId="591">
    <w:name w:val="Char Char Char Char Char Char Char Char Char Char Char Char1"/>
    <w:basedOn w:val="1"/>
    <w:qFormat/>
    <w:uiPriority w:val="0"/>
    <w:pPr>
      <w:widowControl w:val="0"/>
      <w:spacing w:line="240" w:lineRule="atLeast"/>
      <w:ind w:left="420" w:firstLine="420"/>
      <w:jc w:val="both"/>
    </w:pPr>
    <w:rPr>
      <w:sz w:val="21"/>
      <w:szCs w:val="21"/>
    </w:rPr>
  </w:style>
  <w:style w:type="paragraph" w:customStyle="1" w:styleId="592">
    <w:name w:val="Absatz2AL"/>
    <w:basedOn w:val="25"/>
    <w:next w:val="1"/>
    <w:qFormat/>
    <w:uiPriority w:val="0"/>
    <w:pPr>
      <w:overflowPunct w:val="0"/>
      <w:autoSpaceDE w:val="0"/>
      <w:autoSpaceDN w:val="0"/>
      <w:adjustRightInd w:val="0"/>
      <w:spacing w:after="0"/>
    </w:pPr>
    <w:rPr>
      <w:rFonts w:ascii="Calibri" w:hAnsi="Calibri" w:eastAsia="楷体_GB2312"/>
      <w:sz w:val="24"/>
      <w:lang w:val="de-DE" w:eastAsia="en-US" w:bidi="en-US"/>
    </w:rPr>
  </w:style>
  <w:style w:type="paragraph" w:customStyle="1" w:styleId="593">
    <w:name w:val="CM59"/>
    <w:basedOn w:val="252"/>
    <w:next w:val="252"/>
    <w:qFormat/>
    <w:uiPriority w:val="0"/>
    <w:pPr>
      <w:spacing w:line="393" w:lineRule="atLeast"/>
    </w:pPr>
    <w:rPr>
      <w:rFonts w:hAnsi="Calibri"/>
      <w:color w:val="auto"/>
    </w:rPr>
  </w:style>
  <w:style w:type="paragraph" w:customStyle="1" w:styleId="594">
    <w:name w:val="CM88"/>
    <w:basedOn w:val="252"/>
    <w:next w:val="252"/>
    <w:qFormat/>
    <w:uiPriority w:val="0"/>
    <w:pPr>
      <w:spacing w:line="551" w:lineRule="atLeast"/>
    </w:pPr>
    <w:rPr>
      <w:rFonts w:hAnsi="Calibri"/>
      <w:color w:val="auto"/>
    </w:rPr>
  </w:style>
  <w:style w:type="paragraph" w:customStyle="1" w:styleId="595">
    <w:name w:val="CM155"/>
    <w:basedOn w:val="252"/>
    <w:next w:val="252"/>
    <w:qFormat/>
    <w:uiPriority w:val="0"/>
    <w:pPr>
      <w:spacing w:line="343" w:lineRule="atLeast"/>
    </w:pPr>
    <w:rPr>
      <w:rFonts w:hAnsi="Calibri"/>
      <w:color w:val="auto"/>
    </w:rPr>
  </w:style>
  <w:style w:type="paragraph" w:customStyle="1" w:styleId="596">
    <w:name w:val="CM37"/>
    <w:basedOn w:val="252"/>
    <w:next w:val="252"/>
    <w:qFormat/>
    <w:uiPriority w:val="0"/>
    <w:pPr>
      <w:spacing w:line="403" w:lineRule="atLeast"/>
    </w:pPr>
    <w:rPr>
      <w:rFonts w:hAnsi="Calibri"/>
      <w:color w:val="auto"/>
    </w:rPr>
  </w:style>
  <w:style w:type="paragraph" w:customStyle="1" w:styleId="597">
    <w:name w:val="flNote"/>
    <w:basedOn w:val="1"/>
    <w:qFormat/>
    <w:uiPriority w:val="0"/>
    <w:pPr>
      <w:widowControl w:val="0"/>
      <w:adjustRightInd w:val="0"/>
      <w:spacing w:before="320" w:line="360" w:lineRule="atLeast"/>
      <w:jc w:val="center"/>
      <w:textAlignment w:val="baseline"/>
    </w:pPr>
    <w:rPr>
      <w:rFonts w:ascii="Arial" w:eastAsia="黑体"/>
      <w:sz w:val="30"/>
    </w:rPr>
  </w:style>
  <w:style w:type="paragraph" w:customStyle="1" w:styleId="598">
    <w:name w:val="CM96"/>
    <w:basedOn w:val="252"/>
    <w:next w:val="252"/>
    <w:qFormat/>
    <w:uiPriority w:val="0"/>
    <w:rPr>
      <w:rFonts w:hAnsi="Calibri"/>
      <w:color w:val="auto"/>
    </w:rPr>
  </w:style>
  <w:style w:type="paragraph" w:customStyle="1" w:styleId="599">
    <w:name w:val="样式4"/>
    <w:basedOn w:val="6"/>
    <w:qFormat/>
    <w:uiPriority w:val="0"/>
    <w:pPr>
      <w:widowControl w:val="0"/>
      <w:spacing w:line="415" w:lineRule="auto"/>
      <w:jc w:val="both"/>
    </w:pPr>
    <w:rPr>
      <w:rFonts w:eastAsia="Arial"/>
      <w:kern w:val="2"/>
    </w:rPr>
  </w:style>
  <w:style w:type="paragraph" w:customStyle="1" w:styleId="600">
    <w:name w:val="标准"/>
    <w:basedOn w:val="1"/>
    <w:qFormat/>
    <w:uiPriority w:val="0"/>
    <w:pPr>
      <w:widowControl w:val="0"/>
      <w:adjustRightInd w:val="0"/>
      <w:spacing w:line="312" w:lineRule="atLeast"/>
      <w:jc w:val="both"/>
      <w:textAlignment w:val="baseline"/>
    </w:pPr>
    <w:rPr>
      <w:sz w:val="28"/>
    </w:rPr>
  </w:style>
  <w:style w:type="paragraph" w:customStyle="1" w:styleId="601">
    <w:name w:val="Char Char Char Char Char Char Char Char Char Char Char Char Char Char Char1"/>
    <w:basedOn w:val="1"/>
    <w:qFormat/>
    <w:uiPriority w:val="0"/>
    <w:pPr>
      <w:widowControl w:val="0"/>
      <w:spacing w:line="240" w:lineRule="atLeast"/>
      <w:ind w:left="420" w:firstLine="420"/>
      <w:jc w:val="both"/>
    </w:pPr>
    <w:rPr>
      <w:sz w:val="21"/>
      <w:szCs w:val="21"/>
    </w:rPr>
  </w:style>
  <w:style w:type="paragraph" w:customStyle="1" w:styleId="602">
    <w:name w:val="p16"/>
    <w:basedOn w:val="1"/>
    <w:qFormat/>
    <w:uiPriority w:val="0"/>
    <w:pPr>
      <w:spacing w:line="386" w:lineRule="atLeast"/>
    </w:pPr>
    <w:rPr>
      <w:rFonts w:ascii="Arial" w:hAnsi="Arial"/>
      <w:sz w:val="25"/>
    </w:rPr>
  </w:style>
  <w:style w:type="paragraph" w:customStyle="1" w:styleId="603">
    <w:name w:val="p0"/>
    <w:basedOn w:val="1"/>
    <w:qFormat/>
    <w:uiPriority w:val="0"/>
    <w:pPr>
      <w:jc w:val="both"/>
    </w:pPr>
    <w:rPr>
      <w:sz w:val="21"/>
    </w:rPr>
  </w:style>
  <w:style w:type="paragraph" w:customStyle="1" w:styleId="604">
    <w:name w:val="CM81"/>
    <w:basedOn w:val="252"/>
    <w:next w:val="252"/>
    <w:qFormat/>
    <w:uiPriority w:val="0"/>
    <w:rPr>
      <w:rFonts w:hAnsi="Calibri"/>
      <w:color w:val="auto"/>
    </w:rPr>
  </w:style>
  <w:style w:type="paragraph" w:customStyle="1" w:styleId="605">
    <w:name w:val="CM131"/>
    <w:basedOn w:val="252"/>
    <w:next w:val="252"/>
    <w:qFormat/>
    <w:uiPriority w:val="0"/>
    <w:rPr>
      <w:rFonts w:hAnsi="Calibri"/>
      <w:color w:val="auto"/>
    </w:rPr>
  </w:style>
  <w:style w:type="paragraph" w:customStyle="1" w:styleId="606">
    <w:name w:val="CM107"/>
    <w:basedOn w:val="252"/>
    <w:next w:val="252"/>
    <w:qFormat/>
    <w:uiPriority w:val="0"/>
    <w:rPr>
      <w:rFonts w:hAnsi="Calibri"/>
      <w:color w:val="auto"/>
    </w:rPr>
  </w:style>
  <w:style w:type="paragraph" w:customStyle="1" w:styleId="607">
    <w:name w:val="OmniPage #7"/>
    <w:basedOn w:val="1"/>
    <w:qFormat/>
    <w:uiPriority w:val="0"/>
    <w:pPr>
      <w:spacing w:line="280" w:lineRule="exact"/>
    </w:pPr>
    <w:rPr>
      <w:rFonts w:eastAsia="PMingLiU"/>
      <w:lang w:eastAsia="zh-TW"/>
    </w:rPr>
  </w:style>
  <w:style w:type="paragraph" w:customStyle="1" w:styleId="608">
    <w:name w:val="合同文本"/>
    <w:basedOn w:val="1"/>
    <w:qFormat/>
    <w:uiPriority w:val="0"/>
    <w:pPr>
      <w:widowControl w:val="0"/>
      <w:snapToGrid w:val="0"/>
      <w:spacing w:line="360" w:lineRule="auto"/>
      <w:ind w:firstLine="425" w:firstLineChars="177"/>
      <w:jc w:val="both"/>
    </w:pPr>
    <w:rPr>
      <w:rFonts w:ascii="宋体" w:hAnsi="宋体"/>
      <w:kern w:val="2"/>
      <w:sz w:val="21"/>
      <w:szCs w:val="21"/>
    </w:rPr>
  </w:style>
  <w:style w:type="paragraph" w:customStyle="1" w:styleId="609">
    <w:name w:val="xl44"/>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610">
    <w:name w:val="样式 标题 2刘兵2第一节 标题 2标题3技术标题22nd levelh2Header 2l2H2sect ..."/>
    <w:basedOn w:val="5"/>
    <w:qFormat/>
    <w:uiPriority w:val="0"/>
    <w:pPr>
      <w:keepNext w:val="0"/>
      <w:keepLines w:val="0"/>
      <w:widowControl w:val="0"/>
      <w:numPr>
        <w:ilvl w:val="2"/>
        <w:numId w:val="4"/>
      </w:numPr>
      <w:tabs>
        <w:tab w:val="left" w:pos="360"/>
      </w:tabs>
      <w:adjustRightInd w:val="0"/>
      <w:spacing w:before="240" w:after="240" w:line="360" w:lineRule="auto"/>
      <w:ind w:left="0" w:firstLine="0"/>
      <w:textAlignment w:val="center"/>
    </w:pPr>
    <w:rPr>
      <w:rFonts w:ascii="黑体" w:cs="宋体"/>
      <w:kern w:val="2"/>
      <w:sz w:val="24"/>
      <w:szCs w:val="20"/>
    </w:rPr>
  </w:style>
  <w:style w:type="paragraph" w:customStyle="1" w:styleId="611">
    <w:name w:val="CM180"/>
    <w:basedOn w:val="252"/>
    <w:next w:val="252"/>
    <w:qFormat/>
    <w:uiPriority w:val="0"/>
    <w:rPr>
      <w:rFonts w:hAnsi="Calibri"/>
      <w:color w:val="auto"/>
    </w:rPr>
  </w:style>
  <w:style w:type="paragraph" w:customStyle="1" w:styleId="612">
    <w:name w:val="CM113"/>
    <w:basedOn w:val="252"/>
    <w:next w:val="252"/>
    <w:qFormat/>
    <w:uiPriority w:val="0"/>
    <w:pPr>
      <w:spacing w:line="343" w:lineRule="atLeast"/>
    </w:pPr>
    <w:rPr>
      <w:rFonts w:hAnsi="Calibri"/>
      <w:color w:val="auto"/>
    </w:rPr>
  </w:style>
  <w:style w:type="paragraph" w:customStyle="1" w:styleId="613">
    <w:name w:val="xl35"/>
    <w:basedOn w:val="1"/>
    <w:qFormat/>
    <w:uiPriority w:val="0"/>
    <w:pPr>
      <w:pBdr>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sz w:val="18"/>
      <w:szCs w:val="18"/>
    </w:rPr>
  </w:style>
  <w:style w:type="paragraph" w:customStyle="1" w:styleId="614">
    <w:name w:val="样式 标题 + 两端对齐"/>
    <w:basedOn w:val="4"/>
    <w:qFormat/>
    <w:uiPriority w:val="0"/>
    <w:pPr>
      <w:widowControl w:val="0"/>
      <w:spacing w:before="100" w:after="90"/>
      <w:jc w:val="center"/>
    </w:pPr>
    <w:rPr>
      <w:rFonts w:cs="宋体"/>
      <w:sz w:val="36"/>
      <w:szCs w:val="20"/>
    </w:rPr>
  </w:style>
  <w:style w:type="paragraph" w:customStyle="1" w:styleId="615">
    <w:name w:val="样式 标题 1 + 段前: 0.5 行 段后: 0.5 行"/>
    <w:basedOn w:val="4"/>
    <w:qFormat/>
    <w:uiPriority w:val="0"/>
    <w:pPr>
      <w:widowControl w:val="0"/>
      <w:tabs>
        <w:tab w:val="left" w:pos="360"/>
        <w:tab w:val="left" w:pos="6120"/>
      </w:tabs>
      <w:adjustRightInd w:val="0"/>
      <w:spacing w:beforeLines="50" w:afterLines="50" w:line="240" w:lineRule="auto"/>
      <w:ind w:left="450" w:leftChars="514" w:right="924" w:rightChars="440" w:hanging="450"/>
      <w:jc w:val="center"/>
      <w:textAlignment w:val="baseline"/>
    </w:pPr>
    <w:rPr>
      <w:sz w:val="36"/>
      <w:szCs w:val="20"/>
    </w:rPr>
  </w:style>
  <w:style w:type="paragraph" w:customStyle="1" w:styleId="616">
    <w:name w:val="表文1"/>
    <w:basedOn w:val="1"/>
    <w:qFormat/>
    <w:uiPriority w:val="0"/>
    <w:pPr>
      <w:widowControl w:val="0"/>
      <w:autoSpaceDE w:val="0"/>
      <w:autoSpaceDN w:val="0"/>
      <w:adjustRightInd w:val="0"/>
      <w:snapToGrid w:val="0"/>
      <w:spacing w:before="120" w:after="60" w:line="312" w:lineRule="auto"/>
      <w:jc w:val="center"/>
      <w:textAlignment w:val="baseline"/>
    </w:pPr>
    <w:rPr>
      <w:rFonts w:ascii="Arial" w:hAnsi="Arial"/>
      <w:sz w:val="24"/>
    </w:rPr>
  </w:style>
  <w:style w:type="paragraph" w:customStyle="1" w:styleId="617">
    <w:name w:val="_Style 382"/>
    <w:next w:val="1"/>
    <w:unhideWhenUsed/>
    <w:qFormat/>
    <w:uiPriority w:val="99"/>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618">
    <w:name w:val="列出段落11"/>
    <w:basedOn w:val="1"/>
    <w:qFormat/>
    <w:uiPriority w:val="0"/>
    <w:pPr>
      <w:widowControl w:val="0"/>
      <w:tabs>
        <w:tab w:val="left" w:pos="360"/>
        <w:tab w:val="left" w:pos="432"/>
        <w:tab w:val="left" w:pos="900"/>
      </w:tabs>
      <w:ind w:firstLine="420" w:firstLineChars="200"/>
      <w:jc w:val="both"/>
    </w:pPr>
    <w:rPr>
      <w:rFonts w:ascii="Calibri" w:hAnsi="Calibri"/>
      <w:kern w:val="2"/>
      <w:sz w:val="21"/>
      <w:szCs w:val="22"/>
    </w:rPr>
  </w:style>
  <w:style w:type="paragraph" w:customStyle="1" w:styleId="619">
    <w:name w:val="CM19"/>
    <w:basedOn w:val="252"/>
    <w:next w:val="252"/>
    <w:qFormat/>
    <w:uiPriority w:val="0"/>
    <w:pPr>
      <w:spacing w:line="320" w:lineRule="atLeast"/>
    </w:pPr>
    <w:rPr>
      <w:rFonts w:hAnsi="Calibri"/>
      <w:color w:val="auto"/>
    </w:rPr>
  </w:style>
  <w:style w:type="paragraph" w:customStyle="1" w:styleId="620">
    <w:name w:val="CM45"/>
    <w:basedOn w:val="252"/>
    <w:next w:val="252"/>
    <w:qFormat/>
    <w:uiPriority w:val="0"/>
    <w:pPr>
      <w:spacing w:line="440" w:lineRule="atLeast"/>
    </w:pPr>
    <w:rPr>
      <w:rFonts w:hAnsi="Calibri"/>
      <w:color w:val="auto"/>
    </w:rPr>
  </w:style>
  <w:style w:type="paragraph" w:customStyle="1" w:styleId="621">
    <w:name w:val="Char61"/>
    <w:basedOn w:val="1"/>
    <w:qFormat/>
    <w:uiPriority w:val="0"/>
    <w:pPr>
      <w:widowControl w:val="0"/>
      <w:tabs>
        <w:tab w:val="left" w:pos="794"/>
        <w:tab w:val="left" w:pos="1191"/>
        <w:tab w:val="left" w:pos="1588"/>
        <w:tab w:val="left" w:pos="1985"/>
      </w:tabs>
      <w:autoSpaceDE w:val="0"/>
      <w:autoSpaceDN w:val="0"/>
      <w:adjustRightInd w:val="0"/>
      <w:spacing w:before="136"/>
      <w:jc w:val="both"/>
    </w:pPr>
    <w:rPr>
      <w:rFonts w:ascii="Tahoma" w:hAnsi="Tahoma"/>
      <w:sz w:val="24"/>
      <w:lang w:val="en-GB"/>
    </w:rPr>
  </w:style>
  <w:style w:type="paragraph" w:customStyle="1" w:styleId="622">
    <w:name w:val="CM32"/>
    <w:basedOn w:val="252"/>
    <w:next w:val="252"/>
    <w:qFormat/>
    <w:uiPriority w:val="0"/>
    <w:pPr>
      <w:spacing w:line="400" w:lineRule="atLeast"/>
    </w:pPr>
    <w:rPr>
      <w:rFonts w:hAnsi="Calibri"/>
      <w:color w:val="auto"/>
    </w:rPr>
  </w:style>
  <w:style w:type="character" w:customStyle="1" w:styleId="623">
    <w:name w:val="15表格 Char"/>
    <w:link w:val="624"/>
    <w:qFormat/>
    <w:uiPriority w:val="0"/>
    <w:rPr>
      <w:b/>
      <w:kern w:val="2"/>
      <w:sz w:val="18"/>
    </w:rPr>
  </w:style>
  <w:style w:type="paragraph" w:customStyle="1" w:styleId="624">
    <w:name w:val="15表格"/>
    <w:basedOn w:val="1"/>
    <w:link w:val="623"/>
    <w:qFormat/>
    <w:uiPriority w:val="0"/>
    <w:pPr>
      <w:widowControl w:val="0"/>
      <w:snapToGrid w:val="0"/>
      <w:spacing w:line="240" w:lineRule="atLeast"/>
      <w:jc w:val="center"/>
    </w:pPr>
    <w:rPr>
      <w:b/>
      <w:kern w:val="2"/>
      <w:sz w:val="18"/>
    </w:rPr>
  </w:style>
  <w:style w:type="character" w:customStyle="1" w:styleId="625">
    <w:name w:val="明显引用 字符"/>
    <w:qFormat/>
    <w:uiPriority w:val="0"/>
    <w:rPr>
      <w:b/>
      <w:bCs/>
      <w:i/>
      <w:iCs/>
      <w:color w:val="4F81BD"/>
    </w:rPr>
  </w:style>
  <w:style w:type="character" w:customStyle="1" w:styleId="626">
    <w:name w:val="引用 字符"/>
    <w:qFormat/>
    <w:uiPriority w:val="0"/>
    <w:rPr>
      <w:i/>
      <w:iCs/>
      <w:color w:val="000000"/>
    </w:rPr>
  </w:style>
  <w:style w:type="character" w:customStyle="1" w:styleId="627">
    <w:name w:val="引用 字符1"/>
    <w:qFormat/>
    <w:uiPriority w:val="29"/>
    <w:rPr>
      <w:rFonts w:ascii="Calibri" w:hAnsi="Calibri" w:eastAsia="宋体" w:cs="Times New Roman"/>
      <w:i/>
      <w:iCs/>
      <w:color w:val="404040"/>
    </w:rPr>
  </w:style>
  <w:style w:type="character" w:customStyle="1" w:styleId="628">
    <w:name w:val="明显引用 字符1"/>
    <w:qFormat/>
    <w:uiPriority w:val="30"/>
    <w:rPr>
      <w:rFonts w:ascii="Calibri" w:hAnsi="Calibri" w:eastAsia="宋体" w:cs="Times New Roman"/>
      <w:i/>
      <w:iCs/>
      <w:color w:val="4472C4"/>
    </w:rPr>
  </w:style>
  <w:style w:type="character" w:customStyle="1" w:styleId="629">
    <w:name w:val="副标题 字符1"/>
    <w:qFormat/>
    <w:uiPriority w:val="11"/>
    <w:rPr>
      <w:b/>
      <w:bCs/>
      <w:kern w:val="28"/>
      <w:sz w:val="32"/>
      <w:szCs w:val="32"/>
    </w:rPr>
  </w:style>
  <w:style w:type="character" w:customStyle="1" w:styleId="630">
    <w:name w:val="文档结构图 字符1"/>
    <w:qFormat/>
    <w:uiPriority w:val="0"/>
    <w:rPr>
      <w:rFonts w:ascii="Microsoft YaHei UI" w:hAnsi="Calibri" w:eastAsia="Microsoft YaHei UI" w:cs="Times New Roman"/>
      <w:sz w:val="18"/>
      <w:szCs w:val="18"/>
    </w:rPr>
  </w:style>
  <w:style w:type="character" w:customStyle="1" w:styleId="631">
    <w:name w:val="日期 字符1"/>
    <w:semiHidden/>
    <w:qFormat/>
    <w:uiPriority w:val="99"/>
    <w:rPr>
      <w:rFonts w:ascii="Calibri" w:hAnsi="Calibri" w:eastAsia="宋体" w:cs="Times New Roman"/>
    </w:rPr>
  </w:style>
  <w:style w:type="character" w:customStyle="1" w:styleId="632">
    <w:name w:val="标题 字符1"/>
    <w:qFormat/>
    <w:uiPriority w:val="10"/>
    <w:rPr>
      <w:rFonts w:ascii="等线 Light" w:hAnsi="等线 Light" w:eastAsia="等线 Light" w:cs="Times New Roman"/>
      <w:b/>
      <w:bCs/>
      <w:sz w:val="32"/>
      <w:szCs w:val="32"/>
    </w:rPr>
  </w:style>
  <w:style w:type="character" w:customStyle="1" w:styleId="633">
    <w:name w:val="正文文本缩进 2 字符"/>
    <w:qFormat/>
    <w:uiPriority w:val="0"/>
    <w:rPr>
      <w:rFonts w:ascii="Times New Roman" w:hAnsi="Times New Roman" w:eastAsia="宋体" w:cs="Times New Roman"/>
      <w:sz w:val="24"/>
      <w:szCs w:val="24"/>
    </w:rPr>
  </w:style>
  <w:style w:type="character" w:customStyle="1" w:styleId="634">
    <w:name w:val="批注文字 字符1"/>
    <w:semiHidden/>
    <w:qFormat/>
    <w:uiPriority w:val="99"/>
    <w:rPr>
      <w:rFonts w:ascii="Calibri" w:hAnsi="Calibri" w:eastAsia="宋体" w:cs="Times New Roman"/>
    </w:rPr>
  </w:style>
  <w:style w:type="character" w:customStyle="1" w:styleId="635">
    <w:name w:val="批注主题 字符1"/>
    <w:semiHidden/>
    <w:qFormat/>
    <w:uiPriority w:val="99"/>
    <w:rPr>
      <w:rFonts w:ascii="Calibri" w:hAnsi="Calibri" w:eastAsia="宋体" w:cs="Times New Roman"/>
      <w:b/>
      <w:bCs/>
    </w:rPr>
  </w:style>
  <w:style w:type="character" w:customStyle="1" w:styleId="636">
    <w:name w:val="批注框文本 字符1"/>
    <w:semiHidden/>
    <w:qFormat/>
    <w:uiPriority w:val="99"/>
    <w:rPr>
      <w:rFonts w:ascii="Calibri" w:hAnsi="Calibri" w:eastAsia="宋体" w:cs="Times New Roman"/>
      <w:sz w:val="18"/>
      <w:szCs w:val="18"/>
    </w:rPr>
  </w:style>
  <w:style w:type="character" w:customStyle="1" w:styleId="637">
    <w:name w:val="正文文本 字符1"/>
    <w:semiHidden/>
    <w:qFormat/>
    <w:uiPriority w:val="99"/>
    <w:rPr>
      <w:rFonts w:ascii="Calibri" w:hAnsi="Calibri" w:eastAsia="宋体" w:cs="Times New Roman"/>
    </w:rPr>
  </w:style>
  <w:style w:type="character" w:customStyle="1" w:styleId="638">
    <w:name w:val="纯文本 字符"/>
    <w:qFormat/>
    <w:uiPriority w:val="0"/>
    <w:rPr>
      <w:rFonts w:ascii="宋体" w:hAnsi="Courier New" w:eastAsia="宋体" w:cs="Courier New"/>
      <w:szCs w:val="21"/>
    </w:rPr>
  </w:style>
  <w:style w:type="character" w:customStyle="1" w:styleId="639">
    <w:name w:val="未处理的提及1"/>
    <w:unhideWhenUsed/>
    <w:qFormat/>
    <w:uiPriority w:val="99"/>
    <w:rPr>
      <w:color w:val="605E5C"/>
      <w:shd w:val="clear" w:color="auto" w:fill="E1DFDD"/>
    </w:rPr>
  </w:style>
  <w:style w:type="character" w:customStyle="1" w:styleId="640">
    <w:name w:val="NormalCharacter"/>
    <w:semiHidden/>
    <w:qFormat/>
    <w:uiPriority w:val="0"/>
  </w:style>
  <w:style w:type="paragraph" w:customStyle="1" w:styleId="641">
    <w:name w:val="正文_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642">
    <w:name w:val="Table Paragraph"/>
    <w:basedOn w:val="1"/>
    <w:qFormat/>
    <w:uiPriority w:val="1"/>
    <w:pPr>
      <w:widowControl w:val="0"/>
      <w:autoSpaceDE w:val="0"/>
      <w:autoSpaceDN w:val="0"/>
      <w:spacing w:line="374" w:lineRule="exact"/>
      <w:ind w:left="1481"/>
      <w:jc w:val="center"/>
    </w:pPr>
    <w:rPr>
      <w:rFonts w:ascii="微软雅黑" w:hAnsi="微软雅黑" w:eastAsia="微软雅黑" w:cs="微软雅黑"/>
      <w:sz w:val="22"/>
      <w:szCs w:val="22"/>
      <w:lang w:val="zh-CN" w:bidi="zh-CN"/>
    </w:rPr>
  </w:style>
  <w:style w:type="character" w:customStyle="1" w:styleId="643">
    <w:name w:val="标题 2 Char"/>
    <w:qFormat/>
    <w:uiPriority w:val="0"/>
    <w:rPr>
      <w:rFonts w:ascii="Arial" w:hAnsi="Arial" w:eastAsia="黑体"/>
      <w:b/>
      <w:bCs/>
      <w:sz w:val="32"/>
      <w:szCs w:val="32"/>
    </w:rPr>
  </w:style>
  <w:style w:type="character" w:customStyle="1" w:styleId="644">
    <w:name w:val="页眉 Char"/>
    <w:qFormat/>
    <w:uiPriority w:val="0"/>
    <w:rPr>
      <w:rFonts w:ascii="Calibri" w:hAnsi="Calibri"/>
      <w:sz w:val="18"/>
      <w:szCs w:val="18"/>
    </w:rPr>
  </w:style>
  <w:style w:type="character" w:customStyle="1" w:styleId="645">
    <w:name w:val="页脚 Char"/>
    <w:qFormat/>
    <w:uiPriority w:val="99"/>
    <w:rPr>
      <w:rFonts w:ascii="Calibri" w:hAnsi="Calibri"/>
      <w:sz w:val="18"/>
      <w:szCs w:val="18"/>
    </w:rPr>
  </w:style>
  <w:style w:type="paragraph" w:customStyle="1" w:styleId="646">
    <w:name w:val="修订3"/>
    <w:hidden/>
    <w:semiHidden/>
    <w:qFormat/>
    <w:uiPriority w:val="99"/>
    <w:pPr>
      <w:spacing w:after="160" w:line="278" w:lineRule="auto"/>
    </w:pPr>
    <w:rPr>
      <w:rFonts w:ascii="Times New Roman" w:hAnsi="Times New Roman" w:eastAsia="宋体" w:cs="Times New Roman"/>
      <w:lang w:val="en-US" w:eastAsia="zh-CN" w:bidi="ar-SA"/>
    </w:rPr>
  </w:style>
  <w:style w:type="paragraph" w:customStyle="1" w:styleId="647">
    <w:name w:val="修订4"/>
    <w:hidden/>
    <w:semiHidden/>
    <w:qFormat/>
    <w:uiPriority w:val="99"/>
    <w:pPr>
      <w:spacing w:after="160" w:line="278" w:lineRule="auto"/>
    </w:pPr>
    <w:rPr>
      <w:rFonts w:ascii="Times New Roman" w:hAnsi="Times New Roman" w:eastAsia="宋体" w:cs="Times New Roman"/>
      <w:lang w:val="en-US" w:eastAsia="zh-CN" w:bidi="ar-SA"/>
    </w:rPr>
  </w:style>
  <w:style w:type="paragraph" w:customStyle="1" w:styleId="648">
    <w:name w:val="修订5"/>
    <w:hidden/>
    <w:qFormat/>
    <w:uiPriority w:val="0"/>
    <w:pPr>
      <w:spacing w:after="160" w:line="278" w:lineRule="auto"/>
    </w:pPr>
    <w:rPr>
      <w:rFonts w:ascii="Times New Roman" w:hAnsi="Times New Roman" w:eastAsia="宋体" w:cs="Times New Roman"/>
      <w:lang w:val="en-US" w:eastAsia="zh-CN" w:bidi="ar-SA"/>
    </w:rPr>
  </w:style>
  <w:style w:type="paragraph" w:customStyle="1" w:styleId="649">
    <w:name w:val="目录 11"/>
    <w:basedOn w:val="482"/>
    <w:next w:val="33"/>
    <w:qFormat/>
    <w:uiPriority w:val="0"/>
    <w:pPr>
      <w:tabs>
        <w:tab w:val="clear" w:pos="0"/>
      </w:tabs>
      <w:adjustRightInd w:val="0"/>
      <w:snapToGrid w:val="0"/>
      <w:spacing w:before="120" w:after="120" w:line="240" w:lineRule="auto"/>
      <w:ind w:left="0"/>
      <w:jc w:val="left"/>
    </w:pPr>
    <w:rPr>
      <w:rFonts w:ascii="Tms Rmn" w:hAnsi="Tms Rmn" w:eastAsia="Calibri"/>
      <w:b/>
      <w:bCs/>
      <w:caps/>
      <w:color w:val="auto"/>
      <w:kern w:val="24"/>
      <w:szCs w:val="21"/>
    </w:rPr>
  </w:style>
  <w:style w:type="paragraph" w:customStyle="1" w:styleId="650">
    <w:name w:val="Char Char3 Char Char"/>
    <w:basedOn w:val="20"/>
    <w:qFormat/>
    <w:uiPriority w:val="0"/>
    <w:pPr>
      <w:widowControl w:val="0"/>
      <w:shd w:val="clear" w:color="auto" w:fill="000080"/>
      <w:jc w:val="both"/>
    </w:pPr>
    <w:rPr>
      <w:rFonts w:ascii="Garamond" w:hAnsi="Garamond" w:eastAsia="ˎ̥"/>
      <w:kern w:val="2"/>
      <w:sz w:val="24"/>
      <w:szCs w:val="24"/>
    </w:rPr>
  </w:style>
  <w:style w:type="paragraph" w:customStyle="1" w:styleId="651">
    <w:name w:val="目录 31"/>
    <w:basedOn w:val="1"/>
    <w:next w:val="1"/>
    <w:qFormat/>
    <w:uiPriority w:val="0"/>
    <w:pPr>
      <w:widowControl w:val="0"/>
      <w:ind w:left="840" w:leftChars="400"/>
      <w:jc w:val="both"/>
    </w:pPr>
    <w:rPr>
      <w:rFonts w:ascii="Arial Unicode MS" w:hAnsi="Arial Unicode MS" w:eastAsia="Calibri"/>
      <w:kern w:val="2"/>
      <w:sz w:val="21"/>
      <w:szCs w:val="24"/>
    </w:rPr>
  </w:style>
  <w:style w:type="paragraph" w:customStyle="1" w:styleId="652">
    <w:name w:val="目录 21"/>
    <w:basedOn w:val="1"/>
    <w:next w:val="1"/>
    <w:qFormat/>
    <w:uiPriority w:val="0"/>
    <w:pPr>
      <w:widowControl w:val="0"/>
      <w:tabs>
        <w:tab w:val="right" w:leader="dot" w:pos="9288"/>
      </w:tabs>
      <w:spacing w:line="280" w:lineRule="exact"/>
      <w:ind w:left="400" w:leftChars="200" w:hanging="200" w:hangingChars="200"/>
      <w:jc w:val="both"/>
    </w:pPr>
    <w:rPr>
      <w:rFonts w:ascii="Arial Unicode MS" w:hAnsi="Arial Unicode MS" w:eastAsia="Calibri"/>
      <w:kern w:val="2"/>
      <w:sz w:val="21"/>
      <w:szCs w:val="24"/>
    </w:rPr>
  </w:style>
  <w:style w:type="paragraph" w:customStyle="1" w:styleId="653">
    <w:name w:val="TOC 标题3"/>
    <w:basedOn w:val="4"/>
    <w:next w:val="1"/>
    <w:qFormat/>
    <w:uiPriority w:val="39"/>
    <w:pPr>
      <w:keepLines w:val="0"/>
      <w:spacing w:before="240" w:after="60" w:line="360" w:lineRule="auto"/>
      <w:ind w:firstLine="420" w:firstLineChars="200"/>
      <w:outlineLvl w:val="9"/>
    </w:pPr>
    <w:rPr>
      <w:rFonts w:ascii="Tms Rmn" w:hAnsi="Tms Rmn" w:eastAsia="Calibri"/>
      <w:kern w:val="32"/>
      <w:sz w:val="32"/>
      <w:szCs w:val="32"/>
      <w:lang w:bidi="en-US"/>
    </w:rPr>
  </w:style>
  <w:style w:type="paragraph" w:customStyle="1" w:styleId="654">
    <w:name w:val="目录 41"/>
    <w:basedOn w:val="1"/>
    <w:next w:val="1"/>
    <w:qFormat/>
    <w:uiPriority w:val="0"/>
    <w:pPr>
      <w:tabs>
        <w:tab w:val="right" w:leader="dot" w:pos="9288"/>
      </w:tabs>
      <w:spacing w:line="280" w:lineRule="exact"/>
      <w:ind w:left="210" w:leftChars="100" w:right="210" w:rightChars="100" w:firstLine="1065" w:firstLineChars="505"/>
      <w:jc w:val="center"/>
    </w:pPr>
    <w:rPr>
      <w:rFonts w:ascii="Arial Unicode MS" w:hAnsi="Arial Unicode MS" w:eastAsia="Book Antiqua"/>
      <w:b/>
      <w:sz w:val="28"/>
      <w:szCs w:val="28"/>
      <w:lang w:bidi="en-US"/>
    </w:rPr>
  </w:style>
  <w:style w:type="paragraph" w:customStyle="1" w:styleId="655">
    <w:name w:val="目录 51"/>
    <w:basedOn w:val="1"/>
    <w:next w:val="1"/>
    <w:qFormat/>
    <w:uiPriority w:val="0"/>
    <w:pPr>
      <w:tabs>
        <w:tab w:val="right" w:leader="dot" w:pos="9288"/>
      </w:tabs>
      <w:spacing w:line="360" w:lineRule="auto"/>
      <w:ind w:left="100" w:leftChars="100" w:right="210" w:rightChars="100" w:firstLine="360" w:firstLineChars="200"/>
    </w:pPr>
    <w:rPr>
      <w:rFonts w:ascii="Times" w:hAnsi="Times" w:eastAsia="Book Antiqua"/>
      <w:sz w:val="18"/>
      <w:szCs w:val="18"/>
      <w:lang w:bidi="en-US"/>
    </w:rPr>
  </w:style>
  <w:style w:type="paragraph" w:customStyle="1" w:styleId="656">
    <w:name w:val="目录 61"/>
    <w:basedOn w:val="1"/>
    <w:next w:val="1"/>
    <w:qFormat/>
    <w:uiPriority w:val="0"/>
    <w:pPr>
      <w:spacing w:line="360" w:lineRule="auto"/>
      <w:ind w:left="1200" w:firstLine="420" w:firstLineChars="200"/>
    </w:pPr>
    <w:rPr>
      <w:rFonts w:ascii="Times" w:hAnsi="Times" w:eastAsia="Book Antiqua"/>
      <w:sz w:val="18"/>
      <w:szCs w:val="18"/>
      <w:lang w:bidi="en-US"/>
    </w:rPr>
  </w:style>
  <w:style w:type="paragraph" w:customStyle="1" w:styleId="657">
    <w:name w:val="目录 71"/>
    <w:basedOn w:val="1"/>
    <w:next w:val="1"/>
    <w:qFormat/>
    <w:uiPriority w:val="0"/>
    <w:pPr>
      <w:spacing w:line="360" w:lineRule="auto"/>
      <w:ind w:left="1440" w:firstLine="420" w:firstLineChars="200"/>
    </w:pPr>
    <w:rPr>
      <w:rFonts w:ascii="Times" w:hAnsi="Times" w:eastAsia="Book Antiqua"/>
      <w:sz w:val="18"/>
      <w:szCs w:val="18"/>
      <w:lang w:bidi="en-US"/>
    </w:rPr>
  </w:style>
  <w:style w:type="paragraph" w:customStyle="1" w:styleId="658">
    <w:name w:val="目录 81"/>
    <w:basedOn w:val="1"/>
    <w:next w:val="1"/>
    <w:qFormat/>
    <w:uiPriority w:val="0"/>
    <w:pPr>
      <w:spacing w:line="360" w:lineRule="auto"/>
      <w:ind w:left="1680" w:firstLine="420" w:firstLineChars="200"/>
    </w:pPr>
    <w:rPr>
      <w:rFonts w:ascii="Times" w:hAnsi="Times" w:eastAsia="Book Antiqua"/>
      <w:sz w:val="18"/>
      <w:szCs w:val="18"/>
      <w:lang w:bidi="en-US"/>
    </w:rPr>
  </w:style>
  <w:style w:type="paragraph" w:customStyle="1" w:styleId="659">
    <w:name w:val="目录 91"/>
    <w:basedOn w:val="1"/>
    <w:next w:val="1"/>
    <w:qFormat/>
    <w:uiPriority w:val="0"/>
    <w:pPr>
      <w:spacing w:line="360" w:lineRule="auto"/>
      <w:ind w:left="1920" w:firstLine="420" w:firstLineChars="200"/>
    </w:pPr>
    <w:rPr>
      <w:rFonts w:ascii="Times" w:hAnsi="Times" w:eastAsia="Book Antiqua"/>
      <w:sz w:val="18"/>
      <w:szCs w:val="18"/>
      <w:lang w:bidi="en-US"/>
    </w:rPr>
  </w:style>
  <w:style w:type="paragraph" w:customStyle="1" w:styleId="660">
    <w:name w:val="正文标题"/>
    <w:basedOn w:val="1"/>
    <w:link w:val="661"/>
    <w:qFormat/>
    <w:uiPriority w:val="0"/>
    <w:pPr>
      <w:spacing w:line="360" w:lineRule="auto"/>
      <w:ind w:firstLine="420" w:firstLineChars="200"/>
    </w:pPr>
    <w:rPr>
      <w:rFonts w:ascii="Verdana" w:hAnsi="Verdana" w:eastAsia="Verdana"/>
      <w:b/>
      <w:kern w:val="2"/>
      <w:sz w:val="28"/>
      <w:szCs w:val="28"/>
    </w:rPr>
  </w:style>
  <w:style w:type="character" w:customStyle="1" w:styleId="661">
    <w:name w:val="正文标题 Char"/>
    <w:link w:val="660"/>
    <w:qFormat/>
    <w:uiPriority w:val="0"/>
    <w:rPr>
      <w:rFonts w:ascii="Verdana" w:hAnsi="Verdana" w:eastAsia="Verdana"/>
      <w:b/>
      <w:kern w:val="2"/>
      <w:sz w:val="28"/>
      <w:szCs w:val="28"/>
    </w:rPr>
  </w:style>
  <w:style w:type="paragraph" w:customStyle="1" w:styleId="662">
    <w:name w:val="正文标题小四"/>
    <w:basedOn w:val="660"/>
    <w:link w:val="663"/>
    <w:qFormat/>
    <w:uiPriority w:val="0"/>
    <w:pPr>
      <w:ind w:firstLine="200"/>
    </w:pPr>
    <w:rPr>
      <w:sz w:val="24"/>
      <w:szCs w:val="24"/>
    </w:rPr>
  </w:style>
  <w:style w:type="character" w:customStyle="1" w:styleId="663">
    <w:name w:val="正文标题小四 Char"/>
    <w:link w:val="662"/>
    <w:qFormat/>
    <w:uiPriority w:val="0"/>
    <w:rPr>
      <w:rFonts w:ascii="Verdana" w:hAnsi="Verdana" w:eastAsia="Verdana"/>
      <w:b/>
      <w:kern w:val="2"/>
      <w:sz w:val="24"/>
      <w:szCs w:val="24"/>
    </w:rPr>
  </w:style>
  <w:style w:type="paragraph" w:customStyle="1" w:styleId="664">
    <w:name w:val="标题章节2"/>
    <w:basedOn w:val="6"/>
    <w:link w:val="665"/>
    <w:qFormat/>
    <w:uiPriority w:val="0"/>
    <w:pPr>
      <w:keepLines w:val="0"/>
      <w:spacing w:before="240" w:after="60" w:line="360" w:lineRule="auto"/>
      <w:ind w:firstLine="420" w:firstLineChars="200"/>
      <w:jc w:val="center"/>
    </w:pPr>
    <w:rPr>
      <w:rFonts w:ascii="Verdana" w:hAnsi="Times" w:eastAsia="Verdana"/>
      <w:color w:val="000000"/>
      <w:kern w:val="2"/>
      <w:sz w:val="30"/>
      <w:szCs w:val="30"/>
    </w:rPr>
  </w:style>
  <w:style w:type="character" w:customStyle="1" w:styleId="665">
    <w:name w:val="标题章节2 Char"/>
    <w:link w:val="664"/>
    <w:qFormat/>
    <w:uiPriority w:val="0"/>
    <w:rPr>
      <w:rFonts w:ascii="Verdana" w:hAnsi="Times" w:eastAsia="Verdana"/>
      <w:b/>
      <w:bCs/>
      <w:color w:val="000000"/>
      <w:kern w:val="2"/>
      <w:sz w:val="30"/>
      <w:szCs w:val="30"/>
    </w:rPr>
  </w:style>
  <w:style w:type="paragraph" w:customStyle="1" w:styleId="666">
    <w:name w:val="正文标题1"/>
    <w:basedOn w:val="662"/>
    <w:link w:val="667"/>
    <w:qFormat/>
    <w:uiPriority w:val="0"/>
    <w:pPr>
      <w:ind w:firstLine="480"/>
    </w:pPr>
    <w:rPr>
      <w:rFonts w:ascii="等线 Light" w:hAnsi="等线 Light" w:eastAsia="Wingdings"/>
    </w:rPr>
  </w:style>
  <w:style w:type="character" w:customStyle="1" w:styleId="667">
    <w:name w:val="正文标题1 Char"/>
    <w:link w:val="666"/>
    <w:qFormat/>
    <w:uiPriority w:val="0"/>
    <w:rPr>
      <w:rFonts w:ascii="等线 Light" w:hAnsi="等线 Light" w:eastAsia="Wingdings"/>
      <w:b/>
      <w:kern w:val="2"/>
      <w:sz w:val="24"/>
      <w:szCs w:val="24"/>
    </w:rPr>
  </w:style>
  <w:style w:type="paragraph" w:customStyle="1" w:styleId="668">
    <w:name w:val="blockquote"/>
    <w:basedOn w:val="1"/>
    <w:qFormat/>
    <w:uiPriority w:val="0"/>
    <w:pPr>
      <w:spacing w:before="100" w:beforeAutospacing="1" w:after="100" w:afterAutospacing="1" w:line="360" w:lineRule="auto"/>
      <w:ind w:firstLine="420" w:firstLineChars="200"/>
    </w:pPr>
    <w:rPr>
      <w:rFonts w:ascii="Calibri" w:hAnsi="Calibri" w:eastAsia="Calibri" w:cs="Calibri"/>
      <w:sz w:val="21"/>
      <w:szCs w:val="21"/>
      <w:lang w:bidi="en-US"/>
    </w:rPr>
  </w:style>
  <w:style w:type="paragraph" w:customStyle="1" w:styleId="669">
    <w:name w:val="标准范本正文"/>
    <w:basedOn w:val="1"/>
    <w:link w:val="670"/>
    <w:qFormat/>
    <w:uiPriority w:val="0"/>
    <w:pPr>
      <w:spacing w:line="360" w:lineRule="auto"/>
      <w:ind w:firstLine="437" w:firstLineChars="200"/>
    </w:pPr>
    <w:rPr>
      <w:rFonts w:ascii="Book Antiqua" w:hAnsi="Calibri" w:eastAsia="Book Antiqua"/>
      <w:sz w:val="21"/>
      <w:szCs w:val="21"/>
      <w:lang w:bidi="en-US"/>
    </w:rPr>
  </w:style>
  <w:style w:type="character" w:customStyle="1" w:styleId="670">
    <w:name w:val="标准范本正文 Char"/>
    <w:link w:val="669"/>
    <w:qFormat/>
    <w:uiPriority w:val="0"/>
    <w:rPr>
      <w:rFonts w:ascii="Book Antiqua" w:hAnsi="Calibri" w:eastAsia="Book Antiqua"/>
      <w:sz w:val="21"/>
      <w:szCs w:val="21"/>
      <w:lang w:bidi="en-US"/>
    </w:rPr>
  </w:style>
  <w:style w:type="paragraph" w:customStyle="1" w:styleId="671">
    <w:name w:val="2级"/>
    <w:basedOn w:val="666"/>
    <w:link w:val="672"/>
    <w:qFormat/>
    <w:uiPriority w:val="0"/>
    <w:pPr>
      <w:ind w:firstLine="422"/>
      <w:outlineLvl w:val="1"/>
    </w:pPr>
    <w:rPr>
      <w:rFonts w:ascii="Book Antiqua" w:eastAsia="Book Antiqua"/>
      <w:szCs w:val="21"/>
    </w:rPr>
  </w:style>
  <w:style w:type="character" w:customStyle="1" w:styleId="672">
    <w:name w:val="2级 Char"/>
    <w:link w:val="671"/>
    <w:qFormat/>
    <w:uiPriority w:val="0"/>
    <w:rPr>
      <w:rFonts w:ascii="Book Antiqua" w:hAnsi="等线 Light" w:eastAsia="Book Antiqua"/>
      <w:b/>
      <w:kern w:val="2"/>
      <w:sz w:val="24"/>
      <w:szCs w:val="21"/>
    </w:rPr>
  </w:style>
  <w:style w:type="character" w:customStyle="1" w:styleId="673">
    <w:name w:val="不明显强调2"/>
    <w:qFormat/>
    <w:uiPriority w:val="0"/>
    <w:rPr>
      <w:i/>
      <w:color w:val="5A5A5A"/>
    </w:rPr>
  </w:style>
  <w:style w:type="character" w:customStyle="1" w:styleId="674">
    <w:name w:val="明显强调2"/>
    <w:qFormat/>
    <w:uiPriority w:val="0"/>
    <w:rPr>
      <w:b/>
      <w:i/>
      <w:sz w:val="24"/>
      <w:szCs w:val="24"/>
      <w:u w:val="single"/>
    </w:rPr>
  </w:style>
  <w:style w:type="character" w:customStyle="1" w:styleId="675">
    <w:name w:val="不明显参考2"/>
    <w:qFormat/>
    <w:uiPriority w:val="0"/>
    <w:rPr>
      <w:sz w:val="24"/>
      <w:szCs w:val="24"/>
      <w:u w:val="single"/>
    </w:rPr>
  </w:style>
  <w:style w:type="character" w:customStyle="1" w:styleId="676">
    <w:name w:val="明显参考2"/>
    <w:qFormat/>
    <w:uiPriority w:val="0"/>
    <w:rPr>
      <w:b/>
      <w:sz w:val="24"/>
      <w:u w:val="single"/>
    </w:rPr>
  </w:style>
  <w:style w:type="character" w:customStyle="1" w:styleId="677">
    <w:name w:val="书籍标题3"/>
    <w:qFormat/>
    <w:uiPriority w:val="0"/>
    <w:rPr>
      <w:rFonts w:ascii="Tms Rmn" w:hAnsi="Tms Rmn" w:eastAsia="Calibri"/>
      <w:b/>
      <w:i/>
      <w:sz w:val="24"/>
      <w:szCs w:val="24"/>
    </w:rPr>
  </w:style>
  <w:style w:type="paragraph" w:customStyle="1" w:styleId="678">
    <w:name w:val="表格样式2"/>
    <w:basedOn w:val="1"/>
    <w:link w:val="679"/>
    <w:qFormat/>
    <w:uiPriority w:val="0"/>
    <w:pPr>
      <w:spacing w:line="276" w:lineRule="auto"/>
    </w:pPr>
    <w:rPr>
      <w:rFonts w:ascii="Book Antiqua" w:hAnsi="Calibri" w:eastAsia="Book Antiqua"/>
      <w:sz w:val="18"/>
      <w:szCs w:val="18"/>
      <w:lang w:bidi="en-US"/>
    </w:rPr>
  </w:style>
  <w:style w:type="character" w:customStyle="1" w:styleId="679">
    <w:name w:val="表格样式2 Char"/>
    <w:link w:val="678"/>
    <w:qFormat/>
    <w:uiPriority w:val="0"/>
    <w:rPr>
      <w:rFonts w:ascii="Book Antiqua" w:hAnsi="Calibri" w:eastAsia="Book Antiqua"/>
      <w:sz w:val="18"/>
      <w:szCs w:val="18"/>
      <w:lang w:bidi="en-US"/>
    </w:rPr>
  </w:style>
  <w:style w:type="paragraph" w:customStyle="1" w:styleId="680">
    <w:name w:val="表格样式3"/>
    <w:basedOn w:val="678"/>
    <w:link w:val="681"/>
    <w:qFormat/>
    <w:uiPriority w:val="0"/>
    <w:pPr>
      <w:framePr w:hSpace="180" w:wrap="around" w:vAnchor="text" w:hAnchor="margin" w:y="195"/>
      <w:jc w:val="center"/>
    </w:pPr>
    <w:rPr>
      <w:b/>
    </w:rPr>
  </w:style>
  <w:style w:type="character" w:customStyle="1" w:styleId="681">
    <w:name w:val="表格样式3 Char"/>
    <w:link w:val="680"/>
    <w:qFormat/>
    <w:uiPriority w:val="0"/>
    <w:rPr>
      <w:rFonts w:ascii="Book Antiqua" w:hAnsi="Calibri" w:eastAsia="Book Antiqua"/>
      <w:b/>
      <w:sz w:val="18"/>
      <w:szCs w:val="18"/>
      <w:lang w:bidi="en-US"/>
    </w:rPr>
  </w:style>
  <w:style w:type="character" w:customStyle="1" w:styleId="682">
    <w:name w:val="上标"/>
    <w:qFormat/>
    <w:uiPriority w:val="0"/>
    <w:rPr>
      <w:rFonts w:ascii="Calibri" w:hAnsi="Calibri" w:eastAsia="Calibri" w:cs="Calibri"/>
      <w:vertAlign w:val="superscript"/>
    </w:rPr>
  </w:style>
  <w:style w:type="paragraph" w:customStyle="1" w:styleId="683">
    <w:name w:val="默认段落字体 Para Char Char Char Char Char Char Char Char Char1 Char Char Char Char Char Char Char"/>
    <w:basedOn w:val="20"/>
    <w:qFormat/>
    <w:uiPriority w:val="0"/>
    <w:pPr>
      <w:widowControl w:val="0"/>
      <w:shd w:val="clear" w:color="auto" w:fill="000080"/>
      <w:jc w:val="both"/>
    </w:pPr>
    <w:rPr>
      <w:rFonts w:ascii="Garamond" w:hAnsi="Garamond" w:eastAsia="ˎ̥" w:cs="Garamond"/>
      <w:kern w:val="2"/>
      <w:sz w:val="24"/>
      <w:szCs w:val="24"/>
    </w:rPr>
  </w:style>
  <w:style w:type="paragraph" w:customStyle="1" w:styleId="684">
    <w:name w:val="正文悬挂缩进"/>
    <w:basedOn w:val="17"/>
    <w:qFormat/>
    <w:uiPriority w:val="0"/>
    <w:pPr>
      <w:widowControl w:val="0"/>
      <w:adjustRightInd w:val="0"/>
      <w:snapToGrid w:val="0"/>
      <w:spacing w:line="360" w:lineRule="auto"/>
      <w:ind w:left="200" w:leftChars="200" w:firstLine="200" w:firstLineChars="200"/>
    </w:pPr>
    <w:rPr>
      <w:rFonts w:ascii="Arial Unicode MS" w:hAnsi="Arial Unicode MS" w:eastAsia="Calibri"/>
      <w:kern w:val="2"/>
      <w:sz w:val="24"/>
      <w:szCs w:val="24"/>
    </w:rPr>
  </w:style>
  <w:style w:type="character" w:customStyle="1" w:styleId="685">
    <w:name w:val="标题 2 Char1"/>
    <w:qFormat/>
    <w:uiPriority w:val="0"/>
    <w:rPr>
      <w:rFonts w:ascii="长城仿宋" w:hAnsi="长城仿宋" w:eastAsia="Verdana" w:cs="Arial Unicode MS"/>
      <w:b/>
      <w:bCs/>
      <w:sz w:val="32"/>
      <w:szCs w:val="32"/>
    </w:rPr>
  </w:style>
  <w:style w:type="paragraph" w:customStyle="1" w:styleId="686">
    <w:name w:val="正文首行缩进1"/>
    <w:basedOn w:val="25"/>
    <w:link w:val="687"/>
    <w:qFormat/>
    <w:uiPriority w:val="0"/>
    <w:pPr>
      <w:widowControl w:val="0"/>
      <w:jc w:val="both"/>
    </w:pPr>
    <w:rPr>
      <w:rFonts w:ascii="Arial Unicode MS" w:hAnsi="Arial Unicode MS" w:eastAsia="Calibri"/>
      <w:kern w:val="2"/>
      <w:sz w:val="21"/>
    </w:rPr>
  </w:style>
  <w:style w:type="character" w:customStyle="1" w:styleId="687">
    <w:name w:val="正文首行缩进 字符"/>
    <w:link w:val="686"/>
    <w:qFormat/>
    <w:uiPriority w:val="0"/>
    <w:rPr>
      <w:rFonts w:ascii="Arial Unicode MS" w:hAnsi="Arial Unicode MS" w:eastAsia="Calibri"/>
      <w:kern w:val="2"/>
      <w:sz w:val="21"/>
    </w:rPr>
  </w:style>
  <w:style w:type="character" w:customStyle="1" w:styleId="688">
    <w:name w:val="正文首行缩进 Char"/>
    <w:qFormat/>
    <w:uiPriority w:val="0"/>
    <w:rPr>
      <w:rFonts w:ascii="Calibri" w:hAnsi="Calibri" w:eastAsia="Calibri" w:cs="Arial Unicode MS"/>
      <w:color w:val="000000"/>
      <w:sz w:val="18"/>
      <w:szCs w:val="18"/>
      <w:lang w:bidi="en-US"/>
    </w:rPr>
  </w:style>
  <w:style w:type="paragraph" w:customStyle="1" w:styleId="689">
    <w:name w:val="font9"/>
    <w:basedOn w:val="1"/>
    <w:qFormat/>
    <w:uiPriority w:val="0"/>
    <w:pPr>
      <w:spacing w:before="100" w:beforeAutospacing="1" w:after="100" w:afterAutospacing="1"/>
    </w:pPr>
    <w:rPr>
      <w:rFonts w:ascii="Arial Unicode MS" w:hAnsi="Arial Unicode MS" w:eastAsia="等线 Light"/>
      <w:sz w:val="16"/>
      <w:szCs w:val="16"/>
    </w:rPr>
  </w:style>
  <w:style w:type="paragraph" w:customStyle="1" w:styleId="690">
    <w:name w:val="font10"/>
    <w:basedOn w:val="1"/>
    <w:qFormat/>
    <w:uiPriority w:val="0"/>
    <w:pPr>
      <w:spacing w:before="100" w:beforeAutospacing="1" w:after="100" w:afterAutospacing="1"/>
    </w:pPr>
    <w:rPr>
      <w:rFonts w:ascii="Arial Unicode MS" w:hAnsi="Arial Unicode MS" w:eastAsia="等线 Light"/>
      <w:sz w:val="12"/>
      <w:szCs w:val="12"/>
    </w:rPr>
  </w:style>
  <w:style w:type="paragraph" w:customStyle="1" w:styleId="691">
    <w:name w:val="font11"/>
    <w:basedOn w:val="1"/>
    <w:qFormat/>
    <w:uiPriority w:val="0"/>
    <w:pPr>
      <w:spacing w:before="100" w:beforeAutospacing="1" w:after="100" w:afterAutospacing="1"/>
    </w:pPr>
    <w:rPr>
      <w:rFonts w:hint="eastAsia" w:ascii="Calibri" w:hAnsi="Calibri" w:eastAsia="Calibri" w:cs="等线 Light"/>
      <w:sz w:val="12"/>
      <w:szCs w:val="12"/>
    </w:rPr>
  </w:style>
  <w:style w:type="paragraph" w:customStyle="1" w:styleId="692">
    <w:name w:val="font12"/>
    <w:basedOn w:val="1"/>
    <w:qFormat/>
    <w:uiPriority w:val="0"/>
    <w:pPr>
      <w:spacing w:before="100" w:beforeAutospacing="1" w:after="100" w:afterAutospacing="1"/>
    </w:pPr>
    <w:rPr>
      <w:rFonts w:hint="eastAsia" w:ascii="Calibri" w:hAnsi="Calibri" w:eastAsia="Calibri" w:cs="等线 Light"/>
      <w:sz w:val="12"/>
      <w:szCs w:val="12"/>
    </w:rPr>
  </w:style>
  <w:style w:type="paragraph" w:customStyle="1" w:styleId="693">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694">
    <w:name w:val="xl52"/>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695">
    <w:name w:val="xl53"/>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等线 Light" w:hAnsi="等线 Light" w:eastAsia="等线 Light" w:cs="等线 Light"/>
      <w:sz w:val="12"/>
      <w:szCs w:val="12"/>
    </w:rPr>
  </w:style>
  <w:style w:type="paragraph" w:customStyle="1" w:styleId="696">
    <w:name w:val="xl54"/>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right"/>
      <w:textAlignment w:val="center"/>
    </w:pPr>
    <w:rPr>
      <w:rFonts w:ascii="等线 Light" w:hAnsi="等线 Light" w:eastAsia="等线 Light" w:cs="等线 Light"/>
      <w:sz w:val="12"/>
      <w:szCs w:val="12"/>
    </w:rPr>
  </w:style>
  <w:style w:type="paragraph" w:customStyle="1" w:styleId="697">
    <w:name w:val="xl5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698">
    <w:name w:val="xl56"/>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right"/>
      <w:textAlignment w:val="center"/>
    </w:pPr>
    <w:rPr>
      <w:rFonts w:ascii="等线 Light" w:hAnsi="等线 Light" w:eastAsia="等线 Light" w:cs="等线 Light"/>
      <w:sz w:val="12"/>
      <w:szCs w:val="12"/>
    </w:rPr>
  </w:style>
  <w:style w:type="paragraph" w:customStyle="1" w:styleId="699">
    <w:name w:val="xl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等线 Light"/>
      <w:sz w:val="12"/>
      <w:szCs w:val="12"/>
    </w:rPr>
  </w:style>
  <w:style w:type="paragraph" w:customStyle="1" w:styleId="700">
    <w:name w:val="xl58"/>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01">
    <w:name w:val="xl59"/>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02">
    <w:name w:val="xl6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03">
    <w:name w:val="xl61"/>
    <w:basedOn w:val="1"/>
    <w:qFormat/>
    <w:uiPriority w:val="0"/>
    <w:pPr>
      <w:pBdr>
        <w:top w:val="single" w:color="auto" w:sz="4" w:space="0"/>
        <w:left w:val="single" w:color="auto" w:sz="4" w:space="0"/>
        <w:right w:val="single" w:color="auto" w:sz="8"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04">
    <w:name w:val="xl62"/>
    <w:basedOn w:val="1"/>
    <w:qFormat/>
    <w:uiPriority w:val="0"/>
    <w:pPr>
      <w:pBdr>
        <w:top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05">
    <w:name w:val="xl63"/>
    <w:basedOn w:val="1"/>
    <w:qFormat/>
    <w:uiPriority w:val="0"/>
    <w:pPr>
      <w:pBdr>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06">
    <w:name w:val="xl64"/>
    <w:basedOn w:val="1"/>
    <w:qFormat/>
    <w:uiPriority w:val="0"/>
    <w:pPr>
      <w:pBdr>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07">
    <w:name w:val="xl65"/>
    <w:basedOn w:val="1"/>
    <w:qFormat/>
    <w:uiPriority w:val="0"/>
    <w:pPr>
      <w:pBdr>
        <w:top w:val="single" w:color="auto" w:sz="4" w:space="0"/>
        <w:left w:val="single" w:color="auto" w:sz="4" w:space="0"/>
        <w:bottom w:val="single" w:color="auto" w:sz="8" w:space="0"/>
      </w:pBdr>
      <w:spacing w:before="100" w:beforeAutospacing="1" w:after="100" w:afterAutospacing="1"/>
      <w:jc w:val="right"/>
      <w:textAlignment w:val="center"/>
    </w:pPr>
    <w:rPr>
      <w:rFonts w:ascii="等线 Light" w:hAnsi="等线 Light" w:eastAsia="等线 Light" w:cs="等线 Light"/>
      <w:sz w:val="12"/>
      <w:szCs w:val="12"/>
    </w:rPr>
  </w:style>
  <w:style w:type="paragraph" w:customStyle="1" w:styleId="708">
    <w:name w:val="xl66"/>
    <w:basedOn w:val="1"/>
    <w:qFormat/>
    <w:uiPriority w:val="0"/>
    <w:pPr>
      <w:pBdr>
        <w:top w:val="single" w:color="auto" w:sz="4" w:space="0"/>
        <w:bottom w:val="single" w:color="auto" w:sz="8" w:space="0"/>
        <w:right w:val="single" w:color="auto" w:sz="4" w:space="0"/>
      </w:pBdr>
      <w:spacing w:before="100" w:beforeAutospacing="1" w:after="100" w:afterAutospacing="1"/>
      <w:jc w:val="right"/>
      <w:textAlignment w:val="center"/>
    </w:pPr>
    <w:rPr>
      <w:rFonts w:ascii="等线 Light" w:hAnsi="等线 Light" w:eastAsia="等线 Light" w:cs="等线 Light"/>
      <w:sz w:val="24"/>
      <w:szCs w:val="24"/>
    </w:rPr>
  </w:style>
  <w:style w:type="paragraph" w:customStyle="1" w:styleId="709">
    <w:name w:val="xl67"/>
    <w:basedOn w:val="1"/>
    <w:qFormat/>
    <w:uiPriority w:val="0"/>
    <w:pPr>
      <w:pBdr>
        <w:top w:val="single" w:color="auto" w:sz="4" w:space="0"/>
        <w:bottom w:val="single" w:color="auto" w:sz="8" w:space="0"/>
        <w:right w:val="single" w:color="auto" w:sz="4" w:space="0"/>
      </w:pBdr>
      <w:spacing w:before="100" w:beforeAutospacing="1" w:after="100" w:afterAutospacing="1"/>
      <w:jc w:val="right"/>
      <w:textAlignment w:val="center"/>
    </w:pPr>
    <w:rPr>
      <w:rFonts w:ascii="等线 Light" w:hAnsi="等线 Light" w:eastAsia="等线 Light" w:cs="等线 Light"/>
      <w:sz w:val="12"/>
      <w:szCs w:val="12"/>
    </w:rPr>
  </w:style>
  <w:style w:type="paragraph" w:customStyle="1" w:styleId="710">
    <w:name w:val="xl68"/>
    <w:basedOn w:val="1"/>
    <w:qFormat/>
    <w:uiPriority w:val="0"/>
    <w:pPr>
      <w:pBdr>
        <w:top w:val="single" w:color="auto" w:sz="4" w:space="0"/>
        <w:left w:val="single" w:color="auto" w:sz="4" w:space="0"/>
        <w:bottom w:val="single" w:color="auto" w:sz="8" w:space="0"/>
      </w:pBdr>
      <w:spacing w:before="100" w:beforeAutospacing="1" w:after="100" w:afterAutospacing="1"/>
      <w:textAlignment w:val="center"/>
    </w:pPr>
    <w:rPr>
      <w:rFonts w:ascii="等线 Light" w:hAnsi="等线 Light" w:eastAsia="等线 Light" w:cs="等线 Light"/>
      <w:sz w:val="12"/>
      <w:szCs w:val="12"/>
    </w:rPr>
  </w:style>
  <w:style w:type="paragraph" w:customStyle="1" w:styleId="711">
    <w:name w:val="xl69"/>
    <w:basedOn w:val="1"/>
    <w:qFormat/>
    <w:uiPriority w:val="0"/>
    <w:pPr>
      <w:pBdr>
        <w:top w:val="single" w:color="auto" w:sz="4" w:space="0"/>
        <w:bottom w:val="single" w:color="auto" w:sz="8" w:space="0"/>
        <w:right w:val="single" w:color="auto" w:sz="4" w:space="0"/>
      </w:pBdr>
      <w:spacing w:before="100" w:beforeAutospacing="1" w:after="100" w:afterAutospacing="1"/>
      <w:textAlignment w:val="center"/>
    </w:pPr>
    <w:rPr>
      <w:rFonts w:ascii="等线 Light" w:hAnsi="等线 Light" w:eastAsia="等线 Light" w:cs="等线 Light"/>
      <w:sz w:val="12"/>
      <w:szCs w:val="12"/>
    </w:rPr>
  </w:style>
  <w:style w:type="paragraph" w:customStyle="1" w:styleId="712">
    <w:name w:val="xl70"/>
    <w:basedOn w:val="1"/>
    <w:qFormat/>
    <w:uiPriority w:val="0"/>
    <w:pPr>
      <w:pBdr>
        <w:top w:val="single" w:color="auto" w:sz="4" w:space="0"/>
        <w:left w:val="single" w:color="auto" w:sz="4" w:space="0"/>
        <w:bottom w:val="single" w:color="auto" w:sz="4" w:space="0"/>
      </w:pBdr>
      <w:spacing w:before="100" w:beforeAutospacing="1" w:after="100" w:afterAutospacing="1"/>
      <w:jc w:val="right"/>
      <w:textAlignment w:val="center"/>
    </w:pPr>
    <w:rPr>
      <w:rFonts w:ascii="Arial Unicode MS" w:hAnsi="Arial Unicode MS" w:eastAsia="等线 Light"/>
      <w:sz w:val="12"/>
      <w:szCs w:val="12"/>
    </w:rPr>
  </w:style>
  <w:style w:type="paragraph" w:customStyle="1" w:styleId="713">
    <w:name w:val="xl71"/>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ascii="等线 Light" w:hAnsi="等线 Light" w:eastAsia="等线 Light" w:cs="等线 Light"/>
      <w:sz w:val="12"/>
      <w:szCs w:val="12"/>
    </w:rPr>
  </w:style>
  <w:style w:type="paragraph" w:customStyle="1" w:styleId="714">
    <w:name w:val="xl7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15">
    <w:name w:val="xl73"/>
    <w:basedOn w:val="1"/>
    <w:qFormat/>
    <w:uiPriority w:val="0"/>
    <w:pPr>
      <w:pBdr>
        <w:top w:val="single" w:color="auto" w:sz="4" w:space="0"/>
        <w:bottom w:val="single" w:color="auto" w:sz="4" w:space="0"/>
        <w:right w:val="single" w:color="auto" w:sz="4" w:space="0"/>
      </w:pBdr>
      <w:spacing w:before="100" w:beforeAutospacing="1" w:after="100" w:afterAutospacing="1"/>
    </w:pPr>
    <w:rPr>
      <w:rFonts w:ascii="等线 Light" w:hAnsi="等线 Light" w:eastAsia="等线 Light" w:cs="等线 Light"/>
      <w:sz w:val="24"/>
      <w:szCs w:val="24"/>
    </w:rPr>
  </w:style>
  <w:style w:type="paragraph" w:customStyle="1" w:styleId="716">
    <w:name w:val="xl74"/>
    <w:basedOn w:val="1"/>
    <w:qFormat/>
    <w:uiPriority w:val="0"/>
    <w:pPr>
      <w:pBdr>
        <w:top w:val="single" w:color="auto" w:sz="4" w:space="0"/>
        <w:left w:val="single" w:color="auto" w:sz="4"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17">
    <w:name w:val="xl75"/>
    <w:basedOn w:val="1"/>
    <w:qFormat/>
    <w:uiPriority w:val="0"/>
    <w:pPr>
      <w:pBdr>
        <w:top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18">
    <w:name w:val="xl76"/>
    <w:basedOn w:val="1"/>
    <w:qFormat/>
    <w:uiPriority w:val="0"/>
    <w:pPr>
      <w:pBdr>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19">
    <w:name w:val="xl77"/>
    <w:basedOn w:val="1"/>
    <w:qFormat/>
    <w:uiPriority w:val="0"/>
    <w:pPr>
      <w:pBdr>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20">
    <w:name w:val="xl78"/>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21">
    <w:name w:val="xl79"/>
    <w:basedOn w:val="1"/>
    <w:qFormat/>
    <w:uiPriority w:val="0"/>
    <w:pPr>
      <w:pBdr>
        <w:top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22">
    <w:name w:val="xl80"/>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23">
    <w:name w:val="xl81"/>
    <w:basedOn w:val="1"/>
    <w:qFormat/>
    <w:uiPriority w:val="0"/>
    <w:pPr>
      <w:pBdr>
        <w:top w:val="single" w:color="auto" w:sz="4" w:space="0"/>
        <w:left w:val="single" w:color="auto" w:sz="4" w:space="0"/>
      </w:pBdr>
      <w:spacing w:before="100" w:beforeAutospacing="1" w:after="100" w:afterAutospacing="1"/>
      <w:jc w:val="center"/>
      <w:textAlignment w:val="center"/>
    </w:pPr>
    <w:rPr>
      <w:rFonts w:ascii="等线 Light" w:hAnsi="等线 Light" w:eastAsia="等线 Light" w:cs="等线 Light"/>
      <w:sz w:val="12"/>
      <w:szCs w:val="12"/>
    </w:rPr>
  </w:style>
  <w:style w:type="paragraph" w:customStyle="1" w:styleId="724">
    <w:name w:val="xl82"/>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等线 Light" w:hAnsi="等线 Light" w:eastAsia="等线 Light" w:cs="等线 Light"/>
      <w:sz w:val="12"/>
      <w:szCs w:val="12"/>
    </w:rPr>
  </w:style>
  <w:style w:type="paragraph" w:customStyle="1" w:styleId="725">
    <w:name w:val="xl83"/>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等线 Light" w:hAnsi="等线 Light" w:eastAsia="等线 Light" w:cs="等线 Light"/>
      <w:sz w:val="24"/>
      <w:szCs w:val="24"/>
    </w:rPr>
  </w:style>
  <w:style w:type="paragraph" w:customStyle="1" w:styleId="726">
    <w:name w:val="xl84"/>
    <w:basedOn w:val="1"/>
    <w:qFormat/>
    <w:uiPriority w:val="0"/>
    <w:pPr>
      <w:pBdr>
        <w:top w:val="single" w:color="auto" w:sz="4" w:space="0"/>
        <w:left w:val="single" w:color="auto" w:sz="4" w:space="0"/>
        <w:bottom w:val="single" w:color="auto" w:sz="4" w:space="0"/>
      </w:pBdr>
      <w:spacing w:before="100" w:beforeAutospacing="1" w:after="100" w:afterAutospacing="1"/>
      <w:jc w:val="right"/>
      <w:textAlignment w:val="center"/>
    </w:pPr>
    <w:rPr>
      <w:rFonts w:ascii="等线 Light" w:hAnsi="等线 Light" w:eastAsia="等线 Light" w:cs="等线 Light"/>
      <w:sz w:val="12"/>
      <w:szCs w:val="12"/>
    </w:rPr>
  </w:style>
  <w:style w:type="paragraph" w:customStyle="1" w:styleId="727">
    <w:name w:val="xl85"/>
    <w:basedOn w:val="1"/>
    <w:qFormat/>
    <w:uiPriority w:val="0"/>
    <w:pPr>
      <w:pBdr>
        <w:top w:val="single" w:color="auto" w:sz="4" w:space="0"/>
        <w:bottom w:val="single" w:color="auto" w:sz="4" w:space="0"/>
        <w:right w:val="single" w:color="auto" w:sz="4" w:space="0"/>
      </w:pBdr>
      <w:spacing w:before="100" w:beforeAutospacing="1" w:after="100" w:afterAutospacing="1"/>
      <w:jc w:val="right"/>
      <w:textAlignment w:val="center"/>
    </w:pPr>
    <w:rPr>
      <w:rFonts w:ascii="等线 Light" w:hAnsi="等线 Light" w:eastAsia="等线 Light" w:cs="等线 Light"/>
      <w:sz w:val="24"/>
      <w:szCs w:val="24"/>
    </w:rPr>
  </w:style>
  <w:style w:type="paragraph" w:customStyle="1" w:styleId="728">
    <w:name w:val="xl86"/>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ascii="等线 Light" w:hAnsi="等线 Light" w:eastAsia="等线 Light" w:cs="等线 Light"/>
      <w:sz w:val="12"/>
      <w:szCs w:val="12"/>
    </w:rPr>
  </w:style>
  <w:style w:type="paragraph" w:customStyle="1" w:styleId="72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等线 Light" w:hAnsi="等线 Light" w:eastAsia="等线 Light" w:cs="等线 Light"/>
      <w:sz w:val="24"/>
      <w:szCs w:val="24"/>
    </w:rPr>
  </w:style>
  <w:style w:type="paragraph" w:customStyle="1" w:styleId="730">
    <w:name w:val="xl88"/>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rFonts w:ascii="等线 Light" w:hAnsi="等线 Light" w:eastAsia="等线 Light" w:cs="等线 Light"/>
      <w:sz w:val="24"/>
      <w:szCs w:val="24"/>
    </w:rPr>
  </w:style>
  <w:style w:type="paragraph" w:customStyle="1" w:styleId="731">
    <w:name w:val="xl89"/>
    <w:basedOn w:val="1"/>
    <w:qFormat/>
    <w:uiPriority w:val="0"/>
    <w:pPr>
      <w:pBdr>
        <w:left w:val="single" w:color="auto" w:sz="8" w:space="0"/>
        <w:right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32">
    <w:name w:val="xl90"/>
    <w:basedOn w:val="1"/>
    <w:qFormat/>
    <w:uiPriority w:val="0"/>
    <w:pPr>
      <w:pBdr>
        <w:left w:val="single" w:color="auto" w:sz="8" w:space="0"/>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33">
    <w:name w:val="xl91"/>
    <w:basedOn w:val="1"/>
    <w:qFormat/>
    <w:uiPriority w:val="0"/>
    <w:pPr>
      <w:pBdr>
        <w:left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sz w:val="16"/>
      <w:szCs w:val="16"/>
    </w:rPr>
  </w:style>
  <w:style w:type="paragraph" w:customStyle="1" w:styleId="734">
    <w:name w:val="xl92"/>
    <w:basedOn w:val="1"/>
    <w:qFormat/>
    <w:uiPriority w:val="0"/>
    <w:pPr>
      <w:pBdr>
        <w:left w:val="single" w:color="auto" w:sz="4" w:space="0"/>
        <w:bottom w:val="single" w:color="auto" w:sz="4" w:space="0"/>
      </w:pBdr>
      <w:spacing w:before="100" w:beforeAutospacing="1" w:after="100" w:afterAutospacing="1"/>
      <w:jc w:val="center"/>
      <w:textAlignment w:val="center"/>
    </w:pPr>
    <w:rPr>
      <w:rFonts w:ascii="Arial Unicode MS" w:hAnsi="Arial Unicode MS" w:eastAsia="等线 Light"/>
    </w:rPr>
  </w:style>
  <w:style w:type="paragraph" w:customStyle="1" w:styleId="735">
    <w:name w:val="xl93"/>
    <w:basedOn w:val="1"/>
    <w:qFormat/>
    <w:uiPriority w:val="0"/>
    <w:pPr>
      <w:pBdr>
        <w:bottom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36">
    <w:name w:val="xl94"/>
    <w:basedOn w:val="1"/>
    <w:qFormat/>
    <w:uiPriority w:val="0"/>
    <w:pPr>
      <w:pBdr>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37">
    <w:name w:val="xl95"/>
    <w:basedOn w:val="1"/>
    <w:qFormat/>
    <w:uiPriority w:val="0"/>
    <w:pPr>
      <w:pBdr>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38">
    <w:name w:val="xl96"/>
    <w:basedOn w:val="1"/>
    <w:qFormat/>
    <w:uiPriority w:val="0"/>
    <w:pPr>
      <w:pBdr>
        <w:bottom w:val="single" w:color="auto" w:sz="4" w:space="0"/>
        <w:right w:val="single" w:color="auto" w:sz="8" w:space="0"/>
      </w:pBdr>
      <w:spacing w:before="100" w:beforeAutospacing="1" w:after="100" w:afterAutospacing="1"/>
      <w:jc w:val="center"/>
      <w:textAlignment w:val="center"/>
    </w:pPr>
    <w:rPr>
      <w:rFonts w:ascii="等线 Light" w:hAnsi="等线 Light" w:eastAsia="等线 Light" w:cs="等线 Light"/>
    </w:rPr>
  </w:style>
  <w:style w:type="paragraph" w:customStyle="1" w:styleId="739">
    <w:name w:val="xl97"/>
    <w:basedOn w:val="1"/>
    <w:qFormat/>
    <w:uiPriority w:val="0"/>
    <w:pPr>
      <w:pBdr>
        <w:top w:val="single" w:color="auto" w:sz="8" w:space="0"/>
        <w:left w:val="single" w:color="auto" w:sz="8"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0">
    <w:name w:val="xl98"/>
    <w:basedOn w:val="1"/>
    <w:qFormat/>
    <w:uiPriority w:val="0"/>
    <w:pPr>
      <w:pBdr>
        <w:top w:val="single" w:color="auto" w:sz="8"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1">
    <w:name w:val="xl99"/>
    <w:basedOn w:val="1"/>
    <w:qFormat/>
    <w:uiPriority w:val="0"/>
    <w:pPr>
      <w:pBdr>
        <w:top w:val="single" w:color="auto" w:sz="8" w:space="0"/>
        <w:right w:val="single" w:color="auto" w:sz="4"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2">
    <w:name w:val="xl100"/>
    <w:basedOn w:val="1"/>
    <w:qFormat/>
    <w:uiPriority w:val="0"/>
    <w:pPr>
      <w:pBdr>
        <w:left w:val="single" w:color="auto" w:sz="8"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3">
    <w:name w:val="xl101"/>
    <w:basedOn w:val="1"/>
    <w:qFormat/>
    <w:uiPriority w:val="0"/>
    <w:pPr>
      <w:spacing w:before="100" w:beforeAutospacing="1" w:after="100" w:afterAutospacing="1"/>
      <w:jc w:val="center"/>
      <w:textAlignment w:val="center"/>
    </w:pPr>
    <w:rPr>
      <w:rFonts w:ascii="楷体" w:hAnsi="楷体" w:eastAsia="等线 Light" w:cs="楷体"/>
      <w:sz w:val="28"/>
      <w:szCs w:val="28"/>
    </w:rPr>
  </w:style>
  <w:style w:type="paragraph" w:customStyle="1" w:styleId="744">
    <w:name w:val="xl102"/>
    <w:basedOn w:val="1"/>
    <w:qFormat/>
    <w:uiPriority w:val="0"/>
    <w:pPr>
      <w:pBdr>
        <w:right w:val="single" w:color="auto" w:sz="4"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5">
    <w:name w:val="xl103"/>
    <w:basedOn w:val="1"/>
    <w:qFormat/>
    <w:uiPriority w:val="0"/>
    <w:pPr>
      <w:pBdr>
        <w:left w:val="single" w:color="auto" w:sz="8" w:space="0"/>
        <w:bottom w:val="single" w:color="auto" w:sz="4"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6">
    <w:name w:val="xl104"/>
    <w:basedOn w:val="1"/>
    <w:qFormat/>
    <w:uiPriority w:val="0"/>
    <w:pPr>
      <w:pBdr>
        <w:bottom w:val="single" w:color="auto" w:sz="4"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7">
    <w:name w:val="xl105"/>
    <w:basedOn w:val="1"/>
    <w:qFormat/>
    <w:uiPriority w:val="0"/>
    <w:pPr>
      <w:pBdr>
        <w:bottom w:val="single" w:color="auto" w:sz="4" w:space="0"/>
        <w:right w:val="single" w:color="auto" w:sz="4" w:space="0"/>
      </w:pBdr>
      <w:spacing w:before="100" w:beforeAutospacing="1" w:after="100" w:afterAutospacing="1"/>
      <w:jc w:val="center"/>
      <w:textAlignment w:val="center"/>
    </w:pPr>
    <w:rPr>
      <w:rFonts w:ascii="楷体" w:hAnsi="楷体" w:eastAsia="等线 Light" w:cs="楷体"/>
      <w:sz w:val="28"/>
      <w:szCs w:val="28"/>
    </w:rPr>
  </w:style>
  <w:style w:type="paragraph" w:customStyle="1" w:styleId="748">
    <w:name w:val="xl106"/>
    <w:basedOn w:val="1"/>
    <w:qFormat/>
    <w:uiPriority w:val="0"/>
    <w:pPr>
      <w:pBdr>
        <w:top w:val="single" w:color="auto" w:sz="8" w:space="0"/>
        <w:left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49">
    <w:name w:val="xl107"/>
    <w:basedOn w:val="1"/>
    <w:qFormat/>
    <w:uiPriority w:val="0"/>
    <w:pPr>
      <w:pBdr>
        <w:top w:val="single" w:color="auto" w:sz="8"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0">
    <w:name w:val="xl108"/>
    <w:basedOn w:val="1"/>
    <w:qFormat/>
    <w:uiPriority w:val="0"/>
    <w:pPr>
      <w:pBdr>
        <w:top w:val="single" w:color="auto" w:sz="8" w:space="0"/>
        <w:right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1">
    <w:name w:val="xl109"/>
    <w:basedOn w:val="1"/>
    <w:qFormat/>
    <w:uiPriority w:val="0"/>
    <w:pPr>
      <w:pBdr>
        <w:left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2">
    <w:name w:val="xl110"/>
    <w:basedOn w:val="1"/>
    <w:qFormat/>
    <w:uiPriority w:val="0"/>
    <w:pP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3">
    <w:name w:val="xl111"/>
    <w:basedOn w:val="1"/>
    <w:qFormat/>
    <w:uiPriority w:val="0"/>
    <w:pPr>
      <w:pBdr>
        <w:right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4">
    <w:name w:val="xl112"/>
    <w:basedOn w:val="1"/>
    <w:qFormat/>
    <w:uiPriority w:val="0"/>
    <w:pPr>
      <w:pBdr>
        <w:left w:val="single" w:color="auto" w:sz="4" w:space="0"/>
        <w:bottom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5">
    <w:name w:val="xl113"/>
    <w:basedOn w:val="1"/>
    <w:qFormat/>
    <w:uiPriority w:val="0"/>
    <w:pPr>
      <w:pBdr>
        <w:bottom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6">
    <w:name w:val="xl114"/>
    <w:basedOn w:val="1"/>
    <w:qFormat/>
    <w:uiPriority w:val="0"/>
    <w:pPr>
      <w:pBdr>
        <w:bottom w:val="single" w:color="auto" w:sz="4" w:space="0"/>
        <w:right w:val="single" w:color="auto" w:sz="4" w:space="0"/>
      </w:pBdr>
      <w:spacing w:before="100" w:beforeAutospacing="1" w:after="100" w:afterAutospacing="1"/>
      <w:jc w:val="center"/>
      <w:textAlignment w:val="center"/>
    </w:pPr>
    <w:rPr>
      <w:rFonts w:hint="eastAsia" w:ascii="Verdana" w:hAnsi="等线 Light" w:eastAsia="Verdana" w:cs="等线 Light"/>
      <w:b/>
      <w:bCs/>
      <w:sz w:val="40"/>
      <w:szCs w:val="40"/>
    </w:rPr>
  </w:style>
  <w:style w:type="paragraph" w:customStyle="1" w:styleId="757">
    <w:name w:val="xl115"/>
    <w:basedOn w:val="1"/>
    <w:qFormat/>
    <w:uiPriority w:val="0"/>
    <w:pPr>
      <w:pBdr>
        <w:top w:val="single" w:color="auto" w:sz="8" w:space="0"/>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58">
    <w:name w:val="xl116"/>
    <w:basedOn w:val="1"/>
    <w:qFormat/>
    <w:uiPriority w:val="0"/>
    <w:pPr>
      <w:pBdr>
        <w:top w:val="single" w:color="auto" w:sz="8" w:space="0"/>
        <w:bottom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59">
    <w:name w:val="xl117"/>
    <w:basedOn w:val="1"/>
    <w:qFormat/>
    <w:uiPriority w:val="0"/>
    <w:pPr>
      <w:pBdr>
        <w:top w:val="single" w:color="auto" w:sz="8" w:space="0"/>
        <w:bottom w:val="single" w:color="auto" w:sz="4" w:space="0"/>
        <w:right w:val="single" w:color="auto" w:sz="4" w:space="0"/>
      </w:pBdr>
      <w:spacing w:before="100" w:beforeAutospacing="1" w:after="100" w:afterAutospacing="1"/>
      <w:jc w:val="center"/>
      <w:textAlignment w:val="center"/>
    </w:pPr>
    <w:rPr>
      <w:rFonts w:ascii="等线 Light" w:hAnsi="等线 Light" w:eastAsia="等线 Light" w:cs="等线 Light"/>
    </w:rPr>
  </w:style>
  <w:style w:type="paragraph" w:customStyle="1" w:styleId="760">
    <w:name w:val="xl118"/>
    <w:basedOn w:val="1"/>
    <w:qFormat/>
    <w:uiPriority w:val="0"/>
    <w:pPr>
      <w:pBdr>
        <w:top w:val="single" w:color="auto" w:sz="8" w:space="0"/>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8"/>
      <w:szCs w:val="18"/>
    </w:rPr>
  </w:style>
  <w:style w:type="paragraph" w:customStyle="1" w:styleId="761">
    <w:name w:val="xl119"/>
    <w:basedOn w:val="1"/>
    <w:qFormat/>
    <w:uiPriority w:val="0"/>
    <w:pPr>
      <w:pBdr>
        <w:top w:val="single" w:color="auto" w:sz="8" w:space="0"/>
        <w:bottom w:val="single" w:color="auto" w:sz="4" w:space="0"/>
      </w:pBdr>
      <w:spacing w:before="100" w:beforeAutospacing="1" w:after="100" w:afterAutospacing="1"/>
      <w:jc w:val="center"/>
      <w:textAlignment w:val="center"/>
    </w:pPr>
    <w:rPr>
      <w:rFonts w:ascii="等线 Light" w:hAnsi="等线 Light" w:eastAsia="等线 Light" w:cs="等线 Light"/>
      <w:sz w:val="18"/>
      <w:szCs w:val="18"/>
    </w:rPr>
  </w:style>
  <w:style w:type="paragraph" w:customStyle="1" w:styleId="762">
    <w:name w:val="xl120"/>
    <w:basedOn w:val="1"/>
    <w:qFormat/>
    <w:uiPriority w:val="0"/>
    <w:pPr>
      <w:pBdr>
        <w:top w:val="single" w:color="auto" w:sz="8" w:space="0"/>
        <w:bottom w:val="single" w:color="auto" w:sz="4" w:space="0"/>
        <w:right w:val="single" w:color="auto" w:sz="8" w:space="0"/>
      </w:pBdr>
      <w:spacing w:before="100" w:beforeAutospacing="1" w:after="100" w:afterAutospacing="1"/>
      <w:jc w:val="center"/>
      <w:textAlignment w:val="center"/>
    </w:pPr>
    <w:rPr>
      <w:rFonts w:ascii="等线 Light" w:hAnsi="等线 Light" w:eastAsia="等线 Light" w:cs="等线 Light"/>
      <w:sz w:val="18"/>
      <w:szCs w:val="18"/>
    </w:rPr>
  </w:style>
  <w:style w:type="paragraph" w:customStyle="1" w:styleId="763">
    <w:name w:val="xl121"/>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8"/>
      <w:szCs w:val="18"/>
    </w:rPr>
  </w:style>
  <w:style w:type="paragraph" w:customStyle="1" w:styleId="764">
    <w:name w:val="xl122"/>
    <w:basedOn w:val="1"/>
    <w:qFormat/>
    <w:uiPriority w:val="0"/>
    <w:pPr>
      <w:pBdr>
        <w:top w:val="single" w:color="auto" w:sz="4" w:space="0"/>
        <w:bottom w:val="single" w:color="auto" w:sz="4" w:space="0"/>
      </w:pBdr>
      <w:spacing w:before="100" w:beforeAutospacing="1" w:after="100" w:afterAutospacing="1"/>
      <w:jc w:val="center"/>
      <w:textAlignment w:val="center"/>
    </w:pPr>
    <w:rPr>
      <w:rFonts w:ascii="等线 Light" w:hAnsi="等线 Light" w:eastAsia="等线 Light" w:cs="等线 Light"/>
      <w:sz w:val="18"/>
      <w:szCs w:val="18"/>
    </w:rPr>
  </w:style>
  <w:style w:type="paragraph" w:customStyle="1" w:styleId="765">
    <w:name w:val="xl123"/>
    <w:basedOn w:val="1"/>
    <w:qFormat/>
    <w:uiPriority w:val="0"/>
    <w:pPr>
      <w:pBdr>
        <w:top w:val="single" w:color="auto" w:sz="4" w:space="0"/>
        <w:bottom w:val="single" w:color="auto" w:sz="4" w:space="0"/>
        <w:right w:val="single" w:color="auto" w:sz="8" w:space="0"/>
      </w:pBdr>
      <w:spacing w:before="100" w:beforeAutospacing="1" w:after="100" w:afterAutospacing="1"/>
      <w:jc w:val="center"/>
      <w:textAlignment w:val="center"/>
    </w:pPr>
    <w:rPr>
      <w:rFonts w:ascii="等线 Light" w:hAnsi="等线 Light" w:eastAsia="等线 Light" w:cs="等线 Light"/>
      <w:sz w:val="18"/>
      <w:szCs w:val="18"/>
    </w:rPr>
  </w:style>
  <w:style w:type="paragraph" w:customStyle="1" w:styleId="766">
    <w:name w:val="xl124"/>
    <w:basedOn w:val="1"/>
    <w:qFormat/>
    <w:uiPriority w:val="0"/>
    <w:pPr>
      <w:pBdr>
        <w:top w:val="single" w:color="auto" w:sz="4" w:space="0"/>
        <w:bottom w:val="single" w:color="auto" w:sz="4" w:space="0"/>
        <w:right w:val="single" w:color="auto" w:sz="4" w:space="0"/>
      </w:pBdr>
      <w:spacing w:before="100" w:beforeAutospacing="1" w:after="100" w:afterAutospacing="1"/>
      <w:jc w:val="right"/>
      <w:textAlignment w:val="center"/>
    </w:pPr>
    <w:rPr>
      <w:rFonts w:ascii="等线 Light" w:hAnsi="等线 Light" w:eastAsia="等线 Light" w:cs="等线 Light"/>
      <w:sz w:val="12"/>
      <w:szCs w:val="12"/>
    </w:rPr>
  </w:style>
  <w:style w:type="paragraph" w:customStyle="1" w:styleId="767">
    <w:name w:val="xl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等线 Light" w:hAnsi="等线 Light" w:eastAsia="等线 Light" w:cs="等线 Light"/>
    </w:rPr>
  </w:style>
  <w:style w:type="paragraph" w:customStyle="1" w:styleId="768">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等线 Light" w:hAnsi="等线 Light" w:eastAsia="等线 Light" w:cs="等线 Light"/>
    </w:rPr>
  </w:style>
  <w:style w:type="paragraph" w:customStyle="1" w:styleId="769">
    <w:name w:val="敏感表"/>
    <w:basedOn w:val="1"/>
    <w:next w:val="1"/>
    <w:qFormat/>
    <w:uiPriority w:val="0"/>
    <w:pPr>
      <w:widowControl w:val="0"/>
      <w:topLinePunct/>
      <w:adjustRightInd w:val="0"/>
      <w:spacing w:line="240" w:lineRule="atLeast"/>
      <w:jc w:val="center"/>
      <w:textAlignment w:val="bottom"/>
    </w:pPr>
    <w:rPr>
      <w:rFonts w:ascii="Arial Unicode MS" w:hAnsi="Arial Unicode MS" w:eastAsia="Calibri"/>
      <w:sz w:val="21"/>
    </w:rPr>
  </w:style>
  <w:style w:type="paragraph" w:customStyle="1" w:styleId="770">
    <w:name w:val="Char Char"/>
    <w:basedOn w:val="20"/>
    <w:qFormat/>
    <w:uiPriority w:val="0"/>
    <w:pPr>
      <w:widowControl w:val="0"/>
      <w:shd w:val="clear" w:color="auto" w:fill="000080"/>
      <w:jc w:val="both"/>
    </w:pPr>
    <w:rPr>
      <w:rFonts w:ascii="Garamond" w:hAnsi="Garamond" w:eastAsia="ˎ̥" w:cs="Garamond"/>
      <w:kern w:val="2"/>
      <w:sz w:val="24"/>
      <w:szCs w:val="24"/>
    </w:rPr>
  </w:style>
  <w:style w:type="paragraph" w:customStyle="1" w:styleId="771">
    <w:name w:val="Char Char1"/>
    <w:basedOn w:val="20"/>
    <w:qFormat/>
    <w:uiPriority w:val="0"/>
    <w:pPr>
      <w:widowControl w:val="0"/>
      <w:shd w:val="clear" w:color="auto" w:fill="000080"/>
      <w:jc w:val="both"/>
    </w:pPr>
    <w:rPr>
      <w:rFonts w:ascii="Garamond" w:hAnsi="Garamond" w:eastAsia="ˎ̥" w:cs="Garamond"/>
      <w:kern w:val="2"/>
      <w:sz w:val="24"/>
      <w:szCs w:val="24"/>
    </w:rPr>
  </w:style>
  <w:style w:type="paragraph" w:customStyle="1" w:styleId="772">
    <w:name w:val="符号标题3"/>
    <w:basedOn w:val="1"/>
    <w:qFormat/>
    <w:uiPriority w:val="0"/>
    <w:pPr>
      <w:widowControl w:val="0"/>
      <w:spacing w:line="360" w:lineRule="auto"/>
      <w:ind w:left="57"/>
      <w:jc w:val="both"/>
    </w:pPr>
    <w:rPr>
      <w:rFonts w:ascii="Verdana" w:hAnsi="Arial Unicode MS" w:eastAsia="Verdana"/>
      <w:b/>
      <w:bCs/>
      <w:kern w:val="2"/>
      <w:sz w:val="32"/>
      <w:szCs w:val="24"/>
    </w:rPr>
  </w:style>
  <w:style w:type="character" w:customStyle="1" w:styleId="773">
    <w:name w:val="text31"/>
    <w:qFormat/>
    <w:uiPriority w:val="0"/>
    <w:rPr>
      <w:rFonts w:hint="eastAsia" w:ascii="Calibri" w:hAnsi="Calibri" w:eastAsia="Calibri"/>
      <w:color w:val="673434"/>
      <w:sz w:val="22"/>
      <w:szCs w:val="22"/>
      <w:u w:val="none"/>
    </w:rPr>
  </w:style>
  <w:style w:type="paragraph" w:customStyle="1" w:styleId="774">
    <w:name w:val="font0"/>
    <w:basedOn w:val="1"/>
    <w:qFormat/>
    <w:uiPriority w:val="0"/>
    <w:pPr>
      <w:spacing w:before="100" w:beforeAutospacing="1" w:after="100" w:afterAutospacing="1"/>
    </w:pPr>
    <w:rPr>
      <w:rFonts w:hint="eastAsia" w:ascii="Calibri" w:hAnsi="Calibri" w:eastAsia="Calibri"/>
      <w:sz w:val="28"/>
      <w:szCs w:val="28"/>
    </w:rPr>
  </w:style>
  <w:style w:type="paragraph" w:customStyle="1" w:styleId="775">
    <w:name w:val="font1"/>
    <w:basedOn w:val="1"/>
    <w:qFormat/>
    <w:uiPriority w:val="0"/>
    <w:pPr>
      <w:spacing w:before="100" w:beforeAutospacing="1" w:after="100" w:afterAutospacing="1"/>
    </w:pPr>
    <w:rPr>
      <w:rFonts w:hint="eastAsia" w:ascii="Calibri" w:hAnsi="Calibri" w:eastAsia="Calibri"/>
      <w:sz w:val="24"/>
      <w:szCs w:val="24"/>
    </w:rPr>
  </w:style>
  <w:style w:type="paragraph" w:customStyle="1" w:styleId="776">
    <w:name w:val="font13"/>
    <w:basedOn w:val="1"/>
    <w:qFormat/>
    <w:uiPriority w:val="0"/>
    <w:pPr>
      <w:spacing w:before="100" w:beforeAutospacing="1" w:after="100" w:afterAutospacing="1"/>
    </w:pPr>
    <w:rPr>
      <w:rFonts w:ascii="Arial Unicode MS" w:hAnsi="Arial Unicode MS" w:eastAsia="Calibri"/>
      <w:sz w:val="28"/>
      <w:szCs w:val="28"/>
    </w:rPr>
  </w:style>
  <w:style w:type="paragraph" w:customStyle="1" w:styleId="777">
    <w:name w:val="font14"/>
    <w:basedOn w:val="1"/>
    <w:link w:val="778"/>
    <w:qFormat/>
    <w:uiPriority w:val="0"/>
    <w:pPr>
      <w:spacing w:before="100" w:beforeAutospacing="1" w:after="100" w:afterAutospacing="1"/>
    </w:pPr>
    <w:rPr>
      <w:rFonts w:ascii="Calibri" w:hAnsi="Calibri" w:eastAsia="Calibri"/>
      <w:sz w:val="28"/>
      <w:szCs w:val="28"/>
    </w:rPr>
  </w:style>
  <w:style w:type="character" w:customStyle="1" w:styleId="778">
    <w:name w:val="font14 Char"/>
    <w:link w:val="777"/>
    <w:qFormat/>
    <w:uiPriority w:val="0"/>
    <w:rPr>
      <w:rFonts w:ascii="Calibri" w:hAnsi="Calibri" w:eastAsia="Calibri"/>
      <w:sz w:val="28"/>
      <w:szCs w:val="28"/>
    </w:rPr>
  </w:style>
  <w:style w:type="paragraph" w:customStyle="1" w:styleId="779">
    <w:name w:val="xl125"/>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textAlignment w:val="center"/>
    </w:pPr>
    <w:rPr>
      <w:rFonts w:hint="eastAsia" w:ascii="Book Antiqua" w:hAnsi="Calibri" w:eastAsia="Book Antiqua"/>
      <w:sz w:val="24"/>
      <w:szCs w:val="24"/>
    </w:rPr>
  </w:style>
  <w:style w:type="paragraph" w:customStyle="1" w:styleId="780">
    <w:name w:val="xl126"/>
    <w:basedOn w:val="1"/>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hint="eastAsia" w:ascii="Book Antiqua" w:hAnsi="Calibri" w:eastAsia="Book Antiqua"/>
      <w:sz w:val="24"/>
      <w:szCs w:val="24"/>
    </w:rPr>
  </w:style>
  <w:style w:type="paragraph" w:customStyle="1" w:styleId="781">
    <w:name w:val="xl127"/>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textAlignment w:val="center"/>
    </w:pPr>
    <w:rPr>
      <w:rFonts w:hint="eastAsia" w:ascii="Book Antiqua" w:hAnsi="Calibri" w:eastAsia="Book Antiqua"/>
      <w:sz w:val="24"/>
      <w:szCs w:val="24"/>
    </w:rPr>
  </w:style>
  <w:style w:type="paragraph" w:customStyle="1" w:styleId="782">
    <w:name w:val="xl128"/>
    <w:basedOn w:val="1"/>
    <w:qFormat/>
    <w:uiPriority w:val="0"/>
    <w:pPr>
      <w:pBdr>
        <w:top w:val="single" w:color="auto" w:sz="8" w:space="0"/>
        <w:lef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3">
    <w:name w:val="xl129"/>
    <w:basedOn w:val="1"/>
    <w:qFormat/>
    <w:uiPriority w:val="0"/>
    <w:pPr>
      <w:pBdr>
        <w:top w:val="single" w:color="auto" w:sz="8" w:space="0"/>
        <w:righ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4">
    <w:name w:val="xl130"/>
    <w:basedOn w:val="1"/>
    <w:qFormat/>
    <w:uiPriority w:val="0"/>
    <w:pPr>
      <w:pBdr>
        <w:top w:val="single" w:color="auto" w:sz="4" w:space="0"/>
        <w:left w:val="single" w:color="auto" w:sz="8" w:space="0"/>
        <w:bottom w:val="single" w:color="auto" w:sz="4"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5">
    <w:name w:val="xl131"/>
    <w:basedOn w:val="1"/>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6">
    <w:name w:val="xl132"/>
    <w:basedOn w:val="1"/>
    <w:qFormat/>
    <w:uiPriority w:val="0"/>
    <w:pPr>
      <w:pBdr>
        <w:top w:val="single" w:color="auto" w:sz="4" w:space="0"/>
        <w:bottom w:val="single" w:color="auto" w:sz="4" w:space="0"/>
        <w:righ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7">
    <w:name w:val="xl133"/>
    <w:basedOn w:val="1"/>
    <w:qFormat/>
    <w:uiPriority w:val="0"/>
    <w:pPr>
      <w:pBdr>
        <w:top w:val="single" w:color="auto" w:sz="8" w:space="0"/>
        <w:left w:val="single" w:color="auto" w:sz="8" w:space="0"/>
        <w:bottom w:val="single" w:color="auto" w:sz="4"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8">
    <w:name w:val="xl134"/>
    <w:basedOn w:val="1"/>
    <w:qFormat/>
    <w:uiPriority w:val="0"/>
    <w:pPr>
      <w:pBdr>
        <w:top w:val="single" w:color="auto" w:sz="8" w:space="0"/>
        <w:bottom w:val="single" w:color="auto" w:sz="4"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89">
    <w:name w:val="xl135"/>
    <w:basedOn w:val="1"/>
    <w:qFormat/>
    <w:uiPriority w:val="0"/>
    <w:pPr>
      <w:pBdr>
        <w:top w:val="single" w:color="auto" w:sz="8" w:space="0"/>
        <w:bottom w:val="single" w:color="auto" w:sz="4" w:space="0"/>
        <w:righ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90">
    <w:name w:val="xl136"/>
    <w:basedOn w:val="1"/>
    <w:qFormat/>
    <w:uiPriority w:val="0"/>
    <w:pPr>
      <w:pBdr>
        <w:top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91">
    <w:name w:val="xl137"/>
    <w:basedOn w:val="1"/>
    <w:qFormat/>
    <w:uiPriority w:val="0"/>
    <w:pPr>
      <w:pBdr>
        <w:top w:val="single" w:color="auto" w:sz="8" w:space="0"/>
        <w:lef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92">
    <w:name w:val="xl138"/>
    <w:basedOn w:val="1"/>
    <w:qFormat/>
    <w:uiPriority w:val="0"/>
    <w:pPr>
      <w:pBdr>
        <w:top w:val="single" w:color="auto" w:sz="8" w:space="0"/>
        <w:righ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93">
    <w:name w:val="xl139"/>
    <w:basedOn w:val="1"/>
    <w:qFormat/>
    <w:uiPriority w:val="0"/>
    <w:pPr>
      <w:pBdr>
        <w:left w:val="single" w:color="auto" w:sz="8" w:space="0"/>
        <w:bottom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94">
    <w:name w:val="xl140"/>
    <w:basedOn w:val="1"/>
    <w:qFormat/>
    <w:uiPriority w:val="0"/>
    <w:pPr>
      <w:pBdr>
        <w:bottom w:val="single" w:color="auto" w:sz="8" w:space="0"/>
        <w:right w:val="single" w:color="auto" w:sz="8" w:space="0"/>
      </w:pBdr>
      <w:shd w:val="clear" w:color="auto" w:fill="FFFFFF"/>
      <w:spacing w:before="100" w:beforeAutospacing="1" w:after="100" w:afterAutospacing="1"/>
      <w:textAlignment w:val="center"/>
    </w:pPr>
    <w:rPr>
      <w:rFonts w:ascii="Calibri" w:hAnsi="Calibri" w:eastAsia="Calibri"/>
      <w:sz w:val="24"/>
      <w:szCs w:val="24"/>
    </w:rPr>
  </w:style>
  <w:style w:type="paragraph" w:customStyle="1" w:styleId="795">
    <w:name w:val="着重行文字"/>
    <w:basedOn w:val="1"/>
    <w:qFormat/>
    <w:uiPriority w:val="0"/>
    <w:pPr>
      <w:tabs>
        <w:tab w:val="left" w:pos="720"/>
        <w:tab w:val="left" w:pos="900"/>
      </w:tabs>
      <w:autoSpaceDE w:val="0"/>
      <w:autoSpaceDN w:val="0"/>
      <w:snapToGrid w:val="0"/>
      <w:spacing w:before="120" w:after="40" w:line="360" w:lineRule="auto"/>
      <w:ind w:hanging="900"/>
      <w:jc w:val="both"/>
      <w:textAlignment w:val="bottom"/>
    </w:pPr>
    <w:rPr>
      <w:rFonts w:ascii="Calibri" w:hAnsi="Arial Unicode MS" w:eastAsia="Calibri"/>
      <w:kern w:val="2"/>
      <w:sz w:val="24"/>
    </w:rPr>
  </w:style>
  <w:style w:type="paragraph" w:customStyle="1" w:styleId="796">
    <w:name w:val="图标目录"/>
    <w:basedOn w:val="1"/>
    <w:next w:val="1"/>
    <w:qFormat/>
    <w:uiPriority w:val="0"/>
    <w:pPr>
      <w:widowControl w:val="0"/>
      <w:ind w:left="420" w:hanging="420"/>
      <w:jc w:val="center"/>
    </w:pPr>
    <w:rPr>
      <w:rFonts w:ascii="Arial Unicode MS" w:hAnsi="Arial Unicode MS" w:eastAsia="Calibri"/>
      <w:smallCaps/>
      <w:kern w:val="2"/>
    </w:rPr>
  </w:style>
  <w:style w:type="paragraph" w:customStyle="1" w:styleId="797">
    <w:name w:val="单位名称"/>
    <w:basedOn w:val="25"/>
    <w:qFormat/>
    <w:uiPriority w:val="0"/>
    <w:pPr>
      <w:keepNext/>
      <w:overflowPunct w:val="0"/>
      <w:autoSpaceDE w:val="0"/>
      <w:autoSpaceDN w:val="0"/>
      <w:adjustRightInd w:val="0"/>
      <w:spacing w:before="120" w:after="0" w:line="260" w:lineRule="exact"/>
      <w:ind w:left="-1440"/>
      <w:textAlignment w:val="baseline"/>
    </w:pPr>
    <w:rPr>
      <w:rFonts w:ascii="长城仿宋" w:hAnsi="长城仿宋" w:eastAsia="Calibri"/>
      <w:b/>
    </w:rPr>
  </w:style>
  <w:style w:type="paragraph" w:customStyle="1" w:styleId="798">
    <w:name w:val="姓名"/>
    <w:basedOn w:val="25"/>
    <w:qFormat/>
    <w:uiPriority w:val="0"/>
    <w:pPr>
      <w:overflowPunct w:val="0"/>
      <w:autoSpaceDE w:val="0"/>
      <w:autoSpaceDN w:val="0"/>
      <w:adjustRightInd w:val="0"/>
      <w:spacing w:after="0"/>
      <w:ind w:left="-1080"/>
      <w:textAlignment w:val="baseline"/>
    </w:pPr>
    <w:rPr>
      <w:rFonts w:ascii="Arial Unicode MS" w:hAnsi="Arial Unicode MS" w:eastAsia="Calibri"/>
      <w:b/>
      <w:i/>
      <w:sz w:val="32"/>
    </w:rPr>
  </w:style>
  <w:style w:type="paragraph" w:customStyle="1" w:styleId="799">
    <w:name w:val="目标"/>
    <w:basedOn w:val="25"/>
    <w:qFormat/>
    <w:uiPriority w:val="0"/>
    <w:pPr>
      <w:overflowPunct w:val="0"/>
      <w:autoSpaceDE w:val="0"/>
      <w:autoSpaceDN w:val="0"/>
      <w:adjustRightInd w:val="0"/>
      <w:spacing w:before="240" w:line="260" w:lineRule="exact"/>
      <w:ind w:left="-1440"/>
      <w:textAlignment w:val="baseline"/>
    </w:pPr>
    <w:rPr>
      <w:rFonts w:ascii="Arial Unicode MS" w:hAnsi="Arial Unicode MS" w:eastAsia="Calibri"/>
      <w:i/>
    </w:rPr>
  </w:style>
  <w:style w:type="paragraph" w:customStyle="1" w:styleId="800">
    <w:name w:val="节标题"/>
    <w:basedOn w:val="1"/>
    <w:qFormat/>
    <w:uiPriority w:val="0"/>
    <w:pPr>
      <w:keepNext/>
      <w:keepLines/>
      <w:overflowPunct w:val="0"/>
      <w:autoSpaceDE w:val="0"/>
      <w:autoSpaceDN w:val="0"/>
      <w:adjustRightInd w:val="0"/>
      <w:spacing w:before="260" w:after="120"/>
      <w:ind w:left="-2160"/>
      <w:textAlignment w:val="baseline"/>
    </w:pPr>
    <w:rPr>
      <w:rFonts w:ascii="Arial Unicode MS" w:hAnsi="Arial Unicode MS" w:eastAsia="Calibri"/>
      <w:b/>
      <w:spacing w:val="70"/>
      <w:sz w:val="24"/>
    </w:rPr>
  </w:style>
  <w:style w:type="paragraph" w:customStyle="1" w:styleId="801">
    <w:name w:val="实现"/>
    <w:basedOn w:val="1"/>
    <w:qFormat/>
    <w:uiPriority w:val="0"/>
    <w:pPr>
      <w:keepLines/>
      <w:overflowPunct w:val="0"/>
      <w:autoSpaceDE w:val="0"/>
      <w:autoSpaceDN w:val="0"/>
      <w:adjustRightInd w:val="0"/>
      <w:spacing w:line="260" w:lineRule="exact"/>
      <w:ind w:left="-1080"/>
      <w:textAlignment w:val="baseline"/>
    </w:pPr>
    <w:rPr>
      <w:rFonts w:ascii="长城仿宋" w:hAnsi="长城仿宋" w:eastAsia="Calibri"/>
      <w:i/>
    </w:rPr>
  </w:style>
  <w:style w:type="paragraph" w:customStyle="1" w:styleId="802">
    <w:name w:val="样式 样式 首行缩进:  2 字符 + 首行缩进:  2 字符2"/>
    <w:basedOn w:val="1"/>
    <w:qFormat/>
    <w:uiPriority w:val="0"/>
    <w:pPr>
      <w:widowControl w:val="0"/>
      <w:spacing w:line="440" w:lineRule="exact"/>
      <w:ind w:firstLine="584" w:firstLineChars="200"/>
      <w:jc w:val="both"/>
    </w:pPr>
    <w:rPr>
      <w:rFonts w:ascii="Arial Unicode MS" w:hAnsi="Arial Unicode MS" w:eastAsia="Cambria Math"/>
      <w:spacing w:val="6"/>
      <w:sz w:val="28"/>
      <w:szCs w:val="21"/>
    </w:rPr>
  </w:style>
  <w:style w:type="character" w:customStyle="1" w:styleId="803">
    <w:name w:val="正文文字 Char"/>
    <w:link w:val="804"/>
    <w:qFormat/>
    <w:uiPriority w:val="0"/>
    <w:rPr>
      <w:rFonts w:ascii="Calibri" w:hAnsi="Calibri"/>
      <w:color w:val="0000FF"/>
      <w:sz w:val="24"/>
      <w:szCs w:val="24"/>
    </w:rPr>
  </w:style>
  <w:style w:type="paragraph" w:customStyle="1" w:styleId="804">
    <w:name w:val="正文文字"/>
    <w:basedOn w:val="1"/>
    <w:next w:val="1"/>
    <w:link w:val="803"/>
    <w:qFormat/>
    <w:uiPriority w:val="0"/>
    <w:pPr>
      <w:widowControl w:val="0"/>
      <w:tabs>
        <w:tab w:val="right" w:pos="8312"/>
      </w:tabs>
      <w:snapToGrid w:val="0"/>
      <w:spacing w:line="360" w:lineRule="auto"/>
      <w:ind w:firstLine="480" w:firstLineChars="200"/>
      <w:jc w:val="both"/>
    </w:pPr>
    <w:rPr>
      <w:rFonts w:ascii="Calibri" w:hAnsi="Calibri"/>
      <w:color w:val="0000FF"/>
      <w:sz w:val="24"/>
      <w:szCs w:val="24"/>
    </w:rPr>
  </w:style>
  <w:style w:type="paragraph" w:customStyle="1" w:styleId="805">
    <w:name w:val="Table_M"/>
    <w:basedOn w:val="1"/>
    <w:qFormat/>
    <w:uiPriority w:val="0"/>
    <w:pPr>
      <w:widowControl w:val="0"/>
      <w:jc w:val="center"/>
    </w:pPr>
    <w:rPr>
      <w:rFonts w:ascii="Arial Unicode MS" w:hAnsi="Arial Unicode MS" w:eastAsia="Calibri"/>
      <w:kern w:val="2"/>
      <w:sz w:val="21"/>
      <w:szCs w:val="21"/>
    </w:rPr>
  </w:style>
  <w:style w:type="character" w:customStyle="1" w:styleId="806">
    <w:name w:val="正文文本 2 Char1"/>
    <w:qFormat/>
    <w:locked/>
    <w:uiPriority w:val="0"/>
    <w:rPr>
      <w:rFonts w:eastAsia="Calibri"/>
      <w:kern w:val="2"/>
      <w:sz w:val="21"/>
      <w:szCs w:val="24"/>
      <w:lang w:val="en-US" w:eastAsia="zh-CN" w:bidi="ar-SA"/>
    </w:rPr>
  </w:style>
  <w:style w:type="character" w:customStyle="1" w:styleId="807">
    <w:name w:val="Normal Char"/>
    <w:link w:val="808"/>
    <w:qFormat/>
    <w:uiPriority w:val="0"/>
    <w:rPr>
      <w:rFonts w:ascii="Calibri"/>
      <w:sz w:val="24"/>
    </w:rPr>
  </w:style>
  <w:style w:type="paragraph" w:customStyle="1" w:styleId="808">
    <w:name w:val="正文3"/>
    <w:link w:val="807"/>
    <w:qFormat/>
    <w:uiPriority w:val="0"/>
    <w:pPr>
      <w:widowControl w:val="0"/>
      <w:adjustRightInd w:val="0"/>
      <w:spacing w:after="160" w:line="360" w:lineRule="atLeast"/>
      <w:textAlignment w:val="baseline"/>
    </w:pPr>
    <w:rPr>
      <w:rFonts w:ascii="Calibri" w:hAnsi="Times New Roman" w:eastAsia="宋体" w:cs="Times New Roman"/>
      <w:sz w:val="24"/>
      <w:lang w:val="en-US" w:eastAsia="zh-CN" w:bidi="ar-SA"/>
    </w:rPr>
  </w:style>
  <w:style w:type="paragraph" w:customStyle="1" w:styleId="809">
    <w:name w:val="表样式"/>
    <w:basedOn w:val="1"/>
    <w:qFormat/>
    <w:uiPriority w:val="0"/>
    <w:pPr>
      <w:widowControl w:val="0"/>
      <w:tabs>
        <w:tab w:val="left" w:pos="480"/>
      </w:tabs>
      <w:jc w:val="center"/>
    </w:pPr>
    <w:rPr>
      <w:rFonts w:ascii="Calibri" w:hAnsi="Calibri" w:eastAsia="Calibri"/>
      <w:sz w:val="21"/>
      <w:szCs w:val="21"/>
    </w:rPr>
  </w:style>
  <w:style w:type="paragraph" w:customStyle="1" w:styleId="810">
    <w:name w:val="正文文本 22"/>
    <w:basedOn w:val="1"/>
    <w:qFormat/>
    <w:uiPriority w:val="0"/>
    <w:pPr>
      <w:widowControl w:val="0"/>
      <w:spacing w:after="120" w:line="480" w:lineRule="auto"/>
      <w:jc w:val="both"/>
    </w:pPr>
    <w:rPr>
      <w:rFonts w:ascii="Arial Unicode MS" w:hAnsi="Arial Unicode MS" w:eastAsia="Calibri"/>
      <w:kern w:val="2"/>
      <w:sz w:val="21"/>
      <w:szCs w:val="24"/>
    </w:rPr>
  </w:style>
  <w:style w:type="character" w:customStyle="1" w:styleId="811">
    <w:name w:val="ca-0"/>
    <w:qFormat/>
    <w:uiPriority w:val="0"/>
  </w:style>
  <w:style w:type="paragraph" w:customStyle="1" w:styleId="812">
    <w:name w:val="默认段落字体 Para Char Char Char Char"/>
    <w:basedOn w:val="1"/>
    <w:qFormat/>
    <w:uiPriority w:val="0"/>
    <w:pPr>
      <w:widowControl w:val="0"/>
      <w:jc w:val="both"/>
    </w:pPr>
    <w:rPr>
      <w:rFonts w:ascii="Arial Unicode MS" w:hAnsi="Arial Unicode MS" w:eastAsia="Calibri"/>
      <w:kern w:val="2"/>
      <w:sz w:val="21"/>
      <w:szCs w:val="24"/>
    </w:rPr>
  </w:style>
  <w:style w:type="character" w:customStyle="1" w:styleId="813">
    <w:name w:val="viewcount2"/>
    <w:qFormat/>
    <w:uiPriority w:val="0"/>
  </w:style>
  <w:style w:type="character" w:customStyle="1" w:styleId="814">
    <w:name w:val="正文文本 2 Char2"/>
    <w:qFormat/>
    <w:uiPriority w:val="0"/>
    <w:rPr>
      <w:rFonts w:ascii="Arial Unicode MS" w:hAnsi="Arial Unicode MS" w:eastAsia="Calibri" w:cs="Arial Unicode MS"/>
      <w:spacing w:val="4"/>
      <w:sz w:val="24"/>
      <w:szCs w:val="24"/>
    </w:rPr>
  </w:style>
  <w:style w:type="paragraph" w:customStyle="1" w:styleId="815">
    <w:name w:val="正文文本 23"/>
    <w:basedOn w:val="1"/>
    <w:qFormat/>
    <w:uiPriority w:val="0"/>
    <w:pPr>
      <w:widowControl w:val="0"/>
      <w:spacing w:after="120" w:line="480" w:lineRule="auto"/>
      <w:jc w:val="both"/>
    </w:pPr>
    <w:rPr>
      <w:rFonts w:ascii="Arial Unicode MS" w:hAnsi="Arial Unicode MS" w:eastAsia="Calibri"/>
      <w:szCs w:val="24"/>
    </w:rPr>
  </w:style>
  <w:style w:type="character" w:customStyle="1" w:styleId="816">
    <w:name w:val="apple-converted-space"/>
    <w:qFormat/>
    <w:uiPriority w:val="0"/>
  </w:style>
  <w:style w:type="character" w:customStyle="1" w:styleId="817">
    <w:name w:val="case31"/>
    <w:qFormat/>
    <w:uiPriority w:val="0"/>
    <w:rPr>
      <w:rFonts w:hint="default" w:ascii="t" w:hAnsi="t"/>
      <w:sz w:val="21"/>
      <w:szCs w:val="21"/>
    </w:rPr>
  </w:style>
  <w:style w:type="paragraph" w:customStyle="1" w:styleId="818">
    <w:name w:val="列出段落3"/>
    <w:basedOn w:val="1"/>
    <w:qFormat/>
    <w:uiPriority w:val="0"/>
    <w:pPr>
      <w:widowControl w:val="0"/>
      <w:ind w:firstLine="420" w:firstLineChars="200"/>
      <w:jc w:val="both"/>
    </w:pPr>
    <w:rPr>
      <w:rFonts w:ascii="Arial Unicode MS" w:hAnsi="Arial Unicode MS" w:eastAsia="Calibri"/>
      <w:kern w:val="2"/>
      <w:sz w:val="21"/>
      <w:szCs w:val="24"/>
    </w:rPr>
  </w:style>
  <w:style w:type="character" w:customStyle="1" w:styleId="819">
    <w:name w:val="标书正文格式 Char Char"/>
    <w:qFormat/>
    <w:uiPriority w:val="0"/>
    <w:rPr>
      <w:rFonts w:eastAsia="Book Antiqua"/>
      <w:kern w:val="2"/>
      <w:sz w:val="30"/>
      <w:szCs w:val="24"/>
      <w:lang w:val="en-US" w:eastAsia="en-US" w:bidi="en-US"/>
    </w:rPr>
  </w:style>
  <w:style w:type="character" w:customStyle="1" w:styleId="820">
    <w:name w:val="ask-title"/>
    <w:qFormat/>
    <w:uiPriority w:val="0"/>
  </w:style>
  <w:style w:type="character" w:customStyle="1" w:styleId="821">
    <w:name w:val="param_td12"/>
    <w:qFormat/>
    <w:uiPriority w:val="0"/>
  </w:style>
  <w:style w:type="character" w:customStyle="1" w:styleId="822">
    <w:name w:val="5a"/>
    <w:qFormat/>
    <w:uiPriority w:val="0"/>
  </w:style>
  <w:style w:type="character" w:customStyle="1" w:styleId="823">
    <w:name w:val="正文文本缩进 3 Char1"/>
    <w:qFormat/>
    <w:uiPriority w:val="0"/>
    <w:rPr>
      <w:rFonts w:ascii="Times" w:hAnsi="Times" w:eastAsia="Calibri" w:cs="Arial Unicode MS"/>
      <w:sz w:val="16"/>
      <w:szCs w:val="16"/>
    </w:rPr>
  </w:style>
  <w:style w:type="character" w:customStyle="1" w:styleId="824">
    <w:name w:val="正文缩进2字符 Char1"/>
    <w:qFormat/>
    <w:uiPriority w:val="0"/>
    <w:rPr>
      <w:rFonts w:eastAsia="Calibri"/>
      <w:kern w:val="2"/>
      <w:sz w:val="28"/>
      <w:szCs w:val="28"/>
      <w:lang w:val="en-US" w:eastAsia="zh-CN" w:bidi="ar-SA"/>
    </w:rPr>
  </w:style>
  <w:style w:type="character" w:customStyle="1" w:styleId="825">
    <w:name w:val="content1"/>
    <w:qFormat/>
    <w:uiPriority w:val="0"/>
    <w:rPr>
      <w:spacing w:val="360"/>
      <w:sz w:val="18"/>
      <w:szCs w:val="18"/>
    </w:rPr>
  </w:style>
  <w:style w:type="character" w:customStyle="1" w:styleId="826">
    <w:name w:val="style91"/>
    <w:qFormat/>
    <w:uiPriority w:val="0"/>
    <w:rPr>
      <w:sz w:val="21"/>
      <w:szCs w:val="21"/>
    </w:rPr>
  </w:style>
  <w:style w:type="character" w:customStyle="1" w:styleId="827">
    <w:name w:val="特点标题 Char"/>
    <w:qFormat/>
    <w:uiPriority w:val="0"/>
    <w:rPr>
      <w:rFonts w:eastAsia="Calibri"/>
      <w:kern w:val="2"/>
      <w:sz w:val="24"/>
      <w:szCs w:val="24"/>
      <w:lang w:val="en-US" w:eastAsia="zh-CN" w:bidi="ar-SA"/>
    </w:rPr>
  </w:style>
  <w:style w:type="character" w:customStyle="1" w:styleId="828">
    <w:name w:val="标书标题4 Char"/>
    <w:link w:val="829"/>
    <w:qFormat/>
    <w:uiPriority w:val="0"/>
    <w:rPr>
      <w:rFonts w:ascii="Calibri" w:hAnsi="Calibri" w:eastAsia="Verdana"/>
      <w:b/>
      <w:color w:val="000000"/>
      <w:szCs w:val="32"/>
    </w:rPr>
  </w:style>
  <w:style w:type="paragraph" w:customStyle="1" w:styleId="829">
    <w:name w:val="标书标题4"/>
    <w:basedOn w:val="7"/>
    <w:link w:val="828"/>
    <w:qFormat/>
    <w:uiPriority w:val="0"/>
    <w:pPr>
      <w:keepLines w:val="0"/>
      <w:widowControl w:val="0"/>
      <w:adjustRightInd w:val="0"/>
      <w:snapToGrid w:val="0"/>
      <w:spacing w:before="0" w:after="0" w:line="300" w:lineRule="auto"/>
      <w:ind w:firstLine="420" w:firstLineChars="200"/>
      <w:jc w:val="both"/>
    </w:pPr>
    <w:rPr>
      <w:rFonts w:ascii="Calibri" w:hAnsi="Calibri" w:eastAsia="Verdana"/>
      <w:bCs w:val="0"/>
      <w:color w:val="000000"/>
      <w:sz w:val="20"/>
      <w:szCs w:val="32"/>
    </w:rPr>
  </w:style>
  <w:style w:type="character" w:customStyle="1" w:styleId="830">
    <w:name w:val="title_emph1"/>
    <w:qFormat/>
    <w:uiPriority w:val="0"/>
    <w:rPr>
      <w:rFonts w:hint="default" w:ascii="长城仿宋" w:hAnsi="长城仿宋" w:cs="长城仿宋"/>
      <w:b/>
      <w:bCs/>
      <w:sz w:val="18"/>
      <w:szCs w:val="18"/>
    </w:rPr>
  </w:style>
  <w:style w:type="character" w:customStyle="1" w:styleId="831">
    <w:name w:val="Char Char61"/>
    <w:qFormat/>
    <w:uiPriority w:val="0"/>
    <w:rPr>
      <w:rFonts w:ascii="Calibri" w:hAnsi="Calibri" w:eastAsia="Calibri" w:cs="Arial Unicode MS"/>
      <w:sz w:val="24"/>
      <w:szCs w:val="24"/>
    </w:rPr>
  </w:style>
  <w:style w:type="character" w:customStyle="1" w:styleId="832">
    <w:name w:val="4-1 Char Char"/>
    <w:qFormat/>
    <w:uiPriority w:val="0"/>
    <w:rPr>
      <w:kern w:val="2"/>
      <w:sz w:val="24"/>
      <w:szCs w:val="24"/>
    </w:rPr>
  </w:style>
  <w:style w:type="character" w:customStyle="1" w:styleId="833">
    <w:name w:val="页脚 Char1"/>
    <w:qFormat/>
    <w:uiPriority w:val="0"/>
    <w:rPr>
      <w:sz w:val="18"/>
      <w:szCs w:val="18"/>
    </w:rPr>
  </w:style>
  <w:style w:type="character" w:customStyle="1" w:styleId="834">
    <w:name w:val="4-1 Char"/>
    <w:link w:val="835"/>
    <w:qFormat/>
    <w:uiPriority w:val="0"/>
    <w:rPr>
      <w:sz w:val="24"/>
      <w:szCs w:val="24"/>
    </w:rPr>
  </w:style>
  <w:style w:type="paragraph" w:customStyle="1" w:styleId="835">
    <w:name w:val="4-1"/>
    <w:basedOn w:val="1"/>
    <w:link w:val="834"/>
    <w:qFormat/>
    <w:uiPriority w:val="0"/>
    <w:pPr>
      <w:widowControl w:val="0"/>
      <w:spacing w:line="360" w:lineRule="auto"/>
      <w:ind w:left="180" w:hanging="180" w:hangingChars="180"/>
      <w:jc w:val="both"/>
    </w:pPr>
    <w:rPr>
      <w:sz w:val="24"/>
      <w:szCs w:val="24"/>
    </w:rPr>
  </w:style>
  <w:style w:type="character" w:customStyle="1" w:styleId="836">
    <w:name w:val="页眉 Char1"/>
    <w:qFormat/>
    <w:uiPriority w:val="0"/>
    <w:rPr>
      <w:sz w:val="18"/>
      <w:szCs w:val="18"/>
    </w:rPr>
  </w:style>
  <w:style w:type="character" w:customStyle="1" w:styleId="837">
    <w:name w:val="105v"/>
    <w:qFormat/>
    <w:uiPriority w:val="0"/>
  </w:style>
  <w:style w:type="character" w:customStyle="1" w:styleId="838">
    <w:name w:val="正文文本缩进 2 Char1"/>
    <w:qFormat/>
    <w:uiPriority w:val="0"/>
    <w:rPr>
      <w:rFonts w:ascii="Arial Unicode MS" w:hAnsi="Arial Unicode MS" w:eastAsia="Calibri" w:cs="Arial Unicode MS"/>
      <w:szCs w:val="20"/>
    </w:rPr>
  </w:style>
  <w:style w:type="character" w:customStyle="1" w:styleId="839">
    <w:name w:val="p121"/>
    <w:qFormat/>
    <w:uiPriority w:val="0"/>
    <w:rPr>
      <w:rFonts w:hint="default"/>
      <w:sz w:val="24"/>
      <w:u w:val="none"/>
    </w:rPr>
  </w:style>
  <w:style w:type="character" w:customStyle="1" w:styleId="840">
    <w:name w:val="正文文字(楷体缩进2字) Char"/>
    <w:qFormat/>
    <w:uiPriority w:val="0"/>
    <w:rPr>
      <w:rFonts w:ascii="Calibri" w:hAnsi="Calibri" w:eastAsia="Calibri"/>
      <w:kern w:val="2"/>
      <w:sz w:val="24"/>
      <w:lang w:val="en-US" w:eastAsia="zh-CN" w:bidi="ar-SA"/>
    </w:rPr>
  </w:style>
  <w:style w:type="character" w:customStyle="1" w:styleId="841">
    <w:name w:val="g Char1"/>
    <w:qFormat/>
    <w:uiPriority w:val="0"/>
    <w:rPr>
      <w:rFonts w:eastAsia="Cambria Math"/>
      <w:kern w:val="2"/>
      <w:sz w:val="18"/>
      <w:lang w:val="en-US" w:eastAsia="zh-CN" w:bidi="ar-SA"/>
    </w:rPr>
  </w:style>
  <w:style w:type="character" w:customStyle="1" w:styleId="842">
    <w:name w:val="f Char1"/>
    <w:qFormat/>
    <w:uiPriority w:val="0"/>
    <w:rPr>
      <w:rFonts w:eastAsia="Cambria Math"/>
      <w:kern w:val="2"/>
      <w:sz w:val="18"/>
      <w:lang w:val="en-US" w:eastAsia="zh-CN" w:bidi="ar-SA"/>
    </w:rPr>
  </w:style>
  <w:style w:type="character" w:customStyle="1" w:styleId="843">
    <w:name w:val="tle_cn1"/>
    <w:qFormat/>
    <w:uiPriority w:val="0"/>
    <w:rPr>
      <w:rFonts w:hint="default" w:ascii="长城仿宋" w:hAnsi="长城仿宋" w:cs="长城仿宋"/>
      <w:b/>
      <w:bCs/>
      <w:color w:val="7C7C7C"/>
      <w:sz w:val="21"/>
      <w:szCs w:val="21"/>
    </w:rPr>
  </w:style>
  <w:style w:type="character" w:customStyle="1" w:styleId="844">
    <w:name w:val="H2 Char Char"/>
    <w:qFormat/>
    <w:uiPriority w:val="0"/>
    <w:rPr>
      <w:rFonts w:ascii="长城仿宋" w:hAnsi="长城仿宋" w:eastAsia="Verdana"/>
      <w:b/>
      <w:bCs/>
      <w:kern w:val="2"/>
      <w:sz w:val="32"/>
      <w:szCs w:val="32"/>
      <w:lang w:val="en-US" w:eastAsia="zh-CN" w:bidi="ar-SA"/>
    </w:rPr>
  </w:style>
  <w:style w:type="character" w:customStyle="1" w:styleId="845">
    <w:name w:val="标题 3 Char Char Char1"/>
    <w:qFormat/>
    <w:uiPriority w:val="0"/>
    <w:rPr>
      <w:rFonts w:eastAsia="Calibri"/>
      <w:b/>
      <w:bCs/>
      <w:kern w:val="2"/>
      <w:sz w:val="32"/>
      <w:szCs w:val="32"/>
      <w:lang w:val="en-US" w:eastAsia="zh-CN" w:bidi="ar-SA"/>
    </w:rPr>
  </w:style>
  <w:style w:type="character" w:customStyle="1" w:styleId="846">
    <w:name w:val="ziti1"/>
    <w:qFormat/>
    <w:uiPriority w:val="0"/>
    <w:rPr>
      <w:b/>
      <w:bCs/>
      <w:color w:val="DE1800"/>
      <w:sz w:val="36"/>
      <w:szCs w:val="36"/>
    </w:rPr>
  </w:style>
  <w:style w:type="character" w:customStyle="1" w:styleId="847">
    <w:name w:val="p031"/>
    <w:qFormat/>
    <w:uiPriority w:val="0"/>
    <w:rPr>
      <w:color w:val="000000"/>
      <w:spacing w:val="384"/>
      <w:sz w:val="21"/>
      <w:szCs w:val="21"/>
      <w:u w:val="none"/>
    </w:rPr>
  </w:style>
  <w:style w:type="character" w:customStyle="1" w:styleId="848">
    <w:name w:val="search1"/>
    <w:qFormat/>
    <w:uiPriority w:val="0"/>
    <w:rPr>
      <w:rFonts w:hint="default"/>
      <w:spacing w:val="300"/>
      <w:sz w:val="18"/>
      <w:szCs w:val="18"/>
    </w:rPr>
  </w:style>
  <w:style w:type="character" w:customStyle="1" w:styleId="849">
    <w:name w:val="font"/>
    <w:qFormat/>
    <w:uiPriority w:val="0"/>
  </w:style>
  <w:style w:type="character" w:customStyle="1" w:styleId="850">
    <w:name w:val="subject_matter1"/>
    <w:qFormat/>
    <w:uiPriority w:val="0"/>
    <w:rPr>
      <w:rFonts w:hint="default" w:ascii="长城仿宋" w:hAnsi="长城仿宋" w:cs="长城仿宋"/>
      <w:color w:val="000000"/>
      <w:sz w:val="20"/>
      <w:szCs w:val="20"/>
      <w:u w:val="none"/>
    </w:rPr>
  </w:style>
  <w:style w:type="character" w:customStyle="1" w:styleId="851">
    <w:name w:val="style291"/>
    <w:qFormat/>
    <w:uiPriority w:val="0"/>
    <w:rPr>
      <w:sz w:val="16"/>
      <w:szCs w:val="16"/>
    </w:rPr>
  </w:style>
  <w:style w:type="character" w:customStyle="1" w:styleId="852">
    <w:name w:val="注释标题 Char"/>
    <w:qFormat/>
    <w:uiPriority w:val="0"/>
    <w:rPr>
      <w:sz w:val="24"/>
      <w:szCs w:val="20"/>
    </w:rPr>
  </w:style>
  <w:style w:type="character" w:customStyle="1" w:styleId="853">
    <w:name w:val="样式 宋体 小四 左侧:  1.85 厘米 段前: 11.15 磅 段后: 11.15 磅 Char"/>
    <w:qFormat/>
    <w:uiPriority w:val="0"/>
    <w:rPr>
      <w:rFonts w:eastAsia="Calibri" w:cs="Calibri"/>
      <w:kern w:val="2"/>
      <w:sz w:val="24"/>
      <w:szCs w:val="24"/>
      <w:lang w:val="en-US" w:eastAsia="zh-CN" w:bidi="ar-SA"/>
    </w:rPr>
  </w:style>
  <w:style w:type="paragraph" w:customStyle="1" w:styleId="854">
    <w:name w:val="正文样式"/>
    <w:basedOn w:val="1"/>
    <w:qFormat/>
    <w:uiPriority w:val="0"/>
    <w:pPr>
      <w:widowControl w:val="0"/>
      <w:spacing w:line="360" w:lineRule="auto"/>
      <w:ind w:firstLine="480" w:firstLineChars="200"/>
      <w:jc w:val="both"/>
    </w:pPr>
    <w:rPr>
      <w:rFonts w:ascii="Calibri" w:hAnsi="Calibri" w:eastAsia="Calibri" w:cs="Calibri"/>
      <w:kern w:val="2"/>
      <w:sz w:val="24"/>
    </w:rPr>
  </w:style>
  <w:style w:type="paragraph" w:customStyle="1" w:styleId="855">
    <w:name w:val="p12"/>
    <w:basedOn w:val="1"/>
    <w:qFormat/>
    <w:uiPriority w:val="0"/>
    <w:pPr>
      <w:spacing w:before="100" w:beforeAutospacing="1" w:after="100" w:afterAutospacing="1"/>
    </w:pPr>
    <w:rPr>
      <w:rFonts w:ascii="Times" w:hAnsi="Times" w:eastAsia="Calibri"/>
      <w:color w:val="000000"/>
      <w:sz w:val="24"/>
    </w:rPr>
  </w:style>
  <w:style w:type="paragraph" w:customStyle="1" w:styleId="856">
    <w:name w:val="正文首行缩进 21"/>
    <w:basedOn w:val="3"/>
    <w:link w:val="857"/>
    <w:qFormat/>
    <w:uiPriority w:val="0"/>
    <w:pPr>
      <w:widowControl w:val="0"/>
      <w:ind w:firstLine="420" w:firstLineChars="200"/>
    </w:pPr>
    <w:rPr>
      <w:rFonts w:ascii="Arial Unicode MS" w:hAnsi="Arial Unicode MS" w:eastAsia="Calibri"/>
      <w:sz w:val="24"/>
      <w:szCs w:val="24"/>
    </w:rPr>
  </w:style>
  <w:style w:type="character" w:customStyle="1" w:styleId="857">
    <w:name w:val="正文首行缩进 2 字符"/>
    <w:link w:val="856"/>
    <w:qFormat/>
    <w:uiPriority w:val="0"/>
    <w:rPr>
      <w:rFonts w:ascii="Arial Unicode MS" w:hAnsi="Arial Unicode MS" w:eastAsia="Calibri"/>
      <w:sz w:val="24"/>
      <w:szCs w:val="24"/>
    </w:rPr>
  </w:style>
  <w:style w:type="paragraph" w:customStyle="1" w:styleId="858">
    <w:name w:val="抬头"/>
    <w:basedOn w:val="1"/>
    <w:qFormat/>
    <w:uiPriority w:val="0"/>
    <w:pPr>
      <w:widowControl w:val="0"/>
      <w:spacing w:beforeLines="50" w:line="360" w:lineRule="auto"/>
      <w:jc w:val="both"/>
    </w:pPr>
    <w:rPr>
      <w:rFonts w:ascii="Calibri" w:hAnsi="Arial Unicode MS" w:eastAsia="Calibri"/>
      <w:kern w:val="2"/>
      <w:sz w:val="24"/>
      <w:szCs w:val="24"/>
    </w:rPr>
  </w:style>
  <w:style w:type="paragraph" w:customStyle="1" w:styleId="859">
    <w:name w:val="solutionscopy"/>
    <w:basedOn w:val="1"/>
    <w:qFormat/>
    <w:uiPriority w:val="0"/>
    <w:pPr>
      <w:spacing w:before="100" w:beforeAutospacing="1" w:after="100" w:afterAutospacing="1" w:line="300" w:lineRule="atLeast"/>
    </w:pPr>
    <w:rPr>
      <w:rFonts w:ascii="t" w:hAnsi="t" w:eastAsia="Calibri"/>
      <w:color w:val="000000"/>
      <w:sz w:val="18"/>
      <w:szCs w:val="18"/>
      <w:lang w:eastAsia="en-US"/>
    </w:rPr>
  </w:style>
  <w:style w:type="paragraph" w:customStyle="1" w:styleId="860">
    <w:name w:val="着重符文字"/>
    <w:basedOn w:val="1"/>
    <w:qFormat/>
    <w:uiPriority w:val="0"/>
    <w:pPr>
      <w:numPr>
        <w:ilvl w:val="1"/>
        <w:numId w:val="5"/>
      </w:numPr>
      <w:tabs>
        <w:tab w:val="left" w:pos="1260"/>
        <w:tab w:val="left" w:pos="1691"/>
      </w:tabs>
      <w:adjustRightInd w:val="0"/>
      <w:spacing w:after="200" w:line="300" w:lineRule="auto"/>
      <w:ind w:firstLine="0"/>
      <w:textAlignment w:val="baseline"/>
    </w:pPr>
    <w:rPr>
      <w:rFonts w:ascii="Calibri" w:hAnsi="Calibri" w:eastAsia="Calibri"/>
      <w:kern w:val="24"/>
      <w:sz w:val="28"/>
      <w:lang w:eastAsia="en-US"/>
    </w:rPr>
  </w:style>
  <w:style w:type="paragraph" w:customStyle="1" w:styleId="861">
    <w:name w:val="2.5.1"/>
    <w:basedOn w:val="862"/>
    <w:qFormat/>
    <w:uiPriority w:val="0"/>
    <w:pPr>
      <w:numPr>
        <w:ilvl w:val="2"/>
        <w:numId w:val="6"/>
      </w:numPr>
      <w:tabs>
        <w:tab w:val="left" w:pos="1266"/>
        <w:tab w:val="left" w:pos="1575"/>
        <w:tab w:val="left" w:pos="1753"/>
        <w:tab w:val="left" w:pos="2160"/>
      </w:tabs>
      <w:ind w:left="0" w:firstLine="200" w:firstLineChars="200"/>
    </w:pPr>
  </w:style>
  <w:style w:type="paragraph" w:customStyle="1" w:styleId="862">
    <w:name w:val="自定义2.4.1"/>
    <w:basedOn w:val="863"/>
    <w:qFormat/>
    <w:uiPriority w:val="0"/>
    <w:pPr>
      <w:numPr>
        <w:ilvl w:val="1"/>
        <w:numId w:val="7"/>
      </w:numPr>
      <w:tabs>
        <w:tab w:val="left" w:pos="1266"/>
      </w:tabs>
      <w:ind w:left="0"/>
    </w:pPr>
  </w:style>
  <w:style w:type="paragraph" w:customStyle="1" w:styleId="863">
    <w:name w:val="自定义1"/>
    <w:basedOn w:val="1"/>
    <w:qFormat/>
    <w:uiPriority w:val="0"/>
    <w:pPr>
      <w:widowControl w:val="0"/>
      <w:spacing w:line="460" w:lineRule="exact"/>
      <w:jc w:val="both"/>
    </w:pPr>
    <w:rPr>
      <w:rFonts w:ascii="Calibri" w:hAnsi="Arial Unicode MS" w:eastAsia="Calibri"/>
      <w:sz w:val="24"/>
      <w:szCs w:val="24"/>
    </w:rPr>
  </w:style>
  <w:style w:type="paragraph" w:customStyle="1" w:styleId="864">
    <w:name w:val="封面标题2"/>
    <w:basedOn w:val="1"/>
    <w:qFormat/>
    <w:uiPriority w:val="0"/>
    <w:pPr>
      <w:spacing w:after="200" w:line="276" w:lineRule="auto"/>
      <w:jc w:val="center"/>
    </w:pPr>
    <w:rPr>
      <w:rFonts w:ascii="长城仿宋" w:hAnsi="长城仿宋" w:eastAsia="Calibri" w:cs="长城仿宋"/>
      <w:sz w:val="36"/>
      <w:lang w:eastAsia="en-US"/>
    </w:rPr>
  </w:style>
  <w:style w:type="paragraph" w:customStyle="1" w:styleId="865">
    <w:name w:val="1.1"/>
    <w:basedOn w:val="5"/>
    <w:qFormat/>
    <w:uiPriority w:val="0"/>
    <w:pPr>
      <w:keepNext w:val="0"/>
      <w:keepLines w:val="0"/>
      <w:widowControl w:val="0"/>
      <w:numPr>
        <w:ilvl w:val="1"/>
        <w:numId w:val="8"/>
      </w:numPr>
      <w:tabs>
        <w:tab w:val="left" w:pos="1050"/>
      </w:tabs>
      <w:autoSpaceDE w:val="0"/>
      <w:autoSpaceDN w:val="0"/>
      <w:adjustRightInd w:val="0"/>
      <w:spacing w:before="0" w:after="0" w:line="360" w:lineRule="auto"/>
      <w:ind w:left="0" w:firstLine="0"/>
      <w:outlineLvl w:val="2"/>
    </w:pPr>
    <w:rPr>
      <w:rFonts w:ascii="Calibri" w:hAnsi="Calibri" w:eastAsia="Calibri"/>
      <w:b w:val="0"/>
      <w:bCs w:val="0"/>
      <w:sz w:val="21"/>
      <w:szCs w:val="20"/>
    </w:rPr>
  </w:style>
  <w:style w:type="paragraph" w:customStyle="1" w:styleId="866">
    <w:name w:val="表文"/>
    <w:basedOn w:val="1"/>
    <w:qFormat/>
    <w:uiPriority w:val="0"/>
    <w:pPr>
      <w:adjustRightInd w:val="0"/>
      <w:snapToGrid w:val="0"/>
      <w:spacing w:after="200" w:line="280" w:lineRule="atLeast"/>
      <w:textAlignment w:val="baseline"/>
    </w:pPr>
    <w:rPr>
      <w:rFonts w:ascii="Times" w:hAnsi="Times" w:eastAsia="Calibri"/>
      <w:sz w:val="18"/>
      <w:lang w:eastAsia="en-US"/>
    </w:rPr>
  </w:style>
  <w:style w:type="paragraph" w:customStyle="1" w:styleId="867">
    <w:name w:val="文档正文 Char"/>
    <w:basedOn w:val="1"/>
    <w:qFormat/>
    <w:uiPriority w:val="0"/>
    <w:pPr>
      <w:widowControl w:val="0"/>
      <w:adjustRightInd w:val="0"/>
      <w:spacing w:line="480" w:lineRule="atLeast"/>
      <w:ind w:firstLine="567"/>
      <w:jc w:val="both"/>
      <w:textAlignment w:val="baseline"/>
    </w:pPr>
    <w:rPr>
      <w:rFonts w:ascii="Book Antiqua" w:hAnsi="Arial Unicode MS" w:eastAsia="Book Antiqua"/>
      <w:sz w:val="28"/>
    </w:rPr>
  </w:style>
  <w:style w:type="paragraph" w:customStyle="1" w:styleId="868">
    <w:name w:val="Char Char Char Char Char Char1 Char Char Char Char Char Char Char Char Char Char Char Char Char Char Char Char Char Char Char"/>
    <w:basedOn w:val="1"/>
    <w:qFormat/>
    <w:uiPriority w:val="0"/>
    <w:pPr>
      <w:widowControl w:val="0"/>
      <w:jc w:val="both"/>
    </w:pPr>
    <w:rPr>
      <w:rFonts w:ascii="Arial Unicode MS" w:hAnsi="Arial Unicode MS" w:eastAsia="Calibri"/>
      <w:b/>
      <w:bCs/>
      <w:kern w:val="2"/>
      <w:sz w:val="36"/>
      <w:szCs w:val="32"/>
    </w:rPr>
  </w:style>
  <w:style w:type="paragraph" w:customStyle="1" w:styleId="869">
    <w:name w:val="Normal2"/>
    <w:qFormat/>
    <w:uiPriority w:val="0"/>
    <w:pPr>
      <w:widowControl w:val="0"/>
      <w:adjustRightInd w:val="0"/>
      <w:spacing w:after="160" w:line="315" w:lineRule="atLeast"/>
      <w:jc w:val="both"/>
      <w:textAlignment w:val="baseline"/>
    </w:pPr>
    <w:rPr>
      <w:rFonts w:ascii="Calibri" w:hAnsi="Arial Unicode MS" w:eastAsia="Calibri" w:cs="Times New Roman"/>
      <w:sz w:val="21"/>
      <w:lang w:val="en-US" w:eastAsia="zh-CN" w:bidi="ar-SA"/>
    </w:rPr>
  </w:style>
  <w:style w:type="paragraph" w:customStyle="1" w:styleId="870">
    <w:name w:val="表格标题头"/>
    <w:basedOn w:val="1"/>
    <w:qFormat/>
    <w:uiPriority w:val="0"/>
    <w:pPr>
      <w:spacing w:after="200" w:line="480" w:lineRule="exact"/>
      <w:jc w:val="center"/>
    </w:pPr>
    <w:rPr>
      <w:rFonts w:ascii="长城仿宋" w:hAnsi="长城仿宋" w:eastAsia="Verdana" w:cs="长城仿宋"/>
      <w:sz w:val="24"/>
      <w:lang w:eastAsia="en-US"/>
    </w:rPr>
  </w:style>
  <w:style w:type="paragraph" w:customStyle="1" w:styleId="871">
    <w:name w:val="条款"/>
    <w:basedOn w:val="33"/>
    <w:qFormat/>
    <w:uiPriority w:val="0"/>
    <w:rPr>
      <w:rFonts w:ascii="Calibri" w:hAnsi="楷体" w:eastAsia="Calibri" w:cs="楷体"/>
    </w:rPr>
  </w:style>
  <w:style w:type="paragraph" w:customStyle="1" w:styleId="872">
    <w:name w:val="小节标题"/>
    <w:basedOn w:val="1"/>
    <w:next w:val="1"/>
    <w:qFormat/>
    <w:uiPriority w:val="0"/>
    <w:pPr>
      <w:spacing w:before="175" w:after="102" w:line="351" w:lineRule="atLeast"/>
      <w:textAlignment w:val="baseline"/>
    </w:pPr>
    <w:rPr>
      <w:rFonts w:ascii="Times" w:hAnsi="Times" w:eastAsia="Verdana"/>
      <w:color w:val="000000"/>
      <w:sz w:val="22"/>
      <w:u w:color="000000"/>
      <w:lang w:eastAsia="en-US"/>
    </w:rPr>
  </w:style>
  <w:style w:type="paragraph" w:customStyle="1" w:styleId="873">
    <w:name w:val="+正文"/>
    <w:basedOn w:val="1"/>
    <w:qFormat/>
    <w:uiPriority w:val="0"/>
    <w:pPr>
      <w:widowControl w:val="0"/>
      <w:spacing w:line="360" w:lineRule="auto"/>
      <w:ind w:firstLine="200" w:firstLineChars="200"/>
      <w:jc w:val="both"/>
    </w:pPr>
    <w:rPr>
      <w:rFonts w:ascii="Arial Unicode MS" w:hAnsi="Arial Unicode MS" w:eastAsia="Cambria Math"/>
      <w:kern w:val="2"/>
      <w:sz w:val="21"/>
      <w:szCs w:val="28"/>
    </w:rPr>
  </w:style>
  <w:style w:type="paragraph" w:customStyle="1" w:styleId="874">
    <w:name w:val="样式 标题 1标题 1 1 + (符号) 宋体 小四 段前: 0 磅 段后: 0 磅 行距: 单倍行距"/>
    <w:basedOn w:val="4"/>
    <w:qFormat/>
    <w:uiPriority w:val="0"/>
    <w:pPr>
      <w:keepNext w:val="0"/>
      <w:widowControl w:val="0"/>
      <w:snapToGrid w:val="0"/>
      <w:spacing w:beforeLines="50" w:afterLines="50" w:line="240" w:lineRule="auto"/>
      <w:jc w:val="both"/>
    </w:pPr>
    <w:rPr>
      <w:rFonts w:ascii="Calibri" w:hAnsi="Calibri" w:eastAsia="Calibri"/>
      <w:sz w:val="24"/>
      <w:szCs w:val="20"/>
    </w:rPr>
  </w:style>
  <w:style w:type="paragraph" w:customStyle="1" w:styleId="875">
    <w:name w:val="Normal1"/>
    <w:qFormat/>
    <w:uiPriority w:val="0"/>
    <w:pPr>
      <w:widowControl w:val="0"/>
      <w:adjustRightInd w:val="0"/>
      <w:spacing w:after="160" w:line="315" w:lineRule="atLeast"/>
      <w:jc w:val="both"/>
      <w:textAlignment w:val="baseline"/>
    </w:pPr>
    <w:rPr>
      <w:rFonts w:ascii="Calibri" w:hAnsi="Arial Unicode MS" w:eastAsia="Calibri" w:cs="Times New Roman"/>
      <w:sz w:val="21"/>
      <w:lang w:val="en-US" w:eastAsia="zh-CN" w:bidi="ar-SA"/>
    </w:rPr>
  </w:style>
  <w:style w:type="paragraph" w:customStyle="1" w:styleId="876">
    <w:name w:val="文档正文"/>
    <w:basedOn w:val="1"/>
    <w:qFormat/>
    <w:uiPriority w:val="0"/>
    <w:pPr>
      <w:widowControl w:val="0"/>
      <w:adjustRightInd w:val="0"/>
      <w:spacing w:line="312" w:lineRule="atLeast"/>
      <w:ind w:firstLine="567"/>
      <w:jc w:val="both"/>
      <w:textAlignment w:val="baseline"/>
    </w:pPr>
    <w:rPr>
      <w:rFonts w:ascii="新宋体" w:hAnsi="Arial Unicode MS" w:eastAsia="新宋体"/>
      <w:sz w:val="28"/>
      <w:szCs w:val="24"/>
    </w:rPr>
  </w:style>
  <w:style w:type="paragraph" w:customStyle="1" w:styleId="877">
    <w:name w:val="编号1."/>
    <w:basedOn w:val="1"/>
    <w:qFormat/>
    <w:uiPriority w:val="0"/>
    <w:pPr>
      <w:widowControl w:val="0"/>
      <w:numPr>
        <w:ilvl w:val="0"/>
        <w:numId w:val="9"/>
      </w:numPr>
      <w:tabs>
        <w:tab w:val="left" w:pos="735"/>
        <w:tab w:val="left" w:pos="780"/>
      </w:tabs>
      <w:ind w:firstLine="0"/>
      <w:jc w:val="both"/>
    </w:pPr>
    <w:rPr>
      <w:rFonts w:ascii="Arial Unicode MS" w:hAnsi="Arial Unicode MS" w:eastAsia="Calibri"/>
      <w:kern w:val="2"/>
      <w:sz w:val="21"/>
      <w:szCs w:val="24"/>
    </w:rPr>
  </w:style>
  <w:style w:type="paragraph" w:customStyle="1" w:styleId="878">
    <w:name w:val="Figure Description"/>
    <w:basedOn w:val="1"/>
    <w:qFormat/>
    <w:uiPriority w:val="0"/>
    <w:pPr>
      <w:widowControl w:val="0"/>
      <w:jc w:val="both"/>
    </w:pPr>
    <w:rPr>
      <w:rFonts w:ascii="Arial Unicode MS" w:hAnsi="Arial Unicode MS" w:eastAsia="Calibri"/>
      <w:kern w:val="2"/>
      <w:sz w:val="21"/>
      <w:szCs w:val="24"/>
    </w:rPr>
  </w:style>
  <w:style w:type="paragraph" w:customStyle="1" w:styleId="879">
    <w:name w:val="Table Description"/>
    <w:basedOn w:val="1"/>
    <w:qFormat/>
    <w:uiPriority w:val="0"/>
    <w:pPr>
      <w:widowControl w:val="0"/>
      <w:jc w:val="both"/>
    </w:pPr>
    <w:rPr>
      <w:rFonts w:ascii="Arial Unicode MS" w:hAnsi="Arial Unicode MS" w:eastAsia="Calibri"/>
      <w:kern w:val="2"/>
      <w:sz w:val="21"/>
      <w:szCs w:val="24"/>
    </w:rPr>
  </w:style>
  <w:style w:type="paragraph" w:customStyle="1" w:styleId="880">
    <w:name w:val="a1"/>
    <w:basedOn w:val="1"/>
    <w:qFormat/>
    <w:uiPriority w:val="0"/>
    <w:pPr>
      <w:spacing w:before="100" w:beforeAutospacing="1" w:after="100" w:afterAutospacing="1"/>
    </w:pPr>
    <w:rPr>
      <w:rFonts w:ascii="Calibri" w:hAnsi="Calibri" w:eastAsia="Calibri" w:cs="Calibri"/>
      <w:sz w:val="24"/>
      <w:szCs w:val="24"/>
    </w:rPr>
  </w:style>
  <w:style w:type="paragraph" w:customStyle="1" w:styleId="881">
    <w:name w:val="straightmatteritem"/>
    <w:basedOn w:val="1"/>
    <w:qFormat/>
    <w:uiPriority w:val="0"/>
    <w:pPr>
      <w:spacing w:before="100" w:beforeAutospacing="1" w:after="100" w:afterAutospacing="1"/>
    </w:pPr>
    <w:rPr>
      <w:rFonts w:ascii="Calibri" w:hAnsi="Calibri" w:eastAsia="Calibri" w:cs="Calibri"/>
      <w:sz w:val="24"/>
      <w:szCs w:val="24"/>
    </w:rPr>
  </w:style>
  <w:style w:type="paragraph" w:customStyle="1" w:styleId="882">
    <w:name w:val="straightmatter"/>
    <w:basedOn w:val="1"/>
    <w:qFormat/>
    <w:uiPriority w:val="0"/>
    <w:pPr>
      <w:spacing w:before="100" w:beforeAutospacing="1" w:after="100" w:afterAutospacing="1"/>
    </w:pPr>
    <w:rPr>
      <w:rFonts w:ascii="Calibri" w:hAnsi="Calibri" w:eastAsia="Calibri" w:cs="Calibri"/>
      <w:sz w:val="24"/>
      <w:szCs w:val="24"/>
    </w:rPr>
  </w:style>
  <w:style w:type="paragraph" w:customStyle="1" w:styleId="883">
    <w:name w:val="样式 宋体 小四 红色 行距: 1.5 倍行距"/>
    <w:basedOn w:val="1"/>
    <w:qFormat/>
    <w:uiPriority w:val="0"/>
    <w:pPr>
      <w:widowControl w:val="0"/>
      <w:numPr>
        <w:ilvl w:val="0"/>
        <w:numId w:val="10"/>
      </w:numPr>
      <w:tabs>
        <w:tab w:val="left" w:pos="1865"/>
      </w:tabs>
      <w:spacing w:line="360" w:lineRule="auto"/>
      <w:ind w:firstLine="0"/>
      <w:jc w:val="both"/>
    </w:pPr>
    <w:rPr>
      <w:rFonts w:ascii="Calibri" w:hAnsi="Calibri" w:eastAsia="Calibri" w:cs="Calibri"/>
      <w:color w:val="FF0000"/>
      <w:kern w:val="2"/>
      <w:sz w:val="24"/>
    </w:rPr>
  </w:style>
  <w:style w:type="paragraph" w:customStyle="1" w:styleId="884">
    <w:name w:val="BEA正文首行缩进"/>
    <w:basedOn w:val="1"/>
    <w:qFormat/>
    <w:uiPriority w:val="0"/>
    <w:pPr>
      <w:widowControl w:val="0"/>
      <w:spacing w:line="360" w:lineRule="auto"/>
      <w:ind w:firstLine="200" w:firstLineChars="200"/>
      <w:jc w:val="both"/>
    </w:pPr>
    <w:rPr>
      <w:rFonts w:ascii="长城仿宋" w:hAnsi="长城仿宋" w:eastAsia="Calibri"/>
      <w:spacing w:val="8"/>
      <w:kern w:val="44"/>
      <w:sz w:val="24"/>
      <w:szCs w:val="24"/>
    </w:rPr>
  </w:style>
  <w:style w:type="paragraph" w:customStyle="1" w:styleId="885">
    <w:name w:val="样式 标题 3一1Heading 3 - oldH3level_3PIM 3Level 3 Headh33rd..."/>
    <w:basedOn w:val="6"/>
    <w:qFormat/>
    <w:uiPriority w:val="0"/>
    <w:pPr>
      <w:widowControl w:val="0"/>
      <w:spacing w:line="360" w:lineRule="auto"/>
      <w:jc w:val="both"/>
    </w:pPr>
    <w:rPr>
      <w:rFonts w:ascii="Cambria Math" w:hAnsi="Calibri" w:eastAsia="Cambria Math" w:cs="Calibri"/>
      <w:sz w:val="28"/>
      <w:szCs w:val="20"/>
    </w:rPr>
  </w:style>
  <w:style w:type="paragraph" w:customStyle="1" w:styleId="886">
    <w:name w:val="Char Char1 Char Char Char Char"/>
    <w:basedOn w:val="1"/>
    <w:qFormat/>
    <w:uiPriority w:val="0"/>
    <w:pPr>
      <w:keepNext/>
      <w:keepLines/>
      <w:widowControl w:val="0"/>
      <w:adjustRightInd w:val="0"/>
      <w:spacing w:beforeLines="100" w:afterLines="100" w:line="300" w:lineRule="auto"/>
      <w:ind w:firstLine="200" w:firstLineChars="200"/>
      <w:jc w:val="both"/>
      <w:textAlignment w:val="center"/>
    </w:pPr>
    <w:rPr>
      <w:rFonts w:ascii="Book Antiqua" w:hAnsi="Calibri" w:eastAsia="Book Antiqua"/>
      <w:sz w:val="24"/>
    </w:rPr>
  </w:style>
  <w:style w:type="paragraph" w:customStyle="1" w:styleId="887">
    <w:name w:val="标注》"/>
    <w:basedOn w:val="1"/>
    <w:qFormat/>
    <w:uiPriority w:val="0"/>
    <w:pPr>
      <w:widowControl w:val="0"/>
      <w:tabs>
        <w:tab w:val="left" w:pos="360"/>
      </w:tabs>
      <w:spacing w:after="60" w:line="360" w:lineRule="auto"/>
      <w:ind w:firstLine="200" w:firstLineChars="200"/>
      <w:jc w:val="both"/>
    </w:pPr>
    <w:rPr>
      <w:rFonts w:ascii="Arial Unicode MS" w:hAnsi="Arial Unicode MS" w:eastAsia="Verdana"/>
      <w:b/>
      <w:kern w:val="2"/>
      <w:sz w:val="24"/>
    </w:rPr>
  </w:style>
  <w:style w:type="paragraph" w:customStyle="1" w:styleId="888">
    <w:name w:val="字元 字元"/>
    <w:basedOn w:val="1"/>
    <w:qFormat/>
    <w:uiPriority w:val="0"/>
    <w:pPr>
      <w:widowControl w:val="0"/>
      <w:spacing w:line="360" w:lineRule="auto"/>
      <w:ind w:firstLine="200" w:firstLineChars="200"/>
      <w:jc w:val="both"/>
    </w:pPr>
    <w:rPr>
      <w:rFonts w:ascii="Calibri" w:hAnsi="Calibri" w:eastAsia="Calibri" w:cs="Calibri"/>
      <w:kern w:val="2"/>
      <w:sz w:val="24"/>
      <w:szCs w:val="24"/>
    </w:rPr>
  </w:style>
  <w:style w:type="paragraph" w:customStyle="1" w:styleId="889">
    <w:name w:val="叙述文字"/>
    <w:basedOn w:val="1"/>
    <w:qFormat/>
    <w:uiPriority w:val="0"/>
    <w:pPr>
      <w:widowControl w:val="0"/>
      <w:spacing w:line="360" w:lineRule="auto"/>
      <w:ind w:firstLine="480" w:firstLineChars="200"/>
      <w:jc w:val="both"/>
    </w:pPr>
    <w:rPr>
      <w:rFonts w:ascii="Arial Unicode MS" w:hAnsi="Arial Unicode MS" w:eastAsia="Calibri"/>
      <w:kern w:val="2"/>
      <w:sz w:val="24"/>
    </w:rPr>
  </w:style>
  <w:style w:type="paragraph" w:customStyle="1" w:styleId="890">
    <w:name w:val="编号正文"/>
    <w:basedOn w:val="25"/>
    <w:qFormat/>
    <w:uiPriority w:val="0"/>
    <w:pPr>
      <w:numPr>
        <w:ilvl w:val="1"/>
        <w:numId w:val="11"/>
      </w:numPr>
      <w:ind w:left="0" w:firstLine="0"/>
    </w:pPr>
    <w:rPr>
      <w:rFonts w:ascii="Arial Unicode MS" w:hAnsi="Arial Unicode MS" w:eastAsia="Calibri"/>
      <w:sz w:val="21"/>
      <w:szCs w:val="24"/>
    </w:rPr>
  </w:style>
  <w:style w:type="paragraph" w:customStyle="1" w:styleId="891">
    <w:name w:val="样式 宋体 小四 红色 行距: 1.5 倍行距1"/>
    <w:basedOn w:val="1"/>
    <w:qFormat/>
    <w:uiPriority w:val="0"/>
    <w:pPr>
      <w:widowControl w:val="0"/>
      <w:numPr>
        <w:ilvl w:val="0"/>
        <w:numId w:val="12"/>
      </w:numPr>
      <w:tabs>
        <w:tab w:val="left" w:pos="1865"/>
      </w:tabs>
      <w:spacing w:line="360" w:lineRule="auto"/>
      <w:ind w:firstLine="0"/>
      <w:jc w:val="both"/>
    </w:pPr>
    <w:rPr>
      <w:rFonts w:ascii="Calibri" w:hAnsi="Calibri" w:eastAsia="Calibri" w:cs="Calibri"/>
      <w:color w:val="FF0000"/>
      <w:kern w:val="2"/>
      <w:sz w:val="24"/>
    </w:rPr>
  </w:style>
  <w:style w:type="paragraph" w:customStyle="1" w:styleId="892">
    <w:name w:val="Char2"/>
    <w:basedOn w:val="1"/>
    <w:qFormat/>
    <w:uiPriority w:val="0"/>
    <w:pPr>
      <w:widowControl w:val="0"/>
      <w:ind w:left="432" w:hanging="432"/>
      <w:jc w:val="both"/>
    </w:pPr>
    <w:rPr>
      <w:rFonts w:ascii="Arial Unicode MS" w:hAnsi="Arial Unicode MS" w:eastAsia="Calibri"/>
      <w:kern w:val="2"/>
      <w:sz w:val="24"/>
      <w:szCs w:val="24"/>
    </w:rPr>
  </w:style>
  <w:style w:type="paragraph" w:customStyle="1" w:styleId="893">
    <w:name w:val="Char Char Char1 Char Char Char Char Char Char Char Char Char Char Char Char Char"/>
    <w:basedOn w:val="1"/>
    <w:qFormat/>
    <w:uiPriority w:val="0"/>
    <w:pPr>
      <w:widowControl w:val="0"/>
      <w:adjustRightInd w:val="0"/>
      <w:spacing w:line="312" w:lineRule="atLeast"/>
      <w:jc w:val="both"/>
      <w:textAlignment w:val="baseline"/>
    </w:pPr>
    <w:rPr>
      <w:rFonts w:ascii="Arial Unicode MS" w:hAnsi="Arial Unicode MS" w:eastAsia="Calibri"/>
      <w:b/>
      <w:bCs/>
      <w:sz w:val="36"/>
      <w:szCs w:val="32"/>
    </w:rPr>
  </w:style>
  <w:style w:type="paragraph" w:customStyle="1" w:styleId="894">
    <w:name w:val="ST20_2"/>
    <w:basedOn w:val="1"/>
    <w:qFormat/>
    <w:uiPriority w:val="0"/>
    <w:pPr>
      <w:autoSpaceDE w:val="0"/>
      <w:autoSpaceDN w:val="0"/>
      <w:adjustRightInd w:val="0"/>
      <w:spacing w:after="200" w:line="276" w:lineRule="auto"/>
      <w:ind w:left="840" w:hanging="420"/>
    </w:pPr>
    <w:rPr>
      <w:rFonts w:ascii="Calibri" w:hAnsi="等线" w:eastAsia="Calibri"/>
      <w:sz w:val="24"/>
      <w:lang w:eastAsia="en-US"/>
    </w:rPr>
  </w:style>
  <w:style w:type="paragraph" w:customStyle="1" w:styleId="895">
    <w:name w:val="Table Heading"/>
    <w:basedOn w:val="1"/>
    <w:qFormat/>
    <w:uiPriority w:val="0"/>
    <w:pPr>
      <w:keepLines/>
      <w:tabs>
        <w:tab w:val="left" w:pos="1260"/>
      </w:tabs>
      <w:overflowPunct w:val="0"/>
      <w:autoSpaceDE w:val="0"/>
      <w:autoSpaceDN w:val="0"/>
      <w:adjustRightInd w:val="0"/>
      <w:spacing w:before="120" w:after="120" w:line="276" w:lineRule="auto"/>
      <w:textAlignment w:val="baseline"/>
    </w:pPr>
    <w:rPr>
      <w:rFonts w:ascii="黑体" w:hAnsi="黑体" w:eastAsia="Calibri"/>
      <w:b/>
      <w:sz w:val="16"/>
      <w:lang w:eastAsia="en-US"/>
    </w:rPr>
  </w:style>
  <w:style w:type="paragraph" w:customStyle="1" w:styleId="896">
    <w:name w:val="表栏名"/>
    <w:basedOn w:val="1"/>
    <w:qFormat/>
    <w:uiPriority w:val="0"/>
    <w:pPr>
      <w:adjustRightInd w:val="0"/>
      <w:spacing w:after="200" w:line="280" w:lineRule="atLeast"/>
      <w:jc w:val="center"/>
      <w:textAlignment w:val="baseline"/>
    </w:pPr>
    <w:rPr>
      <w:rFonts w:ascii="Times" w:hAnsi="Times" w:eastAsia="Verdana"/>
      <w:sz w:val="18"/>
      <w:lang w:eastAsia="en-US"/>
    </w:rPr>
  </w:style>
  <w:style w:type="paragraph" w:customStyle="1" w:styleId="897">
    <w:name w:val="封面标题1"/>
    <w:basedOn w:val="1"/>
    <w:qFormat/>
    <w:uiPriority w:val="0"/>
    <w:pPr>
      <w:spacing w:after="200" w:line="276" w:lineRule="auto"/>
      <w:jc w:val="center"/>
    </w:pPr>
    <w:rPr>
      <w:rFonts w:ascii="长城仿宋" w:hAnsi="长城仿宋" w:eastAsia="Verdana" w:cs="长城仿宋"/>
      <w:bCs/>
      <w:sz w:val="48"/>
      <w:lang w:eastAsia="en-US"/>
    </w:rPr>
  </w:style>
  <w:style w:type="paragraph" w:customStyle="1" w:styleId="898">
    <w:name w:val="列表框1"/>
    <w:basedOn w:val="899"/>
    <w:next w:val="899"/>
    <w:qFormat/>
    <w:uiPriority w:val="0"/>
    <w:pPr>
      <w:tabs>
        <w:tab w:val="left" w:pos="2018"/>
        <w:tab w:val="left" w:pos="2086"/>
        <w:tab w:val="left" w:pos="2325"/>
      </w:tabs>
      <w:snapToGrid w:val="0"/>
      <w:ind w:left="2031" w:leftChars="665" w:hanging="435" w:hangingChars="189"/>
    </w:pPr>
    <w:rPr>
      <w:rFonts w:cs="长城仿宋"/>
    </w:rPr>
  </w:style>
  <w:style w:type="paragraph" w:customStyle="1" w:styleId="899">
    <w:name w:val="应答文本 Char Char Char Char"/>
    <w:basedOn w:val="1"/>
    <w:qFormat/>
    <w:uiPriority w:val="0"/>
    <w:pPr>
      <w:widowControl w:val="0"/>
      <w:adjustRightInd w:val="0"/>
      <w:spacing w:afterLines="50" w:line="320" w:lineRule="exact"/>
      <w:ind w:left="300" w:leftChars="300" w:firstLine="200" w:firstLineChars="200"/>
    </w:pPr>
    <w:rPr>
      <w:rFonts w:ascii="长城仿宋" w:hAnsi="长城仿宋" w:eastAsia="Cambria Math"/>
      <w:spacing w:val="10"/>
      <w:sz w:val="21"/>
    </w:rPr>
  </w:style>
  <w:style w:type="paragraph" w:customStyle="1" w:styleId="900">
    <w:name w:val="招标文件正文"/>
    <w:qFormat/>
    <w:uiPriority w:val="0"/>
    <w:pPr>
      <w:spacing w:before="120" w:after="120" w:line="300" w:lineRule="auto"/>
      <w:ind w:firstLine="200" w:firstLineChars="200"/>
    </w:pPr>
    <w:rPr>
      <w:rFonts w:ascii="Calibri" w:hAnsi="Arial Unicode MS" w:eastAsia="Calibri" w:cs="Times New Roman"/>
      <w:spacing w:val="10"/>
      <w:w w:val="95"/>
      <w:sz w:val="21"/>
      <w:lang w:val="en-US" w:eastAsia="zh-CN" w:bidi="ar-SA"/>
    </w:rPr>
  </w:style>
  <w:style w:type="paragraph" w:customStyle="1" w:styleId="901">
    <w:name w:val="列表框1 Char"/>
    <w:basedOn w:val="1"/>
    <w:next w:val="1"/>
    <w:qFormat/>
    <w:uiPriority w:val="0"/>
    <w:pPr>
      <w:widowControl w:val="0"/>
      <w:numPr>
        <w:ilvl w:val="0"/>
        <w:numId w:val="13"/>
      </w:numPr>
      <w:tabs>
        <w:tab w:val="left" w:pos="2018"/>
        <w:tab w:val="left" w:pos="2086"/>
        <w:tab w:val="left" w:pos="2325"/>
      </w:tabs>
      <w:adjustRightInd w:val="0"/>
      <w:snapToGrid w:val="0"/>
      <w:spacing w:afterLines="50" w:line="320" w:lineRule="exact"/>
      <w:ind w:left="2031" w:leftChars="665" w:hanging="435" w:hangingChars="189"/>
    </w:pPr>
    <w:rPr>
      <w:rFonts w:ascii="长城仿宋" w:hAnsi="长城仿宋" w:eastAsia="Cambria Math" w:cs="长城仿宋"/>
      <w:spacing w:val="10"/>
      <w:kern w:val="2"/>
      <w:sz w:val="21"/>
      <w:szCs w:val="24"/>
    </w:rPr>
  </w:style>
  <w:style w:type="paragraph" w:customStyle="1" w:styleId="902">
    <w:name w:val="层"/>
    <w:basedOn w:val="1"/>
    <w:qFormat/>
    <w:uiPriority w:val="0"/>
    <w:pPr>
      <w:adjustRightInd w:val="0"/>
      <w:spacing w:after="200" w:line="314" w:lineRule="atLeast"/>
      <w:ind w:firstLine="425"/>
      <w:textAlignment w:val="baseline"/>
      <w:outlineLvl w:val="5"/>
    </w:pPr>
    <w:rPr>
      <w:rFonts w:ascii="Times" w:hAnsi="Times" w:eastAsia="Verdana"/>
      <w:sz w:val="22"/>
      <w:lang w:eastAsia="en-US"/>
    </w:rPr>
  </w:style>
  <w:style w:type="paragraph" w:customStyle="1" w:styleId="903">
    <w:name w:val="Style7"/>
    <w:basedOn w:val="904"/>
    <w:qFormat/>
    <w:uiPriority w:val="0"/>
    <w:pPr>
      <w:tabs>
        <w:tab w:val="left" w:pos="1260"/>
        <w:tab w:val="left" w:pos="2394"/>
      </w:tabs>
    </w:pPr>
    <w:rPr>
      <w:bCs w:val="0"/>
      <w:szCs w:val="24"/>
    </w:rPr>
  </w:style>
  <w:style w:type="paragraph" w:customStyle="1" w:styleId="904">
    <w:name w:val="Style6"/>
    <w:basedOn w:val="6"/>
    <w:qFormat/>
    <w:uiPriority w:val="0"/>
    <w:pPr>
      <w:keepLines w:val="0"/>
      <w:tabs>
        <w:tab w:val="left" w:pos="1260"/>
      </w:tabs>
      <w:spacing w:before="0" w:after="0" w:line="240" w:lineRule="auto"/>
    </w:pPr>
    <w:rPr>
      <w:rFonts w:ascii="Calibri" w:hAnsi="Calibri" w:eastAsia="Calibri"/>
      <w:color w:val="4F81BD"/>
      <w:sz w:val="24"/>
      <w:szCs w:val="20"/>
      <w:lang w:eastAsia="en-US"/>
    </w:rPr>
  </w:style>
  <w:style w:type="paragraph" w:customStyle="1" w:styleId="905">
    <w:name w:val="正文2"/>
    <w:basedOn w:val="391"/>
    <w:qFormat/>
    <w:uiPriority w:val="0"/>
    <w:pPr>
      <w:widowControl/>
      <w:spacing w:line="400" w:lineRule="atLeast"/>
      <w:ind w:firstLine="1418"/>
      <w:jc w:val="left"/>
      <w:textAlignment w:val="baseline"/>
    </w:pPr>
    <w:rPr>
      <w:rFonts w:ascii="Calibri" w:hAnsi="Times" w:eastAsia="Calibri"/>
      <w:sz w:val="24"/>
      <w:szCs w:val="20"/>
      <w:lang w:eastAsia="en-US"/>
    </w:rPr>
  </w:style>
  <w:style w:type="paragraph" w:customStyle="1" w:styleId="906">
    <w:name w:val="样式 宋体 小四 行距: 1.5 倍行距"/>
    <w:basedOn w:val="1"/>
    <w:qFormat/>
    <w:uiPriority w:val="0"/>
    <w:pPr>
      <w:widowControl w:val="0"/>
      <w:jc w:val="both"/>
    </w:pPr>
    <w:rPr>
      <w:rFonts w:ascii="Calibri" w:hAnsi="Calibri" w:eastAsia="Calibri"/>
      <w:kern w:val="10"/>
      <w:sz w:val="24"/>
    </w:rPr>
  </w:style>
  <w:style w:type="paragraph" w:customStyle="1" w:styleId="907">
    <w:name w:val="李丹江标题"/>
    <w:basedOn w:val="1"/>
    <w:qFormat/>
    <w:uiPriority w:val="0"/>
    <w:pPr>
      <w:widowControl w:val="0"/>
      <w:jc w:val="both"/>
    </w:pPr>
    <w:rPr>
      <w:rFonts w:ascii="Book Antiqua" w:hAnsi="Arial Unicode MS" w:eastAsia="Book Antiqua"/>
      <w:b/>
      <w:spacing w:val="-20"/>
      <w:kern w:val="2"/>
      <w:sz w:val="28"/>
    </w:rPr>
  </w:style>
  <w:style w:type="paragraph" w:customStyle="1" w:styleId="908">
    <w:name w:val="图题"/>
    <w:basedOn w:val="1"/>
    <w:qFormat/>
    <w:uiPriority w:val="0"/>
    <w:pPr>
      <w:spacing w:before="60" w:after="120" w:line="314" w:lineRule="atLeast"/>
      <w:jc w:val="center"/>
      <w:outlineLvl w:val="5"/>
    </w:pPr>
    <w:rPr>
      <w:rFonts w:ascii="Times" w:hAnsi="Times" w:eastAsia="Calibri"/>
      <w:sz w:val="18"/>
      <w:lang w:eastAsia="en-US"/>
    </w:rPr>
  </w:style>
  <w:style w:type="paragraph" w:customStyle="1" w:styleId="909">
    <w:name w:val="Style2"/>
    <w:basedOn w:val="6"/>
    <w:qFormat/>
    <w:uiPriority w:val="0"/>
    <w:pPr>
      <w:keepLines w:val="0"/>
      <w:tabs>
        <w:tab w:val="left" w:pos="1080"/>
        <w:tab w:val="left" w:pos="1680"/>
      </w:tabs>
      <w:spacing w:before="0" w:after="0" w:line="240" w:lineRule="auto"/>
      <w:ind w:left="720" w:hanging="720"/>
    </w:pPr>
    <w:rPr>
      <w:rFonts w:ascii="Calibri" w:hAnsi="Calibri" w:eastAsia="Calibri"/>
      <w:bCs w:val="0"/>
      <w:color w:val="4F81BD"/>
      <w:sz w:val="24"/>
      <w:szCs w:val="20"/>
      <w:lang w:eastAsia="en-US"/>
    </w:rPr>
  </w:style>
  <w:style w:type="paragraph" w:customStyle="1" w:styleId="910">
    <w:name w:val="招标文件1"/>
    <w:basedOn w:val="1"/>
    <w:qFormat/>
    <w:uiPriority w:val="0"/>
    <w:pPr>
      <w:widowControl w:val="0"/>
      <w:numPr>
        <w:ilvl w:val="1"/>
        <w:numId w:val="1"/>
      </w:numPr>
      <w:tabs>
        <w:tab w:val="left" w:pos="420"/>
      </w:tabs>
      <w:spacing w:before="120" w:after="120" w:line="480" w:lineRule="exact"/>
      <w:ind w:firstLine="0"/>
      <w:outlineLvl w:val="1"/>
    </w:pPr>
    <w:rPr>
      <w:rFonts w:ascii="Calibri" w:hAnsi="Arial Unicode MS" w:eastAsia="Calibri"/>
      <w:b/>
      <w:spacing w:val="10"/>
      <w:w w:val="95"/>
      <w:sz w:val="28"/>
      <w:szCs w:val="24"/>
    </w:rPr>
  </w:style>
  <w:style w:type="paragraph" w:customStyle="1" w:styleId="911">
    <w:name w:val="自定义2"/>
    <w:basedOn w:val="863"/>
    <w:qFormat/>
    <w:uiPriority w:val="0"/>
  </w:style>
  <w:style w:type="paragraph" w:customStyle="1" w:styleId="912">
    <w:name w:val="正文编号_2"/>
    <w:basedOn w:val="1"/>
    <w:qFormat/>
    <w:uiPriority w:val="0"/>
    <w:pPr>
      <w:keepNext/>
      <w:tabs>
        <w:tab w:val="left" w:pos="1109"/>
      </w:tabs>
      <w:adjustRightInd w:val="0"/>
      <w:snapToGrid w:val="0"/>
      <w:spacing w:after="200" w:line="300" w:lineRule="auto"/>
      <w:ind w:left="1109" w:hanging="360"/>
      <w:textAlignment w:val="baseline"/>
    </w:pPr>
    <w:rPr>
      <w:rFonts w:ascii="Calibri" w:hAnsi="Calibri" w:eastAsia="Calibri"/>
      <w:kern w:val="24"/>
      <w:sz w:val="22"/>
      <w:lang w:eastAsia="en-US"/>
    </w:rPr>
  </w:style>
  <w:style w:type="paragraph" w:customStyle="1" w:styleId="913">
    <w:name w:val="具体项目"/>
    <w:basedOn w:val="17"/>
    <w:qFormat/>
    <w:uiPriority w:val="0"/>
    <w:pPr>
      <w:widowControl w:val="0"/>
      <w:tabs>
        <w:tab w:val="left" w:pos="2100"/>
      </w:tabs>
      <w:snapToGrid w:val="0"/>
      <w:spacing w:before="120" w:after="120" w:line="360" w:lineRule="auto"/>
      <w:ind w:left="2100" w:hanging="420"/>
      <w:jc w:val="both"/>
    </w:pPr>
    <w:rPr>
      <w:rFonts w:ascii="Arial Unicode MS" w:hAnsi="Arial Unicode MS" w:eastAsia="Calibri"/>
      <w:kern w:val="2"/>
      <w:sz w:val="24"/>
      <w:lang w:eastAsia="en-US"/>
    </w:rPr>
  </w:style>
  <w:style w:type="paragraph" w:customStyle="1" w:styleId="914">
    <w:name w:val="正文编号_1"/>
    <w:basedOn w:val="25"/>
    <w:qFormat/>
    <w:uiPriority w:val="0"/>
    <w:rPr>
      <w:rFonts w:ascii="Arial Unicode MS" w:hAnsi="Arial Unicode MS" w:eastAsia="Calibri"/>
      <w:sz w:val="21"/>
      <w:szCs w:val="24"/>
    </w:rPr>
  </w:style>
  <w:style w:type="paragraph" w:customStyle="1" w:styleId="915">
    <w:name w:val="Picture"/>
    <w:basedOn w:val="1"/>
    <w:qFormat/>
    <w:uiPriority w:val="0"/>
    <w:pPr>
      <w:spacing w:after="200" w:line="360" w:lineRule="auto"/>
      <w:jc w:val="center"/>
    </w:pPr>
    <w:rPr>
      <w:rFonts w:ascii="Times" w:hAnsi="Times" w:eastAsia="Calibri"/>
      <w:sz w:val="22"/>
      <w:szCs w:val="21"/>
      <w:lang w:eastAsia="en-US"/>
    </w:rPr>
  </w:style>
  <w:style w:type="paragraph" w:customStyle="1" w:styleId="916">
    <w:name w:val="Return Address"/>
    <w:qFormat/>
    <w:uiPriority w:val="0"/>
    <w:pPr>
      <w:tabs>
        <w:tab w:val="left" w:pos="2160"/>
        <w:tab w:val="left" w:pos="2873"/>
      </w:tabs>
      <w:overflowPunct w:val="0"/>
      <w:autoSpaceDE w:val="0"/>
      <w:autoSpaceDN w:val="0"/>
      <w:adjustRightInd w:val="0"/>
      <w:spacing w:after="200" w:line="240" w:lineRule="atLeast"/>
      <w:ind w:right="-240"/>
      <w:jc w:val="center"/>
      <w:textAlignment w:val="baseline"/>
    </w:pPr>
    <w:rPr>
      <w:rFonts w:ascii="Arial" w:hAnsi="Arial" w:eastAsia="Calibri" w:cs="Times New Roman"/>
      <w:caps/>
      <w:spacing w:val="30"/>
      <w:sz w:val="14"/>
      <w:szCs w:val="22"/>
      <w:lang w:val="en-US" w:eastAsia="zh-CN" w:bidi="ar-SA"/>
    </w:rPr>
  </w:style>
  <w:style w:type="paragraph" w:customStyle="1" w:styleId="917">
    <w:name w:val="编号正文_1"/>
    <w:basedOn w:val="25"/>
    <w:qFormat/>
    <w:uiPriority w:val="0"/>
    <w:rPr>
      <w:rFonts w:ascii="Arial Unicode MS" w:hAnsi="Arial Unicode MS" w:eastAsia="Calibri"/>
      <w:sz w:val="21"/>
      <w:szCs w:val="24"/>
    </w:rPr>
  </w:style>
  <w:style w:type="paragraph" w:customStyle="1" w:styleId="918">
    <w:name w:val="招标文件1）"/>
    <w:qFormat/>
    <w:uiPriority w:val="0"/>
    <w:pPr>
      <w:spacing w:before="120" w:after="120" w:line="300" w:lineRule="auto"/>
      <w:ind w:left="2944"/>
      <w:outlineLvl w:val="5"/>
    </w:pPr>
    <w:rPr>
      <w:rFonts w:ascii="Calibri" w:hAnsi="Arial Unicode MS" w:eastAsia="Calibri" w:cs="Times New Roman"/>
      <w:spacing w:val="10"/>
      <w:w w:val="95"/>
      <w:sz w:val="21"/>
      <w:lang w:val="en-US" w:eastAsia="zh-CN" w:bidi="ar-SA"/>
    </w:rPr>
  </w:style>
  <w:style w:type="paragraph" w:customStyle="1" w:styleId="919">
    <w:name w:val="Char Char 字元 字元 字元 Char Char Char Char"/>
    <w:basedOn w:val="1"/>
    <w:qFormat/>
    <w:uiPriority w:val="0"/>
    <w:pPr>
      <w:widowControl w:val="0"/>
      <w:adjustRightInd w:val="0"/>
      <w:spacing w:line="360" w:lineRule="auto"/>
      <w:jc w:val="both"/>
    </w:pPr>
    <w:rPr>
      <w:rFonts w:ascii="Arial Unicode MS" w:hAnsi="Arial Unicode MS" w:eastAsia="Calibri"/>
      <w:sz w:val="24"/>
    </w:rPr>
  </w:style>
  <w:style w:type="paragraph" w:customStyle="1" w:styleId="920">
    <w:name w:val="样式 标题 3h33rd levelH3l33Level 3 Headlevel_3PIM 3Bold Hea...2"/>
    <w:basedOn w:val="6"/>
    <w:qFormat/>
    <w:uiPriority w:val="0"/>
    <w:pPr>
      <w:spacing w:before="120" w:after="120" w:line="480" w:lineRule="auto"/>
    </w:pPr>
    <w:rPr>
      <w:rFonts w:ascii="Tms Rmn" w:hAnsi="Tms Rmn" w:eastAsia="Verdana"/>
      <w:color w:val="4F81BD"/>
      <w:sz w:val="30"/>
      <w:szCs w:val="30"/>
      <w:lang w:eastAsia="en-US"/>
    </w:rPr>
  </w:style>
  <w:style w:type="paragraph" w:customStyle="1" w:styleId="921">
    <w:name w:val="规范正文"/>
    <w:basedOn w:val="1"/>
    <w:qFormat/>
    <w:uiPriority w:val="0"/>
    <w:pPr>
      <w:adjustRightInd w:val="0"/>
      <w:spacing w:after="200" w:line="360" w:lineRule="auto"/>
      <w:ind w:left="480" w:firstLine="425"/>
      <w:textAlignment w:val="baseline"/>
    </w:pPr>
    <w:rPr>
      <w:rFonts w:ascii="Times" w:hAnsi="Times" w:eastAsia="Calibri"/>
      <w:sz w:val="24"/>
      <w:lang w:eastAsia="en-US"/>
    </w:rPr>
  </w:style>
  <w:style w:type="paragraph" w:customStyle="1" w:styleId="922">
    <w:name w:val="p_table_l"/>
    <w:basedOn w:val="1"/>
    <w:qFormat/>
    <w:uiPriority w:val="0"/>
    <w:pPr>
      <w:spacing w:before="100" w:beforeAutospacing="1" w:after="100" w:afterAutospacing="1"/>
    </w:pPr>
    <w:rPr>
      <w:rFonts w:ascii="Calibri" w:hAnsi="Calibri" w:eastAsia="Calibri" w:cs="Calibri"/>
      <w:sz w:val="16"/>
      <w:szCs w:val="16"/>
    </w:rPr>
  </w:style>
  <w:style w:type="paragraph" w:customStyle="1" w:styleId="923">
    <w:name w:val="123"/>
    <w:basedOn w:val="1"/>
    <w:qFormat/>
    <w:uiPriority w:val="0"/>
    <w:pPr>
      <w:widowControl w:val="0"/>
      <w:numPr>
        <w:ilvl w:val="1"/>
        <w:numId w:val="6"/>
      </w:numPr>
      <w:tabs>
        <w:tab w:val="left" w:pos="1155"/>
        <w:tab w:val="left" w:pos="1440"/>
      </w:tabs>
      <w:ind w:firstLine="0"/>
      <w:jc w:val="both"/>
    </w:pPr>
    <w:rPr>
      <w:rFonts w:ascii="Arial Unicode MS" w:hAnsi="Arial Unicode MS" w:eastAsia="Calibri"/>
      <w:bCs/>
      <w:kern w:val="2"/>
      <w:sz w:val="21"/>
      <w:szCs w:val="24"/>
    </w:rPr>
  </w:style>
  <w:style w:type="paragraph" w:customStyle="1" w:styleId="924">
    <w:name w:val="招标文件1.1"/>
    <w:qFormat/>
    <w:uiPriority w:val="0"/>
    <w:pPr>
      <w:numPr>
        <w:ilvl w:val="2"/>
        <w:numId w:val="1"/>
      </w:numPr>
      <w:tabs>
        <w:tab w:val="left" w:pos="630"/>
      </w:tabs>
      <w:spacing w:before="120" w:after="120" w:line="480" w:lineRule="exact"/>
      <w:ind w:firstLine="0"/>
      <w:outlineLvl w:val="2"/>
    </w:pPr>
    <w:rPr>
      <w:rFonts w:ascii="Calibri" w:hAnsi="Arial Unicode MS" w:eastAsia="Calibri" w:cs="Times New Roman"/>
      <w:b/>
      <w:spacing w:val="10"/>
      <w:w w:val="95"/>
      <w:sz w:val="24"/>
      <w:lang w:val="en-US" w:eastAsia="zh-CN" w:bidi="ar-SA"/>
    </w:rPr>
  </w:style>
  <w:style w:type="paragraph" w:customStyle="1" w:styleId="925">
    <w:name w:val="Identation 2"/>
    <w:qFormat/>
    <w:uiPriority w:val="0"/>
    <w:pPr>
      <w:overflowPunct w:val="0"/>
      <w:autoSpaceDE w:val="0"/>
      <w:autoSpaceDN w:val="0"/>
      <w:adjustRightInd w:val="0"/>
      <w:spacing w:before="120" w:after="60" w:line="288" w:lineRule="auto"/>
      <w:ind w:left="432"/>
      <w:jc w:val="both"/>
      <w:textAlignment w:val="baseline"/>
    </w:pPr>
    <w:rPr>
      <w:rFonts w:ascii="Arial Unicode MS" w:hAnsi="Arial Unicode MS" w:eastAsia="Cambria Math" w:cs="Times New Roman"/>
      <w:color w:val="000000"/>
      <w:sz w:val="24"/>
      <w:lang w:val="en-US" w:eastAsia="zh-CN" w:bidi="ar-SA"/>
    </w:rPr>
  </w:style>
  <w:style w:type="paragraph" w:customStyle="1" w:styleId="926">
    <w:name w:val="表格文本"/>
    <w:basedOn w:val="1"/>
    <w:qFormat/>
    <w:uiPriority w:val="0"/>
    <w:pPr>
      <w:widowControl w:val="0"/>
      <w:spacing w:line="360" w:lineRule="auto"/>
      <w:jc w:val="center"/>
    </w:pPr>
    <w:rPr>
      <w:rFonts w:ascii="长城仿宋" w:hAnsi="长城仿宋" w:eastAsia="Calibri" w:cs="长城仿宋"/>
      <w:color w:val="000000"/>
      <w:sz w:val="21"/>
    </w:rPr>
  </w:style>
  <w:style w:type="paragraph" w:customStyle="1" w:styleId="927">
    <w:name w:val="ml"/>
    <w:basedOn w:val="1"/>
    <w:qFormat/>
    <w:uiPriority w:val="0"/>
    <w:pPr>
      <w:overflowPunct w:val="0"/>
      <w:topLinePunct/>
      <w:adjustRightInd w:val="0"/>
      <w:spacing w:before="120" w:after="200" w:line="360" w:lineRule="auto"/>
      <w:ind w:right="-7"/>
    </w:pPr>
    <w:rPr>
      <w:rFonts w:ascii="Cambria" w:hAnsi="长城仿宋" w:eastAsia="Cambria"/>
      <w:b/>
      <w:bCs/>
      <w:sz w:val="24"/>
      <w:lang w:eastAsia="en-US"/>
    </w:rPr>
  </w:style>
  <w:style w:type="paragraph" w:customStyle="1" w:styleId="928">
    <w:name w:val="列出段落4"/>
    <w:basedOn w:val="1"/>
    <w:qFormat/>
    <w:uiPriority w:val="0"/>
    <w:pPr>
      <w:widowControl w:val="0"/>
      <w:ind w:firstLine="420" w:firstLineChars="200"/>
      <w:jc w:val="both"/>
    </w:pPr>
    <w:rPr>
      <w:rFonts w:ascii="Calibri" w:hAnsi="Calibri" w:eastAsia="Calibri"/>
      <w:kern w:val="2"/>
      <w:sz w:val="21"/>
      <w:szCs w:val="21"/>
    </w:rPr>
  </w:style>
  <w:style w:type="paragraph" w:customStyle="1" w:styleId="929">
    <w:name w:val="_Style 28"/>
    <w:basedOn w:val="1"/>
    <w:next w:val="25"/>
    <w:qFormat/>
    <w:uiPriority w:val="0"/>
    <w:pPr>
      <w:widowControl w:val="0"/>
      <w:jc w:val="center"/>
    </w:pPr>
    <w:rPr>
      <w:rFonts w:ascii="Arial Unicode MS" w:hAnsi="Arial Unicode MS" w:eastAsia="Calibri"/>
      <w:b/>
      <w:bCs/>
      <w:kern w:val="2"/>
      <w:sz w:val="48"/>
      <w:szCs w:val="24"/>
    </w:rPr>
  </w:style>
  <w:style w:type="paragraph" w:customStyle="1" w:styleId="930">
    <w:name w:val="正文4"/>
    <w:qFormat/>
    <w:uiPriority w:val="0"/>
    <w:pPr>
      <w:widowControl w:val="0"/>
      <w:adjustRightInd w:val="0"/>
      <w:spacing w:after="160" w:line="312" w:lineRule="atLeast"/>
      <w:jc w:val="both"/>
    </w:pPr>
    <w:rPr>
      <w:rFonts w:hint="eastAsia" w:ascii="Calibri" w:hAnsi="Arial Unicode MS" w:eastAsia="Calibri" w:cs="Times New Roman"/>
      <w:sz w:val="34"/>
      <w:lang w:val="en-US" w:eastAsia="zh-CN" w:bidi="ar-SA"/>
    </w:rPr>
  </w:style>
  <w:style w:type="paragraph" w:customStyle="1" w:styleId="931">
    <w:name w:val="招标文件1.1.1"/>
    <w:qFormat/>
    <w:uiPriority w:val="0"/>
    <w:pPr>
      <w:numPr>
        <w:ilvl w:val="3"/>
        <w:numId w:val="1"/>
      </w:numPr>
      <w:spacing w:before="120" w:after="120" w:line="480" w:lineRule="exact"/>
      <w:ind w:firstLine="0"/>
      <w:outlineLvl w:val="3"/>
    </w:pPr>
    <w:rPr>
      <w:rFonts w:ascii="Calibri" w:hAnsi="Arial Unicode MS" w:eastAsia="Calibri" w:cs="Times New Roman"/>
      <w:b/>
      <w:spacing w:val="10"/>
      <w:w w:val="95"/>
      <w:sz w:val="21"/>
      <w:lang w:val="en-US" w:eastAsia="zh-CN" w:bidi="ar-SA"/>
    </w:rPr>
  </w:style>
  <w:style w:type="paragraph" w:customStyle="1" w:styleId="932">
    <w:name w:val="自定义2.3"/>
    <w:basedOn w:val="863"/>
    <w:qFormat/>
    <w:uiPriority w:val="0"/>
  </w:style>
  <w:style w:type="paragraph" w:customStyle="1" w:styleId="933">
    <w:name w:val="2.7.1"/>
    <w:basedOn w:val="861"/>
    <w:qFormat/>
    <w:uiPriority w:val="0"/>
    <w:pPr>
      <w:numPr>
        <w:ilvl w:val="1"/>
        <w:numId w:val="14"/>
      </w:numPr>
      <w:tabs>
        <w:tab w:val="left" w:pos="1418"/>
        <w:tab w:val="clear" w:pos="1575"/>
        <w:tab w:val="clear" w:pos="1753"/>
        <w:tab w:val="clear" w:pos="2160"/>
      </w:tabs>
      <w:ind w:left="0" w:firstLine="200"/>
    </w:pPr>
  </w:style>
  <w:style w:type="paragraph" w:customStyle="1" w:styleId="934">
    <w:name w:val="一"/>
    <w:basedOn w:val="4"/>
    <w:qFormat/>
    <w:uiPriority w:val="0"/>
    <w:pPr>
      <w:keepNext w:val="0"/>
      <w:keepLines w:val="0"/>
      <w:widowControl w:val="0"/>
      <w:tabs>
        <w:tab w:val="left" w:pos="540"/>
        <w:tab w:val="left" w:pos="840"/>
      </w:tabs>
      <w:autoSpaceDE w:val="0"/>
      <w:autoSpaceDN w:val="0"/>
      <w:adjustRightInd w:val="0"/>
      <w:spacing w:before="0" w:after="0" w:line="360" w:lineRule="auto"/>
      <w:ind w:left="180"/>
    </w:pPr>
    <w:rPr>
      <w:rFonts w:ascii="Calibri" w:hAnsi="Calibri" w:eastAsia="Calibri"/>
      <w:kern w:val="2"/>
      <w:sz w:val="28"/>
      <w:szCs w:val="24"/>
    </w:rPr>
  </w:style>
  <w:style w:type="paragraph" w:customStyle="1" w:styleId="935">
    <w:name w:val="v15"/>
    <w:basedOn w:val="1"/>
    <w:qFormat/>
    <w:uiPriority w:val="0"/>
    <w:pPr>
      <w:spacing w:before="100" w:beforeAutospacing="1" w:after="100" w:afterAutospacing="1" w:line="280" w:lineRule="atLeast"/>
    </w:pPr>
    <w:rPr>
      <w:rFonts w:hint="eastAsia" w:ascii="Calibri" w:hAnsi="Calibri" w:eastAsia="Calibri"/>
      <w:color w:val="000000"/>
      <w:sz w:val="18"/>
      <w:szCs w:val="18"/>
      <w:lang w:eastAsia="en-US"/>
    </w:rPr>
  </w:style>
  <w:style w:type="paragraph" w:customStyle="1" w:styleId="936">
    <w:name w:val="表格内正文"/>
    <w:basedOn w:val="1"/>
    <w:qFormat/>
    <w:uiPriority w:val="0"/>
    <w:pPr>
      <w:spacing w:after="200" w:line="440" w:lineRule="exact"/>
    </w:pPr>
    <w:rPr>
      <w:rFonts w:ascii="长城仿宋" w:hAnsi="长城仿宋" w:eastAsia="Calibri" w:cs="长城仿宋"/>
      <w:sz w:val="22"/>
      <w:lang w:eastAsia="en-US"/>
    </w:rPr>
  </w:style>
  <w:style w:type="paragraph" w:customStyle="1" w:styleId="937">
    <w:name w:val="e11"/>
    <w:basedOn w:val="1"/>
    <w:qFormat/>
    <w:uiPriority w:val="0"/>
    <w:pPr>
      <w:spacing w:before="100" w:beforeAutospacing="1" w:after="100" w:afterAutospacing="1" w:line="320" w:lineRule="atLeast"/>
    </w:pPr>
    <w:rPr>
      <w:rFonts w:ascii="长城仿宋" w:hAnsi="长城仿宋" w:eastAsia="Calibri" w:cs="长城仿宋"/>
      <w:sz w:val="18"/>
      <w:szCs w:val="18"/>
      <w:lang w:eastAsia="en-US"/>
    </w:rPr>
  </w:style>
  <w:style w:type="paragraph" w:customStyle="1" w:styleId="938">
    <w:name w:val="招标文件》"/>
    <w:basedOn w:val="900"/>
    <w:qFormat/>
    <w:uiPriority w:val="0"/>
    <w:pPr>
      <w:numPr>
        <w:ilvl w:val="0"/>
        <w:numId w:val="15"/>
      </w:numPr>
      <w:ind w:left="0" w:firstLine="200"/>
    </w:pPr>
  </w:style>
  <w:style w:type="paragraph" w:customStyle="1" w:styleId="939">
    <w:name w:val="a2"/>
    <w:basedOn w:val="1"/>
    <w:qFormat/>
    <w:uiPriority w:val="0"/>
    <w:pPr>
      <w:spacing w:after="200" w:line="440" w:lineRule="atLeast"/>
      <w:ind w:firstLine="567"/>
    </w:pPr>
    <w:rPr>
      <w:rFonts w:ascii="仿宋_GB2312" w:hAnsi="仿宋_GB2312" w:eastAsia="Calibri"/>
      <w:sz w:val="24"/>
      <w:szCs w:val="22"/>
      <w:lang w:eastAsia="en-US"/>
    </w:rPr>
  </w:style>
  <w:style w:type="paragraph" w:customStyle="1" w:styleId="940">
    <w:name w:val="样式 1 + 四号 左侧:  0 厘米 行距: 固定值 24 磅"/>
    <w:basedOn w:val="4"/>
    <w:qFormat/>
    <w:uiPriority w:val="0"/>
    <w:pPr>
      <w:keepNext w:val="0"/>
      <w:keepLines w:val="0"/>
      <w:autoSpaceDE w:val="0"/>
      <w:autoSpaceDN w:val="0"/>
      <w:spacing w:before="0" w:after="120" w:line="480" w:lineRule="exact"/>
      <w:ind w:firstLine="560" w:firstLineChars="200"/>
      <w:outlineLvl w:val="9"/>
    </w:pPr>
    <w:rPr>
      <w:rFonts w:ascii="Times" w:hAnsi="Times" w:eastAsia="Calibri"/>
      <w:b w:val="0"/>
      <w:bCs w:val="0"/>
      <w:kern w:val="2"/>
      <w:sz w:val="28"/>
      <w:szCs w:val="24"/>
      <w:lang w:eastAsia="en-US"/>
    </w:rPr>
  </w:style>
  <w:style w:type="paragraph" w:customStyle="1" w:styleId="941">
    <w:name w:val="图"/>
    <w:basedOn w:val="1"/>
    <w:qFormat/>
    <w:uiPriority w:val="0"/>
    <w:pPr>
      <w:tabs>
        <w:tab w:val="left" w:leader="dot" w:pos="7995"/>
      </w:tabs>
      <w:spacing w:before="240" w:after="120" w:line="314" w:lineRule="atLeast"/>
      <w:jc w:val="center"/>
    </w:pPr>
    <w:rPr>
      <w:rFonts w:ascii="Times" w:hAnsi="Times" w:eastAsia="Calibri"/>
      <w:sz w:val="22"/>
      <w:lang w:eastAsia="en-US"/>
    </w:rPr>
  </w:style>
  <w:style w:type="paragraph" w:customStyle="1" w:styleId="942">
    <w:name w:val="_Style 29"/>
    <w:basedOn w:val="1"/>
    <w:next w:val="25"/>
    <w:qFormat/>
    <w:uiPriority w:val="0"/>
    <w:pPr>
      <w:widowControl w:val="0"/>
      <w:jc w:val="center"/>
    </w:pPr>
    <w:rPr>
      <w:rFonts w:ascii="Arial Unicode MS" w:hAnsi="Arial Unicode MS" w:eastAsia="Calibri"/>
      <w:b/>
      <w:bCs/>
      <w:kern w:val="2"/>
      <w:sz w:val="48"/>
      <w:szCs w:val="24"/>
    </w:rPr>
  </w:style>
  <w:style w:type="paragraph" w:customStyle="1" w:styleId="943">
    <w:name w:val="列表框2"/>
    <w:basedOn w:val="898"/>
    <w:qFormat/>
    <w:uiPriority w:val="0"/>
    <w:pPr>
      <w:numPr>
        <w:ilvl w:val="0"/>
        <w:numId w:val="16"/>
      </w:numPr>
      <w:tabs>
        <w:tab w:val="clear" w:pos="2018"/>
        <w:tab w:val="clear" w:pos="2086"/>
        <w:tab w:val="clear" w:pos="2325"/>
      </w:tabs>
      <w:ind w:left="0" w:leftChars="0" w:right="-12" w:firstLine="0" w:firstLineChars="0"/>
    </w:pPr>
  </w:style>
  <w:style w:type="paragraph" w:customStyle="1" w:styleId="944">
    <w:name w:val="Char1 Char Char Char"/>
    <w:basedOn w:val="1"/>
    <w:qFormat/>
    <w:uiPriority w:val="0"/>
    <w:pPr>
      <w:spacing w:after="200" w:line="276" w:lineRule="auto"/>
    </w:pPr>
    <w:rPr>
      <w:rFonts w:ascii="Garamond" w:hAnsi="Garamond" w:eastAsia="Calibri"/>
      <w:sz w:val="24"/>
      <w:lang w:eastAsia="en-US"/>
    </w:rPr>
  </w:style>
  <w:style w:type="paragraph" w:customStyle="1" w:styleId="945">
    <w:name w:val="Text 2"/>
    <w:basedOn w:val="1"/>
    <w:qFormat/>
    <w:uiPriority w:val="0"/>
    <w:pPr>
      <w:spacing w:before="240" w:after="200" w:line="360" w:lineRule="atLeast"/>
      <w:ind w:left="1080"/>
    </w:pPr>
    <w:rPr>
      <w:rFonts w:ascii="Times" w:hAnsi="Times" w:eastAsia="Calibri"/>
      <w:sz w:val="24"/>
      <w:lang w:eastAsia="en-US"/>
    </w:rPr>
  </w:style>
  <w:style w:type="paragraph" w:customStyle="1" w:styleId="946">
    <w:name w:val="Char Char Char Char Char Char Char Char Char Char Char Char Char Char Char Char Char Char Char Char Char Char Char Char"/>
    <w:basedOn w:val="1"/>
    <w:qFormat/>
    <w:uiPriority w:val="0"/>
    <w:pPr>
      <w:widowControl w:val="0"/>
      <w:jc w:val="both"/>
    </w:pPr>
    <w:rPr>
      <w:rFonts w:ascii="Book Antiqua" w:hAnsi="Arial Unicode MS" w:eastAsia="Book Antiqua"/>
      <w:b/>
      <w:kern w:val="2"/>
      <w:sz w:val="32"/>
      <w:szCs w:val="32"/>
    </w:rPr>
  </w:style>
  <w:style w:type="paragraph" w:customStyle="1" w:styleId="947">
    <w:name w:val="封面标题3"/>
    <w:basedOn w:val="864"/>
    <w:qFormat/>
    <w:uiPriority w:val="0"/>
  </w:style>
  <w:style w:type="paragraph" w:customStyle="1" w:styleId="948">
    <w:name w:val="newtext"/>
    <w:basedOn w:val="1"/>
    <w:qFormat/>
    <w:uiPriority w:val="0"/>
    <w:pPr>
      <w:spacing w:before="100" w:beforeAutospacing="1" w:after="100" w:afterAutospacing="1" w:line="300" w:lineRule="atLeast"/>
    </w:pPr>
    <w:rPr>
      <w:rFonts w:ascii="等线 Light" w:hAnsi="等线 Light" w:eastAsia="Calibri"/>
      <w:sz w:val="22"/>
      <w:szCs w:val="21"/>
      <w:lang w:eastAsia="en-US"/>
    </w:rPr>
  </w:style>
  <w:style w:type="paragraph" w:customStyle="1" w:styleId="949">
    <w:name w:val="Decimal Aligned"/>
    <w:basedOn w:val="1"/>
    <w:qFormat/>
    <w:uiPriority w:val="0"/>
    <w:pPr>
      <w:tabs>
        <w:tab w:val="decimal" w:pos="360"/>
      </w:tabs>
      <w:spacing w:after="200" w:line="276" w:lineRule="auto"/>
    </w:pPr>
    <w:rPr>
      <w:rFonts w:ascii="Times" w:hAnsi="Times" w:eastAsia="Calibri"/>
      <w:sz w:val="22"/>
      <w:szCs w:val="22"/>
    </w:rPr>
  </w:style>
  <w:style w:type="paragraph" w:customStyle="1" w:styleId="950">
    <w:name w:val="招标文件1.1.1.1"/>
    <w:basedOn w:val="1"/>
    <w:qFormat/>
    <w:uiPriority w:val="0"/>
    <w:pPr>
      <w:widowControl w:val="0"/>
      <w:spacing w:before="120" w:after="120" w:line="480" w:lineRule="exact"/>
      <w:outlineLvl w:val="4"/>
    </w:pPr>
    <w:rPr>
      <w:rFonts w:ascii="Calibri" w:hAnsi="Arial Unicode MS" w:eastAsia="Calibri"/>
      <w:b/>
      <w:spacing w:val="10"/>
      <w:w w:val="95"/>
      <w:kern w:val="2"/>
      <w:sz w:val="21"/>
      <w:szCs w:val="24"/>
    </w:rPr>
  </w:style>
  <w:style w:type="paragraph" w:customStyle="1" w:styleId="951">
    <w:name w:val="规范标题3"/>
    <w:basedOn w:val="6"/>
    <w:next w:val="1"/>
    <w:qFormat/>
    <w:uiPriority w:val="0"/>
    <w:pPr>
      <w:tabs>
        <w:tab w:val="left" w:pos="3204"/>
      </w:tabs>
      <w:adjustRightInd w:val="0"/>
      <w:spacing w:before="0" w:after="0" w:line="314" w:lineRule="atLeast"/>
      <w:ind w:left="3204" w:hanging="144"/>
      <w:textAlignment w:val="baseline"/>
      <w:outlineLvl w:val="9"/>
    </w:pPr>
    <w:rPr>
      <w:rFonts w:ascii="Tahoma" w:hAnsi="Tahoma" w:eastAsia="Verdana"/>
      <w:bCs w:val="0"/>
      <w:color w:val="4F81BD"/>
      <w:sz w:val="28"/>
      <w:szCs w:val="20"/>
      <w:lang w:eastAsia="en-US"/>
    </w:rPr>
  </w:style>
  <w:style w:type="paragraph" w:customStyle="1" w:styleId="952">
    <w:name w:val="默认段落字体 Para Char Char Char Char Char Char Char Char Char1 Char Char Char Char"/>
    <w:basedOn w:val="1"/>
    <w:qFormat/>
    <w:uiPriority w:val="0"/>
    <w:pPr>
      <w:adjustRightInd w:val="0"/>
      <w:spacing w:after="200" w:line="312" w:lineRule="atLeast"/>
      <w:textAlignment w:val="baseline"/>
    </w:pPr>
    <w:rPr>
      <w:rFonts w:ascii="Times" w:hAnsi="Times" w:eastAsia="Calibri"/>
      <w:b/>
      <w:bCs/>
      <w:sz w:val="36"/>
      <w:szCs w:val="32"/>
      <w:lang w:eastAsia="en-US"/>
    </w:rPr>
  </w:style>
  <w:style w:type="paragraph" w:customStyle="1" w:styleId="953">
    <w:name w:val="样式 样式 正文（首行缩进两字） + 宋体 小四 首行缩进:  0 厘米 段前: 11.15 磅 段后: 11.15 磅 + 左..."/>
    <w:basedOn w:val="1"/>
    <w:qFormat/>
    <w:uiPriority w:val="0"/>
    <w:pPr>
      <w:widowControl w:val="0"/>
      <w:snapToGrid w:val="0"/>
      <w:spacing w:before="223" w:after="223"/>
      <w:ind w:left="200" w:leftChars="200"/>
      <w:jc w:val="both"/>
    </w:pPr>
    <w:rPr>
      <w:rFonts w:ascii="Calibri" w:hAnsi="Calibri" w:eastAsia="Calibri"/>
      <w:kern w:val="2"/>
      <w:sz w:val="24"/>
      <w:szCs w:val="28"/>
    </w:rPr>
  </w:style>
  <w:style w:type="paragraph" w:customStyle="1" w:styleId="954">
    <w:name w:val="Char1 Char Char Char Char Char Char2"/>
    <w:basedOn w:val="1"/>
    <w:qFormat/>
    <w:uiPriority w:val="0"/>
    <w:pPr>
      <w:widowControl w:val="0"/>
      <w:jc w:val="both"/>
    </w:pPr>
    <w:rPr>
      <w:rFonts w:ascii="Garamond" w:hAnsi="Garamond" w:eastAsia="Calibri"/>
      <w:kern w:val="2"/>
      <w:sz w:val="24"/>
    </w:rPr>
  </w:style>
  <w:style w:type="paragraph" w:customStyle="1" w:styleId="955">
    <w:name w:val="1)"/>
    <w:basedOn w:val="1"/>
    <w:qFormat/>
    <w:uiPriority w:val="0"/>
    <w:pPr>
      <w:widowControl w:val="0"/>
      <w:tabs>
        <w:tab w:val="left" w:pos="120"/>
      </w:tabs>
      <w:spacing w:line="360" w:lineRule="auto"/>
      <w:ind w:left="400" w:leftChars="100" w:hanging="300" w:hangingChars="300"/>
      <w:jc w:val="both"/>
    </w:pPr>
    <w:rPr>
      <w:rFonts w:ascii="Arial Unicode MS" w:hAnsi="Arial Unicode MS" w:eastAsia="Calibri"/>
      <w:kern w:val="2"/>
      <w:sz w:val="24"/>
      <w:szCs w:val="24"/>
    </w:rPr>
  </w:style>
  <w:style w:type="paragraph" w:customStyle="1" w:styleId="956">
    <w:name w:val="样式 首行缩进:  2 字符 Char"/>
    <w:basedOn w:val="1"/>
    <w:qFormat/>
    <w:uiPriority w:val="0"/>
    <w:pPr>
      <w:widowControl w:val="0"/>
      <w:adjustRightInd w:val="0"/>
      <w:snapToGrid w:val="0"/>
      <w:spacing w:line="360" w:lineRule="auto"/>
      <w:ind w:right="40" w:rightChars="19"/>
      <w:jc w:val="center"/>
    </w:pPr>
    <w:rPr>
      <w:rFonts w:ascii="Calibri" w:hAnsi="Calibri" w:eastAsia="Calibri" w:cs="Calibri"/>
      <w:color w:val="000000"/>
      <w:kern w:val="28"/>
      <w:sz w:val="24"/>
      <w:szCs w:val="24"/>
    </w:rPr>
  </w:style>
  <w:style w:type="paragraph" w:customStyle="1" w:styleId="957">
    <w:name w:val="字元 字元1"/>
    <w:basedOn w:val="1"/>
    <w:qFormat/>
    <w:uiPriority w:val="0"/>
    <w:pPr>
      <w:widowControl w:val="0"/>
      <w:spacing w:line="360" w:lineRule="auto"/>
      <w:ind w:firstLine="200" w:firstLineChars="200"/>
      <w:jc w:val="both"/>
    </w:pPr>
    <w:rPr>
      <w:rFonts w:ascii="Calibri" w:hAnsi="Calibri" w:eastAsia="Calibri" w:cs="Calibri"/>
      <w:kern w:val="2"/>
      <w:sz w:val="24"/>
      <w:szCs w:val="24"/>
    </w:rPr>
  </w:style>
  <w:style w:type="paragraph" w:customStyle="1" w:styleId="958">
    <w:name w:val="Char Char Char Char Char Char Char Char Char Char"/>
    <w:basedOn w:val="1"/>
    <w:qFormat/>
    <w:uiPriority w:val="0"/>
    <w:pPr>
      <w:widowControl w:val="0"/>
      <w:jc w:val="both"/>
    </w:pPr>
    <w:rPr>
      <w:rFonts w:ascii="Arial Unicode MS" w:hAnsi="Arial Unicode MS" w:eastAsia="Calibri"/>
      <w:kern w:val="2"/>
      <w:sz w:val="21"/>
    </w:rPr>
  </w:style>
  <w:style w:type="character" w:customStyle="1" w:styleId="959">
    <w:name w:val="标题 3 Char1"/>
    <w:qFormat/>
    <w:uiPriority w:val="0"/>
    <w:rPr>
      <w:rFonts w:ascii="Arial Unicode MS" w:hAnsi="Arial Unicode MS" w:eastAsia="Calibri" w:cs="Arial Unicode MS"/>
      <w:b/>
      <w:bCs/>
      <w:kern w:val="2"/>
      <w:sz w:val="32"/>
      <w:szCs w:val="32"/>
    </w:rPr>
  </w:style>
  <w:style w:type="character" w:customStyle="1" w:styleId="960">
    <w:name w:val="标题 4 Char1"/>
    <w:qFormat/>
    <w:uiPriority w:val="0"/>
    <w:rPr>
      <w:rFonts w:ascii="Tms Rmn" w:hAnsi="Tms Rmn" w:eastAsia="Calibri" w:cs="Arial Unicode MS"/>
      <w:b/>
      <w:bCs/>
      <w:kern w:val="2"/>
      <w:sz w:val="28"/>
      <w:szCs w:val="28"/>
    </w:rPr>
  </w:style>
  <w:style w:type="character" w:customStyle="1" w:styleId="961">
    <w:name w:val="标题 7 Char1"/>
    <w:qFormat/>
    <w:uiPriority w:val="0"/>
    <w:rPr>
      <w:rFonts w:ascii="Arial Unicode MS" w:hAnsi="Arial Unicode MS" w:eastAsia="Calibri" w:cs="Arial Unicode MS"/>
      <w:b/>
      <w:bCs/>
      <w:kern w:val="2"/>
      <w:sz w:val="24"/>
      <w:szCs w:val="24"/>
    </w:rPr>
  </w:style>
  <w:style w:type="character" w:customStyle="1" w:styleId="962">
    <w:name w:val="纯文本 Char"/>
    <w:qFormat/>
    <w:uiPriority w:val="0"/>
    <w:rPr>
      <w:rFonts w:ascii="Calibri" w:hAnsi="楷体" w:eastAsia="Calibri" w:cs="楷体"/>
      <w:kern w:val="2"/>
      <w:sz w:val="21"/>
      <w:szCs w:val="21"/>
      <w:lang w:val="en-US" w:eastAsia="zh-CN" w:bidi="ar-SA"/>
    </w:rPr>
  </w:style>
  <w:style w:type="character" w:customStyle="1" w:styleId="963">
    <w:name w:val="批注文字 Char"/>
    <w:qFormat/>
    <w:uiPriority w:val="0"/>
    <w:rPr>
      <w:rFonts w:eastAsia="Calibri"/>
      <w:kern w:val="2"/>
      <w:sz w:val="21"/>
      <w:szCs w:val="24"/>
      <w:lang w:val="en-US" w:eastAsia="zh-CN" w:bidi="ar-SA"/>
    </w:rPr>
  </w:style>
  <w:style w:type="character" w:customStyle="1" w:styleId="964">
    <w:name w:val="列出段落 Char"/>
    <w:qFormat/>
    <w:uiPriority w:val="0"/>
    <w:rPr>
      <w:kern w:val="2"/>
      <w:sz w:val="21"/>
      <w:szCs w:val="24"/>
    </w:rPr>
  </w:style>
  <w:style w:type="character" w:customStyle="1" w:styleId="965">
    <w:name w:val="标题 6 Char"/>
    <w:qFormat/>
    <w:uiPriority w:val="0"/>
    <w:rPr>
      <w:rFonts w:ascii="Tms Rmn" w:hAnsi="Tms Rmn"/>
      <w:b/>
      <w:bCs/>
      <w:kern w:val="2"/>
      <w:sz w:val="24"/>
      <w:szCs w:val="24"/>
    </w:rPr>
  </w:style>
  <w:style w:type="character" w:customStyle="1" w:styleId="966">
    <w:name w:val="标题 8 Char"/>
    <w:qFormat/>
    <w:uiPriority w:val="0"/>
    <w:rPr>
      <w:rFonts w:ascii="长城仿宋" w:hAnsi="长城仿宋" w:eastAsia="Verdana"/>
      <w:kern w:val="2"/>
      <w:sz w:val="24"/>
      <w:szCs w:val="24"/>
    </w:rPr>
  </w:style>
  <w:style w:type="character" w:customStyle="1" w:styleId="967">
    <w:name w:val="标题 9 Char"/>
    <w:qFormat/>
    <w:uiPriority w:val="0"/>
    <w:rPr>
      <w:rFonts w:ascii="长城仿宋" w:hAnsi="长城仿宋" w:eastAsia="Verdana"/>
      <w:kern w:val="2"/>
      <w:sz w:val="21"/>
      <w:szCs w:val="21"/>
    </w:rPr>
  </w:style>
  <w:style w:type="paragraph" w:customStyle="1" w:styleId="968">
    <w:name w:val="样式 样式 四号 + 首行缩进:  1.92 字符"/>
    <w:basedOn w:val="1"/>
    <w:qFormat/>
    <w:uiPriority w:val="0"/>
    <w:pPr>
      <w:widowControl w:val="0"/>
      <w:snapToGrid w:val="0"/>
      <w:spacing w:beforeLines="25" w:line="300" w:lineRule="auto"/>
      <w:ind w:firstLine="192" w:firstLineChars="192"/>
      <w:jc w:val="both"/>
    </w:pPr>
    <w:rPr>
      <w:rFonts w:ascii="Arial Unicode MS" w:hAnsi="Arial Unicode MS" w:eastAsia="Calibri" w:cs="Calibri"/>
      <w:kern w:val="2"/>
      <w:sz w:val="28"/>
    </w:rPr>
  </w:style>
  <w:style w:type="character" w:customStyle="1" w:styleId="969">
    <w:name w:val="正文文本 Char"/>
    <w:qFormat/>
    <w:uiPriority w:val="0"/>
    <w:rPr>
      <w:kern w:val="2"/>
      <w:sz w:val="21"/>
      <w:szCs w:val="24"/>
    </w:rPr>
  </w:style>
  <w:style w:type="paragraph" w:customStyle="1" w:styleId="970">
    <w:name w:val="附录标识"/>
    <w:basedOn w:val="1"/>
    <w:next w:val="1"/>
    <w:qFormat/>
    <w:uiPriority w:val="0"/>
    <w:pPr>
      <w:keepNext/>
      <w:numPr>
        <w:ilvl w:val="0"/>
        <w:numId w:val="17"/>
      </w:numPr>
      <w:shd w:val="clear" w:color="auto" w:fill="FFFFFF"/>
      <w:tabs>
        <w:tab w:val="left" w:pos="360"/>
        <w:tab w:val="left" w:pos="6405"/>
      </w:tabs>
      <w:spacing w:before="640" w:after="280"/>
      <w:jc w:val="center"/>
      <w:outlineLvl w:val="0"/>
    </w:pPr>
    <w:rPr>
      <w:rFonts w:ascii="Verdana" w:hAnsi="Arial Unicode MS" w:eastAsia="Verdana"/>
      <w:sz w:val="21"/>
    </w:rPr>
  </w:style>
  <w:style w:type="paragraph" w:customStyle="1" w:styleId="971">
    <w:name w:val="附录二级条标题"/>
    <w:basedOn w:val="1"/>
    <w:next w:val="1"/>
    <w:qFormat/>
    <w:uiPriority w:val="0"/>
    <w:pPr>
      <w:numPr>
        <w:ilvl w:val="3"/>
        <w:numId w:val="17"/>
      </w:numPr>
      <w:tabs>
        <w:tab w:val="left" w:pos="360"/>
      </w:tabs>
      <w:wordWrap w:val="0"/>
      <w:overflowPunct w:val="0"/>
      <w:autoSpaceDE w:val="0"/>
      <w:autoSpaceDN w:val="0"/>
      <w:spacing w:beforeLines="50"/>
      <w:ind w:left="2554"/>
      <w:jc w:val="both"/>
      <w:outlineLvl w:val="3"/>
    </w:pPr>
    <w:rPr>
      <w:rFonts w:ascii="Verdana" w:hAnsi="Arial Unicode MS" w:eastAsia="Verdana"/>
      <w:kern w:val="21"/>
      <w:sz w:val="21"/>
    </w:rPr>
  </w:style>
  <w:style w:type="paragraph" w:customStyle="1" w:styleId="972">
    <w:name w:val="附录三级条标题"/>
    <w:basedOn w:val="971"/>
    <w:next w:val="1"/>
    <w:qFormat/>
    <w:uiPriority w:val="0"/>
    <w:pPr>
      <w:numPr>
        <w:ilvl w:val="4"/>
      </w:numPr>
      <w:ind w:left="2270"/>
      <w:outlineLvl w:val="4"/>
    </w:pPr>
  </w:style>
  <w:style w:type="paragraph" w:customStyle="1" w:styleId="973">
    <w:name w:val="附录四级条标题"/>
    <w:basedOn w:val="972"/>
    <w:next w:val="1"/>
    <w:qFormat/>
    <w:uiPriority w:val="0"/>
    <w:pPr>
      <w:numPr>
        <w:ilvl w:val="5"/>
      </w:numPr>
      <w:outlineLvl w:val="5"/>
    </w:pPr>
  </w:style>
  <w:style w:type="paragraph" w:customStyle="1" w:styleId="974">
    <w:name w:val="附录五级条标题"/>
    <w:basedOn w:val="973"/>
    <w:next w:val="1"/>
    <w:qFormat/>
    <w:uiPriority w:val="0"/>
    <w:pPr>
      <w:numPr>
        <w:ilvl w:val="6"/>
      </w:numPr>
      <w:outlineLvl w:val="6"/>
    </w:pPr>
  </w:style>
  <w:style w:type="paragraph" w:customStyle="1" w:styleId="975">
    <w:name w:val="附录章标题"/>
    <w:next w:val="1"/>
    <w:qFormat/>
    <w:uiPriority w:val="0"/>
    <w:pPr>
      <w:numPr>
        <w:ilvl w:val="1"/>
        <w:numId w:val="17"/>
      </w:numPr>
      <w:tabs>
        <w:tab w:val="left" w:pos="360"/>
      </w:tabs>
      <w:wordWrap w:val="0"/>
      <w:overflowPunct w:val="0"/>
      <w:autoSpaceDE w:val="0"/>
      <w:spacing w:beforeLines="100" w:after="160" w:line="278" w:lineRule="auto"/>
      <w:jc w:val="both"/>
      <w:outlineLvl w:val="1"/>
    </w:pPr>
    <w:rPr>
      <w:rFonts w:ascii="Verdana" w:hAnsi="Arial Unicode MS" w:eastAsia="Verdana" w:cs="Times New Roman"/>
      <w:kern w:val="21"/>
      <w:sz w:val="21"/>
      <w:lang w:val="en-US" w:eastAsia="zh-CN" w:bidi="ar-SA"/>
    </w:rPr>
  </w:style>
  <w:style w:type="paragraph" w:customStyle="1" w:styleId="976">
    <w:name w:val="附录一级条标题"/>
    <w:basedOn w:val="975"/>
    <w:next w:val="1"/>
    <w:qFormat/>
    <w:uiPriority w:val="0"/>
    <w:pPr>
      <w:numPr>
        <w:ilvl w:val="2"/>
      </w:numPr>
      <w:autoSpaceDN w:val="0"/>
      <w:spacing w:beforeLines="50"/>
      <w:ind w:left="1986"/>
      <w:outlineLvl w:val="2"/>
    </w:pPr>
  </w:style>
  <w:style w:type="character" w:customStyle="1" w:styleId="977">
    <w:name w:val="正文缩进 字符1"/>
    <w:qFormat/>
    <w:locked/>
    <w:uiPriority w:val="0"/>
    <w:rPr>
      <w:kern w:val="2"/>
      <w:sz w:val="21"/>
      <w:szCs w:val="24"/>
    </w:rPr>
  </w:style>
  <w:style w:type="character" w:customStyle="1" w:styleId="978">
    <w:name w:val="列出段落 Char1"/>
    <w:link w:val="979"/>
    <w:qFormat/>
    <w:uiPriority w:val="34"/>
    <w:rPr>
      <w:kern w:val="2"/>
      <w:sz w:val="24"/>
      <w:szCs w:val="24"/>
    </w:rPr>
  </w:style>
  <w:style w:type="paragraph" w:customStyle="1" w:styleId="979">
    <w:name w:val="列出段落5"/>
    <w:basedOn w:val="1"/>
    <w:link w:val="978"/>
    <w:qFormat/>
    <w:uiPriority w:val="34"/>
    <w:pPr>
      <w:spacing w:line="360" w:lineRule="auto"/>
      <w:ind w:left="62" w:firstLine="420"/>
    </w:pPr>
    <w:rPr>
      <w:kern w:val="2"/>
      <w:sz w:val="24"/>
      <w:szCs w:val="24"/>
    </w:rPr>
  </w:style>
  <w:style w:type="character" w:customStyle="1" w:styleId="980">
    <w:name w:val="正文缩进 字符2"/>
    <w:qFormat/>
    <w:uiPriority w:val="0"/>
    <w:rPr>
      <w:rFonts w:ascii="Calibri" w:hAnsi="Arial Unicode MS" w:eastAsia="Calibri" w:cs="Arial Unicode MS"/>
      <w:kern w:val="0"/>
      <w:sz w:val="20"/>
      <w:szCs w:val="20"/>
    </w:rPr>
  </w:style>
  <w:style w:type="character" w:customStyle="1" w:styleId="981">
    <w:name w:val="未处理的提及2"/>
    <w:unhideWhenUsed/>
    <w:qFormat/>
    <w:uiPriority w:val="99"/>
    <w:rPr>
      <w:color w:val="605E5C"/>
      <w:shd w:val="clear" w:color="auto" w:fill="E1DFDD"/>
    </w:rPr>
  </w:style>
  <w:style w:type="paragraph" w:customStyle="1" w:styleId="982">
    <w:name w:val="正文_2"/>
    <w:qFormat/>
    <w:uiPriority w:val="0"/>
    <w:pPr>
      <w:widowControl w:val="0"/>
      <w:spacing w:after="160" w:line="278" w:lineRule="auto"/>
      <w:jc w:val="both"/>
    </w:pPr>
    <w:rPr>
      <w:rFonts w:ascii="Times" w:hAnsi="Times" w:eastAsia="Calibri" w:cs="Times New Roman"/>
      <w:kern w:val="2"/>
      <w:sz w:val="21"/>
      <w:szCs w:val="22"/>
      <w:lang w:val="en-US" w:eastAsia="zh-CN" w:bidi="ar-SA"/>
    </w:rPr>
  </w:style>
  <w:style w:type="character" w:customStyle="1" w:styleId="983">
    <w:name w:val="未处理的提及21"/>
    <w:unhideWhenUsed/>
    <w:qFormat/>
    <w:uiPriority w:val="99"/>
    <w:rPr>
      <w:color w:val="605E5C"/>
      <w:shd w:val="clear" w:color="auto" w:fill="E1DFDD"/>
    </w:rPr>
  </w:style>
  <w:style w:type="paragraph" w:customStyle="1" w:styleId="984">
    <w:name w:val="Normal_0"/>
    <w:qFormat/>
    <w:uiPriority w:val="0"/>
    <w:pPr>
      <w:widowControl w:val="0"/>
      <w:spacing w:after="160" w:line="278" w:lineRule="auto"/>
      <w:jc w:val="both"/>
    </w:pPr>
    <w:rPr>
      <w:rFonts w:ascii="等线" w:hAnsi="等线" w:eastAsia="等线" w:cs="Times New Roman"/>
      <w:lang w:val="en-US" w:eastAsia="zh-CN" w:bidi="ar-SA"/>
    </w:rPr>
  </w:style>
  <w:style w:type="table" w:customStyle="1" w:styleId="98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986">
    <w:name w:val="*正文 字符"/>
    <w:link w:val="987"/>
    <w:qFormat/>
    <w:locked/>
    <w:uiPriority w:val="0"/>
    <w:rPr>
      <w:rFonts w:ascii="宋体" w:hAnsi="宋体"/>
      <w:sz w:val="24"/>
    </w:rPr>
  </w:style>
  <w:style w:type="paragraph" w:customStyle="1" w:styleId="987">
    <w:name w:val="*正文"/>
    <w:basedOn w:val="1"/>
    <w:link w:val="986"/>
    <w:qFormat/>
    <w:uiPriority w:val="0"/>
    <w:pPr>
      <w:widowControl w:val="0"/>
      <w:spacing w:beforeLines="50" w:line="360" w:lineRule="auto"/>
      <w:ind w:firstLine="200" w:firstLineChars="200"/>
      <w:contextualSpacing/>
      <w:jc w:val="both"/>
    </w:pPr>
    <w:rPr>
      <w:rFonts w:ascii="宋体" w:hAnsi="宋体"/>
      <w:sz w:val="24"/>
    </w:rPr>
  </w:style>
  <w:style w:type="paragraph" w:customStyle="1" w:styleId="988">
    <w:name w:val="正文 New New New"/>
    <w:qFormat/>
    <w:uiPriority w:val="0"/>
    <w:pPr>
      <w:widowControl w:val="0"/>
      <w:spacing w:after="160" w:line="278" w:lineRule="auto"/>
      <w:jc w:val="both"/>
    </w:pPr>
    <w:rPr>
      <w:rFonts w:ascii="Calibri" w:hAnsi="Calibri" w:eastAsia="宋体" w:cs="Calibri"/>
      <w:kern w:val="2"/>
      <w:sz w:val="21"/>
      <w:szCs w:val="21"/>
      <w:lang w:val="en-US" w:eastAsia="zh-CN" w:bidi="ar-SA"/>
    </w:rPr>
  </w:style>
  <w:style w:type="paragraph" w:customStyle="1" w:styleId="989">
    <w:name w:val="正文 New New New New New New New New New New New"/>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990">
    <w:name w:val="正文 New New New New New New New New New New"/>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991">
    <w:name w:val="正文 New New New New New New New New New"/>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992">
    <w:name w:val="正文 New New New New New New New New New New New New"/>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993">
    <w:name w:val="正文 New New New New New New New New New New New New New New"/>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994">
    <w:name w:val="标准书眉_偶数页"/>
    <w:basedOn w:val="1"/>
    <w:next w:val="1"/>
    <w:qFormat/>
    <w:uiPriority w:val="0"/>
    <w:pPr>
      <w:tabs>
        <w:tab w:val="center" w:pos="4154"/>
        <w:tab w:val="right" w:pos="8306"/>
      </w:tabs>
      <w:spacing w:after="120"/>
    </w:pPr>
    <w:rPr>
      <w:sz w:val="21"/>
    </w:rPr>
  </w:style>
  <w:style w:type="paragraph" w:customStyle="1" w:styleId="995">
    <w:name w:val="标准书眉一"/>
    <w:qFormat/>
    <w:uiPriority w:val="0"/>
    <w:pPr>
      <w:spacing w:after="160" w:line="278" w:lineRule="auto"/>
      <w:jc w:val="both"/>
    </w:pPr>
    <w:rPr>
      <w:rFonts w:ascii="Times New Roman" w:hAnsi="Times New Roman" w:eastAsia="宋体" w:cs="Times New Roman"/>
      <w:lang w:val="en-US" w:eastAsia="zh-CN" w:bidi="ar-SA"/>
    </w:rPr>
  </w:style>
  <w:style w:type="paragraph" w:customStyle="1" w:styleId="996">
    <w:name w:val="修订6"/>
    <w:hidden/>
    <w:semiHidden/>
    <w:qFormat/>
    <w:uiPriority w:val="99"/>
    <w:pPr>
      <w:spacing w:after="160" w:line="278" w:lineRule="auto"/>
    </w:pPr>
    <w:rPr>
      <w:rFonts w:ascii="Times New Roman" w:hAnsi="Times New Roman" w:eastAsia="宋体" w:cs="Times New Roman"/>
      <w:lang w:val="en-US" w:eastAsia="zh-CN" w:bidi="ar-SA"/>
    </w:rPr>
  </w:style>
  <w:style w:type="paragraph" w:customStyle="1" w:styleId="997">
    <w:name w:val="修订7"/>
    <w:hidden/>
    <w:unhideWhenUsed/>
    <w:uiPriority w:val="99"/>
    <w:pPr>
      <w:spacing w:after="160" w:line="278" w:lineRule="auto"/>
    </w:pPr>
    <w:rPr>
      <w:rFonts w:ascii="Times New Roman" w:hAnsi="Times New Roman" w:eastAsia="宋体" w:cs="Times New Roman"/>
      <w:lang w:val="en-US" w:eastAsia="zh-CN" w:bidi="ar-SA"/>
    </w:rPr>
  </w:style>
  <w:style w:type="paragraph" w:customStyle="1" w:styleId="998">
    <w:name w:val="修订8"/>
    <w:hidden/>
    <w:unhideWhenUsed/>
    <w:uiPriority w:val="99"/>
    <w:rPr>
      <w:rFonts w:ascii="Times New Roman" w:hAnsi="Times New Roman" w:eastAsia="宋体" w:cs="Times New Roman"/>
      <w:lang w:val="en-US" w:eastAsia="zh-CN" w:bidi="ar-SA"/>
    </w:rPr>
  </w:style>
  <w:style w:type="paragraph" w:customStyle="1" w:styleId="999">
    <w:name w:val="Revision"/>
    <w:hidden/>
    <w:unhideWhenUsed/>
    <w:uiPriority w:val="99"/>
    <w:rPr>
      <w:rFonts w:ascii="Times New Roman" w:hAnsi="Times New Roman" w:eastAsia="宋体" w:cs="Times New Roman"/>
      <w:lang w:val="en-US" w:eastAsia="zh-CN" w:bidi="ar-SA"/>
    </w:rPr>
  </w:style>
  <w:style w:type="paragraph" w:customStyle="1" w:styleId="1000">
    <w:name w:val="msonormal"/>
    <w:basedOn w:val="1"/>
    <w:uiPriority w:val="0"/>
    <w:pPr>
      <w:spacing w:before="100" w:beforeAutospacing="1" w:after="100" w:afterAutospacing="1" w:line="240" w:lineRule="auto"/>
    </w:pPr>
    <w:rPr>
      <w:rFonts w:ascii="宋体" w:hAnsi="宋体" w:cs="宋体"/>
      <w:sz w:val="24"/>
      <w:szCs w:val="24"/>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microsoft.com/office/2006/relationships/keyMapCustomizations" Target="customizations.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wmf"/><Relationship Id="rId23" Type="http://schemas.openxmlformats.org/officeDocument/2006/relationships/oleObject" Target="embeddings/oleObject4.bin"/><Relationship Id="rId22" Type="http://schemas.openxmlformats.org/officeDocument/2006/relationships/image" Target="media/image3.wmf"/><Relationship Id="rId21" Type="http://schemas.openxmlformats.org/officeDocument/2006/relationships/oleObject" Target="embeddings/oleObject3.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w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8B084-6CFF-443D-B492-FDD32A5AB8F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157</Pages>
  <Words>10234</Words>
  <Characters>11176</Characters>
  <Lines>860</Lines>
  <Paragraphs>242</Paragraphs>
  <TotalTime>2</TotalTime>
  <ScaleCrop>false</ScaleCrop>
  <LinksUpToDate>false</LinksUpToDate>
  <CharactersWithSpaces>11402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2024-06-04T01:14:00Z</dcterms:created>
  <dc:creator>lvshi</dc:creator>
  <cp:lastModifiedBy>能吃瘦</cp:lastModifiedBy>
  <cp:lastPrinted>2022-03-17T17:34:00Z</cp:lastPrinted>
  <dcterms:modified xsi:type="dcterms:W3CDTF">2025-02-06T02:12:24Z</dcterms:modified>
  <dc:title>备案号：</dc:title>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D3606962337345E2A62BC9B622AA0D03_13</vt:lpwstr>
  </property>
  <property fmtid="{D5CDD505-2E9C-101B-9397-08002B2CF9AE}" pid="4" name="KSOTemplateDocerSaveRecord">
    <vt:lpwstr>eyJoZGlkIjoiZTc4MDg5NmFhYzU5ZDY4MWU3ZDZjY2M5YjllNTY3ZmUiLCJ1c2VySWQiOiIxMjQyNDI0MTk4In0=</vt:lpwstr>
  </property>
</Properties>
</file>