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59249">
      <w:pPr>
        <w:pStyle w:val="4"/>
        <w:ind w:left="63" w:right="63"/>
        <w:rPr>
          <w:rFonts w:hint="eastAsia" w:ascii="宋体" w:hAnsi="宋体" w:eastAsia="宋体" w:cstheme="majorEastAsia"/>
          <w:kern w:val="0"/>
          <w:sz w:val="44"/>
          <w:szCs w:val="44"/>
        </w:rPr>
      </w:pPr>
      <w:r>
        <w:rPr>
          <w:rFonts w:hint="eastAsia" w:ascii="宋体" w:hAnsi="宋体" w:eastAsia="宋体" w:cstheme="majorEastAsia"/>
          <w:kern w:val="0"/>
          <w:sz w:val="44"/>
          <w:szCs w:val="44"/>
        </w:rPr>
        <w:t>采购框架协议</w:t>
      </w:r>
    </w:p>
    <w:p w14:paraId="4619C380">
      <w:pPr>
        <w:rPr>
          <w:rFonts w:hint="eastAsia" w:ascii="宋体" w:hAnsi="宋体" w:eastAsia="宋体"/>
        </w:rPr>
      </w:pPr>
    </w:p>
    <w:p w14:paraId="656DDC31">
      <w:pPr>
        <w:rPr>
          <w:rFonts w:hint="eastAsia" w:ascii="宋体" w:hAnsi="宋体" w:eastAsia="宋体" w:cs="宋体"/>
          <w:b/>
          <w:sz w:val="24"/>
          <w:szCs w:val="24"/>
        </w:rPr>
      </w:pPr>
      <w:r>
        <w:rPr>
          <w:rFonts w:hint="eastAsia" w:ascii="宋体" w:hAnsi="宋体" w:eastAsia="宋体" w:cs="宋体"/>
          <w:b/>
          <w:sz w:val="24"/>
          <w:szCs w:val="24"/>
        </w:rPr>
        <w:t>甲方：</w:t>
      </w:r>
      <w:r>
        <w:rPr>
          <w:rFonts w:hint="eastAsia" w:ascii="宋体" w:hAnsi="宋体" w:eastAsia="宋体" w:cs="宋体"/>
          <w:b/>
          <w:bCs/>
          <w:sz w:val="24"/>
          <w:szCs w:val="24"/>
        </w:rPr>
        <w:t>北京先进数通信息技术股份公司</w:t>
      </w:r>
    </w:p>
    <w:p w14:paraId="42A523B6">
      <w:pPr>
        <w:rPr>
          <w:rFonts w:hint="eastAsia" w:ascii="宋体" w:hAnsi="宋体" w:eastAsia="宋体" w:cs="宋体"/>
          <w:sz w:val="24"/>
          <w:szCs w:val="24"/>
        </w:rPr>
      </w:pPr>
      <w:r>
        <w:rPr>
          <w:rFonts w:hint="eastAsia" w:ascii="宋体" w:hAnsi="宋体" w:eastAsia="宋体" w:cs="宋体"/>
          <w:sz w:val="24"/>
          <w:szCs w:val="24"/>
        </w:rPr>
        <w:t>住所地：</w:t>
      </w:r>
      <w:r>
        <w:rPr>
          <w:rFonts w:hint="eastAsia" w:ascii="宋体" w:hAnsi="宋体" w:eastAsia="宋体" w:cs="宋体"/>
          <w:bCs/>
          <w:sz w:val="24"/>
          <w:szCs w:val="24"/>
        </w:rPr>
        <w:t>北京市海淀区车道沟1号4号楼6层601-604室</w:t>
      </w:r>
    </w:p>
    <w:p w14:paraId="5457C3C6">
      <w:pPr>
        <w:rPr>
          <w:rFonts w:hint="eastAsia" w:ascii="宋体" w:hAnsi="宋体" w:eastAsia="宋体" w:cs="宋体"/>
          <w:sz w:val="24"/>
          <w:szCs w:val="24"/>
        </w:rPr>
      </w:pPr>
      <w:r>
        <w:rPr>
          <w:rFonts w:hint="eastAsia" w:ascii="宋体" w:hAnsi="宋体" w:eastAsia="宋体" w:cs="宋体"/>
          <w:sz w:val="24"/>
          <w:szCs w:val="24"/>
        </w:rPr>
        <w:t>法定代表人：李铠</w:t>
      </w:r>
    </w:p>
    <w:p w14:paraId="45FE67C8">
      <w:pPr>
        <w:rPr>
          <w:rFonts w:hint="eastAsia" w:ascii="宋体" w:hAnsi="宋体" w:eastAsia="宋体" w:cs="宋体"/>
          <w:color w:val="000000"/>
          <w:sz w:val="24"/>
          <w:szCs w:val="24"/>
        </w:rPr>
      </w:pPr>
      <w:r>
        <w:rPr>
          <w:rFonts w:hint="eastAsia" w:ascii="宋体" w:hAnsi="宋体" w:eastAsia="宋体" w:cs="宋体"/>
          <w:color w:val="000000"/>
          <w:sz w:val="24"/>
          <w:szCs w:val="24"/>
        </w:rPr>
        <w:t>项目联系人：李可</w:t>
      </w:r>
    </w:p>
    <w:p w14:paraId="4BE0503A">
      <w:pPr>
        <w:rPr>
          <w:rFonts w:hint="eastAsia" w:ascii="宋体" w:hAnsi="宋体" w:eastAsia="宋体" w:cs="宋体"/>
          <w:sz w:val="24"/>
          <w:szCs w:val="24"/>
        </w:rPr>
      </w:pPr>
      <w:r>
        <w:rPr>
          <w:rFonts w:hint="eastAsia" w:ascii="宋体" w:hAnsi="宋体" w:eastAsia="宋体" w:cs="宋体"/>
          <w:sz w:val="24"/>
          <w:szCs w:val="24"/>
        </w:rPr>
        <w:t>联系方式：18803646571</w:t>
      </w:r>
    </w:p>
    <w:p w14:paraId="7772A279">
      <w:pPr>
        <w:tabs>
          <w:tab w:val="left" w:pos="8100"/>
          <w:tab w:val="left" w:pos="8280"/>
        </w:tabs>
        <w:jc w:val="left"/>
        <w:rPr>
          <w:rFonts w:hint="eastAsia" w:ascii="宋体" w:hAnsi="宋体" w:eastAsia="宋体" w:cs="宋体"/>
          <w:b/>
          <w:sz w:val="24"/>
          <w:szCs w:val="24"/>
        </w:rPr>
      </w:pPr>
    </w:p>
    <w:p w14:paraId="03D00142">
      <w:pPr>
        <w:tabs>
          <w:tab w:val="left" w:pos="8100"/>
          <w:tab w:val="left" w:pos="8280"/>
        </w:tabs>
        <w:jc w:val="left"/>
        <w:rPr>
          <w:rFonts w:hint="eastAsia" w:ascii="宋体" w:hAnsi="宋体" w:eastAsia="宋体" w:cs="宋体"/>
          <w:b/>
          <w:sz w:val="24"/>
          <w:szCs w:val="24"/>
        </w:rPr>
      </w:pPr>
      <w:r>
        <w:rPr>
          <w:rFonts w:hint="eastAsia" w:ascii="宋体" w:hAnsi="宋体" w:eastAsia="宋体" w:cs="宋体"/>
          <w:b/>
          <w:sz w:val="24"/>
          <w:szCs w:val="24"/>
        </w:rPr>
        <w:t>乙方：</w:t>
      </w:r>
      <w:r>
        <w:rPr>
          <w:rFonts w:hint="eastAsia" w:ascii="宋体" w:hAnsi="宋体" w:eastAsia="宋体" w:cs="宋体"/>
          <w:b/>
          <w:bCs/>
          <w:sz w:val="24"/>
          <w:szCs w:val="24"/>
        </w:rPr>
        <w:t>北</w:t>
      </w:r>
      <w:r>
        <w:rPr>
          <w:rFonts w:hint="eastAsia" w:ascii="宋体" w:hAnsi="宋体" w:eastAsia="宋体" w:cs="宋体"/>
          <w:b/>
          <w:sz w:val="24"/>
          <w:szCs w:val="24"/>
        </w:rPr>
        <w:t>京创联致信科技有限公司</w:t>
      </w:r>
    </w:p>
    <w:p w14:paraId="5DCCF9D8">
      <w:pPr>
        <w:rPr>
          <w:rFonts w:hint="eastAsia" w:ascii="宋体" w:hAnsi="宋体" w:eastAsia="宋体" w:cs="宋体"/>
          <w:sz w:val="24"/>
          <w:szCs w:val="24"/>
        </w:rPr>
      </w:pPr>
      <w:r>
        <w:rPr>
          <w:rFonts w:hint="eastAsia" w:ascii="宋体" w:hAnsi="宋体" w:eastAsia="宋体" w:cs="宋体"/>
          <w:sz w:val="24"/>
          <w:szCs w:val="24"/>
        </w:rPr>
        <w:t>住所地：北京市朝阳区小营北路19号二层206室</w:t>
      </w:r>
    </w:p>
    <w:p w14:paraId="1B99CE81">
      <w:pPr>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b/>
          <w:bCs/>
          <w:sz w:val="24"/>
          <w:szCs w:val="24"/>
        </w:rPr>
        <w:t>蔡建</w:t>
      </w:r>
    </w:p>
    <w:p w14:paraId="7693E814">
      <w:pPr>
        <w:rPr>
          <w:rFonts w:hint="eastAsia" w:ascii="宋体" w:hAnsi="宋体" w:eastAsia="宋体" w:cs="宋体"/>
          <w:sz w:val="24"/>
          <w:szCs w:val="24"/>
        </w:rPr>
      </w:pPr>
      <w:r>
        <w:rPr>
          <w:rFonts w:hint="eastAsia" w:ascii="宋体" w:hAnsi="宋体" w:eastAsia="宋体" w:cs="宋体"/>
          <w:sz w:val="24"/>
          <w:szCs w:val="24"/>
        </w:rPr>
        <w:t>项目联系人：刘建军</w:t>
      </w:r>
    </w:p>
    <w:p w14:paraId="233B3078">
      <w:pPr>
        <w:rPr>
          <w:rFonts w:hint="eastAsia" w:ascii="宋体" w:hAnsi="宋体" w:eastAsia="宋体" w:cs="宋体"/>
          <w:sz w:val="24"/>
          <w:szCs w:val="24"/>
        </w:rPr>
      </w:pPr>
      <w:r>
        <w:rPr>
          <w:rFonts w:hint="eastAsia" w:ascii="宋体" w:hAnsi="宋体" w:eastAsia="宋体" w:cs="宋体"/>
          <w:sz w:val="24"/>
          <w:szCs w:val="24"/>
        </w:rPr>
        <w:t>联系方式： 13910969460</w:t>
      </w:r>
    </w:p>
    <w:p w14:paraId="30BF1FF8">
      <w:pPr>
        <w:rPr>
          <w:rFonts w:hint="eastAsia" w:ascii="宋体" w:hAnsi="宋体" w:eastAsia="宋体" w:cs="宋体"/>
          <w:sz w:val="24"/>
          <w:szCs w:val="24"/>
        </w:rPr>
      </w:pPr>
      <w:r>
        <w:rPr>
          <w:rFonts w:hint="eastAsia" w:ascii="宋体" w:hAnsi="宋体" w:eastAsia="宋体" w:cs="宋体"/>
          <w:sz w:val="24"/>
          <w:szCs w:val="24"/>
        </w:rPr>
        <w:t>地址：北京市朝阳区小营北路19号二层206室</w:t>
      </w:r>
    </w:p>
    <w:p w14:paraId="3CA702D2">
      <w:pPr>
        <w:pStyle w:val="4"/>
        <w:ind w:left="63" w:right="63"/>
        <w:rPr>
          <w:rFonts w:hint="eastAsia" w:ascii="宋体" w:hAnsi="宋体" w:eastAsia="宋体"/>
        </w:rPr>
      </w:pPr>
    </w:p>
    <w:p w14:paraId="1DCFF5D2">
      <w:pPr>
        <w:widowControl/>
        <w:adjustRightInd w:val="0"/>
        <w:ind w:firstLine="360" w:firstLineChars="150"/>
        <w:rPr>
          <w:rFonts w:hint="eastAsia" w:ascii="宋体" w:hAnsi="宋体" w:eastAsia="宋体" w:cs="宋体"/>
          <w:bCs/>
          <w:kern w:val="0"/>
          <w:sz w:val="24"/>
          <w:szCs w:val="24"/>
        </w:rPr>
      </w:pPr>
      <w:r>
        <w:rPr>
          <w:rFonts w:hint="eastAsia" w:ascii="宋体" w:hAnsi="宋体" w:eastAsia="宋体" w:cs="宋体"/>
          <w:bCs/>
          <w:kern w:val="0"/>
          <w:sz w:val="24"/>
          <w:szCs w:val="24"/>
        </w:rPr>
        <w:t>根据《中华人民共和国民法典》等相关法律法规的规定，协议双方就甲方向乙方采购事宜协商达成一致，订立本协议（以下亦称“合同”）。</w:t>
      </w:r>
    </w:p>
    <w:p w14:paraId="5B9B7A9C">
      <w:pPr>
        <w:pStyle w:val="7"/>
        <w:numPr>
          <w:ilvl w:val="0"/>
          <w:numId w:val="1"/>
        </w:numPr>
        <w:spacing w:line="240" w:lineRule="auto"/>
        <w:rPr>
          <w:rFonts w:hint="eastAsia" w:ascii="宋体" w:hAnsi="宋体" w:eastAsia="宋体" w:cs="宋体"/>
          <w:sz w:val="24"/>
          <w:szCs w:val="24"/>
        </w:rPr>
      </w:pPr>
      <w:r>
        <w:rPr>
          <w:rFonts w:hint="eastAsia" w:ascii="宋体" w:hAnsi="宋体" w:eastAsia="宋体" w:cs="宋体"/>
          <w:sz w:val="24"/>
          <w:szCs w:val="24"/>
        </w:rPr>
        <w:t>定义</w:t>
      </w:r>
    </w:p>
    <w:p w14:paraId="791CF533">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1.技术服务人员：是指由乙方派遣到甲方工作的、符合甲方要求的技术服务人员。</w:t>
      </w:r>
    </w:p>
    <w:p w14:paraId="304B5288">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2.协议单价：包括在项目开发、测试、培训、实施、维护过程中，乙方为甲方提供技术服务以保障甲方的需求得到实现的每个技术服务人员所应支付的所有费用，以及乙方及其每个技术服务人员履行保密义务的费用。</w:t>
      </w:r>
    </w:p>
    <w:p w14:paraId="06162171">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3.除有特别说明外，“天”、“日”指日历日，1人月等于22人天，1人天等于8小时。</w:t>
      </w:r>
    </w:p>
    <w:p w14:paraId="4544AC9D">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4.知识产权：是指专利、非专利技术、著作权、外观设计、商标等权利。不论上述知识产权是否已注册，也不论是在任何国家或地区注册。</w:t>
      </w:r>
    </w:p>
    <w:p w14:paraId="769EE916">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5.商业秘密：是指因本合同的签订及履行，任何一方知悉的对方的技术信息、经营信息、客户资料、业务数据等企业信息。</w:t>
      </w:r>
    </w:p>
    <w:p w14:paraId="04421492">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6.不可抗力：是指地震、洪水、火灾、战争、暴乱、政府行为等不能预见、不能避免并不能克服的，影响合同全部或部分履行的客观情况。</w:t>
      </w:r>
    </w:p>
    <w:p w14:paraId="4430A6AA">
      <w:pPr>
        <w:pStyle w:val="7"/>
        <w:numPr>
          <w:ilvl w:val="0"/>
          <w:numId w:val="1"/>
        </w:numPr>
        <w:spacing w:line="240" w:lineRule="auto"/>
        <w:rPr>
          <w:rFonts w:hint="eastAsia" w:ascii="宋体" w:hAnsi="宋体" w:eastAsia="宋体" w:cs="宋体"/>
          <w:sz w:val="24"/>
          <w:szCs w:val="24"/>
        </w:rPr>
      </w:pPr>
      <w:r>
        <w:rPr>
          <w:rFonts w:hint="eastAsia" w:ascii="宋体" w:hAnsi="宋体" w:eastAsia="宋体" w:cs="宋体"/>
          <w:sz w:val="24"/>
          <w:szCs w:val="24"/>
        </w:rPr>
        <w:t>合同有效期</w:t>
      </w:r>
    </w:p>
    <w:p w14:paraId="2C5B664A">
      <w:pPr>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本合同约定的服务期限：2023年11月1日 至 2024年12月31日。合作到期后未履行完毕的服务，仍应按照本协议继续履行。</w:t>
      </w:r>
    </w:p>
    <w:p w14:paraId="790EB2DB">
      <w:pPr>
        <w:pStyle w:val="7"/>
        <w:numPr>
          <w:ilvl w:val="0"/>
          <w:numId w:val="1"/>
        </w:numPr>
        <w:spacing w:line="240" w:lineRule="auto"/>
        <w:rPr>
          <w:rFonts w:hint="eastAsia" w:ascii="宋体" w:hAnsi="宋体" w:eastAsia="宋体" w:cs="宋体"/>
          <w:sz w:val="24"/>
          <w:szCs w:val="24"/>
        </w:rPr>
      </w:pPr>
      <w:r>
        <w:rPr>
          <w:rFonts w:hint="eastAsia" w:ascii="宋体" w:hAnsi="宋体" w:eastAsia="宋体" w:cs="宋体"/>
          <w:sz w:val="24"/>
          <w:szCs w:val="24"/>
        </w:rPr>
        <w:t>服务内容、价格及付款方式</w:t>
      </w:r>
    </w:p>
    <w:p w14:paraId="21F47327">
      <w:pPr>
        <w:pStyle w:val="16"/>
        <w:numPr>
          <w:ilvl w:val="0"/>
          <w:numId w:val="2"/>
        </w:numPr>
        <w:ind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服务内容和价格</w:t>
      </w:r>
    </w:p>
    <w:p w14:paraId="78B4335B">
      <w:pPr>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鉴于乙方具备服务烟草行业的能力、条件及专门的技术知识，在合同有效期内，甲方根据自身需求，向乙方提出软件及人力资源需求，原则上每个卷烟厂采购1套盒条件关联管理系统，人力资源根据各卷烟厂实施规模配备技术服务人员。各服务内容协议单价如下：</w:t>
      </w:r>
    </w:p>
    <w:tbl>
      <w:tblPr>
        <w:tblStyle w:val="12"/>
        <w:tblW w:w="4353" w:type="pct"/>
        <w:jc w:val="center"/>
        <w:tblLayout w:type="fixed"/>
        <w:tblCellMar>
          <w:top w:w="0" w:type="dxa"/>
          <w:left w:w="108" w:type="dxa"/>
          <w:bottom w:w="0" w:type="dxa"/>
          <w:right w:w="108" w:type="dxa"/>
        </w:tblCellMar>
      </w:tblPr>
      <w:tblGrid>
        <w:gridCol w:w="932"/>
        <w:gridCol w:w="2976"/>
        <w:gridCol w:w="1756"/>
        <w:gridCol w:w="1756"/>
      </w:tblGrid>
      <w:tr w14:paraId="02D31E4E">
        <w:tblPrEx>
          <w:tblCellMar>
            <w:top w:w="0" w:type="dxa"/>
            <w:left w:w="108" w:type="dxa"/>
            <w:bottom w:w="0" w:type="dxa"/>
            <w:right w:w="108" w:type="dxa"/>
          </w:tblCellMar>
        </w:tblPrEx>
        <w:trPr>
          <w:trHeight w:val="300" w:hRule="atLeast"/>
          <w:jc w:val="center"/>
        </w:trPr>
        <w:tc>
          <w:tcPr>
            <w:tcW w:w="9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0630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28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14244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名称</w:t>
            </w:r>
          </w:p>
        </w:tc>
        <w:tc>
          <w:tcPr>
            <w:tcW w:w="170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4B7E54">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单价(RMB元)</w:t>
            </w:r>
          </w:p>
        </w:tc>
        <w:tc>
          <w:tcPr>
            <w:tcW w:w="1707" w:type="dxa"/>
            <w:tcBorders>
              <w:top w:val="single" w:color="000000" w:sz="8" w:space="0"/>
              <w:left w:val="single" w:color="000000" w:sz="8" w:space="0"/>
              <w:bottom w:val="single" w:color="000000" w:sz="8" w:space="0"/>
              <w:right w:val="single" w:color="000000" w:sz="8" w:space="0"/>
            </w:tcBorders>
          </w:tcPr>
          <w:p w14:paraId="5EC3439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税率</w:t>
            </w:r>
          </w:p>
        </w:tc>
      </w:tr>
      <w:tr w14:paraId="6E6D20C7">
        <w:tblPrEx>
          <w:tblCellMar>
            <w:top w:w="0" w:type="dxa"/>
            <w:left w:w="108" w:type="dxa"/>
            <w:bottom w:w="0" w:type="dxa"/>
            <w:right w:w="108" w:type="dxa"/>
          </w:tblCellMar>
        </w:tblPrEx>
        <w:trPr>
          <w:trHeight w:val="43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14:paraId="783E38CD">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2894" w:type="dxa"/>
            <w:tcBorders>
              <w:top w:val="nil"/>
              <w:left w:val="single" w:color="000000" w:sz="8" w:space="0"/>
              <w:bottom w:val="single" w:color="000000" w:sz="8" w:space="0"/>
              <w:right w:val="single" w:color="000000" w:sz="8" w:space="0"/>
            </w:tcBorders>
            <w:shd w:val="clear" w:color="auto" w:fill="auto"/>
            <w:vAlign w:val="center"/>
          </w:tcPr>
          <w:p w14:paraId="0615FF99">
            <w:pPr>
              <w:widowControl/>
              <w:jc w:val="left"/>
              <w:textAlignment w:val="center"/>
              <w:rPr>
                <w:rFonts w:hint="eastAsia" w:ascii="宋体" w:hAnsi="宋体" w:eastAsia="宋体" w:cs="宋体"/>
                <w:color w:val="000000"/>
                <w:szCs w:val="21"/>
              </w:rPr>
            </w:pPr>
            <w:bookmarkStart w:id="0" w:name="_Hlk190275133"/>
            <w:r>
              <w:rPr>
                <w:rFonts w:hint="eastAsia" w:ascii="宋体" w:hAnsi="宋体" w:eastAsia="宋体" w:cs="宋体"/>
                <w:color w:val="000000"/>
                <w:kern w:val="0"/>
                <w:szCs w:val="21"/>
                <w:lang w:bidi="ar"/>
              </w:rPr>
              <w:t>盒条件关联管理系统</w:t>
            </w:r>
            <w:bookmarkEnd w:id="0"/>
          </w:p>
        </w:tc>
        <w:tc>
          <w:tcPr>
            <w:tcW w:w="1707" w:type="dxa"/>
            <w:tcBorders>
              <w:top w:val="nil"/>
              <w:left w:val="single" w:color="000000" w:sz="8" w:space="0"/>
              <w:bottom w:val="single" w:color="000000" w:sz="8" w:space="0"/>
              <w:right w:val="single" w:color="000000" w:sz="8" w:space="0"/>
            </w:tcBorders>
            <w:shd w:val="clear" w:color="auto" w:fill="auto"/>
            <w:vAlign w:val="center"/>
          </w:tcPr>
          <w:p w14:paraId="5AB345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￥130,695.00</w:t>
            </w:r>
          </w:p>
        </w:tc>
        <w:tc>
          <w:tcPr>
            <w:tcW w:w="1707" w:type="dxa"/>
            <w:tcBorders>
              <w:top w:val="nil"/>
              <w:left w:val="single" w:color="000000" w:sz="8" w:space="0"/>
              <w:bottom w:val="single" w:color="000000" w:sz="8" w:space="0"/>
              <w:right w:val="single" w:color="000000" w:sz="8" w:space="0"/>
            </w:tcBorders>
          </w:tcPr>
          <w:p w14:paraId="4CDB529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r>
      <w:tr w14:paraId="3EF6A6A7">
        <w:tblPrEx>
          <w:tblCellMar>
            <w:top w:w="0" w:type="dxa"/>
            <w:left w:w="108" w:type="dxa"/>
            <w:bottom w:w="0" w:type="dxa"/>
            <w:right w:w="108" w:type="dxa"/>
          </w:tblCellMar>
        </w:tblPrEx>
        <w:trPr>
          <w:trHeight w:val="430" w:hRule="atLeast"/>
          <w:jc w:val="center"/>
        </w:trPr>
        <w:tc>
          <w:tcPr>
            <w:tcW w:w="906" w:type="dxa"/>
            <w:tcBorders>
              <w:top w:val="nil"/>
              <w:left w:val="single" w:color="000000" w:sz="8" w:space="0"/>
              <w:bottom w:val="single" w:color="000000" w:sz="8" w:space="0"/>
              <w:right w:val="single" w:color="000000" w:sz="8" w:space="0"/>
            </w:tcBorders>
            <w:shd w:val="clear" w:color="auto" w:fill="auto"/>
            <w:vAlign w:val="center"/>
          </w:tcPr>
          <w:p w14:paraId="08AFAB8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2894" w:type="dxa"/>
            <w:tcBorders>
              <w:top w:val="nil"/>
              <w:left w:val="single" w:color="000000" w:sz="8" w:space="0"/>
              <w:bottom w:val="single" w:color="000000" w:sz="8" w:space="0"/>
              <w:right w:val="single" w:color="000000" w:sz="8" w:space="0"/>
            </w:tcBorders>
            <w:shd w:val="clear" w:color="auto" w:fill="auto"/>
            <w:vAlign w:val="center"/>
          </w:tcPr>
          <w:p w14:paraId="5652F01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软件工程师</w:t>
            </w:r>
          </w:p>
        </w:tc>
        <w:tc>
          <w:tcPr>
            <w:tcW w:w="1707" w:type="dxa"/>
            <w:tcBorders>
              <w:top w:val="nil"/>
              <w:left w:val="single" w:color="000000" w:sz="8" w:space="0"/>
              <w:bottom w:val="single" w:color="000000" w:sz="8" w:space="0"/>
              <w:right w:val="single" w:color="000000" w:sz="8" w:space="0"/>
            </w:tcBorders>
            <w:shd w:val="clear" w:color="auto" w:fill="auto"/>
            <w:vAlign w:val="center"/>
          </w:tcPr>
          <w:p w14:paraId="7E8B12D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￥29,000.00</w:t>
            </w:r>
          </w:p>
        </w:tc>
        <w:tc>
          <w:tcPr>
            <w:tcW w:w="1707" w:type="dxa"/>
            <w:tcBorders>
              <w:top w:val="nil"/>
              <w:left w:val="single" w:color="000000" w:sz="8" w:space="0"/>
              <w:bottom w:val="single" w:color="000000" w:sz="8" w:space="0"/>
              <w:right w:val="single" w:color="000000" w:sz="8" w:space="0"/>
            </w:tcBorders>
          </w:tcPr>
          <w:p w14:paraId="03ABED1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r w14:paraId="5FE8B296">
        <w:tblPrEx>
          <w:tblCellMar>
            <w:top w:w="0" w:type="dxa"/>
            <w:left w:w="108" w:type="dxa"/>
            <w:bottom w:w="0" w:type="dxa"/>
            <w:right w:w="108" w:type="dxa"/>
          </w:tblCellMar>
        </w:tblPrEx>
        <w:trPr>
          <w:trHeight w:val="430" w:hRule="atLeast"/>
          <w:jc w:val="center"/>
        </w:trPr>
        <w:tc>
          <w:tcPr>
            <w:tcW w:w="906" w:type="dxa"/>
            <w:tcBorders>
              <w:top w:val="nil"/>
              <w:left w:val="single" w:color="000000" w:sz="8" w:space="0"/>
              <w:bottom w:val="single" w:color="auto" w:sz="4" w:space="0"/>
              <w:right w:val="single" w:color="000000" w:sz="8" w:space="0"/>
            </w:tcBorders>
            <w:shd w:val="clear" w:color="auto" w:fill="auto"/>
            <w:vAlign w:val="center"/>
          </w:tcPr>
          <w:p w14:paraId="7342EFD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2894" w:type="dxa"/>
            <w:tcBorders>
              <w:top w:val="nil"/>
              <w:left w:val="single" w:color="000000" w:sz="8" w:space="0"/>
              <w:bottom w:val="single" w:color="auto" w:sz="4" w:space="0"/>
              <w:right w:val="single" w:color="000000" w:sz="8" w:space="0"/>
            </w:tcBorders>
            <w:shd w:val="clear" w:color="auto" w:fill="auto"/>
            <w:vAlign w:val="center"/>
          </w:tcPr>
          <w:p w14:paraId="69F899F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电气工程师</w:t>
            </w:r>
          </w:p>
        </w:tc>
        <w:tc>
          <w:tcPr>
            <w:tcW w:w="1707" w:type="dxa"/>
            <w:tcBorders>
              <w:top w:val="nil"/>
              <w:left w:val="single" w:color="000000" w:sz="8" w:space="0"/>
              <w:bottom w:val="single" w:color="auto" w:sz="4" w:space="0"/>
              <w:right w:val="single" w:color="000000" w:sz="8" w:space="0"/>
            </w:tcBorders>
            <w:shd w:val="clear" w:color="auto" w:fill="auto"/>
            <w:vAlign w:val="center"/>
          </w:tcPr>
          <w:p w14:paraId="2CD3181B">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￥25,000.00</w:t>
            </w:r>
          </w:p>
        </w:tc>
        <w:tc>
          <w:tcPr>
            <w:tcW w:w="1707" w:type="dxa"/>
            <w:tcBorders>
              <w:top w:val="nil"/>
              <w:left w:val="single" w:color="000000" w:sz="8" w:space="0"/>
              <w:bottom w:val="single" w:color="auto" w:sz="4" w:space="0"/>
              <w:right w:val="single" w:color="000000" w:sz="8" w:space="0"/>
            </w:tcBorders>
          </w:tcPr>
          <w:p w14:paraId="00298AB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r w14:paraId="2A1B758A">
        <w:tblPrEx>
          <w:tblCellMar>
            <w:top w:w="0" w:type="dxa"/>
            <w:left w:w="108" w:type="dxa"/>
            <w:bottom w:w="0" w:type="dxa"/>
            <w:right w:w="108" w:type="dxa"/>
          </w:tblCellMar>
        </w:tblPrEx>
        <w:trPr>
          <w:trHeight w:val="536"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6B8F5233">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2894" w:type="dxa"/>
            <w:tcBorders>
              <w:top w:val="single" w:color="auto" w:sz="4" w:space="0"/>
              <w:left w:val="single" w:color="auto" w:sz="4" w:space="0"/>
              <w:bottom w:val="single" w:color="auto" w:sz="4" w:space="0"/>
              <w:right w:val="single" w:color="auto" w:sz="4" w:space="0"/>
            </w:tcBorders>
            <w:shd w:val="clear" w:color="auto" w:fill="auto"/>
            <w:vAlign w:val="center"/>
          </w:tcPr>
          <w:p w14:paraId="74515B8C">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机械工程师</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6460932E">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￥19,000.00</w:t>
            </w:r>
          </w:p>
        </w:tc>
        <w:tc>
          <w:tcPr>
            <w:tcW w:w="1707" w:type="dxa"/>
            <w:tcBorders>
              <w:top w:val="single" w:color="auto" w:sz="4" w:space="0"/>
              <w:left w:val="single" w:color="auto" w:sz="4" w:space="0"/>
              <w:bottom w:val="single" w:color="auto" w:sz="4" w:space="0"/>
              <w:right w:val="single" w:color="auto" w:sz="4" w:space="0"/>
            </w:tcBorders>
          </w:tcPr>
          <w:p w14:paraId="3DEFB81F">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r w14:paraId="21318927">
        <w:tblPrEx>
          <w:tblCellMar>
            <w:top w:w="0" w:type="dxa"/>
            <w:left w:w="108" w:type="dxa"/>
            <w:bottom w:w="0" w:type="dxa"/>
            <w:right w:w="108" w:type="dxa"/>
          </w:tblCellMar>
        </w:tblPrEx>
        <w:trPr>
          <w:trHeight w:val="473" w:hRule="atLeast"/>
          <w:jc w:val="center"/>
        </w:trPr>
        <w:tc>
          <w:tcPr>
            <w:tcW w:w="906" w:type="dxa"/>
            <w:tcBorders>
              <w:top w:val="single" w:color="auto" w:sz="4" w:space="0"/>
              <w:left w:val="single" w:color="auto" w:sz="4" w:space="0"/>
              <w:bottom w:val="single" w:color="auto" w:sz="4" w:space="0"/>
              <w:right w:val="single" w:color="auto" w:sz="4" w:space="0"/>
            </w:tcBorders>
            <w:shd w:val="clear" w:color="auto" w:fill="auto"/>
            <w:vAlign w:val="center"/>
          </w:tcPr>
          <w:p w14:paraId="0CA83019">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2894" w:type="dxa"/>
            <w:tcBorders>
              <w:top w:val="single" w:color="auto" w:sz="4" w:space="0"/>
              <w:left w:val="single" w:color="auto" w:sz="4" w:space="0"/>
              <w:bottom w:val="single" w:color="auto" w:sz="4" w:space="0"/>
              <w:right w:val="single" w:color="auto" w:sz="4" w:space="0"/>
            </w:tcBorders>
            <w:shd w:val="clear" w:color="auto" w:fill="auto"/>
            <w:vAlign w:val="center"/>
          </w:tcPr>
          <w:p w14:paraId="2B49DDC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其他费用</w:t>
            </w:r>
          </w:p>
        </w:tc>
        <w:tc>
          <w:tcPr>
            <w:tcW w:w="1707" w:type="dxa"/>
            <w:tcBorders>
              <w:top w:val="single" w:color="auto" w:sz="4" w:space="0"/>
              <w:left w:val="single" w:color="auto" w:sz="4" w:space="0"/>
              <w:bottom w:val="single" w:color="auto" w:sz="4" w:space="0"/>
              <w:right w:val="single" w:color="auto" w:sz="4" w:space="0"/>
            </w:tcBorders>
            <w:shd w:val="clear" w:color="auto" w:fill="auto"/>
            <w:vAlign w:val="center"/>
          </w:tcPr>
          <w:p w14:paraId="4BCD61E6">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据实结算</w:t>
            </w:r>
          </w:p>
        </w:tc>
        <w:tc>
          <w:tcPr>
            <w:tcW w:w="1707" w:type="dxa"/>
            <w:tcBorders>
              <w:top w:val="single" w:color="auto" w:sz="4" w:space="0"/>
              <w:left w:val="single" w:color="auto" w:sz="4" w:space="0"/>
              <w:bottom w:val="single" w:color="auto" w:sz="4" w:space="0"/>
              <w:right w:val="single" w:color="auto" w:sz="4" w:space="0"/>
            </w:tcBorders>
          </w:tcPr>
          <w:p w14:paraId="6E8044A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r>
    </w:tbl>
    <w:p w14:paraId="25F222C6">
      <w:pPr>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上面的价格为指导价格，如遇到紧急的事情、比较优秀人员、关键人员等，双方可视情协商调整。</w:t>
      </w:r>
    </w:p>
    <w:p w14:paraId="5CBFADEC">
      <w:pPr>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上述协议单价的价格包括了本合同项下乙方提供服务的全部款项及相关税费，其中税费包括但不限于增值税及附加税等。本合同项下除上述按本合同约定计算所得甲方应支付的价款外，甲方无需向乙方再支付其他任何款项。</w:t>
      </w:r>
    </w:p>
    <w:p w14:paraId="47A12706">
      <w:pPr>
        <w:pStyle w:val="16"/>
        <w:numPr>
          <w:ilvl w:val="0"/>
          <w:numId w:val="2"/>
        </w:numPr>
        <w:ind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付款方式</w:t>
      </w:r>
    </w:p>
    <w:p w14:paraId="27180048">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1.付款方式：本合同中甲乙双方之间发生的一切费用以人民币转账方式进行结算。</w:t>
      </w:r>
    </w:p>
    <w:p w14:paraId="0375C244">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2.甲乙双方协商，按照甲方项目实际发生的服务内容进行结算，工作量结算单模板详见附件一。</w:t>
      </w:r>
    </w:p>
    <w:p w14:paraId="1F603CDC">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3.甲方在工作量结算单内容确认后30日内支付费用的100%。付款前，乙方需开具全额增值税专用发票给甲方。</w:t>
      </w:r>
    </w:p>
    <w:p w14:paraId="53E900F9">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4.在本合同执行过程中，乙方除按双方约定收取服务费用外，不得以任何理由要求甲方增加任何费用，并不得用项目时间延长或费用超出预期等任何其他理由终止、中断提供服务。</w:t>
      </w:r>
    </w:p>
    <w:p w14:paraId="194C76FD">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5.乙方银行账号信息：</w:t>
      </w:r>
    </w:p>
    <w:p w14:paraId="14A37628">
      <w:pPr>
        <w:pStyle w:val="2"/>
        <w:rPr>
          <w:rFonts w:hint="eastAsia" w:ascii="宋体" w:hAnsi="宋体" w:eastAsia="宋体"/>
        </w:rPr>
      </w:pPr>
    </w:p>
    <w:p w14:paraId="59D3D980">
      <w:pPr>
        <w:tabs>
          <w:tab w:val="left" w:pos="8100"/>
          <w:tab w:val="left" w:pos="8280"/>
        </w:tabs>
        <w:ind w:firstLine="480" w:firstLineChars="200"/>
        <w:rPr>
          <w:rFonts w:hint="eastAsia"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b/>
          <w:bCs/>
          <w:sz w:val="24"/>
          <w:szCs w:val="24"/>
        </w:rPr>
        <w:t>北京创联致信科技有限公司</w:t>
      </w:r>
    </w:p>
    <w:p w14:paraId="2F4BEF06">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开户银行：招商银行股份有限公司北京慧忠北里支行</w:t>
      </w:r>
    </w:p>
    <w:p w14:paraId="742BEB26">
      <w:pPr>
        <w:ind w:firstLine="480" w:firstLineChars="200"/>
        <w:rPr>
          <w:rFonts w:hint="eastAsia" w:ascii="宋体" w:hAnsi="宋体" w:eastAsia="宋体" w:cs="宋体"/>
          <w:sz w:val="24"/>
          <w:szCs w:val="24"/>
        </w:rPr>
      </w:pPr>
      <w:r>
        <w:rPr>
          <w:rFonts w:hint="eastAsia" w:ascii="宋体" w:hAnsi="宋体" w:eastAsia="宋体" w:cs="宋体"/>
          <w:sz w:val="24"/>
          <w:szCs w:val="24"/>
        </w:rPr>
        <w:t>账    号：110946919610501</w:t>
      </w:r>
    </w:p>
    <w:p w14:paraId="218187EF">
      <w:pPr>
        <w:pStyle w:val="2"/>
        <w:rPr>
          <w:rFonts w:hint="eastAsia" w:ascii="宋体" w:hAnsi="宋体" w:eastAsia="宋体"/>
        </w:rPr>
      </w:pPr>
    </w:p>
    <w:p w14:paraId="0AB45AB3">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6.甲方、乙方两方的账户名称、开户银行、银行帐号，如有变更，变更一方必须以书面方式通知对方并加盖财务专用章。</w:t>
      </w:r>
    </w:p>
    <w:p w14:paraId="44082E63">
      <w:pPr>
        <w:pStyle w:val="7"/>
        <w:spacing w:line="240" w:lineRule="auto"/>
        <w:rPr>
          <w:rFonts w:hint="eastAsia" w:ascii="宋体" w:hAnsi="宋体" w:eastAsia="宋体" w:cs="宋体"/>
          <w:sz w:val="24"/>
          <w:szCs w:val="24"/>
        </w:rPr>
      </w:pPr>
      <w:r>
        <w:rPr>
          <w:rFonts w:hint="eastAsia" w:ascii="宋体" w:hAnsi="宋体" w:eastAsia="宋体" w:cs="宋体"/>
          <w:sz w:val="24"/>
          <w:szCs w:val="24"/>
        </w:rPr>
        <w:t>第四条  服务要求</w:t>
      </w:r>
    </w:p>
    <w:p w14:paraId="721DC1A8">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乙方应按照甲方要求配备技术服务人员以完成相应服务。乙方应保证其技术服务人员遵守甲方及甲方客户的各项工作要求和规章制度并对接触到的甲方信息、甲方客户信息承担保密责任。未经甲方书面同意，乙方不得变更已确定的技术服务人员。</w:t>
      </w:r>
    </w:p>
    <w:p w14:paraId="581D4FEB">
      <w:pPr>
        <w:adjustRightInd w:val="0"/>
        <w:ind w:firstLine="480" w:firstLineChars="200"/>
        <w:rPr>
          <w:rFonts w:hint="eastAsia" w:ascii="宋体" w:hAnsi="宋体" w:eastAsia="宋体" w:cs="宋体"/>
          <w:sz w:val="24"/>
          <w:szCs w:val="24"/>
        </w:rPr>
      </w:pPr>
      <w:bookmarkStart w:id="1" w:name="_Hlk190183780"/>
      <w:r>
        <w:rPr>
          <w:rFonts w:hint="eastAsia" w:ascii="宋体" w:hAnsi="宋体" w:eastAsia="宋体" w:cs="宋体"/>
          <w:sz w:val="24"/>
          <w:szCs w:val="24"/>
        </w:rPr>
        <w:t>2.</w:t>
      </w:r>
      <w:bookmarkEnd w:id="1"/>
      <w:r>
        <w:rPr>
          <w:rFonts w:hint="eastAsia" w:ascii="宋体" w:hAnsi="宋体" w:eastAsia="宋体" w:cs="宋体"/>
          <w:sz w:val="24"/>
          <w:szCs w:val="24"/>
        </w:rPr>
        <w:t>除非甲乙双方另有约定，则技术服务人员首次为甲方服务时，甲方设置为期一个月的测评期，并根据其工作评价是否合格。该技术服务人员在该期间的工作量，考核合格的予以计费，可继续为甲方提供服务；考核不合格的，不予计费，且乙方应立即予以替换。</w:t>
      </w:r>
    </w:p>
    <w:p w14:paraId="260FA6D9">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3.因乙方或技术服务人员原因，无法继续开展甲方项目服务的，乙方应提前一个月书面告知甲方，并按甲方要求提供替换人员。在该等替换人员与被替换人员按照甲方要求履行完毕更换程序，并取得甲方同意后，方可更换。</w:t>
      </w:r>
    </w:p>
    <w:p w14:paraId="575DE4CB">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4.甲、乙双方应就项目各派出一名项目负责人负责该项目协调工作。乙方应就本合同项下服务指定项目负责人，甲方有权对乙方的项目负责人考评，乙方项目负责人连续两个月考评为不满意则需要更换；出现换人2 次（含）以上仍不合格的，甲方有权终止协议而不必赔偿乙方损失。</w:t>
      </w:r>
    </w:p>
    <w:p w14:paraId="40E26C69">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highlight w:val="yellow"/>
        </w:rPr>
        <w:t>本合同免费质保期与甲方项目最终用户合同中的要求保持一致。</w:t>
      </w:r>
      <w:r>
        <w:rPr>
          <w:rFonts w:hint="eastAsia" w:ascii="宋体" w:hAnsi="宋体" w:eastAsia="宋体" w:cs="宋体"/>
          <w:sz w:val="24"/>
          <w:szCs w:val="24"/>
        </w:rPr>
        <w:t>在质保期内，如由于乙方原因，软件出现故障或问题，乙方应及时排除该方面的故障或问题，所引起的相关费用由乙方承担。</w:t>
      </w:r>
    </w:p>
    <w:p w14:paraId="375B931A">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6.如果项目交付成果或项目在质保期内出现故障，乙方应在接到甲方通知时立即做出响应，以确定故障情况，并就如何排除故障做出决定并立即书面通知甲方。乙方应在接到甲方通知后的4小时内（含本数）使项目恢复正常工作。</w:t>
      </w:r>
    </w:p>
    <w:p w14:paraId="08F4BFB3">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7.培训：乙方应在服务过程中，对甲方技术人员做好技术转移工作，包含并不仅限于以下内容：系统安装、系统使用、系统维护等，并在系统上线后针对甲方技术人员进行强化培训。</w:t>
      </w:r>
    </w:p>
    <w:p w14:paraId="4AC85232">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ascii="宋体" w:hAnsi="宋体" w:eastAsia="宋体" w:cs="宋体"/>
          <w:sz w:val="24"/>
          <w:szCs w:val="24"/>
        </w:rPr>
        <w:t>服务</w:t>
      </w:r>
      <w:r>
        <w:rPr>
          <w:rFonts w:hint="eastAsia" w:ascii="宋体" w:hAnsi="宋体" w:eastAsia="宋体" w:cs="宋体"/>
          <w:sz w:val="24"/>
          <w:szCs w:val="24"/>
        </w:rPr>
        <w:t>的</w:t>
      </w:r>
      <w:r>
        <w:rPr>
          <w:rFonts w:ascii="宋体" w:hAnsi="宋体" w:eastAsia="宋体" w:cs="宋体"/>
          <w:sz w:val="24"/>
          <w:szCs w:val="24"/>
        </w:rPr>
        <w:t>验收</w:t>
      </w:r>
      <w:r>
        <w:rPr>
          <w:rFonts w:hint="eastAsia" w:ascii="宋体" w:hAnsi="宋体" w:eastAsia="宋体" w:cs="宋体"/>
          <w:sz w:val="24"/>
          <w:szCs w:val="24"/>
        </w:rPr>
        <w:t>：乙方服务完结后，应配合甲方按本协议约定及甲方客户要求进行验收，验收标准为符合本协议相关约定及甲方客户要求。验收通过后，甲乙双方签订《技术服务验收单》。</w:t>
      </w:r>
    </w:p>
    <w:p w14:paraId="5C949C05">
      <w:pPr>
        <w:pStyle w:val="2"/>
        <w:ind w:left="0" w:leftChars="0"/>
        <w:rPr>
          <w:rFonts w:hint="eastAsia" w:ascii="宋体" w:hAnsi="宋体" w:eastAsia="宋体" w:cs="宋体"/>
          <w:bCs/>
          <w:sz w:val="24"/>
          <w:szCs w:val="24"/>
        </w:rPr>
      </w:pPr>
      <w:r>
        <w:rPr>
          <w:rFonts w:hint="eastAsia" w:ascii="宋体" w:hAnsi="宋体" w:eastAsia="宋体" w:cs="宋体"/>
          <w:bCs/>
          <w:sz w:val="24"/>
          <w:szCs w:val="24"/>
          <w:highlight w:val="yellow"/>
        </w:rPr>
        <w:t>9.最终用户终验后，乙方要提供合同所涉及的嵌入式软件的全部资料给甲方。</w:t>
      </w:r>
    </w:p>
    <w:p w14:paraId="778FD2BE">
      <w:pPr>
        <w:pStyle w:val="7"/>
        <w:spacing w:line="240" w:lineRule="auto"/>
        <w:rPr>
          <w:rFonts w:hint="eastAsia" w:ascii="宋体" w:hAnsi="宋体" w:eastAsia="宋体" w:cs="宋体"/>
          <w:sz w:val="24"/>
          <w:szCs w:val="24"/>
        </w:rPr>
      </w:pPr>
      <w:r>
        <w:rPr>
          <w:rFonts w:hint="eastAsia" w:ascii="宋体" w:hAnsi="宋体" w:eastAsia="宋体" w:cs="宋体"/>
          <w:sz w:val="24"/>
          <w:szCs w:val="24"/>
        </w:rPr>
        <w:t>第五条  保密条款</w:t>
      </w:r>
    </w:p>
    <w:p w14:paraId="6394C433">
      <w:pPr>
        <w:adjustRightInd w:val="0"/>
        <w:jc w:val="left"/>
        <w:rPr>
          <w:rFonts w:hint="eastAsia" w:ascii="宋体" w:hAnsi="宋体" w:eastAsia="宋体" w:cs="宋体"/>
          <w:b/>
          <w:sz w:val="24"/>
          <w:szCs w:val="24"/>
        </w:rPr>
      </w:pPr>
      <w:r>
        <w:rPr>
          <w:rFonts w:hint="eastAsia" w:ascii="宋体" w:hAnsi="宋体" w:eastAsia="宋体" w:cs="宋体"/>
          <w:b/>
          <w:sz w:val="24"/>
          <w:szCs w:val="24"/>
        </w:rPr>
        <w:t>（一）共同保密约定。</w:t>
      </w:r>
    </w:p>
    <w:p w14:paraId="5D37B80F">
      <w:pPr>
        <w:adjustRightInd w:val="0"/>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1.双方约定，无论本合同是否变更、解除或终止，合同保密条款继续有效，各方均应继续承担约定的保密义务。</w:t>
      </w:r>
    </w:p>
    <w:p w14:paraId="3D9D07FE">
      <w:pPr>
        <w:adjustRightInd w:val="0"/>
        <w:ind w:left="420" w:leftChars="200"/>
        <w:jc w:val="left"/>
        <w:rPr>
          <w:rFonts w:hint="eastAsia" w:ascii="宋体" w:hAnsi="宋体" w:eastAsia="宋体" w:cs="宋体"/>
          <w:sz w:val="24"/>
          <w:szCs w:val="24"/>
        </w:rPr>
      </w:pPr>
      <w:r>
        <w:rPr>
          <w:rFonts w:hint="eastAsia" w:ascii="宋体" w:hAnsi="宋体" w:eastAsia="宋体" w:cs="宋体"/>
          <w:sz w:val="24"/>
          <w:szCs w:val="24"/>
        </w:rPr>
        <w:t>2.任何一方基于司法和国家行政机关要求，提供所述保密内容的，应及时</w:t>
      </w:r>
    </w:p>
    <w:p w14:paraId="4C486E5E">
      <w:pPr>
        <w:adjustRightInd w:val="0"/>
        <w:jc w:val="left"/>
        <w:rPr>
          <w:rFonts w:hint="eastAsia" w:ascii="宋体" w:hAnsi="宋体" w:eastAsia="宋体" w:cs="宋体"/>
          <w:sz w:val="24"/>
          <w:szCs w:val="24"/>
        </w:rPr>
      </w:pPr>
      <w:r>
        <w:rPr>
          <w:rFonts w:hint="eastAsia" w:ascii="宋体" w:hAnsi="宋体" w:eastAsia="宋体" w:cs="宋体"/>
          <w:sz w:val="24"/>
          <w:szCs w:val="24"/>
        </w:rPr>
        <w:t>通知对方，同时以书面形式提示司法和国家行政机关注意保密。</w:t>
      </w:r>
    </w:p>
    <w:p w14:paraId="11BEF6D9">
      <w:pPr>
        <w:numPr>
          <w:ilvl w:val="0"/>
          <w:numId w:val="3"/>
        </w:numPr>
        <w:adjustRightInd w:val="0"/>
        <w:jc w:val="left"/>
        <w:rPr>
          <w:rFonts w:hint="eastAsia" w:ascii="宋体" w:hAnsi="宋体" w:eastAsia="宋体" w:cs="宋体"/>
          <w:b/>
          <w:sz w:val="24"/>
          <w:szCs w:val="24"/>
        </w:rPr>
      </w:pPr>
      <w:r>
        <w:rPr>
          <w:rFonts w:hint="eastAsia" w:ascii="宋体" w:hAnsi="宋体" w:eastAsia="宋体" w:cs="宋体"/>
          <w:b/>
          <w:sz w:val="24"/>
          <w:szCs w:val="24"/>
        </w:rPr>
        <w:t>甲方保密的内容、人员和期限。</w:t>
      </w:r>
    </w:p>
    <w:p w14:paraId="6610AF7B">
      <w:pPr>
        <w:adjustRightInd w:val="0"/>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1.保密内容。</w:t>
      </w:r>
    </w:p>
    <w:p w14:paraId="2928FAEB">
      <w:pPr>
        <w:adjustRightInd w:val="0"/>
        <w:ind w:left="420" w:leftChars="200"/>
        <w:jc w:val="left"/>
        <w:rPr>
          <w:rFonts w:hint="eastAsia" w:ascii="宋体" w:hAnsi="宋体" w:eastAsia="宋体" w:cs="宋体"/>
          <w:sz w:val="24"/>
          <w:szCs w:val="24"/>
        </w:rPr>
      </w:pPr>
      <w:r>
        <w:rPr>
          <w:rFonts w:hint="eastAsia" w:ascii="宋体" w:hAnsi="宋体" w:eastAsia="宋体" w:cs="宋体"/>
          <w:sz w:val="24"/>
          <w:szCs w:val="24"/>
        </w:rPr>
        <w:t>（1）乙方提供的项目相关的技术资料，包括但不限于书面、电子文档或其</w:t>
      </w:r>
    </w:p>
    <w:p w14:paraId="242EDF2A">
      <w:pPr>
        <w:adjustRightInd w:val="0"/>
        <w:jc w:val="left"/>
        <w:rPr>
          <w:rFonts w:hint="eastAsia" w:ascii="宋体" w:hAnsi="宋体" w:eastAsia="宋体" w:cs="宋体"/>
          <w:sz w:val="24"/>
          <w:szCs w:val="24"/>
        </w:rPr>
      </w:pPr>
      <w:r>
        <w:rPr>
          <w:rFonts w:hint="eastAsia" w:ascii="宋体" w:hAnsi="宋体" w:eastAsia="宋体" w:cs="宋体"/>
          <w:sz w:val="24"/>
          <w:szCs w:val="24"/>
        </w:rPr>
        <w:t>他形式的信息和资料。</w:t>
      </w:r>
    </w:p>
    <w:p w14:paraId="35342746">
      <w:pPr>
        <w:adjustRightInd w:val="0"/>
        <w:ind w:left="420" w:leftChars="200"/>
        <w:jc w:val="left"/>
        <w:rPr>
          <w:rFonts w:hint="eastAsia" w:ascii="宋体" w:hAnsi="宋体" w:eastAsia="宋体" w:cs="宋体"/>
          <w:sz w:val="24"/>
          <w:szCs w:val="24"/>
        </w:rPr>
      </w:pPr>
      <w:r>
        <w:rPr>
          <w:rFonts w:hint="eastAsia" w:ascii="宋体" w:hAnsi="宋体" w:eastAsia="宋体" w:cs="宋体"/>
          <w:sz w:val="24"/>
          <w:szCs w:val="24"/>
        </w:rPr>
        <w:t>（2）甲方在项目研发过程中悉知乙方的管理信息、人力资源信息等。</w:t>
      </w:r>
    </w:p>
    <w:p w14:paraId="2CD37A2E">
      <w:pPr>
        <w:adjustRightInd w:val="0"/>
        <w:ind w:left="420" w:leftChars="200" w:firstLine="120" w:firstLineChars="50"/>
        <w:jc w:val="left"/>
        <w:rPr>
          <w:rFonts w:hint="eastAsia" w:ascii="宋体" w:hAnsi="宋体" w:eastAsia="宋体" w:cs="宋体"/>
          <w:sz w:val="24"/>
          <w:szCs w:val="24"/>
        </w:rPr>
      </w:pPr>
      <w:r>
        <w:rPr>
          <w:rFonts w:hint="eastAsia" w:ascii="宋体" w:hAnsi="宋体" w:eastAsia="宋体" w:cs="宋体"/>
          <w:b/>
          <w:sz w:val="24"/>
          <w:szCs w:val="24"/>
        </w:rPr>
        <w:t>2.涉密人员范围。</w:t>
      </w:r>
      <w:r>
        <w:rPr>
          <w:rFonts w:hint="eastAsia" w:ascii="宋体" w:hAnsi="宋体" w:eastAsia="宋体" w:cs="宋体"/>
          <w:sz w:val="24"/>
          <w:szCs w:val="24"/>
        </w:rPr>
        <w:t>甲方单位负责人、分管信息化及项目的负责人、涉及该</w:t>
      </w:r>
    </w:p>
    <w:p w14:paraId="4802F0B5">
      <w:pPr>
        <w:adjustRightInd w:val="0"/>
        <w:jc w:val="left"/>
        <w:rPr>
          <w:rFonts w:hint="eastAsia" w:ascii="宋体" w:hAnsi="宋体" w:eastAsia="宋体" w:cs="宋体"/>
          <w:sz w:val="24"/>
          <w:szCs w:val="24"/>
        </w:rPr>
      </w:pPr>
      <w:r>
        <w:rPr>
          <w:rFonts w:hint="eastAsia" w:ascii="宋体" w:hAnsi="宋体" w:eastAsia="宋体" w:cs="宋体"/>
          <w:sz w:val="24"/>
          <w:szCs w:val="24"/>
        </w:rPr>
        <w:t>项目的所有人员、了解和知悉该项目的其他人员。</w:t>
      </w:r>
    </w:p>
    <w:p w14:paraId="33D919DC">
      <w:pPr>
        <w:adjustRightInd w:val="0"/>
        <w:jc w:val="left"/>
        <w:rPr>
          <w:rFonts w:hint="eastAsia" w:ascii="宋体" w:hAnsi="宋体" w:eastAsia="宋体" w:cs="宋体"/>
          <w:b/>
          <w:sz w:val="24"/>
          <w:szCs w:val="24"/>
        </w:rPr>
      </w:pPr>
      <w:r>
        <w:rPr>
          <w:rFonts w:hint="eastAsia" w:ascii="宋体" w:hAnsi="宋体" w:eastAsia="宋体" w:cs="宋体"/>
          <w:b/>
          <w:sz w:val="24"/>
          <w:szCs w:val="24"/>
        </w:rPr>
        <w:t>（三）乙方保密的内容、人员和期限。</w:t>
      </w:r>
    </w:p>
    <w:p w14:paraId="2AC1D90D">
      <w:pPr>
        <w:adjustRightInd w:val="0"/>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1.保密内容。</w:t>
      </w:r>
    </w:p>
    <w:p w14:paraId="69B0902D">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（1）对来源于服务对象及甲方的所有涉密信息，乙方应安排专人和专用保密设备进行专项管理，各类涉密设备和数据不得随意带离乙方办公区域，不得存放在私人住所。</w:t>
      </w:r>
    </w:p>
    <w:p w14:paraId="359800FD">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（2）对来源于服务对象及甲方的所有信息，包括项目商务及技术资料、商业秘密、信息系统应用数据、甲方经营信息、管理信息、人力资源信息等等，乙方负有保密责任，应采取有效保密措施、确保其安全。</w:t>
      </w:r>
    </w:p>
    <w:p w14:paraId="236AC04E">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（3）乙方不得擅自复制、传播服务对象及甲方的项目信息，不得外泄信息；除项目工作中必要的应用外，不得擅自使用项目所有信息内容。</w:t>
      </w:r>
    </w:p>
    <w:p w14:paraId="5160345F">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（4）乙方不得泄露服务对象项目应用系统及数据库的帐号和密码。</w:t>
      </w:r>
    </w:p>
    <w:p w14:paraId="72C5F7A7">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（5）乙方工作人员调离乙方公司时，乙方公司应根据《保密法》，负责采取相关措施防止信息泄露；否则发生的项目信息泄露责任，由乙方负责。</w:t>
      </w:r>
    </w:p>
    <w:p w14:paraId="2FBAA506">
      <w:pPr>
        <w:adjustRightInd w:val="0"/>
        <w:ind w:firstLine="420" w:firstLineChars="175"/>
        <w:jc w:val="left"/>
        <w:rPr>
          <w:rFonts w:hint="eastAsia" w:ascii="宋体" w:hAnsi="宋体" w:eastAsia="宋体" w:cs="宋体"/>
          <w:sz w:val="24"/>
          <w:szCs w:val="24"/>
        </w:rPr>
      </w:pPr>
      <w:r>
        <w:rPr>
          <w:rFonts w:hint="eastAsia" w:ascii="宋体" w:hAnsi="宋体" w:eastAsia="宋体" w:cs="宋体"/>
          <w:sz w:val="24"/>
          <w:szCs w:val="24"/>
        </w:rPr>
        <w:t>（6）乙方履行本合同的任何研究成果。</w:t>
      </w:r>
    </w:p>
    <w:p w14:paraId="2659ABA0">
      <w:pPr>
        <w:adjustRightInd w:val="0"/>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2.涉密人员范围。</w:t>
      </w:r>
      <w:r>
        <w:rPr>
          <w:rFonts w:hint="eastAsia" w:ascii="宋体" w:hAnsi="宋体" w:eastAsia="宋体" w:cs="宋体"/>
          <w:sz w:val="24"/>
          <w:szCs w:val="24"/>
        </w:rPr>
        <w:t>乙方的单位负责人、分管负责人及项目的负责人、项目组人员、涉及该项目的所有人员、了解和知悉该项目的其他人员。</w:t>
      </w:r>
    </w:p>
    <w:p w14:paraId="5919E7CC">
      <w:pPr>
        <w:adjustRightInd w:val="0"/>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3.保密期限。</w:t>
      </w:r>
      <w:r>
        <w:rPr>
          <w:rFonts w:hint="eastAsia" w:ascii="宋体" w:hAnsi="宋体" w:eastAsia="宋体" w:cs="宋体"/>
          <w:sz w:val="24"/>
          <w:szCs w:val="24"/>
        </w:rPr>
        <w:t>本合同保密条款约定具有独立法律效力，保密期限为长期，不因本合同无效、被撤销、解除、终止而受影响。</w:t>
      </w:r>
    </w:p>
    <w:p w14:paraId="51DE72AC">
      <w:pPr>
        <w:pStyle w:val="7"/>
        <w:spacing w:line="240" w:lineRule="auto"/>
        <w:rPr>
          <w:rFonts w:hint="eastAsia" w:ascii="宋体" w:hAnsi="宋体" w:eastAsia="宋体" w:cs="宋体"/>
          <w:sz w:val="24"/>
          <w:szCs w:val="24"/>
        </w:rPr>
      </w:pPr>
      <w:r>
        <w:rPr>
          <w:rFonts w:hint="eastAsia" w:ascii="宋体" w:hAnsi="宋体" w:eastAsia="宋体" w:cs="宋体"/>
          <w:sz w:val="24"/>
          <w:szCs w:val="24"/>
        </w:rPr>
        <w:t>第六条  知识产权</w:t>
      </w:r>
    </w:p>
    <w:p w14:paraId="5DE20A19">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1.知识产权担保。</w:t>
      </w:r>
    </w:p>
    <w:p w14:paraId="43AA4436">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乙方须保障甲方在使用其货物、服务及其任何部分不受到第三方提出侵犯专利权、商标权、工业设计权或版权的指控。任何第三方如果提出侵权指控，乙方须与第三方交涉并承担由此而引起的一切法律责任和费用。</w:t>
      </w:r>
    </w:p>
    <w:p w14:paraId="7607B15E">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2.知识产权许可。</w:t>
      </w:r>
    </w:p>
    <w:p w14:paraId="202C569D">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如果货物或服务的一部分或者全部涉及已有的专利权、著作权、商业秘密或其他知识产权，其费用均由乙方承担并已包含在货物价格之中。</w:t>
      </w:r>
    </w:p>
    <w:p w14:paraId="60039B6D">
      <w:pPr>
        <w:pStyle w:val="7"/>
        <w:spacing w:line="240" w:lineRule="auto"/>
        <w:rPr>
          <w:rFonts w:hint="eastAsia" w:ascii="宋体" w:hAnsi="宋体" w:eastAsia="宋体" w:cs="宋体"/>
          <w:sz w:val="24"/>
          <w:szCs w:val="24"/>
        </w:rPr>
      </w:pPr>
      <w:r>
        <w:rPr>
          <w:rFonts w:hint="eastAsia" w:ascii="宋体" w:hAnsi="宋体" w:eastAsia="宋体" w:cs="宋体"/>
          <w:sz w:val="24"/>
          <w:szCs w:val="24"/>
        </w:rPr>
        <w:t>第七条  安全条款</w:t>
      </w:r>
    </w:p>
    <w:p w14:paraId="056E8F00">
      <w:pPr>
        <w:adjustRightInd w:val="0"/>
        <w:ind w:firstLine="241" w:firstLineChars="100"/>
        <w:rPr>
          <w:rFonts w:hint="eastAsia" w:ascii="宋体" w:hAnsi="宋体" w:eastAsia="宋体" w:cs="宋体"/>
          <w:sz w:val="24"/>
          <w:szCs w:val="24"/>
        </w:rPr>
      </w:pPr>
      <w:r>
        <w:rPr>
          <w:rFonts w:hint="eastAsia" w:ascii="宋体" w:hAnsi="宋体" w:eastAsia="宋体" w:cs="宋体"/>
          <w:b/>
          <w:sz w:val="24"/>
          <w:szCs w:val="24"/>
        </w:rPr>
        <w:t>（一）人身安全</w:t>
      </w:r>
      <w:r>
        <w:rPr>
          <w:rFonts w:hint="eastAsia" w:ascii="宋体" w:hAnsi="宋体" w:eastAsia="宋体" w:cs="宋体"/>
          <w:sz w:val="24"/>
          <w:szCs w:val="24"/>
        </w:rPr>
        <w:t>。乙方人员在商务活动及履行本合同过程中所发生的安全事故和意外伤害事故，由乙方自行承担全部责任。</w:t>
      </w:r>
    </w:p>
    <w:p w14:paraId="7D70A3C6">
      <w:pPr>
        <w:adjustRightInd w:val="0"/>
        <w:ind w:firstLine="241" w:firstLineChars="100"/>
        <w:jc w:val="left"/>
        <w:rPr>
          <w:rFonts w:hint="eastAsia" w:ascii="宋体" w:hAnsi="宋体" w:eastAsia="宋体" w:cs="宋体"/>
          <w:b/>
          <w:sz w:val="24"/>
          <w:szCs w:val="24"/>
        </w:rPr>
      </w:pPr>
      <w:r>
        <w:rPr>
          <w:rFonts w:hint="eastAsia" w:ascii="宋体" w:hAnsi="宋体" w:eastAsia="宋体" w:cs="宋体"/>
          <w:b/>
          <w:color w:val="000000"/>
          <w:sz w:val="24"/>
          <w:szCs w:val="24"/>
        </w:rPr>
        <w:t>（二）</w:t>
      </w:r>
      <w:r>
        <w:rPr>
          <w:rFonts w:hint="eastAsia" w:ascii="宋体" w:hAnsi="宋体" w:eastAsia="宋体" w:cs="宋体"/>
          <w:b/>
          <w:sz w:val="24"/>
          <w:szCs w:val="24"/>
        </w:rPr>
        <w:t>技术安全。</w:t>
      </w:r>
    </w:p>
    <w:p w14:paraId="6547ECA5">
      <w:pPr>
        <w:adjustRightInd w:val="0"/>
        <w:ind w:firstLine="480" w:firstLineChars="200"/>
        <w:jc w:val="left"/>
        <w:rPr>
          <w:rFonts w:hint="eastAsia" w:ascii="宋体" w:hAnsi="宋体" w:eastAsia="宋体" w:cs="宋体"/>
          <w:sz w:val="24"/>
          <w:szCs w:val="24"/>
        </w:rPr>
      </w:pPr>
      <w:r>
        <w:rPr>
          <w:rFonts w:hint="eastAsia" w:ascii="宋体" w:hAnsi="宋体" w:eastAsia="宋体" w:cs="宋体"/>
          <w:sz w:val="24"/>
          <w:szCs w:val="24"/>
        </w:rPr>
        <w:t>乙方需确保所提供的信息系统安全，并加强内部管理，确保相关服务人员严格遵守上述“保护知识产权”原则。</w:t>
      </w:r>
    </w:p>
    <w:p w14:paraId="134E70C0">
      <w:pPr>
        <w:adjustRightInd w:val="0"/>
        <w:jc w:val="left"/>
        <w:rPr>
          <w:rFonts w:hint="eastAsia" w:ascii="宋体" w:hAnsi="宋体" w:eastAsia="宋体" w:cs="宋体"/>
          <w:b/>
          <w:sz w:val="24"/>
          <w:szCs w:val="24"/>
        </w:rPr>
      </w:pPr>
      <w:r>
        <w:rPr>
          <w:rFonts w:hint="eastAsia" w:ascii="宋体" w:hAnsi="宋体" w:eastAsia="宋体" w:cs="宋体"/>
          <w:b/>
          <w:sz w:val="24"/>
          <w:szCs w:val="24"/>
        </w:rPr>
        <w:t>第八条  其他约定</w:t>
      </w:r>
    </w:p>
    <w:p w14:paraId="4348446D">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本合同项下债权债务未经双方书面同意不得转让。</w:t>
      </w:r>
    </w:p>
    <w:p w14:paraId="4675D8CC">
      <w:pPr>
        <w:adjustRightInd w:val="0"/>
        <w:rPr>
          <w:rFonts w:hint="eastAsia" w:ascii="宋体" w:hAnsi="宋体" w:eastAsia="宋体" w:cs="宋体"/>
          <w:b/>
          <w:sz w:val="24"/>
          <w:szCs w:val="24"/>
        </w:rPr>
      </w:pPr>
      <w:r>
        <w:rPr>
          <w:rFonts w:hint="eastAsia" w:ascii="宋体" w:hAnsi="宋体" w:eastAsia="宋体" w:cs="宋体"/>
          <w:b/>
          <w:sz w:val="24"/>
          <w:szCs w:val="24"/>
        </w:rPr>
        <w:t>第九条  违约责任</w:t>
      </w:r>
    </w:p>
    <w:p w14:paraId="602C2F83">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乙方不能按本合同约定时间和质量完成服务的，每逾期一日，应按照本合同总价款的0.5%每日的标准向甲方支付逾期违约金，逾期违约金的最高限额为本合同总价的5%；同时，甲方有权延期支付合同款项，并有权自行从履约保证金中扣除乙方应支付的违约金、损害赔偿金等。如果乙方逾期交付货物超过本合同约定的完成时间10日的，乙方除应按照本条约定向甲方支付逾期违约金外，甲方还有权选择单方解除本合同，并有权要求乙方返还所有甲方已支付费用、支付本合同总价款的10%作为违约金、并赔偿由此给甲方造成的全部损失。</w:t>
      </w:r>
    </w:p>
    <w:p w14:paraId="1A27AAAE">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2.乙方不能按本合同要求提供所承诺的售后服务的，应向甲方支付相当于本合同总价款的5%的违约金。</w:t>
      </w:r>
    </w:p>
    <w:p w14:paraId="28451058">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3.如果发生声称本合同中某产品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有权向乙方追偿。</w:t>
      </w:r>
    </w:p>
    <w:p w14:paraId="5CDE2787">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4．在处理索赔的过程中，乙方可以选择为甲方取得继续使用该产品的权利，或者将该产品替换或修改，以便使用该产品不再侵权。如果乙方不能合理地完成这些补救措施，并且甲方必须停止使用侵权的产品，乙方需赔偿由此给甲方造成的全部损失。对于仅因使用并非由乙方提供的产品或服务，或仅因乙方执行了甲方的规格或指示，或仅因乙方或其分承包商以外的任何人对产品进行了修改而导致的与使用某项设备相关的侵权追诉，乙方对甲方不承担任何赔偿责任。但乙方对于甲方使用产品或服务负有确认责任经其确认的，或乙方有能力对甲方规格或指示提出异议却疏于提示的，或其他人对设备进行修改是经乙方授意或影响的，乙方仍应向甲方承担损失总额不少于50%的过错责任。</w:t>
      </w:r>
    </w:p>
    <w:p w14:paraId="66CF1356">
      <w:pPr>
        <w:adjustRightInd w:val="0"/>
        <w:rPr>
          <w:rFonts w:hint="eastAsia" w:ascii="宋体" w:hAnsi="宋体" w:eastAsia="宋体" w:cs="宋体"/>
          <w:b/>
          <w:sz w:val="24"/>
          <w:szCs w:val="24"/>
        </w:rPr>
      </w:pPr>
      <w:r>
        <w:rPr>
          <w:rFonts w:hint="eastAsia" w:ascii="宋体" w:hAnsi="宋体" w:eastAsia="宋体" w:cs="宋体"/>
          <w:b/>
          <w:sz w:val="24"/>
          <w:szCs w:val="24"/>
        </w:rPr>
        <w:t>第十条  合同的变更与解除</w:t>
      </w:r>
    </w:p>
    <w:p w14:paraId="3125AFFF">
      <w:pPr>
        <w:adjustRightInd w:val="0"/>
        <w:ind w:firstLine="240" w:firstLineChars="100"/>
        <w:rPr>
          <w:rFonts w:hint="eastAsia" w:ascii="宋体" w:hAnsi="宋体" w:eastAsia="宋体" w:cs="宋体"/>
          <w:sz w:val="24"/>
          <w:szCs w:val="24"/>
        </w:rPr>
      </w:pPr>
      <w:r>
        <w:rPr>
          <w:rFonts w:hint="eastAsia" w:ascii="宋体" w:hAnsi="宋体" w:eastAsia="宋体" w:cs="宋体"/>
          <w:sz w:val="24"/>
          <w:szCs w:val="24"/>
        </w:rPr>
        <w:t>（一）双方约定，一方可以向另一方提出变更合同的请求，合同的变更必须由双方协商一致，并以书面形式确定。</w:t>
      </w:r>
    </w:p>
    <w:p w14:paraId="0DDD96BE">
      <w:pPr>
        <w:adjustRightInd w:val="0"/>
        <w:ind w:firstLine="240" w:firstLineChars="100"/>
        <w:rPr>
          <w:rFonts w:hint="eastAsia" w:ascii="宋体" w:hAnsi="宋体" w:eastAsia="宋体" w:cs="宋体"/>
          <w:sz w:val="24"/>
          <w:szCs w:val="24"/>
        </w:rPr>
      </w:pPr>
      <w:r>
        <w:rPr>
          <w:rFonts w:hint="eastAsia" w:ascii="宋体" w:hAnsi="宋体" w:eastAsia="宋体" w:cs="宋体"/>
          <w:sz w:val="24"/>
          <w:szCs w:val="24"/>
        </w:rPr>
        <w:t>（二）双方约定，因发生不可抗力和技术风险，致使本合同的履行成为不必要或不可能的，可以解除本合同。</w:t>
      </w:r>
    </w:p>
    <w:p w14:paraId="08ECA6FB">
      <w:pPr>
        <w:adjustRightInd w:val="0"/>
        <w:ind w:firstLine="240" w:firstLineChars="100"/>
        <w:rPr>
          <w:rFonts w:hint="eastAsia" w:ascii="宋体" w:hAnsi="宋体" w:eastAsia="宋体" w:cs="宋体"/>
          <w:sz w:val="24"/>
          <w:szCs w:val="24"/>
        </w:rPr>
      </w:pPr>
      <w:r>
        <w:rPr>
          <w:rFonts w:hint="eastAsia" w:ascii="宋体" w:hAnsi="宋体" w:eastAsia="宋体" w:cs="宋体"/>
          <w:sz w:val="24"/>
          <w:szCs w:val="24"/>
        </w:rPr>
        <w:t>（三）乙方有下列情形之一的,甲方有权单方解除合同,乙方应赔偿甲方损失。</w:t>
      </w:r>
    </w:p>
    <w:p w14:paraId="79CEA83F">
      <w:pPr>
        <w:adjustRightInd w:val="0"/>
        <w:ind w:left="1" w:firstLine="530" w:firstLineChars="221"/>
        <w:rPr>
          <w:rFonts w:hint="eastAsia" w:ascii="宋体" w:hAnsi="宋体" w:eastAsia="宋体" w:cs="宋体"/>
          <w:sz w:val="24"/>
          <w:szCs w:val="24"/>
        </w:rPr>
      </w:pPr>
      <w:r>
        <w:rPr>
          <w:rFonts w:hint="eastAsia" w:ascii="宋体" w:hAnsi="宋体" w:eastAsia="宋体" w:cs="宋体"/>
          <w:sz w:val="24"/>
          <w:szCs w:val="24"/>
        </w:rPr>
        <w:t>1.未按照约定的期限和内容履行合同，逾期达</w:t>
      </w:r>
      <w:r>
        <w:rPr>
          <w:rFonts w:hint="eastAsia" w:ascii="宋体" w:hAnsi="宋体" w:eastAsia="宋体" w:cs="宋体"/>
          <w:sz w:val="24"/>
          <w:szCs w:val="24"/>
          <w:u w:val="single"/>
        </w:rPr>
        <w:t xml:space="preserve"> </w:t>
      </w:r>
      <w:r>
        <w:rPr>
          <w:rFonts w:hint="eastAsia" w:ascii="宋体" w:hAnsi="宋体" w:eastAsia="宋体" w:cs="宋体"/>
          <w:bCs/>
          <w:kern w:val="0"/>
          <w:sz w:val="24"/>
          <w:szCs w:val="24"/>
          <w:u w:val="single"/>
        </w:rPr>
        <w:t>30</w:t>
      </w:r>
      <w:r>
        <w:rPr>
          <w:rFonts w:hint="eastAsia" w:ascii="宋体" w:hAnsi="宋体" w:eastAsia="宋体" w:cs="宋体"/>
          <w:sz w:val="24"/>
          <w:szCs w:val="24"/>
          <w:u w:val="single"/>
        </w:rPr>
        <w:t xml:space="preserve"> </w:t>
      </w:r>
      <w:r>
        <w:rPr>
          <w:rFonts w:hint="eastAsia" w:ascii="宋体" w:hAnsi="宋体" w:eastAsia="宋体" w:cs="宋体"/>
          <w:sz w:val="24"/>
          <w:szCs w:val="24"/>
        </w:rPr>
        <w:t>天的。</w:t>
      </w:r>
    </w:p>
    <w:p w14:paraId="08197A84">
      <w:pPr>
        <w:adjustRightInd w:val="0"/>
        <w:ind w:left="1" w:firstLine="530" w:firstLineChars="221"/>
        <w:rPr>
          <w:rFonts w:hint="eastAsia" w:ascii="宋体" w:hAnsi="宋体" w:eastAsia="宋体" w:cs="宋体"/>
          <w:sz w:val="24"/>
          <w:szCs w:val="24"/>
        </w:rPr>
      </w:pPr>
      <w:r>
        <w:rPr>
          <w:rFonts w:hint="eastAsia" w:ascii="宋体" w:hAnsi="宋体" w:eastAsia="宋体" w:cs="宋体"/>
          <w:sz w:val="24"/>
          <w:szCs w:val="24"/>
        </w:rPr>
        <w:t>2.项目建设成果未能通过最终用户验收的。</w:t>
      </w:r>
    </w:p>
    <w:p w14:paraId="547DD6B8">
      <w:pPr>
        <w:adjustRightInd w:val="0"/>
        <w:ind w:left="1" w:firstLine="530" w:firstLineChars="221"/>
        <w:rPr>
          <w:rFonts w:hint="eastAsia" w:ascii="宋体" w:hAnsi="宋体" w:eastAsia="宋体" w:cs="宋体"/>
          <w:sz w:val="24"/>
          <w:szCs w:val="24"/>
        </w:rPr>
      </w:pPr>
      <w:r>
        <w:rPr>
          <w:rFonts w:hint="eastAsia" w:ascii="宋体" w:hAnsi="宋体" w:eastAsia="宋体" w:cs="宋体"/>
          <w:sz w:val="24"/>
          <w:szCs w:val="24"/>
        </w:rPr>
        <w:t>3.有其他违反本合同约定,在甲方要求整改的期限内仍不能达到要求的。</w:t>
      </w:r>
    </w:p>
    <w:p w14:paraId="7AA33698">
      <w:pPr>
        <w:pStyle w:val="7"/>
        <w:spacing w:line="240" w:lineRule="auto"/>
        <w:rPr>
          <w:rFonts w:hint="eastAsia" w:ascii="宋体" w:hAnsi="宋体" w:eastAsia="宋体" w:cs="宋体"/>
          <w:sz w:val="24"/>
          <w:szCs w:val="24"/>
        </w:rPr>
      </w:pPr>
      <w:r>
        <w:rPr>
          <w:rFonts w:hint="eastAsia" w:ascii="宋体" w:hAnsi="宋体" w:eastAsia="宋体" w:cs="宋体"/>
          <w:sz w:val="24"/>
          <w:szCs w:val="24"/>
        </w:rPr>
        <w:t>第十一条  争议解决方式</w:t>
      </w:r>
    </w:p>
    <w:p w14:paraId="627258AE">
      <w:pPr>
        <w:adjustRightInd w:val="0"/>
        <w:ind w:left="1" w:firstLine="530" w:firstLineChars="221"/>
        <w:rPr>
          <w:rFonts w:hint="eastAsia" w:ascii="宋体" w:hAnsi="宋体" w:eastAsia="宋体" w:cs="宋体"/>
          <w:sz w:val="24"/>
          <w:szCs w:val="24"/>
        </w:rPr>
      </w:pPr>
      <w:r>
        <w:rPr>
          <w:rFonts w:hint="eastAsia" w:ascii="宋体" w:hAnsi="宋体" w:eastAsia="宋体" w:cs="宋体"/>
          <w:sz w:val="24"/>
          <w:szCs w:val="24"/>
        </w:rPr>
        <w:t>本合同发生争议时，双方应友好协商解决。协商不成的，向甲方住所地有管辖权的人民法院提起诉讼。</w:t>
      </w:r>
    </w:p>
    <w:p w14:paraId="57C107F7">
      <w:pPr>
        <w:pStyle w:val="7"/>
        <w:spacing w:line="240" w:lineRule="auto"/>
        <w:rPr>
          <w:rFonts w:hint="eastAsia" w:ascii="宋体" w:hAnsi="宋体" w:eastAsia="宋体" w:cs="宋体"/>
          <w:sz w:val="24"/>
          <w:szCs w:val="24"/>
        </w:rPr>
      </w:pPr>
      <w:r>
        <w:rPr>
          <w:rFonts w:hint="eastAsia" w:ascii="宋体" w:hAnsi="宋体" w:eastAsia="宋体" w:cs="宋体"/>
          <w:sz w:val="24"/>
          <w:szCs w:val="24"/>
        </w:rPr>
        <w:t>第十二条  其他事项</w:t>
      </w:r>
    </w:p>
    <w:p w14:paraId="235B7921">
      <w:pPr>
        <w:adjustRightInd w:val="0"/>
        <w:ind w:firstLine="482" w:firstLineChars="200"/>
        <w:rPr>
          <w:rFonts w:hint="eastAsia" w:ascii="宋体" w:hAnsi="宋体" w:eastAsia="宋体" w:cs="宋体"/>
          <w:sz w:val="24"/>
          <w:szCs w:val="24"/>
        </w:rPr>
      </w:pPr>
      <w:r>
        <w:rPr>
          <w:rFonts w:hint="eastAsia" w:ascii="宋体" w:hAnsi="宋体" w:eastAsia="宋体" w:cs="宋体"/>
          <w:b/>
          <w:sz w:val="24"/>
          <w:szCs w:val="24"/>
        </w:rPr>
        <w:t>1.不可抗力约定。</w:t>
      </w:r>
      <w:r>
        <w:rPr>
          <w:rFonts w:hint="eastAsia" w:ascii="宋体" w:hAnsi="宋体" w:eastAsia="宋体" w:cs="宋体"/>
          <w:sz w:val="24"/>
          <w:szCs w:val="24"/>
        </w:rPr>
        <w:t>发生不能预见、不可避免、不能克服的不可抗力导致合同不能履行或部分不能履行的，应及时通知对方，以减轻给对方造成的损失，并由受不可抗力影响的一方在合理期限内提供证明。</w:t>
      </w:r>
    </w:p>
    <w:p w14:paraId="0742BE22">
      <w:pPr>
        <w:ind w:firstLine="482" w:firstLineChars="200"/>
        <w:rPr>
          <w:rFonts w:hint="eastAsia" w:ascii="宋体" w:hAnsi="宋体" w:eastAsia="宋体" w:cs="宋体"/>
          <w:sz w:val="24"/>
          <w:szCs w:val="24"/>
        </w:rPr>
      </w:pPr>
      <w:r>
        <w:rPr>
          <w:rFonts w:hint="eastAsia" w:ascii="宋体" w:hAnsi="宋体" w:eastAsia="宋体" w:cs="宋体"/>
          <w:b/>
          <w:bCs/>
          <w:sz w:val="24"/>
          <w:szCs w:val="24"/>
        </w:rPr>
        <w:t>2.文字效力</w:t>
      </w:r>
      <w:r>
        <w:rPr>
          <w:rFonts w:hint="eastAsia" w:ascii="宋体" w:hAnsi="宋体" w:eastAsia="宋体" w:cs="宋体"/>
          <w:bCs/>
          <w:sz w:val="24"/>
          <w:szCs w:val="24"/>
        </w:rPr>
        <w:t>。</w:t>
      </w:r>
      <w:r>
        <w:rPr>
          <w:rFonts w:hint="eastAsia" w:ascii="宋体" w:hAnsi="宋体" w:eastAsia="宋体" w:cs="宋体"/>
          <w:sz w:val="24"/>
          <w:szCs w:val="24"/>
        </w:rPr>
        <w:t>本合同采取中文为标准文字。</w:t>
      </w:r>
    </w:p>
    <w:p w14:paraId="2684DB58">
      <w:pPr>
        <w:ind w:firstLine="482" w:firstLineChars="200"/>
        <w:rPr>
          <w:rFonts w:hint="eastAsia" w:ascii="宋体" w:hAnsi="宋体" w:eastAsia="宋体" w:cs="宋体"/>
          <w:sz w:val="24"/>
          <w:szCs w:val="24"/>
        </w:rPr>
      </w:pPr>
      <w:r>
        <w:rPr>
          <w:rFonts w:hint="eastAsia" w:ascii="宋体" w:hAnsi="宋体" w:eastAsia="宋体" w:cs="宋体"/>
          <w:b/>
          <w:bCs/>
          <w:sz w:val="24"/>
          <w:szCs w:val="24"/>
        </w:rPr>
        <w:t>3.合同生效</w:t>
      </w:r>
      <w:r>
        <w:rPr>
          <w:rFonts w:hint="eastAsia" w:ascii="宋体" w:hAnsi="宋体" w:eastAsia="宋体" w:cs="宋体"/>
          <w:bCs/>
          <w:sz w:val="24"/>
          <w:szCs w:val="24"/>
        </w:rPr>
        <w:t>。</w:t>
      </w:r>
      <w:r>
        <w:rPr>
          <w:rFonts w:hint="eastAsia" w:ascii="宋体" w:hAnsi="宋体" w:eastAsia="宋体" w:cs="宋体"/>
          <w:sz w:val="24"/>
          <w:szCs w:val="24"/>
        </w:rPr>
        <w:t>本合同自双方法定代表人或授权代表签名加盖公章或合同专用章之日起生效。</w:t>
      </w:r>
    </w:p>
    <w:p w14:paraId="51DF9343">
      <w:pPr>
        <w:ind w:firstLine="482" w:firstLineChars="200"/>
        <w:rPr>
          <w:rFonts w:hint="eastAsia" w:ascii="宋体" w:hAnsi="宋体" w:eastAsia="宋体" w:cs="宋体"/>
          <w:bCs/>
          <w:sz w:val="24"/>
          <w:szCs w:val="24"/>
        </w:rPr>
      </w:pPr>
      <w:r>
        <w:rPr>
          <w:rFonts w:hint="eastAsia" w:ascii="宋体" w:hAnsi="宋体" w:eastAsia="宋体" w:cs="宋体"/>
          <w:b/>
          <w:bCs/>
          <w:sz w:val="24"/>
          <w:szCs w:val="24"/>
        </w:rPr>
        <w:t>4.合同份数</w:t>
      </w:r>
      <w:r>
        <w:rPr>
          <w:rFonts w:hint="eastAsia" w:ascii="宋体" w:hAnsi="宋体" w:eastAsia="宋体" w:cs="宋体"/>
          <w:bCs/>
          <w:sz w:val="24"/>
          <w:szCs w:val="24"/>
        </w:rPr>
        <w:t>。</w:t>
      </w:r>
      <w:r>
        <w:rPr>
          <w:rFonts w:hint="eastAsia" w:ascii="宋体" w:hAnsi="宋体" w:eastAsia="宋体" w:cs="宋体"/>
          <w:sz w:val="24"/>
          <w:szCs w:val="24"/>
        </w:rPr>
        <w:t>本合同一式</w:t>
      </w:r>
      <w:r>
        <w:rPr>
          <w:rFonts w:hint="eastAsia" w:ascii="宋体" w:hAnsi="宋体" w:eastAsia="宋体" w:cs="宋体"/>
          <w:bCs/>
          <w:kern w:val="0"/>
          <w:sz w:val="24"/>
          <w:szCs w:val="24"/>
          <w:u w:val="single"/>
        </w:rPr>
        <w:t>贰</w:t>
      </w:r>
      <w:r>
        <w:rPr>
          <w:rFonts w:hint="eastAsia" w:ascii="宋体" w:hAnsi="宋体" w:eastAsia="宋体" w:cs="宋体"/>
          <w:sz w:val="24"/>
          <w:szCs w:val="24"/>
        </w:rPr>
        <w:t>份，甲方执</w:t>
      </w:r>
      <w:r>
        <w:rPr>
          <w:rFonts w:hint="eastAsia" w:ascii="宋体" w:hAnsi="宋体" w:eastAsia="宋体" w:cs="宋体"/>
          <w:bCs/>
          <w:kern w:val="0"/>
          <w:sz w:val="24"/>
          <w:szCs w:val="24"/>
          <w:u w:val="single"/>
        </w:rPr>
        <w:t>壹</w:t>
      </w:r>
      <w:r>
        <w:rPr>
          <w:rFonts w:hint="eastAsia" w:ascii="宋体" w:hAnsi="宋体" w:eastAsia="宋体" w:cs="宋体"/>
          <w:sz w:val="24"/>
          <w:szCs w:val="24"/>
        </w:rPr>
        <w:t>份、乙方执</w:t>
      </w:r>
      <w:r>
        <w:rPr>
          <w:rFonts w:hint="eastAsia" w:ascii="宋体" w:hAnsi="宋体" w:eastAsia="宋体" w:cs="宋体"/>
          <w:bCs/>
          <w:kern w:val="0"/>
          <w:sz w:val="24"/>
          <w:szCs w:val="24"/>
          <w:u w:val="single"/>
        </w:rPr>
        <w:t>壹</w:t>
      </w:r>
      <w:r>
        <w:rPr>
          <w:rFonts w:hint="eastAsia" w:ascii="宋体" w:hAnsi="宋体" w:eastAsia="宋体" w:cs="宋体"/>
          <w:sz w:val="24"/>
          <w:szCs w:val="24"/>
        </w:rPr>
        <w:t>份，具有同等法律效力。</w:t>
      </w:r>
    </w:p>
    <w:p w14:paraId="09215872">
      <w:pPr>
        <w:ind w:firstLine="482" w:firstLineChars="200"/>
        <w:rPr>
          <w:rFonts w:hint="eastAsia" w:ascii="宋体" w:hAnsi="宋体" w:eastAsia="宋体" w:cs="宋体"/>
          <w:sz w:val="24"/>
          <w:szCs w:val="24"/>
        </w:rPr>
      </w:pPr>
      <w:r>
        <w:rPr>
          <w:rFonts w:hint="eastAsia" w:ascii="宋体" w:hAnsi="宋体" w:eastAsia="宋体" w:cs="宋体"/>
          <w:b/>
          <w:bCs/>
          <w:sz w:val="24"/>
          <w:szCs w:val="24"/>
        </w:rPr>
        <w:t>5.未尽事宜</w:t>
      </w:r>
      <w:r>
        <w:rPr>
          <w:rFonts w:hint="eastAsia" w:ascii="宋体" w:hAnsi="宋体" w:eastAsia="宋体" w:cs="宋体"/>
          <w:bCs/>
          <w:sz w:val="24"/>
          <w:szCs w:val="24"/>
        </w:rPr>
        <w:t>。</w:t>
      </w:r>
      <w:r>
        <w:rPr>
          <w:rFonts w:hint="eastAsia" w:ascii="宋体" w:hAnsi="宋体" w:eastAsia="宋体" w:cs="宋体"/>
          <w:sz w:val="24"/>
          <w:szCs w:val="24"/>
        </w:rPr>
        <w:t>双方另行协商确定。</w:t>
      </w:r>
    </w:p>
    <w:p w14:paraId="5F4ABE7E">
      <w:pPr>
        <w:pStyle w:val="6"/>
        <w:keepNext w:val="0"/>
        <w:tabs>
          <w:tab w:val="left" w:pos="1830"/>
        </w:tabs>
        <w:spacing w:before="240" w:after="240" w:line="360" w:lineRule="auto"/>
        <w:rPr>
          <w:rFonts w:hint="eastAsia" w:ascii="宋体" w:hAnsi="宋体" w:eastAsia="宋体"/>
          <w:sz w:val="21"/>
          <w:szCs w:val="21"/>
        </w:rPr>
      </w:pPr>
      <w:r>
        <w:rPr>
          <w:rFonts w:hint="eastAsia" w:ascii="宋体" w:hAnsi="宋体" w:eastAsia="宋体" w:cs="宋体"/>
          <w:sz w:val="24"/>
          <w:szCs w:val="24"/>
        </w:rPr>
        <w:t>第十三条</w:t>
      </w:r>
      <w:r>
        <w:rPr>
          <w:rFonts w:hint="eastAsia" w:ascii="宋体" w:hAnsi="宋体" w:eastAsia="宋体"/>
          <w:sz w:val="21"/>
          <w:szCs w:val="21"/>
        </w:rPr>
        <w:t>、</w:t>
      </w:r>
      <w:r>
        <w:rPr>
          <w:rFonts w:hint="eastAsia" w:ascii="宋体" w:hAnsi="宋体" w:eastAsia="宋体" w:cs="宋体"/>
          <w:sz w:val="24"/>
          <w:szCs w:val="24"/>
        </w:rPr>
        <w:t>其他</w:t>
      </w:r>
    </w:p>
    <w:p w14:paraId="517AC0A3">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1、本合同未尽事宜双方协商解决，可以另订补充协议。</w:t>
      </w:r>
    </w:p>
    <w:p w14:paraId="6D3D1763">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2、本合同的签订地为甲方的住所地。</w:t>
      </w:r>
    </w:p>
    <w:p w14:paraId="5BB71990">
      <w:pPr>
        <w:adjustRightInd w:val="0"/>
        <w:ind w:firstLine="480" w:firstLineChars="200"/>
        <w:rPr>
          <w:rFonts w:hint="eastAsia" w:ascii="宋体" w:hAnsi="宋体" w:eastAsia="宋体" w:cs="宋体"/>
          <w:sz w:val="24"/>
          <w:szCs w:val="24"/>
        </w:rPr>
      </w:pPr>
      <w:bookmarkStart w:id="2" w:name="_Hlk147659082"/>
      <w:r>
        <w:rPr>
          <w:rFonts w:hint="eastAsia" w:ascii="宋体" w:hAnsi="宋体" w:eastAsia="宋体" w:cs="宋体"/>
          <w:sz w:val="24"/>
          <w:szCs w:val="24"/>
        </w:rPr>
        <w:t>3、本合同一式贰份，双方各执壹份。</w:t>
      </w:r>
    </w:p>
    <w:bookmarkEnd w:id="2"/>
    <w:p w14:paraId="1A5C9909">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4、本合同附件：</w:t>
      </w:r>
    </w:p>
    <w:p w14:paraId="6D679B13">
      <w:pPr>
        <w:pStyle w:val="2"/>
        <w:ind w:left="840" w:leftChars="400" w:firstLine="0"/>
        <w:rPr>
          <w:rFonts w:hint="eastAsia" w:ascii="宋体" w:hAnsi="宋体" w:eastAsia="宋体" w:cs="宋体"/>
          <w:sz w:val="24"/>
          <w:szCs w:val="24"/>
        </w:rPr>
      </w:pPr>
      <w:r>
        <w:rPr>
          <w:rFonts w:hint="eastAsia" w:ascii="宋体" w:hAnsi="宋体" w:eastAsia="宋体" w:cs="宋体"/>
          <w:sz w:val="24"/>
          <w:szCs w:val="24"/>
        </w:rPr>
        <w:t>附件1：工作量结算单</w:t>
      </w:r>
    </w:p>
    <w:p w14:paraId="3AB51992">
      <w:pPr>
        <w:adjustRightInd w:val="0"/>
        <w:ind w:firstLine="480" w:firstLineChars="200"/>
        <w:rPr>
          <w:rFonts w:hint="eastAsia" w:ascii="宋体" w:hAnsi="宋体" w:eastAsia="宋体" w:cs="宋体"/>
          <w:sz w:val="24"/>
          <w:szCs w:val="24"/>
        </w:rPr>
      </w:pPr>
      <w:r>
        <w:rPr>
          <w:rFonts w:hint="eastAsia" w:ascii="宋体" w:hAnsi="宋体" w:eastAsia="宋体" w:cs="宋体"/>
          <w:sz w:val="24"/>
          <w:szCs w:val="24"/>
        </w:rPr>
        <w:t>（本页以下无正文）</w:t>
      </w:r>
    </w:p>
    <w:p w14:paraId="50A2BEA5">
      <w:pPr>
        <w:pStyle w:val="4"/>
        <w:ind w:left="63" w:right="63"/>
        <w:rPr>
          <w:rFonts w:hint="eastAsia" w:ascii="宋体" w:hAnsi="宋体" w:eastAsia="宋体"/>
        </w:rPr>
      </w:pPr>
    </w:p>
    <w:p w14:paraId="0E789A29">
      <w:pPr>
        <w:pStyle w:val="4"/>
        <w:ind w:left="63" w:right="63"/>
        <w:rPr>
          <w:rFonts w:hint="eastAsia" w:ascii="宋体" w:hAnsi="宋体" w:eastAsia="宋体" w:cs="宋体"/>
          <w:sz w:val="24"/>
          <w:szCs w:val="24"/>
        </w:rPr>
      </w:pPr>
    </w:p>
    <w:p w14:paraId="43BEBEAE">
      <w:pPr>
        <w:rPr>
          <w:rFonts w:hint="eastAsia" w:ascii="宋体" w:hAnsi="宋体" w:eastAsia="宋体"/>
        </w:rPr>
      </w:pPr>
    </w:p>
    <w:tbl>
      <w:tblPr>
        <w:tblStyle w:val="12"/>
        <w:tblW w:w="9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7"/>
        <w:gridCol w:w="4467"/>
      </w:tblGrid>
      <w:tr w14:paraId="5057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4777" w:type="dxa"/>
          </w:tcPr>
          <w:p w14:paraId="07A6045D">
            <w:pPr>
              <w:rPr>
                <w:rFonts w:hint="eastAsia" w:ascii="宋体" w:hAnsi="宋体" w:eastAsia="宋体" w:cs="仿宋"/>
                <w:sz w:val="24"/>
                <w:szCs w:val="24"/>
              </w:rPr>
            </w:pPr>
            <w:r>
              <w:rPr>
                <w:rFonts w:hint="eastAsia" w:ascii="宋体" w:hAnsi="宋体" w:eastAsia="宋体" w:cs="仿宋"/>
                <w:kern w:val="0"/>
                <w:sz w:val="24"/>
                <w:szCs w:val="24"/>
              </w:rPr>
              <w:br w:type="page"/>
            </w:r>
            <w:r>
              <w:rPr>
                <w:rFonts w:hint="eastAsia" w:ascii="宋体" w:hAnsi="宋体" w:eastAsia="宋体" w:cs="仿宋"/>
                <w:sz w:val="24"/>
                <w:szCs w:val="24"/>
              </w:rPr>
              <w:t>甲方：</w:t>
            </w:r>
            <w:r>
              <w:rPr>
                <w:rFonts w:hint="eastAsia" w:ascii="宋体" w:hAnsi="宋体" w:eastAsia="宋体" w:cs="宋体"/>
                <w:sz w:val="24"/>
                <w:szCs w:val="24"/>
              </w:rPr>
              <w:t>北京先进数通信息技术股份公司</w:t>
            </w:r>
          </w:p>
          <w:p w14:paraId="07020D86">
            <w:pPr>
              <w:rPr>
                <w:rFonts w:hint="eastAsia" w:ascii="宋体" w:hAnsi="宋体" w:eastAsia="宋体" w:cs="仿宋"/>
                <w:sz w:val="24"/>
                <w:szCs w:val="24"/>
              </w:rPr>
            </w:pPr>
            <w:r>
              <w:rPr>
                <w:rFonts w:hint="eastAsia" w:ascii="宋体" w:hAnsi="宋体" w:eastAsia="宋体" w:cs="仿宋"/>
                <w:sz w:val="24"/>
                <w:szCs w:val="24"/>
              </w:rPr>
              <w:t xml:space="preserve"> </w:t>
            </w:r>
          </w:p>
          <w:p w14:paraId="74CD87D2">
            <w:pPr>
              <w:pStyle w:val="2"/>
              <w:rPr>
                <w:rFonts w:hint="eastAsia" w:ascii="宋体" w:hAnsi="宋体" w:eastAsia="宋体" w:cs="仿宋"/>
                <w:sz w:val="24"/>
                <w:szCs w:val="24"/>
              </w:rPr>
            </w:pPr>
          </w:p>
          <w:p w14:paraId="0BE081B2">
            <w:pPr>
              <w:rPr>
                <w:rFonts w:hint="eastAsia" w:ascii="宋体" w:hAnsi="宋体" w:eastAsia="宋体" w:cs="仿宋"/>
                <w:kern w:val="0"/>
                <w:sz w:val="24"/>
                <w:szCs w:val="24"/>
              </w:rPr>
            </w:pPr>
            <w:r>
              <w:rPr>
                <w:rFonts w:hint="eastAsia" w:ascii="宋体" w:hAnsi="宋体" w:eastAsia="宋体" w:cs="仿宋"/>
                <w:kern w:val="0"/>
                <w:sz w:val="24"/>
                <w:szCs w:val="24"/>
              </w:rPr>
              <w:t>（盖章）</w:t>
            </w:r>
          </w:p>
          <w:p w14:paraId="3EDC4DA0">
            <w:pPr>
              <w:rPr>
                <w:rFonts w:hint="eastAsia" w:ascii="宋体" w:hAnsi="宋体" w:eastAsia="宋体" w:cs="仿宋"/>
                <w:sz w:val="24"/>
                <w:szCs w:val="24"/>
              </w:rPr>
            </w:pPr>
          </w:p>
        </w:tc>
        <w:tc>
          <w:tcPr>
            <w:tcW w:w="4467" w:type="dxa"/>
          </w:tcPr>
          <w:p w14:paraId="249AC34D">
            <w:pPr>
              <w:ind w:firstLine="422"/>
              <w:jc w:val="left"/>
              <w:rPr>
                <w:rFonts w:hint="eastAsia" w:ascii="宋体" w:hAnsi="宋体" w:eastAsia="宋体" w:cs="仿宋"/>
                <w:sz w:val="24"/>
                <w:szCs w:val="24"/>
              </w:rPr>
            </w:pPr>
            <w:r>
              <w:rPr>
                <w:rFonts w:hint="eastAsia" w:ascii="宋体" w:hAnsi="宋体" w:eastAsia="宋体" w:cs="仿宋"/>
                <w:sz w:val="24"/>
                <w:szCs w:val="24"/>
              </w:rPr>
              <w:t>乙方：北京创联致信科技有限公司</w:t>
            </w:r>
          </w:p>
          <w:p w14:paraId="60432215">
            <w:pPr>
              <w:rPr>
                <w:rFonts w:hint="eastAsia" w:ascii="宋体" w:hAnsi="宋体" w:eastAsia="宋体" w:cs="仿宋"/>
                <w:sz w:val="24"/>
                <w:szCs w:val="24"/>
              </w:rPr>
            </w:pPr>
          </w:p>
          <w:p w14:paraId="0A7F79EA">
            <w:pPr>
              <w:rPr>
                <w:rFonts w:hint="eastAsia" w:ascii="宋体" w:hAnsi="宋体" w:eastAsia="宋体" w:cs="仿宋"/>
                <w:sz w:val="24"/>
                <w:szCs w:val="24"/>
              </w:rPr>
            </w:pPr>
          </w:p>
          <w:p w14:paraId="5774CA44">
            <w:pPr>
              <w:pStyle w:val="2"/>
              <w:rPr>
                <w:rFonts w:hint="eastAsia" w:ascii="宋体" w:hAnsi="宋体" w:eastAsia="宋体" w:cs="仿宋"/>
                <w:sz w:val="24"/>
                <w:szCs w:val="24"/>
              </w:rPr>
            </w:pPr>
          </w:p>
          <w:p w14:paraId="36807EC0">
            <w:pPr>
              <w:rPr>
                <w:rFonts w:hint="eastAsia" w:ascii="宋体" w:hAnsi="宋体" w:eastAsia="宋体" w:cs="仿宋"/>
                <w:kern w:val="0"/>
                <w:sz w:val="24"/>
                <w:szCs w:val="24"/>
              </w:rPr>
            </w:pPr>
            <w:r>
              <w:rPr>
                <w:rFonts w:hint="eastAsia" w:ascii="宋体" w:hAnsi="宋体" w:eastAsia="宋体" w:cs="仿宋"/>
                <w:kern w:val="0"/>
                <w:sz w:val="24"/>
                <w:szCs w:val="24"/>
              </w:rPr>
              <w:t>（盖章）</w:t>
            </w:r>
          </w:p>
          <w:p w14:paraId="7A8B62BD">
            <w:pPr>
              <w:rPr>
                <w:rFonts w:hint="eastAsia" w:ascii="宋体" w:hAnsi="宋体" w:eastAsia="宋体" w:cs="仿宋"/>
                <w:sz w:val="24"/>
                <w:szCs w:val="24"/>
              </w:rPr>
            </w:pPr>
          </w:p>
        </w:tc>
      </w:tr>
      <w:tr w14:paraId="314E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777" w:type="dxa"/>
          </w:tcPr>
          <w:p w14:paraId="577D1396">
            <w:pPr>
              <w:rPr>
                <w:rFonts w:hint="eastAsia" w:ascii="宋体" w:hAnsi="宋体" w:eastAsia="宋体" w:cs="仿宋"/>
                <w:kern w:val="0"/>
                <w:sz w:val="24"/>
                <w:szCs w:val="24"/>
              </w:rPr>
            </w:pPr>
            <w:r>
              <w:rPr>
                <w:rFonts w:hint="eastAsia" w:ascii="宋体" w:hAnsi="宋体" w:eastAsia="宋体" w:cs="仿宋"/>
                <w:kern w:val="0"/>
                <w:sz w:val="24"/>
                <w:szCs w:val="24"/>
              </w:rPr>
              <w:t>法定代表人或委托代理人：</w:t>
            </w:r>
          </w:p>
          <w:p w14:paraId="746547D7">
            <w:pPr>
              <w:rPr>
                <w:rFonts w:hint="eastAsia" w:ascii="宋体" w:hAnsi="宋体" w:eastAsia="宋体" w:cs="仿宋"/>
                <w:sz w:val="24"/>
                <w:szCs w:val="24"/>
              </w:rPr>
            </w:pPr>
          </w:p>
          <w:p w14:paraId="6C8207F3">
            <w:pPr>
              <w:rPr>
                <w:rFonts w:hint="eastAsia" w:ascii="宋体" w:hAnsi="宋体" w:eastAsia="宋体" w:cs="仿宋"/>
                <w:sz w:val="24"/>
                <w:szCs w:val="24"/>
              </w:rPr>
            </w:pPr>
          </w:p>
          <w:p w14:paraId="5377F76D">
            <w:pPr>
              <w:rPr>
                <w:rFonts w:hint="eastAsia" w:ascii="宋体" w:hAnsi="宋体" w:eastAsia="宋体" w:cs="仿宋"/>
                <w:sz w:val="24"/>
                <w:szCs w:val="24"/>
              </w:rPr>
            </w:pPr>
          </w:p>
        </w:tc>
        <w:tc>
          <w:tcPr>
            <w:tcW w:w="4467" w:type="dxa"/>
          </w:tcPr>
          <w:p w14:paraId="3C5BFE12">
            <w:pPr>
              <w:rPr>
                <w:rFonts w:hint="eastAsia" w:ascii="宋体" w:hAnsi="宋体" w:eastAsia="宋体" w:cs="仿宋"/>
                <w:kern w:val="0"/>
                <w:sz w:val="24"/>
                <w:szCs w:val="24"/>
              </w:rPr>
            </w:pPr>
            <w:r>
              <w:rPr>
                <w:rFonts w:hint="eastAsia" w:ascii="宋体" w:hAnsi="宋体" w:eastAsia="宋体" w:cs="仿宋"/>
                <w:kern w:val="0"/>
                <w:sz w:val="24"/>
                <w:szCs w:val="24"/>
              </w:rPr>
              <w:t>法定代表人或委托代理人：</w:t>
            </w:r>
          </w:p>
          <w:p w14:paraId="302EBA7A">
            <w:pPr>
              <w:rPr>
                <w:rFonts w:hint="eastAsia" w:ascii="宋体" w:hAnsi="宋体" w:eastAsia="宋体" w:cs="仿宋"/>
                <w:sz w:val="24"/>
                <w:szCs w:val="24"/>
              </w:rPr>
            </w:pPr>
          </w:p>
          <w:p w14:paraId="0BB4AE2B">
            <w:pPr>
              <w:rPr>
                <w:rFonts w:hint="eastAsia" w:ascii="宋体" w:hAnsi="宋体" w:eastAsia="宋体" w:cs="仿宋"/>
                <w:sz w:val="24"/>
                <w:szCs w:val="24"/>
              </w:rPr>
            </w:pPr>
          </w:p>
          <w:p w14:paraId="2D8A64EA">
            <w:pPr>
              <w:rPr>
                <w:rFonts w:hint="eastAsia" w:ascii="宋体" w:hAnsi="宋体" w:eastAsia="宋体" w:cs="仿宋"/>
                <w:sz w:val="24"/>
                <w:szCs w:val="24"/>
              </w:rPr>
            </w:pPr>
          </w:p>
        </w:tc>
      </w:tr>
      <w:tr w14:paraId="7925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4777" w:type="dxa"/>
          </w:tcPr>
          <w:p w14:paraId="1F66B82F">
            <w:pPr>
              <w:rPr>
                <w:rFonts w:hint="eastAsia" w:ascii="宋体" w:hAnsi="宋体" w:eastAsia="宋体" w:cs="仿宋"/>
                <w:kern w:val="0"/>
                <w:sz w:val="24"/>
                <w:szCs w:val="24"/>
              </w:rPr>
            </w:pPr>
            <w:r>
              <w:rPr>
                <w:rFonts w:hint="eastAsia" w:ascii="宋体" w:hAnsi="宋体" w:eastAsia="宋体" w:cs="仿宋"/>
                <w:kern w:val="0"/>
                <w:sz w:val="24"/>
                <w:szCs w:val="24"/>
              </w:rPr>
              <w:t>日期：</w:t>
            </w:r>
          </w:p>
          <w:p w14:paraId="42B495A7">
            <w:pPr>
              <w:rPr>
                <w:rFonts w:hint="eastAsia" w:ascii="宋体" w:hAnsi="宋体" w:eastAsia="宋体" w:cs="仿宋"/>
                <w:b/>
                <w:sz w:val="24"/>
                <w:szCs w:val="24"/>
              </w:rPr>
            </w:pPr>
          </w:p>
          <w:p w14:paraId="24DDF273">
            <w:pPr>
              <w:rPr>
                <w:rFonts w:hint="eastAsia" w:ascii="宋体" w:hAnsi="宋体" w:eastAsia="宋体" w:cs="仿宋"/>
                <w:b/>
                <w:sz w:val="24"/>
                <w:szCs w:val="24"/>
              </w:rPr>
            </w:pPr>
          </w:p>
        </w:tc>
        <w:tc>
          <w:tcPr>
            <w:tcW w:w="4467" w:type="dxa"/>
          </w:tcPr>
          <w:p w14:paraId="71AAE3E4">
            <w:pPr>
              <w:rPr>
                <w:rFonts w:hint="eastAsia" w:ascii="宋体" w:hAnsi="宋体" w:eastAsia="宋体" w:cs="仿宋"/>
                <w:kern w:val="0"/>
                <w:sz w:val="24"/>
                <w:szCs w:val="24"/>
              </w:rPr>
            </w:pPr>
            <w:r>
              <w:rPr>
                <w:rFonts w:hint="eastAsia" w:ascii="宋体" w:hAnsi="宋体" w:eastAsia="宋体" w:cs="仿宋"/>
                <w:kern w:val="0"/>
                <w:sz w:val="24"/>
                <w:szCs w:val="24"/>
              </w:rPr>
              <w:t>日期：</w:t>
            </w:r>
          </w:p>
          <w:p w14:paraId="43F591EC">
            <w:pPr>
              <w:rPr>
                <w:rFonts w:hint="eastAsia" w:ascii="宋体" w:hAnsi="宋体" w:eastAsia="宋体" w:cs="仿宋"/>
                <w:b/>
                <w:sz w:val="24"/>
                <w:szCs w:val="24"/>
              </w:rPr>
            </w:pPr>
          </w:p>
          <w:p w14:paraId="3EEBDA62">
            <w:pPr>
              <w:rPr>
                <w:rFonts w:hint="eastAsia" w:ascii="宋体" w:hAnsi="宋体" w:eastAsia="宋体" w:cs="仿宋"/>
                <w:b/>
                <w:sz w:val="24"/>
                <w:szCs w:val="24"/>
              </w:rPr>
            </w:pPr>
          </w:p>
        </w:tc>
      </w:tr>
    </w:tbl>
    <w:p w14:paraId="38104A2A">
      <w:pPr>
        <w:pStyle w:val="4"/>
        <w:ind w:left="63" w:right="63"/>
        <w:rPr>
          <w:rFonts w:hint="eastAsia" w:ascii="宋体" w:hAnsi="宋体" w:eastAsia="宋体"/>
        </w:rPr>
      </w:pPr>
    </w:p>
    <w:p w14:paraId="63F9EEF8">
      <w:pPr>
        <w:rPr>
          <w:rFonts w:hint="eastAsia" w:ascii="宋体" w:hAnsi="宋体" w:eastAsia="宋体"/>
        </w:rPr>
      </w:pPr>
      <w:r>
        <w:rPr>
          <w:rFonts w:ascii="宋体" w:hAnsi="宋体" w:eastAsia="宋体"/>
        </w:rPr>
        <w:br w:type="page"/>
      </w:r>
    </w:p>
    <w:p w14:paraId="0CC7AF7B">
      <w:pPr>
        <w:pStyle w:val="6"/>
        <w:spacing w:before="312" w:after="312"/>
        <w:rPr>
          <w:rFonts w:hint="eastAsia" w:ascii="宋体" w:hAnsi="宋体" w:eastAsia="宋体" w:cs="等线"/>
          <w:color w:val="000000"/>
          <w:kern w:val="0"/>
          <w:sz w:val="24"/>
          <w:szCs w:val="24"/>
          <w:lang w:bidi="ar"/>
        </w:rPr>
      </w:pPr>
      <w:r>
        <w:rPr>
          <w:rFonts w:hint="eastAsia" w:ascii="宋体" w:hAnsi="宋体" w:eastAsia="宋体"/>
          <w:sz w:val="24"/>
          <w:szCs w:val="24"/>
          <w:lang w:bidi="en-US"/>
        </w:rPr>
        <w:t>附件1：</w:t>
      </w:r>
      <w:bookmarkStart w:id="3" w:name="_Hlk190280575"/>
      <w:r>
        <w:rPr>
          <w:rFonts w:hint="eastAsia" w:ascii="宋体" w:hAnsi="宋体" w:eastAsia="宋体" w:cs="等线"/>
          <w:color w:val="000000"/>
          <w:kern w:val="0"/>
          <w:sz w:val="24"/>
          <w:szCs w:val="24"/>
          <w:lang w:bidi="ar"/>
        </w:rPr>
        <w:t>工作量结算单</w:t>
      </w:r>
    </w:p>
    <w:p w14:paraId="754079E5">
      <w:pPr>
        <w:pStyle w:val="4"/>
        <w:ind w:left="63" w:right="63"/>
        <w:rPr>
          <w:b/>
          <w:bCs/>
          <w:sz w:val="36"/>
          <w:szCs w:val="36"/>
          <w:lang w:bidi="ar"/>
        </w:rPr>
      </w:pPr>
      <w:r>
        <w:rPr>
          <w:rFonts w:hint="eastAsia"/>
          <w:b/>
          <w:bCs/>
          <w:sz w:val="36"/>
          <w:szCs w:val="36"/>
          <w:lang w:bidi="ar"/>
        </w:rPr>
        <w:t>工作量确认单</w:t>
      </w:r>
    </w:p>
    <w:p w14:paraId="4A8541F7">
      <w:pPr>
        <w:rPr>
          <w:lang w:bidi="ar"/>
        </w:rPr>
      </w:pPr>
    </w:p>
    <w:p w14:paraId="58A8705D">
      <w:pPr>
        <w:ind w:firstLine="480" w:firstLineChars="200"/>
        <w:rPr>
          <w:rFonts w:hint="eastAsia" w:ascii="宋体" w:hAnsi="宋体" w:eastAsia="宋体" w:cs="宋体"/>
          <w:sz w:val="24"/>
          <w:szCs w:val="24"/>
        </w:rPr>
      </w:pPr>
      <w:bookmarkStart w:id="4" w:name="_Hlk190280152"/>
      <w:r>
        <w:rPr>
          <w:rFonts w:hint="eastAsia" w:ascii="宋体" w:hAnsi="宋体" w:eastAsia="宋体" w:cs="宋体"/>
          <w:sz w:val="24"/>
          <w:szCs w:val="24"/>
        </w:rPr>
        <w:t>北京创联致信科技有限公司</w:t>
      </w:r>
      <w:bookmarkEnd w:id="4"/>
      <w:r>
        <w:rPr>
          <w:rFonts w:hint="eastAsia" w:ascii="宋体" w:hAnsi="宋体" w:eastAsia="宋体" w:cs="宋体"/>
          <w:sz w:val="24"/>
          <w:szCs w:val="24"/>
        </w:rPr>
        <w:t>参与北京先进数通信息技术股份公司合同编号为XX的XX项目，服务时间自  年  月  日至  年  月  日，具体结算数据如下：</w:t>
      </w:r>
    </w:p>
    <w:p w14:paraId="3707368A">
      <w:pPr>
        <w:ind w:firstLine="440" w:firstLineChars="200"/>
        <w:rPr>
          <w:rFonts w:hint="eastAsia" w:ascii="等线" w:hAnsi="等线" w:eastAsia="等线" w:cs="等线"/>
          <w:color w:val="000000"/>
          <w:kern w:val="0"/>
          <w:sz w:val="22"/>
          <w:lang w:bidi="ar"/>
        </w:rPr>
      </w:pPr>
    </w:p>
    <w:tbl>
      <w:tblPr>
        <w:tblStyle w:val="12"/>
        <w:tblW w:w="5000" w:type="pct"/>
        <w:jc w:val="center"/>
        <w:tblLayout w:type="fixed"/>
        <w:tblCellMar>
          <w:top w:w="0" w:type="dxa"/>
          <w:left w:w="108" w:type="dxa"/>
          <w:bottom w:w="0" w:type="dxa"/>
          <w:right w:w="108" w:type="dxa"/>
        </w:tblCellMar>
      </w:tblPr>
      <w:tblGrid>
        <w:gridCol w:w="923"/>
        <w:gridCol w:w="1379"/>
        <w:gridCol w:w="1591"/>
        <w:gridCol w:w="1447"/>
        <w:gridCol w:w="1357"/>
        <w:gridCol w:w="729"/>
        <w:gridCol w:w="1096"/>
      </w:tblGrid>
      <w:tr w14:paraId="7632BC7F">
        <w:tblPrEx>
          <w:tblCellMar>
            <w:top w:w="0" w:type="dxa"/>
            <w:left w:w="108" w:type="dxa"/>
            <w:bottom w:w="0" w:type="dxa"/>
            <w:right w:w="108" w:type="dxa"/>
          </w:tblCellMar>
        </w:tblPrEx>
        <w:trPr>
          <w:trHeight w:val="300" w:hRule="atLeast"/>
          <w:jc w:val="center"/>
        </w:trPr>
        <w:tc>
          <w:tcPr>
            <w:tcW w:w="8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ADE3B0">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序号</w:t>
            </w:r>
          </w:p>
        </w:tc>
        <w:tc>
          <w:tcPr>
            <w:tcW w:w="134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504A0E4">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名称</w:t>
            </w:r>
          </w:p>
        </w:tc>
        <w:tc>
          <w:tcPr>
            <w:tcW w:w="15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9D2F62">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单价(RMB元)</w:t>
            </w:r>
          </w:p>
        </w:tc>
        <w:tc>
          <w:tcPr>
            <w:tcW w:w="1407" w:type="dxa"/>
            <w:tcBorders>
              <w:top w:val="single" w:color="000000" w:sz="8" w:space="0"/>
              <w:left w:val="single" w:color="000000" w:sz="8" w:space="0"/>
              <w:bottom w:val="single" w:color="000000" w:sz="8" w:space="0"/>
              <w:right w:val="single" w:color="000000" w:sz="8" w:space="0"/>
            </w:tcBorders>
          </w:tcPr>
          <w:p w14:paraId="5268CD2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数量/人月数</w:t>
            </w:r>
          </w:p>
        </w:tc>
        <w:tc>
          <w:tcPr>
            <w:tcW w:w="1319" w:type="dxa"/>
            <w:tcBorders>
              <w:top w:val="single" w:color="000000" w:sz="8" w:space="0"/>
              <w:left w:val="single" w:color="000000" w:sz="8" w:space="0"/>
              <w:bottom w:val="single" w:color="000000" w:sz="8" w:space="0"/>
              <w:right w:val="single" w:color="000000" w:sz="8" w:space="0"/>
            </w:tcBorders>
          </w:tcPr>
          <w:p w14:paraId="1CEF4F0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小计</w:t>
            </w:r>
          </w:p>
        </w:tc>
        <w:tc>
          <w:tcPr>
            <w:tcW w:w="709" w:type="dxa"/>
            <w:tcBorders>
              <w:top w:val="single" w:color="000000" w:sz="8" w:space="0"/>
              <w:left w:val="single" w:color="000000" w:sz="8" w:space="0"/>
              <w:bottom w:val="single" w:color="000000" w:sz="8" w:space="0"/>
              <w:right w:val="single" w:color="000000" w:sz="8" w:space="0"/>
            </w:tcBorders>
          </w:tcPr>
          <w:p w14:paraId="022F934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税率</w:t>
            </w:r>
          </w:p>
        </w:tc>
        <w:tc>
          <w:tcPr>
            <w:tcW w:w="1066" w:type="dxa"/>
            <w:tcBorders>
              <w:top w:val="single" w:color="000000" w:sz="8" w:space="0"/>
              <w:left w:val="single" w:color="000000" w:sz="8" w:space="0"/>
              <w:bottom w:val="single" w:color="000000" w:sz="8" w:space="0"/>
              <w:right w:val="single" w:color="000000" w:sz="8" w:space="0"/>
            </w:tcBorders>
          </w:tcPr>
          <w:p w14:paraId="2558CAE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备注</w:t>
            </w:r>
          </w:p>
        </w:tc>
      </w:tr>
      <w:tr w14:paraId="30EABAB0">
        <w:tblPrEx>
          <w:tblCellMar>
            <w:top w:w="0" w:type="dxa"/>
            <w:left w:w="108" w:type="dxa"/>
            <w:bottom w:w="0" w:type="dxa"/>
            <w:right w:w="108" w:type="dxa"/>
          </w:tblCellMar>
        </w:tblPrEx>
        <w:trPr>
          <w:trHeight w:val="430" w:hRule="atLeast"/>
          <w:jc w:val="center"/>
        </w:trPr>
        <w:tc>
          <w:tcPr>
            <w:tcW w:w="897" w:type="dxa"/>
            <w:tcBorders>
              <w:top w:val="nil"/>
              <w:left w:val="single" w:color="000000" w:sz="8" w:space="0"/>
              <w:bottom w:val="single" w:color="000000" w:sz="8" w:space="0"/>
              <w:right w:val="single" w:color="000000" w:sz="8" w:space="0"/>
            </w:tcBorders>
            <w:shd w:val="clear" w:color="auto" w:fill="auto"/>
            <w:vAlign w:val="center"/>
          </w:tcPr>
          <w:p w14:paraId="137657F1">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w:t>
            </w:r>
          </w:p>
        </w:tc>
        <w:tc>
          <w:tcPr>
            <w:tcW w:w="1341" w:type="dxa"/>
            <w:tcBorders>
              <w:top w:val="nil"/>
              <w:left w:val="single" w:color="000000" w:sz="8" w:space="0"/>
              <w:bottom w:val="single" w:color="000000" w:sz="8" w:space="0"/>
              <w:right w:val="single" w:color="000000" w:sz="8" w:space="0"/>
            </w:tcBorders>
            <w:shd w:val="clear" w:color="auto" w:fill="auto"/>
            <w:vAlign w:val="center"/>
          </w:tcPr>
          <w:p w14:paraId="3E187013">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盒条件关联管理系统</w:t>
            </w:r>
          </w:p>
        </w:tc>
        <w:tc>
          <w:tcPr>
            <w:tcW w:w="1547" w:type="dxa"/>
            <w:tcBorders>
              <w:top w:val="nil"/>
              <w:left w:val="single" w:color="000000" w:sz="8" w:space="0"/>
              <w:bottom w:val="single" w:color="000000" w:sz="8" w:space="0"/>
              <w:right w:val="single" w:color="000000" w:sz="8" w:space="0"/>
            </w:tcBorders>
            <w:shd w:val="clear" w:color="auto" w:fill="auto"/>
            <w:vAlign w:val="center"/>
          </w:tcPr>
          <w:p w14:paraId="4A90533B">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￥130,695.00</w:t>
            </w:r>
          </w:p>
        </w:tc>
        <w:tc>
          <w:tcPr>
            <w:tcW w:w="1407" w:type="dxa"/>
            <w:tcBorders>
              <w:top w:val="nil"/>
              <w:left w:val="single" w:color="000000" w:sz="8" w:space="0"/>
              <w:bottom w:val="single" w:color="000000" w:sz="8" w:space="0"/>
              <w:right w:val="single" w:color="000000" w:sz="8" w:space="0"/>
            </w:tcBorders>
          </w:tcPr>
          <w:p w14:paraId="2F1C07B9">
            <w:pPr>
              <w:widowControl/>
              <w:jc w:val="center"/>
              <w:textAlignment w:val="center"/>
              <w:rPr>
                <w:rFonts w:hint="eastAsia" w:ascii="宋体" w:hAnsi="宋体" w:eastAsia="宋体" w:cs="宋体"/>
                <w:color w:val="000000"/>
                <w:kern w:val="0"/>
                <w:szCs w:val="21"/>
                <w:lang w:bidi="ar"/>
              </w:rPr>
            </w:pPr>
          </w:p>
        </w:tc>
        <w:tc>
          <w:tcPr>
            <w:tcW w:w="1319" w:type="dxa"/>
            <w:tcBorders>
              <w:top w:val="nil"/>
              <w:left w:val="single" w:color="000000" w:sz="8" w:space="0"/>
              <w:bottom w:val="single" w:color="000000" w:sz="8" w:space="0"/>
              <w:right w:val="single" w:color="000000" w:sz="8" w:space="0"/>
            </w:tcBorders>
          </w:tcPr>
          <w:p w14:paraId="790DDCF4">
            <w:pPr>
              <w:widowControl/>
              <w:jc w:val="center"/>
              <w:textAlignment w:val="center"/>
              <w:rPr>
                <w:rFonts w:hint="eastAsia" w:ascii="宋体" w:hAnsi="宋体" w:eastAsia="宋体" w:cs="宋体"/>
                <w:color w:val="000000"/>
                <w:kern w:val="0"/>
                <w:szCs w:val="21"/>
                <w:lang w:bidi="ar"/>
              </w:rPr>
            </w:pPr>
          </w:p>
        </w:tc>
        <w:tc>
          <w:tcPr>
            <w:tcW w:w="709" w:type="dxa"/>
            <w:tcBorders>
              <w:top w:val="nil"/>
              <w:left w:val="single" w:color="000000" w:sz="8" w:space="0"/>
              <w:bottom w:val="single" w:color="000000" w:sz="8" w:space="0"/>
              <w:right w:val="single" w:color="000000" w:sz="8" w:space="0"/>
            </w:tcBorders>
          </w:tcPr>
          <w:p w14:paraId="1DD5DF7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13%</w:t>
            </w:r>
          </w:p>
        </w:tc>
        <w:tc>
          <w:tcPr>
            <w:tcW w:w="1066" w:type="dxa"/>
            <w:tcBorders>
              <w:top w:val="nil"/>
              <w:left w:val="single" w:color="000000" w:sz="8" w:space="0"/>
              <w:bottom w:val="single" w:color="000000" w:sz="8" w:space="0"/>
              <w:right w:val="single" w:color="000000" w:sz="8" w:space="0"/>
            </w:tcBorders>
          </w:tcPr>
          <w:p w14:paraId="2D667B4D">
            <w:pPr>
              <w:widowControl/>
              <w:jc w:val="center"/>
              <w:textAlignment w:val="center"/>
              <w:rPr>
                <w:rFonts w:hint="eastAsia" w:ascii="宋体" w:hAnsi="宋体" w:eastAsia="宋体" w:cs="宋体"/>
                <w:color w:val="000000"/>
                <w:kern w:val="0"/>
                <w:szCs w:val="21"/>
                <w:lang w:bidi="ar"/>
              </w:rPr>
            </w:pPr>
          </w:p>
        </w:tc>
      </w:tr>
      <w:tr w14:paraId="219415E9">
        <w:tblPrEx>
          <w:tblCellMar>
            <w:top w:w="0" w:type="dxa"/>
            <w:left w:w="108" w:type="dxa"/>
            <w:bottom w:w="0" w:type="dxa"/>
            <w:right w:w="108" w:type="dxa"/>
          </w:tblCellMar>
        </w:tblPrEx>
        <w:trPr>
          <w:trHeight w:val="430" w:hRule="atLeast"/>
          <w:jc w:val="center"/>
        </w:trPr>
        <w:tc>
          <w:tcPr>
            <w:tcW w:w="897" w:type="dxa"/>
            <w:tcBorders>
              <w:top w:val="nil"/>
              <w:left w:val="single" w:color="000000" w:sz="8" w:space="0"/>
              <w:bottom w:val="single" w:color="000000" w:sz="8" w:space="0"/>
              <w:right w:val="single" w:color="000000" w:sz="8" w:space="0"/>
            </w:tcBorders>
            <w:shd w:val="clear" w:color="auto" w:fill="auto"/>
            <w:vAlign w:val="center"/>
          </w:tcPr>
          <w:p w14:paraId="3808BF5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341" w:type="dxa"/>
            <w:tcBorders>
              <w:top w:val="nil"/>
              <w:left w:val="single" w:color="000000" w:sz="8" w:space="0"/>
              <w:bottom w:val="single" w:color="000000" w:sz="8" w:space="0"/>
              <w:right w:val="single" w:color="000000" w:sz="8" w:space="0"/>
            </w:tcBorders>
            <w:shd w:val="clear" w:color="auto" w:fill="auto"/>
            <w:vAlign w:val="center"/>
          </w:tcPr>
          <w:p w14:paraId="42A1386F">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软件工程师</w:t>
            </w:r>
          </w:p>
        </w:tc>
        <w:tc>
          <w:tcPr>
            <w:tcW w:w="1547" w:type="dxa"/>
            <w:tcBorders>
              <w:top w:val="nil"/>
              <w:left w:val="single" w:color="000000" w:sz="8" w:space="0"/>
              <w:bottom w:val="single" w:color="000000" w:sz="8" w:space="0"/>
              <w:right w:val="single" w:color="000000" w:sz="8" w:space="0"/>
            </w:tcBorders>
            <w:shd w:val="clear" w:color="auto" w:fill="auto"/>
            <w:vAlign w:val="center"/>
          </w:tcPr>
          <w:p w14:paraId="3DFECD45">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￥29,000.00</w:t>
            </w:r>
          </w:p>
        </w:tc>
        <w:tc>
          <w:tcPr>
            <w:tcW w:w="1407" w:type="dxa"/>
            <w:tcBorders>
              <w:top w:val="nil"/>
              <w:left w:val="single" w:color="000000" w:sz="8" w:space="0"/>
              <w:bottom w:val="single" w:color="000000" w:sz="8" w:space="0"/>
              <w:right w:val="single" w:color="000000" w:sz="8" w:space="0"/>
            </w:tcBorders>
          </w:tcPr>
          <w:p w14:paraId="62B40798">
            <w:pPr>
              <w:widowControl/>
              <w:jc w:val="center"/>
              <w:textAlignment w:val="center"/>
              <w:rPr>
                <w:rFonts w:hint="eastAsia" w:ascii="宋体" w:hAnsi="宋体" w:eastAsia="宋体" w:cs="宋体"/>
                <w:color w:val="000000"/>
                <w:kern w:val="0"/>
                <w:szCs w:val="21"/>
                <w:lang w:bidi="ar"/>
              </w:rPr>
            </w:pPr>
          </w:p>
        </w:tc>
        <w:tc>
          <w:tcPr>
            <w:tcW w:w="1319" w:type="dxa"/>
            <w:tcBorders>
              <w:top w:val="nil"/>
              <w:left w:val="single" w:color="000000" w:sz="8" w:space="0"/>
              <w:bottom w:val="single" w:color="000000" w:sz="8" w:space="0"/>
              <w:right w:val="single" w:color="000000" w:sz="8" w:space="0"/>
            </w:tcBorders>
          </w:tcPr>
          <w:p w14:paraId="42D95C6C">
            <w:pPr>
              <w:widowControl/>
              <w:jc w:val="center"/>
              <w:textAlignment w:val="center"/>
              <w:rPr>
                <w:rFonts w:hint="eastAsia" w:ascii="宋体" w:hAnsi="宋体" w:eastAsia="宋体" w:cs="宋体"/>
                <w:color w:val="000000"/>
                <w:kern w:val="0"/>
                <w:szCs w:val="21"/>
                <w:lang w:bidi="ar"/>
              </w:rPr>
            </w:pPr>
          </w:p>
        </w:tc>
        <w:tc>
          <w:tcPr>
            <w:tcW w:w="709" w:type="dxa"/>
            <w:tcBorders>
              <w:top w:val="nil"/>
              <w:left w:val="single" w:color="000000" w:sz="8" w:space="0"/>
              <w:bottom w:val="single" w:color="000000" w:sz="8" w:space="0"/>
              <w:right w:val="single" w:color="000000" w:sz="8" w:space="0"/>
            </w:tcBorders>
          </w:tcPr>
          <w:p w14:paraId="7315ACD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066" w:type="dxa"/>
            <w:tcBorders>
              <w:top w:val="nil"/>
              <w:left w:val="single" w:color="000000" w:sz="8" w:space="0"/>
              <w:bottom w:val="single" w:color="000000" w:sz="8" w:space="0"/>
              <w:right w:val="single" w:color="000000" w:sz="8" w:space="0"/>
            </w:tcBorders>
          </w:tcPr>
          <w:p w14:paraId="20EEF60D">
            <w:pPr>
              <w:widowControl/>
              <w:jc w:val="center"/>
              <w:textAlignment w:val="center"/>
              <w:rPr>
                <w:rFonts w:hint="eastAsia" w:ascii="宋体" w:hAnsi="宋体" w:eastAsia="宋体" w:cs="宋体"/>
                <w:color w:val="000000"/>
                <w:kern w:val="0"/>
                <w:szCs w:val="21"/>
                <w:lang w:bidi="ar"/>
              </w:rPr>
            </w:pPr>
          </w:p>
        </w:tc>
      </w:tr>
      <w:tr w14:paraId="6F521D2A">
        <w:tblPrEx>
          <w:tblCellMar>
            <w:top w:w="0" w:type="dxa"/>
            <w:left w:w="108" w:type="dxa"/>
            <w:bottom w:w="0" w:type="dxa"/>
            <w:right w:w="108" w:type="dxa"/>
          </w:tblCellMar>
        </w:tblPrEx>
        <w:trPr>
          <w:trHeight w:val="430" w:hRule="atLeast"/>
          <w:jc w:val="center"/>
        </w:trPr>
        <w:tc>
          <w:tcPr>
            <w:tcW w:w="897" w:type="dxa"/>
            <w:tcBorders>
              <w:top w:val="nil"/>
              <w:left w:val="single" w:color="000000" w:sz="8" w:space="0"/>
              <w:bottom w:val="single" w:color="auto" w:sz="4" w:space="0"/>
              <w:right w:val="single" w:color="000000" w:sz="8" w:space="0"/>
            </w:tcBorders>
            <w:shd w:val="clear" w:color="auto" w:fill="auto"/>
            <w:vAlign w:val="center"/>
          </w:tcPr>
          <w:p w14:paraId="49195DD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341" w:type="dxa"/>
            <w:tcBorders>
              <w:top w:val="nil"/>
              <w:left w:val="single" w:color="000000" w:sz="8" w:space="0"/>
              <w:bottom w:val="single" w:color="auto" w:sz="4" w:space="0"/>
              <w:right w:val="single" w:color="000000" w:sz="8" w:space="0"/>
            </w:tcBorders>
            <w:shd w:val="clear" w:color="auto" w:fill="auto"/>
            <w:vAlign w:val="center"/>
          </w:tcPr>
          <w:p w14:paraId="6D31E4E8">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电气工程师</w:t>
            </w:r>
          </w:p>
        </w:tc>
        <w:tc>
          <w:tcPr>
            <w:tcW w:w="1547" w:type="dxa"/>
            <w:tcBorders>
              <w:top w:val="nil"/>
              <w:left w:val="single" w:color="000000" w:sz="8" w:space="0"/>
              <w:bottom w:val="single" w:color="auto" w:sz="4" w:space="0"/>
              <w:right w:val="single" w:color="000000" w:sz="8" w:space="0"/>
            </w:tcBorders>
            <w:shd w:val="clear" w:color="auto" w:fill="auto"/>
            <w:vAlign w:val="center"/>
          </w:tcPr>
          <w:p w14:paraId="2E279663">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￥25,000.00</w:t>
            </w:r>
          </w:p>
        </w:tc>
        <w:tc>
          <w:tcPr>
            <w:tcW w:w="1407" w:type="dxa"/>
            <w:tcBorders>
              <w:top w:val="nil"/>
              <w:left w:val="single" w:color="000000" w:sz="8" w:space="0"/>
              <w:bottom w:val="single" w:color="auto" w:sz="4" w:space="0"/>
              <w:right w:val="single" w:color="000000" w:sz="8" w:space="0"/>
            </w:tcBorders>
          </w:tcPr>
          <w:p w14:paraId="65760A12">
            <w:pPr>
              <w:widowControl/>
              <w:jc w:val="center"/>
              <w:textAlignment w:val="center"/>
              <w:rPr>
                <w:rFonts w:hint="eastAsia" w:ascii="宋体" w:hAnsi="宋体" w:eastAsia="宋体" w:cs="宋体"/>
                <w:color w:val="000000"/>
                <w:kern w:val="0"/>
                <w:szCs w:val="21"/>
                <w:lang w:bidi="ar"/>
              </w:rPr>
            </w:pPr>
          </w:p>
        </w:tc>
        <w:tc>
          <w:tcPr>
            <w:tcW w:w="1319" w:type="dxa"/>
            <w:tcBorders>
              <w:top w:val="nil"/>
              <w:left w:val="single" w:color="000000" w:sz="8" w:space="0"/>
              <w:bottom w:val="single" w:color="auto" w:sz="4" w:space="0"/>
              <w:right w:val="single" w:color="000000" w:sz="8" w:space="0"/>
            </w:tcBorders>
          </w:tcPr>
          <w:p w14:paraId="5A6AEF65">
            <w:pPr>
              <w:widowControl/>
              <w:jc w:val="center"/>
              <w:textAlignment w:val="center"/>
              <w:rPr>
                <w:rFonts w:hint="eastAsia" w:ascii="宋体" w:hAnsi="宋体" w:eastAsia="宋体" w:cs="宋体"/>
                <w:color w:val="000000"/>
                <w:kern w:val="0"/>
                <w:szCs w:val="21"/>
                <w:lang w:bidi="ar"/>
              </w:rPr>
            </w:pPr>
          </w:p>
        </w:tc>
        <w:tc>
          <w:tcPr>
            <w:tcW w:w="709" w:type="dxa"/>
            <w:tcBorders>
              <w:top w:val="nil"/>
              <w:left w:val="single" w:color="000000" w:sz="8" w:space="0"/>
              <w:bottom w:val="single" w:color="auto" w:sz="4" w:space="0"/>
              <w:right w:val="single" w:color="000000" w:sz="8" w:space="0"/>
            </w:tcBorders>
          </w:tcPr>
          <w:p w14:paraId="3FC1226A">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066" w:type="dxa"/>
            <w:tcBorders>
              <w:top w:val="nil"/>
              <w:left w:val="single" w:color="000000" w:sz="8" w:space="0"/>
              <w:bottom w:val="single" w:color="auto" w:sz="4" w:space="0"/>
              <w:right w:val="single" w:color="000000" w:sz="8" w:space="0"/>
            </w:tcBorders>
          </w:tcPr>
          <w:p w14:paraId="724FB042">
            <w:pPr>
              <w:widowControl/>
              <w:jc w:val="center"/>
              <w:textAlignment w:val="center"/>
              <w:rPr>
                <w:rFonts w:hint="eastAsia" w:ascii="宋体" w:hAnsi="宋体" w:eastAsia="宋体" w:cs="宋体"/>
                <w:color w:val="000000"/>
                <w:kern w:val="0"/>
                <w:szCs w:val="21"/>
                <w:lang w:bidi="ar"/>
              </w:rPr>
            </w:pPr>
          </w:p>
        </w:tc>
      </w:tr>
      <w:tr w14:paraId="3DE81A17">
        <w:tblPrEx>
          <w:tblCellMar>
            <w:top w:w="0" w:type="dxa"/>
            <w:left w:w="108" w:type="dxa"/>
            <w:bottom w:w="0" w:type="dxa"/>
            <w:right w:w="108" w:type="dxa"/>
          </w:tblCellMar>
        </w:tblPrEx>
        <w:trPr>
          <w:trHeight w:val="536"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3C35BA3C">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4</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743671E0">
            <w:pPr>
              <w:widowControl/>
              <w:jc w:val="left"/>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机械工程师</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67BB95A9">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￥19,000.00</w:t>
            </w:r>
          </w:p>
        </w:tc>
        <w:tc>
          <w:tcPr>
            <w:tcW w:w="1407" w:type="dxa"/>
            <w:tcBorders>
              <w:top w:val="single" w:color="auto" w:sz="4" w:space="0"/>
              <w:left w:val="single" w:color="auto" w:sz="4" w:space="0"/>
              <w:bottom w:val="single" w:color="auto" w:sz="4" w:space="0"/>
              <w:right w:val="single" w:color="auto" w:sz="4" w:space="0"/>
            </w:tcBorders>
          </w:tcPr>
          <w:p w14:paraId="08A3B6D9">
            <w:pPr>
              <w:widowControl/>
              <w:jc w:val="center"/>
              <w:textAlignment w:val="center"/>
              <w:rPr>
                <w:rFonts w:hint="eastAsia" w:ascii="宋体" w:hAnsi="宋体" w:eastAsia="宋体" w:cs="宋体"/>
                <w:color w:val="000000"/>
                <w:kern w:val="0"/>
                <w:szCs w:val="21"/>
                <w:lang w:bidi="ar"/>
              </w:rPr>
            </w:pPr>
          </w:p>
        </w:tc>
        <w:tc>
          <w:tcPr>
            <w:tcW w:w="1319" w:type="dxa"/>
            <w:tcBorders>
              <w:top w:val="single" w:color="auto" w:sz="4" w:space="0"/>
              <w:left w:val="single" w:color="auto" w:sz="4" w:space="0"/>
              <w:bottom w:val="single" w:color="auto" w:sz="4" w:space="0"/>
              <w:right w:val="single" w:color="auto" w:sz="4" w:space="0"/>
            </w:tcBorders>
          </w:tcPr>
          <w:p w14:paraId="616394CE">
            <w:pPr>
              <w:widowControl/>
              <w:jc w:val="center"/>
              <w:textAlignment w:val="center"/>
              <w:rPr>
                <w:rFonts w:hint="eastAsia" w:ascii="宋体" w:hAnsi="宋体" w:eastAsia="宋体" w:cs="宋体"/>
                <w:color w:val="000000"/>
                <w:kern w:val="0"/>
                <w:szCs w:val="21"/>
                <w:lang w:bidi="ar"/>
              </w:rPr>
            </w:pPr>
          </w:p>
        </w:tc>
        <w:tc>
          <w:tcPr>
            <w:tcW w:w="709" w:type="dxa"/>
            <w:tcBorders>
              <w:top w:val="single" w:color="auto" w:sz="4" w:space="0"/>
              <w:left w:val="single" w:color="auto" w:sz="4" w:space="0"/>
              <w:bottom w:val="single" w:color="auto" w:sz="4" w:space="0"/>
              <w:right w:val="single" w:color="auto" w:sz="4" w:space="0"/>
            </w:tcBorders>
          </w:tcPr>
          <w:p w14:paraId="226954D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066" w:type="dxa"/>
            <w:tcBorders>
              <w:top w:val="single" w:color="auto" w:sz="4" w:space="0"/>
              <w:left w:val="single" w:color="auto" w:sz="4" w:space="0"/>
              <w:bottom w:val="single" w:color="auto" w:sz="4" w:space="0"/>
              <w:right w:val="single" w:color="auto" w:sz="4" w:space="0"/>
            </w:tcBorders>
          </w:tcPr>
          <w:p w14:paraId="3CF48383">
            <w:pPr>
              <w:widowControl/>
              <w:jc w:val="center"/>
              <w:textAlignment w:val="center"/>
              <w:rPr>
                <w:rFonts w:hint="eastAsia" w:ascii="宋体" w:hAnsi="宋体" w:eastAsia="宋体" w:cs="宋体"/>
                <w:color w:val="000000"/>
                <w:kern w:val="0"/>
                <w:szCs w:val="21"/>
                <w:lang w:bidi="ar"/>
              </w:rPr>
            </w:pPr>
          </w:p>
        </w:tc>
      </w:tr>
      <w:tr w14:paraId="5BFA79B2">
        <w:tblPrEx>
          <w:tblCellMar>
            <w:top w:w="0" w:type="dxa"/>
            <w:left w:w="108" w:type="dxa"/>
            <w:bottom w:w="0" w:type="dxa"/>
            <w:right w:w="108" w:type="dxa"/>
          </w:tblCellMar>
        </w:tblPrEx>
        <w:trPr>
          <w:trHeight w:val="473"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0C3DAC5D">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350A349E">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其他费用</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14:paraId="63915A27">
            <w:pPr>
              <w:widowControl/>
              <w:jc w:val="center"/>
              <w:textAlignment w:val="center"/>
              <w:rPr>
                <w:rFonts w:hint="eastAsia" w:ascii="宋体" w:hAnsi="宋体" w:eastAsia="宋体" w:cs="宋体"/>
                <w:color w:val="000000"/>
                <w:kern w:val="0"/>
                <w:szCs w:val="21"/>
                <w:lang w:bidi="ar"/>
              </w:rPr>
            </w:pPr>
          </w:p>
        </w:tc>
        <w:tc>
          <w:tcPr>
            <w:tcW w:w="1407" w:type="dxa"/>
            <w:tcBorders>
              <w:top w:val="single" w:color="auto" w:sz="4" w:space="0"/>
              <w:left w:val="single" w:color="auto" w:sz="4" w:space="0"/>
              <w:bottom w:val="single" w:color="auto" w:sz="4" w:space="0"/>
              <w:right w:val="single" w:color="auto" w:sz="4" w:space="0"/>
            </w:tcBorders>
          </w:tcPr>
          <w:p w14:paraId="1F597669">
            <w:pPr>
              <w:widowControl/>
              <w:jc w:val="center"/>
              <w:textAlignment w:val="center"/>
              <w:rPr>
                <w:rFonts w:hint="eastAsia" w:ascii="宋体" w:hAnsi="宋体" w:eastAsia="宋体" w:cs="宋体"/>
                <w:color w:val="000000"/>
                <w:kern w:val="0"/>
                <w:szCs w:val="21"/>
                <w:lang w:bidi="ar"/>
              </w:rPr>
            </w:pPr>
          </w:p>
        </w:tc>
        <w:tc>
          <w:tcPr>
            <w:tcW w:w="1319" w:type="dxa"/>
            <w:tcBorders>
              <w:top w:val="single" w:color="auto" w:sz="4" w:space="0"/>
              <w:left w:val="single" w:color="auto" w:sz="4" w:space="0"/>
              <w:bottom w:val="single" w:color="auto" w:sz="4" w:space="0"/>
              <w:right w:val="single" w:color="auto" w:sz="4" w:space="0"/>
            </w:tcBorders>
          </w:tcPr>
          <w:p w14:paraId="5F24E682">
            <w:pPr>
              <w:widowControl/>
              <w:jc w:val="center"/>
              <w:textAlignment w:val="center"/>
              <w:rPr>
                <w:rFonts w:hint="eastAsia" w:ascii="宋体" w:hAnsi="宋体" w:eastAsia="宋体" w:cs="宋体"/>
                <w:color w:val="000000"/>
                <w:kern w:val="0"/>
                <w:szCs w:val="21"/>
                <w:lang w:bidi="ar"/>
              </w:rPr>
            </w:pPr>
          </w:p>
        </w:tc>
        <w:tc>
          <w:tcPr>
            <w:tcW w:w="709" w:type="dxa"/>
            <w:tcBorders>
              <w:top w:val="single" w:color="auto" w:sz="4" w:space="0"/>
              <w:left w:val="single" w:color="auto" w:sz="4" w:space="0"/>
              <w:bottom w:val="single" w:color="auto" w:sz="4" w:space="0"/>
              <w:right w:val="single" w:color="auto" w:sz="4" w:space="0"/>
            </w:tcBorders>
          </w:tcPr>
          <w:p w14:paraId="5A3C7251">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066" w:type="dxa"/>
            <w:tcBorders>
              <w:top w:val="single" w:color="auto" w:sz="4" w:space="0"/>
              <w:left w:val="single" w:color="auto" w:sz="4" w:space="0"/>
              <w:bottom w:val="single" w:color="auto" w:sz="4" w:space="0"/>
              <w:right w:val="single" w:color="auto" w:sz="4" w:space="0"/>
            </w:tcBorders>
          </w:tcPr>
          <w:p w14:paraId="6417AC10">
            <w:pPr>
              <w:widowControl/>
              <w:jc w:val="center"/>
              <w:textAlignment w:val="center"/>
              <w:rPr>
                <w:rFonts w:hint="eastAsia" w:ascii="宋体" w:hAnsi="宋体" w:eastAsia="宋体" w:cs="宋体"/>
                <w:color w:val="000000"/>
                <w:kern w:val="0"/>
                <w:szCs w:val="21"/>
                <w:lang w:bidi="ar"/>
              </w:rPr>
            </w:pPr>
          </w:p>
        </w:tc>
      </w:tr>
      <w:tr w14:paraId="6553BBD2">
        <w:tblPrEx>
          <w:tblCellMar>
            <w:top w:w="0" w:type="dxa"/>
            <w:left w:w="108" w:type="dxa"/>
            <w:bottom w:w="0" w:type="dxa"/>
            <w:right w:w="108" w:type="dxa"/>
          </w:tblCellMar>
        </w:tblPrEx>
        <w:trPr>
          <w:trHeight w:val="473"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14:paraId="6B2594A7">
            <w:pPr>
              <w:widowControl/>
              <w:jc w:val="center"/>
              <w:textAlignment w:val="center"/>
              <w:rPr>
                <w:rFonts w:hint="eastAsia" w:ascii="宋体" w:hAnsi="宋体" w:eastAsia="宋体" w:cs="宋体"/>
                <w:color w:val="000000"/>
                <w:kern w:val="0"/>
                <w:szCs w:val="21"/>
                <w:lang w:bidi="ar"/>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14:paraId="1BC4C4F4">
            <w:pPr>
              <w:widowControl/>
              <w:jc w:val="left"/>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合计</w:t>
            </w:r>
          </w:p>
        </w:tc>
        <w:tc>
          <w:tcPr>
            <w:tcW w:w="60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8AE3D8">
            <w:pPr>
              <w:widowControl/>
              <w:jc w:val="center"/>
              <w:textAlignment w:val="center"/>
              <w:rPr>
                <w:rFonts w:hint="eastAsia" w:ascii="宋体" w:hAnsi="宋体" w:eastAsia="宋体" w:cs="宋体"/>
                <w:color w:val="000000"/>
                <w:kern w:val="0"/>
                <w:szCs w:val="21"/>
                <w:lang w:bidi="ar"/>
              </w:rPr>
            </w:pPr>
          </w:p>
        </w:tc>
      </w:tr>
    </w:tbl>
    <w:p w14:paraId="2AC40C20">
      <w:pPr>
        <w:pStyle w:val="2"/>
      </w:pPr>
    </w:p>
    <w:p w14:paraId="1ADC07B3">
      <w:pPr>
        <w:pStyle w:val="2"/>
      </w:pPr>
    </w:p>
    <w:p w14:paraId="17C7EDFA">
      <w:pPr>
        <w:pStyle w:val="2"/>
      </w:pPr>
    </w:p>
    <w:p w14:paraId="099ED3D8">
      <w:pPr>
        <w:pStyle w:val="2"/>
      </w:pPr>
    </w:p>
    <w:p w14:paraId="51F53E60">
      <w:pPr>
        <w:ind w:firstLine="480" w:firstLineChars="200"/>
        <w:rPr>
          <w:rFonts w:hint="eastAsia" w:ascii="宋体" w:hAnsi="宋体" w:eastAsia="宋体" w:cs="宋体"/>
          <w:sz w:val="24"/>
          <w:szCs w:val="24"/>
        </w:rPr>
      </w:pPr>
      <w:r>
        <w:rPr>
          <w:rFonts w:hint="eastAsia" w:ascii="宋体" w:hAnsi="宋体" w:eastAsia="宋体" w:cs="宋体"/>
          <w:sz w:val="24"/>
          <w:szCs w:val="24"/>
        </w:rPr>
        <w:t>本结算单盖章后生效，与框架协议具有同等法律效力。</w:t>
      </w:r>
    </w:p>
    <w:p w14:paraId="1292CCBA">
      <w:pPr>
        <w:ind w:firstLine="480" w:firstLineChars="200"/>
        <w:rPr>
          <w:rFonts w:hint="eastAsia" w:ascii="宋体" w:hAnsi="宋体" w:eastAsia="宋体" w:cs="宋体"/>
          <w:sz w:val="24"/>
          <w:szCs w:val="24"/>
        </w:rPr>
      </w:pPr>
      <w:r>
        <w:rPr>
          <w:rFonts w:hint="eastAsia" w:ascii="宋体" w:hAnsi="宋体" w:eastAsia="宋体" w:cs="宋体"/>
          <w:sz w:val="24"/>
          <w:szCs w:val="24"/>
        </w:rPr>
        <w:t>本结算单一式两份，甲乙双方各执一份。</w:t>
      </w:r>
    </w:p>
    <w:p w14:paraId="7F1BF8C0">
      <w:pPr>
        <w:pStyle w:val="2"/>
      </w:pPr>
    </w:p>
    <w:p w14:paraId="254846CE">
      <w:pPr>
        <w:pStyle w:val="2"/>
      </w:pPr>
    </w:p>
    <w:p w14:paraId="4866C7E2">
      <w:pPr>
        <w:jc w:val="left"/>
        <w:rPr>
          <w:rFonts w:hint="eastAsia" w:ascii="仿宋" w:hAnsi="仿宋" w:eastAsia="仿宋"/>
          <w:sz w:val="24"/>
          <w:szCs w:val="24"/>
        </w:rPr>
      </w:pPr>
    </w:p>
    <w:tbl>
      <w:tblPr>
        <w:tblStyle w:val="12"/>
        <w:tblW w:w="9854" w:type="dxa"/>
        <w:tblInd w:w="0" w:type="dxa"/>
        <w:tblLayout w:type="fixed"/>
        <w:tblCellMar>
          <w:top w:w="0" w:type="dxa"/>
          <w:left w:w="108" w:type="dxa"/>
          <w:bottom w:w="0" w:type="dxa"/>
          <w:right w:w="108" w:type="dxa"/>
        </w:tblCellMar>
      </w:tblPr>
      <w:tblGrid>
        <w:gridCol w:w="4927"/>
        <w:gridCol w:w="4927"/>
      </w:tblGrid>
      <w:tr w14:paraId="0C5FDEB0">
        <w:tblPrEx>
          <w:tblCellMar>
            <w:top w:w="0" w:type="dxa"/>
            <w:left w:w="108" w:type="dxa"/>
            <w:bottom w:w="0" w:type="dxa"/>
            <w:right w:w="108" w:type="dxa"/>
          </w:tblCellMar>
        </w:tblPrEx>
        <w:tc>
          <w:tcPr>
            <w:tcW w:w="4927" w:type="dxa"/>
          </w:tcPr>
          <w:p w14:paraId="4AB001BA">
            <w:pPr>
              <w:spacing w:before="156" w:beforeLines="50" w:after="156" w:afterLines="50" w:line="30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甲方：</w:t>
            </w:r>
            <w:r>
              <w:rPr>
                <w:rFonts w:hint="eastAsia" w:ascii="宋体" w:hAnsi="宋体" w:eastAsia="宋体"/>
                <w:color w:val="000000" w:themeColor="text1"/>
                <w:sz w:val="24"/>
                <w:szCs w:val="24"/>
                <w14:textFill>
                  <w14:solidFill>
                    <w14:schemeClr w14:val="tx1"/>
                  </w14:solidFill>
                </w14:textFill>
              </w:rPr>
              <w:t>北京先进数通信息技术股份公司</w:t>
            </w:r>
          </w:p>
          <w:p w14:paraId="4BD88E41">
            <w:pPr>
              <w:spacing w:before="156" w:beforeLines="50" w:after="156" w:afterLines="50" w:line="300" w:lineRule="auto"/>
              <w:rPr>
                <w:rFonts w:hint="eastAsia" w:ascii="宋体" w:hAnsi="宋体" w:eastAsia="宋体"/>
                <w:sz w:val="24"/>
                <w:szCs w:val="24"/>
              </w:rPr>
            </w:pPr>
            <w:r>
              <w:rPr>
                <w:rFonts w:hint="eastAsia" w:ascii="宋体" w:hAnsi="宋体" w:eastAsia="宋体"/>
                <w:sz w:val="24"/>
                <w:szCs w:val="24"/>
              </w:rPr>
              <w:t>（盖章）</w:t>
            </w:r>
          </w:p>
          <w:p w14:paraId="58992853">
            <w:pPr>
              <w:pStyle w:val="2"/>
            </w:pPr>
          </w:p>
        </w:tc>
        <w:tc>
          <w:tcPr>
            <w:tcW w:w="4927" w:type="dxa"/>
          </w:tcPr>
          <w:p w14:paraId="06ACD55E">
            <w:pPr>
              <w:spacing w:before="156" w:beforeLines="50" w:after="156" w:afterLines="50" w:line="300" w:lineRule="auto"/>
              <w:rPr>
                <w:rFonts w:hint="eastAsia" w:ascii="宋体" w:hAnsi="宋体" w:eastAsia="宋体"/>
                <w:sz w:val="24"/>
                <w:szCs w:val="24"/>
              </w:rPr>
            </w:pPr>
            <w:r>
              <w:rPr>
                <w:rFonts w:hint="eastAsia" w:ascii="宋体" w:hAnsi="宋体" w:eastAsia="宋体"/>
                <w:sz w:val="24"/>
                <w:szCs w:val="24"/>
              </w:rPr>
              <w:t>乙方：北京创联致信科技有限公司</w:t>
            </w:r>
          </w:p>
          <w:p w14:paraId="2CC2CB01">
            <w:pPr>
              <w:spacing w:before="156" w:beforeLines="50" w:after="156" w:afterLines="50" w:line="300" w:lineRule="auto"/>
              <w:rPr>
                <w:rFonts w:hint="eastAsia" w:ascii="宋体" w:hAnsi="宋体" w:eastAsia="宋体"/>
                <w:sz w:val="24"/>
                <w:szCs w:val="24"/>
              </w:rPr>
            </w:pPr>
            <w:r>
              <w:rPr>
                <w:rFonts w:hint="eastAsia" w:ascii="宋体" w:hAnsi="宋体" w:eastAsia="宋体"/>
                <w:sz w:val="24"/>
                <w:szCs w:val="24"/>
              </w:rPr>
              <w:t>（盖章）</w:t>
            </w:r>
          </w:p>
          <w:p w14:paraId="2F709062">
            <w:pPr>
              <w:pStyle w:val="2"/>
            </w:pPr>
          </w:p>
        </w:tc>
      </w:tr>
      <w:tr w14:paraId="7D8B8A11">
        <w:tblPrEx>
          <w:tblCellMar>
            <w:top w:w="0" w:type="dxa"/>
            <w:left w:w="108" w:type="dxa"/>
            <w:bottom w:w="0" w:type="dxa"/>
            <w:right w:w="108" w:type="dxa"/>
          </w:tblCellMar>
        </w:tblPrEx>
        <w:tc>
          <w:tcPr>
            <w:tcW w:w="4927" w:type="dxa"/>
          </w:tcPr>
          <w:p w14:paraId="54EECCAB">
            <w:pPr>
              <w:spacing w:before="156" w:beforeLines="50" w:after="156" w:afterLines="50" w:line="300" w:lineRule="auto"/>
              <w:rPr>
                <w:rFonts w:hint="eastAsia" w:ascii="宋体" w:hAnsi="宋体" w:eastAsia="宋体"/>
                <w:sz w:val="24"/>
                <w:szCs w:val="24"/>
              </w:rPr>
            </w:pPr>
            <w:r>
              <w:rPr>
                <w:rFonts w:hint="eastAsia" w:ascii="宋体" w:hAnsi="宋体" w:eastAsia="宋体"/>
                <w:sz w:val="24"/>
                <w:szCs w:val="24"/>
              </w:rPr>
              <w:t>日期：    年   月   日</w:t>
            </w:r>
          </w:p>
          <w:p w14:paraId="682EA7F1">
            <w:pPr>
              <w:spacing w:before="156" w:beforeLines="50" w:after="156" w:afterLines="50" w:line="300" w:lineRule="auto"/>
              <w:rPr>
                <w:rFonts w:hint="eastAsia" w:ascii="宋体" w:hAnsi="宋体" w:eastAsia="宋体"/>
                <w:sz w:val="24"/>
                <w:szCs w:val="24"/>
              </w:rPr>
            </w:pPr>
          </w:p>
        </w:tc>
        <w:tc>
          <w:tcPr>
            <w:tcW w:w="4927" w:type="dxa"/>
          </w:tcPr>
          <w:p w14:paraId="1DBC75E7">
            <w:pPr>
              <w:spacing w:before="156" w:beforeLines="50" w:after="156" w:afterLines="50" w:line="300" w:lineRule="auto"/>
              <w:rPr>
                <w:rFonts w:hint="eastAsia" w:ascii="宋体" w:hAnsi="宋体" w:eastAsia="宋体"/>
                <w:sz w:val="24"/>
                <w:szCs w:val="24"/>
              </w:rPr>
            </w:pPr>
            <w:r>
              <w:rPr>
                <w:rFonts w:hint="eastAsia" w:ascii="宋体" w:hAnsi="宋体" w:eastAsia="宋体"/>
                <w:sz w:val="24"/>
                <w:szCs w:val="24"/>
              </w:rPr>
              <w:t>日期：    年   月   日</w:t>
            </w:r>
          </w:p>
          <w:p w14:paraId="19AC2EC9">
            <w:pPr>
              <w:spacing w:before="156" w:beforeLines="50" w:after="156" w:afterLines="50" w:line="300" w:lineRule="auto"/>
              <w:rPr>
                <w:rFonts w:hint="eastAsia" w:ascii="宋体" w:hAnsi="宋体" w:eastAsia="宋体"/>
                <w:sz w:val="24"/>
                <w:szCs w:val="24"/>
              </w:rPr>
            </w:pPr>
          </w:p>
        </w:tc>
      </w:tr>
      <w:bookmarkEnd w:id="3"/>
    </w:tbl>
    <w:p w14:paraId="65C50247">
      <w:pPr>
        <w:pStyle w:val="2"/>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1" w:fontKey="{12CDBDDE-5262-4F31-B7B1-B80C48EB782D}"/>
  </w:font>
  <w:font w:name="等线">
    <w:panose1 w:val="02010600030101010101"/>
    <w:charset w:val="86"/>
    <w:family w:val="auto"/>
    <w:pitch w:val="default"/>
    <w:sig w:usb0="A00002BF" w:usb1="38CF7CFA" w:usb2="00000016" w:usb3="00000000" w:csb0="0004000F" w:csb1="00000000"/>
    <w:embedRegular r:id="rId2" w:fontKey="{66B685C2-EBDA-4824-A2EC-3E9E986A0A7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A120">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8B48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6C8B48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42AA3"/>
    <w:multiLevelType w:val="singleLevel"/>
    <w:tmpl w:val="40142AA3"/>
    <w:lvl w:ilvl="0" w:tentative="0">
      <w:start w:val="2"/>
      <w:numFmt w:val="chineseCounting"/>
      <w:suff w:val="nothing"/>
      <w:lvlText w:val="（%1）"/>
      <w:lvlJc w:val="left"/>
      <w:rPr>
        <w:rFonts w:hint="eastAsia"/>
      </w:rPr>
    </w:lvl>
  </w:abstractNum>
  <w:abstractNum w:abstractNumId="1">
    <w:nsid w:val="66F75B9D"/>
    <w:multiLevelType w:val="multilevel"/>
    <w:tmpl w:val="66F75B9D"/>
    <w:lvl w:ilvl="0" w:tentative="0">
      <w:start w:val="1"/>
      <w:numFmt w:val="japaneseCounting"/>
      <w:lvlText w:val="（%1）"/>
      <w:lvlJc w:val="left"/>
      <w:pPr>
        <w:ind w:left="1247" w:hanging="765"/>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78CC7B8B"/>
    <w:multiLevelType w:val="multilevel"/>
    <w:tmpl w:val="78CC7B8B"/>
    <w:lvl w:ilvl="0" w:tentative="0">
      <w:start w:val="1"/>
      <w:numFmt w:val="japaneseCounting"/>
      <w:lvlText w:val="第%1条"/>
      <w:lvlJc w:val="left"/>
      <w:pPr>
        <w:ind w:left="975" w:hanging="97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mYmE3NWZiNThjOTBiNzcwZmU2NjA3ZTRiMWM4OTkifQ=="/>
  </w:docVars>
  <w:rsids>
    <w:rsidRoot w:val="00E5635E"/>
    <w:rsid w:val="00076DC4"/>
    <w:rsid w:val="000825C9"/>
    <w:rsid w:val="000A58FC"/>
    <w:rsid w:val="000C4E12"/>
    <w:rsid w:val="000D6594"/>
    <w:rsid w:val="001333C8"/>
    <w:rsid w:val="00150988"/>
    <w:rsid w:val="00197AEB"/>
    <w:rsid w:val="001A0BC4"/>
    <w:rsid w:val="001D478A"/>
    <w:rsid w:val="002A0E52"/>
    <w:rsid w:val="002A7E03"/>
    <w:rsid w:val="002C16C7"/>
    <w:rsid w:val="002C7775"/>
    <w:rsid w:val="002F4A5C"/>
    <w:rsid w:val="00352705"/>
    <w:rsid w:val="003A1F61"/>
    <w:rsid w:val="003C67B0"/>
    <w:rsid w:val="003C7285"/>
    <w:rsid w:val="003E7119"/>
    <w:rsid w:val="004B2819"/>
    <w:rsid w:val="004D05F5"/>
    <w:rsid w:val="005922FF"/>
    <w:rsid w:val="005D16DF"/>
    <w:rsid w:val="007221FC"/>
    <w:rsid w:val="00726C67"/>
    <w:rsid w:val="00752CD5"/>
    <w:rsid w:val="00763225"/>
    <w:rsid w:val="00767583"/>
    <w:rsid w:val="00790026"/>
    <w:rsid w:val="00890427"/>
    <w:rsid w:val="00A736E6"/>
    <w:rsid w:val="00A95127"/>
    <w:rsid w:val="00AB5B89"/>
    <w:rsid w:val="00AB7FFC"/>
    <w:rsid w:val="00B02CD3"/>
    <w:rsid w:val="00B1228F"/>
    <w:rsid w:val="00B17FD9"/>
    <w:rsid w:val="00B8312C"/>
    <w:rsid w:val="00BC042C"/>
    <w:rsid w:val="00BD2244"/>
    <w:rsid w:val="00C7212E"/>
    <w:rsid w:val="00CF13EF"/>
    <w:rsid w:val="00CF1C86"/>
    <w:rsid w:val="00D24314"/>
    <w:rsid w:val="00D3254C"/>
    <w:rsid w:val="00E37786"/>
    <w:rsid w:val="00E41E34"/>
    <w:rsid w:val="00E5635E"/>
    <w:rsid w:val="00EB3143"/>
    <w:rsid w:val="00F45350"/>
    <w:rsid w:val="0490264C"/>
    <w:rsid w:val="0A2543E3"/>
    <w:rsid w:val="0B383EF0"/>
    <w:rsid w:val="0D552B6D"/>
    <w:rsid w:val="0E6D6359"/>
    <w:rsid w:val="108904B2"/>
    <w:rsid w:val="109401F4"/>
    <w:rsid w:val="124E1097"/>
    <w:rsid w:val="138D7D05"/>
    <w:rsid w:val="14AB6978"/>
    <w:rsid w:val="15587714"/>
    <w:rsid w:val="162167A1"/>
    <w:rsid w:val="168E1562"/>
    <w:rsid w:val="17522D38"/>
    <w:rsid w:val="1B4E3485"/>
    <w:rsid w:val="1BEE6AC2"/>
    <w:rsid w:val="214473ED"/>
    <w:rsid w:val="28B0354C"/>
    <w:rsid w:val="29634188"/>
    <w:rsid w:val="30164F71"/>
    <w:rsid w:val="304E094E"/>
    <w:rsid w:val="3078676B"/>
    <w:rsid w:val="30E53F9E"/>
    <w:rsid w:val="313F2E2F"/>
    <w:rsid w:val="34FA01B3"/>
    <w:rsid w:val="3767804F"/>
    <w:rsid w:val="37EF392F"/>
    <w:rsid w:val="3AEA1FB6"/>
    <w:rsid w:val="3EF717DC"/>
    <w:rsid w:val="42433912"/>
    <w:rsid w:val="432937C0"/>
    <w:rsid w:val="43697058"/>
    <w:rsid w:val="48074B4D"/>
    <w:rsid w:val="4B716661"/>
    <w:rsid w:val="4D882099"/>
    <w:rsid w:val="4FB629B4"/>
    <w:rsid w:val="512D063D"/>
    <w:rsid w:val="52D74DF5"/>
    <w:rsid w:val="57F7D6C0"/>
    <w:rsid w:val="5B1B5BD2"/>
    <w:rsid w:val="61A813C7"/>
    <w:rsid w:val="62404A8B"/>
    <w:rsid w:val="62527693"/>
    <w:rsid w:val="62D022B3"/>
    <w:rsid w:val="63417249"/>
    <w:rsid w:val="66B96C27"/>
    <w:rsid w:val="6EDE7B06"/>
    <w:rsid w:val="745D613B"/>
    <w:rsid w:val="781942EF"/>
    <w:rsid w:val="7D092933"/>
    <w:rsid w:val="7F6E8898"/>
    <w:rsid w:val="7FEDB2E6"/>
    <w:rsid w:val="CE3CF2CD"/>
    <w:rsid w:val="EDB77A17"/>
    <w:rsid w:val="EE2EDC9E"/>
    <w:rsid w:val="F7DD60F5"/>
    <w:rsid w:val="FF3EE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6" w:lineRule="auto"/>
      <w:outlineLvl w:val="0"/>
    </w:pPr>
    <w:rPr>
      <w:b/>
      <w:kern w:val="44"/>
      <w:sz w:val="44"/>
    </w:rPr>
  </w:style>
  <w:style w:type="paragraph" w:styleId="7">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next w:val="4"/>
    <w:semiHidden/>
    <w:unhideWhenUsed/>
    <w:qFormat/>
    <w:uiPriority w:val="99"/>
    <w:pPr>
      <w:spacing w:after="120"/>
      <w:ind w:left="420" w:leftChars="200"/>
    </w:pPr>
  </w:style>
  <w:style w:type="paragraph" w:styleId="4">
    <w:name w:val="Body Text"/>
    <w:basedOn w:val="1"/>
    <w:next w:val="5"/>
    <w:qFormat/>
    <w:uiPriority w:val="0"/>
    <w:pPr>
      <w:spacing w:after="60"/>
      <w:ind w:left="72" w:leftChars="30" w:right="72" w:rightChars="30"/>
      <w:jc w:val="center"/>
    </w:pPr>
  </w:style>
  <w:style w:type="paragraph" w:customStyle="1" w:styleId="5">
    <w:name w:val="Default"/>
    <w:next w:val="1"/>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styleId="9">
    <w:name w:val="annotation text"/>
    <w:basedOn w:val="1"/>
    <w:qFormat/>
    <w:uiPriority w:val="0"/>
    <w:pPr>
      <w:jc w:val="left"/>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91"/>
    <w:basedOn w:val="14"/>
    <w:qFormat/>
    <w:uiPriority w:val="0"/>
    <w:rPr>
      <w:rFonts w:ascii="宋体" w:hAnsi="宋体" w:eastAsia="宋体" w:cs="宋体"/>
      <w:color w:val="000000"/>
      <w:sz w:val="21"/>
      <w:szCs w:val="21"/>
      <w:u w:val="none"/>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5038</Words>
  <Characters>5236</Characters>
  <Lines>39</Lines>
  <Paragraphs>11</Paragraphs>
  <TotalTime>8</TotalTime>
  <ScaleCrop>false</ScaleCrop>
  <LinksUpToDate>false</LinksUpToDate>
  <CharactersWithSpaces>5297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2025-02-12T06:27:00Z</dcterms:created>
  <dc:creator>夏夏</dc:creator>
  <cp:lastModifiedBy>能吃瘦</cp:lastModifiedBy>
  <dcterms:modified xsi:type="dcterms:W3CDTF">2025-02-17T08:42:51Z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28FFBE9B5B294600B32C94C90545131E_13</vt:lpwstr>
  </property>
  <property fmtid="{D5CDD505-2E9C-101B-9397-08002B2CF9AE}" pid="4" name="KSOTemplateDocerSaveRecord">
    <vt:lpwstr>eyJoZGlkIjoiNjZmYmE3NWZiNThjOTBiNzcwZmU2NjA3ZTRiMWM4OTkiLCJ1c2VySWQiOiIzNDc5MTUwNjQifQ==</vt:lpwstr>
  </property>
</Properties>
</file>